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FDB0" w14:textId="77777777" w:rsidR="00BE787D" w:rsidRPr="00E4265B" w:rsidRDefault="00BE787D" w:rsidP="00BE787D">
      <w:pPr>
        <w:pStyle w:val="Title"/>
        <w:spacing w:after="0"/>
        <w:rPr>
          <w:rFonts w:ascii="Arial" w:hAnsi="Arial" w:cs="Arial"/>
          <w:color w:val="244061" w:themeColor="accent1" w:themeShade="80"/>
          <w:sz w:val="22"/>
          <w:szCs w:val="22"/>
          <w:lang w:val="en-GB"/>
        </w:rPr>
      </w:pPr>
    </w:p>
    <w:p w14:paraId="46D73168" w14:textId="77777777" w:rsidR="00183066" w:rsidRPr="00E4265B" w:rsidRDefault="00183066"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488F3727" w14:textId="77777777" w:rsidR="00183066" w:rsidRPr="00E4265B" w:rsidRDefault="00183066"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3943A657" w14:textId="77777777" w:rsidR="00183066" w:rsidRPr="00E4265B" w:rsidRDefault="00183066"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735122E8" w14:textId="77777777" w:rsidR="00183066" w:rsidRPr="00E4265B" w:rsidRDefault="00183066"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0AB50D2E" w14:textId="77777777" w:rsidR="00183066" w:rsidRPr="00E4265B" w:rsidRDefault="00183066"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5EC74A97" w14:textId="77777777" w:rsidR="00183066" w:rsidRPr="00E4265B" w:rsidRDefault="00183066"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1E857B7E" w14:textId="77777777" w:rsidR="00183066" w:rsidRPr="00E4265B" w:rsidRDefault="00183066"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01DF5530" w14:textId="77777777" w:rsidR="00183066" w:rsidRPr="00E4265B" w:rsidRDefault="00183066"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6FD3BFB1" w14:textId="1CD75A60" w:rsidR="00183066" w:rsidRDefault="00183066"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0CB2D7CA" w14:textId="0E0B88F4" w:rsidR="00C15389" w:rsidRDefault="00C15389"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6B919F60" w14:textId="2597B904" w:rsidR="00C15389" w:rsidRDefault="00C15389"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48A19988" w14:textId="17920EB6" w:rsidR="00C15389" w:rsidRDefault="00C15389"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594B0D6B" w14:textId="7D73D60C" w:rsidR="00C15389" w:rsidRDefault="00C15389"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5FE77608" w14:textId="77863778" w:rsidR="00C15389" w:rsidRDefault="00C15389"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730AE8A2" w14:textId="77777777" w:rsidR="00C15389" w:rsidRPr="00E4265B" w:rsidRDefault="00C15389"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296DDE6B" w14:textId="77777777" w:rsidR="00183066" w:rsidRPr="00E4265B" w:rsidRDefault="00183066"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76FA75AD" w14:textId="77777777" w:rsidR="00183066" w:rsidRPr="00E4265B" w:rsidRDefault="00183066"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018160A4" w14:textId="77777777" w:rsidR="00183066" w:rsidRPr="00E4265B" w:rsidRDefault="00183066"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5B65318B" w14:textId="77777777" w:rsidR="00183066" w:rsidRPr="00E4265B" w:rsidRDefault="00183066"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542A83A7" w14:textId="77777777" w:rsidR="00183066" w:rsidRPr="00E4265B" w:rsidRDefault="00183066"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7E098105" w14:textId="77777777" w:rsidR="00183066" w:rsidRPr="00E4265B" w:rsidRDefault="00183066" w:rsidP="00183066">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230E6EF9" w14:textId="77777777" w:rsidR="00183066" w:rsidRPr="00C15389" w:rsidRDefault="00183066" w:rsidP="00183066">
      <w:pPr>
        <w:pStyle w:val="Body"/>
        <w:spacing w:after="0" w:line="240" w:lineRule="auto"/>
        <w:ind w:left="-90"/>
        <w:jc w:val="center"/>
        <w:rPr>
          <w:rFonts w:ascii="Arial" w:eastAsiaTheme="minorEastAsia" w:hAnsi="Arial" w:cs="Arial"/>
          <w:b/>
          <w:color w:val="auto"/>
          <w:sz w:val="28"/>
          <w:szCs w:val="28"/>
          <w:bdr w:val="none" w:sz="0" w:space="0" w:color="auto"/>
          <w:lang w:val="en-GB" w:eastAsia="zh-CN"/>
        </w:rPr>
      </w:pPr>
      <w:r w:rsidRPr="00C15389">
        <w:rPr>
          <w:rFonts w:ascii="Arial" w:eastAsiaTheme="minorEastAsia" w:hAnsi="Arial" w:cs="Arial"/>
          <w:b/>
          <w:color w:val="auto"/>
          <w:sz w:val="28"/>
          <w:szCs w:val="28"/>
          <w:bdr w:val="none" w:sz="0" w:space="0" w:color="auto"/>
          <w:lang w:val="en-GB" w:eastAsia="zh-CN"/>
        </w:rPr>
        <w:t>Prudential – Investment, Insurance Intermediation and Banking Rules (PRU)</w:t>
      </w:r>
    </w:p>
    <w:p w14:paraId="06A20D93" w14:textId="02EC7DFF" w:rsidR="00BE787D" w:rsidRPr="00C15389" w:rsidRDefault="00183066" w:rsidP="006A2FD1">
      <w:pPr>
        <w:pStyle w:val="Body"/>
        <w:jc w:val="center"/>
        <w:rPr>
          <w:rFonts w:ascii="Arial" w:hAnsi="Arial" w:cs="Arial"/>
          <w:sz w:val="28"/>
          <w:szCs w:val="28"/>
          <w:lang w:val="en-GB"/>
        </w:rPr>
      </w:pPr>
      <w:r w:rsidRPr="00C15389">
        <w:rPr>
          <w:rFonts w:ascii="Arial" w:eastAsiaTheme="minorEastAsia" w:hAnsi="Arial" w:cs="Arial"/>
          <w:b/>
          <w:sz w:val="28"/>
          <w:szCs w:val="28"/>
          <w:lang w:eastAsia="zh-CN"/>
        </w:rPr>
        <w:t xml:space="preserve"> (VER</w:t>
      </w:r>
      <w:r w:rsidR="00F943A3">
        <w:rPr>
          <w:rFonts w:ascii="Arial" w:eastAsiaTheme="minorEastAsia" w:hAnsi="Arial" w:cs="Arial"/>
          <w:b/>
          <w:sz w:val="28"/>
          <w:szCs w:val="28"/>
          <w:lang w:eastAsia="zh-CN"/>
        </w:rPr>
        <w:t>1</w:t>
      </w:r>
      <w:r w:rsidR="00B07AAE">
        <w:rPr>
          <w:rFonts w:ascii="Arial" w:eastAsiaTheme="minorEastAsia" w:hAnsi="Arial" w:cs="Arial"/>
          <w:b/>
          <w:sz w:val="28"/>
          <w:szCs w:val="28"/>
          <w:lang w:eastAsia="zh-CN"/>
        </w:rPr>
        <w:t>3</w:t>
      </w:r>
      <w:r w:rsidR="00F943A3">
        <w:rPr>
          <w:rFonts w:ascii="Arial" w:eastAsiaTheme="minorEastAsia" w:hAnsi="Arial" w:cs="Arial"/>
          <w:b/>
          <w:sz w:val="28"/>
          <w:szCs w:val="28"/>
          <w:lang w:eastAsia="zh-CN"/>
        </w:rPr>
        <w:t>.</w:t>
      </w:r>
      <w:r w:rsidR="00AE6411">
        <w:rPr>
          <w:rFonts w:ascii="Arial" w:eastAsiaTheme="minorEastAsia" w:hAnsi="Arial" w:cs="Arial"/>
          <w:b/>
          <w:sz w:val="28"/>
          <w:szCs w:val="28"/>
          <w:lang w:eastAsia="zh-CN"/>
        </w:rPr>
        <w:t>18</w:t>
      </w:r>
      <w:r w:rsidR="00B07AAE">
        <w:rPr>
          <w:rFonts w:ascii="Arial" w:eastAsiaTheme="minorEastAsia" w:hAnsi="Arial" w:cs="Arial"/>
          <w:b/>
          <w:sz w:val="28"/>
          <w:szCs w:val="28"/>
          <w:lang w:eastAsia="zh-CN"/>
        </w:rPr>
        <w:t>1223</w:t>
      </w:r>
      <w:r w:rsidRPr="00C15389">
        <w:rPr>
          <w:rFonts w:ascii="Arial" w:eastAsiaTheme="minorEastAsia" w:hAnsi="Arial" w:cs="Arial"/>
          <w:b/>
          <w:sz w:val="28"/>
          <w:szCs w:val="28"/>
          <w:lang w:eastAsia="zh-CN"/>
        </w:rPr>
        <w:t>)</w:t>
      </w:r>
    </w:p>
    <w:p w14:paraId="11EF8291" w14:textId="77777777" w:rsidR="00BE787D" w:rsidRPr="00E4265B" w:rsidRDefault="00BE787D" w:rsidP="00BE787D">
      <w:pPr>
        <w:pStyle w:val="Body"/>
        <w:rPr>
          <w:rFonts w:ascii="Arial" w:hAnsi="Arial" w:cs="Arial"/>
          <w:lang w:val="en-GB"/>
        </w:rPr>
      </w:pPr>
    </w:p>
    <w:p w14:paraId="2C70B710" w14:textId="0F0E39FE" w:rsidR="00BE787D" w:rsidRPr="00E4265B" w:rsidRDefault="00BE787D" w:rsidP="00BE787D">
      <w:pPr>
        <w:pStyle w:val="Body"/>
        <w:rPr>
          <w:rFonts w:ascii="Arial" w:hAnsi="Arial" w:cs="Arial"/>
          <w:lang w:val="en-GB"/>
        </w:rPr>
      </w:pPr>
    </w:p>
    <w:p w14:paraId="7B2BB81A" w14:textId="5831280B" w:rsidR="00BE787D" w:rsidRPr="00E4265B" w:rsidRDefault="00BE787D" w:rsidP="00BE787D">
      <w:pPr>
        <w:pStyle w:val="Body"/>
        <w:rPr>
          <w:rFonts w:ascii="Arial" w:hAnsi="Arial" w:cs="Arial"/>
          <w:lang w:val="en-GB"/>
        </w:rPr>
      </w:pPr>
    </w:p>
    <w:p w14:paraId="5742AEBC" w14:textId="77777777" w:rsidR="00BE787D" w:rsidRPr="00E4265B" w:rsidRDefault="00BE787D" w:rsidP="00BE787D">
      <w:pPr>
        <w:pStyle w:val="Title"/>
        <w:spacing w:after="0" w:line="240" w:lineRule="auto"/>
        <w:rPr>
          <w:rFonts w:ascii="Arial" w:eastAsia="Arial Unicode MS" w:hAnsi="Arial" w:cs="Arial"/>
          <w:b/>
          <w:bCs/>
          <w:sz w:val="22"/>
          <w:szCs w:val="22"/>
          <w:lang w:val="en-GB"/>
        </w:rPr>
      </w:pPr>
    </w:p>
    <w:p w14:paraId="343654B7" w14:textId="77777777" w:rsidR="00BE787D" w:rsidRPr="00E4265B" w:rsidRDefault="00BE787D" w:rsidP="00BE787D">
      <w:pPr>
        <w:pStyle w:val="Title"/>
        <w:spacing w:after="0" w:line="240" w:lineRule="auto"/>
        <w:rPr>
          <w:rFonts w:ascii="Arial" w:eastAsia="Arial Unicode MS" w:hAnsi="Arial" w:cs="Arial"/>
          <w:b/>
          <w:bCs/>
          <w:sz w:val="22"/>
          <w:szCs w:val="22"/>
          <w:lang w:val="en-GB"/>
        </w:rPr>
      </w:pPr>
    </w:p>
    <w:p w14:paraId="235CB1F8" w14:textId="77777777" w:rsidR="00BE787D" w:rsidRPr="00E4265B" w:rsidRDefault="00BE787D" w:rsidP="00BE787D">
      <w:pPr>
        <w:pStyle w:val="Title"/>
        <w:spacing w:after="0" w:line="240" w:lineRule="auto"/>
        <w:rPr>
          <w:rFonts w:ascii="Arial" w:eastAsia="Arial Unicode MS" w:hAnsi="Arial" w:cs="Arial"/>
          <w:b/>
          <w:bCs/>
          <w:sz w:val="22"/>
          <w:szCs w:val="22"/>
          <w:lang w:val="en-GB"/>
        </w:rPr>
      </w:pPr>
    </w:p>
    <w:p w14:paraId="28D782CB" w14:textId="77777777" w:rsidR="001409C1" w:rsidRPr="00E4265B" w:rsidRDefault="001409C1" w:rsidP="009E076A">
      <w:pPr>
        <w:pStyle w:val="Body"/>
        <w:spacing w:after="0" w:line="240" w:lineRule="auto"/>
        <w:ind w:left="-426"/>
        <w:rPr>
          <w:rFonts w:ascii="Arial" w:hAnsi="Arial" w:cs="Arial"/>
          <w:b/>
          <w:bCs/>
          <w:color w:val="AD9961"/>
          <w:lang w:val="en-GB"/>
        </w:rPr>
        <w:sectPr w:rsidR="001409C1" w:rsidRPr="00E4265B" w:rsidSect="00183066">
          <w:headerReference w:type="default" r:id="rId8"/>
          <w:footerReference w:type="default" r:id="rId9"/>
          <w:pgSz w:w="11907" w:h="16839" w:code="9"/>
          <w:pgMar w:top="1940" w:right="1361" w:bottom="1418" w:left="1361" w:header="720" w:footer="720"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3671A8" w:rsidRPr="00E4265B" w14:paraId="54350CFF" w14:textId="77777777" w:rsidTr="00351330">
        <w:tc>
          <w:tcPr>
            <w:tcW w:w="9027" w:type="dxa"/>
          </w:tcPr>
          <w:p w14:paraId="515C1240" w14:textId="77777777" w:rsidR="003671A8" w:rsidRPr="00E4265B" w:rsidRDefault="003671A8" w:rsidP="003671A8">
            <w:pPr>
              <w:jc w:val="center"/>
              <w:rPr>
                <w:rFonts w:ascii="Arial" w:hAnsi="Arial" w:cs="Arial"/>
                <w:b/>
                <w:bCs/>
                <w:sz w:val="22"/>
                <w:szCs w:val="22"/>
                <w:lang w:val="en-GB"/>
              </w:rPr>
            </w:pPr>
            <w:r w:rsidRPr="00E4265B">
              <w:rPr>
                <w:rFonts w:ascii="Arial" w:hAnsi="Arial" w:cs="Arial"/>
                <w:b/>
                <w:bCs/>
                <w:sz w:val="22"/>
                <w:szCs w:val="22"/>
                <w:lang w:val="en-GB"/>
              </w:rPr>
              <w:lastRenderedPageBreak/>
              <w:t>TABLE OF CONTENTS</w:t>
            </w:r>
          </w:p>
        </w:tc>
      </w:tr>
      <w:tr w:rsidR="003671A8" w:rsidRPr="00E4265B" w14:paraId="4DB388CD" w14:textId="77777777" w:rsidTr="00351330">
        <w:tc>
          <w:tcPr>
            <w:tcW w:w="9027" w:type="dxa"/>
          </w:tcPr>
          <w:p w14:paraId="1240741F" w14:textId="77777777" w:rsidR="003671A8" w:rsidRPr="00E4265B" w:rsidRDefault="003671A8" w:rsidP="003671A8">
            <w:pPr>
              <w:jc w:val="center"/>
              <w:rPr>
                <w:rFonts w:ascii="Arial" w:hAnsi="Arial" w:cs="Arial"/>
                <w:b/>
                <w:bCs/>
                <w:sz w:val="22"/>
                <w:szCs w:val="22"/>
                <w:lang w:val="en-GB"/>
              </w:rPr>
            </w:pPr>
          </w:p>
        </w:tc>
      </w:tr>
      <w:tr w:rsidR="003671A8" w:rsidRPr="00E4265B" w14:paraId="77249EA9" w14:textId="77777777" w:rsidTr="00351330">
        <w:tc>
          <w:tcPr>
            <w:tcW w:w="9027" w:type="dxa"/>
          </w:tcPr>
          <w:p w14:paraId="7B93FB82" w14:textId="77777777" w:rsidR="003671A8" w:rsidRPr="00E4265B" w:rsidRDefault="003671A8" w:rsidP="003671A8">
            <w:pPr>
              <w:pStyle w:val="Title"/>
              <w:jc w:val="left"/>
              <w:rPr>
                <w:rFonts w:ascii="Arial" w:hAnsi="Arial" w:cs="Arial"/>
                <w:sz w:val="22"/>
                <w:szCs w:val="22"/>
                <w:lang w:val="en-GB"/>
              </w:rPr>
            </w:pPr>
            <w:r w:rsidRPr="00E4265B">
              <w:rPr>
                <w:rFonts w:ascii="Arial" w:hAnsi="Arial" w:cs="Arial"/>
                <w:sz w:val="22"/>
                <w:szCs w:val="22"/>
                <w:lang w:val="en-GB"/>
              </w:rPr>
              <w:t>These Rules are divided into the following Chapters, Parts, Sections and Appendices:</w:t>
            </w:r>
          </w:p>
        </w:tc>
      </w:tr>
      <w:tr w:rsidR="003671A8" w:rsidRPr="00E4265B" w14:paraId="449300F5" w14:textId="77777777" w:rsidTr="00351330">
        <w:tc>
          <w:tcPr>
            <w:tcW w:w="9027" w:type="dxa"/>
          </w:tcPr>
          <w:p w14:paraId="764E7F12" w14:textId="5F7E3A81" w:rsidR="00E131AF" w:rsidRPr="00E4265B" w:rsidRDefault="003671A8">
            <w:pPr>
              <w:pStyle w:val="TOC1"/>
              <w:rPr>
                <w:rFonts w:ascii="Arial" w:eastAsiaTheme="minorEastAsia" w:hAnsi="Arial" w:cs="Arial"/>
                <w:b w:val="0"/>
                <w:noProof/>
                <w:sz w:val="22"/>
                <w:szCs w:val="22"/>
                <w:lang w:val="en-GB" w:eastAsia="en-GB"/>
              </w:rPr>
            </w:pPr>
            <w:r w:rsidRPr="00E4265B">
              <w:rPr>
                <w:rFonts w:ascii="Arial" w:hAnsi="Arial" w:cs="Arial"/>
                <w:b w:val="0"/>
                <w:sz w:val="22"/>
                <w:szCs w:val="22"/>
                <w:lang w:val="en-GB"/>
              </w:rPr>
              <w:fldChar w:fldCharType="begin"/>
            </w:r>
            <w:r w:rsidRPr="00E4265B">
              <w:rPr>
                <w:rFonts w:ascii="Arial" w:hAnsi="Arial" w:cs="Arial"/>
                <w:b w:val="0"/>
                <w:sz w:val="22"/>
                <w:szCs w:val="22"/>
                <w:lang w:val="en-GB"/>
              </w:rPr>
              <w:instrText xml:space="preserve"> TOC \o "1-3" \h \z \t "UK12 Title,1,UK12 Title 2,3" </w:instrText>
            </w:r>
            <w:r w:rsidRPr="00E4265B">
              <w:rPr>
                <w:rFonts w:ascii="Arial" w:hAnsi="Arial" w:cs="Arial"/>
                <w:b w:val="0"/>
                <w:sz w:val="22"/>
                <w:szCs w:val="22"/>
                <w:lang w:val="en-GB"/>
              </w:rPr>
              <w:fldChar w:fldCharType="separate"/>
            </w:r>
            <w:hyperlink w:anchor="_Toc33622360" w:history="1">
              <w:r w:rsidR="00E131AF" w:rsidRPr="00E4265B">
                <w:rPr>
                  <w:rStyle w:val="Hyperlink"/>
                  <w:rFonts w:ascii="Arial" w:hAnsi="Arial" w:cs="Arial"/>
                  <w:noProof/>
                  <w:sz w:val="22"/>
                  <w:szCs w:val="22"/>
                  <w:lang w:val="en-GB"/>
                </w:rPr>
                <w:t>1</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APPLICATION, INTERPRETATION AND CATEGORISATION</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_Toc33622360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1</w:t>
              </w:r>
              <w:r w:rsidR="00E131AF" w:rsidRPr="00E4265B">
                <w:rPr>
                  <w:rFonts w:ascii="Arial" w:hAnsi="Arial" w:cs="Arial"/>
                  <w:noProof/>
                  <w:webHidden/>
                  <w:sz w:val="22"/>
                  <w:szCs w:val="22"/>
                </w:rPr>
                <w:fldChar w:fldCharType="end"/>
              </w:r>
            </w:hyperlink>
          </w:p>
          <w:p w14:paraId="3C6DC39C" w14:textId="575D0C8E" w:rsidR="00E131AF" w:rsidRPr="00E4265B" w:rsidRDefault="00B275AE">
            <w:pPr>
              <w:pStyle w:val="TOC3"/>
              <w:rPr>
                <w:rFonts w:ascii="Arial" w:eastAsiaTheme="minorEastAsia" w:hAnsi="Arial" w:cs="Arial"/>
                <w:sz w:val="22"/>
                <w:szCs w:val="22"/>
                <w:lang w:val="en-GB" w:eastAsia="en-GB"/>
              </w:rPr>
            </w:pPr>
            <w:hyperlink w:anchor="_Toc33622361" w:history="1">
              <w:r w:rsidR="00E131AF" w:rsidRPr="00E4265B">
                <w:rPr>
                  <w:rStyle w:val="Hyperlink"/>
                  <w:rFonts w:ascii="Arial" w:hAnsi="Arial" w:cs="Arial"/>
                  <w:sz w:val="22"/>
                  <w:szCs w:val="22"/>
                </w:rPr>
                <w:t>1.1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Application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_Toc33622361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w:t>
              </w:r>
              <w:r w:rsidR="00E131AF" w:rsidRPr="00E4265B">
                <w:rPr>
                  <w:rFonts w:ascii="Arial" w:hAnsi="Arial" w:cs="Arial"/>
                  <w:webHidden/>
                  <w:sz w:val="22"/>
                  <w:szCs w:val="22"/>
                </w:rPr>
                <w:fldChar w:fldCharType="end"/>
              </w:r>
            </w:hyperlink>
          </w:p>
          <w:p w14:paraId="59F60B11" w14:textId="44483C4C" w:rsidR="00E131AF" w:rsidRPr="00E4265B" w:rsidRDefault="00B275AE">
            <w:pPr>
              <w:pStyle w:val="TOC3"/>
              <w:rPr>
                <w:rFonts w:ascii="Arial" w:eastAsiaTheme="minorEastAsia" w:hAnsi="Arial" w:cs="Arial"/>
                <w:sz w:val="22"/>
                <w:szCs w:val="22"/>
                <w:lang w:val="en-GB" w:eastAsia="en-GB"/>
              </w:rPr>
            </w:pPr>
            <w:hyperlink w:anchor="_Toc33622362" w:history="1">
              <w:r w:rsidR="00E131AF" w:rsidRPr="00E4265B">
                <w:rPr>
                  <w:rStyle w:val="Hyperlink"/>
                  <w:rFonts w:ascii="Arial" w:hAnsi="Arial" w:cs="Arial"/>
                  <w:sz w:val="22"/>
                  <w:szCs w:val="22"/>
                </w:rPr>
                <w:t>1.2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Glossary</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_Toc33622362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7</w:t>
              </w:r>
              <w:r w:rsidR="00E131AF" w:rsidRPr="00E4265B">
                <w:rPr>
                  <w:rFonts w:ascii="Arial" w:hAnsi="Arial" w:cs="Arial"/>
                  <w:webHidden/>
                  <w:sz w:val="22"/>
                  <w:szCs w:val="22"/>
                </w:rPr>
                <w:fldChar w:fldCharType="end"/>
              </w:r>
            </w:hyperlink>
          </w:p>
          <w:p w14:paraId="4F136B62" w14:textId="40DDB3DF" w:rsidR="00E131AF" w:rsidRPr="00E4265B" w:rsidRDefault="00B275AE">
            <w:pPr>
              <w:pStyle w:val="TOC3"/>
              <w:rPr>
                <w:rFonts w:ascii="Arial" w:eastAsiaTheme="minorEastAsia" w:hAnsi="Arial" w:cs="Arial"/>
                <w:sz w:val="22"/>
                <w:szCs w:val="22"/>
                <w:lang w:val="en-GB" w:eastAsia="en-GB"/>
              </w:rPr>
            </w:pPr>
            <w:hyperlink w:anchor="_Toc33622363" w:history="1">
              <w:r w:rsidR="00E131AF" w:rsidRPr="00E4265B">
                <w:rPr>
                  <w:rStyle w:val="Hyperlink"/>
                  <w:rFonts w:ascii="Arial" w:hAnsi="Arial" w:cs="Arial"/>
                  <w:sz w:val="22"/>
                  <w:szCs w:val="22"/>
                </w:rPr>
                <w:t>1.3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Categories of Authorised Persons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_Toc33622363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40</w:t>
              </w:r>
              <w:r w:rsidR="00E131AF" w:rsidRPr="00E4265B">
                <w:rPr>
                  <w:rFonts w:ascii="Arial" w:hAnsi="Arial" w:cs="Arial"/>
                  <w:webHidden/>
                  <w:sz w:val="22"/>
                  <w:szCs w:val="22"/>
                </w:rPr>
                <w:fldChar w:fldCharType="end"/>
              </w:r>
            </w:hyperlink>
          </w:p>
          <w:p w14:paraId="370B7122" w14:textId="0246D09F" w:rsidR="00E131AF" w:rsidRPr="00E4265B" w:rsidRDefault="00B275AE">
            <w:pPr>
              <w:pStyle w:val="TOC1"/>
              <w:rPr>
                <w:rFonts w:ascii="Arial" w:eastAsiaTheme="minorEastAsia" w:hAnsi="Arial" w:cs="Arial"/>
                <w:b w:val="0"/>
                <w:noProof/>
                <w:sz w:val="22"/>
                <w:szCs w:val="22"/>
                <w:lang w:val="en-GB" w:eastAsia="en-GB"/>
              </w:rPr>
            </w:pPr>
            <w:hyperlink w:anchor="_Toc33622364" w:history="1">
              <w:r w:rsidR="00E131AF" w:rsidRPr="00E4265B">
                <w:rPr>
                  <w:rStyle w:val="Hyperlink"/>
                  <w:rFonts w:ascii="Arial" w:hAnsi="Arial" w:cs="Arial"/>
                  <w:noProof/>
                  <w:sz w:val="22"/>
                  <w:szCs w:val="22"/>
                  <w:lang w:val="en-GB"/>
                </w:rPr>
                <w:t>2</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GENERAL REQUIREMENTS</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_Toc33622364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43</w:t>
              </w:r>
              <w:r w:rsidR="00E131AF" w:rsidRPr="00E4265B">
                <w:rPr>
                  <w:rFonts w:ascii="Arial" w:hAnsi="Arial" w:cs="Arial"/>
                  <w:noProof/>
                  <w:webHidden/>
                  <w:sz w:val="22"/>
                  <w:szCs w:val="22"/>
                </w:rPr>
                <w:fldChar w:fldCharType="end"/>
              </w:r>
            </w:hyperlink>
          </w:p>
          <w:p w14:paraId="4CFFF9B8" w14:textId="22804881" w:rsidR="00E131AF" w:rsidRPr="00E4265B" w:rsidRDefault="00B275AE">
            <w:pPr>
              <w:pStyle w:val="TOC3"/>
              <w:rPr>
                <w:rFonts w:ascii="Arial" w:eastAsiaTheme="minorEastAsia" w:hAnsi="Arial" w:cs="Arial"/>
                <w:sz w:val="22"/>
                <w:szCs w:val="22"/>
                <w:lang w:val="en-GB" w:eastAsia="en-GB"/>
              </w:rPr>
            </w:pPr>
            <w:hyperlink w:anchor="_Toc33622365" w:history="1">
              <w:r w:rsidR="00E131AF" w:rsidRPr="00E4265B">
                <w:rPr>
                  <w:rStyle w:val="Hyperlink"/>
                  <w:rFonts w:ascii="Arial" w:hAnsi="Arial" w:cs="Arial"/>
                  <w:sz w:val="22"/>
                  <w:szCs w:val="22"/>
                </w:rPr>
                <w:t>2.1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Application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_Toc33622365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43</w:t>
              </w:r>
              <w:r w:rsidR="00E131AF" w:rsidRPr="00E4265B">
                <w:rPr>
                  <w:rFonts w:ascii="Arial" w:hAnsi="Arial" w:cs="Arial"/>
                  <w:webHidden/>
                  <w:sz w:val="22"/>
                  <w:szCs w:val="22"/>
                </w:rPr>
                <w:fldChar w:fldCharType="end"/>
              </w:r>
            </w:hyperlink>
          </w:p>
          <w:p w14:paraId="131BF5EB" w14:textId="3C377AFC" w:rsidR="00E131AF" w:rsidRPr="00E4265B" w:rsidRDefault="00B275AE">
            <w:pPr>
              <w:pStyle w:val="TOC3"/>
              <w:rPr>
                <w:rFonts w:ascii="Arial" w:eastAsiaTheme="minorEastAsia" w:hAnsi="Arial" w:cs="Arial"/>
                <w:sz w:val="22"/>
                <w:szCs w:val="22"/>
                <w:lang w:val="en-GB" w:eastAsia="en-GB"/>
              </w:rPr>
            </w:pPr>
            <w:hyperlink w:anchor="_Toc33622366" w:history="1">
              <w:r w:rsidR="00E131AF" w:rsidRPr="00E4265B">
                <w:rPr>
                  <w:rStyle w:val="Hyperlink"/>
                  <w:rFonts w:ascii="Arial" w:hAnsi="Arial" w:cs="Arial"/>
                  <w:sz w:val="22"/>
                  <w:szCs w:val="22"/>
                </w:rPr>
                <w:t>2.2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Trading Book</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_Toc33622366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43</w:t>
              </w:r>
              <w:r w:rsidR="00E131AF" w:rsidRPr="00E4265B">
                <w:rPr>
                  <w:rFonts w:ascii="Arial" w:hAnsi="Arial" w:cs="Arial"/>
                  <w:webHidden/>
                  <w:sz w:val="22"/>
                  <w:szCs w:val="22"/>
                </w:rPr>
                <w:fldChar w:fldCharType="end"/>
              </w:r>
            </w:hyperlink>
          </w:p>
          <w:p w14:paraId="32B5E554" w14:textId="3F489ED9" w:rsidR="00E131AF" w:rsidRPr="00E4265B" w:rsidRDefault="00B275AE">
            <w:pPr>
              <w:pStyle w:val="TOC3"/>
              <w:rPr>
                <w:rFonts w:ascii="Arial" w:eastAsiaTheme="minorEastAsia" w:hAnsi="Arial" w:cs="Arial"/>
                <w:sz w:val="22"/>
                <w:szCs w:val="22"/>
                <w:lang w:val="en-GB" w:eastAsia="en-GB"/>
              </w:rPr>
            </w:pPr>
            <w:hyperlink w:anchor="_Toc33622367" w:history="1">
              <w:r w:rsidR="00E131AF" w:rsidRPr="00E4265B">
                <w:rPr>
                  <w:rStyle w:val="Hyperlink"/>
                  <w:rFonts w:ascii="Arial" w:hAnsi="Arial" w:cs="Arial"/>
                  <w:sz w:val="22"/>
                  <w:szCs w:val="22"/>
                </w:rPr>
                <w:t>2.3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Reporting</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_Toc33622367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44</w:t>
              </w:r>
              <w:r w:rsidR="00E131AF" w:rsidRPr="00E4265B">
                <w:rPr>
                  <w:rFonts w:ascii="Arial" w:hAnsi="Arial" w:cs="Arial"/>
                  <w:webHidden/>
                  <w:sz w:val="22"/>
                  <w:szCs w:val="22"/>
                </w:rPr>
                <w:fldChar w:fldCharType="end"/>
              </w:r>
            </w:hyperlink>
          </w:p>
          <w:p w14:paraId="072BA0C2" w14:textId="65A187C2" w:rsidR="00E131AF" w:rsidRPr="00E4265B" w:rsidRDefault="00B275AE">
            <w:pPr>
              <w:pStyle w:val="TOC3"/>
              <w:rPr>
                <w:rFonts w:ascii="Arial" w:eastAsiaTheme="minorEastAsia" w:hAnsi="Arial" w:cs="Arial"/>
                <w:sz w:val="22"/>
                <w:szCs w:val="22"/>
                <w:lang w:val="en-GB" w:eastAsia="en-GB"/>
              </w:rPr>
            </w:pPr>
            <w:hyperlink w:anchor="_Toc33622368" w:history="1">
              <w:r w:rsidR="00E131AF" w:rsidRPr="00E4265B">
                <w:rPr>
                  <w:rStyle w:val="Hyperlink"/>
                  <w:rFonts w:ascii="Arial" w:hAnsi="Arial" w:cs="Arial"/>
                  <w:sz w:val="22"/>
                  <w:szCs w:val="22"/>
                </w:rPr>
                <w:t>2.4</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Prudent valuation practices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_Toc33622368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45</w:t>
              </w:r>
              <w:r w:rsidR="00E131AF" w:rsidRPr="00E4265B">
                <w:rPr>
                  <w:rFonts w:ascii="Arial" w:hAnsi="Arial" w:cs="Arial"/>
                  <w:webHidden/>
                  <w:sz w:val="22"/>
                  <w:szCs w:val="22"/>
                </w:rPr>
                <w:fldChar w:fldCharType="end"/>
              </w:r>
            </w:hyperlink>
          </w:p>
          <w:p w14:paraId="2FC2F2C4" w14:textId="79C819DA" w:rsidR="00E131AF" w:rsidRPr="00E4265B" w:rsidRDefault="00B275AE">
            <w:pPr>
              <w:pStyle w:val="TOC1"/>
              <w:rPr>
                <w:rFonts w:ascii="Arial" w:eastAsiaTheme="minorEastAsia" w:hAnsi="Arial" w:cs="Arial"/>
                <w:b w:val="0"/>
                <w:noProof/>
                <w:sz w:val="22"/>
                <w:szCs w:val="22"/>
                <w:lang w:val="en-GB" w:eastAsia="en-GB"/>
              </w:rPr>
            </w:pPr>
            <w:hyperlink w:anchor="_Toc33622369" w:history="1">
              <w:r w:rsidR="00E131AF" w:rsidRPr="00E4265B">
                <w:rPr>
                  <w:rStyle w:val="Hyperlink"/>
                  <w:rFonts w:ascii="Arial" w:hAnsi="Arial" w:cs="Arial"/>
                  <w:noProof/>
                  <w:sz w:val="22"/>
                  <w:szCs w:val="22"/>
                  <w:lang w:val="en-GB"/>
                </w:rPr>
                <w:t>3</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CAPITAL AND LEVERAGE</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_Toc33622369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47</w:t>
              </w:r>
              <w:r w:rsidR="00E131AF" w:rsidRPr="00E4265B">
                <w:rPr>
                  <w:rFonts w:ascii="Arial" w:hAnsi="Arial" w:cs="Arial"/>
                  <w:noProof/>
                  <w:webHidden/>
                  <w:sz w:val="22"/>
                  <w:szCs w:val="22"/>
                </w:rPr>
                <w:fldChar w:fldCharType="end"/>
              </w:r>
            </w:hyperlink>
          </w:p>
          <w:p w14:paraId="64E81D32" w14:textId="3ED746AC" w:rsidR="00E131AF" w:rsidRPr="00E4265B" w:rsidRDefault="00B275AE">
            <w:pPr>
              <w:pStyle w:val="TOC2"/>
              <w:rPr>
                <w:rFonts w:ascii="Arial" w:eastAsiaTheme="minorEastAsia" w:hAnsi="Arial" w:cs="Arial"/>
                <w:b w:val="0"/>
                <w:sz w:val="22"/>
                <w:szCs w:val="22"/>
                <w:lang w:val="en-GB" w:eastAsia="en-GB"/>
              </w:rPr>
            </w:pPr>
            <w:hyperlink w:anchor="_Toc33622370" w:history="1">
              <w:r w:rsidR="00E131AF" w:rsidRPr="00E4265B">
                <w:rPr>
                  <w:rStyle w:val="Hyperlink"/>
                  <w:rFonts w:ascii="Arial" w:hAnsi="Arial" w:cs="Arial"/>
                  <w:sz w:val="22"/>
                  <w:szCs w:val="22"/>
                  <w:lang w:val="en-GB"/>
                </w:rPr>
                <w:t>PART 1 – Application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_Toc33622370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47</w:t>
              </w:r>
              <w:r w:rsidR="00E131AF" w:rsidRPr="00E4265B">
                <w:rPr>
                  <w:rFonts w:ascii="Arial" w:hAnsi="Arial" w:cs="Arial"/>
                  <w:webHidden/>
                  <w:sz w:val="22"/>
                  <w:szCs w:val="22"/>
                </w:rPr>
                <w:fldChar w:fldCharType="end"/>
              </w:r>
            </w:hyperlink>
          </w:p>
          <w:p w14:paraId="37B4F8C2" w14:textId="339277F4" w:rsidR="00E131AF" w:rsidRPr="00E4265B" w:rsidRDefault="00B275AE">
            <w:pPr>
              <w:pStyle w:val="TOC3"/>
              <w:rPr>
                <w:rFonts w:ascii="Arial" w:eastAsiaTheme="minorEastAsia" w:hAnsi="Arial" w:cs="Arial"/>
                <w:sz w:val="22"/>
                <w:szCs w:val="22"/>
                <w:lang w:val="en-GB" w:eastAsia="en-GB"/>
              </w:rPr>
            </w:pPr>
            <w:hyperlink w:anchor="_Toc33622371" w:history="1">
              <w:r w:rsidR="00E131AF" w:rsidRPr="00E4265B">
                <w:rPr>
                  <w:rStyle w:val="Hyperlink"/>
                  <w:rFonts w:ascii="Arial" w:hAnsi="Arial" w:cs="Arial"/>
                  <w:sz w:val="22"/>
                  <w:szCs w:val="22"/>
                </w:rPr>
                <w:t>3.1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Application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_Toc33622371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47</w:t>
              </w:r>
              <w:r w:rsidR="00E131AF" w:rsidRPr="00E4265B">
                <w:rPr>
                  <w:rFonts w:ascii="Arial" w:hAnsi="Arial" w:cs="Arial"/>
                  <w:webHidden/>
                  <w:sz w:val="22"/>
                  <w:szCs w:val="22"/>
                </w:rPr>
                <w:fldChar w:fldCharType="end"/>
              </w:r>
            </w:hyperlink>
          </w:p>
          <w:p w14:paraId="34B7EC0A" w14:textId="3B360B05" w:rsidR="00E131AF" w:rsidRPr="00E4265B" w:rsidRDefault="00B275AE">
            <w:pPr>
              <w:pStyle w:val="TOC2"/>
              <w:rPr>
                <w:rFonts w:ascii="Arial" w:eastAsiaTheme="minorEastAsia" w:hAnsi="Arial" w:cs="Arial"/>
                <w:b w:val="0"/>
                <w:sz w:val="22"/>
                <w:szCs w:val="22"/>
                <w:lang w:val="en-GB" w:eastAsia="en-GB"/>
              </w:rPr>
            </w:pPr>
            <w:hyperlink w:anchor="_Toc33622372" w:history="1">
              <w:r w:rsidR="00E131AF" w:rsidRPr="00E4265B">
                <w:rPr>
                  <w:rStyle w:val="Hyperlink"/>
                  <w:rFonts w:ascii="Arial" w:hAnsi="Arial" w:cs="Arial"/>
                  <w:sz w:val="22"/>
                  <w:szCs w:val="22"/>
                  <w:lang w:val="en-GB"/>
                </w:rPr>
                <w:t>PART 2 – Basic Requirements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_Toc33622372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48</w:t>
              </w:r>
              <w:r w:rsidR="00E131AF" w:rsidRPr="00E4265B">
                <w:rPr>
                  <w:rFonts w:ascii="Arial" w:hAnsi="Arial" w:cs="Arial"/>
                  <w:webHidden/>
                  <w:sz w:val="22"/>
                  <w:szCs w:val="22"/>
                </w:rPr>
                <w:fldChar w:fldCharType="end"/>
              </w:r>
            </w:hyperlink>
          </w:p>
          <w:p w14:paraId="0EE71301" w14:textId="0AC4E8F1" w:rsidR="00E131AF" w:rsidRPr="00E4265B" w:rsidRDefault="00B275AE">
            <w:pPr>
              <w:pStyle w:val="TOC3"/>
              <w:rPr>
                <w:rFonts w:ascii="Arial" w:eastAsiaTheme="minorEastAsia" w:hAnsi="Arial" w:cs="Arial"/>
                <w:sz w:val="22"/>
                <w:szCs w:val="22"/>
                <w:lang w:val="en-GB" w:eastAsia="en-GB"/>
              </w:rPr>
            </w:pPr>
            <w:hyperlink w:anchor="_Toc33622373" w:history="1">
              <w:r w:rsidR="00E131AF" w:rsidRPr="00E4265B">
                <w:rPr>
                  <w:rStyle w:val="Hyperlink"/>
                  <w:rFonts w:ascii="Arial" w:hAnsi="Arial" w:cs="Arial"/>
                  <w:sz w:val="22"/>
                  <w:szCs w:val="22"/>
                </w:rPr>
                <w:t>3.2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Application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_Toc33622373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48</w:t>
              </w:r>
              <w:r w:rsidR="00E131AF" w:rsidRPr="00E4265B">
                <w:rPr>
                  <w:rFonts w:ascii="Arial" w:hAnsi="Arial" w:cs="Arial"/>
                  <w:webHidden/>
                  <w:sz w:val="22"/>
                  <w:szCs w:val="22"/>
                </w:rPr>
                <w:fldChar w:fldCharType="end"/>
              </w:r>
            </w:hyperlink>
          </w:p>
          <w:p w14:paraId="51D0B8E5" w14:textId="27784A4B" w:rsidR="00E131AF" w:rsidRPr="00E4265B" w:rsidRDefault="00B275AE">
            <w:pPr>
              <w:pStyle w:val="TOC2"/>
              <w:rPr>
                <w:rFonts w:ascii="Arial" w:eastAsiaTheme="minorEastAsia" w:hAnsi="Arial" w:cs="Arial"/>
                <w:b w:val="0"/>
                <w:sz w:val="22"/>
                <w:szCs w:val="22"/>
                <w:lang w:val="en-GB" w:eastAsia="en-GB"/>
              </w:rPr>
            </w:pPr>
            <w:hyperlink w:anchor="_Toc33622374" w:history="1">
              <w:r w:rsidR="00E131AF" w:rsidRPr="00E4265B">
                <w:rPr>
                  <w:rStyle w:val="Hyperlink"/>
                  <w:rFonts w:ascii="Arial" w:hAnsi="Arial" w:cs="Arial"/>
                  <w:sz w:val="22"/>
                  <w:szCs w:val="22"/>
                  <w:lang w:val="en-GB"/>
                </w:rPr>
                <w:t>PART 3 – Calculating Capital Requirements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_Toc33622374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50</w:t>
              </w:r>
              <w:r w:rsidR="00E131AF" w:rsidRPr="00E4265B">
                <w:rPr>
                  <w:rFonts w:ascii="Arial" w:hAnsi="Arial" w:cs="Arial"/>
                  <w:webHidden/>
                  <w:sz w:val="22"/>
                  <w:szCs w:val="22"/>
                </w:rPr>
                <w:fldChar w:fldCharType="end"/>
              </w:r>
            </w:hyperlink>
          </w:p>
          <w:p w14:paraId="4F52177C" w14:textId="05DECEBB" w:rsidR="00E131AF" w:rsidRPr="00E4265B" w:rsidRDefault="00B275AE">
            <w:pPr>
              <w:pStyle w:val="TOC3"/>
              <w:rPr>
                <w:rFonts w:ascii="Arial" w:eastAsiaTheme="minorEastAsia" w:hAnsi="Arial" w:cs="Arial"/>
                <w:sz w:val="22"/>
                <w:szCs w:val="22"/>
                <w:lang w:val="en-GB" w:eastAsia="en-GB"/>
              </w:rPr>
            </w:pPr>
            <w:hyperlink w:anchor="_Toc33622375" w:history="1">
              <w:r w:rsidR="00E131AF" w:rsidRPr="00E4265B">
                <w:rPr>
                  <w:rStyle w:val="Hyperlink"/>
                  <w:rFonts w:ascii="Arial" w:hAnsi="Arial" w:cs="Arial"/>
                  <w:sz w:val="22"/>
                  <w:szCs w:val="22"/>
                </w:rPr>
                <w:t>3.3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Base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_Toc33622375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50</w:t>
              </w:r>
              <w:r w:rsidR="00E131AF" w:rsidRPr="00E4265B">
                <w:rPr>
                  <w:rFonts w:ascii="Arial" w:hAnsi="Arial" w:cs="Arial"/>
                  <w:webHidden/>
                  <w:sz w:val="22"/>
                  <w:szCs w:val="22"/>
                </w:rPr>
                <w:fldChar w:fldCharType="end"/>
              </w:r>
            </w:hyperlink>
          </w:p>
          <w:p w14:paraId="1B5BD846" w14:textId="521B4D07" w:rsidR="00E131AF" w:rsidRPr="00E4265B" w:rsidRDefault="00B275AE">
            <w:pPr>
              <w:pStyle w:val="TOC3"/>
              <w:rPr>
                <w:rFonts w:ascii="Arial" w:eastAsiaTheme="minorEastAsia" w:hAnsi="Arial" w:cs="Arial"/>
                <w:sz w:val="22"/>
                <w:szCs w:val="22"/>
                <w:lang w:val="en-GB" w:eastAsia="en-GB"/>
              </w:rPr>
            </w:pPr>
            <w:hyperlink w:anchor="_Toc33622376" w:history="1">
              <w:r w:rsidR="00E131AF" w:rsidRPr="00E4265B">
                <w:rPr>
                  <w:rStyle w:val="Hyperlink"/>
                  <w:rFonts w:ascii="Arial" w:hAnsi="Arial" w:cs="Arial"/>
                  <w:sz w:val="22"/>
                  <w:szCs w:val="22"/>
                </w:rPr>
                <w:t>3.4</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Capital Requirements for Categories 1, 2, 3A and 5</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_Toc33622376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51</w:t>
              </w:r>
              <w:r w:rsidR="00E131AF" w:rsidRPr="00E4265B">
                <w:rPr>
                  <w:rFonts w:ascii="Arial" w:hAnsi="Arial" w:cs="Arial"/>
                  <w:webHidden/>
                  <w:sz w:val="22"/>
                  <w:szCs w:val="22"/>
                </w:rPr>
                <w:fldChar w:fldCharType="end"/>
              </w:r>
            </w:hyperlink>
          </w:p>
          <w:p w14:paraId="2D84C24F" w14:textId="14C1FFAD" w:rsidR="00E131AF" w:rsidRPr="00E4265B" w:rsidRDefault="00B275AE">
            <w:pPr>
              <w:pStyle w:val="TOC3"/>
              <w:rPr>
                <w:rFonts w:ascii="Arial" w:eastAsiaTheme="minorEastAsia" w:hAnsi="Arial" w:cs="Arial"/>
                <w:sz w:val="22"/>
                <w:szCs w:val="22"/>
                <w:lang w:val="en-GB" w:eastAsia="en-GB"/>
              </w:rPr>
            </w:pPr>
            <w:hyperlink w:anchor="_Toc33622377" w:history="1">
              <w:r w:rsidR="00E131AF" w:rsidRPr="00E4265B">
                <w:rPr>
                  <w:rStyle w:val="Hyperlink"/>
                  <w:rFonts w:ascii="Arial" w:hAnsi="Arial" w:cs="Arial"/>
                  <w:sz w:val="22"/>
                  <w:szCs w:val="22"/>
                </w:rPr>
                <w:t>3.5</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Risk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_Toc33622377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52</w:t>
              </w:r>
              <w:r w:rsidR="00E131AF" w:rsidRPr="00E4265B">
                <w:rPr>
                  <w:rFonts w:ascii="Arial" w:hAnsi="Arial" w:cs="Arial"/>
                  <w:webHidden/>
                  <w:sz w:val="22"/>
                  <w:szCs w:val="22"/>
                </w:rPr>
                <w:fldChar w:fldCharType="end"/>
              </w:r>
            </w:hyperlink>
          </w:p>
          <w:p w14:paraId="591F121C" w14:textId="7DD9B1C4" w:rsidR="00E131AF" w:rsidRPr="00E4265B" w:rsidRDefault="00B275AE">
            <w:pPr>
              <w:pStyle w:val="TOC3"/>
              <w:rPr>
                <w:rFonts w:ascii="Arial" w:eastAsiaTheme="minorEastAsia" w:hAnsi="Arial" w:cs="Arial"/>
                <w:sz w:val="22"/>
                <w:szCs w:val="22"/>
                <w:lang w:val="en-GB" w:eastAsia="en-GB"/>
              </w:rPr>
            </w:pPr>
            <w:hyperlink w:anchor="_Toc33622378" w:history="1">
              <w:r w:rsidR="00E131AF" w:rsidRPr="00E4265B">
                <w:rPr>
                  <w:rStyle w:val="Hyperlink"/>
                  <w:rFonts w:ascii="Arial" w:hAnsi="Arial" w:cs="Arial"/>
                  <w:sz w:val="22"/>
                  <w:szCs w:val="22"/>
                </w:rPr>
                <w:t>3.6</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Capital Requirements for Categories 3B, 3C and 4</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_Toc33622378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54</w:t>
              </w:r>
              <w:r w:rsidR="00E131AF" w:rsidRPr="00E4265B">
                <w:rPr>
                  <w:rFonts w:ascii="Arial" w:hAnsi="Arial" w:cs="Arial"/>
                  <w:webHidden/>
                  <w:sz w:val="22"/>
                  <w:szCs w:val="22"/>
                </w:rPr>
                <w:fldChar w:fldCharType="end"/>
              </w:r>
            </w:hyperlink>
          </w:p>
          <w:p w14:paraId="1806ABF8" w14:textId="57990188" w:rsidR="00E131AF" w:rsidRPr="00E4265B" w:rsidRDefault="00B275AE">
            <w:pPr>
              <w:pStyle w:val="TOC3"/>
              <w:rPr>
                <w:rFonts w:ascii="Arial" w:eastAsiaTheme="minorEastAsia" w:hAnsi="Arial" w:cs="Arial"/>
                <w:sz w:val="22"/>
                <w:szCs w:val="22"/>
                <w:lang w:val="en-GB" w:eastAsia="en-GB"/>
              </w:rPr>
            </w:pPr>
            <w:hyperlink w:anchor="_Toc33622379" w:history="1">
              <w:r w:rsidR="00E131AF" w:rsidRPr="00E4265B">
                <w:rPr>
                  <w:rStyle w:val="Hyperlink"/>
                  <w:rFonts w:ascii="Arial" w:hAnsi="Arial" w:cs="Arial"/>
                  <w:sz w:val="22"/>
                  <w:szCs w:val="22"/>
                </w:rPr>
                <w:t>3.7</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Expenditure Based Capital Minimum</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_Toc33622379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58</w:t>
              </w:r>
              <w:r w:rsidR="00E131AF" w:rsidRPr="00E4265B">
                <w:rPr>
                  <w:rFonts w:ascii="Arial" w:hAnsi="Arial" w:cs="Arial"/>
                  <w:webHidden/>
                  <w:sz w:val="22"/>
                  <w:szCs w:val="22"/>
                </w:rPr>
                <w:fldChar w:fldCharType="end"/>
              </w:r>
            </w:hyperlink>
          </w:p>
          <w:p w14:paraId="52FFFCDE" w14:textId="6150947B" w:rsidR="00E131AF" w:rsidRPr="00E4265B" w:rsidRDefault="00B275AE">
            <w:pPr>
              <w:pStyle w:val="TOC2"/>
              <w:rPr>
                <w:rFonts w:ascii="Arial" w:eastAsiaTheme="minorEastAsia" w:hAnsi="Arial" w:cs="Arial"/>
                <w:b w:val="0"/>
                <w:sz w:val="22"/>
                <w:szCs w:val="22"/>
                <w:lang w:val="en-GB" w:eastAsia="en-GB"/>
              </w:rPr>
            </w:pPr>
            <w:hyperlink w:anchor="_Toc33622380" w:history="1">
              <w:r w:rsidR="00E131AF" w:rsidRPr="00E4265B">
                <w:rPr>
                  <w:rStyle w:val="Hyperlink"/>
                  <w:rFonts w:ascii="Arial" w:hAnsi="Arial" w:cs="Arial"/>
                  <w:sz w:val="22"/>
                  <w:szCs w:val="22"/>
                  <w:lang w:val="en-GB"/>
                </w:rPr>
                <w:t>PART 4 – Calculating Capital Resources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_Toc33622380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61</w:t>
              </w:r>
              <w:r w:rsidR="00E131AF" w:rsidRPr="00E4265B">
                <w:rPr>
                  <w:rFonts w:ascii="Arial" w:hAnsi="Arial" w:cs="Arial"/>
                  <w:webHidden/>
                  <w:sz w:val="22"/>
                  <w:szCs w:val="22"/>
                </w:rPr>
                <w:fldChar w:fldCharType="end"/>
              </w:r>
            </w:hyperlink>
          </w:p>
          <w:p w14:paraId="4194BE32" w14:textId="6B5D265C" w:rsidR="00E131AF" w:rsidRPr="00E4265B" w:rsidRDefault="00B275AE">
            <w:pPr>
              <w:pStyle w:val="TOC3"/>
              <w:rPr>
                <w:rFonts w:ascii="Arial" w:eastAsiaTheme="minorEastAsia" w:hAnsi="Arial" w:cs="Arial"/>
                <w:sz w:val="22"/>
                <w:szCs w:val="22"/>
                <w:lang w:val="en-GB" w:eastAsia="en-GB"/>
              </w:rPr>
            </w:pPr>
            <w:hyperlink w:anchor="_Toc33622381" w:history="1">
              <w:r w:rsidR="00E131AF" w:rsidRPr="00E4265B">
                <w:rPr>
                  <w:rStyle w:val="Hyperlink"/>
                  <w:rFonts w:ascii="Arial" w:hAnsi="Arial" w:cs="Arial"/>
                  <w:sz w:val="22"/>
                  <w:szCs w:val="22"/>
                </w:rPr>
                <w:t>3.8</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Application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_Toc33622381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61</w:t>
              </w:r>
              <w:r w:rsidR="00E131AF" w:rsidRPr="00E4265B">
                <w:rPr>
                  <w:rFonts w:ascii="Arial" w:hAnsi="Arial" w:cs="Arial"/>
                  <w:webHidden/>
                  <w:sz w:val="22"/>
                  <w:szCs w:val="22"/>
                </w:rPr>
                <w:fldChar w:fldCharType="end"/>
              </w:r>
            </w:hyperlink>
          </w:p>
          <w:p w14:paraId="02514D13" w14:textId="54FE53E0" w:rsidR="00E131AF" w:rsidRPr="00E4265B" w:rsidRDefault="00B275AE">
            <w:pPr>
              <w:pStyle w:val="TOC3"/>
              <w:rPr>
                <w:rFonts w:ascii="Arial" w:eastAsiaTheme="minorEastAsia" w:hAnsi="Arial" w:cs="Arial"/>
                <w:sz w:val="22"/>
                <w:szCs w:val="22"/>
                <w:lang w:val="en-GB" w:eastAsia="en-GB"/>
              </w:rPr>
            </w:pPr>
            <w:hyperlink w:anchor="_Toc33622382" w:history="1">
              <w:r w:rsidR="00E131AF" w:rsidRPr="00E4265B">
                <w:rPr>
                  <w:rStyle w:val="Hyperlink"/>
                  <w:rFonts w:ascii="Arial" w:hAnsi="Arial" w:cs="Arial"/>
                  <w:sz w:val="22"/>
                  <w:szCs w:val="22"/>
                </w:rPr>
                <w:t>3.9</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Tier 1 capital</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_Toc33622382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61</w:t>
              </w:r>
              <w:r w:rsidR="00E131AF" w:rsidRPr="00E4265B">
                <w:rPr>
                  <w:rFonts w:ascii="Arial" w:hAnsi="Arial" w:cs="Arial"/>
                  <w:webHidden/>
                  <w:sz w:val="22"/>
                  <w:szCs w:val="22"/>
                </w:rPr>
                <w:fldChar w:fldCharType="end"/>
              </w:r>
            </w:hyperlink>
          </w:p>
          <w:p w14:paraId="04067B44" w14:textId="4DFA74EC" w:rsidR="00E131AF" w:rsidRPr="00E4265B" w:rsidRDefault="00B275AE">
            <w:pPr>
              <w:pStyle w:val="TOC3"/>
              <w:rPr>
                <w:rFonts w:ascii="Arial" w:eastAsiaTheme="minorEastAsia" w:hAnsi="Arial" w:cs="Arial"/>
                <w:sz w:val="22"/>
                <w:szCs w:val="22"/>
                <w:lang w:val="en-GB" w:eastAsia="en-GB"/>
              </w:rPr>
            </w:pPr>
            <w:hyperlink w:anchor="_Toc33622383" w:history="1">
              <w:r w:rsidR="00E131AF" w:rsidRPr="00E4265B">
                <w:rPr>
                  <w:rStyle w:val="Hyperlink"/>
                  <w:rFonts w:ascii="Arial" w:hAnsi="Arial" w:cs="Arial"/>
                  <w:sz w:val="22"/>
                  <w:szCs w:val="22"/>
                </w:rPr>
                <w:t>3.10</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Common Equity Tier 1 capital (CET1 Capital)</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_Toc33622383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61</w:t>
              </w:r>
              <w:r w:rsidR="00E131AF" w:rsidRPr="00E4265B">
                <w:rPr>
                  <w:rFonts w:ascii="Arial" w:hAnsi="Arial" w:cs="Arial"/>
                  <w:webHidden/>
                  <w:sz w:val="22"/>
                  <w:szCs w:val="22"/>
                </w:rPr>
                <w:fldChar w:fldCharType="end"/>
              </w:r>
            </w:hyperlink>
          </w:p>
          <w:p w14:paraId="07B39D60" w14:textId="53DD0842" w:rsidR="00E131AF" w:rsidRPr="00E4265B" w:rsidRDefault="00B275AE">
            <w:pPr>
              <w:pStyle w:val="TOC3"/>
              <w:rPr>
                <w:rFonts w:ascii="Arial" w:eastAsiaTheme="minorEastAsia" w:hAnsi="Arial" w:cs="Arial"/>
                <w:sz w:val="22"/>
                <w:szCs w:val="22"/>
                <w:lang w:val="en-GB" w:eastAsia="en-GB"/>
              </w:rPr>
            </w:pPr>
            <w:hyperlink w:anchor="_Toc33622384" w:history="1">
              <w:r w:rsidR="00E131AF" w:rsidRPr="00E4265B">
                <w:rPr>
                  <w:rStyle w:val="Hyperlink"/>
                  <w:rFonts w:ascii="Arial" w:hAnsi="Arial" w:cs="Arial"/>
                  <w:sz w:val="22"/>
                  <w:szCs w:val="22"/>
                </w:rPr>
                <w:t>3.11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Additional Tier 1 capital</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_Toc33622384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70</w:t>
              </w:r>
              <w:r w:rsidR="00E131AF" w:rsidRPr="00E4265B">
                <w:rPr>
                  <w:rFonts w:ascii="Arial" w:hAnsi="Arial" w:cs="Arial"/>
                  <w:webHidden/>
                  <w:sz w:val="22"/>
                  <w:szCs w:val="22"/>
                </w:rPr>
                <w:fldChar w:fldCharType="end"/>
              </w:r>
            </w:hyperlink>
          </w:p>
          <w:p w14:paraId="10A922CB" w14:textId="552BEF5A" w:rsidR="00E131AF" w:rsidRPr="00E4265B" w:rsidRDefault="00B275AE">
            <w:pPr>
              <w:pStyle w:val="TOC3"/>
              <w:rPr>
                <w:rFonts w:ascii="Arial" w:eastAsiaTheme="minorEastAsia" w:hAnsi="Arial" w:cs="Arial"/>
                <w:sz w:val="22"/>
                <w:szCs w:val="22"/>
                <w:lang w:val="en-GB" w:eastAsia="en-GB"/>
              </w:rPr>
            </w:pPr>
            <w:hyperlink w:anchor="_Toc33622385" w:history="1">
              <w:r w:rsidR="00E131AF" w:rsidRPr="00E4265B">
                <w:rPr>
                  <w:rStyle w:val="Hyperlink"/>
                  <w:rFonts w:ascii="Arial" w:hAnsi="Arial" w:cs="Arial"/>
                  <w:sz w:val="22"/>
                  <w:szCs w:val="22"/>
                </w:rPr>
                <w:t>3.12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Tier 2 capital</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_Toc33622385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76</w:t>
              </w:r>
              <w:r w:rsidR="00E131AF" w:rsidRPr="00E4265B">
                <w:rPr>
                  <w:rFonts w:ascii="Arial" w:hAnsi="Arial" w:cs="Arial"/>
                  <w:webHidden/>
                  <w:sz w:val="22"/>
                  <w:szCs w:val="22"/>
                </w:rPr>
                <w:fldChar w:fldCharType="end"/>
              </w:r>
            </w:hyperlink>
          </w:p>
          <w:p w14:paraId="43A86F6F" w14:textId="7CB2FB13" w:rsidR="00E131AF" w:rsidRPr="00E4265B" w:rsidRDefault="00B275AE">
            <w:pPr>
              <w:pStyle w:val="TOC3"/>
              <w:rPr>
                <w:rFonts w:ascii="Arial" w:eastAsiaTheme="minorEastAsia" w:hAnsi="Arial" w:cs="Arial"/>
                <w:sz w:val="22"/>
                <w:szCs w:val="22"/>
                <w:lang w:val="en-GB" w:eastAsia="en-GB"/>
              </w:rPr>
            </w:pPr>
            <w:hyperlink w:anchor="_Toc33622386" w:history="1">
              <w:r w:rsidR="00E131AF" w:rsidRPr="00E4265B">
                <w:rPr>
                  <w:rStyle w:val="Hyperlink"/>
                  <w:rFonts w:ascii="Arial" w:hAnsi="Arial" w:cs="Arial"/>
                  <w:sz w:val="22"/>
                  <w:szCs w:val="22"/>
                </w:rPr>
                <w:t>3.13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Minority interests and instruments issued by Subsidiaries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_Toc33622386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81</w:t>
              </w:r>
              <w:r w:rsidR="00E131AF" w:rsidRPr="00E4265B">
                <w:rPr>
                  <w:rFonts w:ascii="Arial" w:hAnsi="Arial" w:cs="Arial"/>
                  <w:webHidden/>
                  <w:sz w:val="22"/>
                  <w:szCs w:val="22"/>
                </w:rPr>
                <w:fldChar w:fldCharType="end"/>
              </w:r>
            </w:hyperlink>
          </w:p>
          <w:p w14:paraId="2FC7D648" w14:textId="1BFE38A0" w:rsidR="00E131AF" w:rsidRPr="00E4265B" w:rsidRDefault="00B275AE">
            <w:pPr>
              <w:pStyle w:val="TOC3"/>
              <w:rPr>
                <w:rFonts w:ascii="Arial" w:eastAsiaTheme="minorEastAsia" w:hAnsi="Arial" w:cs="Arial"/>
                <w:sz w:val="22"/>
                <w:szCs w:val="22"/>
                <w:lang w:val="en-GB" w:eastAsia="en-GB"/>
              </w:rPr>
            </w:pPr>
            <w:hyperlink w:anchor="_Toc33622387" w:history="1">
              <w:r w:rsidR="00E131AF" w:rsidRPr="00E4265B">
                <w:rPr>
                  <w:rStyle w:val="Hyperlink"/>
                  <w:rFonts w:ascii="Arial" w:hAnsi="Arial" w:cs="Arial"/>
                  <w:sz w:val="22"/>
                  <w:szCs w:val="22"/>
                </w:rPr>
                <w:t>3.14</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Qualifying Holdings outside the financial sector</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_Toc33622387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84</w:t>
              </w:r>
              <w:r w:rsidR="00E131AF" w:rsidRPr="00E4265B">
                <w:rPr>
                  <w:rFonts w:ascii="Arial" w:hAnsi="Arial" w:cs="Arial"/>
                  <w:webHidden/>
                  <w:sz w:val="22"/>
                  <w:szCs w:val="22"/>
                </w:rPr>
                <w:fldChar w:fldCharType="end"/>
              </w:r>
            </w:hyperlink>
          </w:p>
          <w:p w14:paraId="207463A5" w14:textId="5D8F1A2A" w:rsidR="00E131AF" w:rsidRPr="00E4265B" w:rsidRDefault="00B275AE">
            <w:pPr>
              <w:pStyle w:val="TOC3"/>
              <w:rPr>
                <w:rFonts w:ascii="Arial" w:eastAsiaTheme="minorEastAsia" w:hAnsi="Arial" w:cs="Arial"/>
                <w:sz w:val="22"/>
                <w:szCs w:val="22"/>
                <w:lang w:val="en-GB" w:eastAsia="en-GB"/>
              </w:rPr>
            </w:pPr>
            <w:hyperlink w:anchor="_Toc33622388" w:history="1">
              <w:r w:rsidR="00E131AF" w:rsidRPr="00E4265B">
                <w:rPr>
                  <w:rStyle w:val="Hyperlink"/>
                  <w:rFonts w:ascii="Arial" w:hAnsi="Arial" w:cs="Arial"/>
                  <w:sz w:val="22"/>
                  <w:szCs w:val="22"/>
                </w:rPr>
                <w:t>3.15</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Calculation of Capital Resources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_Toc33622388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85</w:t>
              </w:r>
              <w:r w:rsidR="00E131AF" w:rsidRPr="00E4265B">
                <w:rPr>
                  <w:rFonts w:ascii="Arial" w:hAnsi="Arial" w:cs="Arial"/>
                  <w:webHidden/>
                  <w:sz w:val="22"/>
                  <w:szCs w:val="22"/>
                </w:rPr>
                <w:fldChar w:fldCharType="end"/>
              </w:r>
            </w:hyperlink>
          </w:p>
          <w:p w14:paraId="2C1F8277" w14:textId="4C1BAB38" w:rsidR="00E131AF" w:rsidRPr="00E4265B" w:rsidRDefault="00B275AE">
            <w:pPr>
              <w:pStyle w:val="TOC3"/>
              <w:rPr>
                <w:rFonts w:ascii="Arial" w:eastAsiaTheme="minorEastAsia" w:hAnsi="Arial" w:cs="Arial"/>
                <w:sz w:val="22"/>
                <w:szCs w:val="22"/>
                <w:lang w:val="en-GB" w:eastAsia="en-GB"/>
              </w:rPr>
            </w:pPr>
            <w:hyperlink w:anchor="_Toc33622389" w:history="1">
              <w:r w:rsidR="00E131AF" w:rsidRPr="00E4265B">
                <w:rPr>
                  <w:rStyle w:val="Hyperlink"/>
                  <w:rFonts w:ascii="Arial" w:hAnsi="Arial" w:cs="Arial"/>
                  <w:sz w:val="22"/>
                  <w:szCs w:val="22"/>
                </w:rPr>
                <w:t>3.16</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Adequate Capital Resources for Categories 1, 2, 3A and 5</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_Toc33622389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86</w:t>
              </w:r>
              <w:r w:rsidR="00E131AF" w:rsidRPr="00E4265B">
                <w:rPr>
                  <w:rFonts w:ascii="Arial" w:hAnsi="Arial" w:cs="Arial"/>
                  <w:webHidden/>
                  <w:sz w:val="22"/>
                  <w:szCs w:val="22"/>
                </w:rPr>
                <w:fldChar w:fldCharType="end"/>
              </w:r>
            </w:hyperlink>
          </w:p>
          <w:p w14:paraId="4FDCDAAF" w14:textId="5E1FB86D" w:rsidR="00E131AF" w:rsidRPr="00E4265B" w:rsidRDefault="00B275AE">
            <w:pPr>
              <w:pStyle w:val="TOC3"/>
              <w:rPr>
                <w:rFonts w:ascii="Arial" w:eastAsiaTheme="minorEastAsia" w:hAnsi="Arial" w:cs="Arial"/>
                <w:sz w:val="22"/>
                <w:szCs w:val="22"/>
                <w:lang w:val="en-GB" w:eastAsia="en-GB"/>
              </w:rPr>
            </w:pPr>
            <w:hyperlink w:anchor="_Toc33622390" w:history="1">
              <w:r w:rsidR="00E131AF" w:rsidRPr="00E4265B">
                <w:rPr>
                  <w:rStyle w:val="Hyperlink"/>
                  <w:rFonts w:ascii="Arial" w:hAnsi="Arial" w:cs="Arial"/>
                  <w:sz w:val="22"/>
                  <w:szCs w:val="22"/>
                </w:rPr>
                <w:t>3.17</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Capital Conservation Buffer</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_Toc33622390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87</w:t>
              </w:r>
              <w:r w:rsidR="00E131AF" w:rsidRPr="00E4265B">
                <w:rPr>
                  <w:rFonts w:ascii="Arial" w:hAnsi="Arial" w:cs="Arial"/>
                  <w:webHidden/>
                  <w:sz w:val="22"/>
                  <w:szCs w:val="22"/>
                </w:rPr>
                <w:fldChar w:fldCharType="end"/>
              </w:r>
            </w:hyperlink>
          </w:p>
          <w:p w14:paraId="66BE420A" w14:textId="63010A67" w:rsidR="00E131AF" w:rsidRPr="00E4265B" w:rsidRDefault="00B275AE">
            <w:pPr>
              <w:pStyle w:val="TOC3"/>
              <w:rPr>
                <w:rFonts w:ascii="Arial" w:eastAsiaTheme="minorEastAsia" w:hAnsi="Arial" w:cs="Arial"/>
                <w:sz w:val="22"/>
                <w:szCs w:val="22"/>
                <w:lang w:val="en-GB" w:eastAsia="en-GB"/>
              </w:rPr>
            </w:pPr>
            <w:hyperlink w:anchor="_Toc33622391" w:history="1">
              <w:r w:rsidR="00E131AF" w:rsidRPr="00E4265B">
                <w:rPr>
                  <w:rStyle w:val="Hyperlink"/>
                  <w:rFonts w:ascii="Arial" w:hAnsi="Arial" w:cs="Arial"/>
                  <w:sz w:val="22"/>
                  <w:szCs w:val="22"/>
                </w:rPr>
                <w:t>3.18</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Countercyclical Capital Buffer</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_Toc33622391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87</w:t>
              </w:r>
              <w:r w:rsidR="00E131AF" w:rsidRPr="00E4265B">
                <w:rPr>
                  <w:rFonts w:ascii="Arial" w:hAnsi="Arial" w:cs="Arial"/>
                  <w:webHidden/>
                  <w:sz w:val="22"/>
                  <w:szCs w:val="22"/>
                </w:rPr>
                <w:fldChar w:fldCharType="end"/>
              </w:r>
            </w:hyperlink>
          </w:p>
          <w:p w14:paraId="2BF86B00" w14:textId="1E6BBFE3" w:rsidR="00E131AF" w:rsidRPr="00E4265B" w:rsidRDefault="00B275AE">
            <w:pPr>
              <w:pStyle w:val="TOC3"/>
              <w:rPr>
                <w:rFonts w:ascii="Arial" w:eastAsiaTheme="minorEastAsia" w:hAnsi="Arial" w:cs="Arial"/>
                <w:sz w:val="22"/>
                <w:szCs w:val="22"/>
                <w:lang w:val="en-GB" w:eastAsia="en-GB"/>
              </w:rPr>
            </w:pPr>
            <w:hyperlink w:anchor="_Toc33622392" w:history="1">
              <w:r w:rsidR="00E131AF" w:rsidRPr="00E4265B">
                <w:rPr>
                  <w:rStyle w:val="Hyperlink"/>
                  <w:rFonts w:ascii="Arial" w:hAnsi="Arial" w:cs="Arial"/>
                  <w:sz w:val="22"/>
                  <w:szCs w:val="22"/>
                </w:rPr>
                <w:t>3.19</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Combined Buffer</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_Toc33622392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89</w:t>
              </w:r>
              <w:r w:rsidR="00E131AF" w:rsidRPr="00E4265B">
                <w:rPr>
                  <w:rFonts w:ascii="Arial" w:hAnsi="Arial" w:cs="Arial"/>
                  <w:webHidden/>
                  <w:sz w:val="22"/>
                  <w:szCs w:val="22"/>
                </w:rPr>
                <w:fldChar w:fldCharType="end"/>
              </w:r>
            </w:hyperlink>
          </w:p>
          <w:p w14:paraId="742DB205" w14:textId="59CCE2C6" w:rsidR="00E131AF" w:rsidRPr="00E4265B" w:rsidRDefault="00B275AE">
            <w:pPr>
              <w:pStyle w:val="TOC3"/>
              <w:rPr>
                <w:rFonts w:ascii="Arial" w:eastAsiaTheme="minorEastAsia" w:hAnsi="Arial" w:cs="Arial"/>
                <w:sz w:val="22"/>
                <w:szCs w:val="22"/>
                <w:lang w:val="en-GB" w:eastAsia="en-GB"/>
              </w:rPr>
            </w:pPr>
            <w:hyperlink w:anchor="_Toc33622393" w:history="1">
              <w:r w:rsidR="00E131AF" w:rsidRPr="00E4265B">
                <w:rPr>
                  <w:rStyle w:val="Hyperlink"/>
                  <w:rFonts w:ascii="Arial" w:hAnsi="Arial" w:cs="Arial"/>
                  <w:sz w:val="22"/>
                  <w:szCs w:val="22"/>
                </w:rPr>
                <w:t>3.20</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Adequate Capital Resources For Categories 3B, 3C and 4</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_Toc33622393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93</w:t>
              </w:r>
              <w:r w:rsidR="00E131AF" w:rsidRPr="00E4265B">
                <w:rPr>
                  <w:rFonts w:ascii="Arial" w:hAnsi="Arial" w:cs="Arial"/>
                  <w:webHidden/>
                  <w:sz w:val="22"/>
                  <w:szCs w:val="22"/>
                </w:rPr>
                <w:fldChar w:fldCharType="end"/>
              </w:r>
            </w:hyperlink>
          </w:p>
          <w:p w14:paraId="18134D8C" w14:textId="2DAA47E0" w:rsidR="00E131AF" w:rsidRPr="00E4265B" w:rsidRDefault="00B275AE">
            <w:pPr>
              <w:pStyle w:val="TOC2"/>
              <w:rPr>
                <w:rFonts w:ascii="Arial" w:eastAsiaTheme="minorEastAsia" w:hAnsi="Arial" w:cs="Arial"/>
                <w:b w:val="0"/>
                <w:sz w:val="22"/>
                <w:szCs w:val="22"/>
                <w:lang w:val="en-GB" w:eastAsia="en-GB"/>
              </w:rPr>
            </w:pPr>
            <w:hyperlink w:anchor="_Toc33622394" w:history="1">
              <w:r w:rsidR="00E131AF" w:rsidRPr="00E4265B">
                <w:rPr>
                  <w:rStyle w:val="Hyperlink"/>
                  <w:rFonts w:ascii="Arial" w:hAnsi="Arial" w:cs="Arial"/>
                  <w:sz w:val="22"/>
                  <w:szCs w:val="22"/>
                  <w:lang w:val="en-GB"/>
                </w:rPr>
                <w:t>PART 5 - Leverage</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_Toc33622394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93</w:t>
              </w:r>
              <w:r w:rsidR="00E131AF" w:rsidRPr="00E4265B">
                <w:rPr>
                  <w:rFonts w:ascii="Arial" w:hAnsi="Arial" w:cs="Arial"/>
                  <w:webHidden/>
                  <w:sz w:val="22"/>
                  <w:szCs w:val="22"/>
                </w:rPr>
                <w:fldChar w:fldCharType="end"/>
              </w:r>
            </w:hyperlink>
          </w:p>
          <w:p w14:paraId="3792C4B5" w14:textId="6769BF3D" w:rsidR="00E131AF" w:rsidRPr="00E4265B" w:rsidRDefault="00B275AE">
            <w:pPr>
              <w:pStyle w:val="TOC3"/>
              <w:rPr>
                <w:rFonts w:ascii="Arial" w:eastAsiaTheme="minorEastAsia" w:hAnsi="Arial" w:cs="Arial"/>
                <w:sz w:val="22"/>
                <w:szCs w:val="22"/>
                <w:lang w:val="en-GB" w:eastAsia="en-GB"/>
              </w:rPr>
            </w:pPr>
            <w:hyperlink w:anchor="_Toc33622395" w:history="1">
              <w:r w:rsidR="00E131AF" w:rsidRPr="00E4265B">
                <w:rPr>
                  <w:rStyle w:val="Hyperlink"/>
                  <w:rFonts w:ascii="Arial" w:hAnsi="Arial" w:cs="Arial"/>
                  <w:sz w:val="22"/>
                  <w:szCs w:val="22"/>
                </w:rPr>
                <w:t>3.21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The Leverage Ratio</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_Toc33622395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93</w:t>
              </w:r>
              <w:r w:rsidR="00E131AF" w:rsidRPr="00E4265B">
                <w:rPr>
                  <w:rFonts w:ascii="Arial" w:hAnsi="Arial" w:cs="Arial"/>
                  <w:webHidden/>
                  <w:sz w:val="22"/>
                  <w:szCs w:val="22"/>
                </w:rPr>
                <w:fldChar w:fldCharType="end"/>
              </w:r>
            </w:hyperlink>
          </w:p>
          <w:p w14:paraId="14912D39" w14:textId="7E3D66D6" w:rsidR="00E131AF" w:rsidRPr="00E4265B" w:rsidRDefault="00B275AE">
            <w:pPr>
              <w:pStyle w:val="TOC1"/>
              <w:rPr>
                <w:rFonts w:ascii="Arial" w:eastAsiaTheme="minorEastAsia" w:hAnsi="Arial" w:cs="Arial"/>
                <w:b w:val="0"/>
                <w:noProof/>
                <w:sz w:val="22"/>
                <w:szCs w:val="22"/>
                <w:lang w:val="en-GB" w:eastAsia="en-GB"/>
              </w:rPr>
            </w:pPr>
            <w:hyperlink w:anchor="_Toc33622396" w:history="1">
              <w:r w:rsidR="00E131AF" w:rsidRPr="00E4265B">
                <w:rPr>
                  <w:rStyle w:val="Hyperlink"/>
                  <w:rFonts w:ascii="Arial" w:hAnsi="Arial" w:cs="Arial"/>
                  <w:noProof/>
                  <w:sz w:val="22"/>
                  <w:szCs w:val="22"/>
                  <w:lang w:val="en-GB"/>
                </w:rPr>
                <w:t>4</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CREDIT RISK</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_Toc33622396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96</w:t>
              </w:r>
              <w:r w:rsidR="00E131AF" w:rsidRPr="00E4265B">
                <w:rPr>
                  <w:rFonts w:ascii="Arial" w:hAnsi="Arial" w:cs="Arial"/>
                  <w:noProof/>
                  <w:webHidden/>
                  <w:sz w:val="22"/>
                  <w:szCs w:val="22"/>
                </w:rPr>
                <w:fldChar w:fldCharType="end"/>
              </w:r>
            </w:hyperlink>
          </w:p>
          <w:p w14:paraId="2080928A" w14:textId="37099F21" w:rsidR="00E131AF" w:rsidRPr="00E4265B" w:rsidRDefault="00B275AE">
            <w:pPr>
              <w:pStyle w:val="TOC2"/>
              <w:rPr>
                <w:rFonts w:ascii="Arial" w:eastAsiaTheme="minorEastAsia" w:hAnsi="Arial" w:cs="Arial"/>
                <w:b w:val="0"/>
                <w:sz w:val="22"/>
                <w:szCs w:val="22"/>
                <w:lang w:val="en-GB" w:eastAsia="en-GB"/>
              </w:rPr>
            </w:pPr>
            <w:hyperlink w:anchor="_Toc33622397" w:history="1">
              <w:r w:rsidR="00E131AF" w:rsidRPr="00E4265B">
                <w:rPr>
                  <w:rStyle w:val="Hyperlink"/>
                  <w:rFonts w:ascii="Arial" w:hAnsi="Arial" w:cs="Arial"/>
                  <w:sz w:val="22"/>
                  <w:szCs w:val="22"/>
                  <w:lang w:val="en-GB"/>
                </w:rPr>
                <w:t>PART 1 – Application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_Toc33622397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96</w:t>
              </w:r>
              <w:r w:rsidR="00E131AF" w:rsidRPr="00E4265B">
                <w:rPr>
                  <w:rFonts w:ascii="Arial" w:hAnsi="Arial" w:cs="Arial"/>
                  <w:webHidden/>
                  <w:sz w:val="22"/>
                  <w:szCs w:val="22"/>
                </w:rPr>
                <w:fldChar w:fldCharType="end"/>
              </w:r>
            </w:hyperlink>
          </w:p>
          <w:p w14:paraId="7F827FC3" w14:textId="0412AB15" w:rsidR="00E131AF" w:rsidRPr="00E4265B" w:rsidRDefault="00B275AE">
            <w:pPr>
              <w:pStyle w:val="TOC3"/>
              <w:rPr>
                <w:rFonts w:ascii="Arial" w:eastAsiaTheme="minorEastAsia" w:hAnsi="Arial" w:cs="Arial"/>
                <w:sz w:val="22"/>
                <w:szCs w:val="22"/>
                <w:lang w:val="en-GB" w:eastAsia="en-GB"/>
              </w:rPr>
            </w:pPr>
            <w:hyperlink w:anchor="_Toc33622398" w:history="1">
              <w:r w:rsidR="00E131AF" w:rsidRPr="00E4265B">
                <w:rPr>
                  <w:rStyle w:val="Hyperlink"/>
                  <w:rFonts w:ascii="Arial" w:hAnsi="Arial" w:cs="Arial"/>
                  <w:sz w:val="22"/>
                  <w:szCs w:val="22"/>
                </w:rPr>
                <w:t>4.1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Application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_Toc33622398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96</w:t>
              </w:r>
              <w:r w:rsidR="00E131AF" w:rsidRPr="00E4265B">
                <w:rPr>
                  <w:rFonts w:ascii="Arial" w:hAnsi="Arial" w:cs="Arial"/>
                  <w:webHidden/>
                  <w:sz w:val="22"/>
                  <w:szCs w:val="22"/>
                </w:rPr>
                <w:fldChar w:fldCharType="end"/>
              </w:r>
            </w:hyperlink>
          </w:p>
          <w:p w14:paraId="4C6C4E8E" w14:textId="5B460617" w:rsidR="00E131AF" w:rsidRPr="00E4265B" w:rsidRDefault="00B275AE">
            <w:pPr>
              <w:pStyle w:val="TOC2"/>
              <w:rPr>
                <w:rFonts w:ascii="Arial" w:eastAsiaTheme="minorEastAsia" w:hAnsi="Arial" w:cs="Arial"/>
                <w:b w:val="0"/>
                <w:sz w:val="22"/>
                <w:szCs w:val="22"/>
                <w:lang w:val="en-GB" w:eastAsia="en-GB"/>
              </w:rPr>
            </w:pPr>
            <w:hyperlink w:anchor="_Toc33622399" w:history="1">
              <w:r w:rsidR="00E131AF" w:rsidRPr="00E4265B">
                <w:rPr>
                  <w:rStyle w:val="Hyperlink"/>
                  <w:rFonts w:ascii="Arial" w:hAnsi="Arial" w:cs="Arial"/>
                  <w:sz w:val="22"/>
                  <w:szCs w:val="22"/>
                  <w:lang w:val="en-GB"/>
                </w:rPr>
                <w:t>PART 2 - Credit Risk systems and controls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_Toc33622399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97</w:t>
              </w:r>
              <w:r w:rsidR="00E131AF" w:rsidRPr="00E4265B">
                <w:rPr>
                  <w:rFonts w:ascii="Arial" w:hAnsi="Arial" w:cs="Arial"/>
                  <w:webHidden/>
                  <w:sz w:val="22"/>
                  <w:szCs w:val="22"/>
                </w:rPr>
                <w:fldChar w:fldCharType="end"/>
              </w:r>
            </w:hyperlink>
          </w:p>
          <w:p w14:paraId="720E7B05" w14:textId="32DE7442" w:rsidR="00E131AF" w:rsidRPr="00E4265B" w:rsidRDefault="00B275AE">
            <w:pPr>
              <w:pStyle w:val="TOC3"/>
              <w:rPr>
                <w:rFonts w:ascii="Arial" w:eastAsiaTheme="minorEastAsia" w:hAnsi="Arial" w:cs="Arial"/>
                <w:sz w:val="22"/>
                <w:szCs w:val="22"/>
                <w:lang w:val="en-GB" w:eastAsia="en-GB"/>
              </w:rPr>
            </w:pPr>
            <w:hyperlink w:anchor="_Toc33622400" w:history="1">
              <w:r w:rsidR="00E131AF" w:rsidRPr="00E4265B">
                <w:rPr>
                  <w:rStyle w:val="Hyperlink"/>
                  <w:rFonts w:ascii="Arial" w:hAnsi="Arial" w:cs="Arial"/>
                  <w:sz w:val="22"/>
                  <w:szCs w:val="22"/>
                </w:rPr>
                <w:t>4.2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Application of this part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_Toc33622400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97</w:t>
              </w:r>
              <w:r w:rsidR="00E131AF" w:rsidRPr="00E4265B">
                <w:rPr>
                  <w:rFonts w:ascii="Arial" w:hAnsi="Arial" w:cs="Arial"/>
                  <w:webHidden/>
                  <w:sz w:val="22"/>
                  <w:szCs w:val="22"/>
                </w:rPr>
                <w:fldChar w:fldCharType="end"/>
              </w:r>
            </w:hyperlink>
          </w:p>
          <w:p w14:paraId="30925C10" w14:textId="091D93DF" w:rsidR="00E131AF" w:rsidRPr="00E4265B" w:rsidRDefault="00B275AE">
            <w:pPr>
              <w:pStyle w:val="TOC3"/>
              <w:rPr>
                <w:rFonts w:ascii="Arial" w:eastAsiaTheme="minorEastAsia" w:hAnsi="Arial" w:cs="Arial"/>
                <w:sz w:val="22"/>
                <w:szCs w:val="22"/>
                <w:lang w:val="en-GB" w:eastAsia="en-GB"/>
              </w:rPr>
            </w:pPr>
            <w:hyperlink w:anchor="_Toc33622401" w:history="1">
              <w:r w:rsidR="00E131AF" w:rsidRPr="00E4265B">
                <w:rPr>
                  <w:rStyle w:val="Hyperlink"/>
                  <w:rFonts w:ascii="Arial" w:hAnsi="Arial" w:cs="Arial"/>
                  <w:sz w:val="22"/>
                  <w:szCs w:val="22"/>
                </w:rPr>
                <w:t>4.3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Credit Risk management systems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_Toc33622401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97</w:t>
              </w:r>
              <w:r w:rsidR="00E131AF" w:rsidRPr="00E4265B">
                <w:rPr>
                  <w:rFonts w:ascii="Arial" w:hAnsi="Arial" w:cs="Arial"/>
                  <w:webHidden/>
                  <w:sz w:val="22"/>
                  <w:szCs w:val="22"/>
                </w:rPr>
                <w:fldChar w:fldCharType="end"/>
              </w:r>
            </w:hyperlink>
          </w:p>
          <w:p w14:paraId="79E2A55B" w14:textId="7E0B3E77" w:rsidR="00E131AF" w:rsidRPr="00E4265B" w:rsidRDefault="00B275AE">
            <w:pPr>
              <w:pStyle w:val="TOC3"/>
              <w:rPr>
                <w:rFonts w:ascii="Arial" w:eastAsiaTheme="minorEastAsia" w:hAnsi="Arial" w:cs="Arial"/>
                <w:sz w:val="22"/>
                <w:szCs w:val="22"/>
                <w:lang w:val="en-GB" w:eastAsia="en-GB"/>
              </w:rPr>
            </w:pPr>
            <w:hyperlink w:anchor="_Toc33622402" w:history="1">
              <w:r w:rsidR="00E131AF" w:rsidRPr="00E4265B">
                <w:rPr>
                  <w:rStyle w:val="Hyperlink"/>
                  <w:rFonts w:ascii="Arial" w:hAnsi="Arial" w:cs="Arial"/>
                  <w:sz w:val="22"/>
                  <w:szCs w:val="22"/>
                </w:rPr>
                <w:t>4.4</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Credit Risk strategy, policy, and procedures manual</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_Toc33622402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100</w:t>
              </w:r>
              <w:r w:rsidR="00E131AF" w:rsidRPr="00E4265B">
                <w:rPr>
                  <w:rFonts w:ascii="Arial" w:hAnsi="Arial" w:cs="Arial"/>
                  <w:webHidden/>
                  <w:sz w:val="22"/>
                  <w:szCs w:val="22"/>
                </w:rPr>
                <w:fldChar w:fldCharType="end"/>
              </w:r>
            </w:hyperlink>
          </w:p>
          <w:p w14:paraId="06EE8235" w14:textId="10518E96" w:rsidR="00E131AF" w:rsidRPr="00E4265B" w:rsidRDefault="00B275AE">
            <w:pPr>
              <w:pStyle w:val="TOC3"/>
              <w:rPr>
                <w:rFonts w:ascii="Arial" w:eastAsiaTheme="minorEastAsia" w:hAnsi="Arial" w:cs="Arial"/>
                <w:sz w:val="22"/>
                <w:szCs w:val="22"/>
                <w:lang w:val="en-GB" w:eastAsia="en-GB"/>
              </w:rPr>
            </w:pPr>
            <w:hyperlink w:anchor="_Toc33622403" w:history="1">
              <w:r w:rsidR="00E131AF" w:rsidRPr="00E4265B">
                <w:rPr>
                  <w:rStyle w:val="Hyperlink"/>
                  <w:rFonts w:ascii="Arial" w:hAnsi="Arial" w:cs="Arial"/>
                  <w:sz w:val="22"/>
                  <w:szCs w:val="22"/>
                </w:rPr>
                <w:t>4.5</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Processes for credit assessment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_Toc33622403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105</w:t>
              </w:r>
              <w:r w:rsidR="00E131AF" w:rsidRPr="00E4265B">
                <w:rPr>
                  <w:rFonts w:ascii="Arial" w:hAnsi="Arial" w:cs="Arial"/>
                  <w:webHidden/>
                  <w:sz w:val="22"/>
                  <w:szCs w:val="22"/>
                </w:rPr>
                <w:fldChar w:fldCharType="end"/>
              </w:r>
            </w:hyperlink>
          </w:p>
          <w:p w14:paraId="0705DF55" w14:textId="291560CB" w:rsidR="00E131AF" w:rsidRPr="00E4265B" w:rsidRDefault="00B275AE">
            <w:pPr>
              <w:pStyle w:val="TOC2"/>
              <w:rPr>
                <w:rFonts w:ascii="Arial" w:eastAsiaTheme="minorEastAsia" w:hAnsi="Arial" w:cs="Arial"/>
                <w:b w:val="0"/>
                <w:sz w:val="22"/>
                <w:szCs w:val="22"/>
                <w:lang w:val="en-GB" w:eastAsia="en-GB"/>
              </w:rPr>
            </w:pPr>
            <w:hyperlink w:anchor="_Toc33622404" w:history="1">
              <w:r w:rsidR="00E131AF" w:rsidRPr="00E4265B">
                <w:rPr>
                  <w:rStyle w:val="Hyperlink"/>
                  <w:rFonts w:ascii="Arial" w:hAnsi="Arial" w:cs="Arial"/>
                  <w:sz w:val="22"/>
                  <w:szCs w:val="22"/>
                  <w:lang w:val="en-GB"/>
                </w:rPr>
                <w:t>PART 3 - CRCOM</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_Toc33622404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108</w:t>
              </w:r>
              <w:r w:rsidR="00E131AF" w:rsidRPr="00E4265B">
                <w:rPr>
                  <w:rFonts w:ascii="Arial" w:hAnsi="Arial" w:cs="Arial"/>
                  <w:webHidden/>
                  <w:sz w:val="22"/>
                  <w:szCs w:val="22"/>
                </w:rPr>
                <w:fldChar w:fldCharType="end"/>
              </w:r>
            </w:hyperlink>
          </w:p>
          <w:p w14:paraId="07557C93" w14:textId="0A555BA2" w:rsidR="00E131AF" w:rsidRPr="00E4265B" w:rsidRDefault="00B275AE">
            <w:pPr>
              <w:pStyle w:val="TOC3"/>
              <w:rPr>
                <w:rFonts w:ascii="Arial" w:eastAsiaTheme="minorEastAsia" w:hAnsi="Arial" w:cs="Arial"/>
                <w:sz w:val="22"/>
                <w:szCs w:val="22"/>
                <w:lang w:val="en-GB" w:eastAsia="en-GB"/>
              </w:rPr>
            </w:pPr>
            <w:hyperlink w:anchor="_Toc33622405" w:history="1">
              <w:r w:rsidR="00E131AF" w:rsidRPr="00E4265B">
                <w:rPr>
                  <w:rStyle w:val="Hyperlink"/>
                  <w:rFonts w:ascii="Arial" w:hAnsi="Arial" w:cs="Arial"/>
                  <w:sz w:val="22"/>
                  <w:szCs w:val="22"/>
                </w:rPr>
                <w:t>4.6</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Application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_Toc33622405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108</w:t>
              </w:r>
              <w:r w:rsidR="00E131AF" w:rsidRPr="00E4265B">
                <w:rPr>
                  <w:rFonts w:ascii="Arial" w:hAnsi="Arial" w:cs="Arial"/>
                  <w:webHidden/>
                  <w:sz w:val="22"/>
                  <w:szCs w:val="22"/>
                </w:rPr>
                <w:fldChar w:fldCharType="end"/>
              </w:r>
            </w:hyperlink>
          </w:p>
          <w:p w14:paraId="7598CBD2" w14:textId="7A1CD597" w:rsidR="00E131AF" w:rsidRPr="00E4265B" w:rsidRDefault="00B275AE">
            <w:pPr>
              <w:pStyle w:val="TOC3"/>
              <w:rPr>
                <w:rFonts w:ascii="Arial" w:eastAsiaTheme="minorEastAsia" w:hAnsi="Arial" w:cs="Arial"/>
                <w:sz w:val="22"/>
                <w:szCs w:val="22"/>
                <w:lang w:val="en-GB" w:eastAsia="en-GB"/>
              </w:rPr>
            </w:pPr>
            <w:hyperlink w:anchor="_Toc33622406" w:history="1">
              <w:r w:rsidR="00E131AF" w:rsidRPr="00E4265B">
                <w:rPr>
                  <w:rStyle w:val="Hyperlink"/>
                  <w:rFonts w:ascii="Arial" w:hAnsi="Arial" w:cs="Arial"/>
                  <w:sz w:val="22"/>
                  <w:szCs w:val="22"/>
                </w:rPr>
                <w:t>4.7</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Simplified Approach</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_Toc33622406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108</w:t>
              </w:r>
              <w:r w:rsidR="00E131AF" w:rsidRPr="00E4265B">
                <w:rPr>
                  <w:rFonts w:ascii="Arial" w:hAnsi="Arial" w:cs="Arial"/>
                  <w:webHidden/>
                  <w:sz w:val="22"/>
                  <w:szCs w:val="22"/>
                </w:rPr>
                <w:fldChar w:fldCharType="end"/>
              </w:r>
            </w:hyperlink>
          </w:p>
          <w:p w14:paraId="01D02EE1" w14:textId="559FAD0F" w:rsidR="00E131AF" w:rsidRPr="00E4265B" w:rsidRDefault="00B275AE">
            <w:pPr>
              <w:pStyle w:val="TOC3"/>
              <w:rPr>
                <w:rFonts w:ascii="Arial" w:eastAsiaTheme="minorEastAsia" w:hAnsi="Arial" w:cs="Arial"/>
                <w:sz w:val="22"/>
                <w:szCs w:val="22"/>
                <w:lang w:val="en-GB" w:eastAsia="en-GB"/>
              </w:rPr>
            </w:pPr>
            <w:hyperlink w:anchor="_Toc33622407" w:history="1">
              <w:r w:rsidR="00E131AF" w:rsidRPr="00E4265B">
                <w:rPr>
                  <w:rStyle w:val="Hyperlink"/>
                  <w:rFonts w:ascii="Arial" w:hAnsi="Arial" w:cs="Arial"/>
                  <w:sz w:val="22"/>
                  <w:szCs w:val="22"/>
                </w:rPr>
                <w:t>4.8</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Calculation of the CRCOM</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_Toc33622407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109</w:t>
              </w:r>
              <w:r w:rsidR="00E131AF" w:rsidRPr="00E4265B">
                <w:rPr>
                  <w:rFonts w:ascii="Arial" w:hAnsi="Arial" w:cs="Arial"/>
                  <w:webHidden/>
                  <w:sz w:val="22"/>
                  <w:szCs w:val="22"/>
                </w:rPr>
                <w:fldChar w:fldCharType="end"/>
              </w:r>
            </w:hyperlink>
          </w:p>
          <w:p w14:paraId="2AA31D52" w14:textId="60D44ADA" w:rsidR="00E131AF" w:rsidRPr="00E4265B" w:rsidRDefault="00B275AE">
            <w:pPr>
              <w:pStyle w:val="TOC3"/>
              <w:rPr>
                <w:rFonts w:ascii="Arial" w:eastAsiaTheme="minorEastAsia" w:hAnsi="Arial" w:cs="Arial"/>
                <w:sz w:val="22"/>
                <w:szCs w:val="22"/>
                <w:lang w:val="en-GB" w:eastAsia="en-GB"/>
              </w:rPr>
            </w:pPr>
            <w:hyperlink w:anchor="_Toc33622408" w:history="1">
              <w:r w:rsidR="00E131AF" w:rsidRPr="00E4265B">
                <w:rPr>
                  <w:rStyle w:val="Hyperlink"/>
                  <w:rFonts w:ascii="Arial" w:hAnsi="Arial" w:cs="Arial"/>
                  <w:sz w:val="22"/>
                  <w:szCs w:val="22"/>
                </w:rPr>
                <w:t>4.9</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Methodology for measurement of Exposures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_Toc33622408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111</w:t>
              </w:r>
              <w:r w:rsidR="00E131AF" w:rsidRPr="00E4265B">
                <w:rPr>
                  <w:rFonts w:ascii="Arial" w:hAnsi="Arial" w:cs="Arial"/>
                  <w:webHidden/>
                  <w:sz w:val="22"/>
                  <w:szCs w:val="22"/>
                </w:rPr>
                <w:fldChar w:fldCharType="end"/>
              </w:r>
            </w:hyperlink>
          </w:p>
          <w:p w14:paraId="4EA89361" w14:textId="33B3F54C" w:rsidR="00E131AF" w:rsidRPr="00E4265B" w:rsidRDefault="00B275AE">
            <w:pPr>
              <w:pStyle w:val="TOC3"/>
              <w:rPr>
                <w:rFonts w:ascii="Arial" w:eastAsiaTheme="minorEastAsia" w:hAnsi="Arial" w:cs="Arial"/>
                <w:sz w:val="22"/>
                <w:szCs w:val="22"/>
                <w:lang w:val="en-GB" w:eastAsia="en-GB"/>
              </w:rPr>
            </w:pPr>
            <w:hyperlink w:anchor="_Toc33622409" w:history="1">
              <w:r w:rsidR="00E131AF" w:rsidRPr="00E4265B">
                <w:rPr>
                  <w:rStyle w:val="Hyperlink"/>
                  <w:rFonts w:ascii="Arial" w:hAnsi="Arial" w:cs="Arial"/>
                  <w:sz w:val="22"/>
                  <w:szCs w:val="22"/>
                </w:rPr>
                <w:t>4.10</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Categorisation of Credit Risk Exposures (CR Exposures)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_Toc33622409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116</w:t>
              </w:r>
              <w:r w:rsidR="00E131AF" w:rsidRPr="00E4265B">
                <w:rPr>
                  <w:rFonts w:ascii="Arial" w:hAnsi="Arial" w:cs="Arial"/>
                  <w:webHidden/>
                  <w:sz w:val="22"/>
                  <w:szCs w:val="22"/>
                </w:rPr>
                <w:fldChar w:fldCharType="end"/>
              </w:r>
            </w:hyperlink>
          </w:p>
          <w:p w14:paraId="342AD0BF" w14:textId="47FED7CA" w:rsidR="00E131AF" w:rsidRPr="00E4265B" w:rsidRDefault="00B275AE">
            <w:pPr>
              <w:pStyle w:val="TOC3"/>
              <w:rPr>
                <w:rFonts w:ascii="Arial" w:eastAsiaTheme="minorEastAsia" w:hAnsi="Arial" w:cs="Arial"/>
                <w:sz w:val="22"/>
                <w:szCs w:val="22"/>
                <w:lang w:val="en-GB" w:eastAsia="en-GB"/>
              </w:rPr>
            </w:pPr>
            <w:hyperlink w:anchor="_Toc33622410" w:history="1">
              <w:r w:rsidR="00E131AF" w:rsidRPr="00E4265B">
                <w:rPr>
                  <w:rStyle w:val="Hyperlink"/>
                  <w:rFonts w:ascii="Arial" w:hAnsi="Arial" w:cs="Arial"/>
                  <w:sz w:val="22"/>
                  <w:szCs w:val="22"/>
                </w:rPr>
                <w:t>4.11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Credit Quality Grades and External Credit Assessments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_Toc33622410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118</w:t>
              </w:r>
              <w:r w:rsidR="00E131AF" w:rsidRPr="00E4265B">
                <w:rPr>
                  <w:rFonts w:ascii="Arial" w:hAnsi="Arial" w:cs="Arial"/>
                  <w:webHidden/>
                  <w:sz w:val="22"/>
                  <w:szCs w:val="22"/>
                </w:rPr>
                <w:fldChar w:fldCharType="end"/>
              </w:r>
            </w:hyperlink>
          </w:p>
          <w:p w14:paraId="6997076D" w14:textId="762B42DE" w:rsidR="00E131AF" w:rsidRPr="00E4265B" w:rsidRDefault="00B275AE">
            <w:pPr>
              <w:pStyle w:val="TOC3"/>
              <w:rPr>
                <w:rFonts w:ascii="Arial" w:eastAsiaTheme="minorEastAsia" w:hAnsi="Arial" w:cs="Arial"/>
                <w:sz w:val="22"/>
                <w:szCs w:val="22"/>
                <w:lang w:val="en-GB" w:eastAsia="en-GB"/>
              </w:rPr>
            </w:pPr>
            <w:hyperlink w:anchor="_Toc33622411" w:history="1">
              <w:r w:rsidR="00E131AF" w:rsidRPr="00E4265B">
                <w:rPr>
                  <w:rStyle w:val="Hyperlink"/>
                  <w:rFonts w:ascii="Arial" w:hAnsi="Arial" w:cs="Arial"/>
                  <w:sz w:val="22"/>
                  <w:szCs w:val="22"/>
                </w:rPr>
                <w:t>4.12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Risk weights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_Toc33622411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120</w:t>
              </w:r>
              <w:r w:rsidR="00E131AF" w:rsidRPr="00E4265B">
                <w:rPr>
                  <w:rFonts w:ascii="Arial" w:hAnsi="Arial" w:cs="Arial"/>
                  <w:webHidden/>
                  <w:sz w:val="22"/>
                  <w:szCs w:val="22"/>
                </w:rPr>
                <w:fldChar w:fldCharType="end"/>
              </w:r>
            </w:hyperlink>
          </w:p>
          <w:p w14:paraId="6204CAD8" w14:textId="4B7AC8E9" w:rsidR="00E131AF" w:rsidRPr="00E4265B" w:rsidRDefault="00B275AE">
            <w:pPr>
              <w:pStyle w:val="TOC3"/>
              <w:rPr>
                <w:rFonts w:ascii="Arial" w:eastAsiaTheme="minorEastAsia" w:hAnsi="Arial" w:cs="Arial"/>
                <w:sz w:val="22"/>
                <w:szCs w:val="22"/>
                <w:lang w:val="en-GB" w:eastAsia="en-GB"/>
              </w:rPr>
            </w:pPr>
            <w:hyperlink w:anchor="_Toc33622412" w:history="1">
              <w:r w:rsidR="00E131AF" w:rsidRPr="00E4265B">
                <w:rPr>
                  <w:rStyle w:val="Hyperlink"/>
                  <w:rFonts w:ascii="Arial" w:hAnsi="Arial" w:cs="Arial"/>
                  <w:sz w:val="22"/>
                  <w:szCs w:val="22"/>
                </w:rPr>
                <w:t>4.13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Credit Risk mitigation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_Toc33622412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125</w:t>
              </w:r>
              <w:r w:rsidR="00E131AF" w:rsidRPr="00E4265B">
                <w:rPr>
                  <w:rFonts w:ascii="Arial" w:hAnsi="Arial" w:cs="Arial"/>
                  <w:webHidden/>
                  <w:sz w:val="22"/>
                  <w:szCs w:val="22"/>
                </w:rPr>
                <w:fldChar w:fldCharType="end"/>
              </w:r>
            </w:hyperlink>
          </w:p>
          <w:p w14:paraId="6CE6B009" w14:textId="32A3AE1A" w:rsidR="00E131AF" w:rsidRPr="00E4265B" w:rsidRDefault="00B275AE">
            <w:pPr>
              <w:pStyle w:val="TOC3"/>
              <w:rPr>
                <w:rFonts w:ascii="Arial" w:eastAsiaTheme="minorEastAsia" w:hAnsi="Arial" w:cs="Arial"/>
                <w:sz w:val="22"/>
                <w:szCs w:val="22"/>
                <w:lang w:val="en-GB" w:eastAsia="en-GB"/>
              </w:rPr>
            </w:pPr>
            <w:hyperlink w:anchor="_Toc33622413" w:history="1">
              <w:r w:rsidR="00E131AF" w:rsidRPr="00E4265B">
                <w:rPr>
                  <w:rStyle w:val="Hyperlink"/>
                  <w:rFonts w:ascii="Arial" w:hAnsi="Arial" w:cs="Arial"/>
                  <w:sz w:val="22"/>
                  <w:szCs w:val="22"/>
                </w:rPr>
                <w:t>4.14</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Securitisation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_Toc33622413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138</w:t>
              </w:r>
              <w:r w:rsidR="00E131AF" w:rsidRPr="00E4265B">
                <w:rPr>
                  <w:rFonts w:ascii="Arial" w:hAnsi="Arial" w:cs="Arial"/>
                  <w:webHidden/>
                  <w:sz w:val="22"/>
                  <w:szCs w:val="22"/>
                </w:rPr>
                <w:fldChar w:fldCharType="end"/>
              </w:r>
            </w:hyperlink>
          </w:p>
          <w:p w14:paraId="68FC34DD" w14:textId="554AA82D" w:rsidR="00E131AF" w:rsidRPr="00E4265B" w:rsidRDefault="00B275AE">
            <w:pPr>
              <w:pStyle w:val="TOC3"/>
              <w:rPr>
                <w:rFonts w:ascii="Arial" w:eastAsiaTheme="minorEastAsia" w:hAnsi="Arial" w:cs="Arial"/>
                <w:sz w:val="22"/>
                <w:szCs w:val="22"/>
                <w:lang w:val="en-GB" w:eastAsia="en-GB"/>
              </w:rPr>
            </w:pPr>
            <w:hyperlink w:anchor="_Toc33622414" w:history="1">
              <w:r w:rsidR="00E131AF" w:rsidRPr="00E4265B">
                <w:rPr>
                  <w:rStyle w:val="Hyperlink"/>
                  <w:rFonts w:ascii="Arial" w:hAnsi="Arial" w:cs="Arial"/>
                  <w:sz w:val="22"/>
                  <w:szCs w:val="22"/>
                </w:rPr>
                <w:t>4.15</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Large Exposures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_Toc33622414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155</w:t>
              </w:r>
              <w:r w:rsidR="00E131AF" w:rsidRPr="00E4265B">
                <w:rPr>
                  <w:rFonts w:ascii="Arial" w:hAnsi="Arial" w:cs="Arial"/>
                  <w:webHidden/>
                  <w:sz w:val="22"/>
                  <w:szCs w:val="22"/>
                </w:rPr>
                <w:fldChar w:fldCharType="end"/>
              </w:r>
            </w:hyperlink>
          </w:p>
          <w:p w14:paraId="2E84FC32" w14:textId="4B7E7409" w:rsidR="00E131AF" w:rsidRPr="00E4265B" w:rsidRDefault="00B275AE">
            <w:pPr>
              <w:pStyle w:val="TOC1"/>
              <w:rPr>
                <w:rFonts w:ascii="Arial" w:eastAsiaTheme="minorEastAsia" w:hAnsi="Arial" w:cs="Arial"/>
                <w:b w:val="0"/>
                <w:noProof/>
                <w:sz w:val="22"/>
                <w:szCs w:val="22"/>
                <w:lang w:val="en-GB" w:eastAsia="en-GB"/>
              </w:rPr>
            </w:pPr>
            <w:hyperlink w:anchor="_Toc33622415" w:history="1">
              <w:r w:rsidR="00E131AF" w:rsidRPr="00E4265B">
                <w:rPr>
                  <w:rStyle w:val="Hyperlink"/>
                  <w:rFonts w:ascii="Arial" w:hAnsi="Arial" w:cs="Arial"/>
                  <w:noProof/>
                  <w:sz w:val="22"/>
                  <w:szCs w:val="22"/>
                  <w:lang w:val="en-GB"/>
                </w:rPr>
                <w:t>5</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MARKET RISK</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_Toc33622415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162</w:t>
              </w:r>
              <w:r w:rsidR="00E131AF" w:rsidRPr="00E4265B">
                <w:rPr>
                  <w:rFonts w:ascii="Arial" w:hAnsi="Arial" w:cs="Arial"/>
                  <w:noProof/>
                  <w:webHidden/>
                  <w:sz w:val="22"/>
                  <w:szCs w:val="22"/>
                </w:rPr>
                <w:fldChar w:fldCharType="end"/>
              </w:r>
            </w:hyperlink>
          </w:p>
          <w:p w14:paraId="3ECBD1F2" w14:textId="3811E658" w:rsidR="00E131AF" w:rsidRPr="00E4265B" w:rsidRDefault="00B275AE">
            <w:pPr>
              <w:pStyle w:val="TOC3"/>
              <w:rPr>
                <w:rFonts w:ascii="Arial" w:eastAsiaTheme="minorEastAsia" w:hAnsi="Arial" w:cs="Arial"/>
                <w:sz w:val="22"/>
                <w:szCs w:val="22"/>
                <w:lang w:val="en-GB" w:eastAsia="en-GB"/>
              </w:rPr>
            </w:pPr>
            <w:hyperlink w:anchor="_Toc33622416" w:history="1">
              <w:r w:rsidR="00E131AF" w:rsidRPr="00E4265B">
                <w:rPr>
                  <w:rStyle w:val="Hyperlink"/>
                  <w:rFonts w:ascii="Arial" w:hAnsi="Arial" w:cs="Arial"/>
                  <w:sz w:val="22"/>
                  <w:szCs w:val="22"/>
                </w:rPr>
                <w:t>5.1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Application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_Toc33622416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162</w:t>
              </w:r>
              <w:r w:rsidR="00E131AF" w:rsidRPr="00E4265B">
                <w:rPr>
                  <w:rFonts w:ascii="Arial" w:hAnsi="Arial" w:cs="Arial"/>
                  <w:webHidden/>
                  <w:sz w:val="22"/>
                  <w:szCs w:val="22"/>
                </w:rPr>
                <w:fldChar w:fldCharType="end"/>
              </w:r>
            </w:hyperlink>
          </w:p>
          <w:p w14:paraId="2C420B34" w14:textId="2914A363" w:rsidR="00E131AF" w:rsidRPr="00E4265B" w:rsidRDefault="00B275AE">
            <w:pPr>
              <w:pStyle w:val="TOC3"/>
              <w:rPr>
                <w:rFonts w:ascii="Arial" w:eastAsiaTheme="minorEastAsia" w:hAnsi="Arial" w:cs="Arial"/>
                <w:sz w:val="22"/>
                <w:szCs w:val="22"/>
                <w:lang w:val="en-GB" w:eastAsia="en-GB"/>
              </w:rPr>
            </w:pPr>
            <w:hyperlink w:anchor="_Toc33622417" w:history="1">
              <w:r w:rsidR="00E131AF" w:rsidRPr="00E4265B">
                <w:rPr>
                  <w:rStyle w:val="Hyperlink"/>
                  <w:rFonts w:ascii="Arial" w:hAnsi="Arial" w:cs="Arial"/>
                  <w:sz w:val="22"/>
                  <w:szCs w:val="22"/>
                </w:rPr>
                <w:t>5.2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Market Risk systems and controls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_Toc33622417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163</w:t>
              </w:r>
              <w:r w:rsidR="00E131AF" w:rsidRPr="00E4265B">
                <w:rPr>
                  <w:rFonts w:ascii="Arial" w:hAnsi="Arial" w:cs="Arial"/>
                  <w:webHidden/>
                  <w:sz w:val="22"/>
                  <w:szCs w:val="22"/>
                </w:rPr>
                <w:fldChar w:fldCharType="end"/>
              </w:r>
            </w:hyperlink>
          </w:p>
          <w:p w14:paraId="7CB49F01" w14:textId="2A80015B" w:rsidR="00E131AF" w:rsidRPr="00E4265B" w:rsidRDefault="00B275AE">
            <w:pPr>
              <w:pStyle w:val="TOC3"/>
              <w:rPr>
                <w:rFonts w:ascii="Arial" w:eastAsiaTheme="minorEastAsia" w:hAnsi="Arial" w:cs="Arial"/>
                <w:sz w:val="22"/>
                <w:szCs w:val="22"/>
                <w:lang w:val="en-GB" w:eastAsia="en-GB"/>
              </w:rPr>
            </w:pPr>
            <w:hyperlink w:anchor="_Toc33622418" w:history="1">
              <w:r w:rsidR="00E131AF" w:rsidRPr="00E4265B">
                <w:rPr>
                  <w:rStyle w:val="Hyperlink"/>
                  <w:rFonts w:ascii="Arial" w:hAnsi="Arial" w:cs="Arial"/>
                  <w:sz w:val="22"/>
                  <w:szCs w:val="22"/>
                </w:rPr>
                <w:t>5.3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Calculation of the Market Risk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_Toc33622418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163</w:t>
              </w:r>
              <w:r w:rsidR="00E131AF" w:rsidRPr="00E4265B">
                <w:rPr>
                  <w:rFonts w:ascii="Arial" w:hAnsi="Arial" w:cs="Arial"/>
                  <w:webHidden/>
                  <w:sz w:val="22"/>
                  <w:szCs w:val="22"/>
                </w:rPr>
                <w:fldChar w:fldCharType="end"/>
              </w:r>
            </w:hyperlink>
          </w:p>
          <w:p w14:paraId="3844F6C1" w14:textId="7CB9C929" w:rsidR="00E131AF" w:rsidRPr="00E4265B" w:rsidRDefault="00B275AE">
            <w:pPr>
              <w:pStyle w:val="TOC3"/>
              <w:rPr>
                <w:rFonts w:ascii="Arial" w:eastAsiaTheme="minorEastAsia" w:hAnsi="Arial" w:cs="Arial"/>
                <w:sz w:val="22"/>
                <w:szCs w:val="22"/>
                <w:lang w:val="en-GB" w:eastAsia="en-GB"/>
              </w:rPr>
            </w:pPr>
            <w:hyperlink w:anchor="_Toc33622419" w:history="1">
              <w:r w:rsidR="00E131AF" w:rsidRPr="00E4265B">
                <w:rPr>
                  <w:rStyle w:val="Hyperlink"/>
                  <w:rFonts w:ascii="Arial" w:hAnsi="Arial" w:cs="Arial"/>
                  <w:sz w:val="22"/>
                  <w:szCs w:val="22"/>
                </w:rPr>
                <w:t>5.4</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Interest Rate Risk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_Toc33622419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164</w:t>
              </w:r>
              <w:r w:rsidR="00E131AF" w:rsidRPr="00E4265B">
                <w:rPr>
                  <w:rFonts w:ascii="Arial" w:hAnsi="Arial" w:cs="Arial"/>
                  <w:webHidden/>
                  <w:sz w:val="22"/>
                  <w:szCs w:val="22"/>
                </w:rPr>
                <w:fldChar w:fldCharType="end"/>
              </w:r>
            </w:hyperlink>
          </w:p>
          <w:p w14:paraId="48BB1AA9" w14:textId="54C729D9" w:rsidR="00E131AF" w:rsidRPr="00E4265B" w:rsidRDefault="00B275AE">
            <w:pPr>
              <w:pStyle w:val="TOC3"/>
              <w:rPr>
                <w:rFonts w:ascii="Arial" w:eastAsiaTheme="minorEastAsia" w:hAnsi="Arial" w:cs="Arial"/>
                <w:sz w:val="22"/>
                <w:szCs w:val="22"/>
                <w:lang w:val="en-GB" w:eastAsia="en-GB"/>
              </w:rPr>
            </w:pPr>
            <w:hyperlink w:anchor="_Toc33622420" w:history="1">
              <w:r w:rsidR="00E131AF" w:rsidRPr="00E4265B">
                <w:rPr>
                  <w:rStyle w:val="Hyperlink"/>
                  <w:rFonts w:ascii="Arial" w:hAnsi="Arial" w:cs="Arial"/>
                  <w:sz w:val="22"/>
                  <w:szCs w:val="22"/>
                </w:rPr>
                <w:t>5.5</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Equity Risk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_Toc33622420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164</w:t>
              </w:r>
              <w:r w:rsidR="00E131AF" w:rsidRPr="00E4265B">
                <w:rPr>
                  <w:rFonts w:ascii="Arial" w:hAnsi="Arial" w:cs="Arial"/>
                  <w:webHidden/>
                  <w:sz w:val="22"/>
                  <w:szCs w:val="22"/>
                </w:rPr>
                <w:fldChar w:fldCharType="end"/>
              </w:r>
            </w:hyperlink>
          </w:p>
          <w:p w14:paraId="4CFAA959" w14:textId="68E91BC1" w:rsidR="00E131AF" w:rsidRPr="00E4265B" w:rsidRDefault="00B275AE">
            <w:pPr>
              <w:pStyle w:val="TOC3"/>
              <w:rPr>
                <w:rFonts w:ascii="Arial" w:eastAsiaTheme="minorEastAsia" w:hAnsi="Arial" w:cs="Arial"/>
                <w:sz w:val="22"/>
                <w:szCs w:val="22"/>
                <w:lang w:val="en-GB" w:eastAsia="en-GB"/>
              </w:rPr>
            </w:pPr>
            <w:hyperlink w:anchor="_Toc33622421" w:history="1">
              <w:r w:rsidR="00E131AF" w:rsidRPr="00E4265B">
                <w:rPr>
                  <w:rStyle w:val="Hyperlink"/>
                  <w:rFonts w:ascii="Arial" w:hAnsi="Arial" w:cs="Arial"/>
                  <w:sz w:val="22"/>
                  <w:szCs w:val="22"/>
                </w:rPr>
                <w:t>5.6</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Foreign Exchange Risk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_Toc33622421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164</w:t>
              </w:r>
              <w:r w:rsidR="00E131AF" w:rsidRPr="00E4265B">
                <w:rPr>
                  <w:rFonts w:ascii="Arial" w:hAnsi="Arial" w:cs="Arial"/>
                  <w:webHidden/>
                  <w:sz w:val="22"/>
                  <w:szCs w:val="22"/>
                </w:rPr>
                <w:fldChar w:fldCharType="end"/>
              </w:r>
            </w:hyperlink>
          </w:p>
          <w:p w14:paraId="473FA102" w14:textId="4E98EC60" w:rsidR="00E131AF" w:rsidRPr="00E4265B" w:rsidRDefault="00B275AE">
            <w:pPr>
              <w:pStyle w:val="TOC3"/>
              <w:rPr>
                <w:rFonts w:ascii="Arial" w:eastAsiaTheme="minorEastAsia" w:hAnsi="Arial" w:cs="Arial"/>
                <w:sz w:val="22"/>
                <w:szCs w:val="22"/>
                <w:lang w:val="en-GB" w:eastAsia="en-GB"/>
              </w:rPr>
            </w:pPr>
            <w:hyperlink w:anchor="_Toc33622422" w:history="1">
              <w:r w:rsidR="00E131AF" w:rsidRPr="00E4265B">
                <w:rPr>
                  <w:rStyle w:val="Hyperlink"/>
                  <w:rFonts w:ascii="Arial" w:hAnsi="Arial" w:cs="Arial"/>
                  <w:sz w:val="22"/>
                  <w:szCs w:val="22"/>
                </w:rPr>
                <w:t>5.7</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Commodities Risk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_Toc33622422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164</w:t>
              </w:r>
              <w:r w:rsidR="00E131AF" w:rsidRPr="00E4265B">
                <w:rPr>
                  <w:rFonts w:ascii="Arial" w:hAnsi="Arial" w:cs="Arial"/>
                  <w:webHidden/>
                  <w:sz w:val="22"/>
                  <w:szCs w:val="22"/>
                </w:rPr>
                <w:fldChar w:fldCharType="end"/>
              </w:r>
            </w:hyperlink>
          </w:p>
          <w:p w14:paraId="6F10B638" w14:textId="2E791F35" w:rsidR="00E131AF" w:rsidRPr="00E4265B" w:rsidRDefault="00B275AE">
            <w:pPr>
              <w:pStyle w:val="TOC3"/>
              <w:rPr>
                <w:rFonts w:ascii="Arial" w:eastAsiaTheme="minorEastAsia" w:hAnsi="Arial" w:cs="Arial"/>
                <w:sz w:val="22"/>
                <w:szCs w:val="22"/>
                <w:lang w:val="en-GB" w:eastAsia="en-GB"/>
              </w:rPr>
            </w:pPr>
            <w:hyperlink w:anchor="_Toc33622423" w:history="1">
              <w:r w:rsidR="00E131AF" w:rsidRPr="00E4265B">
                <w:rPr>
                  <w:rStyle w:val="Hyperlink"/>
                  <w:rFonts w:ascii="Arial" w:hAnsi="Arial" w:cs="Arial"/>
                  <w:sz w:val="22"/>
                  <w:szCs w:val="22"/>
                </w:rPr>
                <w:t>5.8</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Option Risk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_Toc33622423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165</w:t>
              </w:r>
              <w:r w:rsidR="00E131AF" w:rsidRPr="00E4265B">
                <w:rPr>
                  <w:rFonts w:ascii="Arial" w:hAnsi="Arial" w:cs="Arial"/>
                  <w:webHidden/>
                  <w:sz w:val="22"/>
                  <w:szCs w:val="22"/>
                </w:rPr>
                <w:fldChar w:fldCharType="end"/>
              </w:r>
            </w:hyperlink>
          </w:p>
          <w:p w14:paraId="6F2B8325" w14:textId="0EE820FC" w:rsidR="00E131AF" w:rsidRPr="00E4265B" w:rsidRDefault="00B275AE">
            <w:pPr>
              <w:pStyle w:val="TOC3"/>
              <w:rPr>
                <w:rFonts w:ascii="Arial" w:eastAsiaTheme="minorEastAsia" w:hAnsi="Arial" w:cs="Arial"/>
                <w:sz w:val="22"/>
                <w:szCs w:val="22"/>
                <w:lang w:val="en-GB" w:eastAsia="en-GB"/>
              </w:rPr>
            </w:pPr>
            <w:hyperlink w:anchor="_Toc33622424" w:history="1">
              <w:r w:rsidR="00E131AF" w:rsidRPr="00E4265B">
                <w:rPr>
                  <w:rStyle w:val="Hyperlink"/>
                  <w:rFonts w:ascii="Arial" w:hAnsi="Arial" w:cs="Arial"/>
                  <w:sz w:val="22"/>
                  <w:szCs w:val="22"/>
                </w:rPr>
                <w:t>5.9</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Collective Investment Fund Risk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_Toc33622424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165</w:t>
              </w:r>
              <w:r w:rsidR="00E131AF" w:rsidRPr="00E4265B">
                <w:rPr>
                  <w:rFonts w:ascii="Arial" w:hAnsi="Arial" w:cs="Arial"/>
                  <w:webHidden/>
                  <w:sz w:val="22"/>
                  <w:szCs w:val="22"/>
                </w:rPr>
                <w:fldChar w:fldCharType="end"/>
              </w:r>
            </w:hyperlink>
          </w:p>
          <w:p w14:paraId="73530592" w14:textId="6E4A0EB6" w:rsidR="00E131AF" w:rsidRPr="00E4265B" w:rsidRDefault="00B275AE">
            <w:pPr>
              <w:pStyle w:val="TOC3"/>
              <w:rPr>
                <w:rFonts w:ascii="Arial" w:eastAsiaTheme="minorEastAsia" w:hAnsi="Arial" w:cs="Arial"/>
                <w:sz w:val="22"/>
                <w:szCs w:val="22"/>
                <w:lang w:val="en-GB" w:eastAsia="en-GB"/>
              </w:rPr>
            </w:pPr>
            <w:hyperlink w:anchor="_Toc33622425" w:history="1">
              <w:r w:rsidR="00E131AF" w:rsidRPr="00E4265B">
                <w:rPr>
                  <w:rStyle w:val="Hyperlink"/>
                  <w:rFonts w:ascii="Arial" w:hAnsi="Arial" w:cs="Arial"/>
                  <w:sz w:val="22"/>
                  <w:szCs w:val="22"/>
                </w:rPr>
                <w:t>5.10</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Securities Underwriting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_Toc33622425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165</w:t>
              </w:r>
              <w:r w:rsidR="00E131AF" w:rsidRPr="00E4265B">
                <w:rPr>
                  <w:rFonts w:ascii="Arial" w:hAnsi="Arial" w:cs="Arial"/>
                  <w:webHidden/>
                  <w:sz w:val="22"/>
                  <w:szCs w:val="22"/>
                </w:rPr>
                <w:fldChar w:fldCharType="end"/>
              </w:r>
            </w:hyperlink>
          </w:p>
          <w:p w14:paraId="530997DE" w14:textId="270A2506" w:rsidR="00E131AF" w:rsidRPr="00E4265B" w:rsidRDefault="00B275AE">
            <w:pPr>
              <w:pStyle w:val="TOC3"/>
              <w:rPr>
                <w:rFonts w:ascii="Arial" w:eastAsiaTheme="minorEastAsia" w:hAnsi="Arial" w:cs="Arial"/>
                <w:sz w:val="22"/>
                <w:szCs w:val="22"/>
                <w:lang w:val="en-GB" w:eastAsia="en-GB"/>
              </w:rPr>
            </w:pPr>
            <w:hyperlink w:anchor="_Toc33622426" w:history="1">
              <w:r w:rsidR="00E131AF" w:rsidRPr="00E4265B">
                <w:rPr>
                  <w:rStyle w:val="Hyperlink"/>
                  <w:rFonts w:ascii="Arial" w:hAnsi="Arial" w:cs="Arial"/>
                  <w:sz w:val="22"/>
                  <w:szCs w:val="22"/>
                </w:rPr>
                <w:t>5.11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Use of internal Market Risk models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_Toc33622426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166</w:t>
              </w:r>
              <w:r w:rsidR="00E131AF" w:rsidRPr="00E4265B">
                <w:rPr>
                  <w:rFonts w:ascii="Arial" w:hAnsi="Arial" w:cs="Arial"/>
                  <w:webHidden/>
                  <w:sz w:val="22"/>
                  <w:szCs w:val="22"/>
                </w:rPr>
                <w:fldChar w:fldCharType="end"/>
              </w:r>
            </w:hyperlink>
          </w:p>
          <w:p w14:paraId="3213F3CB" w14:textId="36E314DD" w:rsidR="00E131AF" w:rsidRPr="00E4265B" w:rsidRDefault="00B275AE">
            <w:pPr>
              <w:pStyle w:val="TOC1"/>
              <w:rPr>
                <w:rFonts w:ascii="Arial" w:eastAsiaTheme="minorEastAsia" w:hAnsi="Arial" w:cs="Arial"/>
                <w:b w:val="0"/>
                <w:noProof/>
                <w:sz w:val="22"/>
                <w:szCs w:val="22"/>
                <w:lang w:val="en-GB" w:eastAsia="en-GB"/>
              </w:rPr>
            </w:pPr>
            <w:hyperlink w:anchor="_Toc33622427" w:history="1">
              <w:r w:rsidR="00E131AF" w:rsidRPr="00E4265B">
                <w:rPr>
                  <w:rStyle w:val="Hyperlink"/>
                  <w:rFonts w:ascii="Arial" w:hAnsi="Arial" w:cs="Arial"/>
                  <w:noProof/>
                  <w:sz w:val="22"/>
                  <w:szCs w:val="22"/>
                  <w:lang w:val="en-GB"/>
                </w:rPr>
                <w:t>6</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OPERATIONAL RISK</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_Toc33622427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169</w:t>
              </w:r>
              <w:r w:rsidR="00E131AF" w:rsidRPr="00E4265B">
                <w:rPr>
                  <w:rFonts w:ascii="Arial" w:hAnsi="Arial" w:cs="Arial"/>
                  <w:noProof/>
                  <w:webHidden/>
                  <w:sz w:val="22"/>
                  <w:szCs w:val="22"/>
                </w:rPr>
                <w:fldChar w:fldCharType="end"/>
              </w:r>
            </w:hyperlink>
          </w:p>
          <w:p w14:paraId="427C8BE9" w14:textId="752DE59E" w:rsidR="00E131AF" w:rsidRPr="00E4265B" w:rsidRDefault="00B275AE">
            <w:pPr>
              <w:pStyle w:val="TOC3"/>
              <w:rPr>
                <w:rFonts w:ascii="Arial" w:eastAsiaTheme="minorEastAsia" w:hAnsi="Arial" w:cs="Arial"/>
                <w:sz w:val="22"/>
                <w:szCs w:val="22"/>
                <w:lang w:val="en-GB" w:eastAsia="en-GB"/>
              </w:rPr>
            </w:pPr>
            <w:hyperlink w:anchor="_Toc33622428" w:history="1">
              <w:r w:rsidR="00E131AF" w:rsidRPr="00E4265B">
                <w:rPr>
                  <w:rStyle w:val="Hyperlink"/>
                  <w:rFonts w:ascii="Arial" w:hAnsi="Arial" w:cs="Arial"/>
                  <w:sz w:val="22"/>
                  <w:szCs w:val="22"/>
                </w:rPr>
                <w:t>6.1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Application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_Toc33622428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169</w:t>
              </w:r>
              <w:r w:rsidR="00E131AF" w:rsidRPr="00E4265B">
                <w:rPr>
                  <w:rFonts w:ascii="Arial" w:hAnsi="Arial" w:cs="Arial"/>
                  <w:webHidden/>
                  <w:sz w:val="22"/>
                  <w:szCs w:val="22"/>
                </w:rPr>
                <w:fldChar w:fldCharType="end"/>
              </w:r>
            </w:hyperlink>
          </w:p>
          <w:p w14:paraId="3F104954" w14:textId="2472CBF9" w:rsidR="00E131AF" w:rsidRPr="00E4265B" w:rsidRDefault="00B275AE">
            <w:pPr>
              <w:pStyle w:val="TOC3"/>
              <w:rPr>
                <w:rFonts w:ascii="Arial" w:eastAsiaTheme="minorEastAsia" w:hAnsi="Arial" w:cs="Arial"/>
                <w:sz w:val="22"/>
                <w:szCs w:val="22"/>
                <w:lang w:val="en-GB" w:eastAsia="en-GB"/>
              </w:rPr>
            </w:pPr>
            <w:hyperlink w:anchor="_Toc33622429" w:history="1">
              <w:r w:rsidR="00E131AF" w:rsidRPr="00E4265B">
                <w:rPr>
                  <w:rStyle w:val="Hyperlink"/>
                  <w:rFonts w:ascii="Arial" w:hAnsi="Arial" w:cs="Arial"/>
                  <w:sz w:val="22"/>
                  <w:szCs w:val="22"/>
                </w:rPr>
                <w:t>6.2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Risk management framework and governance</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_Toc33622429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169</w:t>
              </w:r>
              <w:r w:rsidR="00E131AF" w:rsidRPr="00E4265B">
                <w:rPr>
                  <w:rFonts w:ascii="Arial" w:hAnsi="Arial" w:cs="Arial"/>
                  <w:webHidden/>
                  <w:sz w:val="22"/>
                  <w:szCs w:val="22"/>
                </w:rPr>
                <w:fldChar w:fldCharType="end"/>
              </w:r>
            </w:hyperlink>
          </w:p>
          <w:p w14:paraId="6ED9F3A1" w14:textId="3C6395C6" w:rsidR="00E131AF" w:rsidRPr="00E4265B" w:rsidRDefault="00B275AE">
            <w:pPr>
              <w:pStyle w:val="TOC3"/>
              <w:rPr>
                <w:rFonts w:ascii="Arial" w:eastAsiaTheme="minorEastAsia" w:hAnsi="Arial" w:cs="Arial"/>
                <w:sz w:val="22"/>
                <w:szCs w:val="22"/>
                <w:lang w:val="en-GB" w:eastAsia="en-GB"/>
              </w:rPr>
            </w:pPr>
            <w:hyperlink w:anchor="_Toc33622430" w:history="1">
              <w:r w:rsidR="00E131AF" w:rsidRPr="00E4265B">
                <w:rPr>
                  <w:rStyle w:val="Hyperlink"/>
                  <w:rFonts w:ascii="Arial" w:hAnsi="Arial" w:cs="Arial"/>
                  <w:sz w:val="22"/>
                  <w:szCs w:val="22"/>
                </w:rPr>
                <w:t>6.3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Risk identification and assessment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_Toc33622430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172</w:t>
              </w:r>
              <w:r w:rsidR="00E131AF" w:rsidRPr="00E4265B">
                <w:rPr>
                  <w:rFonts w:ascii="Arial" w:hAnsi="Arial" w:cs="Arial"/>
                  <w:webHidden/>
                  <w:sz w:val="22"/>
                  <w:szCs w:val="22"/>
                </w:rPr>
                <w:fldChar w:fldCharType="end"/>
              </w:r>
            </w:hyperlink>
          </w:p>
          <w:p w14:paraId="3A6458B5" w14:textId="601C0CCF" w:rsidR="00E131AF" w:rsidRPr="00E4265B" w:rsidRDefault="00B275AE">
            <w:pPr>
              <w:pStyle w:val="TOC3"/>
              <w:rPr>
                <w:rFonts w:ascii="Arial" w:eastAsiaTheme="minorEastAsia" w:hAnsi="Arial" w:cs="Arial"/>
                <w:sz w:val="22"/>
                <w:szCs w:val="22"/>
                <w:lang w:val="en-GB" w:eastAsia="en-GB"/>
              </w:rPr>
            </w:pPr>
            <w:hyperlink w:anchor="_Toc33622431" w:history="1">
              <w:r w:rsidR="00E131AF" w:rsidRPr="00E4265B">
                <w:rPr>
                  <w:rStyle w:val="Hyperlink"/>
                  <w:rFonts w:ascii="Arial" w:hAnsi="Arial" w:cs="Arial"/>
                  <w:sz w:val="22"/>
                  <w:szCs w:val="22"/>
                </w:rPr>
                <w:t>6.4</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Risk monitoring and reporting</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_Toc33622431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173</w:t>
              </w:r>
              <w:r w:rsidR="00E131AF" w:rsidRPr="00E4265B">
                <w:rPr>
                  <w:rFonts w:ascii="Arial" w:hAnsi="Arial" w:cs="Arial"/>
                  <w:webHidden/>
                  <w:sz w:val="22"/>
                  <w:szCs w:val="22"/>
                </w:rPr>
                <w:fldChar w:fldCharType="end"/>
              </w:r>
            </w:hyperlink>
          </w:p>
          <w:p w14:paraId="36ABDCEA" w14:textId="20EA8767" w:rsidR="00E131AF" w:rsidRPr="00E4265B" w:rsidRDefault="00B275AE">
            <w:pPr>
              <w:pStyle w:val="TOC3"/>
              <w:rPr>
                <w:rFonts w:ascii="Arial" w:eastAsiaTheme="minorEastAsia" w:hAnsi="Arial" w:cs="Arial"/>
                <w:sz w:val="22"/>
                <w:szCs w:val="22"/>
                <w:lang w:val="en-GB" w:eastAsia="en-GB"/>
              </w:rPr>
            </w:pPr>
            <w:hyperlink w:anchor="_Toc33622432" w:history="1">
              <w:r w:rsidR="00E131AF" w:rsidRPr="00E4265B">
                <w:rPr>
                  <w:rStyle w:val="Hyperlink"/>
                  <w:rFonts w:ascii="Arial" w:hAnsi="Arial" w:cs="Arial"/>
                  <w:sz w:val="22"/>
                  <w:szCs w:val="22"/>
                </w:rPr>
                <w:t>6.5</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Control and mitigation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_Toc33622432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174</w:t>
              </w:r>
              <w:r w:rsidR="00E131AF" w:rsidRPr="00E4265B">
                <w:rPr>
                  <w:rFonts w:ascii="Arial" w:hAnsi="Arial" w:cs="Arial"/>
                  <w:webHidden/>
                  <w:sz w:val="22"/>
                  <w:szCs w:val="22"/>
                </w:rPr>
                <w:fldChar w:fldCharType="end"/>
              </w:r>
            </w:hyperlink>
          </w:p>
          <w:p w14:paraId="7A46C995" w14:textId="5C6A0C03" w:rsidR="00E131AF" w:rsidRPr="00E4265B" w:rsidRDefault="00B275AE">
            <w:pPr>
              <w:pStyle w:val="TOC3"/>
              <w:rPr>
                <w:rFonts w:ascii="Arial" w:eastAsiaTheme="minorEastAsia" w:hAnsi="Arial" w:cs="Arial"/>
                <w:sz w:val="22"/>
                <w:szCs w:val="22"/>
                <w:lang w:val="en-GB" w:eastAsia="en-GB"/>
              </w:rPr>
            </w:pPr>
            <w:hyperlink w:anchor="_Toc33622433" w:history="1">
              <w:r w:rsidR="00E131AF" w:rsidRPr="00E4265B">
                <w:rPr>
                  <w:rStyle w:val="Hyperlink"/>
                  <w:rFonts w:ascii="Arial" w:hAnsi="Arial" w:cs="Arial"/>
                  <w:sz w:val="22"/>
                  <w:szCs w:val="22"/>
                </w:rPr>
                <w:t>6.6</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Information Technology (IT) systems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_Toc33622433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175</w:t>
              </w:r>
              <w:r w:rsidR="00E131AF" w:rsidRPr="00E4265B">
                <w:rPr>
                  <w:rFonts w:ascii="Arial" w:hAnsi="Arial" w:cs="Arial"/>
                  <w:webHidden/>
                  <w:sz w:val="22"/>
                  <w:szCs w:val="22"/>
                </w:rPr>
                <w:fldChar w:fldCharType="end"/>
              </w:r>
            </w:hyperlink>
          </w:p>
          <w:p w14:paraId="08B04B66" w14:textId="37D0F419" w:rsidR="00E131AF" w:rsidRPr="00E4265B" w:rsidRDefault="00B275AE">
            <w:pPr>
              <w:pStyle w:val="TOC3"/>
              <w:rPr>
                <w:rFonts w:ascii="Arial" w:eastAsiaTheme="minorEastAsia" w:hAnsi="Arial" w:cs="Arial"/>
                <w:sz w:val="22"/>
                <w:szCs w:val="22"/>
                <w:lang w:val="en-GB" w:eastAsia="en-GB"/>
              </w:rPr>
            </w:pPr>
            <w:hyperlink w:anchor="_Toc33622434" w:history="1">
              <w:r w:rsidR="00E131AF" w:rsidRPr="00E4265B">
                <w:rPr>
                  <w:rStyle w:val="Hyperlink"/>
                  <w:rFonts w:ascii="Arial" w:hAnsi="Arial" w:cs="Arial"/>
                  <w:sz w:val="22"/>
                  <w:szCs w:val="22"/>
                </w:rPr>
                <w:t>6.7</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Information security</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_Toc33622434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175</w:t>
              </w:r>
              <w:r w:rsidR="00E131AF" w:rsidRPr="00E4265B">
                <w:rPr>
                  <w:rFonts w:ascii="Arial" w:hAnsi="Arial" w:cs="Arial"/>
                  <w:webHidden/>
                  <w:sz w:val="22"/>
                  <w:szCs w:val="22"/>
                </w:rPr>
                <w:fldChar w:fldCharType="end"/>
              </w:r>
            </w:hyperlink>
          </w:p>
          <w:p w14:paraId="6E493BAE" w14:textId="08181123" w:rsidR="00E131AF" w:rsidRPr="00E4265B" w:rsidRDefault="00B275AE">
            <w:pPr>
              <w:pStyle w:val="TOC3"/>
              <w:rPr>
                <w:rFonts w:ascii="Arial" w:eastAsiaTheme="minorEastAsia" w:hAnsi="Arial" w:cs="Arial"/>
                <w:sz w:val="22"/>
                <w:szCs w:val="22"/>
                <w:lang w:val="en-GB" w:eastAsia="en-GB"/>
              </w:rPr>
            </w:pPr>
            <w:hyperlink w:anchor="_Toc33622435" w:history="1">
              <w:r w:rsidR="00E131AF" w:rsidRPr="00E4265B">
                <w:rPr>
                  <w:rStyle w:val="Hyperlink"/>
                  <w:rFonts w:ascii="Arial" w:hAnsi="Arial" w:cs="Arial"/>
                  <w:sz w:val="22"/>
                  <w:szCs w:val="22"/>
                </w:rPr>
                <w:t>6.8</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Outsourcing</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_Toc33622435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176</w:t>
              </w:r>
              <w:r w:rsidR="00E131AF" w:rsidRPr="00E4265B">
                <w:rPr>
                  <w:rFonts w:ascii="Arial" w:hAnsi="Arial" w:cs="Arial"/>
                  <w:webHidden/>
                  <w:sz w:val="22"/>
                  <w:szCs w:val="22"/>
                </w:rPr>
                <w:fldChar w:fldCharType="end"/>
              </w:r>
            </w:hyperlink>
          </w:p>
          <w:p w14:paraId="0A8361D3" w14:textId="692B2A24" w:rsidR="00E131AF" w:rsidRPr="00E4265B" w:rsidRDefault="00B275AE">
            <w:pPr>
              <w:pStyle w:val="TOC3"/>
              <w:rPr>
                <w:rFonts w:ascii="Arial" w:eastAsiaTheme="minorEastAsia" w:hAnsi="Arial" w:cs="Arial"/>
                <w:sz w:val="22"/>
                <w:szCs w:val="22"/>
                <w:lang w:val="en-GB" w:eastAsia="en-GB"/>
              </w:rPr>
            </w:pPr>
            <w:hyperlink w:anchor="_Toc33622436" w:history="1">
              <w:r w:rsidR="00E131AF" w:rsidRPr="00E4265B">
                <w:rPr>
                  <w:rStyle w:val="Hyperlink"/>
                  <w:rFonts w:ascii="Arial" w:hAnsi="Arial" w:cs="Arial"/>
                  <w:sz w:val="22"/>
                  <w:szCs w:val="22"/>
                </w:rPr>
                <w:t>6.9</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Business continuity and disaster recovery</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_Toc33622436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177</w:t>
              </w:r>
              <w:r w:rsidR="00E131AF" w:rsidRPr="00E4265B">
                <w:rPr>
                  <w:rFonts w:ascii="Arial" w:hAnsi="Arial" w:cs="Arial"/>
                  <w:webHidden/>
                  <w:sz w:val="22"/>
                  <w:szCs w:val="22"/>
                </w:rPr>
                <w:fldChar w:fldCharType="end"/>
              </w:r>
            </w:hyperlink>
          </w:p>
          <w:p w14:paraId="6D4C866F" w14:textId="72FAC334" w:rsidR="00E131AF" w:rsidRPr="00E4265B" w:rsidRDefault="00B275AE">
            <w:pPr>
              <w:pStyle w:val="TOC3"/>
              <w:rPr>
                <w:rFonts w:ascii="Arial" w:eastAsiaTheme="minorEastAsia" w:hAnsi="Arial" w:cs="Arial"/>
                <w:sz w:val="22"/>
                <w:szCs w:val="22"/>
                <w:lang w:val="en-GB" w:eastAsia="en-GB"/>
              </w:rPr>
            </w:pPr>
            <w:hyperlink w:anchor="_Toc33622437" w:history="1">
              <w:r w:rsidR="00E131AF" w:rsidRPr="00E4265B">
                <w:rPr>
                  <w:rStyle w:val="Hyperlink"/>
                  <w:rFonts w:ascii="Arial" w:hAnsi="Arial" w:cs="Arial"/>
                  <w:sz w:val="22"/>
                  <w:szCs w:val="22"/>
                </w:rPr>
                <w:t>6.10</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Management of Operational Risks in trading activities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_Toc33622437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177</w:t>
              </w:r>
              <w:r w:rsidR="00E131AF" w:rsidRPr="00E4265B">
                <w:rPr>
                  <w:rFonts w:ascii="Arial" w:hAnsi="Arial" w:cs="Arial"/>
                  <w:webHidden/>
                  <w:sz w:val="22"/>
                  <w:szCs w:val="22"/>
                </w:rPr>
                <w:fldChar w:fldCharType="end"/>
              </w:r>
            </w:hyperlink>
          </w:p>
          <w:p w14:paraId="2BCE45AA" w14:textId="6D7D85C2" w:rsidR="00E131AF" w:rsidRPr="00E4265B" w:rsidRDefault="00B275AE">
            <w:pPr>
              <w:pStyle w:val="TOC3"/>
              <w:rPr>
                <w:rFonts w:ascii="Arial" w:eastAsiaTheme="minorEastAsia" w:hAnsi="Arial" w:cs="Arial"/>
                <w:sz w:val="22"/>
                <w:szCs w:val="22"/>
                <w:lang w:val="en-GB" w:eastAsia="en-GB"/>
              </w:rPr>
            </w:pPr>
            <w:hyperlink w:anchor="_Toc33622438" w:history="1">
              <w:r w:rsidR="00E131AF" w:rsidRPr="00E4265B">
                <w:rPr>
                  <w:rStyle w:val="Hyperlink"/>
                  <w:rFonts w:ascii="Arial" w:hAnsi="Arial" w:cs="Arial"/>
                  <w:sz w:val="22"/>
                  <w:szCs w:val="22"/>
                </w:rPr>
                <w:t>6.11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Operational Risk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_Toc33622438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179</w:t>
              </w:r>
              <w:r w:rsidR="00E131AF" w:rsidRPr="00E4265B">
                <w:rPr>
                  <w:rFonts w:ascii="Arial" w:hAnsi="Arial" w:cs="Arial"/>
                  <w:webHidden/>
                  <w:sz w:val="22"/>
                  <w:szCs w:val="22"/>
                </w:rPr>
                <w:fldChar w:fldCharType="end"/>
              </w:r>
            </w:hyperlink>
          </w:p>
          <w:p w14:paraId="23534F9E" w14:textId="11816DEF" w:rsidR="00E131AF" w:rsidRPr="00E4265B" w:rsidRDefault="00B275AE">
            <w:pPr>
              <w:pStyle w:val="TOC3"/>
              <w:rPr>
                <w:rFonts w:ascii="Arial" w:eastAsiaTheme="minorEastAsia" w:hAnsi="Arial" w:cs="Arial"/>
                <w:sz w:val="22"/>
                <w:szCs w:val="22"/>
                <w:lang w:val="en-GB" w:eastAsia="en-GB"/>
              </w:rPr>
            </w:pPr>
            <w:hyperlink w:anchor="_Toc33622439" w:history="1">
              <w:r w:rsidR="00E131AF" w:rsidRPr="00E4265B">
                <w:rPr>
                  <w:rStyle w:val="Hyperlink"/>
                  <w:rFonts w:ascii="Arial" w:hAnsi="Arial" w:cs="Arial"/>
                  <w:sz w:val="22"/>
                  <w:szCs w:val="22"/>
                </w:rPr>
                <w:t>6.12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Professional indemnity insurance</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_Toc33622439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180</w:t>
              </w:r>
              <w:r w:rsidR="00E131AF" w:rsidRPr="00E4265B">
                <w:rPr>
                  <w:rFonts w:ascii="Arial" w:hAnsi="Arial" w:cs="Arial"/>
                  <w:webHidden/>
                  <w:sz w:val="22"/>
                  <w:szCs w:val="22"/>
                </w:rPr>
                <w:fldChar w:fldCharType="end"/>
              </w:r>
            </w:hyperlink>
          </w:p>
          <w:p w14:paraId="4E223777" w14:textId="51A0DF87" w:rsidR="00E131AF" w:rsidRPr="00E4265B" w:rsidRDefault="00B275AE">
            <w:pPr>
              <w:pStyle w:val="TOC1"/>
              <w:rPr>
                <w:rFonts w:ascii="Arial" w:eastAsiaTheme="minorEastAsia" w:hAnsi="Arial" w:cs="Arial"/>
                <w:b w:val="0"/>
                <w:noProof/>
                <w:sz w:val="22"/>
                <w:szCs w:val="22"/>
                <w:lang w:val="en-GB" w:eastAsia="en-GB"/>
              </w:rPr>
            </w:pPr>
            <w:hyperlink w:anchor="_Toc33622440" w:history="1">
              <w:r w:rsidR="00E131AF" w:rsidRPr="00E4265B">
                <w:rPr>
                  <w:rStyle w:val="Hyperlink"/>
                  <w:rFonts w:ascii="Arial" w:hAnsi="Arial" w:cs="Arial"/>
                  <w:noProof/>
                  <w:sz w:val="22"/>
                  <w:szCs w:val="22"/>
                  <w:lang w:val="en-GB"/>
                </w:rPr>
                <w:t>7</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INTEREST RATE RISK IN THE NON</w:t>
              </w:r>
              <w:r w:rsidR="00E131AF" w:rsidRPr="00E4265B">
                <w:rPr>
                  <w:rStyle w:val="Hyperlink"/>
                  <w:rFonts w:ascii="Arial" w:hAnsi="Arial" w:cs="Arial"/>
                  <w:noProof/>
                  <w:sz w:val="22"/>
                  <w:szCs w:val="22"/>
                  <w:lang w:val="en-GB"/>
                </w:rPr>
                <w:noBreakHyphen/>
                <w:t>TRADING BOOK</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_Toc33622440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182</w:t>
              </w:r>
              <w:r w:rsidR="00E131AF" w:rsidRPr="00E4265B">
                <w:rPr>
                  <w:rFonts w:ascii="Arial" w:hAnsi="Arial" w:cs="Arial"/>
                  <w:noProof/>
                  <w:webHidden/>
                  <w:sz w:val="22"/>
                  <w:szCs w:val="22"/>
                </w:rPr>
                <w:fldChar w:fldCharType="end"/>
              </w:r>
            </w:hyperlink>
          </w:p>
          <w:p w14:paraId="11B6AC9F" w14:textId="1D05E04D" w:rsidR="00E131AF" w:rsidRPr="00E4265B" w:rsidRDefault="00B275AE">
            <w:pPr>
              <w:pStyle w:val="TOC3"/>
              <w:rPr>
                <w:rFonts w:ascii="Arial" w:eastAsiaTheme="minorEastAsia" w:hAnsi="Arial" w:cs="Arial"/>
                <w:sz w:val="22"/>
                <w:szCs w:val="22"/>
                <w:lang w:val="en-GB" w:eastAsia="en-GB"/>
              </w:rPr>
            </w:pPr>
            <w:hyperlink w:anchor="_Toc33622441" w:history="1">
              <w:r w:rsidR="00E131AF" w:rsidRPr="00E4265B">
                <w:rPr>
                  <w:rStyle w:val="Hyperlink"/>
                  <w:rFonts w:ascii="Arial" w:hAnsi="Arial" w:cs="Arial"/>
                  <w:sz w:val="22"/>
                  <w:szCs w:val="22"/>
                </w:rPr>
                <w:t>7.1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Application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_Toc33622441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182</w:t>
              </w:r>
              <w:r w:rsidR="00E131AF" w:rsidRPr="00E4265B">
                <w:rPr>
                  <w:rFonts w:ascii="Arial" w:hAnsi="Arial" w:cs="Arial"/>
                  <w:webHidden/>
                  <w:sz w:val="22"/>
                  <w:szCs w:val="22"/>
                </w:rPr>
                <w:fldChar w:fldCharType="end"/>
              </w:r>
            </w:hyperlink>
          </w:p>
          <w:p w14:paraId="280901D1" w14:textId="4D9DA370" w:rsidR="00E131AF" w:rsidRPr="00E4265B" w:rsidRDefault="00B275AE">
            <w:pPr>
              <w:pStyle w:val="TOC3"/>
              <w:rPr>
                <w:rFonts w:ascii="Arial" w:eastAsiaTheme="minorEastAsia" w:hAnsi="Arial" w:cs="Arial"/>
                <w:sz w:val="22"/>
                <w:szCs w:val="22"/>
                <w:lang w:val="en-GB" w:eastAsia="en-GB"/>
              </w:rPr>
            </w:pPr>
            <w:hyperlink w:anchor="_Toc33622442" w:history="1">
              <w:r w:rsidR="00E131AF" w:rsidRPr="00E4265B">
                <w:rPr>
                  <w:rStyle w:val="Hyperlink"/>
                  <w:rFonts w:ascii="Arial" w:hAnsi="Arial" w:cs="Arial"/>
                  <w:sz w:val="22"/>
                  <w:szCs w:val="22"/>
                </w:rPr>
                <w:t>7.2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Stress testing for Non</w:t>
              </w:r>
              <w:r w:rsidR="00E131AF" w:rsidRPr="00E4265B">
                <w:rPr>
                  <w:rStyle w:val="Hyperlink"/>
                  <w:rFonts w:ascii="Arial" w:hAnsi="Arial" w:cs="Arial"/>
                  <w:sz w:val="22"/>
                  <w:szCs w:val="22"/>
                </w:rPr>
                <w:noBreakHyphen/>
                <w:t>Trading Book interest rate risk</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_Toc33622442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182</w:t>
              </w:r>
              <w:r w:rsidR="00E131AF" w:rsidRPr="00E4265B">
                <w:rPr>
                  <w:rFonts w:ascii="Arial" w:hAnsi="Arial" w:cs="Arial"/>
                  <w:webHidden/>
                  <w:sz w:val="22"/>
                  <w:szCs w:val="22"/>
                </w:rPr>
                <w:fldChar w:fldCharType="end"/>
              </w:r>
            </w:hyperlink>
          </w:p>
          <w:p w14:paraId="7C976F49" w14:textId="4B2F34A7" w:rsidR="00E131AF" w:rsidRPr="00E4265B" w:rsidRDefault="00B275AE">
            <w:pPr>
              <w:pStyle w:val="TOC3"/>
              <w:rPr>
                <w:rFonts w:ascii="Arial" w:eastAsiaTheme="minorEastAsia" w:hAnsi="Arial" w:cs="Arial"/>
                <w:sz w:val="22"/>
                <w:szCs w:val="22"/>
                <w:lang w:val="en-GB" w:eastAsia="en-GB"/>
              </w:rPr>
            </w:pPr>
            <w:hyperlink w:anchor="_Toc33622443" w:history="1">
              <w:r w:rsidR="00E131AF" w:rsidRPr="00E4265B">
                <w:rPr>
                  <w:rStyle w:val="Hyperlink"/>
                  <w:rFonts w:ascii="Arial" w:hAnsi="Arial" w:cs="Arial"/>
                  <w:sz w:val="22"/>
                  <w:szCs w:val="22"/>
                </w:rPr>
                <w:t>7.3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Non</w:t>
              </w:r>
              <w:r w:rsidR="00E131AF" w:rsidRPr="00E4265B">
                <w:rPr>
                  <w:rStyle w:val="Hyperlink"/>
                  <w:rFonts w:ascii="Arial" w:hAnsi="Arial" w:cs="Arial"/>
                  <w:sz w:val="22"/>
                  <w:szCs w:val="22"/>
                </w:rPr>
                <w:noBreakHyphen/>
                <w:t>Trading Book interest rate risk under Chapter 10</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_Toc33622443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183</w:t>
              </w:r>
              <w:r w:rsidR="00E131AF" w:rsidRPr="00E4265B">
                <w:rPr>
                  <w:rFonts w:ascii="Arial" w:hAnsi="Arial" w:cs="Arial"/>
                  <w:webHidden/>
                  <w:sz w:val="22"/>
                  <w:szCs w:val="22"/>
                </w:rPr>
                <w:fldChar w:fldCharType="end"/>
              </w:r>
            </w:hyperlink>
          </w:p>
          <w:p w14:paraId="589544D8" w14:textId="456297B7" w:rsidR="00E131AF" w:rsidRPr="00E4265B" w:rsidRDefault="00B275AE">
            <w:pPr>
              <w:pStyle w:val="TOC3"/>
              <w:rPr>
                <w:rFonts w:ascii="Arial" w:eastAsiaTheme="minorEastAsia" w:hAnsi="Arial" w:cs="Arial"/>
                <w:sz w:val="22"/>
                <w:szCs w:val="22"/>
                <w:lang w:val="en-GB" w:eastAsia="en-GB"/>
              </w:rPr>
            </w:pPr>
            <w:hyperlink w:anchor="_Toc33622444" w:history="1">
              <w:r w:rsidR="00E131AF" w:rsidRPr="00E4265B">
                <w:rPr>
                  <w:rStyle w:val="Hyperlink"/>
                  <w:rFonts w:ascii="Arial" w:hAnsi="Arial" w:cs="Arial"/>
                  <w:sz w:val="22"/>
                  <w:szCs w:val="22"/>
                </w:rPr>
                <w:t>7.4</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Systems and controls for Non</w:t>
              </w:r>
              <w:r w:rsidR="00E131AF" w:rsidRPr="00E4265B">
                <w:rPr>
                  <w:rStyle w:val="Hyperlink"/>
                  <w:rFonts w:ascii="Arial" w:hAnsi="Arial" w:cs="Arial"/>
                  <w:sz w:val="22"/>
                  <w:szCs w:val="22"/>
                </w:rPr>
                <w:noBreakHyphen/>
                <w:t>Trading Book interest rate risk</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_Toc33622444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184</w:t>
              </w:r>
              <w:r w:rsidR="00E131AF" w:rsidRPr="00E4265B">
                <w:rPr>
                  <w:rFonts w:ascii="Arial" w:hAnsi="Arial" w:cs="Arial"/>
                  <w:webHidden/>
                  <w:sz w:val="22"/>
                  <w:szCs w:val="22"/>
                </w:rPr>
                <w:fldChar w:fldCharType="end"/>
              </w:r>
            </w:hyperlink>
          </w:p>
          <w:p w14:paraId="717F0016" w14:textId="6218C068" w:rsidR="00E131AF" w:rsidRPr="00E4265B" w:rsidRDefault="00B275AE">
            <w:pPr>
              <w:pStyle w:val="TOC1"/>
              <w:rPr>
                <w:rFonts w:ascii="Arial" w:eastAsiaTheme="minorEastAsia" w:hAnsi="Arial" w:cs="Arial"/>
                <w:b w:val="0"/>
                <w:noProof/>
                <w:sz w:val="22"/>
                <w:szCs w:val="22"/>
                <w:lang w:val="en-GB" w:eastAsia="en-GB"/>
              </w:rPr>
            </w:pPr>
            <w:hyperlink w:anchor="_Toc33622445" w:history="1">
              <w:r w:rsidR="00E131AF" w:rsidRPr="00E4265B">
                <w:rPr>
                  <w:rStyle w:val="Hyperlink"/>
                  <w:rFonts w:ascii="Arial" w:hAnsi="Arial" w:cs="Arial"/>
                  <w:noProof/>
                  <w:sz w:val="22"/>
                  <w:szCs w:val="22"/>
                  <w:lang w:val="en-GB"/>
                </w:rPr>
                <w:t>8</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GROUP RISK</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_Toc33622445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189</w:t>
              </w:r>
              <w:r w:rsidR="00E131AF" w:rsidRPr="00E4265B">
                <w:rPr>
                  <w:rFonts w:ascii="Arial" w:hAnsi="Arial" w:cs="Arial"/>
                  <w:noProof/>
                  <w:webHidden/>
                  <w:sz w:val="22"/>
                  <w:szCs w:val="22"/>
                </w:rPr>
                <w:fldChar w:fldCharType="end"/>
              </w:r>
            </w:hyperlink>
          </w:p>
          <w:p w14:paraId="3033423B" w14:textId="382D37EB" w:rsidR="00E131AF" w:rsidRPr="00E4265B" w:rsidRDefault="00B275AE">
            <w:pPr>
              <w:pStyle w:val="TOC3"/>
              <w:rPr>
                <w:rFonts w:ascii="Arial" w:eastAsiaTheme="minorEastAsia" w:hAnsi="Arial" w:cs="Arial"/>
                <w:sz w:val="22"/>
                <w:szCs w:val="22"/>
                <w:lang w:val="en-GB" w:eastAsia="en-GB"/>
              </w:rPr>
            </w:pPr>
            <w:hyperlink w:anchor="_Toc33622446" w:history="1">
              <w:r w:rsidR="00E131AF" w:rsidRPr="00E4265B">
                <w:rPr>
                  <w:rStyle w:val="Hyperlink"/>
                  <w:rFonts w:ascii="Arial" w:hAnsi="Arial" w:cs="Arial"/>
                  <w:sz w:val="22"/>
                  <w:szCs w:val="22"/>
                </w:rPr>
                <w:t>8.1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Application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_Toc33622446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189</w:t>
              </w:r>
              <w:r w:rsidR="00E131AF" w:rsidRPr="00E4265B">
                <w:rPr>
                  <w:rFonts w:ascii="Arial" w:hAnsi="Arial" w:cs="Arial"/>
                  <w:webHidden/>
                  <w:sz w:val="22"/>
                  <w:szCs w:val="22"/>
                </w:rPr>
                <w:fldChar w:fldCharType="end"/>
              </w:r>
            </w:hyperlink>
          </w:p>
          <w:p w14:paraId="39809D30" w14:textId="21A2A285" w:rsidR="00E131AF" w:rsidRPr="00E4265B" w:rsidRDefault="00B275AE">
            <w:pPr>
              <w:pStyle w:val="TOC3"/>
              <w:rPr>
                <w:rFonts w:ascii="Arial" w:eastAsiaTheme="minorEastAsia" w:hAnsi="Arial" w:cs="Arial"/>
                <w:sz w:val="22"/>
                <w:szCs w:val="22"/>
                <w:lang w:val="en-GB" w:eastAsia="en-GB"/>
              </w:rPr>
            </w:pPr>
            <w:hyperlink w:anchor="_Toc33622447" w:history="1">
              <w:r w:rsidR="00E131AF" w:rsidRPr="00E4265B">
                <w:rPr>
                  <w:rStyle w:val="Hyperlink"/>
                  <w:rFonts w:ascii="Arial" w:hAnsi="Arial" w:cs="Arial"/>
                  <w:sz w:val="22"/>
                  <w:szCs w:val="22"/>
                </w:rPr>
                <w:t>8.2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Systems and controls requirements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_Toc33622447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190</w:t>
              </w:r>
              <w:r w:rsidR="00E131AF" w:rsidRPr="00E4265B">
                <w:rPr>
                  <w:rFonts w:ascii="Arial" w:hAnsi="Arial" w:cs="Arial"/>
                  <w:webHidden/>
                  <w:sz w:val="22"/>
                  <w:szCs w:val="22"/>
                </w:rPr>
                <w:fldChar w:fldCharType="end"/>
              </w:r>
            </w:hyperlink>
          </w:p>
          <w:p w14:paraId="161B066B" w14:textId="27BDDAD5" w:rsidR="00E131AF" w:rsidRPr="00E4265B" w:rsidRDefault="00B275AE">
            <w:pPr>
              <w:pStyle w:val="TOC3"/>
              <w:rPr>
                <w:rFonts w:ascii="Arial" w:eastAsiaTheme="minorEastAsia" w:hAnsi="Arial" w:cs="Arial"/>
                <w:sz w:val="22"/>
                <w:szCs w:val="22"/>
                <w:lang w:val="en-GB" w:eastAsia="en-GB"/>
              </w:rPr>
            </w:pPr>
            <w:hyperlink w:anchor="_Toc33622448" w:history="1">
              <w:r w:rsidR="00E131AF" w:rsidRPr="00E4265B">
                <w:rPr>
                  <w:rStyle w:val="Hyperlink"/>
                  <w:rFonts w:ascii="Arial" w:hAnsi="Arial" w:cs="Arial"/>
                  <w:sz w:val="22"/>
                  <w:szCs w:val="22"/>
                </w:rPr>
                <w:t>8.3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Financial Group Capital Requirements and Financial Group Capital Resources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_Toc33622448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191</w:t>
              </w:r>
              <w:r w:rsidR="00E131AF" w:rsidRPr="00E4265B">
                <w:rPr>
                  <w:rFonts w:ascii="Arial" w:hAnsi="Arial" w:cs="Arial"/>
                  <w:webHidden/>
                  <w:sz w:val="22"/>
                  <w:szCs w:val="22"/>
                </w:rPr>
                <w:fldChar w:fldCharType="end"/>
              </w:r>
            </w:hyperlink>
          </w:p>
          <w:p w14:paraId="25D1F164" w14:textId="200C99E3" w:rsidR="00E131AF" w:rsidRPr="00E4265B" w:rsidRDefault="00B275AE">
            <w:pPr>
              <w:pStyle w:val="TOC3"/>
              <w:rPr>
                <w:rFonts w:ascii="Arial" w:eastAsiaTheme="minorEastAsia" w:hAnsi="Arial" w:cs="Arial"/>
                <w:sz w:val="22"/>
                <w:szCs w:val="22"/>
                <w:lang w:val="en-GB" w:eastAsia="en-GB"/>
              </w:rPr>
            </w:pPr>
            <w:hyperlink w:anchor="_Toc33622449" w:history="1">
              <w:r w:rsidR="00E131AF" w:rsidRPr="00E4265B">
                <w:rPr>
                  <w:rStyle w:val="Hyperlink"/>
                  <w:rFonts w:ascii="Arial" w:hAnsi="Arial" w:cs="Arial"/>
                  <w:sz w:val="22"/>
                  <w:szCs w:val="22"/>
                </w:rPr>
                <w:t>8.4</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Financial Group Large Exposure limits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_Toc33622449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193</w:t>
              </w:r>
              <w:r w:rsidR="00E131AF" w:rsidRPr="00E4265B">
                <w:rPr>
                  <w:rFonts w:ascii="Arial" w:hAnsi="Arial" w:cs="Arial"/>
                  <w:webHidden/>
                  <w:sz w:val="22"/>
                  <w:szCs w:val="22"/>
                </w:rPr>
                <w:fldChar w:fldCharType="end"/>
              </w:r>
            </w:hyperlink>
          </w:p>
          <w:p w14:paraId="02265DDA" w14:textId="07CACFA0" w:rsidR="00E131AF" w:rsidRPr="00E4265B" w:rsidRDefault="00B275AE">
            <w:pPr>
              <w:pStyle w:val="TOC3"/>
              <w:rPr>
                <w:rFonts w:ascii="Arial" w:eastAsiaTheme="minorEastAsia" w:hAnsi="Arial" w:cs="Arial"/>
                <w:sz w:val="22"/>
                <w:szCs w:val="22"/>
                <w:lang w:val="en-GB" w:eastAsia="en-GB"/>
              </w:rPr>
            </w:pPr>
            <w:hyperlink w:anchor="_Toc33622450" w:history="1">
              <w:r w:rsidR="00E131AF" w:rsidRPr="00E4265B">
                <w:rPr>
                  <w:rStyle w:val="Hyperlink"/>
                  <w:rFonts w:ascii="Arial" w:hAnsi="Arial" w:cs="Arial"/>
                  <w:sz w:val="22"/>
                  <w:szCs w:val="22"/>
                </w:rPr>
                <w:t>8.5</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Restrictions on ownership or control</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_Toc33622450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193</w:t>
              </w:r>
              <w:r w:rsidR="00E131AF" w:rsidRPr="00E4265B">
                <w:rPr>
                  <w:rFonts w:ascii="Arial" w:hAnsi="Arial" w:cs="Arial"/>
                  <w:webHidden/>
                  <w:sz w:val="22"/>
                  <w:szCs w:val="22"/>
                </w:rPr>
                <w:fldChar w:fldCharType="end"/>
              </w:r>
            </w:hyperlink>
          </w:p>
          <w:p w14:paraId="14EB237A" w14:textId="31235D6A" w:rsidR="00E131AF" w:rsidRPr="00E4265B" w:rsidRDefault="00B275AE">
            <w:pPr>
              <w:pStyle w:val="TOC1"/>
              <w:rPr>
                <w:rFonts w:ascii="Arial" w:eastAsiaTheme="minorEastAsia" w:hAnsi="Arial" w:cs="Arial"/>
                <w:b w:val="0"/>
                <w:noProof/>
                <w:sz w:val="22"/>
                <w:szCs w:val="22"/>
                <w:lang w:val="en-GB" w:eastAsia="en-GB"/>
              </w:rPr>
            </w:pPr>
            <w:hyperlink w:anchor="_Toc33622451" w:history="1">
              <w:r w:rsidR="00E131AF" w:rsidRPr="00E4265B">
                <w:rPr>
                  <w:rStyle w:val="Hyperlink"/>
                  <w:rFonts w:ascii="Arial" w:hAnsi="Arial" w:cs="Arial"/>
                  <w:noProof/>
                  <w:sz w:val="22"/>
                  <w:szCs w:val="22"/>
                  <w:lang w:val="en-GB"/>
                </w:rPr>
                <w:t>9</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LIQUIDITY RISK</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_Toc33622451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195</w:t>
              </w:r>
              <w:r w:rsidR="00E131AF" w:rsidRPr="00E4265B">
                <w:rPr>
                  <w:rFonts w:ascii="Arial" w:hAnsi="Arial" w:cs="Arial"/>
                  <w:noProof/>
                  <w:webHidden/>
                  <w:sz w:val="22"/>
                  <w:szCs w:val="22"/>
                </w:rPr>
                <w:fldChar w:fldCharType="end"/>
              </w:r>
            </w:hyperlink>
          </w:p>
          <w:p w14:paraId="1BBCCA67" w14:textId="4A75494C" w:rsidR="00E131AF" w:rsidRPr="00E4265B" w:rsidRDefault="00B275AE">
            <w:pPr>
              <w:pStyle w:val="TOC3"/>
              <w:rPr>
                <w:rFonts w:ascii="Arial" w:eastAsiaTheme="minorEastAsia" w:hAnsi="Arial" w:cs="Arial"/>
                <w:sz w:val="22"/>
                <w:szCs w:val="22"/>
                <w:lang w:val="en-GB" w:eastAsia="en-GB"/>
              </w:rPr>
            </w:pPr>
            <w:hyperlink w:anchor="_Toc33622452" w:history="1">
              <w:r w:rsidR="00E131AF" w:rsidRPr="00E4265B">
                <w:rPr>
                  <w:rStyle w:val="Hyperlink"/>
                  <w:rFonts w:ascii="Arial" w:hAnsi="Arial" w:cs="Arial"/>
                  <w:sz w:val="22"/>
                  <w:szCs w:val="22"/>
                </w:rPr>
                <w:t>9.1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Application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_Toc33622452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195</w:t>
              </w:r>
              <w:r w:rsidR="00E131AF" w:rsidRPr="00E4265B">
                <w:rPr>
                  <w:rFonts w:ascii="Arial" w:hAnsi="Arial" w:cs="Arial"/>
                  <w:webHidden/>
                  <w:sz w:val="22"/>
                  <w:szCs w:val="22"/>
                </w:rPr>
                <w:fldChar w:fldCharType="end"/>
              </w:r>
            </w:hyperlink>
          </w:p>
          <w:p w14:paraId="34AD9C0C" w14:textId="12F7E4CB" w:rsidR="00E131AF" w:rsidRPr="00E4265B" w:rsidRDefault="00B275AE">
            <w:pPr>
              <w:pStyle w:val="TOC3"/>
              <w:rPr>
                <w:rFonts w:ascii="Arial" w:eastAsiaTheme="minorEastAsia" w:hAnsi="Arial" w:cs="Arial"/>
                <w:sz w:val="22"/>
                <w:szCs w:val="22"/>
                <w:lang w:val="en-GB" w:eastAsia="en-GB"/>
              </w:rPr>
            </w:pPr>
            <w:hyperlink w:anchor="_Toc33622453" w:history="1">
              <w:r w:rsidR="00E131AF" w:rsidRPr="00E4265B">
                <w:rPr>
                  <w:rStyle w:val="Hyperlink"/>
                  <w:rFonts w:ascii="Arial" w:hAnsi="Arial" w:cs="Arial"/>
                  <w:sz w:val="22"/>
                  <w:szCs w:val="22"/>
                </w:rPr>
                <w:t>9.2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Liquidity Risk policy systems and controls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_Toc33622453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195</w:t>
              </w:r>
              <w:r w:rsidR="00E131AF" w:rsidRPr="00E4265B">
                <w:rPr>
                  <w:rFonts w:ascii="Arial" w:hAnsi="Arial" w:cs="Arial"/>
                  <w:webHidden/>
                  <w:sz w:val="22"/>
                  <w:szCs w:val="22"/>
                </w:rPr>
                <w:fldChar w:fldCharType="end"/>
              </w:r>
            </w:hyperlink>
          </w:p>
          <w:p w14:paraId="03484EE8" w14:textId="6574D630" w:rsidR="00E131AF" w:rsidRPr="00E4265B" w:rsidRDefault="00B275AE">
            <w:pPr>
              <w:pStyle w:val="TOC3"/>
              <w:rPr>
                <w:rFonts w:ascii="Arial" w:eastAsiaTheme="minorEastAsia" w:hAnsi="Arial" w:cs="Arial"/>
                <w:sz w:val="22"/>
                <w:szCs w:val="22"/>
                <w:lang w:val="en-GB" w:eastAsia="en-GB"/>
              </w:rPr>
            </w:pPr>
            <w:hyperlink w:anchor="_Toc33622454" w:history="1">
              <w:r w:rsidR="00E131AF" w:rsidRPr="00E4265B">
                <w:rPr>
                  <w:rStyle w:val="Hyperlink"/>
                  <w:rFonts w:ascii="Arial" w:hAnsi="Arial" w:cs="Arial"/>
                  <w:sz w:val="22"/>
                  <w:szCs w:val="22"/>
                </w:rPr>
                <w:t>9.3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Liquidity requirements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_Toc33622454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203</w:t>
              </w:r>
              <w:r w:rsidR="00E131AF" w:rsidRPr="00E4265B">
                <w:rPr>
                  <w:rFonts w:ascii="Arial" w:hAnsi="Arial" w:cs="Arial"/>
                  <w:webHidden/>
                  <w:sz w:val="22"/>
                  <w:szCs w:val="22"/>
                </w:rPr>
                <w:fldChar w:fldCharType="end"/>
              </w:r>
            </w:hyperlink>
          </w:p>
          <w:p w14:paraId="0807C5E5" w14:textId="7FE97864" w:rsidR="00E131AF" w:rsidRPr="00E4265B" w:rsidRDefault="00B275AE">
            <w:pPr>
              <w:pStyle w:val="TOC1"/>
              <w:rPr>
                <w:rFonts w:ascii="Arial" w:eastAsiaTheme="minorEastAsia" w:hAnsi="Arial" w:cs="Arial"/>
                <w:b w:val="0"/>
                <w:noProof/>
                <w:sz w:val="22"/>
                <w:szCs w:val="22"/>
                <w:lang w:val="en-GB" w:eastAsia="en-GB"/>
              </w:rPr>
            </w:pPr>
            <w:hyperlink w:anchor="_Toc33622455" w:history="1">
              <w:r w:rsidR="00E131AF" w:rsidRPr="00E4265B">
                <w:rPr>
                  <w:rStyle w:val="Hyperlink"/>
                  <w:rFonts w:ascii="Arial" w:hAnsi="Arial" w:cs="Arial"/>
                  <w:noProof/>
                  <w:sz w:val="22"/>
                  <w:szCs w:val="22"/>
                  <w:lang w:val="en-GB"/>
                </w:rPr>
                <w:t>10</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SUPERVISORY REVIEW AND EVALUATION PROCESS</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_Toc33622455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207</w:t>
              </w:r>
              <w:r w:rsidR="00E131AF" w:rsidRPr="00E4265B">
                <w:rPr>
                  <w:rFonts w:ascii="Arial" w:hAnsi="Arial" w:cs="Arial"/>
                  <w:noProof/>
                  <w:webHidden/>
                  <w:sz w:val="22"/>
                  <w:szCs w:val="22"/>
                </w:rPr>
                <w:fldChar w:fldCharType="end"/>
              </w:r>
            </w:hyperlink>
          </w:p>
          <w:p w14:paraId="2D3F8ABB" w14:textId="7127A54E" w:rsidR="00E131AF" w:rsidRPr="00E4265B" w:rsidRDefault="00B275AE">
            <w:pPr>
              <w:pStyle w:val="TOC3"/>
              <w:rPr>
                <w:rFonts w:ascii="Arial" w:eastAsiaTheme="minorEastAsia" w:hAnsi="Arial" w:cs="Arial"/>
                <w:sz w:val="22"/>
                <w:szCs w:val="22"/>
                <w:lang w:val="en-GB" w:eastAsia="en-GB"/>
              </w:rPr>
            </w:pPr>
            <w:hyperlink w:anchor="_Toc33622456" w:history="1">
              <w:r w:rsidR="00E131AF" w:rsidRPr="00E4265B">
                <w:rPr>
                  <w:rStyle w:val="Hyperlink"/>
                  <w:rFonts w:ascii="Arial" w:hAnsi="Arial" w:cs="Arial"/>
                  <w:sz w:val="22"/>
                  <w:szCs w:val="22"/>
                </w:rPr>
                <w:t>10.1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Application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_Toc33622456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207</w:t>
              </w:r>
              <w:r w:rsidR="00E131AF" w:rsidRPr="00E4265B">
                <w:rPr>
                  <w:rFonts w:ascii="Arial" w:hAnsi="Arial" w:cs="Arial"/>
                  <w:webHidden/>
                  <w:sz w:val="22"/>
                  <w:szCs w:val="22"/>
                </w:rPr>
                <w:fldChar w:fldCharType="end"/>
              </w:r>
            </w:hyperlink>
          </w:p>
          <w:p w14:paraId="79B9FCAA" w14:textId="51680821" w:rsidR="00E131AF" w:rsidRPr="00E4265B" w:rsidRDefault="00B275AE">
            <w:pPr>
              <w:pStyle w:val="TOC3"/>
              <w:rPr>
                <w:rFonts w:ascii="Arial" w:eastAsiaTheme="minorEastAsia" w:hAnsi="Arial" w:cs="Arial"/>
                <w:sz w:val="22"/>
                <w:szCs w:val="22"/>
                <w:lang w:val="en-GB" w:eastAsia="en-GB"/>
              </w:rPr>
            </w:pPr>
            <w:hyperlink w:anchor="_Toc33622457" w:history="1">
              <w:r w:rsidR="00E131AF" w:rsidRPr="00E4265B">
                <w:rPr>
                  <w:rStyle w:val="Hyperlink"/>
                  <w:rFonts w:ascii="Arial" w:hAnsi="Arial" w:cs="Arial"/>
                  <w:sz w:val="22"/>
                  <w:szCs w:val="22"/>
                </w:rPr>
                <w:t>10.2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Overview</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_Toc33622457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207</w:t>
              </w:r>
              <w:r w:rsidR="00E131AF" w:rsidRPr="00E4265B">
                <w:rPr>
                  <w:rFonts w:ascii="Arial" w:hAnsi="Arial" w:cs="Arial"/>
                  <w:webHidden/>
                  <w:sz w:val="22"/>
                  <w:szCs w:val="22"/>
                </w:rPr>
                <w:fldChar w:fldCharType="end"/>
              </w:r>
            </w:hyperlink>
          </w:p>
          <w:p w14:paraId="6F1F076B" w14:textId="45363F5E" w:rsidR="00E131AF" w:rsidRPr="00E4265B" w:rsidRDefault="00B275AE">
            <w:pPr>
              <w:pStyle w:val="TOC3"/>
              <w:rPr>
                <w:rFonts w:ascii="Arial" w:eastAsiaTheme="minorEastAsia" w:hAnsi="Arial" w:cs="Arial"/>
                <w:sz w:val="22"/>
                <w:szCs w:val="22"/>
                <w:lang w:val="en-GB" w:eastAsia="en-GB"/>
              </w:rPr>
            </w:pPr>
            <w:hyperlink w:anchor="_Toc33622458" w:history="1">
              <w:r w:rsidR="00E131AF" w:rsidRPr="00E4265B">
                <w:rPr>
                  <w:rStyle w:val="Hyperlink"/>
                  <w:rFonts w:ascii="Arial" w:hAnsi="Arial" w:cs="Arial"/>
                  <w:sz w:val="22"/>
                  <w:szCs w:val="22"/>
                </w:rPr>
                <w:t>10.3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IRAP</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_Toc33622458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208</w:t>
              </w:r>
              <w:r w:rsidR="00E131AF" w:rsidRPr="00E4265B">
                <w:rPr>
                  <w:rFonts w:ascii="Arial" w:hAnsi="Arial" w:cs="Arial"/>
                  <w:webHidden/>
                  <w:sz w:val="22"/>
                  <w:szCs w:val="22"/>
                </w:rPr>
                <w:fldChar w:fldCharType="end"/>
              </w:r>
            </w:hyperlink>
          </w:p>
          <w:p w14:paraId="146C8DA2" w14:textId="5AC64C1A" w:rsidR="00E131AF" w:rsidRPr="00E4265B" w:rsidRDefault="00B275AE">
            <w:pPr>
              <w:pStyle w:val="TOC3"/>
              <w:rPr>
                <w:rFonts w:ascii="Arial" w:eastAsiaTheme="minorEastAsia" w:hAnsi="Arial" w:cs="Arial"/>
                <w:sz w:val="22"/>
                <w:szCs w:val="22"/>
                <w:lang w:val="en-GB" w:eastAsia="en-GB"/>
              </w:rPr>
            </w:pPr>
            <w:hyperlink w:anchor="_Toc33622459" w:history="1">
              <w:r w:rsidR="00E131AF" w:rsidRPr="00E4265B">
                <w:rPr>
                  <w:rStyle w:val="Hyperlink"/>
                  <w:rFonts w:ascii="Arial" w:hAnsi="Arial" w:cs="Arial"/>
                  <w:sz w:val="22"/>
                  <w:szCs w:val="22"/>
                </w:rPr>
                <w:t>10.4</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ICAAP</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_Toc33622459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209</w:t>
              </w:r>
              <w:r w:rsidR="00E131AF" w:rsidRPr="00E4265B">
                <w:rPr>
                  <w:rFonts w:ascii="Arial" w:hAnsi="Arial" w:cs="Arial"/>
                  <w:webHidden/>
                  <w:sz w:val="22"/>
                  <w:szCs w:val="22"/>
                </w:rPr>
                <w:fldChar w:fldCharType="end"/>
              </w:r>
            </w:hyperlink>
          </w:p>
          <w:p w14:paraId="238239C6" w14:textId="5114BA7C" w:rsidR="00E131AF" w:rsidRPr="00E4265B" w:rsidRDefault="00B275AE">
            <w:pPr>
              <w:pStyle w:val="TOC3"/>
              <w:rPr>
                <w:rFonts w:ascii="Arial" w:eastAsiaTheme="minorEastAsia" w:hAnsi="Arial" w:cs="Arial"/>
                <w:sz w:val="22"/>
                <w:szCs w:val="22"/>
                <w:lang w:val="en-GB" w:eastAsia="en-GB"/>
              </w:rPr>
            </w:pPr>
            <w:hyperlink w:anchor="_Toc33622460" w:history="1">
              <w:r w:rsidR="00E131AF" w:rsidRPr="00E4265B">
                <w:rPr>
                  <w:rStyle w:val="Hyperlink"/>
                  <w:rFonts w:ascii="Arial" w:hAnsi="Arial" w:cs="Arial"/>
                  <w:sz w:val="22"/>
                  <w:szCs w:val="22"/>
                </w:rPr>
                <w:t>10.5</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SREP</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_Toc33622460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210</w:t>
              </w:r>
              <w:r w:rsidR="00E131AF" w:rsidRPr="00E4265B">
                <w:rPr>
                  <w:rFonts w:ascii="Arial" w:hAnsi="Arial" w:cs="Arial"/>
                  <w:webHidden/>
                  <w:sz w:val="22"/>
                  <w:szCs w:val="22"/>
                </w:rPr>
                <w:fldChar w:fldCharType="end"/>
              </w:r>
            </w:hyperlink>
          </w:p>
          <w:p w14:paraId="55EF2410" w14:textId="5FAD91CB" w:rsidR="00E131AF" w:rsidRPr="00E4265B" w:rsidRDefault="00B275AE">
            <w:pPr>
              <w:pStyle w:val="TOC3"/>
              <w:rPr>
                <w:rFonts w:ascii="Arial" w:eastAsiaTheme="minorEastAsia" w:hAnsi="Arial" w:cs="Arial"/>
                <w:sz w:val="22"/>
                <w:szCs w:val="22"/>
                <w:lang w:val="en-GB" w:eastAsia="en-GB"/>
              </w:rPr>
            </w:pPr>
            <w:hyperlink w:anchor="_Toc33622461" w:history="1">
              <w:r w:rsidR="00E131AF" w:rsidRPr="00E4265B">
                <w:rPr>
                  <w:rStyle w:val="Hyperlink"/>
                  <w:rFonts w:ascii="Arial" w:hAnsi="Arial" w:cs="Arial"/>
                  <w:sz w:val="22"/>
                  <w:szCs w:val="22"/>
                </w:rPr>
                <w:t>10.6</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Imposition of an Individual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_Toc33622461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210</w:t>
              </w:r>
              <w:r w:rsidR="00E131AF" w:rsidRPr="00E4265B">
                <w:rPr>
                  <w:rFonts w:ascii="Arial" w:hAnsi="Arial" w:cs="Arial"/>
                  <w:webHidden/>
                  <w:sz w:val="22"/>
                  <w:szCs w:val="22"/>
                </w:rPr>
                <w:fldChar w:fldCharType="end"/>
              </w:r>
            </w:hyperlink>
          </w:p>
          <w:p w14:paraId="5247706C" w14:textId="5D0AA102" w:rsidR="00E131AF" w:rsidRPr="00E4265B" w:rsidRDefault="00B275AE">
            <w:pPr>
              <w:pStyle w:val="TOC1"/>
              <w:rPr>
                <w:rFonts w:ascii="Arial" w:eastAsiaTheme="minorEastAsia" w:hAnsi="Arial" w:cs="Arial"/>
                <w:b w:val="0"/>
                <w:noProof/>
                <w:sz w:val="22"/>
                <w:szCs w:val="22"/>
                <w:lang w:val="en-GB" w:eastAsia="en-GB"/>
              </w:rPr>
            </w:pPr>
            <w:hyperlink w:anchor="_Toc33622462" w:history="1">
              <w:r w:rsidR="00E131AF" w:rsidRPr="00E4265B">
                <w:rPr>
                  <w:rStyle w:val="Hyperlink"/>
                  <w:rFonts w:ascii="Arial" w:hAnsi="Arial" w:cs="Arial"/>
                  <w:noProof/>
                  <w:sz w:val="22"/>
                  <w:szCs w:val="22"/>
                  <w:lang w:val="en-GB"/>
                </w:rPr>
                <w:t>11</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DISCLOSURE REQUIREMENTS</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_Toc33622462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212</w:t>
              </w:r>
              <w:r w:rsidR="00E131AF" w:rsidRPr="00E4265B">
                <w:rPr>
                  <w:rFonts w:ascii="Arial" w:hAnsi="Arial" w:cs="Arial"/>
                  <w:noProof/>
                  <w:webHidden/>
                  <w:sz w:val="22"/>
                  <w:szCs w:val="22"/>
                </w:rPr>
                <w:fldChar w:fldCharType="end"/>
              </w:r>
            </w:hyperlink>
          </w:p>
          <w:p w14:paraId="19B0CDAE" w14:textId="6C93EBDD" w:rsidR="00E131AF" w:rsidRPr="00E4265B" w:rsidRDefault="00B275AE">
            <w:pPr>
              <w:pStyle w:val="TOC3"/>
              <w:rPr>
                <w:rFonts w:ascii="Arial" w:eastAsiaTheme="minorEastAsia" w:hAnsi="Arial" w:cs="Arial"/>
                <w:sz w:val="22"/>
                <w:szCs w:val="22"/>
                <w:lang w:val="en-GB" w:eastAsia="en-GB"/>
              </w:rPr>
            </w:pPr>
            <w:hyperlink w:anchor="_Toc33622463" w:history="1">
              <w:r w:rsidR="00E131AF" w:rsidRPr="00E4265B">
                <w:rPr>
                  <w:rStyle w:val="Hyperlink"/>
                  <w:rFonts w:ascii="Arial" w:hAnsi="Arial" w:cs="Arial"/>
                  <w:sz w:val="22"/>
                  <w:szCs w:val="22"/>
                </w:rPr>
                <w:t>11.1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Application and general obligation of disclosure</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_Toc33622463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212</w:t>
              </w:r>
              <w:r w:rsidR="00E131AF" w:rsidRPr="00E4265B">
                <w:rPr>
                  <w:rFonts w:ascii="Arial" w:hAnsi="Arial" w:cs="Arial"/>
                  <w:webHidden/>
                  <w:sz w:val="22"/>
                  <w:szCs w:val="22"/>
                </w:rPr>
                <w:fldChar w:fldCharType="end"/>
              </w:r>
            </w:hyperlink>
          </w:p>
          <w:p w14:paraId="2ECF5C03" w14:textId="1C6CFC5E" w:rsidR="00E131AF" w:rsidRPr="00E4265B" w:rsidRDefault="00B275AE">
            <w:pPr>
              <w:pStyle w:val="TOC3"/>
              <w:rPr>
                <w:rFonts w:ascii="Arial" w:eastAsiaTheme="minorEastAsia" w:hAnsi="Arial" w:cs="Arial"/>
                <w:sz w:val="22"/>
                <w:szCs w:val="22"/>
                <w:lang w:val="en-GB" w:eastAsia="en-GB"/>
              </w:rPr>
            </w:pPr>
            <w:hyperlink w:anchor="_Toc33622464" w:history="1">
              <w:r w:rsidR="00E131AF" w:rsidRPr="00E4265B">
                <w:rPr>
                  <w:rStyle w:val="Hyperlink"/>
                  <w:rFonts w:ascii="Arial" w:hAnsi="Arial" w:cs="Arial"/>
                  <w:sz w:val="22"/>
                  <w:szCs w:val="22"/>
                </w:rPr>
                <w:t>11.2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Disclosure policy</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_Toc33622464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212</w:t>
              </w:r>
              <w:r w:rsidR="00E131AF" w:rsidRPr="00E4265B">
                <w:rPr>
                  <w:rFonts w:ascii="Arial" w:hAnsi="Arial" w:cs="Arial"/>
                  <w:webHidden/>
                  <w:sz w:val="22"/>
                  <w:szCs w:val="22"/>
                </w:rPr>
                <w:fldChar w:fldCharType="end"/>
              </w:r>
            </w:hyperlink>
          </w:p>
          <w:p w14:paraId="6409A3B9" w14:textId="3B33CE34" w:rsidR="00E131AF" w:rsidRPr="00E4265B" w:rsidRDefault="00B275AE">
            <w:pPr>
              <w:pStyle w:val="TOC3"/>
              <w:rPr>
                <w:rFonts w:ascii="Arial" w:eastAsiaTheme="minorEastAsia" w:hAnsi="Arial" w:cs="Arial"/>
                <w:sz w:val="22"/>
                <w:szCs w:val="22"/>
                <w:lang w:val="en-GB" w:eastAsia="en-GB"/>
              </w:rPr>
            </w:pPr>
            <w:hyperlink w:anchor="_Toc33622465" w:history="1">
              <w:r w:rsidR="00E131AF" w:rsidRPr="00E4265B">
                <w:rPr>
                  <w:rStyle w:val="Hyperlink"/>
                  <w:rFonts w:ascii="Arial" w:hAnsi="Arial" w:cs="Arial"/>
                  <w:sz w:val="22"/>
                  <w:szCs w:val="22"/>
                </w:rPr>
                <w:t>11.3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Disclosure frequency, locations and process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_Toc33622465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213</w:t>
              </w:r>
              <w:r w:rsidR="00E131AF" w:rsidRPr="00E4265B">
                <w:rPr>
                  <w:rFonts w:ascii="Arial" w:hAnsi="Arial" w:cs="Arial"/>
                  <w:webHidden/>
                  <w:sz w:val="22"/>
                  <w:szCs w:val="22"/>
                </w:rPr>
                <w:fldChar w:fldCharType="end"/>
              </w:r>
            </w:hyperlink>
          </w:p>
          <w:p w14:paraId="60DAD8BB" w14:textId="6DAF3605" w:rsidR="00E131AF" w:rsidRPr="00E4265B" w:rsidRDefault="00B275AE">
            <w:pPr>
              <w:pStyle w:val="TOC1"/>
              <w:rPr>
                <w:rFonts w:ascii="Arial" w:eastAsiaTheme="minorEastAsia" w:hAnsi="Arial" w:cs="Arial"/>
                <w:b w:val="0"/>
                <w:noProof/>
                <w:sz w:val="22"/>
                <w:szCs w:val="22"/>
                <w:lang w:val="en-GB" w:eastAsia="en-GB"/>
              </w:rPr>
            </w:pPr>
            <w:hyperlink w:anchor="_Toc33622466" w:history="1">
              <w:r w:rsidR="00E131AF" w:rsidRPr="00E4265B">
                <w:rPr>
                  <w:rStyle w:val="Hyperlink"/>
                  <w:rFonts w:ascii="Arial" w:hAnsi="Arial" w:cs="Arial"/>
                  <w:noProof/>
                  <w:sz w:val="22"/>
                  <w:szCs w:val="22"/>
                  <w:lang w:val="en-GB"/>
                </w:rPr>
                <w:t>APP1</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CATEGORIES OF AUTHORISED PERSONS</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_Toc33622466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215</w:t>
              </w:r>
              <w:r w:rsidR="00E131AF" w:rsidRPr="00E4265B">
                <w:rPr>
                  <w:rFonts w:ascii="Arial" w:hAnsi="Arial" w:cs="Arial"/>
                  <w:noProof/>
                  <w:webHidden/>
                  <w:sz w:val="22"/>
                  <w:szCs w:val="22"/>
                </w:rPr>
                <w:fldChar w:fldCharType="end"/>
              </w:r>
            </w:hyperlink>
          </w:p>
          <w:p w14:paraId="46B966AF" w14:textId="38F6A5DD" w:rsidR="00E131AF" w:rsidRPr="00E4265B" w:rsidRDefault="00B275AE">
            <w:pPr>
              <w:pStyle w:val="TOC3"/>
              <w:rPr>
                <w:rFonts w:ascii="Arial" w:eastAsiaTheme="minorEastAsia" w:hAnsi="Arial" w:cs="Arial"/>
                <w:sz w:val="22"/>
                <w:szCs w:val="22"/>
                <w:lang w:val="en-GB" w:eastAsia="en-GB"/>
              </w:rPr>
            </w:pPr>
            <w:hyperlink w:anchor="_Toc33622467" w:history="1">
              <w:r w:rsidR="00E131AF" w:rsidRPr="00E4265B">
                <w:rPr>
                  <w:rStyle w:val="Hyperlink"/>
                  <w:rFonts w:ascii="Arial" w:hAnsi="Arial" w:cs="Arial"/>
                  <w:sz w:val="22"/>
                  <w:szCs w:val="22"/>
                </w:rPr>
                <w:t>A1.1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Categorisation of Authorised Persons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_Toc33622467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215</w:t>
              </w:r>
              <w:r w:rsidR="00E131AF" w:rsidRPr="00E4265B">
                <w:rPr>
                  <w:rFonts w:ascii="Arial" w:hAnsi="Arial" w:cs="Arial"/>
                  <w:webHidden/>
                  <w:sz w:val="22"/>
                  <w:szCs w:val="22"/>
                </w:rPr>
                <w:fldChar w:fldCharType="end"/>
              </w:r>
            </w:hyperlink>
          </w:p>
          <w:p w14:paraId="51A51EDD" w14:textId="37EB1ADF" w:rsidR="00E131AF" w:rsidRPr="00E4265B" w:rsidRDefault="00B275AE">
            <w:pPr>
              <w:pStyle w:val="TOC1"/>
              <w:rPr>
                <w:rFonts w:ascii="Arial" w:eastAsiaTheme="minorEastAsia" w:hAnsi="Arial" w:cs="Arial"/>
                <w:b w:val="0"/>
                <w:noProof/>
                <w:sz w:val="22"/>
                <w:szCs w:val="22"/>
                <w:lang w:val="en-GB" w:eastAsia="en-GB"/>
              </w:rPr>
            </w:pPr>
            <w:hyperlink w:anchor="_Toc33622468" w:history="1">
              <w:r w:rsidR="00E131AF" w:rsidRPr="00E4265B">
                <w:rPr>
                  <w:rStyle w:val="Hyperlink"/>
                  <w:rFonts w:ascii="Arial" w:hAnsi="Arial" w:cs="Arial"/>
                  <w:noProof/>
                  <w:sz w:val="22"/>
                  <w:szCs w:val="22"/>
                  <w:lang w:val="en-GB"/>
                </w:rPr>
                <w:t>APP2</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GENERAL REQUIREMENTS</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_Toc33622468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217</w:t>
              </w:r>
              <w:r w:rsidR="00E131AF" w:rsidRPr="00E4265B">
                <w:rPr>
                  <w:rFonts w:ascii="Arial" w:hAnsi="Arial" w:cs="Arial"/>
                  <w:noProof/>
                  <w:webHidden/>
                  <w:sz w:val="22"/>
                  <w:szCs w:val="22"/>
                </w:rPr>
                <w:fldChar w:fldCharType="end"/>
              </w:r>
            </w:hyperlink>
          </w:p>
          <w:p w14:paraId="469DF594" w14:textId="356842B3" w:rsidR="00E131AF" w:rsidRPr="00E4265B" w:rsidRDefault="00B275AE">
            <w:pPr>
              <w:pStyle w:val="TOC3"/>
              <w:rPr>
                <w:rFonts w:ascii="Arial" w:eastAsiaTheme="minorEastAsia" w:hAnsi="Arial" w:cs="Arial"/>
                <w:sz w:val="22"/>
                <w:szCs w:val="22"/>
                <w:lang w:val="en-GB" w:eastAsia="en-GB"/>
              </w:rPr>
            </w:pPr>
            <w:hyperlink w:anchor="_Toc33622469" w:history="1">
              <w:r w:rsidR="00E131AF" w:rsidRPr="00E4265B">
                <w:rPr>
                  <w:rStyle w:val="Hyperlink"/>
                  <w:rFonts w:ascii="Arial" w:hAnsi="Arial" w:cs="Arial"/>
                  <w:sz w:val="22"/>
                  <w:szCs w:val="22"/>
                </w:rPr>
                <w:t>A2.1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Detail in the Trading Book</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_Toc33622469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217</w:t>
              </w:r>
              <w:r w:rsidR="00E131AF" w:rsidRPr="00E4265B">
                <w:rPr>
                  <w:rFonts w:ascii="Arial" w:hAnsi="Arial" w:cs="Arial"/>
                  <w:webHidden/>
                  <w:sz w:val="22"/>
                  <w:szCs w:val="22"/>
                </w:rPr>
                <w:fldChar w:fldCharType="end"/>
              </w:r>
            </w:hyperlink>
          </w:p>
          <w:p w14:paraId="34E2FAD2" w14:textId="02229F69" w:rsidR="00E131AF" w:rsidRPr="00E4265B" w:rsidRDefault="00B275AE">
            <w:pPr>
              <w:pStyle w:val="TOC3"/>
              <w:rPr>
                <w:rFonts w:ascii="Arial" w:eastAsiaTheme="minorEastAsia" w:hAnsi="Arial" w:cs="Arial"/>
                <w:sz w:val="22"/>
                <w:szCs w:val="22"/>
                <w:lang w:val="en-GB" w:eastAsia="en-GB"/>
              </w:rPr>
            </w:pPr>
            <w:hyperlink w:anchor="_Toc33622470" w:history="1">
              <w:r w:rsidR="00E131AF" w:rsidRPr="00E4265B">
                <w:rPr>
                  <w:rStyle w:val="Hyperlink"/>
                  <w:rFonts w:ascii="Arial" w:hAnsi="Arial" w:cs="Arial"/>
                  <w:sz w:val="22"/>
                  <w:szCs w:val="22"/>
                </w:rPr>
                <w:t>A2.2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Trading Book policy</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_Toc33622470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223</w:t>
              </w:r>
              <w:r w:rsidR="00E131AF" w:rsidRPr="00E4265B">
                <w:rPr>
                  <w:rFonts w:ascii="Arial" w:hAnsi="Arial" w:cs="Arial"/>
                  <w:webHidden/>
                  <w:sz w:val="22"/>
                  <w:szCs w:val="22"/>
                </w:rPr>
                <w:fldChar w:fldCharType="end"/>
              </w:r>
            </w:hyperlink>
          </w:p>
          <w:p w14:paraId="02BD0BC8" w14:textId="09FAD5A6" w:rsidR="00E131AF" w:rsidRPr="00E4265B" w:rsidRDefault="00B275AE">
            <w:pPr>
              <w:pStyle w:val="TOC3"/>
              <w:rPr>
                <w:rFonts w:ascii="Arial" w:eastAsiaTheme="minorEastAsia" w:hAnsi="Arial" w:cs="Arial"/>
                <w:sz w:val="22"/>
                <w:szCs w:val="22"/>
                <w:lang w:val="en-GB" w:eastAsia="en-GB"/>
              </w:rPr>
            </w:pPr>
            <w:hyperlink w:anchor="_Toc33622471" w:history="1">
              <w:r w:rsidR="00E131AF" w:rsidRPr="00E4265B">
                <w:rPr>
                  <w:rStyle w:val="Hyperlink"/>
                  <w:rFonts w:ascii="Arial" w:hAnsi="Arial" w:cs="Arial"/>
                  <w:sz w:val="22"/>
                  <w:szCs w:val="22"/>
                </w:rPr>
                <w:t>A2.3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Risk management systems and controls for Trading Book</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_Toc33622471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226</w:t>
              </w:r>
              <w:r w:rsidR="00E131AF" w:rsidRPr="00E4265B">
                <w:rPr>
                  <w:rFonts w:ascii="Arial" w:hAnsi="Arial" w:cs="Arial"/>
                  <w:webHidden/>
                  <w:sz w:val="22"/>
                  <w:szCs w:val="22"/>
                </w:rPr>
                <w:fldChar w:fldCharType="end"/>
              </w:r>
            </w:hyperlink>
          </w:p>
          <w:p w14:paraId="2979A1B1" w14:textId="7A5C8348" w:rsidR="00E131AF" w:rsidRPr="00E4265B" w:rsidRDefault="00B275AE">
            <w:pPr>
              <w:pStyle w:val="TOC3"/>
              <w:rPr>
                <w:rFonts w:ascii="Arial" w:eastAsiaTheme="minorEastAsia" w:hAnsi="Arial" w:cs="Arial"/>
                <w:sz w:val="22"/>
                <w:szCs w:val="22"/>
                <w:lang w:val="en-GB" w:eastAsia="en-GB"/>
              </w:rPr>
            </w:pPr>
            <w:hyperlink w:anchor="_Toc33622472" w:history="1">
              <w:r w:rsidR="00E131AF" w:rsidRPr="00E4265B">
                <w:rPr>
                  <w:rStyle w:val="Hyperlink"/>
                  <w:rFonts w:ascii="Arial" w:hAnsi="Arial" w:cs="Arial"/>
                  <w:sz w:val="22"/>
                  <w:szCs w:val="22"/>
                </w:rPr>
                <w:t>A2.4</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Reporting to the Regulator</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_Toc33622472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226</w:t>
              </w:r>
              <w:r w:rsidR="00E131AF" w:rsidRPr="00E4265B">
                <w:rPr>
                  <w:rFonts w:ascii="Arial" w:hAnsi="Arial" w:cs="Arial"/>
                  <w:webHidden/>
                  <w:sz w:val="22"/>
                  <w:szCs w:val="22"/>
                </w:rPr>
                <w:fldChar w:fldCharType="end"/>
              </w:r>
            </w:hyperlink>
          </w:p>
          <w:p w14:paraId="3A3CD952" w14:textId="183A0AFB" w:rsidR="00E131AF" w:rsidRPr="00E4265B" w:rsidRDefault="00B275AE">
            <w:pPr>
              <w:pStyle w:val="TOC3"/>
              <w:rPr>
                <w:rFonts w:ascii="Arial" w:eastAsiaTheme="minorEastAsia" w:hAnsi="Arial" w:cs="Arial"/>
                <w:sz w:val="22"/>
                <w:szCs w:val="22"/>
                <w:lang w:val="en-GB" w:eastAsia="en-GB"/>
              </w:rPr>
            </w:pPr>
            <w:hyperlink w:anchor="_Toc33622473" w:history="1">
              <w:r w:rsidR="00E131AF" w:rsidRPr="00E4265B">
                <w:rPr>
                  <w:rStyle w:val="Hyperlink"/>
                  <w:rFonts w:ascii="Arial" w:hAnsi="Arial" w:cs="Arial"/>
                  <w:sz w:val="22"/>
                  <w:szCs w:val="22"/>
                </w:rPr>
                <w:t>A2.5 </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Prudent Valuation Practices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_Toc33622473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226</w:t>
              </w:r>
              <w:r w:rsidR="00E131AF" w:rsidRPr="00E4265B">
                <w:rPr>
                  <w:rFonts w:ascii="Arial" w:hAnsi="Arial" w:cs="Arial"/>
                  <w:webHidden/>
                  <w:sz w:val="22"/>
                  <w:szCs w:val="22"/>
                </w:rPr>
                <w:fldChar w:fldCharType="end"/>
              </w:r>
            </w:hyperlink>
          </w:p>
          <w:p w14:paraId="4B69FD59" w14:textId="4A7A60F8" w:rsidR="00E131AF" w:rsidRPr="00E4265B" w:rsidRDefault="00B275AE">
            <w:pPr>
              <w:pStyle w:val="TOC1"/>
              <w:rPr>
                <w:rFonts w:ascii="Arial" w:eastAsiaTheme="minorEastAsia" w:hAnsi="Arial" w:cs="Arial"/>
                <w:b w:val="0"/>
                <w:noProof/>
                <w:sz w:val="22"/>
                <w:szCs w:val="22"/>
                <w:lang w:val="en-GB" w:eastAsia="en-GB"/>
              </w:rPr>
            </w:pPr>
            <w:hyperlink w:anchor="_Toc33622474" w:history="1">
              <w:r w:rsidR="00E131AF" w:rsidRPr="00E4265B">
                <w:rPr>
                  <w:rStyle w:val="Hyperlink"/>
                  <w:rFonts w:ascii="Arial" w:hAnsi="Arial" w:cs="Arial"/>
                  <w:noProof/>
                  <w:sz w:val="22"/>
                  <w:szCs w:val="22"/>
                  <w:lang w:val="en-GB"/>
                </w:rPr>
                <w:t>APP3</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CAPITAL AND LEVERAGE</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_Toc33622474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230</w:t>
              </w:r>
              <w:r w:rsidR="00E131AF" w:rsidRPr="00E4265B">
                <w:rPr>
                  <w:rFonts w:ascii="Arial" w:hAnsi="Arial" w:cs="Arial"/>
                  <w:noProof/>
                  <w:webHidden/>
                  <w:sz w:val="22"/>
                  <w:szCs w:val="22"/>
                </w:rPr>
                <w:fldChar w:fldCharType="end"/>
              </w:r>
            </w:hyperlink>
          </w:p>
          <w:p w14:paraId="3C292203" w14:textId="5D5E2700" w:rsidR="00E131AF" w:rsidRPr="00E4265B" w:rsidRDefault="00B275AE">
            <w:pPr>
              <w:pStyle w:val="TOC3"/>
              <w:rPr>
                <w:rFonts w:ascii="Arial" w:eastAsiaTheme="minorEastAsia" w:hAnsi="Arial" w:cs="Arial"/>
                <w:sz w:val="22"/>
                <w:szCs w:val="22"/>
                <w:lang w:val="en-GB" w:eastAsia="en-GB"/>
              </w:rPr>
            </w:pPr>
            <w:hyperlink w:anchor="_Toc33622475" w:history="1">
              <w:r w:rsidR="00E131AF" w:rsidRPr="00E4265B">
                <w:rPr>
                  <w:rStyle w:val="Hyperlink"/>
                  <w:rFonts w:ascii="Arial" w:hAnsi="Arial" w:cs="Arial"/>
                  <w:sz w:val="22"/>
                  <w:szCs w:val="22"/>
                </w:rPr>
                <w:t>A3.1 </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Stress and scenario testing</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_Toc33622475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230</w:t>
              </w:r>
              <w:r w:rsidR="00E131AF" w:rsidRPr="00E4265B">
                <w:rPr>
                  <w:rFonts w:ascii="Arial" w:hAnsi="Arial" w:cs="Arial"/>
                  <w:webHidden/>
                  <w:sz w:val="22"/>
                  <w:szCs w:val="22"/>
                </w:rPr>
                <w:fldChar w:fldCharType="end"/>
              </w:r>
            </w:hyperlink>
          </w:p>
          <w:p w14:paraId="110AAF66" w14:textId="45603444" w:rsidR="00E131AF" w:rsidRPr="00E4265B" w:rsidRDefault="00B275AE">
            <w:pPr>
              <w:pStyle w:val="TOC3"/>
              <w:rPr>
                <w:rFonts w:ascii="Arial" w:eastAsiaTheme="minorEastAsia" w:hAnsi="Arial" w:cs="Arial"/>
                <w:sz w:val="22"/>
                <w:szCs w:val="22"/>
                <w:lang w:val="en-GB" w:eastAsia="en-GB"/>
              </w:rPr>
            </w:pPr>
            <w:hyperlink w:anchor="_Toc33622476" w:history="1">
              <w:r w:rsidR="00E131AF" w:rsidRPr="00E4265B">
                <w:rPr>
                  <w:rStyle w:val="Hyperlink"/>
                  <w:rFonts w:ascii="Arial" w:hAnsi="Arial" w:cs="Arial"/>
                  <w:sz w:val="22"/>
                  <w:szCs w:val="22"/>
                </w:rPr>
                <w:t>A3.2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Capital Requirements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_Toc33622476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232</w:t>
              </w:r>
              <w:r w:rsidR="00E131AF" w:rsidRPr="00E4265B">
                <w:rPr>
                  <w:rFonts w:ascii="Arial" w:hAnsi="Arial" w:cs="Arial"/>
                  <w:webHidden/>
                  <w:sz w:val="22"/>
                  <w:szCs w:val="22"/>
                </w:rPr>
                <w:fldChar w:fldCharType="end"/>
              </w:r>
            </w:hyperlink>
          </w:p>
          <w:p w14:paraId="61F79B84" w14:textId="2611EA87" w:rsidR="00E131AF" w:rsidRPr="00E4265B" w:rsidRDefault="00B275AE">
            <w:pPr>
              <w:pStyle w:val="TOC1"/>
              <w:rPr>
                <w:rFonts w:ascii="Arial" w:eastAsiaTheme="minorEastAsia" w:hAnsi="Arial" w:cs="Arial"/>
                <w:b w:val="0"/>
                <w:noProof/>
                <w:sz w:val="22"/>
                <w:szCs w:val="22"/>
                <w:lang w:val="en-GB" w:eastAsia="en-GB"/>
              </w:rPr>
            </w:pPr>
            <w:hyperlink w:anchor="_Toc33622477" w:history="1">
              <w:r w:rsidR="00E131AF" w:rsidRPr="00E4265B">
                <w:rPr>
                  <w:rStyle w:val="Hyperlink"/>
                  <w:rFonts w:ascii="Arial" w:hAnsi="Arial" w:cs="Arial"/>
                  <w:noProof/>
                  <w:sz w:val="22"/>
                  <w:szCs w:val="22"/>
                  <w:lang w:val="en-GB"/>
                </w:rPr>
                <w:t>APP4</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CREDIT RISK</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_Toc33622477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236</w:t>
              </w:r>
              <w:r w:rsidR="00E131AF" w:rsidRPr="00E4265B">
                <w:rPr>
                  <w:rFonts w:ascii="Arial" w:hAnsi="Arial" w:cs="Arial"/>
                  <w:noProof/>
                  <w:webHidden/>
                  <w:sz w:val="22"/>
                  <w:szCs w:val="22"/>
                </w:rPr>
                <w:fldChar w:fldCharType="end"/>
              </w:r>
            </w:hyperlink>
          </w:p>
          <w:p w14:paraId="73161162" w14:textId="0E88811E" w:rsidR="00E131AF" w:rsidRPr="00E4265B" w:rsidRDefault="00B275AE">
            <w:pPr>
              <w:pStyle w:val="TOC3"/>
              <w:rPr>
                <w:rFonts w:ascii="Arial" w:eastAsiaTheme="minorEastAsia" w:hAnsi="Arial" w:cs="Arial"/>
                <w:sz w:val="22"/>
                <w:szCs w:val="22"/>
                <w:lang w:val="en-GB" w:eastAsia="en-GB"/>
              </w:rPr>
            </w:pPr>
            <w:hyperlink w:anchor="_Toc33622478" w:history="1">
              <w:r w:rsidR="00E131AF" w:rsidRPr="00E4265B">
                <w:rPr>
                  <w:rStyle w:val="Hyperlink"/>
                  <w:rFonts w:ascii="Arial" w:hAnsi="Arial" w:cs="Arial"/>
                  <w:sz w:val="22"/>
                  <w:szCs w:val="22"/>
                </w:rPr>
                <w:t>A4.1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Credit Risk systems and controls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_Toc33622478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236</w:t>
              </w:r>
              <w:r w:rsidR="00E131AF" w:rsidRPr="00E4265B">
                <w:rPr>
                  <w:rFonts w:ascii="Arial" w:hAnsi="Arial" w:cs="Arial"/>
                  <w:webHidden/>
                  <w:sz w:val="22"/>
                  <w:szCs w:val="22"/>
                </w:rPr>
                <w:fldChar w:fldCharType="end"/>
              </w:r>
            </w:hyperlink>
          </w:p>
          <w:p w14:paraId="30A5D52A" w14:textId="70D6DD83" w:rsidR="00E131AF" w:rsidRPr="00E4265B" w:rsidRDefault="00B275AE">
            <w:pPr>
              <w:pStyle w:val="TOC3"/>
              <w:rPr>
                <w:rFonts w:ascii="Arial" w:eastAsiaTheme="minorEastAsia" w:hAnsi="Arial" w:cs="Arial"/>
                <w:sz w:val="22"/>
                <w:szCs w:val="22"/>
                <w:lang w:val="en-GB" w:eastAsia="en-GB"/>
              </w:rPr>
            </w:pPr>
            <w:hyperlink w:anchor="_Toc33622479" w:history="1">
              <w:r w:rsidR="00E131AF" w:rsidRPr="00E4265B">
                <w:rPr>
                  <w:rStyle w:val="Hyperlink"/>
                  <w:rFonts w:ascii="Arial" w:hAnsi="Arial" w:cs="Arial"/>
                  <w:sz w:val="22"/>
                  <w:szCs w:val="22"/>
                </w:rPr>
                <w:t>A4.2 </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Credit conversion factors (CCFs) for calculating Exposures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_Toc33622479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249</w:t>
              </w:r>
              <w:r w:rsidR="00E131AF" w:rsidRPr="00E4265B">
                <w:rPr>
                  <w:rFonts w:ascii="Arial" w:hAnsi="Arial" w:cs="Arial"/>
                  <w:webHidden/>
                  <w:sz w:val="22"/>
                  <w:szCs w:val="22"/>
                </w:rPr>
                <w:fldChar w:fldCharType="end"/>
              </w:r>
            </w:hyperlink>
          </w:p>
          <w:p w14:paraId="64EF69C6" w14:textId="6B385A86" w:rsidR="00E131AF" w:rsidRPr="00E4265B" w:rsidRDefault="00B275AE">
            <w:pPr>
              <w:pStyle w:val="TOC3"/>
              <w:rPr>
                <w:rFonts w:ascii="Arial" w:eastAsiaTheme="minorEastAsia" w:hAnsi="Arial" w:cs="Arial"/>
                <w:sz w:val="22"/>
                <w:szCs w:val="22"/>
                <w:lang w:val="en-GB" w:eastAsia="en-GB"/>
              </w:rPr>
            </w:pPr>
            <w:hyperlink w:anchor="_Toc33622480" w:history="1">
              <w:r w:rsidR="00E131AF" w:rsidRPr="00E4265B">
                <w:rPr>
                  <w:rStyle w:val="Hyperlink"/>
                  <w:rFonts w:ascii="Arial" w:hAnsi="Arial" w:cs="Arial"/>
                  <w:sz w:val="22"/>
                  <w:szCs w:val="22"/>
                </w:rPr>
                <w:t>A4.3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Collateral calculations and haircuts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_Toc33622480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250</w:t>
              </w:r>
              <w:r w:rsidR="00E131AF" w:rsidRPr="00E4265B">
                <w:rPr>
                  <w:rFonts w:ascii="Arial" w:hAnsi="Arial" w:cs="Arial"/>
                  <w:webHidden/>
                  <w:sz w:val="22"/>
                  <w:szCs w:val="22"/>
                </w:rPr>
                <w:fldChar w:fldCharType="end"/>
              </w:r>
            </w:hyperlink>
          </w:p>
          <w:p w14:paraId="4FB9AFA3" w14:textId="4A0D5533" w:rsidR="00E131AF" w:rsidRPr="00E4265B" w:rsidRDefault="00B275AE">
            <w:pPr>
              <w:pStyle w:val="TOC3"/>
              <w:rPr>
                <w:rFonts w:ascii="Arial" w:eastAsiaTheme="minorEastAsia" w:hAnsi="Arial" w:cs="Arial"/>
                <w:sz w:val="22"/>
                <w:szCs w:val="22"/>
                <w:lang w:val="en-GB" w:eastAsia="en-GB"/>
              </w:rPr>
            </w:pPr>
            <w:hyperlink w:anchor="_Toc33622481" w:history="1">
              <w:r w:rsidR="00E131AF" w:rsidRPr="00E4265B">
                <w:rPr>
                  <w:rStyle w:val="Hyperlink"/>
                  <w:rFonts w:ascii="Arial" w:hAnsi="Arial" w:cs="Arial"/>
                  <w:sz w:val="22"/>
                  <w:szCs w:val="22"/>
                </w:rPr>
                <w:t>A4.4</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Qualifying Securities Financing Transactions (SFTs)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_Toc33622481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259</w:t>
              </w:r>
              <w:r w:rsidR="00E131AF" w:rsidRPr="00E4265B">
                <w:rPr>
                  <w:rFonts w:ascii="Arial" w:hAnsi="Arial" w:cs="Arial"/>
                  <w:webHidden/>
                  <w:sz w:val="22"/>
                  <w:szCs w:val="22"/>
                </w:rPr>
                <w:fldChar w:fldCharType="end"/>
              </w:r>
            </w:hyperlink>
          </w:p>
          <w:p w14:paraId="2193F0D6" w14:textId="6453E0FD" w:rsidR="00E131AF" w:rsidRPr="00E4265B" w:rsidRDefault="00B275AE">
            <w:pPr>
              <w:pStyle w:val="TOC3"/>
              <w:rPr>
                <w:rFonts w:ascii="Arial" w:eastAsiaTheme="minorEastAsia" w:hAnsi="Arial" w:cs="Arial"/>
                <w:sz w:val="22"/>
                <w:szCs w:val="22"/>
                <w:lang w:val="en-GB" w:eastAsia="en-GB"/>
              </w:rPr>
            </w:pPr>
            <w:hyperlink w:anchor="_Toc33622482" w:history="1">
              <w:r w:rsidR="00E131AF" w:rsidRPr="00E4265B">
                <w:rPr>
                  <w:rStyle w:val="Hyperlink"/>
                  <w:rFonts w:ascii="Arial" w:hAnsi="Arial" w:cs="Arial"/>
                  <w:sz w:val="22"/>
                  <w:szCs w:val="22"/>
                </w:rPr>
                <w:t>A4.5 </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Requirements for use of VaR models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_Toc33622482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260</w:t>
              </w:r>
              <w:r w:rsidR="00E131AF" w:rsidRPr="00E4265B">
                <w:rPr>
                  <w:rFonts w:ascii="Arial" w:hAnsi="Arial" w:cs="Arial"/>
                  <w:webHidden/>
                  <w:sz w:val="22"/>
                  <w:szCs w:val="22"/>
                </w:rPr>
                <w:fldChar w:fldCharType="end"/>
              </w:r>
            </w:hyperlink>
          </w:p>
          <w:p w14:paraId="438AF571" w14:textId="5C8A1796" w:rsidR="00E131AF" w:rsidRPr="00E4265B" w:rsidRDefault="00B275AE">
            <w:pPr>
              <w:pStyle w:val="TOC3"/>
              <w:rPr>
                <w:rFonts w:ascii="Arial" w:eastAsiaTheme="minorEastAsia" w:hAnsi="Arial" w:cs="Arial"/>
                <w:sz w:val="22"/>
                <w:szCs w:val="22"/>
                <w:lang w:val="en-GB" w:eastAsia="en-GB"/>
              </w:rPr>
            </w:pPr>
            <w:hyperlink w:anchor="_Toc33622483" w:history="1">
              <w:r w:rsidR="00E131AF" w:rsidRPr="00E4265B">
                <w:rPr>
                  <w:rStyle w:val="Hyperlink"/>
                  <w:rFonts w:ascii="Arial" w:hAnsi="Arial" w:cs="Arial"/>
                  <w:sz w:val="22"/>
                  <w:szCs w:val="22"/>
                </w:rPr>
                <w:t>A4.6 </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 xml:space="preserve">Credit RWA </w:t>
              </w:r>
              <w:r w:rsidR="00E131AF" w:rsidRPr="00E4265B">
                <w:rPr>
                  <w:rStyle w:val="Hyperlink"/>
                  <w:rFonts w:ascii="Arial" w:hAnsi="Arial" w:cs="Arial"/>
                  <w:sz w:val="22"/>
                  <w:szCs w:val="22"/>
                </w:rPr>
                <w:noBreakHyphen/>
                <w:t xml:space="preserve"> Unsettled Transactions, free deliveries, Derivatives and long settlement transactions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_Toc33622483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261</w:t>
              </w:r>
              <w:r w:rsidR="00E131AF" w:rsidRPr="00E4265B">
                <w:rPr>
                  <w:rFonts w:ascii="Arial" w:hAnsi="Arial" w:cs="Arial"/>
                  <w:webHidden/>
                  <w:sz w:val="22"/>
                  <w:szCs w:val="22"/>
                </w:rPr>
                <w:fldChar w:fldCharType="end"/>
              </w:r>
            </w:hyperlink>
          </w:p>
          <w:p w14:paraId="44F6D6A1" w14:textId="7C57CFC9" w:rsidR="00E131AF" w:rsidRPr="00E4265B" w:rsidRDefault="00B275AE">
            <w:pPr>
              <w:pStyle w:val="TOC3"/>
              <w:rPr>
                <w:rFonts w:ascii="Arial" w:eastAsiaTheme="minorEastAsia" w:hAnsi="Arial" w:cs="Arial"/>
                <w:sz w:val="22"/>
                <w:szCs w:val="22"/>
                <w:lang w:val="en-GB" w:eastAsia="en-GB"/>
              </w:rPr>
            </w:pPr>
            <w:hyperlink w:anchor="_Toc33622484" w:history="1">
              <w:r w:rsidR="00E131AF" w:rsidRPr="00E4265B">
                <w:rPr>
                  <w:rStyle w:val="Hyperlink"/>
                  <w:rFonts w:ascii="Arial" w:hAnsi="Arial" w:cs="Arial"/>
                  <w:sz w:val="22"/>
                  <w:szCs w:val="22"/>
                </w:rPr>
                <w:t>A4.7 </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 xml:space="preserve">Credit RWA </w:t>
              </w:r>
              <w:r w:rsidR="00E131AF" w:rsidRPr="00E4265B">
                <w:rPr>
                  <w:rStyle w:val="Hyperlink"/>
                  <w:rFonts w:ascii="Arial" w:hAnsi="Arial" w:cs="Arial"/>
                  <w:sz w:val="22"/>
                  <w:szCs w:val="22"/>
                </w:rPr>
                <w:noBreakHyphen/>
                <w:t xml:space="preserve"> repurchase agreements, reverse repurchase agreements, similar transactions and other deferred settlements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_Toc33622484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274</w:t>
              </w:r>
              <w:r w:rsidR="00E131AF" w:rsidRPr="00E4265B">
                <w:rPr>
                  <w:rFonts w:ascii="Arial" w:hAnsi="Arial" w:cs="Arial"/>
                  <w:webHidden/>
                  <w:sz w:val="22"/>
                  <w:szCs w:val="22"/>
                </w:rPr>
                <w:fldChar w:fldCharType="end"/>
              </w:r>
            </w:hyperlink>
          </w:p>
          <w:p w14:paraId="4C94AB84" w14:textId="4341275B" w:rsidR="00E131AF" w:rsidRPr="00E4265B" w:rsidRDefault="00B275AE">
            <w:pPr>
              <w:pStyle w:val="TOC3"/>
              <w:rPr>
                <w:rFonts w:ascii="Arial" w:eastAsiaTheme="minorEastAsia" w:hAnsi="Arial" w:cs="Arial"/>
                <w:sz w:val="22"/>
                <w:szCs w:val="22"/>
                <w:lang w:val="en-GB" w:eastAsia="en-GB"/>
              </w:rPr>
            </w:pPr>
            <w:hyperlink w:anchor="_Toc33622485" w:history="1">
              <w:r w:rsidR="00E131AF" w:rsidRPr="00E4265B">
                <w:rPr>
                  <w:rStyle w:val="Hyperlink"/>
                  <w:rFonts w:ascii="Arial" w:hAnsi="Arial" w:cs="Arial"/>
                  <w:sz w:val="22"/>
                  <w:szCs w:val="22"/>
                </w:rPr>
                <w:t>A4.8 </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 xml:space="preserve">Credit RWA </w:t>
              </w:r>
              <w:r w:rsidR="00E131AF" w:rsidRPr="00E4265B">
                <w:rPr>
                  <w:rStyle w:val="Hyperlink"/>
                  <w:rFonts w:ascii="Arial" w:hAnsi="Arial" w:cs="Arial"/>
                  <w:sz w:val="22"/>
                  <w:szCs w:val="22"/>
                </w:rPr>
                <w:noBreakHyphen/>
                <w:t xml:space="preserve"> other Trading Book transactions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_Toc33622485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275</w:t>
              </w:r>
              <w:r w:rsidR="00E131AF" w:rsidRPr="00E4265B">
                <w:rPr>
                  <w:rFonts w:ascii="Arial" w:hAnsi="Arial" w:cs="Arial"/>
                  <w:webHidden/>
                  <w:sz w:val="22"/>
                  <w:szCs w:val="22"/>
                </w:rPr>
                <w:fldChar w:fldCharType="end"/>
              </w:r>
            </w:hyperlink>
          </w:p>
          <w:p w14:paraId="7E84B64C" w14:textId="65597B02" w:rsidR="00E131AF" w:rsidRPr="00E4265B" w:rsidRDefault="00B275AE">
            <w:pPr>
              <w:pStyle w:val="TOC3"/>
              <w:rPr>
                <w:rFonts w:ascii="Arial" w:eastAsiaTheme="minorEastAsia" w:hAnsi="Arial" w:cs="Arial"/>
                <w:sz w:val="22"/>
                <w:szCs w:val="22"/>
                <w:lang w:val="en-GB" w:eastAsia="en-GB"/>
              </w:rPr>
            </w:pPr>
            <w:hyperlink w:anchor="_Toc33622486" w:history="1">
              <w:r w:rsidR="00E131AF" w:rsidRPr="00E4265B">
                <w:rPr>
                  <w:rStyle w:val="Hyperlink"/>
                  <w:rFonts w:ascii="Arial" w:hAnsi="Arial" w:cs="Arial"/>
                  <w:sz w:val="22"/>
                  <w:szCs w:val="22"/>
                </w:rPr>
                <w:t>A4.9 </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Exposures to central counterparties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_Toc33622486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275</w:t>
              </w:r>
              <w:r w:rsidR="00E131AF" w:rsidRPr="00E4265B">
                <w:rPr>
                  <w:rFonts w:ascii="Arial" w:hAnsi="Arial" w:cs="Arial"/>
                  <w:webHidden/>
                  <w:sz w:val="22"/>
                  <w:szCs w:val="22"/>
                </w:rPr>
                <w:fldChar w:fldCharType="end"/>
              </w:r>
            </w:hyperlink>
          </w:p>
          <w:p w14:paraId="44528F86" w14:textId="4ADA4AA2" w:rsidR="00E131AF" w:rsidRPr="00E4265B" w:rsidRDefault="00B275AE">
            <w:pPr>
              <w:pStyle w:val="TOC3"/>
              <w:rPr>
                <w:rFonts w:ascii="Arial" w:eastAsiaTheme="minorEastAsia" w:hAnsi="Arial" w:cs="Arial"/>
                <w:sz w:val="22"/>
                <w:szCs w:val="22"/>
                <w:lang w:val="en-GB" w:eastAsia="en-GB"/>
              </w:rPr>
            </w:pPr>
            <w:hyperlink w:anchor="_Toc33622487" w:history="1">
              <w:r w:rsidR="00E131AF" w:rsidRPr="00E4265B">
                <w:rPr>
                  <w:rStyle w:val="Hyperlink"/>
                  <w:rFonts w:ascii="Arial" w:hAnsi="Arial" w:cs="Arial"/>
                  <w:sz w:val="22"/>
                  <w:szCs w:val="22"/>
                </w:rPr>
                <w:t>A4.10</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Securitisation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_Toc33622487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281</w:t>
              </w:r>
              <w:r w:rsidR="00E131AF" w:rsidRPr="00E4265B">
                <w:rPr>
                  <w:rFonts w:ascii="Arial" w:hAnsi="Arial" w:cs="Arial"/>
                  <w:webHidden/>
                  <w:sz w:val="22"/>
                  <w:szCs w:val="22"/>
                </w:rPr>
                <w:fldChar w:fldCharType="end"/>
              </w:r>
            </w:hyperlink>
          </w:p>
          <w:p w14:paraId="2E58E2B8" w14:textId="1CE043B1" w:rsidR="00E131AF" w:rsidRPr="00E4265B" w:rsidRDefault="00B275AE">
            <w:pPr>
              <w:pStyle w:val="TOC3"/>
              <w:rPr>
                <w:rFonts w:ascii="Arial" w:eastAsiaTheme="minorEastAsia" w:hAnsi="Arial" w:cs="Arial"/>
                <w:sz w:val="22"/>
                <w:szCs w:val="22"/>
                <w:lang w:val="en-GB" w:eastAsia="en-GB"/>
              </w:rPr>
            </w:pPr>
            <w:hyperlink w:anchor="_Toc33622488" w:history="1">
              <w:r w:rsidR="00E131AF" w:rsidRPr="00E4265B">
                <w:rPr>
                  <w:rStyle w:val="Hyperlink"/>
                  <w:rFonts w:ascii="Arial" w:hAnsi="Arial" w:cs="Arial"/>
                  <w:sz w:val="22"/>
                  <w:szCs w:val="22"/>
                </w:rPr>
                <w:t>A4.11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Large Exposures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_Toc33622488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285</w:t>
              </w:r>
              <w:r w:rsidR="00E131AF" w:rsidRPr="00E4265B">
                <w:rPr>
                  <w:rFonts w:ascii="Arial" w:hAnsi="Arial" w:cs="Arial"/>
                  <w:webHidden/>
                  <w:sz w:val="22"/>
                  <w:szCs w:val="22"/>
                </w:rPr>
                <w:fldChar w:fldCharType="end"/>
              </w:r>
            </w:hyperlink>
          </w:p>
          <w:p w14:paraId="22FE7AEC" w14:textId="0979A548" w:rsidR="00E131AF" w:rsidRPr="00E4265B" w:rsidRDefault="00B275AE">
            <w:pPr>
              <w:pStyle w:val="TOC3"/>
              <w:rPr>
                <w:rFonts w:ascii="Arial" w:eastAsiaTheme="minorEastAsia" w:hAnsi="Arial" w:cs="Arial"/>
                <w:sz w:val="22"/>
                <w:szCs w:val="22"/>
                <w:lang w:val="en-GB" w:eastAsia="en-GB"/>
              </w:rPr>
            </w:pPr>
            <w:hyperlink w:anchor="_Toc33622489" w:history="1">
              <w:r w:rsidR="00E131AF" w:rsidRPr="00E4265B">
                <w:rPr>
                  <w:rStyle w:val="Hyperlink"/>
                  <w:rFonts w:ascii="Arial" w:hAnsi="Arial" w:cs="Arial"/>
                  <w:sz w:val="22"/>
                  <w:szCs w:val="22"/>
                </w:rPr>
                <w:t>A4.12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The Simplified Approach for Category 2 and 3A firms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_Toc33622489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292</w:t>
              </w:r>
              <w:r w:rsidR="00E131AF" w:rsidRPr="00E4265B">
                <w:rPr>
                  <w:rFonts w:ascii="Arial" w:hAnsi="Arial" w:cs="Arial"/>
                  <w:webHidden/>
                  <w:sz w:val="22"/>
                  <w:szCs w:val="22"/>
                </w:rPr>
                <w:fldChar w:fldCharType="end"/>
              </w:r>
            </w:hyperlink>
          </w:p>
          <w:p w14:paraId="17BE6D8E" w14:textId="4AC2A0AF" w:rsidR="00E131AF" w:rsidRPr="00E4265B" w:rsidRDefault="00B275AE">
            <w:pPr>
              <w:pStyle w:val="TOC1"/>
              <w:rPr>
                <w:rFonts w:ascii="Arial" w:eastAsiaTheme="minorEastAsia" w:hAnsi="Arial" w:cs="Arial"/>
                <w:b w:val="0"/>
                <w:noProof/>
                <w:sz w:val="22"/>
                <w:szCs w:val="22"/>
                <w:lang w:val="en-GB" w:eastAsia="en-GB"/>
              </w:rPr>
            </w:pPr>
            <w:hyperlink w:anchor="_Toc33622490" w:history="1">
              <w:r w:rsidR="00E131AF" w:rsidRPr="00E4265B">
                <w:rPr>
                  <w:rStyle w:val="Hyperlink"/>
                  <w:rFonts w:ascii="Arial" w:hAnsi="Arial" w:cs="Arial"/>
                  <w:noProof/>
                  <w:sz w:val="22"/>
                  <w:szCs w:val="22"/>
                  <w:lang w:val="en-GB"/>
                </w:rPr>
                <w:t>APP5</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CREDIT VALUATION ADJUSTMENT (CVA) RISK</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_Toc33622490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295</w:t>
              </w:r>
              <w:r w:rsidR="00E131AF" w:rsidRPr="00E4265B">
                <w:rPr>
                  <w:rFonts w:ascii="Arial" w:hAnsi="Arial" w:cs="Arial"/>
                  <w:noProof/>
                  <w:webHidden/>
                  <w:sz w:val="22"/>
                  <w:szCs w:val="22"/>
                </w:rPr>
                <w:fldChar w:fldCharType="end"/>
              </w:r>
            </w:hyperlink>
          </w:p>
          <w:p w14:paraId="7F7D8E70" w14:textId="0AE77A77" w:rsidR="00E131AF" w:rsidRPr="00E4265B" w:rsidRDefault="00B275AE">
            <w:pPr>
              <w:pStyle w:val="TOC3"/>
              <w:rPr>
                <w:rFonts w:ascii="Arial" w:eastAsiaTheme="minorEastAsia" w:hAnsi="Arial" w:cs="Arial"/>
                <w:sz w:val="22"/>
                <w:szCs w:val="22"/>
                <w:lang w:val="en-GB" w:eastAsia="en-GB"/>
              </w:rPr>
            </w:pPr>
            <w:hyperlink w:anchor="_Toc33622491" w:history="1">
              <w:r w:rsidR="00E131AF" w:rsidRPr="00E4265B">
                <w:rPr>
                  <w:rStyle w:val="Hyperlink"/>
                  <w:rFonts w:ascii="Arial" w:hAnsi="Arial" w:cs="Arial"/>
                  <w:sz w:val="22"/>
                  <w:szCs w:val="22"/>
                </w:rPr>
                <w:t>A5.1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Meaning of Credit Valuation Adjustment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_Toc33622491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295</w:t>
              </w:r>
              <w:r w:rsidR="00E131AF" w:rsidRPr="00E4265B">
                <w:rPr>
                  <w:rFonts w:ascii="Arial" w:hAnsi="Arial" w:cs="Arial"/>
                  <w:webHidden/>
                  <w:sz w:val="22"/>
                  <w:szCs w:val="22"/>
                </w:rPr>
                <w:fldChar w:fldCharType="end"/>
              </w:r>
            </w:hyperlink>
          </w:p>
          <w:p w14:paraId="0ECE6530" w14:textId="77294FF8" w:rsidR="00E131AF" w:rsidRPr="00E4265B" w:rsidRDefault="00B275AE">
            <w:pPr>
              <w:pStyle w:val="TOC3"/>
              <w:rPr>
                <w:rFonts w:ascii="Arial" w:eastAsiaTheme="minorEastAsia" w:hAnsi="Arial" w:cs="Arial"/>
                <w:sz w:val="22"/>
                <w:szCs w:val="22"/>
                <w:lang w:val="en-GB" w:eastAsia="en-GB"/>
              </w:rPr>
            </w:pPr>
            <w:hyperlink w:anchor="_Toc33622492" w:history="1">
              <w:r w:rsidR="00E131AF" w:rsidRPr="00E4265B">
                <w:rPr>
                  <w:rStyle w:val="Hyperlink"/>
                  <w:rFonts w:ascii="Arial" w:hAnsi="Arial" w:cs="Arial"/>
                  <w:sz w:val="22"/>
                  <w:szCs w:val="22"/>
                </w:rPr>
                <w:t>A5.2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Scope</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_Toc33622492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295</w:t>
              </w:r>
              <w:r w:rsidR="00E131AF" w:rsidRPr="00E4265B">
                <w:rPr>
                  <w:rFonts w:ascii="Arial" w:hAnsi="Arial" w:cs="Arial"/>
                  <w:webHidden/>
                  <w:sz w:val="22"/>
                  <w:szCs w:val="22"/>
                </w:rPr>
                <w:fldChar w:fldCharType="end"/>
              </w:r>
            </w:hyperlink>
          </w:p>
          <w:p w14:paraId="1F0C97B7" w14:textId="6AEB6569" w:rsidR="00E131AF" w:rsidRPr="00E4265B" w:rsidRDefault="00B275AE">
            <w:pPr>
              <w:pStyle w:val="TOC3"/>
              <w:rPr>
                <w:rFonts w:ascii="Arial" w:eastAsiaTheme="minorEastAsia" w:hAnsi="Arial" w:cs="Arial"/>
                <w:sz w:val="22"/>
                <w:szCs w:val="22"/>
                <w:lang w:val="en-GB" w:eastAsia="en-GB"/>
              </w:rPr>
            </w:pPr>
            <w:hyperlink w:anchor="_Toc33622493" w:history="1">
              <w:r w:rsidR="00E131AF" w:rsidRPr="00E4265B">
                <w:rPr>
                  <w:rStyle w:val="Hyperlink"/>
                  <w:rFonts w:ascii="Arial" w:hAnsi="Arial" w:cs="Arial"/>
                  <w:sz w:val="22"/>
                  <w:szCs w:val="22"/>
                </w:rPr>
                <w:t>A5.3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Calculation of CVA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_Toc33622493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295</w:t>
              </w:r>
              <w:r w:rsidR="00E131AF" w:rsidRPr="00E4265B">
                <w:rPr>
                  <w:rFonts w:ascii="Arial" w:hAnsi="Arial" w:cs="Arial"/>
                  <w:webHidden/>
                  <w:sz w:val="22"/>
                  <w:szCs w:val="22"/>
                </w:rPr>
                <w:fldChar w:fldCharType="end"/>
              </w:r>
            </w:hyperlink>
          </w:p>
          <w:p w14:paraId="41250093" w14:textId="4D99BABD" w:rsidR="00E131AF" w:rsidRPr="00E4265B" w:rsidRDefault="00B275AE">
            <w:pPr>
              <w:pStyle w:val="TOC3"/>
              <w:rPr>
                <w:rFonts w:ascii="Arial" w:eastAsiaTheme="minorEastAsia" w:hAnsi="Arial" w:cs="Arial"/>
                <w:sz w:val="22"/>
                <w:szCs w:val="22"/>
                <w:lang w:val="en-GB" w:eastAsia="en-GB"/>
              </w:rPr>
            </w:pPr>
            <w:hyperlink w:anchor="_Toc33622494" w:history="1">
              <w:r w:rsidR="00E131AF" w:rsidRPr="00E4265B">
                <w:rPr>
                  <w:rStyle w:val="Hyperlink"/>
                  <w:rFonts w:ascii="Arial" w:hAnsi="Arial" w:cs="Arial"/>
                  <w:sz w:val="22"/>
                  <w:szCs w:val="22"/>
                </w:rPr>
                <w:t>A5.4</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Eligible hedges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_Toc33622494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297</w:t>
              </w:r>
              <w:r w:rsidR="00E131AF" w:rsidRPr="00E4265B">
                <w:rPr>
                  <w:rFonts w:ascii="Arial" w:hAnsi="Arial" w:cs="Arial"/>
                  <w:webHidden/>
                  <w:sz w:val="22"/>
                  <w:szCs w:val="22"/>
                </w:rPr>
                <w:fldChar w:fldCharType="end"/>
              </w:r>
            </w:hyperlink>
          </w:p>
          <w:p w14:paraId="4393F0FA" w14:textId="49BB8DFD" w:rsidR="00E131AF" w:rsidRPr="00E4265B" w:rsidRDefault="00B275AE">
            <w:pPr>
              <w:pStyle w:val="TOC1"/>
              <w:rPr>
                <w:rFonts w:ascii="Arial" w:eastAsiaTheme="minorEastAsia" w:hAnsi="Arial" w:cs="Arial"/>
                <w:b w:val="0"/>
                <w:noProof/>
                <w:sz w:val="22"/>
                <w:szCs w:val="22"/>
                <w:lang w:val="en-GB" w:eastAsia="en-GB"/>
              </w:rPr>
            </w:pPr>
            <w:hyperlink w:anchor="_Toc33622495" w:history="1">
              <w:r w:rsidR="00E131AF" w:rsidRPr="00E4265B">
                <w:rPr>
                  <w:rStyle w:val="Hyperlink"/>
                  <w:rFonts w:ascii="Arial" w:hAnsi="Arial" w:cs="Arial"/>
                  <w:noProof/>
                  <w:sz w:val="22"/>
                  <w:szCs w:val="22"/>
                  <w:lang w:val="en-GB"/>
                </w:rPr>
                <w:t>APP6</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MARKET RISK</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_Toc33622495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298</w:t>
              </w:r>
              <w:r w:rsidR="00E131AF" w:rsidRPr="00E4265B">
                <w:rPr>
                  <w:rFonts w:ascii="Arial" w:hAnsi="Arial" w:cs="Arial"/>
                  <w:noProof/>
                  <w:webHidden/>
                  <w:sz w:val="22"/>
                  <w:szCs w:val="22"/>
                </w:rPr>
                <w:fldChar w:fldCharType="end"/>
              </w:r>
            </w:hyperlink>
          </w:p>
          <w:p w14:paraId="1D907E0A" w14:textId="13548A05" w:rsidR="00E131AF" w:rsidRPr="00E4265B" w:rsidRDefault="00B275AE">
            <w:pPr>
              <w:pStyle w:val="TOC3"/>
              <w:rPr>
                <w:rFonts w:ascii="Arial" w:eastAsiaTheme="minorEastAsia" w:hAnsi="Arial" w:cs="Arial"/>
                <w:sz w:val="22"/>
                <w:szCs w:val="22"/>
                <w:lang w:val="en-GB" w:eastAsia="en-GB"/>
              </w:rPr>
            </w:pPr>
            <w:hyperlink w:anchor="_Toc33622496" w:history="1">
              <w:r w:rsidR="00E131AF" w:rsidRPr="00E4265B">
                <w:rPr>
                  <w:rStyle w:val="Hyperlink"/>
                  <w:rFonts w:ascii="Arial" w:hAnsi="Arial" w:cs="Arial"/>
                  <w:sz w:val="22"/>
                  <w:szCs w:val="22"/>
                </w:rPr>
                <w:t>A6.1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Market Risk systems and controls</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_Toc33622496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298</w:t>
              </w:r>
              <w:r w:rsidR="00E131AF" w:rsidRPr="00E4265B">
                <w:rPr>
                  <w:rFonts w:ascii="Arial" w:hAnsi="Arial" w:cs="Arial"/>
                  <w:webHidden/>
                  <w:sz w:val="22"/>
                  <w:szCs w:val="22"/>
                </w:rPr>
                <w:fldChar w:fldCharType="end"/>
              </w:r>
            </w:hyperlink>
          </w:p>
          <w:p w14:paraId="4B400998" w14:textId="7DFE3101" w:rsidR="00E131AF" w:rsidRPr="00E4265B" w:rsidRDefault="00B275AE">
            <w:pPr>
              <w:pStyle w:val="TOC3"/>
              <w:rPr>
                <w:rFonts w:ascii="Arial" w:eastAsiaTheme="minorEastAsia" w:hAnsi="Arial" w:cs="Arial"/>
                <w:sz w:val="22"/>
                <w:szCs w:val="22"/>
                <w:lang w:val="en-GB" w:eastAsia="en-GB"/>
              </w:rPr>
            </w:pPr>
            <w:hyperlink w:anchor="_Toc33622497" w:history="1">
              <w:r w:rsidR="00E131AF" w:rsidRPr="00E4265B">
                <w:rPr>
                  <w:rStyle w:val="Hyperlink"/>
                  <w:rFonts w:ascii="Arial" w:hAnsi="Arial" w:cs="Arial"/>
                  <w:sz w:val="22"/>
                  <w:szCs w:val="22"/>
                </w:rPr>
                <w:t>A6.2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Interest Rate Risk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_Toc33622497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300</w:t>
              </w:r>
              <w:r w:rsidR="00E131AF" w:rsidRPr="00E4265B">
                <w:rPr>
                  <w:rFonts w:ascii="Arial" w:hAnsi="Arial" w:cs="Arial"/>
                  <w:webHidden/>
                  <w:sz w:val="22"/>
                  <w:szCs w:val="22"/>
                </w:rPr>
                <w:fldChar w:fldCharType="end"/>
              </w:r>
            </w:hyperlink>
          </w:p>
          <w:p w14:paraId="72BCDC64" w14:textId="0A1D9E88" w:rsidR="00E131AF" w:rsidRPr="00E4265B" w:rsidRDefault="00B275AE">
            <w:pPr>
              <w:pStyle w:val="TOC3"/>
              <w:rPr>
                <w:rFonts w:ascii="Arial" w:eastAsiaTheme="minorEastAsia" w:hAnsi="Arial" w:cs="Arial"/>
                <w:sz w:val="22"/>
                <w:szCs w:val="22"/>
                <w:lang w:val="en-GB" w:eastAsia="en-GB"/>
              </w:rPr>
            </w:pPr>
            <w:hyperlink w:anchor="_Toc33622498" w:history="1">
              <w:r w:rsidR="00E131AF" w:rsidRPr="00E4265B">
                <w:rPr>
                  <w:rStyle w:val="Hyperlink"/>
                  <w:rFonts w:ascii="Arial" w:hAnsi="Arial" w:cs="Arial"/>
                  <w:sz w:val="22"/>
                  <w:szCs w:val="22"/>
                </w:rPr>
                <w:t>A6.3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Equity Risk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_Toc33622498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316</w:t>
              </w:r>
              <w:r w:rsidR="00E131AF" w:rsidRPr="00E4265B">
                <w:rPr>
                  <w:rFonts w:ascii="Arial" w:hAnsi="Arial" w:cs="Arial"/>
                  <w:webHidden/>
                  <w:sz w:val="22"/>
                  <w:szCs w:val="22"/>
                </w:rPr>
                <w:fldChar w:fldCharType="end"/>
              </w:r>
            </w:hyperlink>
          </w:p>
          <w:p w14:paraId="525FCFCE" w14:textId="0E4EB615" w:rsidR="00E131AF" w:rsidRPr="00E4265B" w:rsidRDefault="00B275AE">
            <w:pPr>
              <w:pStyle w:val="TOC3"/>
              <w:rPr>
                <w:rFonts w:ascii="Arial" w:eastAsiaTheme="minorEastAsia" w:hAnsi="Arial" w:cs="Arial"/>
                <w:sz w:val="22"/>
                <w:szCs w:val="22"/>
                <w:lang w:val="en-GB" w:eastAsia="en-GB"/>
              </w:rPr>
            </w:pPr>
            <w:hyperlink w:anchor="_Toc33622499" w:history="1">
              <w:r w:rsidR="00E131AF" w:rsidRPr="00E4265B">
                <w:rPr>
                  <w:rStyle w:val="Hyperlink"/>
                  <w:rFonts w:ascii="Arial" w:hAnsi="Arial" w:cs="Arial"/>
                  <w:sz w:val="22"/>
                  <w:szCs w:val="22"/>
                </w:rPr>
                <w:t>A6.4</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Foreign Exchange Risk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_Toc33622499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322</w:t>
              </w:r>
              <w:r w:rsidR="00E131AF" w:rsidRPr="00E4265B">
                <w:rPr>
                  <w:rFonts w:ascii="Arial" w:hAnsi="Arial" w:cs="Arial"/>
                  <w:webHidden/>
                  <w:sz w:val="22"/>
                  <w:szCs w:val="22"/>
                </w:rPr>
                <w:fldChar w:fldCharType="end"/>
              </w:r>
            </w:hyperlink>
          </w:p>
          <w:p w14:paraId="40B3E5D5" w14:textId="6B5C022D" w:rsidR="00E131AF" w:rsidRPr="00E4265B" w:rsidRDefault="00B275AE">
            <w:pPr>
              <w:pStyle w:val="TOC3"/>
              <w:rPr>
                <w:rFonts w:ascii="Arial" w:eastAsiaTheme="minorEastAsia" w:hAnsi="Arial" w:cs="Arial"/>
                <w:sz w:val="22"/>
                <w:szCs w:val="22"/>
                <w:lang w:val="en-GB" w:eastAsia="en-GB"/>
              </w:rPr>
            </w:pPr>
            <w:hyperlink w:anchor="_Toc33622500" w:history="1">
              <w:r w:rsidR="00E131AF" w:rsidRPr="00E4265B">
                <w:rPr>
                  <w:rStyle w:val="Hyperlink"/>
                  <w:rFonts w:ascii="Arial" w:hAnsi="Arial" w:cs="Arial"/>
                  <w:sz w:val="22"/>
                  <w:szCs w:val="22"/>
                </w:rPr>
                <w:t>A6.5</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Commodities Risk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_Toc33622500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324</w:t>
              </w:r>
              <w:r w:rsidR="00E131AF" w:rsidRPr="00E4265B">
                <w:rPr>
                  <w:rFonts w:ascii="Arial" w:hAnsi="Arial" w:cs="Arial"/>
                  <w:webHidden/>
                  <w:sz w:val="22"/>
                  <w:szCs w:val="22"/>
                </w:rPr>
                <w:fldChar w:fldCharType="end"/>
              </w:r>
            </w:hyperlink>
          </w:p>
          <w:p w14:paraId="5084E79B" w14:textId="167E87DE" w:rsidR="00E131AF" w:rsidRPr="00E4265B" w:rsidRDefault="00B275AE">
            <w:pPr>
              <w:pStyle w:val="TOC3"/>
              <w:rPr>
                <w:rFonts w:ascii="Arial" w:eastAsiaTheme="minorEastAsia" w:hAnsi="Arial" w:cs="Arial"/>
                <w:sz w:val="22"/>
                <w:szCs w:val="22"/>
                <w:lang w:val="en-GB" w:eastAsia="en-GB"/>
              </w:rPr>
            </w:pPr>
            <w:hyperlink w:anchor="_Toc33622501" w:history="1">
              <w:r w:rsidR="00E131AF" w:rsidRPr="00E4265B">
                <w:rPr>
                  <w:rStyle w:val="Hyperlink"/>
                  <w:rFonts w:ascii="Arial" w:hAnsi="Arial" w:cs="Arial"/>
                  <w:sz w:val="22"/>
                  <w:szCs w:val="22"/>
                </w:rPr>
                <w:t>A6.6</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Option Risk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_Toc33622501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328</w:t>
              </w:r>
              <w:r w:rsidR="00E131AF" w:rsidRPr="00E4265B">
                <w:rPr>
                  <w:rFonts w:ascii="Arial" w:hAnsi="Arial" w:cs="Arial"/>
                  <w:webHidden/>
                  <w:sz w:val="22"/>
                  <w:szCs w:val="22"/>
                </w:rPr>
                <w:fldChar w:fldCharType="end"/>
              </w:r>
            </w:hyperlink>
          </w:p>
          <w:p w14:paraId="15B60D3D" w14:textId="1CFEAD1D" w:rsidR="00E131AF" w:rsidRPr="00E4265B" w:rsidRDefault="00B275AE">
            <w:pPr>
              <w:pStyle w:val="TOC3"/>
              <w:rPr>
                <w:rFonts w:ascii="Arial" w:eastAsiaTheme="minorEastAsia" w:hAnsi="Arial" w:cs="Arial"/>
                <w:sz w:val="22"/>
                <w:szCs w:val="22"/>
                <w:lang w:val="en-GB" w:eastAsia="en-GB"/>
              </w:rPr>
            </w:pPr>
            <w:hyperlink w:anchor="_Toc33622502" w:history="1">
              <w:r w:rsidR="00E131AF" w:rsidRPr="00E4265B">
                <w:rPr>
                  <w:rStyle w:val="Hyperlink"/>
                  <w:rFonts w:ascii="Arial" w:hAnsi="Arial" w:cs="Arial"/>
                  <w:sz w:val="22"/>
                  <w:szCs w:val="22"/>
                </w:rPr>
                <w:t>A6.7</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Collective Investment Fund Risk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_Toc33622502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332</w:t>
              </w:r>
              <w:r w:rsidR="00E131AF" w:rsidRPr="00E4265B">
                <w:rPr>
                  <w:rFonts w:ascii="Arial" w:hAnsi="Arial" w:cs="Arial"/>
                  <w:webHidden/>
                  <w:sz w:val="22"/>
                  <w:szCs w:val="22"/>
                </w:rPr>
                <w:fldChar w:fldCharType="end"/>
              </w:r>
            </w:hyperlink>
          </w:p>
          <w:p w14:paraId="04268E2B" w14:textId="573C38AA" w:rsidR="00E131AF" w:rsidRPr="00E4265B" w:rsidRDefault="00B275AE">
            <w:pPr>
              <w:pStyle w:val="TOC3"/>
              <w:rPr>
                <w:rFonts w:ascii="Arial" w:eastAsiaTheme="minorEastAsia" w:hAnsi="Arial" w:cs="Arial"/>
                <w:sz w:val="22"/>
                <w:szCs w:val="22"/>
                <w:lang w:val="en-GB" w:eastAsia="en-GB"/>
              </w:rPr>
            </w:pPr>
            <w:hyperlink w:anchor="_Toc33622503" w:history="1">
              <w:r w:rsidR="00E131AF" w:rsidRPr="00E4265B">
                <w:rPr>
                  <w:rStyle w:val="Hyperlink"/>
                  <w:rFonts w:ascii="Arial" w:hAnsi="Arial" w:cs="Arial"/>
                  <w:sz w:val="22"/>
                  <w:szCs w:val="22"/>
                </w:rPr>
                <w:t>A6.8</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Securities Underwriting Risk Capital Requirement</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_Toc33622503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335</w:t>
              </w:r>
              <w:r w:rsidR="00E131AF" w:rsidRPr="00E4265B">
                <w:rPr>
                  <w:rFonts w:ascii="Arial" w:hAnsi="Arial" w:cs="Arial"/>
                  <w:webHidden/>
                  <w:sz w:val="22"/>
                  <w:szCs w:val="22"/>
                </w:rPr>
                <w:fldChar w:fldCharType="end"/>
              </w:r>
            </w:hyperlink>
          </w:p>
          <w:p w14:paraId="5628B327" w14:textId="62F96A26" w:rsidR="00E131AF" w:rsidRPr="00E4265B" w:rsidRDefault="00B275AE">
            <w:pPr>
              <w:pStyle w:val="TOC3"/>
              <w:rPr>
                <w:rFonts w:ascii="Arial" w:eastAsiaTheme="minorEastAsia" w:hAnsi="Arial" w:cs="Arial"/>
                <w:sz w:val="22"/>
                <w:szCs w:val="22"/>
                <w:lang w:val="en-GB" w:eastAsia="en-GB"/>
              </w:rPr>
            </w:pPr>
            <w:hyperlink w:anchor="_Toc33622504" w:history="1">
              <w:r w:rsidR="00E131AF" w:rsidRPr="00E4265B">
                <w:rPr>
                  <w:rStyle w:val="Hyperlink"/>
                  <w:rFonts w:ascii="Arial" w:hAnsi="Arial" w:cs="Arial"/>
                  <w:sz w:val="22"/>
                  <w:szCs w:val="22"/>
                </w:rPr>
                <w:t>A6.9</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Use of internal models for Market Risk</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_Toc33622504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340</w:t>
              </w:r>
              <w:r w:rsidR="00E131AF" w:rsidRPr="00E4265B">
                <w:rPr>
                  <w:rFonts w:ascii="Arial" w:hAnsi="Arial" w:cs="Arial"/>
                  <w:webHidden/>
                  <w:sz w:val="22"/>
                  <w:szCs w:val="22"/>
                </w:rPr>
                <w:fldChar w:fldCharType="end"/>
              </w:r>
            </w:hyperlink>
          </w:p>
          <w:p w14:paraId="726DCD76" w14:textId="259C4AF0" w:rsidR="00E131AF" w:rsidRPr="00E4265B" w:rsidRDefault="00B275AE">
            <w:pPr>
              <w:pStyle w:val="TOC1"/>
              <w:rPr>
                <w:rFonts w:ascii="Arial" w:eastAsiaTheme="minorEastAsia" w:hAnsi="Arial" w:cs="Arial"/>
                <w:b w:val="0"/>
                <w:noProof/>
                <w:sz w:val="22"/>
                <w:szCs w:val="22"/>
                <w:lang w:val="en-GB" w:eastAsia="en-GB"/>
              </w:rPr>
            </w:pPr>
            <w:hyperlink w:anchor="_Toc33622505" w:history="1">
              <w:r w:rsidR="00E131AF" w:rsidRPr="00E4265B">
                <w:rPr>
                  <w:rStyle w:val="Hyperlink"/>
                  <w:rFonts w:ascii="Arial" w:hAnsi="Arial" w:cs="Arial"/>
                  <w:noProof/>
                  <w:sz w:val="22"/>
                  <w:szCs w:val="22"/>
                  <w:lang w:val="en-GB"/>
                </w:rPr>
                <w:t>APP7</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CALCULATING THE OPERATIONAL RISK CAPITAL REQUIREMENT</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_Toc33622505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354</w:t>
              </w:r>
              <w:r w:rsidR="00E131AF" w:rsidRPr="00E4265B">
                <w:rPr>
                  <w:rFonts w:ascii="Arial" w:hAnsi="Arial" w:cs="Arial"/>
                  <w:noProof/>
                  <w:webHidden/>
                  <w:sz w:val="22"/>
                  <w:szCs w:val="22"/>
                </w:rPr>
                <w:fldChar w:fldCharType="end"/>
              </w:r>
            </w:hyperlink>
          </w:p>
          <w:p w14:paraId="79701017" w14:textId="55DB2241" w:rsidR="00E131AF" w:rsidRPr="00E4265B" w:rsidRDefault="00B275AE">
            <w:pPr>
              <w:pStyle w:val="TOC3"/>
              <w:rPr>
                <w:rFonts w:ascii="Arial" w:eastAsiaTheme="minorEastAsia" w:hAnsi="Arial" w:cs="Arial"/>
                <w:sz w:val="22"/>
                <w:szCs w:val="22"/>
                <w:lang w:val="en-GB" w:eastAsia="en-GB"/>
              </w:rPr>
            </w:pPr>
            <w:hyperlink w:anchor="_Toc33622506" w:history="1">
              <w:r w:rsidR="00E131AF" w:rsidRPr="00E4265B">
                <w:rPr>
                  <w:rStyle w:val="Hyperlink"/>
                  <w:rFonts w:ascii="Arial" w:hAnsi="Arial" w:cs="Arial"/>
                  <w:sz w:val="22"/>
                  <w:szCs w:val="22"/>
                </w:rPr>
                <w:t>A7.1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Basic Indicator Approach</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_Toc33622506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355</w:t>
              </w:r>
              <w:r w:rsidR="00E131AF" w:rsidRPr="00E4265B">
                <w:rPr>
                  <w:rFonts w:ascii="Arial" w:hAnsi="Arial" w:cs="Arial"/>
                  <w:webHidden/>
                  <w:sz w:val="22"/>
                  <w:szCs w:val="22"/>
                </w:rPr>
                <w:fldChar w:fldCharType="end"/>
              </w:r>
            </w:hyperlink>
          </w:p>
          <w:p w14:paraId="5B2635AB" w14:textId="5FE412C5" w:rsidR="00E131AF" w:rsidRPr="00E4265B" w:rsidRDefault="00B275AE">
            <w:pPr>
              <w:pStyle w:val="TOC3"/>
              <w:rPr>
                <w:rFonts w:ascii="Arial" w:eastAsiaTheme="minorEastAsia" w:hAnsi="Arial" w:cs="Arial"/>
                <w:sz w:val="22"/>
                <w:szCs w:val="22"/>
                <w:lang w:val="en-GB" w:eastAsia="en-GB"/>
              </w:rPr>
            </w:pPr>
            <w:hyperlink w:anchor="_Toc33622507" w:history="1">
              <w:r w:rsidR="00E131AF" w:rsidRPr="00E4265B">
                <w:rPr>
                  <w:rStyle w:val="Hyperlink"/>
                  <w:rFonts w:ascii="Arial" w:hAnsi="Arial" w:cs="Arial"/>
                  <w:sz w:val="22"/>
                  <w:szCs w:val="22"/>
                </w:rPr>
                <w:t>A7.2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Standardised Approach</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_Toc33622507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357</w:t>
              </w:r>
              <w:r w:rsidR="00E131AF" w:rsidRPr="00E4265B">
                <w:rPr>
                  <w:rFonts w:ascii="Arial" w:hAnsi="Arial" w:cs="Arial"/>
                  <w:webHidden/>
                  <w:sz w:val="22"/>
                  <w:szCs w:val="22"/>
                </w:rPr>
                <w:fldChar w:fldCharType="end"/>
              </w:r>
            </w:hyperlink>
          </w:p>
          <w:p w14:paraId="63E5CFF0" w14:textId="61411B0D" w:rsidR="00E131AF" w:rsidRPr="00E4265B" w:rsidRDefault="00B275AE">
            <w:pPr>
              <w:pStyle w:val="TOC3"/>
              <w:rPr>
                <w:rFonts w:ascii="Arial" w:eastAsiaTheme="minorEastAsia" w:hAnsi="Arial" w:cs="Arial"/>
                <w:sz w:val="22"/>
                <w:szCs w:val="22"/>
                <w:lang w:val="en-GB" w:eastAsia="en-GB"/>
              </w:rPr>
            </w:pPr>
            <w:hyperlink w:anchor="_Toc33622508" w:history="1">
              <w:r w:rsidR="00E131AF" w:rsidRPr="00E4265B">
                <w:rPr>
                  <w:rStyle w:val="Hyperlink"/>
                  <w:rFonts w:ascii="Arial" w:hAnsi="Arial" w:cs="Arial"/>
                  <w:sz w:val="22"/>
                  <w:szCs w:val="22"/>
                </w:rPr>
                <w:t>A7.3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Alternative Standardised Approach</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_Toc33622508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358</w:t>
              </w:r>
              <w:r w:rsidR="00E131AF" w:rsidRPr="00E4265B">
                <w:rPr>
                  <w:rFonts w:ascii="Arial" w:hAnsi="Arial" w:cs="Arial"/>
                  <w:webHidden/>
                  <w:sz w:val="22"/>
                  <w:szCs w:val="22"/>
                </w:rPr>
                <w:fldChar w:fldCharType="end"/>
              </w:r>
            </w:hyperlink>
          </w:p>
          <w:p w14:paraId="02671CD5" w14:textId="3392B817" w:rsidR="00E131AF" w:rsidRPr="00E4265B" w:rsidRDefault="00B275AE">
            <w:pPr>
              <w:pStyle w:val="TOC1"/>
              <w:rPr>
                <w:rFonts w:ascii="Arial" w:eastAsiaTheme="minorEastAsia" w:hAnsi="Arial" w:cs="Arial"/>
                <w:b w:val="0"/>
                <w:noProof/>
                <w:sz w:val="22"/>
                <w:szCs w:val="22"/>
                <w:lang w:val="en-GB" w:eastAsia="en-GB"/>
              </w:rPr>
            </w:pPr>
            <w:hyperlink w:anchor="_Toc33622509" w:history="1">
              <w:r w:rsidR="00E131AF" w:rsidRPr="00E4265B">
                <w:rPr>
                  <w:rStyle w:val="Hyperlink"/>
                  <w:rFonts w:ascii="Arial" w:hAnsi="Arial" w:cs="Arial"/>
                  <w:noProof/>
                  <w:sz w:val="22"/>
                  <w:szCs w:val="22"/>
                  <w:lang w:val="en-GB"/>
                </w:rPr>
                <w:t>APP8</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NOT USED</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_Toc33622509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363</w:t>
              </w:r>
              <w:r w:rsidR="00E131AF" w:rsidRPr="00E4265B">
                <w:rPr>
                  <w:rFonts w:ascii="Arial" w:hAnsi="Arial" w:cs="Arial"/>
                  <w:noProof/>
                  <w:webHidden/>
                  <w:sz w:val="22"/>
                  <w:szCs w:val="22"/>
                </w:rPr>
                <w:fldChar w:fldCharType="end"/>
              </w:r>
            </w:hyperlink>
          </w:p>
          <w:p w14:paraId="48C9C768" w14:textId="70D4408B" w:rsidR="00E131AF" w:rsidRPr="00E4265B" w:rsidRDefault="00B275AE">
            <w:pPr>
              <w:pStyle w:val="TOC1"/>
              <w:rPr>
                <w:rFonts w:ascii="Arial" w:eastAsiaTheme="minorEastAsia" w:hAnsi="Arial" w:cs="Arial"/>
                <w:b w:val="0"/>
                <w:noProof/>
                <w:sz w:val="22"/>
                <w:szCs w:val="22"/>
                <w:lang w:val="en-GB" w:eastAsia="en-GB"/>
              </w:rPr>
            </w:pPr>
            <w:hyperlink w:anchor="_Toc33622510" w:history="1">
              <w:r w:rsidR="00E131AF" w:rsidRPr="00E4265B">
                <w:rPr>
                  <w:rStyle w:val="Hyperlink"/>
                  <w:rFonts w:ascii="Arial" w:hAnsi="Arial" w:cs="Arial"/>
                  <w:noProof/>
                  <w:sz w:val="22"/>
                  <w:szCs w:val="22"/>
                  <w:lang w:val="en-GB"/>
                </w:rPr>
                <w:t>APP9</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NOT USED</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_Toc33622510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363</w:t>
              </w:r>
              <w:r w:rsidR="00E131AF" w:rsidRPr="00E4265B">
                <w:rPr>
                  <w:rFonts w:ascii="Arial" w:hAnsi="Arial" w:cs="Arial"/>
                  <w:noProof/>
                  <w:webHidden/>
                  <w:sz w:val="22"/>
                  <w:szCs w:val="22"/>
                </w:rPr>
                <w:fldChar w:fldCharType="end"/>
              </w:r>
            </w:hyperlink>
          </w:p>
          <w:p w14:paraId="7FF3CB2E" w14:textId="04DE73A4" w:rsidR="00E131AF" w:rsidRPr="00E4265B" w:rsidRDefault="00B275AE">
            <w:pPr>
              <w:pStyle w:val="TOC1"/>
              <w:rPr>
                <w:rFonts w:ascii="Arial" w:eastAsiaTheme="minorEastAsia" w:hAnsi="Arial" w:cs="Arial"/>
                <w:b w:val="0"/>
                <w:noProof/>
                <w:sz w:val="22"/>
                <w:szCs w:val="22"/>
                <w:lang w:val="en-GB" w:eastAsia="en-GB"/>
              </w:rPr>
            </w:pPr>
            <w:hyperlink w:anchor="_Toc33622511" w:history="1">
              <w:r w:rsidR="00E131AF" w:rsidRPr="00E4265B">
                <w:rPr>
                  <w:rStyle w:val="Hyperlink"/>
                  <w:rFonts w:ascii="Arial" w:hAnsi="Arial" w:cs="Arial"/>
                  <w:noProof/>
                  <w:sz w:val="22"/>
                  <w:szCs w:val="22"/>
                  <w:lang w:val="en-GB"/>
                </w:rPr>
                <w:t>APP10</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LIQUIDITY</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_Toc33622511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364</w:t>
              </w:r>
              <w:r w:rsidR="00E131AF" w:rsidRPr="00E4265B">
                <w:rPr>
                  <w:rFonts w:ascii="Arial" w:hAnsi="Arial" w:cs="Arial"/>
                  <w:noProof/>
                  <w:webHidden/>
                  <w:sz w:val="22"/>
                  <w:szCs w:val="22"/>
                </w:rPr>
                <w:fldChar w:fldCharType="end"/>
              </w:r>
            </w:hyperlink>
          </w:p>
          <w:p w14:paraId="46C691DB" w14:textId="5BCF93F4" w:rsidR="00E131AF" w:rsidRPr="00E4265B" w:rsidRDefault="00B275AE">
            <w:pPr>
              <w:pStyle w:val="TOC3"/>
              <w:rPr>
                <w:rFonts w:ascii="Arial" w:eastAsiaTheme="minorEastAsia" w:hAnsi="Arial" w:cs="Arial"/>
                <w:sz w:val="22"/>
                <w:szCs w:val="22"/>
                <w:lang w:val="en-GB" w:eastAsia="en-GB"/>
              </w:rPr>
            </w:pPr>
            <w:hyperlink w:anchor="_Toc33622512" w:history="1">
              <w:r w:rsidR="00E131AF" w:rsidRPr="00E4265B">
                <w:rPr>
                  <w:rStyle w:val="Hyperlink"/>
                  <w:rFonts w:ascii="Arial" w:hAnsi="Arial" w:cs="Arial"/>
                  <w:sz w:val="22"/>
                  <w:szCs w:val="22"/>
                </w:rPr>
                <w:t xml:space="preserve">A10.1 </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Application for a global liquidity concession</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_Toc33622512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364</w:t>
              </w:r>
              <w:r w:rsidR="00E131AF" w:rsidRPr="00E4265B">
                <w:rPr>
                  <w:rFonts w:ascii="Arial" w:hAnsi="Arial" w:cs="Arial"/>
                  <w:webHidden/>
                  <w:sz w:val="22"/>
                  <w:szCs w:val="22"/>
                </w:rPr>
                <w:fldChar w:fldCharType="end"/>
              </w:r>
            </w:hyperlink>
          </w:p>
          <w:p w14:paraId="4AD658FF" w14:textId="565875F2" w:rsidR="00E131AF" w:rsidRPr="00E4265B" w:rsidRDefault="00B275AE">
            <w:pPr>
              <w:pStyle w:val="TOC3"/>
              <w:rPr>
                <w:rFonts w:ascii="Arial" w:eastAsiaTheme="minorEastAsia" w:hAnsi="Arial" w:cs="Arial"/>
                <w:sz w:val="22"/>
                <w:szCs w:val="22"/>
                <w:lang w:val="en-GB" w:eastAsia="en-GB"/>
              </w:rPr>
            </w:pPr>
            <w:hyperlink w:anchor="_Toc33622513" w:history="1">
              <w:r w:rsidR="00E131AF" w:rsidRPr="00E4265B">
                <w:rPr>
                  <w:rStyle w:val="Hyperlink"/>
                  <w:rFonts w:ascii="Arial" w:hAnsi="Arial" w:cs="Arial"/>
                  <w:sz w:val="22"/>
                  <w:szCs w:val="22"/>
                </w:rPr>
                <w:t>A10.2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The Liquidity Coverage Ratio</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_Toc33622513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365</w:t>
              </w:r>
              <w:r w:rsidR="00E131AF" w:rsidRPr="00E4265B">
                <w:rPr>
                  <w:rFonts w:ascii="Arial" w:hAnsi="Arial" w:cs="Arial"/>
                  <w:webHidden/>
                  <w:sz w:val="22"/>
                  <w:szCs w:val="22"/>
                </w:rPr>
                <w:fldChar w:fldCharType="end"/>
              </w:r>
            </w:hyperlink>
          </w:p>
          <w:p w14:paraId="1C2111B2" w14:textId="2E461FB4" w:rsidR="00E131AF" w:rsidRPr="00E4265B" w:rsidRDefault="00B275AE">
            <w:pPr>
              <w:pStyle w:val="TOC3"/>
              <w:rPr>
                <w:rFonts w:ascii="Arial" w:eastAsiaTheme="minorEastAsia" w:hAnsi="Arial" w:cs="Arial"/>
                <w:sz w:val="22"/>
                <w:szCs w:val="22"/>
                <w:lang w:val="en-GB" w:eastAsia="en-GB"/>
              </w:rPr>
            </w:pPr>
            <w:hyperlink w:anchor="_Toc33622514" w:history="1">
              <w:r w:rsidR="00E131AF" w:rsidRPr="00E4265B">
                <w:rPr>
                  <w:rStyle w:val="Hyperlink"/>
                  <w:rFonts w:ascii="Arial" w:hAnsi="Arial" w:cs="Arial"/>
                  <w:sz w:val="22"/>
                  <w:szCs w:val="22"/>
                </w:rPr>
                <w:t>A10.3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The Liquidity Mismatch Approach</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_Toc33622514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383</w:t>
              </w:r>
              <w:r w:rsidR="00E131AF" w:rsidRPr="00E4265B">
                <w:rPr>
                  <w:rFonts w:ascii="Arial" w:hAnsi="Arial" w:cs="Arial"/>
                  <w:webHidden/>
                  <w:sz w:val="22"/>
                  <w:szCs w:val="22"/>
                </w:rPr>
                <w:fldChar w:fldCharType="end"/>
              </w:r>
            </w:hyperlink>
          </w:p>
          <w:p w14:paraId="3BB09216" w14:textId="1CEA85F2" w:rsidR="00E131AF" w:rsidRPr="00E4265B" w:rsidRDefault="00B275AE">
            <w:pPr>
              <w:pStyle w:val="TOC3"/>
              <w:rPr>
                <w:rFonts w:ascii="Arial" w:eastAsiaTheme="minorEastAsia" w:hAnsi="Arial" w:cs="Arial"/>
                <w:sz w:val="22"/>
                <w:szCs w:val="22"/>
                <w:lang w:val="en-GB" w:eastAsia="en-GB"/>
              </w:rPr>
            </w:pPr>
            <w:hyperlink w:anchor="_Toc33622515" w:history="1">
              <w:r w:rsidR="00E131AF" w:rsidRPr="00E4265B">
                <w:rPr>
                  <w:rStyle w:val="Hyperlink"/>
                  <w:rFonts w:ascii="Arial" w:hAnsi="Arial" w:cs="Arial"/>
                  <w:sz w:val="22"/>
                  <w:szCs w:val="22"/>
                </w:rPr>
                <w:t>A10.4</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The Net Stable Funding Ratio</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_Toc33622515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384</w:t>
              </w:r>
              <w:r w:rsidR="00E131AF" w:rsidRPr="00E4265B">
                <w:rPr>
                  <w:rFonts w:ascii="Arial" w:hAnsi="Arial" w:cs="Arial"/>
                  <w:webHidden/>
                  <w:sz w:val="22"/>
                  <w:szCs w:val="22"/>
                </w:rPr>
                <w:fldChar w:fldCharType="end"/>
              </w:r>
            </w:hyperlink>
          </w:p>
          <w:p w14:paraId="7FE12736" w14:textId="54029494" w:rsidR="00E131AF" w:rsidRPr="00E4265B" w:rsidRDefault="00B275AE">
            <w:pPr>
              <w:pStyle w:val="TOC1"/>
              <w:rPr>
                <w:rFonts w:ascii="Arial" w:eastAsiaTheme="minorEastAsia" w:hAnsi="Arial" w:cs="Arial"/>
                <w:b w:val="0"/>
                <w:noProof/>
                <w:sz w:val="22"/>
                <w:szCs w:val="22"/>
                <w:lang w:val="en-GB" w:eastAsia="en-GB"/>
              </w:rPr>
            </w:pPr>
            <w:hyperlink w:anchor="_Toc33622516" w:history="1">
              <w:r w:rsidR="00E131AF" w:rsidRPr="00E4265B">
                <w:rPr>
                  <w:rStyle w:val="Hyperlink"/>
                  <w:rFonts w:ascii="Arial" w:hAnsi="Arial" w:cs="Arial"/>
                  <w:noProof/>
                  <w:sz w:val="22"/>
                  <w:szCs w:val="22"/>
                  <w:lang w:val="en-GB"/>
                </w:rPr>
                <w:t>APP11</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SUPERVISORY REVIEW AND EVALUATION PROCESS</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_Toc33622516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393</w:t>
              </w:r>
              <w:r w:rsidR="00E131AF" w:rsidRPr="00E4265B">
                <w:rPr>
                  <w:rFonts w:ascii="Arial" w:hAnsi="Arial" w:cs="Arial"/>
                  <w:noProof/>
                  <w:webHidden/>
                  <w:sz w:val="22"/>
                  <w:szCs w:val="22"/>
                </w:rPr>
                <w:fldChar w:fldCharType="end"/>
              </w:r>
            </w:hyperlink>
          </w:p>
          <w:p w14:paraId="7BAA3EEB" w14:textId="721817A7" w:rsidR="00E131AF" w:rsidRPr="00E4265B" w:rsidRDefault="00B275AE">
            <w:pPr>
              <w:pStyle w:val="TOC3"/>
              <w:rPr>
                <w:rFonts w:ascii="Arial" w:eastAsiaTheme="minorEastAsia" w:hAnsi="Arial" w:cs="Arial"/>
                <w:sz w:val="22"/>
                <w:szCs w:val="22"/>
                <w:lang w:val="en-GB" w:eastAsia="en-GB"/>
              </w:rPr>
            </w:pPr>
            <w:hyperlink w:anchor="_Toc33622517" w:history="1">
              <w:r w:rsidR="00E131AF" w:rsidRPr="00E4265B">
                <w:rPr>
                  <w:rStyle w:val="Hyperlink"/>
                  <w:rFonts w:ascii="Arial" w:hAnsi="Arial" w:cs="Arial"/>
                  <w:sz w:val="22"/>
                  <w:szCs w:val="22"/>
                </w:rPr>
                <w:t>A11.1</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IRAP</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_Toc33622517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393</w:t>
              </w:r>
              <w:r w:rsidR="00E131AF" w:rsidRPr="00E4265B">
                <w:rPr>
                  <w:rFonts w:ascii="Arial" w:hAnsi="Arial" w:cs="Arial"/>
                  <w:webHidden/>
                  <w:sz w:val="22"/>
                  <w:szCs w:val="22"/>
                </w:rPr>
                <w:fldChar w:fldCharType="end"/>
              </w:r>
            </w:hyperlink>
          </w:p>
          <w:p w14:paraId="4D3CCAC3" w14:textId="20FEB0C3" w:rsidR="00E131AF" w:rsidRPr="00E4265B" w:rsidRDefault="00B275AE">
            <w:pPr>
              <w:pStyle w:val="TOC3"/>
              <w:rPr>
                <w:rFonts w:ascii="Arial" w:eastAsiaTheme="minorEastAsia" w:hAnsi="Arial" w:cs="Arial"/>
                <w:sz w:val="22"/>
                <w:szCs w:val="22"/>
                <w:lang w:val="en-GB" w:eastAsia="en-GB"/>
              </w:rPr>
            </w:pPr>
            <w:hyperlink w:anchor="_Toc33622518" w:history="1">
              <w:r w:rsidR="00E131AF" w:rsidRPr="00E4265B">
                <w:rPr>
                  <w:rStyle w:val="Hyperlink"/>
                  <w:rFonts w:ascii="Arial" w:hAnsi="Arial" w:cs="Arial"/>
                  <w:sz w:val="22"/>
                  <w:szCs w:val="22"/>
                </w:rPr>
                <w:t>A11.2</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ICAAP</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_Toc33622518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395</w:t>
              </w:r>
              <w:r w:rsidR="00E131AF" w:rsidRPr="00E4265B">
                <w:rPr>
                  <w:rFonts w:ascii="Arial" w:hAnsi="Arial" w:cs="Arial"/>
                  <w:webHidden/>
                  <w:sz w:val="22"/>
                  <w:szCs w:val="22"/>
                </w:rPr>
                <w:fldChar w:fldCharType="end"/>
              </w:r>
            </w:hyperlink>
          </w:p>
          <w:p w14:paraId="303B6B64" w14:textId="7485A71A" w:rsidR="00E131AF" w:rsidRPr="00E4265B" w:rsidRDefault="00B275AE">
            <w:pPr>
              <w:pStyle w:val="TOC3"/>
              <w:rPr>
                <w:rFonts w:ascii="Arial" w:eastAsiaTheme="minorEastAsia" w:hAnsi="Arial" w:cs="Arial"/>
                <w:sz w:val="22"/>
                <w:szCs w:val="22"/>
                <w:lang w:val="en-GB" w:eastAsia="en-GB"/>
              </w:rPr>
            </w:pPr>
            <w:hyperlink w:anchor="_Toc33622519" w:history="1">
              <w:r w:rsidR="00E131AF" w:rsidRPr="00E4265B">
                <w:rPr>
                  <w:rStyle w:val="Hyperlink"/>
                  <w:rFonts w:ascii="Arial" w:hAnsi="Arial" w:cs="Arial"/>
                  <w:sz w:val="22"/>
                  <w:szCs w:val="22"/>
                </w:rPr>
                <w:t>A11.3</w:t>
              </w:r>
              <w:r w:rsidR="00E131AF" w:rsidRPr="00E4265B">
                <w:rPr>
                  <w:rFonts w:ascii="Arial" w:eastAsiaTheme="minorEastAsia" w:hAnsi="Arial" w:cs="Arial"/>
                  <w:sz w:val="22"/>
                  <w:szCs w:val="22"/>
                  <w:lang w:val="en-GB" w:eastAsia="en-GB"/>
                </w:rPr>
                <w:tab/>
              </w:r>
              <w:r w:rsidR="00E131AF" w:rsidRPr="00E4265B">
                <w:rPr>
                  <w:rStyle w:val="Hyperlink"/>
                  <w:rFonts w:ascii="Arial" w:hAnsi="Arial" w:cs="Arial"/>
                  <w:sz w:val="22"/>
                  <w:szCs w:val="22"/>
                </w:rPr>
                <w:t>Supervisory Review and Evaluation Process (SREP)</w:t>
              </w:r>
              <w:r w:rsidR="00E131AF" w:rsidRPr="00E4265B">
                <w:rPr>
                  <w:rFonts w:ascii="Arial" w:hAnsi="Arial" w:cs="Arial"/>
                  <w:webHidden/>
                  <w:sz w:val="22"/>
                  <w:szCs w:val="22"/>
                </w:rPr>
                <w:tab/>
              </w:r>
              <w:r w:rsidR="00E131AF" w:rsidRPr="00E4265B">
                <w:rPr>
                  <w:rFonts w:ascii="Arial" w:hAnsi="Arial" w:cs="Arial"/>
                  <w:webHidden/>
                  <w:sz w:val="22"/>
                  <w:szCs w:val="22"/>
                </w:rPr>
                <w:fldChar w:fldCharType="begin"/>
              </w:r>
              <w:r w:rsidR="00E131AF" w:rsidRPr="00E4265B">
                <w:rPr>
                  <w:rFonts w:ascii="Arial" w:hAnsi="Arial" w:cs="Arial"/>
                  <w:webHidden/>
                  <w:sz w:val="22"/>
                  <w:szCs w:val="22"/>
                </w:rPr>
                <w:instrText xml:space="preserve"> PAGEREF _Toc33622519 \h </w:instrText>
              </w:r>
              <w:r w:rsidR="00E131AF" w:rsidRPr="00E4265B">
                <w:rPr>
                  <w:rFonts w:ascii="Arial" w:hAnsi="Arial" w:cs="Arial"/>
                  <w:webHidden/>
                  <w:sz w:val="22"/>
                  <w:szCs w:val="22"/>
                </w:rPr>
              </w:r>
              <w:r w:rsidR="00E131AF" w:rsidRPr="00E4265B">
                <w:rPr>
                  <w:rFonts w:ascii="Arial" w:hAnsi="Arial" w:cs="Arial"/>
                  <w:webHidden/>
                  <w:sz w:val="22"/>
                  <w:szCs w:val="22"/>
                </w:rPr>
                <w:fldChar w:fldCharType="separate"/>
              </w:r>
              <w:r w:rsidR="006468B7">
                <w:rPr>
                  <w:rFonts w:ascii="Arial" w:hAnsi="Arial" w:cs="Arial"/>
                  <w:webHidden/>
                  <w:sz w:val="22"/>
                  <w:szCs w:val="22"/>
                </w:rPr>
                <w:t>397</w:t>
              </w:r>
              <w:r w:rsidR="00E131AF" w:rsidRPr="00E4265B">
                <w:rPr>
                  <w:rFonts w:ascii="Arial" w:hAnsi="Arial" w:cs="Arial"/>
                  <w:webHidden/>
                  <w:sz w:val="22"/>
                  <w:szCs w:val="22"/>
                </w:rPr>
                <w:fldChar w:fldCharType="end"/>
              </w:r>
            </w:hyperlink>
          </w:p>
          <w:p w14:paraId="729398EB" w14:textId="3109CA17" w:rsidR="00E131AF" w:rsidRPr="00E4265B" w:rsidRDefault="00B275AE">
            <w:pPr>
              <w:pStyle w:val="TOC1"/>
              <w:rPr>
                <w:rFonts w:ascii="Arial" w:eastAsiaTheme="minorEastAsia" w:hAnsi="Arial" w:cs="Arial"/>
                <w:b w:val="0"/>
                <w:noProof/>
                <w:sz w:val="22"/>
                <w:szCs w:val="22"/>
                <w:lang w:val="en-GB" w:eastAsia="en-GB"/>
              </w:rPr>
            </w:pPr>
            <w:hyperlink w:anchor="_Toc33622520" w:history="1">
              <w:r w:rsidR="00E131AF" w:rsidRPr="00E4265B">
                <w:rPr>
                  <w:rStyle w:val="Hyperlink"/>
                  <w:rFonts w:ascii="Arial" w:hAnsi="Arial" w:cs="Arial"/>
                  <w:noProof/>
                  <w:sz w:val="22"/>
                  <w:szCs w:val="22"/>
                  <w:lang w:val="en-GB"/>
                </w:rPr>
                <w:t>APP12</w:t>
              </w:r>
              <w:r w:rsidR="00E131AF" w:rsidRPr="00E4265B">
                <w:rPr>
                  <w:rFonts w:ascii="Arial" w:eastAsiaTheme="minorEastAsia" w:hAnsi="Arial" w:cs="Arial"/>
                  <w:b w:val="0"/>
                  <w:noProof/>
                  <w:sz w:val="22"/>
                  <w:szCs w:val="22"/>
                  <w:lang w:val="en-GB" w:eastAsia="en-GB"/>
                </w:rPr>
                <w:tab/>
              </w:r>
              <w:r w:rsidR="00E131AF" w:rsidRPr="00E4265B">
                <w:rPr>
                  <w:rStyle w:val="Hyperlink"/>
                  <w:rFonts w:ascii="Arial" w:hAnsi="Arial" w:cs="Arial"/>
                  <w:noProof/>
                  <w:sz w:val="22"/>
                  <w:szCs w:val="22"/>
                  <w:lang w:val="en-GB"/>
                </w:rPr>
                <w:t>PUBLIC DISCLOSURE REQUIREMENTS</w:t>
              </w:r>
              <w:r w:rsidR="00E131AF" w:rsidRPr="00E4265B">
                <w:rPr>
                  <w:rFonts w:ascii="Arial" w:hAnsi="Arial" w:cs="Arial"/>
                  <w:noProof/>
                  <w:webHidden/>
                  <w:sz w:val="22"/>
                  <w:szCs w:val="22"/>
                </w:rPr>
                <w:tab/>
              </w:r>
              <w:r w:rsidR="00E131AF" w:rsidRPr="00E4265B">
                <w:rPr>
                  <w:rFonts w:ascii="Arial" w:hAnsi="Arial" w:cs="Arial"/>
                  <w:noProof/>
                  <w:webHidden/>
                  <w:sz w:val="22"/>
                  <w:szCs w:val="22"/>
                </w:rPr>
                <w:fldChar w:fldCharType="begin"/>
              </w:r>
              <w:r w:rsidR="00E131AF" w:rsidRPr="00E4265B">
                <w:rPr>
                  <w:rFonts w:ascii="Arial" w:hAnsi="Arial" w:cs="Arial"/>
                  <w:noProof/>
                  <w:webHidden/>
                  <w:sz w:val="22"/>
                  <w:szCs w:val="22"/>
                </w:rPr>
                <w:instrText xml:space="preserve"> PAGEREF _Toc33622520 \h </w:instrText>
              </w:r>
              <w:r w:rsidR="00E131AF" w:rsidRPr="00E4265B">
                <w:rPr>
                  <w:rFonts w:ascii="Arial" w:hAnsi="Arial" w:cs="Arial"/>
                  <w:noProof/>
                  <w:webHidden/>
                  <w:sz w:val="22"/>
                  <w:szCs w:val="22"/>
                </w:rPr>
              </w:r>
              <w:r w:rsidR="00E131AF" w:rsidRPr="00E4265B">
                <w:rPr>
                  <w:rFonts w:ascii="Arial" w:hAnsi="Arial" w:cs="Arial"/>
                  <w:noProof/>
                  <w:webHidden/>
                  <w:sz w:val="22"/>
                  <w:szCs w:val="22"/>
                </w:rPr>
                <w:fldChar w:fldCharType="separate"/>
              </w:r>
              <w:r w:rsidR="006468B7">
                <w:rPr>
                  <w:rFonts w:ascii="Arial" w:hAnsi="Arial" w:cs="Arial"/>
                  <w:noProof/>
                  <w:webHidden/>
                  <w:sz w:val="22"/>
                  <w:szCs w:val="22"/>
                </w:rPr>
                <w:t>400</w:t>
              </w:r>
              <w:r w:rsidR="00E131AF" w:rsidRPr="00E4265B">
                <w:rPr>
                  <w:rFonts w:ascii="Arial" w:hAnsi="Arial" w:cs="Arial"/>
                  <w:noProof/>
                  <w:webHidden/>
                  <w:sz w:val="22"/>
                  <w:szCs w:val="22"/>
                </w:rPr>
                <w:fldChar w:fldCharType="end"/>
              </w:r>
            </w:hyperlink>
          </w:p>
          <w:p w14:paraId="7FC1B03D" w14:textId="6A69C243" w:rsidR="003671A8" w:rsidRPr="00E4265B" w:rsidRDefault="003671A8" w:rsidP="003671A8">
            <w:pPr>
              <w:pStyle w:val="TOC1"/>
              <w:ind w:left="0" w:right="0" w:firstLine="0"/>
              <w:rPr>
                <w:rFonts w:ascii="Arial" w:hAnsi="Arial" w:cs="Arial"/>
                <w:sz w:val="22"/>
                <w:szCs w:val="22"/>
                <w:lang w:val="en-GB"/>
              </w:rPr>
            </w:pPr>
            <w:r w:rsidRPr="00E4265B">
              <w:rPr>
                <w:rFonts w:ascii="Arial" w:hAnsi="Arial" w:cs="Arial"/>
                <w:b w:val="0"/>
                <w:sz w:val="22"/>
                <w:szCs w:val="22"/>
                <w:lang w:val="en-GB"/>
              </w:rPr>
              <w:fldChar w:fldCharType="end"/>
            </w:r>
          </w:p>
        </w:tc>
      </w:tr>
      <w:tr w:rsidR="00B741C9" w:rsidRPr="00E4265B" w14:paraId="210856CF" w14:textId="77777777" w:rsidTr="00351330">
        <w:tc>
          <w:tcPr>
            <w:tcW w:w="9027" w:type="dxa"/>
          </w:tcPr>
          <w:p w14:paraId="183AC0EF" w14:textId="77777777" w:rsidR="00B741C9" w:rsidRPr="00E4265B" w:rsidRDefault="00B741C9">
            <w:pPr>
              <w:pStyle w:val="TOC1"/>
              <w:rPr>
                <w:rFonts w:ascii="Arial" w:hAnsi="Arial" w:cs="Arial"/>
                <w:b w:val="0"/>
                <w:sz w:val="22"/>
                <w:szCs w:val="22"/>
                <w:lang w:val="en-GB"/>
              </w:rPr>
            </w:pPr>
          </w:p>
        </w:tc>
      </w:tr>
    </w:tbl>
    <w:p w14:paraId="37F8DB9C" w14:textId="49D02659" w:rsidR="00E22FF2" w:rsidRPr="00E4265B" w:rsidRDefault="00E22FF2" w:rsidP="00ED2EE6">
      <w:pPr>
        <w:pStyle w:val="TOC1"/>
        <w:rPr>
          <w:rFonts w:ascii="Arial" w:hAnsi="Arial" w:cs="Arial"/>
          <w:sz w:val="22"/>
          <w:szCs w:val="22"/>
          <w:lang w:val="en-GB"/>
        </w:rPr>
      </w:pPr>
    </w:p>
    <w:p w14:paraId="610DD460" w14:textId="77777777" w:rsidR="00E22FF2" w:rsidRPr="00E4265B" w:rsidRDefault="00E22FF2" w:rsidP="00846BF7">
      <w:pPr>
        <w:pStyle w:val="BodyText"/>
        <w:ind w:firstLine="0"/>
        <w:rPr>
          <w:rFonts w:ascii="Arial" w:hAnsi="Arial" w:cs="Arial"/>
          <w:sz w:val="22"/>
          <w:szCs w:val="22"/>
          <w:lang w:val="en-GB"/>
        </w:rPr>
        <w:sectPr w:rsidR="00E22FF2" w:rsidRPr="00E4265B" w:rsidSect="00781C1C">
          <w:headerReference w:type="default" r:id="rId10"/>
          <w:footerReference w:type="default" r:id="rId11"/>
          <w:pgSz w:w="11907" w:h="16839" w:code="9"/>
          <w:pgMar w:top="2030" w:right="1440" w:bottom="1350" w:left="1440" w:header="720" w:footer="989" w:gutter="0"/>
          <w:pgNumType w:fmt="lowerRoman" w:start="1"/>
          <w:cols w:space="720"/>
          <w:docGrid w:linePitch="360"/>
        </w:sectPr>
      </w:pPr>
    </w:p>
    <w:tbl>
      <w:tblPr>
        <w:tblStyle w:val="TableGrid"/>
        <w:tblW w:w="883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
        <w:gridCol w:w="378"/>
        <w:gridCol w:w="7578"/>
      </w:tblGrid>
      <w:tr w:rsidR="003671A8" w:rsidRPr="00E4265B" w14:paraId="26BB5C46" w14:textId="77777777" w:rsidTr="00BA0888">
        <w:tc>
          <w:tcPr>
            <w:tcW w:w="8838" w:type="dxa"/>
            <w:gridSpan w:val="3"/>
          </w:tcPr>
          <w:p w14:paraId="6CAC3D5F" w14:textId="77777777" w:rsidR="003671A8" w:rsidRPr="00E4265B" w:rsidRDefault="003671A8" w:rsidP="003671A8">
            <w:pPr>
              <w:pStyle w:val="Heading1"/>
              <w:rPr>
                <w:rFonts w:ascii="Arial" w:hAnsi="Arial" w:cs="Arial"/>
                <w:sz w:val="22"/>
                <w:szCs w:val="22"/>
                <w:lang w:val="en-GB"/>
              </w:rPr>
            </w:pPr>
            <w:bookmarkStart w:id="0" w:name="_Toc403223906"/>
            <w:bookmarkStart w:id="1" w:name="_Toc403253944"/>
            <w:bookmarkStart w:id="2" w:name="_Toc403254094"/>
            <w:bookmarkStart w:id="3" w:name="_Toc403273344"/>
            <w:bookmarkStart w:id="4" w:name="_Toc403273493"/>
            <w:bookmarkStart w:id="5" w:name="_Toc403274452"/>
            <w:bookmarkStart w:id="6" w:name="_Toc403279948"/>
            <w:bookmarkStart w:id="7" w:name="_Toc404285748"/>
            <w:bookmarkStart w:id="8" w:name="_Toc404621697"/>
            <w:bookmarkStart w:id="9" w:name="_Toc404624338"/>
            <w:bookmarkStart w:id="10" w:name="_Toc33622360"/>
            <w:r w:rsidRPr="00E4265B">
              <w:rPr>
                <w:rFonts w:ascii="Arial" w:hAnsi="Arial" w:cs="Arial"/>
                <w:sz w:val="22"/>
                <w:szCs w:val="22"/>
                <w:lang w:val="en-GB"/>
              </w:rPr>
              <w:lastRenderedPageBreak/>
              <w:t>APPLICATION, INTERPRETATION AND CATEGORISATION</w:t>
            </w:r>
            <w:bookmarkEnd w:id="0"/>
            <w:bookmarkEnd w:id="1"/>
            <w:bookmarkEnd w:id="2"/>
            <w:bookmarkEnd w:id="3"/>
            <w:bookmarkEnd w:id="4"/>
            <w:bookmarkEnd w:id="5"/>
            <w:bookmarkEnd w:id="6"/>
            <w:bookmarkEnd w:id="7"/>
            <w:bookmarkEnd w:id="8"/>
            <w:bookmarkEnd w:id="9"/>
            <w:bookmarkEnd w:id="10"/>
          </w:p>
        </w:tc>
      </w:tr>
      <w:tr w:rsidR="003671A8" w:rsidRPr="00E4265B" w14:paraId="48F34634" w14:textId="77777777" w:rsidTr="00BA0888">
        <w:tc>
          <w:tcPr>
            <w:tcW w:w="8838" w:type="dxa"/>
            <w:gridSpan w:val="3"/>
          </w:tcPr>
          <w:p w14:paraId="7CCFBF85" w14:textId="09BDCE61" w:rsidR="003671A8" w:rsidRPr="00E4265B" w:rsidRDefault="003671A8" w:rsidP="003671A8">
            <w:pPr>
              <w:pStyle w:val="Heading3"/>
              <w:rPr>
                <w:rFonts w:ascii="Arial" w:hAnsi="Arial" w:cs="Arial"/>
                <w:sz w:val="22"/>
                <w:szCs w:val="22"/>
              </w:rPr>
            </w:pPr>
            <w:bookmarkStart w:id="11" w:name="_Toc403223907"/>
            <w:bookmarkStart w:id="12" w:name="_Toc403253945"/>
            <w:bookmarkStart w:id="13" w:name="_Toc403273345"/>
            <w:bookmarkStart w:id="14" w:name="_Toc403273494"/>
            <w:bookmarkStart w:id="15" w:name="_Toc403274453"/>
            <w:bookmarkStart w:id="16" w:name="_Toc403279949"/>
            <w:bookmarkStart w:id="17" w:name="_Toc404285749"/>
            <w:bookmarkStart w:id="18" w:name="_Toc404621698"/>
            <w:bookmarkStart w:id="19" w:name="_Toc404624339"/>
            <w:bookmarkStart w:id="20" w:name="_Toc33622361"/>
            <w:r w:rsidRPr="00E4265B">
              <w:rPr>
                <w:rFonts w:ascii="Arial" w:hAnsi="Arial" w:cs="Arial"/>
                <w:sz w:val="22"/>
                <w:szCs w:val="22"/>
              </w:rPr>
              <w:t>Application</w:t>
            </w:r>
            <w:bookmarkEnd w:id="11"/>
            <w:bookmarkEnd w:id="12"/>
            <w:bookmarkEnd w:id="13"/>
            <w:bookmarkEnd w:id="14"/>
            <w:bookmarkEnd w:id="15"/>
            <w:bookmarkEnd w:id="16"/>
            <w:bookmarkEnd w:id="17"/>
            <w:bookmarkEnd w:id="18"/>
            <w:bookmarkEnd w:id="19"/>
            <w:bookmarkEnd w:id="20"/>
          </w:p>
        </w:tc>
      </w:tr>
      <w:tr w:rsidR="003671A8" w:rsidRPr="00E4265B" w14:paraId="1FC149D0" w14:textId="77777777" w:rsidTr="00BA0888">
        <w:tc>
          <w:tcPr>
            <w:tcW w:w="8838" w:type="dxa"/>
            <w:gridSpan w:val="3"/>
          </w:tcPr>
          <w:p w14:paraId="37D92084" w14:textId="35084CA2" w:rsidR="003671A8" w:rsidRPr="00E4265B" w:rsidRDefault="003671A8" w:rsidP="001468C7">
            <w:pPr>
              <w:pStyle w:val="Heading4"/>
              <w:tabs>
                <w:tab w:val="clear" w:pos="936"/>
                <w:tab w:val="num" w:pos="882"/>
              </w:tabs>
              <w:ind w:left="1422" w:hanging="142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r>
            <w:r w:rsidR="00BA0888" w:rsidRPr="00E4265B">
              <w:rPr>
                <w:rFonts w:ascii="Arial" w:eastAsiaTheme="minorHAnsi" w:hAnsi="Arial" w:cs="Arial"/>
                <w:bCs w:val="0"/>
                <w:iCs w:val="0"/>
                <w:sz w:val="22"/>
                <w:szCs w:val="22"/>
              </w:rPr>
              <w:t>Subject to (2), these Rules apply to every Authorised Person where its Financial Services Permission authorises it to carry on one or more of the Regulated Activities listed in 1.3.1(a), 1.3.2(a), 1.3.3(1)(a), 1.3.4(a), 1.3.5(a), 1.3.6(a) or 1.3.7(a).</w:t>
            </w:r>
          </w:p>
        </w:tc>
      </w:tr>
      <w:tr w:rsidR="00BA0888" w:rsidRPr="00E4265B" w14:paraId="3BCD07C2" w14:textId="77777777" w:rsidTr="00BA0888">
        <w:tc>
          <w:tcPr>
            <w:tcW w:w="882" w:type="dxa"/>
          </w:tcPr>
          <w:p w14:paraId="23AE5F23" w14:textId="77777777" w:rsidR="00BA0888" w:rsidRPr="00E4265B" w:rsidRDefault="00BA0888" w:rsidP="003E4611">
            <w:pPr>
              <w:pStyle w:val="aList"/>
              <w:ind w:left="0" w:firstLine="0"/>
              <w:rPr>
                <w:rFonts w:ascii="Arial" w:hAnsi="Arial" w:cs="Arial"/>
                <w:sz w:val="22"/>
                <w:szCs w:val="22"/>
              </w:rPr>
            </w:pPr>
          </w:p>
        </w:tc>
        <w:tc>
          <w:tcPr>
            <w:tcW w:w="7956" w:type="dxa"/>
            <w:gridSpan w:val="2"/>
          </w:tcPr>
          <w:p w14:paraId="3C896478" w14:textId="30656983" w:rsidR="00F943A3" w:rsidRDefault="00BA0888" w:rsidP="00BA0888">
            <w:pPr>
              <w:pStyle w:val="aList"/>
              <w:tabs>
                <w:tab w:val="left" w:pos="540"/>
              </w:tabs>
              <w:ind w:left="540" w:right="702" w:hanging="54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In</w:t>
            </w:r>
            <w:r w:rsidR="00F943A3">
              <w:rPr>
                <w:rFonts w:ascii="Arial" w:hAnsi="Arial" w:cs="Arial"/>
                <w:sz w:val="22"/>
                <w:szCs w:val="22"/>
                <w:lang w:val="en-GB"/>
              </w:rPr>
              <w:t xml:space="preserve"> respect of a Fund Manager that:</w:t>
            </w:r>
          </w:p>
          <w:p w14:paraId="3610A317" w14:textId="664C73E3" w:rsidR="00F943A3" w:rsidRDefault="00F943A3" w:rsidP="006C64A6">
            <w:pPr>
              <w:pStyle w:val="aList"/>
              <w:ind w:left="1030" w:right="702" w:hanging="431"/>
              <w:rPr>
                <w:rFonts w:ascii="Arial" w:hAnsi="Arial" w:cs="Arial"/>
                <w:sz w:val="22"/>
                <w:szCs w:val="22"/>
                <w:lang w:val="en-GB"/>
              </w:rPr>
            </w:pPr>
            <w:r>
              <w:rPr>
                <w:rFonts w:ascii="Arial" w:hAnsi="Arial" w:cs="Arial"/>
                <w:sz w:val="22"/>
                <w:szCs w:val="22"/>
                <w:lang w:val="en-GB"/>
              </w:rPr>
              <w:t>(a)</w:t>
            </w:r>
            <w:r w:rsidR="006A2FD1" w:rsidRPr="00E4265B">
              <w:rPr>
                <w:rFonts w:ascii="Arial" w:hAnsi="Arial" w:cs="Arial"/>
                <w:sz w:val="22"/>
                <w:szCs w:val="22"/>
              </w:rPr>
              <w:t xml:space="preserve"> </w:t>
            </w:r>
            <w:r w:rsidR="006A2FD1" w:rsidRPr="00E4265B">
              <w:rPr>
                <w:rFonts w:ascii="Arial" w:hAnsi="Arial" w:cs="Arial"/>
                <w:sz w:val="22"/>
                <w:szCs w:val="22"/>
              </w:rPr>
              <w:tab/>
            </w:r>
            <w:r>
              <w:rPr>
                <w:rFonts w:ascii="Arial" w:hAnsi="Arial" w:cs="Arial"/>
                <w:sz w:val="22"/>
                <w:szCs w:val="22"/>
                <w:lang w:val="en-GB"/>
              </w:rPr>
              <w:t xml:space="preserve">manages only </w:t>
            </w:r>
            <w:r w:rsidR="00BA0888" w:rsidRPr="00E4265B">
              <w:rPr>
                <w:rFonts w:ascii="Arial" w:hAnsi="Arial" w:cs="Arial"/>
                <w:sz w:val="22"/>
                <w:szCs w:val="22"/>
                <w:lang w:val="en-GB"/>
              </w:rPr>
              <w:t>Venture Capital Fund</w:t>
            </w:r>
            <w:r>
              <w:rPr>
                <w:rFonts w:ascii="Arial" w:hAnsi="Arial" w:cs="Arial"/>
                <w:sz w:val="22"/>
                <w:szCs w:val="22"/>
                <w:lang w:val="en-GB"/>
              </w:rPr>
              <w:t>s; or</w:t>
            </w:r>
          </w:p>
          <w:p w14:paraId="67BAB2E0" w14:textId="73EB202A" w:rsidR="00F943A3" w:rsidRPr="00F943A3" w:rsidRDefault="00F943A3" w:rsidP="006A2FD1">
            <w:pPr>
              <w:pStyle w:val="aList"/>
              <w:tabs>
                <w:tab w:val="left" w:pos="1030"/>
              </w:tabs>
              <w:ind w:left="1592" w:right="702" w:hanging="993"/>
              <w:rPr>
                <w:rFonts w:ascii="Arial" w:hAnsi="Arial" w:cs="Arial"/>
                <w:sz w:val="22"/>
                <w:szCs w:val="22"/>
                <w:lang w:val="en-GB"/>
              </w:rPr>
            </w:pPr>
            <w:r>
              <w:rPr>
                <w:rFonts w:ascii="Arial" w:hAnsi="Arial" w:cs="Arial"/>
                <w:sz w:val="22"/>
                <w:szCs w:val="22"/>
                <w:lang w:val="en-GB"/>
              </w:rPr>
              <w:t>(b</w:t>
            </w:r>
            <w:r w:rsidR="006A2FD1">
              <w:rPr>
                <w:rFonts w:ascii="Arial" w:hAnsi="Arial" w:cs="Arial"/>
                <w:sz w:val="22"/>
                <w:szCs w:val="22"/>
                <w:lang w:val="en-GB"/>
              </w:rPr>
              <w:t>)</w:t>
            </w:r>
            <w:r w:rsidR="006A2FD1" w:rsidRPr="00E4265B">
              <w:rPr>
                <w:rFonts w:ascii="Arial" w:hAnsi="Arial" w:cs="Arial"/>
                <w:sz w:val="22"/>
                <w:szCs w:val="22"/>
              </w:rPr>
              <w:tab/>
            </w:r>
            <w:r w:rsidRPr="00F943A3">
              <w:rPr>
                <w:rFonts w:ascii="Arial" w:hAnsi="Arial" w:cs="Arial"/>
                <w:sz w:val="22"/>
                <w:szCs w:val="22"/>
                <w:lang w:val="en-GB"/>
              </w:rPr>
              <w:t>(i)</w:t>
            </w:r>
            <w:r w:rsidRPr="00F943A3">
              <w:rPr>
                <w:rFonts w:ascii="Arial" w:hAnsi="Arial" w:cs="Arial"/>
                <w:sz w:val="22"/>
                <w:szCs w:val="22"/>
                <w:lang w:val="en-GB"/>
              </w:rPr>
              <w:tab/>
              <w:t>manages only Venture Capital Funds; and</w:t>
            </w:r>
          </w:p>
          <w:p w14:paraId="0B2C9374" w14:textId="006D3776" w:rsidR="00F943A3" w:rsidRDefault="00F943A3" w:rsidP="00F943A3">
            <w:pPr>
              <w:pStyle w:val="aList"/>
              <w:ind w:left="1592" w:right="702" w:hanging="567"/>
              <w:rPr>
                <w:rFonts w:ascii="Arial" w:hAnsi="Arial" w:cs="Arial"/>
                <w:sz w:val="22"/>
                <w:szCs w:val="22"/>
                <w:lang w:val="en-GB"/>
              </w:rPr>
            </w:pPr>
            <w:r w:rsidRPr="00F943A3">
              <w:rPr>
                <w:rFonts w:ascii="Arial" w:hAnsi="Arial" w:cs="Arial"/>
                <w:sz w:val="22"/>
                <w:szCs w:val="22"/>
                <w:lang w:val="en-GB"/>
              </w:rPr>
              <w:t>(ii)</w:t>
            </w:r>
            <w:r w:rsidRPr="00F943A3">
              <w:rPr>
                <w:rFonts w:ascii="Arial" w:hAnsi="Arial" w:cs="Arial"/>
                <w:sz w:val="22"/>
                <w:szCs w:val="22"/>
                <w:lang w:val="en-GB"/>
              </w:rPr>
              <w:tab/>
              <w:t>undertakes one or both of the Regulated Activities of Advising on Investments or Credit and Arranging Deals in Investments where those activities are restricted to co-investments in assets in which a Venture Capital Fund managed by the Authorised Person has invested or will invest;</w:t>
            </w:r>
          </w:p>
          <w:p w14:paraId="738476C3" w14:textId="68E097CD" w:rsidR="00BA0888" w:rsidRPr="00E4265B" w:rsidRDefault="00BA0888" w:rsidP="00F943A3">
            <w:pPr>
              <w:pStyle w:val="aList"/>
              <w:ind w:left="1592" w:right="702" w:hanging="993"/>
              <w:rPr>
                <w:rFonts w:ascii="Arial" w:hAnsi="Arial" w:cs="Arial"/>
                <w:sz w:val="22"/>
                <w:szCs w:val="22"/>
                <w:lang w:val="en-GB"/>
              </w:rPr>
            </w:pPr>
            <w:r w:rsidRPr="00E4265B">
              <w:rPr>
                <w:rFonts w:ascii="Arial" w:hAnsi="Arial" w:cs="Arial"/>
                <w:sz w:val="22"/>
                <w:szCs w:val="22"/>
                <w:lang w:val="en-GB"/>
              </w:rPr>
              <w:t>only the requirements under Sections 2.3 and 6.12 apply.</w:t>
            </w:r>
          </w:p>
        </w:tc>
      </w:tr>
      <w:tr w:rsidR="00861CCD" w:rsidRPr="00E4265B" w14:paraId="2F4AB599" w14:textId="77777777" w:rsidTr="00BA0888">
        <w:tc>
          <w:tcPr>
            <w:tcW w:w="882" w:type="dxa"/>
          </w:tcPr>
          <w:p w14:paraId="58FF6AD2" w14:textId="1B52CCBB" w:rsidR="00861CCD" w:rsidRPr="00F943A3" w:rsidRDefault="00861CCD" w:rsidP="00861CCD">
            <w:pPr>
              <w:pStyle w:val="1List"/>
              <w:ind w:left="0" w:firstLine="0"/>
              <w:rPr>
                <w:rFonts w:ascii="Arial" w:hAnsi="Arial" w:cs="Arial"/>
                <w:sz w:val="22"/>
                <w:szCs w:val="22"/>
              </w:rPr>
            </w:pPr>
          </w:p>
        </w:tc>
        <w:tc>
          <w:tcPr>
            <w:tcW w:w="7956" w:type="dxa"/>
            <w:gridSpan w:val="2"/>
          </w:tcPr>
          <w:p w14:paraId="354EE8EE" w14:textId="7E1044B6" w:rsidR="00861CCD" w:rsidRPr="00E4265B" w:rsidRDefault="00BA0888" w:rsidP="00E55391">
            <w:pPr>
              <w:pStyle w:val="1List"/>
              <w:tabs>
                <w:tab w:val="left" w:pos="810"/>
              </w:tabs>
              <w:ind w:left="540" w:hanging="540"/>
              <w:rPr>
                <w:rFonts w:ascii="Arial" w:hAnsi="Arial" w:cs="Arial"/>
                <w:sz w:val="22"/>
                <w:szCs w:val="22"/>
                <w:lang w:val="en-GB"/>
              </w:rPr>
            </w:pPr>
            <w:r w:rsidRPr="00E4265B">
              <w:rPr>
                <w:rFonts w:ascii="Arial" w:hAnsi="Arial" w:cs="Arial"/>
                <w:sz w:val="22"/>
                <w:szCs w:val="22"/>
                <w:lang w:val="en-GB"/>
              </w:rPr>
              <w:t>(3</w:t>
            </w:r>
            <w:r w:rsidR="00861CCD" w:rsidRPr="00E4265B">
              <w:rPr>
                <w:rFonts w:ascii="Arial" w:hAnsi="Arial" w:cs="Arial"/>
                <w:sz w:val="22"/>
                <w:szCs w:val="22"/>
                <w:lang w:val="en-GB"/>
              </w:rPr>
              <w:t>)</w:t>
            </w:r>
            <w:r w:rsidR="00861CCD" w:rsidRPr="00E4265B">
              <w:rPr>
                <w:rFonts w:ascii="Arial" w:hAnsi="Arial" w:cs="Arial"/>
                <w:sz w:val="22"/>
                <w:szCs w:val="22"/>
                <w:lang w:val="en-GB"/>
              </w:rPr>
              <w:tab/>
              <w:t>These Rules apply to an Authorised Person in accordance with</w:t>
            </w:r>
            <w:r w:rsidR="00706AC9" w:rsidRPr="00E4265B">
              <w:rPr>
                <w:rFonts w:ascii="Arial" w:hAnsi="Arial" w:cs="Arial"/>
                <w:sz w:val="22"/>
                <w:szCs w:val="22"/>
                <w:lang w:val="en-GB"/>
              </w:rPr>
              <w:t xml:space="preserve"> both its status as a Domestic Firm or as a Branch and, secondly,</w:t>
            </w:r>
            <w:r w:rsidR="00861CCD" w:rsidRPr="00E4265B">
              <w:rPr>
                <w:rFonts w:ascii="Arial" w:hAnsi="Arial" w:cs="Arial"/>
                <w:sz w:val="22"/>
                <w:szCs w:val="22"/>
                <w:lang w:val="en-GB"/>
              </w:rPr>
              <w:t xml:space="preserve"> its Category</w:t>
            </w:r>
            <w:r w:rsidR="00D032AD" w:rsidRPr="00E4265B">
              <w:rPr>
                <w:rFonts w:ascii="Arial" w:hAnsi="Arial" w:cs="Arial"/>
                <w:sz w:val="22"/>
                <w:szCs w:val="22"/>
                <w:lang w:val="en-GB"/>
              </w:rPr>
              <w:t xml:space="preserve"> as</w:t>
            </w:r>
            <w:r w:rsidR="00861CCD" w:rsidRPr="00E4265B">
              <w:rPr>
                <w:rFonts w:ascii="Arial" w:hAnsi="Arial" w:cs="Arial"/>
                <w:sz w:val="22"/>
                <w:szCs w:val="22"/>
                <w:lang w:val="en-GB"/>
              </w:rPr>
              <w:t xml:space="preserve"> determined under Section 1.3.</w:t>
            </w:r>
          </w:p>
        </w:tc>
      </w:tr>
      <w:tr w:rsidR="00861CCD" w:rsidRPr="00E4265B" w14:paraId="197F7976" w14:textId="77777777" w:rsidTr="00BA0888">
        <w:tc>
          <w:tcPr>
            <w:tcW w:w="882" w:type="dxa"/>
          </w:tcPr>
          <w:p w14:paraId="1CFD6CA9" w14:textId="5284ED76" w:rsidR="00861CCD" w:rsidRPr="00E4265B" w:rsidRDefault="00861CCD" w:rsidP="00861CCD">
            <w:pPr>
              <w:pStyle w:val="1List"/>
              <w:ind w:left="0" w:firstLine="0"/>
              <w:rPr>
                <w:rFonts w:ascii="Arial" w:hAnsi="Arial" w:cs="Arial"/>
                <w:sz w:val="22"/>
                <w:szCs w:val="22"/>
                <w:lang w:val="en-GB"/>
              </w:rPr>
            </w:pPr>
          </w:p>
        </w:tc>
        <w:tc>
          <w:tcPr>
            <w:tcW w:w="7956" w:type="dxa"/>
            <w:gridSpan w:val="2"/>
          </w:tcPr>
          <w:p w14:paraId="60257ED4" w14:textId="33F6F1D1" w:rsidR="00861CCD" w:rsidRPr="00E4265B" w:rsidRDefault="00BA0888" w:rsidP="00E55391">
            <w:pPr>
              <w:pStyle w:val="1List"/>
              <w:tabs>
                <w:tab w:val="left" w:pos="810"/>
              </w:tabs>
              <w:ind w:left="540" w:hanging="540"/>
              <w:rPr>
                <w:rFonts w:ascii="Arial" w:hAnsi="Arial" w:cs="Arial"/>
                <w:sz w:val="22"/>
                <w:szCs w:val="22"/>
                <w:lang w:val="en-GB"/>
              </w:rPr>
            </w:pPr>
            <w:r w:rsidRPr="00E4265B">
              <w:rPr>
                <w:rFonts w:ascii="Arial" w:hAnsi="Arial" w:cs="Arial"/>
                <w:sz w:val="22"/>
                <w:szCs w:val="22"/>
                <w:lang w:val="en-GB"/>
              </w:rPr>
              <w:t>(4</w:t>
            </w:r>
            <w:r w:rsidR="00861CCD" w:rsidRPr="00E4265B">
              <w:rPr>
                <w:rFonts w:ascii="Arial" w:hAnsi="Arial" w:cs="Arial"/>
                <w:sz w:val="22"/>
                <w:szCs w:val="22"/>
                <w:lang w:val="en-GB"/>
              </w:rPr>
              <w:t>)</w:t>
            </w:r>
            <w:r w:rsidR="00861CCD" w:rsidRPr="00E4265B">
              <w:rPr>
                <w:rFonts w:ascii="Arial" w:hAnsi="Arial" w:cs="Arial"/>
                <w:sz w:val="22"/>
                <w:szCs w:val="22"/>
                <w:lang w:val="en-GB"/>
              </w:rPr>
              <w:tab/>
              <w:t>Where a Chapter, Part or Section of these Rules applies to a limited scope of Categories of Authorised Person, the term "Authorised Person" used in those provisions is to be read accordingly.</w:t>
            </w:r>
          </w:p>
        </w:tc>
      </w:tr>
      <w:tr w:rsidR="00861CCD" w:rsidRPr="00E4265B" w14:paraId="64592BC1" w14:textId="77777777" w:rsidTr="00BA0888">
        <w:tc>
          <w:tcPr>
            <w:tcW w:w="882" w:type="dxa"/>
          </w:tcPr>
          <w:p w14:paraId="434E0B63" w14:textId="5096A54D" w:rsidR="00861CCD" w:rsidRPr="00E4265B" w:rsidRDefault="00861CCD" w:rsidP="00861CCD">
            <w:pPr>
              <w:pStyle w:val="1List"/>
              <w:ind w:left="0" w:firstLine="0"/>
              <w:rPr>
                <w:rFonts w:ascii="Arial" w:hAnsi="Arial" w:cs="Arial"/>
                <w:sz w:val="22"/>
                <w:szCs w:val="22"/>
                <w:lang w:val="en-GB"/>
              </w:rPr>
            </w:pPr>
          </w:p>
        </w:tc>
        <w:tc>
          <w:tcPr>
            <w:tcW w:w="7956" w:type="dxa"/>
            <w:gridSpan w:val="2"/>
          </w:tcPr>
          <w:p w14:paraId="4A6373AA" w14:textId="15741AF3" w:rsidR="00861CCD" w:rsidRPr="00E4265B" w:rsidRDefault="00BA0888" w:rsidP="002C4FCB">
            <w:pPr>
              <w:pStyle w:val="1List"/>
              <w:ind w:left="540" w:hanging="540"/>
              <w:rPr>
                <w:rFonts w:ascii="Arial" w:hAnsi="Arial" w:cs="Arial"/>
                <w:sz w:val="22"/>
                <w:szCs w:val="22"/>
                <w:lang w:val="en-GB"/>
              </w:rPr>
            </w:pPr>
            <w:r w:rsidRPr="00E4265B">
              <w:rPr>
                <w:rFonts w:ascii="Arial" w:hAnsi="Arial" w:cs="Arial"/>
                <w:sz w:val="22"/>
                <w:szCs w:val="22"/>
                <w:lang w:val="en-GB"/>
              </w:rPr>
              <w:t>(5</w:t>
            </w:r>
            <w:r w:rsidR="00861CCD" w:rsidRPr="00E4265B">
              <w:rPr>
                <w:rFonts w:ascii="Arial" w:hAnsi="Arial" w:cs="Arial"/>
                <w:sz w:val="22"/>
                <w:szCs w:val="22"/>
                <w:lang w:val="en-GB"/>
              </w:rPr>
              <w:t>)</w:t>
            </w:r>
            <w:r w:rsidR="00861CCD" w:rsidRPr="00E4265B">
              <w:rPr>
                <w:rFonts w:ascii="Arial" w:hAnsi="Arial" w:cs="Arial"/>
                <w:sz w:val="22"/>
                <w:szCs w:val="22"/>
                <w:lang w:val="en-GB"/>
              </w:rPr>
              <w:tab/>
              <w:t>These Rules apply to the whole business of an Authorised Person except in relation to Client Assets and Insurance Money that are held or controlled by an Authorised Person which are not included in any prudential calculation.</w:t>
            </w:r>
          </w:p>
        </w:tc>
      </w:tr>
      <w:tr w:rsidR="003E4611" w:rsidRPr="00E4265B" w14:paraId="797391B3" w14:textId="77777777" w:rsidTr="00BA0888">
        <w:tc>
          <w:tcPr>
            <w:tcW w:w="882" w:type="dxa"/>
          </w:tcPr>
          <w:p w14:paraId="0FD21BD1" w14:textId="339E4F7E" w:rsidR="003E4611" w:rsidRPr="00E4265B" w:rsidRDefault="003E4611" w:rsidP="003E4611">
            <w:pPr>
              <w:pStyle w:val="TitleL5"/>
              <w:ind w:left="0"/>
              <w:rPr>
                <w:rFonts w:ascii="Arial" w:hAnsi="Arial" w:cs="Arial"/>
                <w:sz w:val="22"/>
                <w:szCs w:val="22"/>
                <w:lang w:val="en-GB"/>
              </w:rPr>
            </w:pPr>
          </w:p>
        </w:tc>
        <w:tc>
          <w:tcPr>
            <w:tcW w:w="7956" w:type="dxa"/>
            <w:gridSpan w:val="2"/>
          </w:tcPr>
          <w:p w14:paraId="58F9926F" w14:textId="4FA1A00C" w:rsidR="003E4611" w:rsidRPr="00E4265B" w:rsidRDefault="003E4611" w:rsidP="003E4611">
            <w:pPr>
              <w:pStyle w:val="TitleL5"/>
              <w:ind w:left="0"/>
              <w:rPr>
                <w:rFonts w:ascii="Arial" w:hAnsi="Arial" w:cs="Arial"/>
                <w:sz w:val="22"/>
                <w:szCs w:val="22"/>
                <w:lang w:val="en-GB"/>
              </w:rPr>
            </w:pPr>
            <w:r w:rsidRPr="00E4265B">
              <w:rPr>
                <w:rFonts w:ascii="Arial" w:hAnsi="Arial" w:cs="Arial"/>
                <w:sz w:val="22"/>
                <w:szCs w:val="22"/>
                <w:lang w:val="en-GB"/>
              </w:rPr>
              <w:t>Guidance</w:t>
            </w:r>
          </w:p>
        </w:tc>
      </w:tr>
      <w:tr w:rsidR="003E4611" w:rsidRPr="00E4265B" w14:paraId="3D479903" w14:textId="77777777" w:rsidTr="00BA0888">
        <w:tc>
          <w:tcPr>
            <w:tcW w:w="882" w:type="dxa"/>
          </w:tcPr>
          <w:p w14:paraId="60E0B8ED" w14:textId="14FF0CF8" w:rsidR="003E4611" w:rsidRPr="00E4265B" w:rsidRDefault="003E4611" w:rsidP="003E4611">
            <w:pPr>
              <w:pStyle w:val="1List0"/>
              <w:ind w:left="0" w:firstLine="0"/>
              <w:rPr>
                <w:rFonts w:ascii="Arial" w:hAnsi="Arial" w:cs="Arial"/>
                <w:sz w:val="22"/>
                <w:szCs w:val="22"/>
                <w:lang w:val="en-GB"/>
              </w:rPr>
            </w:pPr>
          </w:p>
        </w:tc>
        <w:tc>
          <w:tcPr>
            <w:tcW w:w="7956" w:type="dxa"/>
            <w:gridSpan w:val="2"/>
          </w:tcPr>
          <w:p w14:paraId="6EEA6822" w14:textId="77777777" w:rsidR="003E4611" w:rsidRDefault="003E4611" w:rsidP="00706AC9">
            <w:pPr>
              <w:pStyle w:val="1List"/>
              <w:tabs>
                <w:tab w:val="left" w:pos="810"/>
              </w:tabs>
              <w:ind w:left="540" w:hanging="54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The effect of Rule 1.1.1(1)</w:t>
            </w:r>
            <w:r w:rsidR="00BA0888" w:rsidRPr="00E4265B">
              <w:rPr>
                <w:rFonts w:ascii="Arial" w:hAnsi="Arial" w:cs="Arial"/>
                <w:sz w:val="22"/>
                <w:szCs w:val="22"/>
                <w:lang w:val="en-GB"/>
              </w:rPr>
              <w:t xml:space="preserve"> </w:t>
            </w:r>
            <w:r w:rsidRPr="00E4265B">
              <w:rPr>
                <w:rFonts w:ascii="Arial" w:hAnsi="Arial" w:cs="Arial"/>
                <w:sz w:val="22"/>
                <w:szCs w:val="22"/>
                <w:lang w:val="en-GB"/>
              </w:rPr>
              <w:t>is that these Rules </w:t>
            </w:r>
            <w:r w:rsidR="00BA0888" w:rsidRPr="00E4265B">
              <w:rPr>
                <w:rFonts w:ascii="Arial" w:hAnsi="Arial" w:cs="Arial"/>
                <w:sz w:val="22"/>
                <w:szCs w:val="22"/>
                <w:lang w:val="en-GB"/>
              </w:rPr>
              <w:t>apply to all Authorised Persons, except those that are Insurers, Representative Offices or Credit Rating Agencies</w:t>
            </w:r>
            <w:r w:rsidRPr="00E4265B">
              <w:rPr>
                <w:rFonts w:ascii="Arial" w:hAnsi="Arial" w:cs="Arial"/>
                <w:sz w:val="22"/>
                <w:szCs w:val="22"/>
                <w:lang w:val="en-GB"/>
              </w:rPr>
              <w:t xml:space="preserve">. </w:t>
            </w:r>
            <w:r w:rsidR="00BA0888" w:rsidRPr="00E4265B">
              <w:rPr>
                <w:rFonts w:ascii="Arial" w:hAnsi="Arial" w:cs="Arial"/>
                <w:sz w:val="22"/>
                <w:szCs w:val="22"/>
                <w:lang w:val="en-GB"/>
              </w:rPr>
              <w:t>In the case of Insurers, t</w:t>
            </w:r>
            <w:r w:rsidRPr="00E4265B">
              <w:rPr>
                <w:rFonts w:ascii="Arial" w:hAnsi="Arial" w:cs="Arial"/>
                <w:sz w:val="22"/>
                <w:szCs w:val="22"/>
                <w:lang w:val="en-GB"/>
              </w:rPr>
              <w:t xml:space="preserve">hose firms that are authorised to effect or carry out Contracts of Insurance should instead refer to the PIN </w:t>
            </w:r>
            <w:r w:rsidR="00706AC9" w:rsidRPr="00E4265B">
              <w:rPr>
                <w:rFonts w:ascii="Arial" w:hAnsi="Arial" w:cs="Arial"/>
                <w:sz w:val="22"/>
                <w:szCs w:val="22"/>
                <w:lang w:val="en-GB"/>
              </w:rPr>
              <w:t>Ru</w:t>
            </w:r>
            <w:r w:rsidRPr="00E4265B">
              <w:rPr>
                <w:rFonts w:ascii="Arial" w:hAnsi="Arial" w:cs="Arial"/>
                <w:sz w:val="22"/>
                <w:szCs w:val="22"/>
                <w:lang w:val="en-GB"/>
              </w:rPr>
              <w:t>le</w:t>
            </w:r>
            <w:r w:rsidR="00706AC9" w:rsidRPr="00E4265B">
              <w:rPr>
                <w:rFonts w:ascii="Arial" w:hAnsi="Arial" w:cs="Arial"/>
                <w:sz w:val="22"/>
                <w:szCs w:val="22"/>
                <w:lang w:val="en-GB"/>
              </w:rPr>
              <w:t>book</w:t>
            </w:r>
            <w:r w:rsidRPr="00E4265B">
              <w:rPr>
                <w:rFonts w:ascii="Arial" w:hAnsi="Arial" w:cs="Arial"/>
                <w:sz w:val="22"/>
                <w:szCs w:val="22"/>
                <w:lang w:val="en-GB"/>
              </w:rPr>
              <w:t>.</w:t>
            </w:r>
          </w:p>
          <w:p w14:paraId="61A97703" w14:textId="4610CD82" w:rsidR="00F943A3" w:rsidRPr="00E4265B" w:rsidRDefault="00F943A3" w:rsidP="00706AC9">
            <w:pPr>
              <w:pStyle w:val="1List"/>
              <w:tabs>
                <w:tab w:val="left" w:pos="810"/>
              </w:tabs>
              <w:ind w:left="540" w:hanging="540"/>
              <w:rPr>
                <w:rFonts w:ascii="Arial" w:hAnsi="Arial" w:cs="Arial"/>
                <w:sz w:val="22"/>
                <w:szCs w:val="22"/>
                <w:lang w:val="en-GB"/>
              </w:rPr>
            </w:pPr>
            <w:r w:rsidRPr="00F943A3">
              <w:rPr>
                <w:rFonts w:ascii="Arial" w:hAnsi="Arial" w:cs="Arial"/>
                <w:sz w:val="22"/>
                <w:szCs w:val="22"/>
                <w:lang w:val="en-GB"/>
              </w:rPr>
              <w:t>2.</w:t>
            </w:r>
            <w:r w:rsidRPr="00F943A3">
              <w:rPr>
                <w:rFonts w:ascii="Arial" w:hAnsi="Arial" w:cs="Arial"/>
                <w:sz w:val="22"/>
                <w:szCs w:val="22"/>
                <w:lang w:val="en-GB"/>
              </w:rPr>
              <w:tab/>
              <w:t>Rule 1.1.1(2) does not apply to an Authorised Person where its Financial Services Permission authorises it to carry on one or both of the Regulated Activities of Advising on Investments or Credit and Arranging Deals in Investments where those activities are not restricted to co-investments in assets in which a Venture Capital Fund managed by the Authorised Person has invested or will invest.</w:t>
            </w:r>
          </w:p>
        </w:tc>
      </w:tr>
      <w:tr w:rsidR="003E4611" w:rsidRPr="00E4265B" w14:paraId="09A14BD1" w14:textId="77777777" w:rsidTr="00BA0888">
        <w:tc>
          <w:tcPr>
            <w:tcW w:w="882" w:type="dxa"/>
          </w:tcPr>
          <w:p w14:paraId="71F1D836" w14:textId="2D5ED52F" w:rsidR="003E4611" w:rsidRPr="00E4265B" w:rsidRDefault="003E4611" w:rsidP="003E4611">
            <w:pPr>
              <w:pStyle w:val="1List0"/>
              <w:ind w:left="0" w:firstLine="0"/>
              <w:rPr>
                <w:rFonts w:ascii="Arial" w:hAnsi="Arial" w:cs="Arial"/>
                <w:sz w:val="22"/>
                <w:szCs w:val="22"/>
                <w:lang w:val="en-GB"/>
              </w:rPr>
            </w:pPr>
          </w:p>
        </w:tc>
        <w:tc>
          <w:tcPr>
            <w:tcW w:w="7956" w:type="dxa"/>
            <w:gridSpan w:val="2"/>
          </w:tcPr>
          <w:p w14:paraId="7EC5E9A5" w14:textId="1F284573" w:rsidR="003E4611" w:rsidRPr="00E4265B" w:rsidRDefault="00F943A3" w:rsidP="00D032AD">
            <w:pPr>
              <w:pStyle w:val="1List"/>
              <w:tabs>
                <w:tab w:val="left" w:pos="810"/>
              </w:tabs>
              <w:ind w:left="540" w:hanging="540"/>
              <w:rPr>
                <w:rFonts w:ascii="Arial" w:hAnsi="Arial" w:cs="Arial"/>
                <w:sz w:val="22"/>
                <w:szCs w:val="22"/>
                <w:lang w:val="en-GB"/>
              </w:rPr>
            </w:pPr>
            <w:r>
              <w:rPr>
                <w:rFonts w:ascii="Arial" w:hAnsi="Arial" w:cs="Arial"/>
                <w:sz w:val="22"/>
                <w:szCs w:val="22"/>
                <w:lang w:val="en-GB"/>
              </w:rPr>
              <w:t>3</w:t>
            </w:r>
            <w:r w:rsidR="003E4611" w:rsidRPr="00E4265B">
              <w:rPr>
                <w:rFonts w:ascii="Arial" w:hAnsi="Arial" w:cs="Arial"/>
                <w:sz w:val="22"/>
                <w:szCs w:val="22"/>
                <w:lang w:val="en-GB"/>
              </w:rPr>
              <w:t>.</w:t>
            </w:r>
            <w:r w:rsidR="003E4611" w:rsidRPr="00E4265B">
              <w:rPr>
                <w:rFonts w:ascii="Arial" w:hAnsi="Arial" w:cs="Arial"/>
                <w:sz w:val="22"/>
                <w:szCs w:val="22"/>
                <w:lang w:val="en-GB"/>
              </w:rPr>
              <w:tab/>
              <w:t xml:space="preserve">These Rules apply to </w:t>
            </w:r>
            <w:r w:rsidR="008E3E68" w:rsidRPr="00E4265B">
              <w:rPr>
                <w:rFonts w:ascii="Arial" w:hAnsi="Arial" w:cs="Arial"/>
                <w:sz w:val="22"/>
                <w:szCs w:val="22"/>
                <w:lang w:val="en-GB"/>
              </w:rPr>
              <w:t xml:space="preserve">Authorised Persons classified as </w:t>
            </w:r>
            <w:r w:rsidR="003E4611" w:rsidRPr="00E4265B">
              <w:rPr>
                <w:rFonts w:ascii="Arial" w:hAnsi="Arial" w:cs="Arial"/>
                <w:sz w:val="22"/>
                <w:szCs w:val="22"/>
                <w:lang w:val="en-GB"/>
              </w:rPr>
              <w:t xml:space="preserve">Domestic Firms and to </w:t>
            </w:r>
            <w:r w:rsidR="008E3E68" w:rsidRPr="00E4265B">
              <w:rPr>
                <w:rFonts w:ascii="Arial" w:hAnsi="Arial" w:cs="Arial"/>
                <w:sz w:val="22"/>
                <w:szCs w:val="22"/>
                <w:lang w:val="en-GB"/>
              </w:rPr>
              <w:t xml:space="preserve">those </w:t>
            </w:r>
            <w:r w:rsidR="003E4611" w:rsidRPr="00E4265B">
              <w:rPr>
                <w:rFonts w:ascii="Arial" w:hAnsi="Arial" w:cs="Arial"/>
                <w:sz w:val="22"/>
                <w:szCs w:val="22"/>
                <w:lang w:val="en-GB"/>
              </w:rPr>
              <w:t>Authorised Persons conducting Regulated Activities through a Branch in ADGM.</w:t>
            </w:r>
          </w:p>
        </w:tc>
      </w:tr>
      <w:tr w:rsidR="003E4611" w:rsidRPr="00E4265B" w14:paraId="1B6DBA02" w14:textId="77777777" w:rsidTr="00BA0888">
        <w:tc>
          <w:tcPr>
            <w:tcW w:w="882" w:type="dxa"/>
          </w:tcPr>
          <w:p w14:paraId="5847294A" w14:textId="2A253C19" w:rsidR="003E4611" w:rsidRPr="00E4265B" w:rsidRDefault="003E4611" w:rsidP="003E4611">
            <w:pPr>
              <w:pStyle w:val="1List0"/>
              <w:ind w:left="0" w:firstLine="0"/>
              <w:rPr>
                <w:rFonts w:ascii="Arial" w:hAnsi="Arial" w:cs="Arial"/>
                <w:sz w:val="22"/>
                <w:szCs w:val="22"/>
                <w:lang w:val="en-GB"/>
              </w:rPr>
            </w:pPr>
          </w:p>
        </w:tc>
        <w:tc>
          <w:tcPr>
            <w:tcW w:w="7956" w:type="dxa"/>
            <w:gridSpan w:val="2"/>
          </w:tcPr>
          <w:p w14:paraId="0BE6418F" w14:textId="4296BB01" w:rsidR="003E4611" w:rsidRPr="00E4265B" w:rsidRDefault="00F943A3" w:rsidP="003E4611">
            <w:pPr>
              <w:pStyle w:val="1List"/>
              <w:tabs>
                <w:tab w:val="left" w:pos="810"/>
              </w:tabs>
              <w:ind w:left="540" w:hanging="540"/>
              <w:rPr>
                <w:rFonts w:ascii="Arial" w:hAnsi="Arial" w:cs="Arial"/>
                <w:sz w:val="22"/>
                <w:szCs w:val="22"/>
                <w:lang w:val="en-GB"/>
              </w:rPr>
            </w:pPr>
            <w:r>
              <w:rPr>
                <w:rFonts w:ascii="Arial" w:hAnsi="Arial" w:cs="Arial"/>
                <w:sz w:val="22"/>
                <w:szCs w:val="22"/>
                <w:lang w:val="en-GB"/>
              </w:rPr>
              <w:t>4</w:t>
            </w:r>
            <w:r w:rsidR="003E4611" w:rsidRPr="00E4265B">
              <w:rPr>
                <w:rFonts w:ascii="Arial" w:hAnsi="Arial" w:cs="Arial"/>
                <w:sz w:val="22"/>
                <w:szCs w:val="22"/>
                <w:lang w:val="en-GB"/>
              </w:rPr>
              <w:t>.</w:t>
            </w:r>
            <w:r w:rsidR="003E4611" w:rsidRPr="00E4265B">
              <w:rPr>
                <w:rFonts w:ascii="Arial" w:hAnsi="Arial" w:cs="Arial"/>
                <w:sz w:val="22"/>
                <w:szCs w:val="22"/>
                <w:lang w:val="en-GB"/>
              </w:rPr>
              <w:tab/>
              <w:t>These Rules reinforce the fitness and propriety requirements for Authorised Persons found in GEN 3 – Management, Systems and Controls and Principle 3. These Rules are comprised of the following:</w:t>
            </w:r>
          </w:p>
        </w:tc>
      </w:tr>
      <w:tr w:rsidR="003E4611" w:rsidRPr="00E4265B" w14:paraId="2EAE21E8" w14:textId="77777777" w:rsidTr="00BA0888">
        <w:tc>
          <w:tcPr>
            <w:tcW w:w="882" w:type="dxa"/>
          </w:tcPr>
          <w:p w14:paraId="0F34BA92" w14:textId="1FE4BC85" w:rsidR="003E4611" w:rsidRPr="00E4265B" w:rsidRDefault="003E4611" w:rsidP="003E4611">
            <w:pPr>
              <w:pStyle w:val="aList"/>
              <w:ind w:left="0" w:firstLine="0"/>
              <w:rPr>
                <w:rFonts w:ascii="Arial" w:hAnsi="Arial" w:cs="Arial"/>
                <w:sz w:val="22"/>
                <w:szCs w:val="22"/>
                <w:lang w:val="en-GB"/>
              </w:rPr>
            </w:pPr>
          </w:p>
        </w:tc>
        <w:tc>
          <w:tcPr>
            <w:tcW w:w="378" w:type="dxa"/>
          </w:tcPr>
          <w:p w14:paraId="74E6374C" w14:textId="77777777" w:rsidR="003E4611" w:rsidRPr="00E4265B" w:rsidRDefault="003E4611" w:rsidP="003E4611">
            <w:pPr>
              <w:pStyle w:val="aList"/>
              <w:ind w:left="0" w:firstLine="0"/>
              <w:rPr>
                <w:rFonts w:ascii="Arial" w:hAnsi="Arial" w:cs="Arial"/>
                <w:sz w:val="22"/>
                <w:szCs w:val="22"/>
                <w:lang w:val="en-GB"/>
              </w:rPr>
            </w:pPr>
          </w:p>
        </w:tc>
        <w:tc>
          <w:tcPr>
            <w:tcW w:w="7578" w:type="dxa"/>
          </w:tcPr>
          <w:p w14:paraId="5B8594E6" w14:textId="71F8E475" w:rsidR="003E4611" w:rsidRPr="00E4265B" w:rsidRDefault="003E4611" w:rsidP="00BA0888">
            <w:pPr>
              <w:pStyle w:val="aList"/>
              <w:ind w:left="522" w:hanging="360"/>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an initial Chapter establishing a categorisation of firms for the application of these Rules;</w:t>
            </w:r>
          </w:p>
        </w:tc>
      </w:tr>
      <w:tr w:rsidR="003E4611" w:rsidRPr="00E4265B" w14:paraId="6198FDEA" w14:textId="77777777" w:rsidTr="00BA0888">
        <w:tc>
          <w:tcPr>
            <w:tcW w:w="882" w:type="dxa"/>
          </w:tcPr>
          <w:p w14:paraId="7DA00FF2" w14:textId="2520F97C" w:rsidR="003E4611" w:rsidRPr="00E4265B" w:rsidRDefault="003E4611" w:rsidP="003E4611">
            <w:pPr>
              <w:pStyle w:val="aList"/>
              <w:ind w:left="0" w:firstLine="0"/>
              <w:jc w:val="lowKashida"/>
              <w:rPr>
                <w:rFonts w:ascii="Arial" w:hAnsi="Arial" w:cs="Arial"/>
                <w:sz w:val="22"/>
                <w:szCs w:val="22"/>
                <w:lang w:val="en-GB"/>
              </w:rPr>
            </w:pPr>
          </w:p>
        </w:tc>
        <w:tc>
          <w:tcPr>
            <w:tcW w:w="378" w:type="dxa"/>
          </w:tcPr>
          <w:p w14:paraId="0090B074" w14:textId="77777777" w:rsidR="003E4611" w:rsidRPr="00E4265B" w:rsidRDefault="003E4611" w:rsidP="003E4611">
            <w:pPr>
              <w:pStyle w:val="aList"/>
              <w:ind w:left="0" w:firstLine="0"/>
              <w:jc w:val="lowKashida"/>
              <w:rPr>
                <w:rFonts w:ascii="Arial" w:hAnsi="Arial" w:cs="Arial"/>
                <w:sz w:val="22"/>
                <w:szCs w:val="22"/>
                <w:lang w:val="en-GB"/>
              </w:rPr>
            </w:pPr>
          </w:p>
        </w:tc>
        <w:tc>
          <w:tcPr>
            <w:tcW w:w="7578" w:type="dxa"/>
          </w:tcPr>
          <w:p w14:paraId="69579FC3" w14:textId="03F2CEE5" w:rsidR="003E4611" w:rsidRPr="00E4265B" w:rsidRDefault="003E4611" w:rsidP="00BA0888">
            <w:pPr>
              <w:pStyle w:val="aList"/>
              <w:ind w:left="522" w:hanging="360"/>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two general Chapters detailing overall requirements: General Requirements and Capital</w:t>
            </w:r>
            <w:r w:rsidR="00812203" w:rsidRPr="00E4265B">
              <w:rPr>
                <w:rFonts w:ascii="Arial" w:hAnsi="Arial" w:cs="Arial"/>
                <w:sz w:val="22"/>
                <w:szCs w:val="22"/>
                <w:lang w:val="en-GB"/>
              </w:rPr>
              <w:t xml:space="preserve"> and Leverage</w:t>
            </w:r>
            <w:r w:rsidRPr="00E4265B">
              <w:rPr>
                <w:rFonts w:ascii="Arial" w:hAnsi="Arial" w:cs="Arial"/>
                <w:sz w:val="22"/>
                <w:szCs w:val="22"/>
                <w:lang w:val="en-GB"/>
              </w:rPr>
              <w:t>;</w:t>
            </w:r>
          </w:p>
        </w:tc>
      </w:tr>
      <w:tr w:rsidR="003E4611" w:rsidRPr="00E4265B" w14:paraId="711BE7C6" w14:textId="77777777" w:rsidTr="00BA0888">
        <w:tc>
          <w:tcPr>
            <w:tcW w:w="882" w:type="dxa"/>
          </w:tcPr>
          <w:p w14:paraId="51B20DE3" w14:textId="7D0FC23D" w:rsidR="003E4611" w:rsidRPr="00E4265B" w:rsidRDefault="003E4611" w:rsidP="003E4611">
            <w:pPr>
              <w:pStyle w:val="aList"/>
              <w:ind w:left="0" w:firstLine="0"/>
              <w:rPr>
                <w:rFonts w:ascii="Arial" w:hAnsi="Arial" w:cs="Arial"/>
                <w:sz w:val="22"/>
                <w:szCs w:val="22"/>
                <w:lang w:val="en-GB"/>
              </w:rPr>
            </w:pPr>
          </w:p>
        </w:tc>
        <w:tc>
          <w:tcPr>
            <w:tcW w:w="378" w:type="dxa"/>
          </w:tcPr>
          <w:p w14:paraId="36CB92BC" w14:textId="77777777" w:rsidR="003E4611" w:rsidRPr="00E4265B" w:rsidRDefault="003E4611" w:rsidP="003E4611">
            <w:pPr>
              <w:pStyle w:val="aList"/>
              <w:ind w:left="0" w:firstLine="0"/>
              <w:rPr>
                <w:rFonts w:ascii="Arial" w:hAnsi="Arial" w:cs="Arial"/>
                <w:sz w:val="22"/>
                <w:szCs w:val="22"/>
                <w:lang w:val="en-GB"/>
              </w:rPr>
            </w:pPr>
          </w:p>
        </w:tc>
        <w:tc>
          <w:tcPr>
            <w:tcW w:w="7578" w:type="dxa"/>
          </w:tcPr>
          <w:p w14:paraId="4551E06F" w14:textId="50CC239B" w:rsidR="003E4611" w:rsidRPr="00E4265B" w:rsidRDefault="003E4611" w:rsidP="00706AC9">
            <w:pPr>
              <w:pStyle w:val="aList"/>
              <w:ind w:left="522" w:hanging="360"/>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six Chapters detailing specific requirements relating to the following particular risk</w:t>
            </w:r>
            <w:r w:rsidR="00706AC9" w:rsidRPr="00E4265B">
              <w:rPr>
                <w:rFonts w:ascii="Arial" w:hAnsi="Arial" w:cs="Arial"/>
                <w:sz w:val="22"/>
                <w:szCs w:val="22"/>
                <w:lang w:val="en-GB"/>
              </w:rPr>
              <w:t xml:space="preserve"> types</w:t>
            </w:r>
            <w:r w:rsidRPr="00E4265B">
              <w:rPr>
                <w:rFonts w:ascii="Arial" w:hAnsi="Arial" w:cs="Arial"/>
                <w:sz w:val="22"/>
                <w:szCs w:val="22"/>
                <w:lang w:val="en-GB"/>
              </w:rPr>
              <w:t>: Credit Risk, Market Risk, Operational Risk, interest rate risk in the Non</w:t>
            </w:r>
            <w:r w:rsidRPr="00E4265B">
              <w:rPr>
                <w:rFonts w:ascii="Arial" w:hAnsi="Arial" w:cs="Arial"/>
                <w:sz w:val="22"/>
                <w:szCs w:val="22"/>
                <w:lang w:val="en-GB"/>
              </w:rPr>
              <w:noBreakHyphen/>
              <w:t>Trading Book, Group Risk and Liquidity Risk;</w:t>
            </w:r>
          </w:p>
        </w:tc>
      </w:tr>
      <w:tr w:rsidR="003E4611" w:rsidRPr="00E4265B" w14:paraId="103788FB" w14:textId="77777777" w:rsidTr="00BA0888">
        <w:tc>
          <w:tcPr>
            <w:tcW w:w="882" w:type="dxa"/>
          </w:tcPr>
          <w:p w14:paraId="57DCEE32" w14:textId="609BA734" w:rsidR="003E4611" w:rsidRPr="00E4265B" w:rsidRDefault="003E4611" w:rsidP="003E4611">
            <w:pPr>
              <w:pStyle w:val="aList"/>
              <w:ind w:left="0" w:firstLine="0"/>
              <w:rPr>
                <w:rFonts w:ascii="Arial" w:hAnsi="Arial" w:cs="Arial"/>
                <w:sz w:val="22"/>
                <w:szCs w:val="22"/>
                <w:lang w:val="en-GB"/>
              </w:rPr>
            </w:pPr>
          </w:p>
        </w:tc>
        <w:tc>
          <w:tcPr>
            <w:tcW w:w="378" w:type="dxa"/>
          </w:tcPr>
          <w:p w14:paraId="51AACF0D" w14:textId="77777777" w:rsidR="003E4611" w:rsidRPr="00E4265B" w:rsidRDefault="003E4611" w:rsidP="003E4611">
            <w:pPr>
              <w:pStyle w:val="aList"/>
              <w:ind w:left="0" w:firstLine="0"/>
              <w:rPr>
                <w:rFonts w:ascii="Arial" w:hAnsi="Arial" w:cs="Arial"/>
                <w:sz w:val="22"/>
                <w:szCs w:val="22"/>
                <w:lang w:val="en-GB"/>
              </w:rPr>
            </w:pPr>
          </w:p>
        </w:tc>
        <w:tc>
          <w:tcPr>
            <w:tcW w:w="7578" w:type="dxa"/>
          </w:tcPr>
          <w:p w14:paraId="569794E2" w14:textId="2890E5EE" w:rsidR="003E4611" w:rsidRPr="00E4265B" w:rsidRDefault="003E4611" w:rsidP="00BA0888">
            <w:pPr>
              <w:pStyle w:val="aList"/>
              <w:ind w:left="522" w:hanging="360"/>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a Chapter imposing processes for risk self-assessment by Authorised Persons and supervisory assessment by the Regulator; and</w:t>
            </w:r>
          </w:p>
        </w:tc>
      </w:tr>
      <w:tr w:rsidR="003E4611" w:rsidRPr="00E4265B" w14:paraId="2990C313" w14:textId="77777777" w:rsidTr="00BA0888">
        <w:tc>
          <w:tcPr>
            <w:tcW w:w="882" w:type="dxa"/>
          </w:tcPr>
          <w:p w14:paraId="06306E45" w14:textId="4E6A5845" w:rsidR="003E4611" w:rsidRPr="00E4265B" w:rsidRDefault="003E4611" w:rsidP="003E4611">
            <w:pPr>
              <w:pStyle w:val="aList"/>
              <w:ind w:left="0" w:firstLine="0"/>
              <w:rPr>
                <w:rFonts w:ascii="Arial" w:hAnsi="Arial" w:cs="Arial"/>
                <w:sz w:val="22"/>
                <w:szCs w:val="22"/>
                <w:lang w:val="en-GB"/>
              </w:rPr>
            </w:pPr>
          </w:p>
        </w:tc>
        <w:tc>
          <w:tcPr>
            <w:tcW w:w="378" w:type="dxa"/>
          </w:tcPr>
          <w:p w14:paraId="0B02EF17" w14:textId="77777777" w:rsidR="003E4611" w:rsidRPr="00E4265B" w:rsidRDefault="003E4611" w:rsidP="003E4611">
            <w:pPr>
              <w:pStyle w:val="aList"/>
              <w:ind w:left="0" w:firstLine="0"/>
              <w:rPr>
                <w:rFonts w:ascii="Arial" w:hAnsi="Arial" w:cs="Arial"/>
                <w:sz w:val="22"/>
                <w:szCs w:val="22"/>
                <w:lang w:val="en-GB"/>
              </w:rPr>
            </w:pPr>
          </w:p>
        </w:tc>
        <w:tc>
          <w:tcPr>
            <w:tcW w:w="7578" w:type="dxa"/>
          </w:tcPr>
          <w:p w14:paraId="3D8EC7B8" w14:textId="59D1A2F1" w:rsidR="003E4611" w:rsidRPr="00E4265B" w:rsidRDefault="003E4611" w:rsidP="00BA0888">
            <w:pPr>
              <w:pStyle w:val="aList"/>
              <w:ind w:left="522" w:hanging="360"/>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a final Chapter imposing public disclosure requirements.</w:t>
            </w:r>
          </w:p>
        </w:tc>
      </w:tr>
      <w:tr w:rsidR="00BA0888" w:rsidRPr="00E4265B" w14:paraId="25957DB5" w14:textId="77777777" w:rsidTr="004F0FAB">
        <w:tc>
          <w:tcPr>
            <w:tcW w:w="882" w:type="dxa"/>
          </w:tcPr>
          <w:p w14:paraId="54BC24C9" w14:textId="77777777" w:rsidR="00BA0888" w:rsidRPr="00E4265B" w:rsidRDefault="00BA0888" w:rsidP="004F0FAB">
            <w:pPr>
              <w:pStyle w:val="1List0"/>
              <w:ind w:left="0" w:firstLine="0"/>
              <w:rPr>
                <w:rFonts w:ascii="Arial" w:hAnsi="Arial" w:cs="Arial"/>
                <w:sz w:val="22"/>
                <w:szCs w:val="22"/>
                <w:lang w:val="en-GB"/>
              </w:rPr>
            </w:pPr>
          </w:p>
        </w:tc>
        <w:tc>
          <w:tcPr>
            <w:tcW w:w="7956" w:type="dxa"/>
            <w:gridSpan w:val="2"/>
          </w:tcPr>
          <w:p w14:paraId="50DC116E" w14:textId="26328A7D" w:rsidR="00BA0888" w:rsidRPr="00E4265B" w:rsidRDefault="00F943A3" w:rsidP="00706AC9">
            <w:pPr>
              <w:pStyle w:val="1List"/>
              <w:tabs>
                <w:tab w:val="left" w:pos="810"/>
              </w:tabs>
              <w:ind w:left="540" w:hanging="540"/>
              <w:rPr>
                <w:rFonts w:ascii="Arial" w:hAnsi="Arial" w:cs="Arial"/>
                <w:sz w:val="22"/>
                <w:szCs w:val="22"/>
                <w:lang w:val="en-GB"/>
              </w:rPr>
            </w:pPr>
            <w:r>
              <w:rPr>
                <w:rFonts w:ascii="Arial" w:hAnsi="Arial" w:cs="Arial"/>
                <w:sz w:val="22"/>
                <w:szCs w:val="22"/>
                <w:lang w:val="en-GB"/>
              </w:rPr>
              <w:t>5</w:t>
            </w:r>
            <w:r w:rsidR="00BA0888" w:rsidRPr="00E4265B">
              <w:rPr>
                <w:rFonts w:ascii="Arial" w:hAnsi="Arial" w:cs="Arial"/>
                <w:sz w:val="22"/>
                <w:szCs w:val="22"/>
                <w:lang w:val="en-GB"/>
              </w:rPr>
              <w:t>.</w:t>
            </w:r>
            <w:r w:rsidR="00BA0888" w:rsidRPr="00E4265B">
              <w:rPr>
                <w:rFonts w:ascii="Arial" w:hAnsi="Arial" w:cs="Arial"/>
                <w:sz w:val="22"/>
                <w:szCs w:val="22"/>
                <w:lang w:val="en-GB"/>
              </w:rPr>
              <w:tab/>
              <w:t>With regards to Authorised Persons carrying on Islamic Financial Business, there are additional matters that should be included in their report to the Regulator which are in the Islamic Finance Rulebook (IFR) (see IFR rules).</w:t>
            </w:r>
          </w:p>
        </w:tc>
      </w:tr>
      <w:tr w:rsidR="003E4611" w:rsidRPr="00E4265B" w14:paraId="6E418DA7" w14:textId="77777777" w:rsidTr="00BA0888">
        <w:tc>
          <w:tcPr>
            <w:tcW w:w="882" w:type="dxa"/>
          </w:tcPr>
          <w:p w14:paraId="57D46780" w14:textId="3B556FE0" w:rsidR="003E4611" w:rsidRPr="00E4265B" w:rsidRDefault="003E4611" w:rsidP="003E4611">
            <w:pPr>
              <w:pStyle w:val="1List0"/>
              <w:ind w:left="0" w:firstLine="0"/>
              <w:rPr>
                <w:rFonts w:ascii="Arial" w:hAnsi="Arial" w:cs="Arial"/>
                <w:sz w:val="22"/>
                <w:szCs w:val="22"/>
                <w:lang w:val="en-GB"/>
              </w:rPr>
            </w:pPr>
          </w:p>
        </w:tc>
        <w:tc>
          <w:tcPr>
            <w:tcW w:w="7956" w:type="dxa"/>
            <w:gridSpan w:val="2"/>
          </w:tcPr>
          <w:p w14:paraId="440E28D7" w14:textId="12379703" w:rsidR="003E4611" w:rsidRPr="00E4265B" w:rsidRDefault="00F943A3" w:rsidP="001E7DF5">
            <w:pPr>
              <w:pStyle w:val="1List"/>
              <w:tabs>
                <w:tab w:val="left" w:pos="810"/>
              </w:tabs>
              <w:ind w:left="540" w:hanging="540"/>
              <w:rPr>
                <w:rFonts w:ascii="Arial" w:hAnsi="Arial" w:cs="Arial"/>
                <w:sz w:val="22"/>
                <w:szCs w:val="22"/>
                <w:lang w:val="en-GB"/>
              </w:rPr>
            </w:pPr>
            <w:r>
              <w:rPr>
                <w:rFonts w:ascii="Arial" w:hAnsi="Arial" w:cs="Arial"/>
                <w:sz w:val="22"/>
                <w:szCs w:val="22"/>
                <w:lang w:val="en-GB"/>
              </w:rPr>
              <w:t>6</w:t>
            </w:r>
            <w:r w:rsidR="003E4611" w:rsidRPr="00E4265B">
              <w:rPr>
                <w:rFonts w:ascii="Arial" w:hAnsi="Arial" w:cs="Arial"/>
                <w:sz w:val="22"/>
                <w:szCs w:val="22"/>
                <w:lang w:val="en-GB"/>
              </w:rPr>
              <w:t>.</w:t>
            </w:r>
            <w:r w:rsidR="003E4611" w:rsidRPr="00E4265B">
              <w:rPr>
                <w:rFonts w:ascii="Arial" w:hAnsi="Arial" w:cs="Arial"/>
                <w:sz w:val="22"/>
                <w:szCs w:val="22"/>
                <w:lang w:val="en-GB"/>
              </w:rPr>
              <w:tab/>
            </w:r>
            <w:r w:rsidR="00BA0888" w:rsidRPr="00E4265B">
              <w:rPr>
                <w:rFonts w:ascii="Arial" w:hAnsi="Arial" w:cs="Arial"/>
                <w:sz w:val="22"/>
                <w:szCs w:val="22"/>
                <w:lang w:val="en-GB"/>
              </w:rPr>
              <w:t xml:space="preserve">To assist Authorised Persons two tables </w:t>
            </w:r>
            <w:r w:rsidR="001E7DF5" w:rsidRPr="00E4265B">
              <w:rPr>
                <w:rFonts w:ascii="Arial" w:hAnsi="Arial" w:cs="Arial"/>
                <w:sz w:val="22"/>
                <w:szCs w:val="22"/>
                <w:lang w:val="en-GB"/>
              </w:rPr>
              <w:t xml:space="preserve">are provided that </w:t>
            </w:r>
            <w:r w:rsidR="00BA0888" w:rsidRPr="00E4265B">
              <w:rPr>
                <w:rFonts w:ascii="Arial" w:hAnsi="Arial" w:cs="Arial"/>
                <w:sz w:val="22"/>
                <w:szCs w:val="22"/>
                <w:lang w:val="en-GB"/>
              </w:rPr>
              <w:t>set out the application of these Rules to Domestic Firms (A</w:t>
            </w:r>
            <w:r w:rsidR="00342611" w:rsidRPr="00E4265B">
              <w:rPr>
                <w:rFonts w:ascii="Arial" w:hAnsi="Arial" w:cs="Arial"/>
                <w:sz w:val="22"/>
                <w:szCs w:val="22"/>
                <w:lang w:val="en-GB"/>
              </w:rPr>
              <w:t>p</w:t>
            </w:r>
            <w:r w:rsidR="00BA0888" w:rsidRPr="00E4265B">
              <w:rPr>
                <w:rFonts w:ascii="Arial" w:hAnsi="Arial" w:cs="Arial"/>
                <w:sz w:val="22"/>
                <w:szCs w:val="22"/>
                <w:lang w:val="en-GB"/>
              </w:rPr>
              <w:t>plication Table A) and Branches (Application Table B), based on the different Categories of Authorised Persons. Th</w:t>
            </w:r>
            <w:r w:rsidR="001468C7" w:rsidRPr="00E4265B">
              <w:rPr>
                <w:rFonts w:ascii="Arial" w:hAnsi="Arial" w:cs="Arial"/>
                <w:sz w:val="22"/>
                <w:szCs w:val="22"/>
                <w:lang w:val="en-GB"/>
              </w:rPr>
              <w:t>ese tables are</w:t>
            </w:r>
            <w:r w:rsidR="00BA0888" w:rsidRPr="00E4265B">
              <w:rPr>
                <w:rFonts w:ascii="Arial" w:hAnsi="Arial" w:cs="Arial"/>
                <w:sz w:val="22"/>
                <w:szCs w:val="22"/>
                <w:lang w:val="en-GB"/>
              </w:rPr>
              <w:t xml:space="preserve"> for guidance purposes only.</w:t>
            </w:r>
          </w:p>
        </w:tc>
      </w:tr>
    </w:tbl>
    <w:p w14:paraId="3951BC8E" w14:textId="77777777" w:rsidR="003E4611" w:rsidRPr="00E4265B" w:rsidRDefault="003E4611" w:rsidP="00725EC0">
      <w:pPr>
        <w:rPr>
          <w:rFonts w:ascii="Arial" w:hAnsi="Arial" w:cs="Arial"/>
          <w:sz w:val="22"/>
          <w:szCs w:val="22"/>
          <w:lang w:val="en-GB"/>
        </w:rPr>
        <w:sectPr w:rsidR="003E4611" w:rsidRPr="00E4265B" w:rsidSect="00781C1C">
          <w:headerReference w:type="default" r:id="rId12"/>
          <w:footerReference w:type="default" r:id="rId13"/>
          <w:pgSz w:w="11907" w:h="16839" w:code="9"/>
          <w:pgMar w:top="1890" w:right="1017" w:bottom="1350" w:left="1440" w:header="720" w:footer="1136" w:gutter="0"/>
          <w:pgNumType w:start="1"/>
          <w:cols w:space="720"/>
          <w:docGrid w:linePitch="360"/>
        </w:sectPr>
      </w:pPr>
    </w:p>
    <w:p w14:paraId="21D0C964" w14:textId="77777777" w:rsidR="00706AC9" w:rsidRPr="00E4265B" w:rsidRDefault="00706AC9" w:rsidP="00706AC9">
      <w:pPr>
        <w:pStyle w:val="TitleL"/>
        <w:jc w:val="center"/>
        <w:rPr>
          <w:rFonts w:ascii="Arial" w:hAnsi="Arial" w:cs="Arial"/>
          <w:sz w:val="22"/>
          <w:szCs w:val="22"/>
          <w:lang w:val="en-GB"/>
        </w:rPr>
      </w:pPr>
      <w:r w:rsidRPr="00E4265B">
        <w:rPr>
          <w:rFonts w:ascii="Arial" w:hAnsi="Arial" w:cs="Arial"/>
          <w:noProof/>
          <w:sz w:val="22"/>
          <w:szCs w:val="22"/>
          <w:lang w:val="en-GB" w:eastAsia="en-GB"/>
        </w:rPr>
        <w:lastRenderedPageBreak/>
        <w:t>APPLICATION TABLE A:</w:t>
      </w:r>
      <w:r w:rsidRPr="00E4265B">
        <w:rPr>
          <w:rFonts w:ascii="Arial" w:hAnsi="Arial" w:cs="Arial"/>
          <w:noProof/>
          <w:sz w:val="22"/>
          <w:szCs w:val="22"/>
          <w:lang w:val="en-GB" w:eastAsia="en-GB"/>
        </w:rPr>
        <w:br/>
        <w:t>FOR AN AUTHORISED PERSON THAT OPERATES AS A DOMESTIC FIRM</w:t>
      </w:r>
    </w:p>
    <w:tbl>
      <w:tblPr>
        <w:tblStyle w:val="TableGrid"/>
        <w:tblW w:w="4914" w:type="pct"/>
        <w:tblLayout w:type="fixed"/>
        <w:tblLook w:val="04A0" w:firstRow="1" w:lastRow="0" w:firstColumn="1" w:lastColumn="0" w:noHBand="0" w:noVBand="1"/>
      </w:tblPr>
      <w:tblGrid>
        <w:gridCol w:w="2512"/>
        <w:gridCol w:w="1579"/>
        <w:gridCol w:w="1579"/>
        <w:gridCol w:w="1579"/>
        <w:gridCol w:w="1579"/>
        <w:gridCol w:w="1579"/>
        <w:gridCol w:w="1579"/>
        <w:gridCol w:w="1794"/>
      </w:tblGrid>
      <w:tr w:rsidR="00706AC9" w:rsidRPr="00E4265B" w14:paraId="3D1B4D11" w14:textId="77777777" w:rsidTr="00706AC9">
        <w:trPr>
          <w:tblHeader/>
        </w:trPr>
        <w:tc>
          <w:tcPr>
            <w:tcW w:w="911" w:type="pct"/>
            <w:shd w:val="clear" w:color="auto" w:fill="D9D9D9" w:themeFill="background1" w:themeFillShade="D9"/>
            <w:noWrap/>
            <w:vAlign w:val="bottom"/>
          </w:tcPr>
          <w:p w14:paraId="61CAD446" w14:textId="77777777" w:rsidR="00706AC9" w:rsidRPr="00E4265B" w:rsidRDefault="00706AC9" w:rsidP="00706AC9">
            <w:pPr>
              <w:spacing w:before="40" w:afterLines="40" w:after="96" w:line="276" w:lineRule="auto"/>
              <w:jc w:val="center"/>
              <w:rPr>
                <w:rFonts w:ascii="Arial" w:eastAsia="Arial" w:hAnsi="Arial" w:cs="Arial"/>
                <w:sz w:val="22"/>
                <w:szCs w:val="22"/>
                <w:lang w:val="en-GB"/>
              </w:rPr>
            </w:pPr>
            <w:r w:rsidRPr="00E4265B">
              <w:rPr>
                <w:rFonts w:ascii="Arial" w:hAnsi="Arial" w:cs="Arial"/>
                <w:b/>
                <w:bCs/>
                <w:sz w:val="22"/>
                <w:szCs w:val="22"/>
                <w:lang w:val="en-GB"/>
              </w:rPr>
              <w:t>Chapter</w:t>
            </w:r>
          </w:p>
        </w:tc>
        <w:tc>
          <w:tcPr>
            <w:tcW w:w="573" w:type="pct"/>
            <w:shd w:val="clear" w:color="auto" w:fill="D9D9D9" w:themeFill="background1" w:themeFillShade="D9"/>
            <w:noWrap/>
            <w:vAlign w:val="bottom"/>
          </w:tcPr>
          <w:p w14:paraId="3D3E5E31" w14:textId="77777777" w:rsidR="00706AC9" w:rsidRPr="00E4265B" w:rsidRDefault="00706AC9" w:rsidP="00706AC9">
            <w:pPr>
              <w:spacing w:before="40" w:afterLines="40" w:after="96" w:line="276" w:lineRule="auto"/>
              <w:jc w:val="center"/>
              <w:rPr>
                <w:rFonts w:ascii="Arial" w:eastAsia="Arial" w:hAnsi="Arial" w:cs="Arial"/>
                <w:sz w:val="22"/>
                <w:szCs w:val="22"/>
                <w:lang w:val="en-GB"/>
              </w:rPr>
            </w:pPr>
            <w:r w:rsidRPr="00E4265B">
              <w:rPr>
                <w:rFonts w:ascii="Arial" w:hAnsi="Arial" w:cs="Arial"/>
                <w:b/>
                <w:bCs/>
                <w:sz w:val="22"/>
                <w:szCs w:val="22"/>
                <w:lang w:val="en-GB"/>
              </w:rPr>
              <w:t>Category 1</w:t>
            </w:r>
          </w:p>
        </w:tc>
        <w:tc>
          <w:tcPr>
            <w:tcW w:w="573" w:type="pct"/>
            <w:shd w:val="clear" w:color="auto" w:fill="D9D9D9" w:themeFill="background1" w:themeFillShade="D9"/>
            <w:noWrap/>
            <w:vAlign w:val="bottom"/>
          </w:tcPr>
          <w:p w14:paraId="1CB052B2" w14:textId="77777777" w:rsidR="00706AC9" w:rsidRPr="00E4265B" w:rsidRDefault="00706AC9" w:rsidP="00706AC9">
            <w:pPr>
              <w:spacing w:before="40" w:afterLines="40" w:after="96" w:line="276" w:lineRule="auto"/>
              <w:jc w:val="center"/>
              <w:rPr>
                <w:rFonts w:ascii="Arial" w:eastAsia="Arial" w:hAnsi="Arial" w:cs="Arial"/>
                <w:sz w:val="22"/>
                <w:szCs w:val="22"/>
                <w:lang w:val="en-GB"/>
              </w:rPr>
            </w:pPr>
            <w:r w:rsidRPr="00E4265B">
              <w:rPr>
                <w:rFonts w:ascii="Arial" w:hAnsi="Arial" w:cs="Arial"/>
                <w:b/>
                <w:bCs/>
                <w:sz w:val="22"/>
                <w:szCs w:val="22"/>
                <w:lang w:val="en-GB"/>
              </w:rPr>
              <w:t>Category 2</w:t>
            </w:r>
          </w:p>
        </w:tc>
        <w:tc>
          <w:tcPr>
            <w:tcW w:w="573" w:type="pct"/>
            <w:shd w:val="clear" w:color="auto" w:fill="D9D9D9" w:themeFill="background1" w:themeFillShade="D9"/>
            <w:noWrap/>
            <w:vAlign w:val="bottom"/>
          </w:tcPr>
          <w:p w14:paraId="336148C9" w14:textId="77777777" w:rsidR="00706AC9" w:rsidRPr="00E4265B" w:rsidRDefault="00706AC9" w:rsidP="00706AC9">
            <w:pPr>
              <w:spacing w:before="40" w:afterLines="40" w:after="96" w:line="276" w:lineRule="auto"/>
              <w:jc w:val="center"/>
              <w:rPr>
                <w:rFonts w:ascii="Arial" w:eastAsia="Arial" w:hAnsi="Arial" w:cs="Arial"/>
                <w:sz w:val="22"/>
                <w:szCs w:val="22"/>
                <w:lang w:val="en-GB"/>
              </w:rPr>
            </w:pPr>
            <w:r w:rsidRPr="00E4265B">
              <w:rPr>
                <w:rFonts w:ascii="Arial" w:hAnsi="Arial" w:cs="Arial"/>
                <w:b/>
                <w:bCs/>
                <w:sz w:val="22"/>
                <w:szCs w:val="22"/>
                <w:lang w:val="en-GB"/>
              </w:rPr>
              <w:t>Category 3A</w:t>
            </w:r>
          </w:p>
        </w:tc>
        <w:tc>
          <w:tcPr>
            <w:tcW w:w="573" w:type="pct"/>
            <w:shd w:val="clear" w:color="auto" w:fill="D9D9D9" w:themeFill="background1" w:themeFillShade="D9"/>
            <w:noWrap/>
            <w:vAlign w:val="bottom"/>
          </w:tcPr>
          <w:p w14:paraId="363223DB" w14:textId="77777777" w:rsidR="00706AC9" w:rsidRPr="00E4265B" w:rsidRDefault="00706AC9" w:rsidP="00706AC9">
            <w:pPr>
              <w:spacing w:before="40" w:afterLines="40" w:after="96" w:line="276" w:lineRule="auto"/>
              <w:jc w:val="center"/>
              <w:rPr>
                <w:rFonts w:ascii="Arial" w:eastAsia="Arial" w:hAnsi="Arial" w:cs="Arial"/>
                <w:sz w:val="22"/>
                <w:szCs w:val="22"/>
                <w:lang w:val="en-GB"/>
              </w:rPr>
            </w:pPr>
            <w:r w:rsidRPr="00E4265B">
              <w:rPr>
                <w:rFonts w:ascii="Arial" w:hAnsi="Arial" w:cs="Arial"/>
                <w:b/>
                <w:bCs/>
                <w:sz w:val="22"/>
                <w:szCs w:val="22"/>
                <w:lang w:val="en-GB"/>
              </w:rPr>
              <w:t>Category 3B</w:t>
            </w:r>
          </w:p>
        </w:tc>
        <w:tc>
          <w:tcPr>
            <w:tcW w:w="573" w:type="pct"/>
            <w:shd w:val="clear" w:color="auto" w:fill="D9D9D9" w:themeFill="background1" w:themeFillShade="D9"/>
            <w:noWrap/>
            <w:vAlign w:val="bottom"/>
          </w:tcPr>
          <w:p w14:paraId="3C96646C" w14:textId="77777777" w:rsidR="00706AC9" w:rsidRPr="00E4265B" w:rsidRDefault="00706AC9" w:rsidP="00706AC9">
            <w:pPr>
              <w:spacing w:before="40" w:afterLines="40" w:after="96" w:line="276" w:lineRule="auto"/>
              <w:jc w:val="center"/>
              <w:rPr>
                <w:rFonts w:ascii="Arial" w:eastAsia="Arial" w:hAnsi="Arial" w:cs="Arial"/>
                <w:sz w:val="22"/>
                <w:szCs w:val="22"/>
                <w:lang w:val="en-GB"/>
              </w:rPr>
            </w:pPr>
            <w:r w:rsidRPr="00E4265B">
              <w:rPr>
                <w:rFonts w:ascii="Arial" w:hAnsi="Arial" w:cs="Arial"/>
                <w:b/>
                <w:bCs/>
                <w:sz w:val="22"/>
                <w:szCs w:val="22"/>
                <w:lang w:val="en-GB"/>
              </w:rPr>
              <w:t>Category 3C</w:t>
            </w:r>
          </w:p>
        </w:tc>
        <w:tc>
          <w:tcPr>
            <w:tcW w:w="573" w:type="pct"/>
            <w:shd w:val="clear" w:color="auto" w:fill="D9D9D9" w:themeFill="background1" w:themeFillShade="D9"/>
            <w:noWrap/>
            <w:vAlign w:val="bottom"/>
          </w:tcPr>
          <w:p w14:paraId="7097513B" w14:textId="77777777" w:rsidR="00706AC9" w:rsidRPr="00E4265B" w:rsidRDefault="00706AC9" w:rsidP="00706AC9">
            <w:pPr>
              <w:spacing w:before="40" w:afterLines="40" w:after="96" w:line="276" w:lineRule="auto"/>
              <w:jc w:val="center"/>
              <w:rPr>
                <w:rFonts w:ascii="Arial" w:eastAsia="Arial" w:hAnsi="Arial" w:cs="Arial"/>
                <w:sz w:val="22"/>
                <w:szCs w:val="22"/>
                <w:lang w:val="en-GB"/>
              </w:rPr>
            </w:pPr>
            <w:r w:rsidRPr="00E4265B">
              <w:rPr>
                <w:rFonts w:ascii="Arial" w:hAnsi="Arial" w:cs="Arial"/>
                <w:b/>
                <w:bCs/>
                <w:sz w:val="22"/>
                <w:szCs w:val="22"/>
                <w:lang w:val="en-GB"/>
              </w:rPr>
              <w:t>Category 4</w:t>
            </w:r>
          </w:p>
        </w:tc>
        <w:tc>
          <w:tcPr>
            <w:tcW w:w="651" w:type="pct"/>
            <w:shd w:val="clear" w:color="auto" w:fill="D9D9D9" w:themeFill="background1" w:themeFillShade="D9"/>
            <w:noWrap/>
            <w:vAlign w:val="bottom"/>
          </w:tcPr>
          <w:p w14:paraId="78144801"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b/>
                <w:bCs/>
                <w:sz w:val="22"/>
                <w:szCs w:val="22"/>
                <w:lang w:val="en-GB"/>
              </w:rPr>
              <w:t>Category 5</w:t>
            </w:r>
          </w:p>
        </w:tc>
      </w:tr>
      <w:tr w:rsidR="00706AC9" w:rsidRPr="00E4265B" w14:paraId="16EA3245" w14:textId="77777777" w:rsidTr="009157F9">
        <w:tc>
          <w:tcPr>
            <w:tcW w:w="911" w:type="pct"/>
            <w:noWrap/>
            <w:vAlign w:val="center"/>
          </w:tcPr>
          <w:p w14:paraId="5B686502" w14:textId="77777777" w:rsidR="00706AC9" w:rsidRPr="00E4265B" w:rsidRDefault="00706AC9" w:rsidP="00706AC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1.</w:t>
            </w:r>
            <w:r w:rsidRPr="00E4265B">
              <w:rPr>
                <w:rFonts w:ascii="Arial" w:hAnsi="Arial" w:cs="Arial"/>
                <w:b/>
                <w:bCs/>
                <w:sz w:val="22"/>
                <w:szCs w:val="22"/>
                <w:lang w:val="en-GB"/>
              </w:rPr>
              <w:tab/>
              <w:t>Application, Interpretation and Categorisation</w:t>
            </w:r>
          </w:p>
        </w:tc>
        <w:tc>
          <w:tcPr>
            <w:tcW w:w="4089" w:type="pct"/>
            <w:gridSpan w:val="7"/>
            <w:tcBorders>
              <w:bottom w:val="single" w:sz="2" w:space="0" w:color="auto"/>
            </w:tcBorders>
            <w:noWrap/>
            <w:vAlign w:val="center"/>
          </w:tcPr>
          <w:p w14:paraId="4EF7E3C7"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w:t>
            </w:r>
          </w:p>
        </w:tc>
      </w:tr>
      <w:tr w:rsidR="00706AC9" w:rsidRPr="00E4265B" w14:paraId="5B6FC439" w14:textId="77777777" w:rsidTr="009157F9">
        <w:tc>
          <w:tcPr>
            <w:tcW w:w="911" w:type="pct"/>
            <w:noWrap/>
            <w:vAlign w:val="center"/>
          </w:tcPr>
          <w:p w14:paraId="319746E7" w14:textId="77777777" w:rsidR="00706AC9" w:rsidRPr="00E4265B" w:rsidRDefault="00706AC9" w:rsidP="00706AC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2.</w:t>
            </w:r>
            <w:r w:rsidRPr="00E4265B">
              <w:rPr>
                <w:rFonts w:ascii="Arial" w:hAnsi="Arial" w:cs="Arial"/>
                <w:b/>
                <w:bCs/>
                <w:sz w:val="22"/>
                <w:szCs w:val="22"/>
                <w:lang w:val="en-GB"/>
              </w:rPr>
              <w:tab/>
              <w:t>General Requirements</w:t>
            </w:r>
          </w:p>
        </w:tc>
        <w:tc>
          <w:tcPr>
            <w:tcW w:w="4089" w:type="pct"/>
            <w:gridSpan w:val="7"/>
            <w:tcBorders>
              <w:top w:val="single" w:sz="2" w:space="0" w:color="auto"/>
            </w:tcBorders>
            <w:noWrap/>
            <w:vAlign w:val="center"/>
          </w:tcPr>
          <w:p w14:paraId="1387CA7C"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w:t>
            </w:r>
          </w:p>
        </w:tc>
      </w:tr>
      <w:tr w:rsidR="00706AC9" w:rsidRPr="00E4265B" w14:paraId="1CB30450" w14:textId="77777777" w:rsidTr="00706AC9">
        <w:tc>
          <w:tcPr>
            <w:tcW w:w="911" w:type="pct"/>
            <w:noWrap/>
            <w:vAlign w:val="center"/>
          </w:tcPr>
          <w:p w14:paraId="69C79BFE" w14:textId="77777777" w:rsidR="00706AC9" w:rsidRPr="00E4265B" w:rsidRDefault="00706AC9" w:rsidP="00706AC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3.</w:t>
            </w:r>
            <w:r w:rsidRPr="00E4265B">
              <w:rPr>
                <w:rFonts w:ascii="Arial" w:hAnsi="Arial" w:cs="Arial"/>
                <w:b/>
                <w:bCs/>
                <w:sz w:val="22"/>
                <w:szCs w:val="22"/>
                <w:lang w:val="en-GB"/>
              </w:rPr>
              <w:tab/>
              <w:t>Capital and Leverage</w:t>
            </w:r>
          </w:p>
        </w:tc>
        <w:tc>
          <w:tcPr>
            <w:tcW w:w="1146" w:type="pct"/>
            <w:gridSpan w:val="2"/>
            <w:noWrap/>
            <w:vAlign w:val="center"/>
          </w:tcPr>
          <w:p w14:paraId="29B83E95"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 except Rule 3.2.2, and Sections 3.6, 3.7 and 3.20.</w:t>
            </w:r>
          </w:p>
        </w:tc>
        <w:tc>
          <w:tcPr>
            <w:tcW w:w="573" w:type="pct"/>
            <w:noWrap/>
            <w:vAlign w:val="center"/>
          </w:tcPr>
          <w:p w14:paraId="1C45B5C5"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 except Rule 3.2.2, and Sections 3.6, 3.7, 3.20 and 3.21.</w:t>
            </w:r>
          </w:p>
        </w:tc>
        <w:tc>
          <w:tcPr>
            <w:tcW w:w="1719" w:type="pct"/>
            <w:gridSpan w:val="3"/>
            <w:noWrap/>
            <w:vAlign w:val="center"/>
          </w:tcPr>
          <w:p w14:paraId="395AFFAA"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 except Rule 3.2.2 and Sections 3.5 and 3.21.</w:t>
            </w:r>
          </w:p>
        </w:tc>
        <w:tc>
          <w:tcPr>
            <w:tcW w:w="651" w:type="pct"/>
            <w:noWrap/>
            <w:vAlign w:val="center"/>
          </w:tcPr>
          <w:p w14:paraId="730EDFF7"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 except Rule 3.2.2 and Sections 3.6, 3.7 and 3.20.</w:t>
            </w:r>
          </w:p>
        </w:tc>
      </w:tr>
      <w:tr w:rsidR="00706AC9" w:rsidRPr="00E4265B" w14:paraId="6F21BB92" w14:textId="77777777" w:rsidTr="00706AC9">
        <w:tc>
          <w:tcPr>
            <w:tcW w:w="911" w:type="pct"/>
            <w:noWrap/>
            <w:vAlign w:val="center"/>
          </w:tcPr>
          <w:p w14:paraId="1AB93506" w14:textId="77777777" w:rsidR="00706AC9" w:rsidRPr="00E4265B" w:rsidRDefault="00706AC9" w:rsidP="00706AC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4.</w:t>
            </w:r>
            <w:r w:rsidRPr="00E4265B">
              <w:rPr>
                <w:rFonts w:ascii="Arial" w:hAnsi="Arial" w:cs="Arial"/>
                <w:b/>
                <w:bCs/>
                <w:sz w:val="22"/>
                <w:szCs w:val="22"/>
                <w:lang w:val="en-GB"/>
              </w:rPr>
              <w:tab/>
              <w:t>Credit Risk</w:t>
            </w:r>
          </w:p>
        </w:tc>
        <w:tc>
          <w:tcPr>
            <w:tcW w:w="1719" w:type="pct"/>
            <w:gridSpan w:val="3"/>
            <w:noWrap/>
            <w:vAlign w:val="center"/>
          </w:tcPr>
          <w:p w14:paraId="4E33F75A"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w:t>
            </w:r>
          </w:p>
        </w:tc>
        <w:tc>
          <w:tcPr>
            <w:tcW w:w="573" w:type="pct"/>
            <w:shd w:val="clear" w:color="auto" w:fill="F2F2F2" w:themeFill="background1" w:themeFillShade="F2"/>
            <w:noWrap/>
            <w:vAlign w:val="center"/>
          </w:tcPr>
          <w:p w14:paraId="3AA51F2C"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573" w:type="pct"/>
            <w:shd w:val="clear" w:color="auto" w:fill="F2F2F2" w:themeFill="background1" w:themeFillShade="F2"/>
            <w:noWrap/>
            <w:vAlign w:val="center"/>
          </w:tcPr>
          <w:p w14:paraId="6BA9AEE7"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573" w:type="pct"/>
            <w:shd w:val="clear" w:color="auto" w:fill="F2F2F2" w:themeFill="background1" w:themeFillShade="F2"/>
            <w:noWrap/>
            <w:vAlign w:val="center"/>
          </w:tcPr>
          <w:p w14:paraId="67A7BE8A"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651" w:type="pct"/>
            <w:noWrap/>
            <w:vAlign w:val="center"/>
          </w:tcPr>
          <w:p w14:paraId="2945A042"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w:t>
            </w:r>
          </w:p>
        </w:tc>
      </w:tr>
      <w:tr w:rsidR="00706AC9" w:rsidRPr="00E4265B" w14:paraId="17CD6652" w14:textId="77777777" w:rsidTr="00706AC9">
        <w:tc>
          <w:tcPr>
            <w:tcW w:w="911" w:type="pct"/>
            <w:noWrap/>
            <w:vAlign w:val="center"/>
          </w:tcPr>
          <w:p w14:paraId="7C25C7B2" w14:textId="77777777" w:rsidR="00706AC9" w:rsidRPr="00E4265B" w:rsidRDefault="00706AC9" w:rsidP="00706AC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5.</w:t>
            </w:r>
            <w:r w:rsidRPr="00E4265B">
              <w:rPr>
                <w:rFonts w:ascii="Arial" w:hAnsi="Arial" w:cs="Arial"/>
                <w:b/>
                <w:bCs/>
                <w:sz w:val="22"/>
                <w:szCs w:val="22"/>
                <w:lang w:val="en-GB"/>
              </w:rPr>
              <w:tab/>
              <w:t>Market Risk</w:t>
            </w:r>
          </w:p>
        </w:tc>
        <w:tc>
          <w:tcPr>
            <w:tcW w:w="1146" w:type="pct"/>
            <w:gridSpan w:val="2"/>
            <w:noWrap/>
            <w:vAlign w:val="center"/>
          </w:tcPr>
          <w:p w14:paraId="506AFB03"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w:t>
            </w:r>
          </w:p>
        </w:tc>
        <w:tc>
          <w:tcPr>
            <w:tcW w:w="573" w:type="pct"/>
            <w:noWrap/>
            <w:vAlign w:val="center"/>
          </w:tcPr>
          <w:p w14:paraId="332C8BF7" w14:textId="77777777" w:rsidR="00706AC9" w:rsidRPr="00E4265B" w:rsidRDefault="00706AC9" w:rsidP="00706AC9">
            <w:pPr>
              <w:spacing w:before="40" w:afterLines="40" w:after="96" w:line="276" w:lineRule="auto"/>
              <w:jc w:val="center"/>
              <w:rPr>
                <w:rFonts w:ascii="Arial" w:eastAsia="Arial" w:hAnsi="Arial" w:cs="Arial"/>
                <w:sz w:val="22"/>
                <w:szCs w:val="22"/>
                <w:lang w:val="en-GB"/>
              </w:rPr>
            </w:pPr>
            <w:r w:rsidRPr="00E4265B">
              <w:rPr>
                <w:rFonts w:ascii="Arial" w:hAnsi="Arial" w:cs="Arial"/>
                <w:sz w:val="22"/>
                <w:szCs w:val="22"/>
                <w:lang w:val="en-GB"/>
              </w:rPr>
              <w:t>Only Sections 5.1, 5.2 and 5.6</w:t>
            </w:r>
          </w:p>
        </w:tc>
        <w:tc>
          <w:tcPr>
            <w:tcW w:w="573" w:type="pct"/>
            <w:shd w:val="clear" w:color="auto" w:fill="F2F2F2" w:themeFill="background1" w:themeFillShade="F2"/>
            <w:noWrap/>
            <w:vAlign w:val="center"/>
          </w:tcPr>
          <w:p w14:paraId="4F024F75"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573" w:type="pct"/>
            <w:shd w:val="clear" w:color="auto" w:fill="F2F2F2" w:themeFill="background1" w:themeFillShade="F2"/>
            <w:noWrap/>
            <w:vAlign w:val="center"/>
          </w:tcPr>
          <w:p w14:paraId="26AF1558"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573" w:type="pct"/>
            <w:shd w:val="clear" w:color="auto" w:fill="F2F2F2" w:themeFill="background1" w:themeFillShade="F2"/>
            <w:noWrap/>
            <w:vAlign w:val="center"/>
          </w:tcPr>
          <w:p w14:paraId="25D2A2A4"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651" w:type="pct"/>
            <w:noWrap/>
            <w:vAlign w:val="center"/>
          </w:tcPr>
          <w:p w14:paraId="1CB646F8"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 except Section 5.4</w:t>
            </w:r>
          </w:p>
        </w:tc>
      </w:tr>
      <w:tr w:rsidR="00706AC9" w:rsidRPr="00E4265B" w14:paraId="0FC170C5" w14:textId="77777777" w:rsidTr="00706AC9">
        <w:tc>
          <w:tcPr>
            <w:tcW w:w="911" w:type="pct"/>
            <w:noWrap/>
            <w:vAlign w:val="center"/>
          </w:tcPr>
          <w:p w14:paraId="3DDB238B" w14:textId="77777777" w:rsidR="00706AC9" w:rsidRPr="00E4265B" w:rsidRDefault="00706AC9" w:rsidP="00706AC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6.</w:t>
            </w:r>
            <w:r w:rsidRPr="00E4265B">
              <w:rPr>
                <w:rFonts w:ascii="Arial" w:hAnsi="Arial" w:cs="Arial"/>
                <w:b/>
                <w:bCs/>
                <w:sz w:val="22"/>
                <w:szCs w:val="22"/>
                <w:lang w:val="en-GB"/>
              </w:rPr>
              <w:tab/>
              <w:t>Operational Risk</w:t>
            </w:r>
          </w:p>
        </w:tc>
        <w:tc>
          <w:tcPr>
            <w:tcW w:w="1719" w:type="pct"/>
            <w:gridSpan w:val="3"/>
            <w:noWrap/>
            <w:vAlign w:val="center"/>
          </w:tcPr>
          <w:p w14:paraId="1AEF577A"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 except Section 6.12</w:t>
            </w:r>
          </w:p>
        </w:tc>
        <w:tc>
          <w:tcPr>
            <w:tcW w:w="1719" w:type="pct"/>
            <w:gridSpan w:val="3"/>
            <w:noWrap/>
            <w:vAlign w:val="center"/>
          </w:tcPr>
          <w:p w14:paraId="6AFB9DD6"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 except Sections 6.10 and 6.11</w:t>
            </w:r>
          </w:p>
        </w:tc>
        <w:tc>
          <w:tcPr>
            <w:tcW w:w="651" w:type="pct"/>
            <w:noWrap/>
            <w:vAlign w:val="center"/>
          </w:tcPr>
          <w:p w14:paraId="51E315A0"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 except Section 6.12</w:t>
            </w:r>
          </w:p>
        </w:tc>
      </w:tr>
      <w:tr w:rsidR="00706AC9" w:rsidRPr="00E4265B" w14:paraId="4FF27716" w14:textId="77777777" w:rsidTr="00706AC9">
        <w:tc>
          <w:tcPr>
            <w:tcW w:w="911" w:type="pct"/>
            <w:noWrap/>
            <w:vAlign w:val="center"/>
          </w:tcPr>
          <w:p w14:paraId="0B1000A6" w14:textId="77777777" w:rsidR="00706AC9" w:rsidRPr="00E4265B" w:rsidRDefault="00706AC9" w:rsidP="00706AC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7.</w:t>
            </w:r>
            <w:r w:rsidRPr="00E4265B">
              <w:rPr>
                <w:rFonts w:ascii="Arial" w:hAnsi="Arial" w:cs="Arial"/>
                <w:b/>
                <w:bCs/>
                <w:sz w:val="22"/>
                <w:szCs w:val="22"/>
                <w:lang w:val="en-GB"/>
              </w:rPr>
              <w:tab/>
              <w:t>Interest Rate Risk In the Non</w:t>
            </w:r>
            <w:r w:rsidRPr="00E4265B">
              <w:rPr>
                <w:rFonts w:ascii="Arial" w:hAnsi="Arial" w:cs="Arial"/>
                <w:b/>
                <w:bCs/>
                <w:sz w:val="22"/>
                <w:szCs w:val="22"/>
                <w:lang w:val="en-GB"/>
              </w:rPr>
              <w:noBreakHyphen/>
              <w:t>Trading Book</w:t>
            </w:r>
          </w:p>
        </w:tc>
        <w:tc>
          <w:tcPr>
            <w:tcW w:w="1146" w:type="pct"/>
            <w:gridSpan w:val="2"/>
            <w:noWrap/>
            <w:vAlign w:val="center"/>
          </w:tcPr>
          <w:p w14:paraId="7FF593ED"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w:t>
            </w:r>
          </w:p>
        </w:tc>
        <w:tc>
          <w:tcPr>
            <w:tcW w:w="573" w:type="pct"/>
            <w:shd w:val="clear" w:color="auto" w:fill="F2F2F2" w:themeFill="background1" w:themeFillShade="F2"/>
            <w:noWrap/>
            <w:vAlign w:val="center"/>
          </w:tcPr>
          <w:p w14:paraId="0B38F113"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573" w:type="pct"/>
            <w:shd w:val="clear" w:color="auto" w:fill="F2F2F2" w:themeFill="background1" w:themeFillShade="F2"/>
            <w:noWrap/>
            <w:vAlign w:val="center"/>
          </w:tcPr>
          <w:p w14:paraId="228510B0"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573" w:type="pct"/>
            <w:shd w:val="clear" w:color="auto" w:fill="F2F2F2" w:themeFill="background1" w:themeFillShade="F2"/>
            <w:noWrap/>
            <w:vAlign w:val="center"/>
          </w:tcPr>
          <w:p w14:paraId="65DDFEE9"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573" w:type="pct"/>
            <w:shd w:val="clear" w:color="auto" w:fill="F2F2F2" w:themeFill="background1" w:themeFillShade="F2"/>
            <w:noWrap/>
            <w:vAlign w:val="center"/>
          </w:tcPr>
          <w:p w14:paraId="10891BB8"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651" w:type="pct"/>
            <w:shd w:val="clear" w:color="auto" w:fill="F2F2F2" w:themeFill="background1" w:themeFillShade="F2"/>
            <w:noWrap/>
            <w:vAlign w:val="center"/>
          </w:tcPr>
          <w:p w14:paraId="76F92AF9" w14:textId="77777777" w:rsidR="00706AC9" w:rsidRPr="00E4265B" w:rsidRDefault="00706AC9" w:rsidP="00706AC9">
            <w:pPr>
              <w:spacing w:before="40" w:afterLines="40" w:after="96" w:line="276" w:lineRule="auto"/>
              <w:jc w:val="center"/>
              <w:rPr>
                <w:rFonts w:ascii="Arial" w:hAnsi="Arial" w:cs="Arial"/>
                <w:sz w:val="22"/>
                <w:szCs w:val="22"/>
                <w:lang w:val="en-GB"/>
              </w:rPr>
            </w:pPr>
          </w:p>
        </w:tc>
      </w:tr>
      <w:tr w:rsidR="00706AC9" w:rsidRPr="00E4265B" w14:paraId="10208144" w14:textId="77777777" w:rsidTr="00706AC9">
        <w:tc>
          <w:tcPr>
            <w:tcW w:w="911" w:type="pct"/>
            <w:noWrap/>
            <w:vAlign w:val="center"/>
          </w:tcPr>
          <w:p w14:paraId="23CF5EBC" w14:textId="77777777" w:rsidR="00706AC9" w:rsidRPr="00E4265B" w:rsidRDefault="00706AC9" w:rsidP="00706AC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lastRenderedPageBreak/>
              <w:t>8.</w:t>
            </w:r>
            <w:r w:rsidRPr="00E4265B">
              <w:rPr>
                <w:rFonts w:ascii="Arial" w:hAnsi="Arial" w:cs="Arial"/>
                <w:b/>
                <w:bCs/>
                <w:sz w:val="22"/>
                <w:szCs w:val="22"/>
                <w:lang w:val="en-GB"/>
              </w:rPr>
              <w:tab/>
              <w:t>Group Risk</w:t>
            </w:r>
          </w:p>
        </w:tc>
        <w:tc>
          <w:tcPr>
            <w:tcW w:w="1146" w:type="pct"/>
            <w:gridSpan w:val="2"/>
            <w:noWrap/>
            <w:vAlign w:val="center"/>
          </w:tcPr>
          <w:p w14:paraId="657220AB"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w:t>
            </w:r>
          </w:p>
        </w:tc>
        <w:tc>
          <w:tcPr>
            <w:tcW w:w="2292" w:type="pct"/>
            <w:gridSpan w:val="4"/>
            <w:noWrap/>
            <w:vAlign w:val="center"/>
          </w:tcPr>
          <w:p w14:paraId="665C402C"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Only Sections 8.1 and 8.5</w:t>
            </w:r>
          </w:p>
        </w:tc>
        <w:tc>
          <w:tcPr>
            <w:tcW w:w="651" w:type="pct"/>
            <w:noWrap/>
            <w:vAlign w:val="center"/>
          </w:tcPr>
          <w:p w14:paraId="7C16C214"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w:t>
            </w:r>
          </w:p>
        </w:tc>
      </w:tr>
      <w:tr w:rsidR="00706AC9" w:rsidRPr="00E4265B" w14:paraId="6C7970CA" w14:textId="77777777" w:rsidTr="00706AC9">
        <w:tc>
          <w:tcPr>
            <w:tcW w:w="911" w:type="pct"/>
            <w:noWrap/>
            <w:vAlign w:val="center"/>
          </w:tcPr>
          <w:p w14:paraId="4A0BB4E4" w14:textId="77777777" w:rsidR="00706AC9" w:rsidRPr="00E4265B" w:rsidRDefault="00706AC9" w:rsidP="00706AC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9.</w:t>
            </w:r>
            <w:r w:rsidRPr="00E4265B">
              <w:rPr>
                <w:rFonts w:ascii="Arial" w:hAnsi="Arial" w:cs="Arial"/>
                <w:b/>
                <w:bCs/>
                <w:sz w:val="22"/>
                <w:szCs w:val="22"/>
                <w:lang w:val="en-GB"/>
              </w:rPr>
              <w:tab/>
              <w:t>Liquidity Risk</w:t>
            </w:r>
          </w:p>
        </w:tc>
        <w:tc>
          <w:tcPr>
            <w:tcW w:w="573" w:type="pct"/>
            <w:noWrap/>
            <w:vAlign w:val="center"/>
          </w:tcPr>
          <w:p w14:paraId="3E276898"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 except Rule 9.2.2(3)</w:t>
            </w:r>
          </w:p>
        </w:tc>
        <w:tc>
          <w:tcPr>
            <w:tcW w:w="1146" w:type="pct"/>
            <w:gridSpan w:val="2"/>
            <w:noWrap/>
            <w:vAlign w:val="center"/>
          </w:tcPr>
          <w:p w14:paraId="08E459ED"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Only Rule 9.2.2 (3)</w:t>
            </w:r>
          </w:p>
        </w:tc>
        <w:tc>
          <w:tcPr>
            <w:tcW w:w="573" w:type="pct"/>
            <w:shd w:val="clear" w:color="auto" w:fill="F2F2F2" w:themeFill="background1" w:themeFillShade="F2"/>
            <w:noWrap/>
            <w:vAlign w:val="center"/>
          </w:tcPr>
          <w:p w14:paraId="3B5A903F"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573" w:type="pct"/>
            <w:shd w:val="clear" w:color="auto" w:fill="F2F2F2" w:themeFill="background1" w:themeFillShade="F2"/>
            <w:noWrap/>
            <w:vAlign w:val="center"/>
          </w:tcPr>
          <w:p w14:paraId="1C5C8EBD"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573" w:type="pct"/>
            <w:shd w:val="clear" w:color="auto" w:fill="F2F2F2" w:themeFill="background1" w:themeFillShade="F2"/>
            <w:noWrap/>
            <w:vAlign w:val="center"/>
          </w:tcPr>
          <w:p w14:paraId="25DCB7F0"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651" w:type="pct"/>
            <w:noWrap/>
            <w:vAlign w:val="center"/>
          </w:tcPr>
          <w:p w14:paraId="1F892C69"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 except Rule 9.2.2(3)</w:t>
            </w:r>
          </w:p>
        </w:tc>
      </w:tr>
      <w:tr w:rsidR="00706AC9" w:rsidRPr="00E4265B" w14:paraId="3BF35CCD" w14:textId="77777777" w:rsidTr="00706AC9">
        <w:tc>
          <w:tcPr>
            <w:tcW w:w="911" w:type="pct"/>
            <w:noWrap/>
            <w:vAlign w:val="center"/>
          </w:tcPr>
          <w:p w14:paraId="09E8DB84" w14:textId="35D51B16" w:rsidR="00706AC9" w:rsidRPr="00E4265B" w:rsidRDefault="00706AC9" w:rsidP="00706AC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10.</w:t>
            </w:r>
            <w:r w:rsidRPr="00E4265B">
              <w:rPr>
                <w:rFonts w:ascii="Arial" w:hAnsi="Arial" w:cs="Arial"/>
                <w:b/>
                <w:bCs/>
                <w:sz w:val="22"/>
                <w:szCs w:val="22"/>
                <w:lang w:val="en-GB"/>
              </w:rPr>
              <w:tab/>
              <w:t>Supervisory Review and Evaluation Process</w:t>
            </w:r>
          </w:p>
        </w:tc>
        <w:tc>
          <w:tcPr>
            <w:tcW w:w="1719" w:type="pct"/>
            <w:gridSpan w:val="3"/>
            <w:noWrap/>
            <w:vAlign w:val="center"/>
          </w:tcPr>
          <w:p w14:paraId="4539FA3F"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w:t>
            </w:r>
          </w:p>
        </w:tc>
        <w:tc>
          <w:tcPr>
            <w:tcW w:w="1146" w:type="pct"/>
            <w:gridSpan w:val="2"/>
            <w:noWrap/>
            <w:vAlign w:val="center"/>
          </w:tcPr>
          <w:p w14:paraId="5C420B91"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 except Sections 10.4 and 10.6</w:t>
            </w:r>
          </w:p>
        </w:tc>
        <w:tc>
          <w:tcPr>
            <w:tcW w:w="573" w:type="pct"/>
            <w:shd w:val="clear" w:color="auto" w:fill="F2F2F2" w:themeFill="background1" w:themeFillShade="F2"/>
            <w:noWrap/>
            <w:vAlign w:val="center"/>
          </w:tcPr>
          <w:p w14:paraId="6CC29ADB"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651" w:type="pct"/>
            <w:noWrap/>
            <w:vAlign w:val="center"/>
          </w:tcPr>
          <w:p w14:paraId="00BBB3F5"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w:t>
            </w:r>
          </w:p>
        </w:tc>
      </w:tr>
      <w:tr w:rsidR="00706AC9" w:rsidRPr="00E4265B" w14:paraId="241B5870" w14:textId="77777777" w:rsidTr="00706AC9">
        <w:tc>
          <w:tcPr>
            <w:tcW w:w="911" w:type="pct"/>
            <w:noWrap/>
            <w:vAlign w:val="center"/>
          </w:tcPr>
          <w:p w14:paraId="023BF10E" w14:textId="77777777" w:rsidR="00706AC9" w:rsidRPr="00E4265B" w:rsidRDefault="00706AC9" w:rsidP="00706AC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11.</w:t>
            </w:r>
            <w:r w:rsidRPr="00E4265B">
              <w:rPr>
                <w:rFonts w:ascii="Arial" w:hAnsi="Arial" w:cs="Arial"/>
                <w:b/>
                <w:bCs/>
                <w:sz w:val="22"/>
                <w:szCs w:val="22"/>
                <w:lang w:val="en-GB"/>
              </w:rPr>
              <w:tab/>
              <w:t>Disclosure Requirements</w:t>
            </w:r>
          </w:p>
        </w:tc>
        <w:tc>
          <w:tcPr>
            <w:tcW w:w="1146" w:type="pct"/>
            <w:gridSpan w:val="2"/>
            <w:noWrap/>
            <w:vAlign w:val="center"/>
          </w:tcPr>
          <w:p w14:paraId="509B5717"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w:t>
            </w:r>
          </w:p>
        </w:tc>
        <w:tc>
          <w:tcPr>
            <w:tcW w:w="573" w:type="pct"/>
            <w:shd w:val="clear" w:color="auto" w:fill="F2F2F2" w:themeFill="background1" w:themeFillShade="F2"/>
            <w:noWrap/>
            <w:vAlign w:val="center"/>
          </w:tcPr>
          <w:p w14:paraId="7268DF40"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573" w:type="pct"/>
            <w:shd w:val="clear" w:color="auto" w:fill="F2F2F2" w:themeFill="background1" w:themeFillShade="F2"/>
            <w:noWrap/>
            <w:vAlign w:val="center"/>
          </w:tcPr>
          <w:p w14:paraId="3C499F8C"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573" w:type="pct"/>
            <w:shd w:val="clear" w:color="auto" w:fill="F2F2F2" w:themeFill="background1" w:themeFillShade="F2"/>
            <w:noWrap/>
            <w:vAlign w:val="center"/>
          </w:tcPr>
          <w:p w14:paraId="6F7A9D17"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573" w:type="pct"/>
            <w:shd w:val="clear" w:color="auto" w:fill="F2F2F2" w:themeFill="background1" w:themeFillShade="F2"/>
            <w:noWrap/>
            <w:vAlign w:val="center"/>
          </w:tcPr>
          <w:p w14:paraId="4DE97663" w14:textId="77777777" w:rsidR="00706AC9" w:rsidRPr="00E4265B" w:rsidRDefault="00706AC9" w:rsidP="00706AC9">
            <w:pPr>
              <w:spacing w:before="40" w:afterLines="40" w:after="96" w:line="276" w:lineRule="auto"/>
              <w:jc w:val="center"/>
              <w:rPr>
                <w:rFonts w:ascii="Arial" w:hAnsi="Arial" w:cs="Arial"/>
                <w:sz w:val="22"/>
                <w:szCs w:val="22"/>
                <w:lang w:val="en-GB"/>
              </w:rPr>
            </w:pPr>
          </w:p>
        </w:tc>
        <w:tc>
          <w:tcPr>
            <w:tcW w:w="651" w:type="pct"/>
            <w:noWrap/>
            <w:vAlign w:val="center"/>
          </w:tcPr>
          <w:p w14:paraId="106F97B3" w14:textId="77777777" w:rsidR="00706AC9" w:rsidRPr="00E4265B" w:rsidRDefault="00706AC9" w:rsidP="00706AC9">
            <w:pPr>
              <w:spacing w:before="40" w:afterLines="40" w:after="96" w:line="276" w:lineRule="auto"/>
              <w:jc w:val="center"/>
              <w:rPr>
                <w:rFonts w:ascii="Arial" w:hAnsi="Arial" w:cs="Arial"/>
                <w:sz w:val="22"/>
                <w:szCs w:val="22"/>
                <w:lang w:val="en-GB"/>
              </w:rPr>
            </w:pPr>
            <w:r w:rsidRPr="00E4265B">
              <w:rPr>
                <w:rFonts w:ascii="Arial" w:hAnsi="Arial" w:cs="Arial"/>
                <w:sz w:val="22"/>
                <w:szCs w:val="22"/>
                <w:lang w:val="en-GB"/>
              </w:rPr>
              <w:t>Whole Chapter</w:t>
            </w:r>
          </w:p>
        </w:tc>
      </w:tr>
    </w:tbl>
    <w:p w14:paraId="348BF8AE" w14:textId="739B6FC9" w:rsidR="00E22FF2" w:rsidRPr="00E4265B" w:rsidRDefault="00706AC9" w:rsidP="00706AC9">
      <w:pPr>
        <w:rPr>
          <w:rFonts w:ascii="Arial" w:hAnsi="Arial" w:cs="Arial"/>
          <w:sz w:val="22"/>
          <w:szCs w:val="22"/>
          <w:lang w:val="en-GB"/>
        </w:rPr>
      </w:pPr>
      <w:r w:rsidRPr="00E4265B">
        <w:rPr>
          <w:rFonts w:ascii="Arial" w:hAnsi="Arial" w:cs="Arial"/>
          <w:sz w:val="22"/>
          <w:szCs w:val="22"/>
        </w:rPr>
        <w:br w:type="page"/>
      </w:r>
    </w:p>
    <w:p w14:paraId="0F6CF0E7" w14:textId="77777777" w:rsidR="009157F9" w:rsidRPr="00E4265B" w:rsidRDefault="009157F9" w:rsidP="009157F9">
      <w:pPr>
        <w:pStyle w:val="TitleL"/>
        <w:jc w:val="center"/>
        <w:rPr>
          <w:rFonts w:ascii="Arial" w:hAnsi="Arial" w:cs="Arial"/>
          <w:sz w:val="22"/>
          <w:szCs w:val="22"/>
          <w:lang w:val="en-GB"/>
        </w:rPr>
      </w:pPr>
      <w:r w:rsidRPr="00E4265B">
        <w:rPr>
          <w:rFonts w:ascii="Arial" w:hAnsi="Arial" w:cs="Arial"/>
          <w:sz w:val="22"/>
          <w:szCs w:val="22"/>
          <w:lang w:val="en-GB"/>
        </w:rPr>
        <w:lastRenderedPageBreak/>
        <w:t>APPLICATION TABLE B:</w:t>
      </w:r>
      <w:r w:rsidRPr="00E4265B">
        <w:rPr>
          <w:rFonts w:ascii="Arial" w:hAnsi="Arial" w:cs="Arial"/>
          <w:sz w:val="22"/>
          <w:szCs w:val="22"/>
          <w:lang w:val="en-GB"/>
        </w:rPr>
        <w:br/>
        <w:t>FOR AN AUTHORISED PERSON THAT OPERATES AS A BRANCH IN ADGM</w:t>
      </w:r>
      <w:r w:rsidRPr="00E4265B">
        <w:rPr>
          <w:rStyle w:val="CommentReference"/>
          <w:rFonts w:ascii="Arial" w:hAnsi="Arial" w:cs="Arial"/>
          <w:b w:val="0"/>
          <w:sz w:val="22"/>
          <w:szCs w:val="22"/>
          <w:lang w:val="en-GB"/>
        </w:rPr>
        <w:t xml:space="preserve"> </w:t>
      </w:r>
    </w:p>
    <w:tbl>
      <w:tblPr>
        <w:tblStyle w:val="TableGrid"/>
        <w:tblW w:w="4943" w:type="pct"/>
        <w:tblLayout w:type="fixed"/>
        <w:tblLook w:val="04A0" w:firstRow="1" w:lastRow="0" w:firstColumn="1" w:lastColumn="0" w:noHBand="0" w:noVBand="1"/>
      </w:tblPr>
      <w:tblGrid>
        <w:gridCol w:w="2513"/>
        <w:gridCol w:w="1619"/>
        <w:gridCol w:w="1622"/>
        <w:gridCol w:w="1622"/>
        <w:gridCol w:w="1622"/>
        <w:gridCol w:w="1622"/>
        <w:gridCol w:w="1622"/>
        <w:gridCol w:w="1619"/>
      </w:tblGrid>
      <w:tr w:rsidR="009157F9" w:rsidRPr="00E4265B" w14:paraId="7D41B765" w14:textId="77777777" w:rsidTr="009157F9">
        <w:trPr>
          <w:tblHeader/>
        </w:trPr>
        <w:tc>
          <w:tcPr>
            <w:tcW w:w="907" w:type="pct"/>
            <w:shd w:val="clear" w:color="auto" w:fill="D9D9D9" w:themeFill="background1" w:themeFillShade="D9"/>
            <w:noWrap/>
            <w:vAlign w:val="bottom"/>
          </w:tcPr>
          <w:p w14:paraId="6162867D"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b/>
                <w:bCs/>
                <w:sz w:val="22"/>
                <w:szCs w:val="22"/>
                <w:lang w:val="en-GB"/>
              </w:rPr>
              <w:t>Chapter</w:t>
            </w:r>
          </w:p>
        </w:tc>
        <w:tc>
          <w:tcPr>
            <w:tcW w:w="584" w:type="pct"/>
            <w:shd w:val="clear" w:color="auto" w:fill="D9D9D9" w:themeFill="background1" w:themeFillShade="D9"/>
            <w:noWrap/>
            <w:vAlign w:val="bottom"/>
          </w:tcPr>
          <w:p w14:paraId="1BCE4892"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b/>
                <w:bCs/>
                <w:sz w:val="22"/>
                <w:szCs w:val="22"/>
                <w:lang w:val="en-GB"/>
              </w:rPr>
              <w:t>Category 1</w:t>
            </w:r>
          </w:p>
        </w:tc>
        <w:tc>
          <w:tcPr>
            <w:tcW w:w="585" w:type="pct"/>
            <w:shd w:val="clear" w:color="auto" w:fill="D9D9D9" w:themeFill="background1" w:themeFillShade="D9"/>
            <w:noWrap/>
            <w:vAlign w:val="bottom"/>
          </w:tcPr>
          <w:p w14:paraId="53C2D6BD"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b/>
                <w:bCs/>
                <w:sz w:val="22"/>
                <w:szCs w:val="22"/>
                <w:lang w:val="en-GB"/>
              </w:rPr>
              <w:t>Category 2</w:t>
            </w:r>
          </w:p>
        </w:tc>
        <w:tc>
          <w:tcPr>
            <w:tcW w:w="585" w:type="pct"/>
            <w:shd w:val="clear" w:color="auto" w:fill="D9D9D9" w:themeFill="background1" w:themeFillShade="D9"/>
            <w:noWrap/>
            <w:vAlign w:val="bottom"/>
          </w:tcPr>
          <w:p w14:paraId="74B4F85C"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b/>
                <w:bCs/>
                <w:sz w:val="22"/>
                <w:szCs w:val="22"/>
                <w:lang w:val="en-GB"/>
              </w:rPr>
              <w:t>Category 3A</w:t>
            </w:r>
          </w:p>
        </w:tc>
        <w:tc>
          <w:tcPr>
            <w:tcW w:w="585" w:type="pct"/>
            <w:shd w:val="clear" w:color="auto" w:fill="D9D9D9" w:themeFill="background1" w:themeFillShade="D9"/>
            <w:noWrap/>
            <w:vAlign w:val="bottom"/>
          </w:tcPr>
          <w:p w14:paraId="5DA8CA3F"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b/>
                <w:bCs/>
                <w:sz w:val="22"/>
                <w:szCs w:val="22"/>
                <w:lang w:val="en-GB"/>
              </w:rPr>
              <w:t>Category 3B</w:t>
            </w:r>
          </w:p>
        </w:tc>
        <w:tc>
          <w:tcPr>
            <w:tcW w:w="585" w:type="pct"/>
            <w:shd w:val="clear" w:color="auto" w:fill="D9D9D9" w:themeFill="background1" w:themeFillShade="D9"/>
            <w:noWrap/>
            <w:vAlign w:val="bottom"/>
          </w:tcPr>
          <w:p w14:paraId="2F63B139"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b/>
                <w:bCs/>
                <w:sz w:val="22"/>
                <w:szCs w:val="22"/>
                <w:lang w:val="en-GB"/>
              </w:rPr>
              <w:t>Category 3C</w:t>
            </w:r>
          </w:p>
        </w:tc>
        <w:tc>
          <w:tcPr>
            <w:tcW w:w="585" w:type="pct"/>
            <w:shd w:val="clear" w:color="auto" w:fill="D9D9D9" w:themeFill="background1" w:themeFillShade="D9"/>
            <w:noWrap/>
            <w:vAlign w:val="bottom"/>
          </w:tcPr>
          <w:p w14:paraId="1E92A57C"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b/>
                <w:bCs/>
                <w:sz w:val="22"/>
                <w:szCs w:val="22"/>
                <w:lang w:val="en-GB"/>
              </w:rPr>
              <w:t>Category 4</w:t>
            </w:r>
          </w:p>
        </w:tc>
        <w:tc>
          <w:tcPr>
            <w:tcW w:w="584" w:type="pct"/>
            <w:shd w:val="clear" w:color="auto" w:fill="D9D9D9" w:themeFill="background1" w:themeFillShade="D9"/>
            <w:noWrap/>
            <w:vAlign w:val="bottom"/>
          </w:tcPr>
          <w:p w14:paraId="7AE34E59"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b/>
                <w:bCs/>
                <w:sz w:val="22"/>
                <w:szCs w:val="22"/>
                <w:lang w:val="en-GB"/>
              </w:rPr>
              <w:t>Category 5</w:t>
            </w:r>
          </w:p>
        </w:tc>
      </w:tr>
      <w:tr w:rsidR="009157F9" w:rsidRPr="00E4265B" w14:paraId="1667EF8D" w14:textId="77777777" w:rsidTr="009157F9">
        <w:tc>
          <w:tcPr>
            <w:tcW w:w="907" w:type="pct"/>
            <w:noWrap/>
            <w:vAlign w:val="center"/>
          </w:tcPr>
          <w:p w14:paraId="5D25A2B0" w14:textId="77777777" w:rsidR="009157F9" w:rsidRPr="00E4265B" w:rsidRDefault="009157F9" w:rsidP="009157F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1.</w:t>
            </w:r>
            <w:r w:rsidRPr="00E4265B">
              <w:rPr>
                <w:rFonts w:ascii="Arial" w:hAnsi="Arial" w:cs="Arial"/>
                <w:b/>
                <w:bCs/>
                <w:sz w:val="22"/>
                <w:szCs w:val="22"/>
                <w:lang w:val="en-GB"/>
              </w:rPr>
              <w:tab/>
              <w:t>Application, Interpretation and Categorisation</w:t>
            </w:r>
          </w:p>
        </w:tc>
        <w:tc>
          <w:tcPr>
            <w:tcW w:w="4093" w:type="pct"/>
            <w:gridSpan w:val="7"/>
            <w:noWrap/>
            <w:vAlign w:val="center"/>
          </w:tcPr>
          <w:p w14:paraId="07DF23AA"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sz w:val="22"/>
                <w:szCs w:val="22"/>
                <w:lang w:val="en-GB"/>
              </w:rPr>
              <w:t>Whole Chapter</w:t>
            </w:r>
          </w:p>
        </w:tc>
      </w:tr>
      <w:tr w:rsidR="009157F9" w:rsidRPr="00E4265B" w14:paraId="4FFADF64" w14:textId="77777777" w:rsidTr="009157F9">
        <w:tc>
          <w:tcPr>
            <w:tcW w:w="907" w:type="pct"/>
            <w:noWrap/>
            <w:vAlign w:val="center"/>
          </w:tcPr>
          <w:p w14:paraId="2C5DAFF1" w14:textId="77777777" w:rsidR="009157F9" w:rsidRPr="00E4265B" w:rsidRDefault="009157F9" w:rsidP="009157F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2.</w:t>
            </w:r>
            <w:r w:rsidRPr="00E4265B">
              <w:rPr>
                <w:rFonts w:ascii="Arial" w:hAnsi="Arial" w:cs="Arial"/>
                <w:b/>
                <w:bCs/>
                <w:sz w:val="22"/>
                <w:szCs w:val="22"/>
                <w:lang w:val="en-GB"/>
              </w:rPr>
              <w:tab/>
              <w:t>General Requirements</w:t>
            </w:r>
          </w:p>
        </w:tc>
        <w:tc>
          <w:tcPr>
            <w:tcW w:w="4093" w:type="pct"/>
            <w:gridSpan w:val="7"/>
            <w:noWrap/>
            <w:vAlign w:val="center"/>
          </w:tcPr>
          <w:p w14:paraId="2133817A"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sz w:val="22"/>
                <w:szCs w:val="22"/>
                <w:lang w:val="en-GB"/>
              </w:rPr>
              <w:t>Whole Chapter</w:t>
            </w:r>
          </w:p>
        </w:tc>
      </w:tr>
      <w:tr w:rsidR="009157F9" w:rsidRPr="00E4265B" w14:paraId="41D2696E" w14:textId="77777777" w:rsidTr="009157F9">
        <w:tc>
          <w:tcPr>
            <w:tcW w:w="907" w:type="pct"/>
            <w:noWrap/>
            <w:vAlign w:val="center"/>
          </w:tcPr>
          <w:p w14:paraId="6658D066" w14:textId="77777777" w:rsidR="009157F9" w:rsidRPr="00E4265B" w:rsidRDefault="009157F9" w:rsidP="009157F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3.</w:t>
            </w:r>
            <w:r w:rsidRPr="00E4265B">
              <w:rPr>
                <w:rFonts w:ascii="Arial" w:hAnsi="Arial" w:cs="Arial"/>
                <w:b/>
                <w:bCs/>
                <w:sz w:val="22"/>
                <w:szCs w:val="22"/>
                <w:lang w:val="en-GB"/>
              </w:rPr>
              <w:tab/>
              <w:t>Capital and Leverage</w:t>
            </w:r>
          </w:p>
        </w:tc>
        <w:tc>
          <w:tcPr>
            <w:tcW w:w="4093" w:type="pct"/>
            <w:gridSpan w:val="7"/>
            <w:noWrap/>
            <w:vAlign w:val="center"/>
          </w:tcPr>
          <w:p w14:paraId="783FC76C"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sz w:val="22"/>
                <w:szCs w:val="22"/>
                <w:lang w:val="en-GB"/>
              </w:rPr>
              <w:t>Only Rule 3.2.2</w:t>
            </w:r>
          </w:p>
        </w:tc>
      </w:tr>
      <w:tr w:rsidR="009157F9" w:rsidRPr="00E4265B" w14:paraId="4D16730C" w14:textId="77777777" w:rsidTr="009157F9">
        <w:tc>
          <w:tcPr>
            <w:tcW w:w="907" w:type="pct"/>
            <w:noWrap/>
            <w:vAlign w:val="center"/>
          </w:tcPr>
          <w:p w14:paraId="402369B7" w14:textId="77777777" w:rsidR="009157F9" w:rsidRPr="00E4265B" w:rsidRDefault="009157F9" w:rsidP="009157F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4.</w:t>
            </w:r>
            <w:r w:rsidRPr="00E4265B">
              <w:rPr>
                <w:rFonts w:ascii="Arial" w:hAnsi="Arial" w:cs="Arial"/>
                <w:b/>
                <w:bCs/>
                <w:sz w:val="22"/>
                <w:szCs w:val="22"/>
                <w:lang w:val="en-GB"/>
              </w:rPr>
              <w:tab/>
              <w:t>Credit Risk</w:t>
            </w:r>
          </w:p>
        </w:tc>
        <w:tc>
          <w:tcPr>
            <w:tcW w:w="1754" w:type="pct"/>
            <w:gridSpan w:val="3"/>
            <w:noWrap/>
            <w:vAlign w:val="center"/>
          </w:tcPr>
          <w:p w14:paraId="299B79A2"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sz w:val="22"/>
                <w:szCs w:val="22"/>
                <w:lang w:val="en-GB"/>
              </w:rPr>
              <w:t>Only Sections 4.1 to 4.4 and Rules 4.5.1 to 4.5.7 and 4.5.9</w:t>
            </w:r>
          </w:p>
        </w:tc>
        <w:tc>
          <w:tcPr>
            <w:tcW w:w="585" w:type="pct"/>
            <w:shd w:val="clear" w:color="auto" w:fill="F2F2F2" w:themeFill="background1" w:themeFillShade="F2"/>
            <w:noWrap/>
            <w:vAlign w:val="center"/>
          </w:tcPr>
          <w:p w14:paraId="4C9601C2"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31CE5B60"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54943AEE"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4" w:type="pct"/>
            <w:noWrap/>
            <w:vAlign w:val="center"/>
          </w:tcPr>
          <w:p w14:paraId="55A59A1F"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sz w:val="22"/>
                <w:szCs w:val="22"/>
                <w:lang w:val="en-GB"/>
              </w:rPr>
              <w:t>Only Sections 4.1 to 4.4 and Rules 4.5.1 to 4.5.7 and 4.5.9</w:t>
            </w:r>
          </w:p>
        </w:tc>
      </w:tr>
      <w:tr w:rsidR="009157F9" w:rsidRPr="00E4265B" w14:paraId="76E6E1E8" w14:textId="77777777" w:rsidTr="009157F9">
        <w:tc>
          <w:tcPr>
            <w:tcW w:w="907" w:type="pct"/>
            <w:noWrap/>
            <w:vAlign w:val="center"/>
          </w:tcPr>
          <w:p w14:paraId="714880C1" w14:textId="77777777" w:rsidR="009157F9" w:rsidRPr="00E4265B" w:rsidRDefault="009157F9" w:rsidP="009157F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5.</w:t>
            </w:r>
            <w:r w:rsidRPr="00E4265B">
              <w:rPr>
                <w:rFonts w:ascii="Arial" w:hAnsi="Arial" w:cs="Arial"/>
                <w:b/>
                <w:bCs/>
                <w:sz w:val="22"/>
                <w:szCs w:val="22"/>
                <w:lang w:val="en-GB"/>
              </w:rPr>
              <w:tab/>
              <w:t>Market Risk</w:t>
            </w:r>
          </w:p>
        </w:tc>
        <w:tc>
          <w:tcPr>
            <w:tcW w:w="1754" w:type="pct"/>
            <w:gridSpan w:val="3"/>
            <w:noWrap/>
            <w:vAlign w:val="center"/>
          </w:tcPr>
          <w:p w14:paraId="05804D73"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sz w:val="22"/>
                <w:szCs w:val="22"/>
                <w:lang w:val="en-GB"/>
              </w:rPr>
              <w:t>Only Sections 5.1 and 5.2</w:t>
            </w:r>
          </w:p>
        </w:tc>
        <w:tc>
          <w:tcPr>
            <w:tcW w:w="585" w:type="pct"/>
            <w:shd w:val="clear" w:color="auto" w:fill="F2F2F2" w:themeFill="background1" w:themeFillShade="F2"/>
            <w:noWrap/>
            <w:vAlign w:val="center"/>
          </w:tcPr>
          <w:p w14:paraId="2627E675"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63C0DA63"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7886F788"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4" w:type="pct"/>
            <w:noWrap/>
            <w:vAlign w:val="center"/>
          </w:tcPr>
          <w:p w14:paraId="6CD30800"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sz w:val="22"/>
                <w:szCs w:val="22"/>
                <w:lang w:val="en-GB"/>
              </w:rPr>
              <w:t>Only Sections 5.1 and 5.2</w:t>
            </w:r>
          </w:p>
        </w:tc>
      </w:tr>
      <w:tr w:rsidR="009157F9" w:rsidRPr="00E4265B" w14:paraId="535E5093" w14:textId="77777777" w:rsidTr="009157F9">
        <w:tc>
          <w:tcPr>
            <w:tcW w:w="907" w:type="pct"/>
            <w:noWrap/>
            <w:vAlign w:val="center"/>
          </w:tcPr>
          <w:p w14:paraId="12756F81" w14:textId="77777777" w:rsidR="009157F9" w:rsidRPr="00E4265B" w:rsidRDefault="009157F9" w:rsidP="009157F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6.</w:t>
            </w:r>
            <w:r w:rsidRPr="00E4265B">
              <w:rPr>
                <w:rFonts w:ascii="Arial" w:hAnsi="Arial" w:cs="Arial"/>
                <w:b/>
                <w:bCs/>
                <w:sz w:val="22"/>
                <w:szCs w:val="22"/>
                <w:lang w:val="en-GB"/>
              </w:rPr>
              <w:tab/>
              <w:t>Operational Risk</w:t>
            </w:r>
          </w:p>
        </w:tc>
        <w:tc>
          <w:tcPr>
            <w:tcW w:w="1754" w:type="pct"/>
            <w:gridSpan w:val="3"/>
            <w:noWrap/>
            <w:vAlign w:val="center"/>
          </w:tcPr>
          <w:p w14:paraId="3E4362D5"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sz w:val="22"/>
                <w:szCs w:val="22"/>
                <w:lang w:val="en-GB"/>
              </w:rPr>
              <w:t>Whole Chapter, except Sections 6.11 and 6.12</w:t>
            </w:r>
          </w:p>
        </w:tc>
        <w:tc>
          <w:tcPr>
            <w:tcW w:w="1755" w:type="pct"/>
            <w:gridSpan w:val="3"/>
            <w:noWrap/>
            <w:vAlign w:val="center"/>
          </w:tcPr>
          <w:p w14:paraId="3A335D58"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sz w:val="22"/>
                <w:szCs w:val="22"/>
                <w:lang w:val="en-GB"/>
              </w:rPr>
              <w:t>Whole Chapter, except Sections 6.10 and 6.11</w:t>
            </w:r>
          </w:p>
        </w:tc>
        <w:tc>
          <w:tcPr>
            <w:tcW w:w="584" w:type="pct"/>
            <w:noWrap/>
            <w:vAlign w:val="center"/>
          </w:tcPr>
          <w:p w14:paraId="5F90DC3F"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sz w:val="22"/>
                <w:szCs w:val="22"/>
                <w:lang w:val="en-GB"/>
              </w:rPr>
              <w:t>Whole Chapter, except Sections 6.11 and 6.12</w:t>
            </w:r>
          </w:p>
        </w:tc>
      </w:tr>
      <w:tr w:rsidR="009157F9" w:rsidRPr="00E4265B" w14:paraId="42F4A705" w14:textId="77777777" w:rsidTr="009157F9">
        <w:tc>
          <w:tcPr>
            <w:tcW w:w="907" w:type="pct"/>
            <w:noWrap/>
            <w:vAlign w:val="center"/>
          </w:tcPr>
          <w:p w14:paraId="6446029F" w14:textId="77777777" w:rsidR="009157F9" w:rsidRPr="00E4265B" w:rsidRDefault="009157F9" w:rsidP="009157F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7.</w:t>
            </w:r>
            <w:r w:rsidRPr="00E4265B">
              <w:rPr>
                <w:rFonts w:ascii="Arial" w:hAnsi="Arial" w:cs="Arial"/>
                <w:b/>
                <w:bCs/>
                <w:sz w:val="22"/>
                <w:szCs w:val="22"/>
                <w:lang w:val="en-GB"/>
              </w:rPr>
              <w:tab/>
              <w:t>Interest Rate Risk In the Non</w:t>
            </w:r>
            <w:r w:rsidRPr="00E4265B">
              <w:rPr>
                <w:rFonts w:ascii="Arial" w:hAnsi="Arial" w:cs="Arial"/>
                <w:b/>
                <w:bCs/>
                <w:sz w:val="22"/>
                <w:szCs w:val="22"/>
                <w:lang w:val="en-GB"/>
              </w:rPr>
              <w:noBreakHyphen/>
              <w:t>Trading Book</w:t>
            </w:r>
          </w:p>
        </w:tc>
        <w:tc>
          <w:tcPr>
            <w:tcW w:w="1169" w:type="pct"/>
            <w:gridSpan w:val="2"/>
            <w:noWrap/>
            <w:vAlign w:val="center"/>
          </w:tcPr>
          <w:p w14:paraId="6CDF8B30"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sz w:val="22"/>
                <w:szCs w:val="22"/>
                <w:lang w:val="en-GB"/>
              </w:rPr>
              <w:t>Whole Chapter</w:t>
            </w:r>
          </w:p>
        </w:tc>
        <w:tc>
          <w:tcPr>
            <w:tcW w:w="585" w:type="pct"/>
            <w:shd w:val="clear" w:color="auto" w:fill="F2F2F2" w:themeFill="background1" w:themeFillShade="F2"/>
            <w:noWrap/>
            <w:vAlign w:val="center"/>
          </w:tcPr>
          <w:p w14:paraId="56EBB330"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2B4610EE"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3A0441CB"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505CDF96"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4" w:type="pct"/>
            <w:shd w:val="clear" w:color="auto" w:fill="F2F2F2" w:themeFill="background1" w:themeFillShade="F2"/>
            <w:noWrap/>
            <w:vAlign w:val="center"/>
          </w:tcPr>
          <w:p w14:paraId="15FA6B57" w14:textId="77777777" w:rsidR="009157F9" w:rsidRPr="00E4265B" w:rsidRDefault="009157F9" w:rsidP="009157F9">
            <w:pPr>
              <w:spacing w:before="40" w:after="40" w:line="276" w:lineRule="auto"/>
              <w:jc w:val="center"/>
              <w:rPr>
                <w:rFonts w:ascii="Arial" w:hAnsi="Arial" w:cs="Arial"/>
                <w:sz w:val="22"/>
                <w:szCs w:val="22"/>
                <w:lang w:val="en-GB"/>
              </w:rPr>
            </w:pPr>
          </w:p>
        </w:tc>
      </w:tr>
      <w:tr w:rsidR="009157F9" w:rsidRPr="00E4265B" w14:paraId="320808CA" w14:textId="77777777" w:rsidTr="009157F9">
        <w:tc>
          <w:tcPr>
            <w:tcW w:w="907" w:type="pct"/>
            <w:noWrap/>
            <w:vAlign w:val="center"/>
          </w:tcPr>
          <w:p w14:paraId="3EB8506B" w14:textId="77777777" w:rsidR="009157F9" w:rsidRPr="00E4265B" w:rsidRDefault="009157F9" w:rsidP="009157F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lastRenderedPageBreak/>
              <w:t>8.</w:t>
            </w:r>
            <w:r w:rsidRPr="00E4265B">
              <w:rPr>
                <w:rFonts w:ascii="Arial" w:hAnsi="Arial" w:cs="Arial"/>
                <w:b/>
                <w:bCs/>
                <w:sz w:val="22"/>
                <w:szCs w:val="22"/>
                <w:lang w:val="en-GB"/>
              </w:rPr>
              <w:tab/>
              <w:t>Group Risk</w:t>
            </w:r>
          </w:p>
        </w:tc>
        <w:tc>
          <w:tcPr>
            <w:tcW w:w="1169" w:type="pct"/>
            <w:gridSpan w:val="2"/>
            <w:noWrap/>
            <w:vAlign w:val="center"/>
          </w:tcPr>
          <w:p w14:paraId="3FF1FE66"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sz w:val="22"/>
                <w:szCs w:val="22"/>
                <w:lang w:val="en-GB"/>
              </w:rPr>
              <w:t>Only Sections 8.1, 8.2 and 8.5</w:t>
            </w:r>
          </w:p>
        </w:tc>
        <w:tc>
          <w:tcPr>
            <w:tcW w:w="2340" w:type="pct"/>
            <w:gridSpan w:val="4"/>
            <w:noWrap/>
            <w:vAlign w:val="center"/>
          </w:tcPr>
          <w:p w14:paraId="41B96D9D"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sz w:val="22"/>
                <w:szCs w:val="22"/>
                <w:lang w:val="en-GB"/>
              </w:rPr>
              <w:t>Only Sections 8.1 and 8.5</w:t>
            </w:r>
          </w:p>
        </w:tc>
        <w:tc>
          <w:tcPr>
            <w:tcW w:w="584" w:type="pct"/>
            <w:noWrap/>
            <w:vAlign w:val="center"/>
          </w:tcPr>
          <w:p w14:paraId="01AF02B8"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sz w:val="22"/>
                <w:szCs w:val="22"/>
                <w:lang w:val="en-GB"/>
              </w:rPr>
              <w:t>Only Sections 8.1, 8.2 and 8.5</w:t>
            </w:r>
          </w:p>
        </w:tc>
      </w:tr>
      <w:tr w:rsidR="009157F9" w:rsidRPr="00E4265B" w14:paraId="0EB061C5" w14:textId="77777777" w:rsidTr="009157F9">
        <w:tc>
          <w:tcPr>
            <w:tcW w:w="907" w:type="pct"/>
            <w:noWrap/>
            <w:vAlign w:val="center"/>
          </w:tcPr>
          <w:p w14:paraId="7945ECD9" w14:textId="77777777" w:rsidR="009157F9" w:rsidRPr="00E4265B" w:rsidRDefault="009157F9" w:rsidP="009157F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9.</w:t>
            </w:r>
            <w:r w:rsidRPr="00E4265B">
              <w:rPr>
                <w:rFonts w:ascii="Arial" w:hAnsi="Arial" w:cs="Arial"/>
                <w:b/>
                <w:bCs/>
                <w:sz w:val="22"/>
                <w:szCs w:val="22"/>
                <w:lang w:val="en-GB"/>
              </w:rPr>
              <w:tab/>
              <w:t>Liquidity Risk</w:t>
            </w:r>
          </w:p>
        </w:tc>
        <w:tc>
          <w:tcPr>
            <w:tcW w:w="584" w:type="pct"/>
            <w:noWrap/>
            <w:vAlign w:val="center"/>
          </w:tcPr>
          <w:p w14:paraId="0A9C2BE8" w14:textId="77777777" w:rsidR="009157F9" w:rsidRPr="00E4265B" w:rsidRDefault="009157F9" w:rsidP="009157F9">
            <w:pPr>
              <w:spacing w:before="40" w:after="40" w:line="276" w:lineRule="auto"/>
              <w:jc w:val="center"/>
              <w:rPr>
                <w:rFonts w:ascii="Arial" w:hAnsi="Arial" w:cs="Arial"/>
                <w:sz w:val="22"/>
                <w:szCs w:val="22"/>
                <w:u w:val="single"/>
                <w:lang w:val="en-GB"/>
              </w:rPr>
            </w:pPr>
            <w:r w:rsidRPr="00E4265B">
              <w:rPr>
                <w:rFonts w:ascii="Arial" w:hAnsi="Arial" w:cs="Arial"/>
                <w:sz w:val="22"/>
                <w:szCs w:val="22"/>
                <w:lang w:val="en-GB"/>
              </w:rPr>
              <w:t>Whole Chapter, except Rule 9.2.2(3), 9.3.12 and 9.3.13</w:t>
            </w:r>
          </w:p>
        </w:tc>
        <w:tc>
          <w:tcPr>
            <w:tcW w:w="585" w:type="pct"/>
            <w:noWrap/>
            <w:vAlign w:val="center"/>
          </w:tcPr>
          <w:p w14:paraId="244D2C7D"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sz w:val="22"/>
                <w:szCs w:val="22"/>
                <w:lang w:val="en-GB"/>
              </w:rPr>
              <w:t>Only Rule 9.2.2 (3)</w:t>
            </w:r>
          </w:p>
        </w:tc>
        <w:tc>
          <w:tcPr>
            <w:tcW w:w="585" w:type="pct"/>
            <w:shd w:val="clear" w:color="auto" w:fill="F2F2F2" w:themeFill="background1" w:themeFillShade="F2"/>
            <w:noWrap/>
            <w:vAlign w:val="center"/>
          </w:tcPr>
          <w:p w14:paraId="3FB07CA5"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70AA997C"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5BCF1831"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32DFEA3E"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4" w:type="pct"/>
            <w:noWrap/>
            <w:vAlign w:val="center"/>
          </w:tcPr>
          <w:p w14:paraId="532A0937" w14:textId="77777777" w:rsidR="009157F9" w:rsidRPr="00E4265B" w:rsidRDefault="009157F9" w:rsidP="009157F9">
            <w:pPr>
              <w:spacing w:before="40" w:after="40" w:line="276" w:lineRule="auto"/>
              <w:jc w:val="center"/>
              <w:rPr>
                <w:rFonts w:ascii="Arial" w:hAnsi="Arial" w:cs="Arial"/>
                <w:sz w:val="22"/>
                <w:szCs w:val="22"/>
                <w:lang w:val="en-GB"/>
              </w:rPr>
            </w:pPr>
            <w:r w:rsidRPr="00E4265B">
              <w:rPr>
                <w:rFonts w:ascii="Arial" w:hAnsi="Arial" w:cs="Arial"/>
                <w:sz w:val="22"/>
                <w:szCs w:val="22"/>
                <w:lang w:val="en-GB"/>
              </w:rPr>
              <w:t>Whole Chapter, except Rule 9.2.2(3) , 9.3.12 and 9.3.13</w:t>
            </w:r>
          </w:p>
        </w:tc>
      </w:tr>
      <w:tr w:rsidR="009157F9" w:rsidRPr="00E4265B" w14:paraId="2C890E98" w14:textId="77777777" w:rsidTr="009157F9">
        <w:tc>
          <w:tcPr>
            <w:tcW w:w="907" w:type="pct"/>
            <w:noWrap/>
            <w:vAlign w:val="center"/>
          </w:tcPr>
          <w:p w14:paraId="1FA36D6D" w14:textId="600E2F6E" w:rsidR="009157F9" w:rsidRPr="00E4265B" w:rsidRDefault="009157F9" w:rsidP="009157F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10.</w:t>
            </w:r>
            <w:r w:rsidRPr="00E4265B">
              <w:rPr>
                <w:rFonts w:ascii="Arial" w:hAnsi="Arial" w:cs="Arial"/>
                <w:b/>
                <w:bCs/>
                <w:sz w:val="22"/>
                <w:szCs w:val="22"/>
                <w:lang w:val="en-GB"/>
              </w:rPr>
              <w:tab/>
              <w:t>Supervisory Review and Evaluation Process</w:t>
            </w:r>
          </w:p>
        </w:tc>
        <w:tc>
          <w:tcPr>
            <w:tcW w:w="584" w:type="pct"/>
            <w:shd w:val="clear" w:color="auto" w:fill="F2F2F2" w:themeFill="background1" w:themeFillShade="F2"/>
            <w:noWrap/>
            <w:vAlign w:val="center"/>
          </w:tcPr>
          <w:p w14:paraId="5BA9C48A"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1AE5C916"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7C601A7E"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0DE55B3F"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32EA42F3"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60172D8E"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4" w:type="pct"/>
            <w:shd w:val="clear" w:color="auto" w:fill="F2F2F2" w:themeFill="background1" w:themeFillShade="F2"/>
            <w:noWrap/>
            <w:vAlign w:val="center"/>
          </w:tcPr>
          <w:p w14:paraId="743B9326" w14:textId="77777777" w:rsidR="009157F9" w:rsidRPr="00E4265B" w:rsidRDefault="009157F9" w:rsidP="009157F9">
            <w:pPr>
              <w:spacing w:before="40" w:after="40" w:line="276" w:lineRule="auto"/>
              <w:jc w:val="center"/>
              <w:rPr>
                <w:rFonts w:ascii="Arial" w:hAnsi="Arial" w:cs="Arial"/>
                <w:sz w:val="22"/>
                <w:szCs w:val="22"/>
                <w:lang w:val="en-GB"/>
              </w:rPr>
            </w:pPr>
          </w:p>
        </w:tc>
      </w:tr>
      <w:tr w:rsidR="009157F9" w:rsidRPr="00E4265B" w14:paraId="7EB38859" w14:textId="77777777" w:rsidTr="009157F9">
        <w:tc>
          <w:tcPr>
            <w:tcW w:w="907" w:type="pct"/>
            <w:noWrap/>
            <w:vAlign w:val="center"/>
          </w:tcPr>
          <w:p w14:paraId="2101A560" w14:textId="77777777" w:rsidR="009157F9" w:rsidRPr="00E4265B" w:rsidRDefault="009157F9" w:rsidP="009157F9">
            <w:pPr>
              <w:tabs>
                <w:tab w:val="left" w:pos="360"/>
              </w:tabs>
              <w:spacing w:before="40" w:afterLines="40" w:after="96" w:line="276" w:lineRule="auto"/>
              <w:ind w:left="360" w:hanging="360"/>
              <w:rPr>
                <w:rFonts w:ascii="Arial" w:hAnsi="Arial" w:cs="Arial"/>
                <w:b/>
                <w:bCs/>
                <w:sz w:val="22"/>
                <w:szCs w:val="22"/>
                <w:lang w:val="en-GB"/>
              </w:rPr>
            </w:pPr>
            <w:r w:rsidRPr="00E4265B">
              <w:rPr>
                <w:rFonts w:ascii="Arial" w:hAnsi="Arial" w:cs="Arial"/>
                <w:b/>
                <w:bCs/>
                <w:sz w:val="22"/>
                <w:szCs w:val="22"/>
                <w:lang w:val="en-GB"/>
              </w:rPr>
              <w:t>11.</w:t>
            </w:r>
            <w:r w:rsidRPr="00E4265B">
              <w:rPr>
                <w:rFonts w:ascii="Arial" w:hAnsi="Arial" w:cs="Arial"/>
                <w:b/>
                <w:bCs/>
                <w:sz w:val="22"/>
                <w:szCs w:val="22"/>
                <w:lang w:val="en-GB"/>
              </w:rPr>
              <w:tab/>
              <w:t>Disclosure Requirements</w:t>
            </w:r>
          </w:p>
        </w:tc>
        <w:tc>
          <w:tcPr>
            <w:tcW w:w="584" w:type="pct"/>
            <w:shd w:val="clear" w:color="auto" w:fill="F2F2F2" w:themeFill="background1" w:themeFillShade="F2"/>
            <w:noWrap/>
            <w:vAlign w:val="center"/>
          </w:tcPr>
          <w:p w14:paraId="57322AA4"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3A9ABC75"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5D3C970A"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787B3FDC"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2B4DC3F9"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5" w:type="pct"/>
            <w:shd w:val="clear" w:color="auto" w:fill="F2F2F2" w:themeFill="background1" w:themeFillShade="F2"/>
            <w:noWrap/>
            <w:vAlign w:val="center"/>
          </w:tcPr>
          <w:p w14:paraId="6163F468" w14:textId="77777777" w:rsidR="009157F9" w:rsidRPr="00E4265B" w:rsidRDefault="009157F9" w:rsidP="009157F9">
            <w:pPr>
              <w:spacing w:before="40" w:after="40" w:line="276" w:lineRule="auto"/>
              <w:jc w:val="center"/>
              <w:rPr>
                <w:rFonts w:ascii="Arial" w:hAnsi="Arial" w:cs="Arial"/>
                <w:sz w:val="22"/>
                <w:szCs w:val="22"/>
                <w:lang w:val="en-GB"/>
              </w:rPr>
            </w:pPr>
          </w:p>
        </w:tc>
        <w:tc>
          <w:tcPr>
            <w:tcW w:w="584" w:type="pct"/>
            <w:shd w:val="clear" w:color="auto" w:fill="F2F2F2" w:themeFill="background1" w:themeFillShade="F2"/>
            <w:noWrap/>
            <w:vAlign w:val="center"/>
          </w:tcPr>
          <w:p w14:paraId="52A42886" w14:textId="77777777" w:rsidR="009157F9" w:rsidRPr="00E4265B" w:rsidRDefault="009157F9" w:rsidP="009157F9">
            <w:pPr>
              <w:spacing w:before="40" w:after="40" w:line="276" w:lineRule="auto"/>
              <w:jc w:val="center"/>
              <w:rPr>
                <w:rFonts w:ascii="Arial" w:hAnsi="Arial" w:cs="Arial"/>
                <w:sz w:val="22"/>
                <w:szCs w:val="22"/>
                <w:lang w:val="en-GB"/>
              </w:rPr>
            </w:pPr>
          </w:p>
        </w:tc>
      </w:tr>
    </w:tbl>
    <w:p w14:paraId="4882BF35" w14:textId="77777777" w:rsidR="009157F9" w:rsidRPr="00E4265B" w:rsidRDefault="009157F9" w:rsidP="009157F9">
      <w:pPr>
        <w:rPr>
          <w:rFonts w:ascii="Arial" w:hAnsi="Arial" w:cs="Arial"/>
          <w:sz w:val="22"/>
          <w:szCs w:val="22"/>
        </w:rPr>
      </w:pPr>
    </w:p>
    <w:p w14:paraId="024DCB36" w14:textId="77777777" w:rsidR="003E4611" w:rsidRPr="00E4265B" w:rsidRDefault="003E4611">
      <w:pPr>
        <w:rPr>
          <w:rFonts w:ascii="Arial" w:hAnsi="Arial" w:cs="Arial"/>
          <w:sz w:val="22"/>
          <w:szCs w:val="22"/>
          <w:lang w:val="en-GB"/>
        </w:rPr>
        <w:sectPr w:rsidR="003E4611" w:rsidRPr="00E4265B" w:rsidSect="00481A96">
          <w:headerReference w:type="default" r:id="rId14"/>
          <w:footerReference w:type="default" r:id="rId15"/>
          <w:pgSz w:w="16839" w:h="11907" w:orient="landscape" w:code="9"/>
          <w:pgMar w:top="1987" w:right="1454" w:bottom="1022" w:left="1354" w:header="720" w:footer="720" w:gutter="0"/>
          <w:cols w:space="720"/>
          <w:docGrid w:linePitch="360"/>
        </w:sectPr>
      </w:pPr>
    </w:p>
    <w:tbl>
      <w:tblPr>
        <w:tblStyle w:val="TableGrid"/>
        <w:tblW w:w="8532" w:type="dxa"/>
        <w:tblInd w:w="936" w:type="dxa"/>
        <w:tblLook w:val="04A0" w:firstRow="1" w:lastRow="0" w:firstColumn="1" w:lastColumn="0" w:noHBand="0" w:noVBand="1"/>
      </w:tblPr>
      <w:tblGrid>
        <w:gridCol w:w="882"/>
        <w:gridCol w:w="2462"/>
        <w:gridCol w:w="5188"/>
      </w:tblGrid>
      <w:tr w:rsidR="00B95E3D" w:rsidRPr="00E4265B" w14:paraId="5B7E84DF" w14:textId="77777777" w:rsidTr="004E1A89">
        <w:tc>
          <w:tcPr>
            <w:tcW w:w="8532" w:type="dxa"/>
            <w:gridSpan w:val="3"/>
            <w:tcBorders>
              <w:top w:val="nil"/>
              <w:left w:val="nil"/>
              <w:bottom w:val="nil"/>
              <w:right w:val="nil"/>
            </w:tcBorders>
          </w:tcPr>
          <w:p w14:paraId="154A3922" w14:textId="77777777" w:rsidR="00B95E3D" w:rsidRPr="00E4265B" w:rsidRDefault="00B95E3D" w:rsidP="009528A8">
            <w:pPr>
              <w:pStyle w:val="Heading3"/>
              <w:rPr>
                <w:rFonts w:ascii="Arial" w:hAnsi="Arial" w:cs="Arial"/>
                <w:sz w:val="22"/>
                <w:szCs w:val="22"/>
              </w:rPr>
            </w:pPr>
            <w:bookmarkStart w:id="21" w:name="_Toc404285750"/>
            <w:bookmarkStart w:id="22" w:name="_Toc404621699"/>
            <w:bookmarkStart w:id="23" w:name="_Toc404624340"/>
            <w:bookmarkStart w:id="24" w:name="_Toc33622362"/>
            <w:bookmarkStart w:id="25" w:name="_Toc403223908"/>
            <w:bookmarkStart w:id="26" w:name="_Toc403253946"/>
            <w:bookmarkStart w:id="27" w:name="_Toc403273346"/>
            <w:bookmarkStart w:id="28" w:name="_Toc403273495"/>
            <w:bookmarkStart w:id="29" w:name="_Toc403274454"/>
            <w:bookmarkStart w:id="30" w:name="_Toc403279950"/>
            <w:r w:rsidRPr="00E4265B">
              <w:rPr>
                <w:rFonts w:ascii="Arial" w:hAnsi="Arial" w:cs="Arial"/>
                <w:sz w:val="22"/>
                <w:szCs w:val="22"/>
              </w:rPr>
              <w:lastRenderedPageBreak/>
              <w:t>Glossary</w:t>
            </w:r>
            <w:bookmarkEnd w:id="21"/>
            <w:bookmarkEnd w:id="22"/>
            <w:bookmarkEnd w:id="23"/>
            <w:bookmarkEnd w:id="24"/>
            <w:r w:rsidRPr="00E4265B">
              <w:rPr>
                <w:rFonts w:ascii="Arial" w:hAnsi="Arial" w:cs="Arial"/>
                <w:sz w:val="22"/>
                <w:szCs w:val="22"/>
              </w:rPr>
              <w:t xml:space="preserve"> </w:t>
            </w:r>
            <w:bookmarkEnd w:id="25"/>
            <w:bookmarkEnd w:id="26"/>
            <w:bookmarkEnd w:id="27"/>
            <w:bookmarkEnd w:id="28"/>
            <w:bookmarkEnd w:id="29"/>
            <w:bookmarkEnd w:id="30"/>
          </w:p>
        </w:tc>
      </w:tr>
      <w:tr w:rsidR="00B95E3D" w:rsidRPr="00E4265B" w14:paraId="164A8D6D" w14:textId="77777777" w:rsidTr="004E1A89">
        <w:tc>
          <w:tcPr>
            <w:tcW w:w="8532" w:type="dxa"/>
            <w:gridSpan w:val="3"/>
            <w:tcBorders>
              <w:top w:val="nil"/>
              <w:left w:val="nil"/>
              <w:bottom w:val="nil"/>
              <w:right w:val="nil"/>
            </w:tcBorders>
          </w:tcPr>
          <w:p w14:paraId="1FBC4FB5" w14:textId="233A83AA" w:rsidR="00B95E3D" w:rsidRPr="00E4265B" w:rsidRDefault="00B95E3D" w:rsidP="00B95E3D">
            <w:pPr>
              <w:pStyle w:val="Heading4"/>
              <w:tabs>
                <w:tab w:val="clear" w:pos="936"/>
                <w:tab w:val="num" w:pos="1422"/>
              </w:tabs>
              <w:ind w:left="846" w:hanging="846"/>
              <w:rPr>
                <w:rFonts w:ascii="Arial" w:hAnsi="Arial" w:cs="Arial"/>
                <w:sz w:val="22"/>
                <w:szCs w:val="22"/>
              </w:rPr>
            </w:pPr>
            <w:r w:rsidRPr="00E4265B">
              <w:rPr>
                <w:rFonts w:ascii="Arial" w:hAnsi="Arial" w:cs="Arial"/>
                <w:sz w:val="22"/>
                <w:szCs w:val="22"/>
              </w:rPr>
              <w:t>The following terms and abbreviations bear the following meanings</w:t>
            </w:r>
            <w:r w:rsidR="004E1A89" w:rsidRPr="00E4265B">
              <w:rPr>
                <w:rFonts w:ascii="Arial" w:hAnsi="Arial" w:cs="Arial"/>
                <w:sz w:val="22"/>
                <w:szCs w:val="22"/>
              </w:rPr>
              <w:t xml:space="preserve"> for the purpose of these Rules.</w:t>
            </w:r>
          </w:p>
        </w:tc>
      </w:tr>
      <w:tr w:rsidR="00690BF6" w:rsidRPr="00E4265B" w14:paraId="3FF538FC" w14:textId="77777777" w:rsidTr="00CD1719">
        <w:trPr>
          <w:gridBefore w:val="1"/>
          <w:wBefore w:w="882" w:type="dxa"/>
        </w:trPr>
        <w:tc>
          <w:tcPr>
            <w:tcW w:w="2462" w:type="dxa"/>
          </w:tcPr>
          <w:p w14:paraId="624887B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Accepting Deposits</w:t>
            </w:r>
          </w:p>
        </w:tc>
        <w:tc>
          <w:tcPr>
            <w:tcW w:w="5188" w:type="dxa"/>
          </w:tcPr>
          <w:p w14:paraId="138A6945" w14:textId="77777777" w:rsidR="00690BF6" w:rsidRPr="00E4265B" w:rsidRDefault="00690BF6" w:rsidP="00580C58">
            <w:pPr>
              <w:spacing w:before="120" w:after="120"/>
              <w:jc w:val="both"/>
              <w:rPr>
                <w:rFonts w:ascii="Arial" w:hAnsi="Arial" w:cs="Arial"/>
                <w:sz w:val="22"/>
                <w:szCs w:val="22"/>
                <w:lang w:val="en-GB"/>
              </w:rPr>
            </w:pPr>
            <w:r w:rsidRPr="00E4265B">
              <w:rPr>
                <w:rFonts w:ascii="Arial" w:eastAsia="Times New Roman" w:hAnsi="Arial" w:cs="Arial"/>
                <w:sz w:val="22"/>
                <w:szCs w:val="22"/>
                <w:lang w:val="en-GB" w:eastAsia="en-GB"/>
              </w:rPr>
              <w:t>Means the Regulated Activity specified in paragraph</w:t>
            </w:r>
            <w:r w:rsidR="00D10C63" w:rsidRPr="00E4265B">
              <w:rPr>
                <w:rFonts w:ascii="Arial" w:eastAsia="Times New Roman" w:hAnsi="Arial" w:cs="Arial"/>
                <w:sz w:val="22"/>
                <w:szCs w:val="22"/>
                <w:lang w:val="en-GB" w:eastAsia="en-GB"/>
              </w:rPr>
              <w:t xml:space="preserve"> </w:t>
            </w:r>
            <w:r w:rsidR="00D10C63" w:rsidRPr="00E4265B">
              <w:rPr>
                <w:rFonts w:ascii="Arial" w:eastAsia="Times New Roman" w:hAnsi="Arial" w:cs="Arial"/>
                <w:sz w:val="22"/>
                <w:szCs w:val="22"/>
                <w:cs/>
                <w:lang w:val="en-GB" w:eastAsia="en-GB"/>
              </w:rPr>
              <w:t>‎</w:t>
            </w:r>
            <w:r w:rsidR="00D10C63" w:rsidRPr="00E4265B">
              <w:rPr>
                <w:rFonts w:ascii="Arial" w:eastAsia="Times New Roman" w:hAnsi="Arial" w:cs="Arial"/>
                <w:sz w:val="22"/>
                <w:szCs w:val="22"/>
                <w:rtl/>
                <w:cs/>
                <w:lang w:val="en-GB" w:eastAsia="en-GB"/>
              </w:rPr>
              <w:t>38</w:t>
            </w:r>
            <w:r w:rsidRPr="00E4265B">
              <w:rPr>
                <w:rFonts w:ascii="Arial" w:eastAsia="Times New Roman" w:hAnsi="Arial" w:cs="Arial"/>
                <w:sz w:val="22"/>
                <w:szCs w:val="22"/>
                <w:lang w:val="en-GB" w:eastAsia="en-GB"/>
              </w:rPr>
              <w:t xml:space="preserve"> of</w:t>
            </w:r>
            <w:r w:rsidR="009E485D" w:rsidRPr="00E4265B">
              <w:rPr>
                <w:rFonts w:ascii="Arial" w:eastAsia="Times New Roman" w:hAnsi="Arial" w:cs="Arial"/>
                <w:sz w:val="22"/>
                <w:szCs w:val="22"/>
                <w:lang w:val="en-GB" w:eastAsia="en-GB"/>
              </w:rPr>
              <w:t xml:space="preserve"> </w:t>
            </w:r>
            <w:r w:rsidRPr="00E4265B">
              <w:rPr>
                <w:rFonts w:ascii="Arial" w:eastAsia="Times New Roman" w:hAnsi="Arial" w:cs="Arial"/>
                <w:sz w:val="22"/>
                <w:szCs w:val="22"/>
                <w:cs/>
                <w:lang w:val="en-GB" w:eastAsia="en-GB"/>
              </w:rPr>
              <w:t>‎</w:t>
            </w:r>
            <w:r w:rsidR="00286090" w:rsidRPr="00E4265B">
              <w:rPr>
                <w:rFonts w:ascii="Arial" w:eastAsia="Times New Roman" w:hAnsi="Arial" w:cs="Arial"/>
                <w:sz w:val="22"/>
                <w:szCs w:val="22"/>
                <w:rtl/>
                <w:cs/>
                <w:lang w:val="en-GB" w:eastAsia="en-GB"/>
              </w:rPr>
              <w:t xml:space="preserve"> </w:t>
            </w:r>
            <w:r w:rsidRPr="00E4265B">
              <w:rPr>
                <w:rFonts w:ascii="Arial" w:eastAsia="Times New Roman" w:hAnsi="Arial" w:cs="Arial"/>
                <w:sz w:val="22"/>
                <w:szCs w:val="22"/>
                <w:rtl/>
                <w:cs/>
                <w:lang w:val="en-GB" w:eastAsia="en-GB"/>
              </w:rPr>
              <w:t>Schedule 1</w:t>
            </w:r>
            <w:r w:rsidRPr="00E4265B">
              <w:rPr>
                <w:rFonts w:ascii="Arial" w:eastAsia="Times New Roman" w:hAnsi="Arial" w:cs="Arial"/>
                <w:sz w:val="22"/>
                <w:szCs w:val="22"/>
                <w:lang w:val="en-GB" w:eastAsia="en-GB"/>
              </w:rPr>
              <w:t>of the FSMR.</w:t>
            </w:r>
          </w:p>
        </w:tc>
      </w:tr>
      <w:tr w:rsidR="00690BF6" w:rsidRPr="00E4265B" w14:paraId="5365DF05" w14:textId="77777777" w:rsidTr="00CD1719">
        <w:trPr>
          <w:gridBefore w:val="1"/>
          <w:wBefore w:w="882" w:type="dxa"/>
        </w:trPr>
        <w:tc>
          <w:tcPr>
            <w:tcW w:w="2462" w:type="dxa"/>
          </w:tcPr>
          <w:p w14:paraId="3D97E8E0"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Accounting Records</w:t>
            </w:r>
          </w:p>
        </w:tc>
        <w:tc>
          <w:tcPr>
            <w:tcW w:w="5188" w:type="dxa"/>
          </w:tcPr>
          <w:p w14:paraId="07CD9E3D" w14:textId="77777777" w:rsidR="00690BF6" w:rsidRPr="00E4265B" w:rsidRDefault="00690BF6" w:rsidP="00F80299">
            <w:pPr>
              <w:spacing w:before="120" w:after="120"/>
              <w:jc w:val="both"/>
              <w:rPr>
                <w:rFonts w:ascii="Arial" w:eastAsia="Times New Roman" w:hAnsi="Arial" w:cs="Arial"/>
                <w:sz w:val="22"/>
                <w:szCs w:val="22"/>
                <w:lang w:val="en-GB" w:eastAsia="en-GB"/>
              </w:rPr>
            </w:pPr>
            <w:r w:rsidRPr="00E4265B">
              <w:rPr>
                <w:rFonts w:ascii="Arial" w:eastAsia="Times New Roman" w:hAnsi="Arial" w:cs="Arial"/>
                <w:sz w:val="22"/>
                <w:szCs w:val="22"/>
                <w:lang w:val="en-GB" w:eastAsia="en-GB"/>
              </w:rPr>
              <w:t xml:space="preserve">Means records and underlying documents comprising initial and other accounting entries and associated supporting documents such as: </w:t>
            </w:r>
          </w:p>
          <w:p w14:paraId="763C3ADC" w14:textId="77777777" w:rsidR="00690BF6" w:rsidRPr="00E4265B" w:rsidRDefault="00690BF6" w:rsidP="00D13883">
            <w:pPr>
              <w:pStyle w:val="Heading9"/>
              <w:numPr>
                <w:ilvl w:val="8"/>
                <w:numId w:val="32"/>
              </w:numPr>
              <w:spacing w:after="120"/>
              <w:rPr>
                <w:rFonts w:ascii="Arial" w:hAnsi="Arial" w:cs="Arial"/>
                <w:sz w:val="22"/>
                <w:szCs w:val="22"/>
                <w:lang w:val="en-GB" w:eastAsia="en-GB"/>
              </w:rPr>
            </w:pPr>
            <w:r w:rsidRPr="00E4265B">
              <w:rPr>
                <w:rFonts w:ascii="Arial" w:hAnsi="Arial" w:cs="Arial"/>
                <w:sz w:val="22"/>
                <w:szCs w:val="22"/>
                <w:lang w:val="en-GB" w:eastAsia="en-GB"/>
              </w:rPr>
              <w:t xml:space="preserve">cheques; </w:t>
            </w:r>
          </w:p>
          <w:p w14:paraId="7FAB0CAB" w14:textId="77777777" w:rsidR="00690BF6" w:rsidRPr="00E4265B" w:rsidRDefault="00690BF6" w:rsidP="00F80299">
            <w:pPr>
              <w:pStyle w:val="Heading9"/>
              <w:spacing w:after="120"/>
              <w:rPr>
                <w:rFonts w:ascii="Arial" w:hAnsi="Arial" w:cs="Arial"/>
                <w:sz w:val="22"/>
                <w:szCs w:val="22"/>
                <w:lang w:val="en-GB" w:eastAsia="en-GB"/>
              </w:rPr>
            </w:pPr>
            <w:r w:rsidRPr="00E4265B">
              <w:rPr>
                <w:rFonts w:ascii="Arial" w:hAnsi="Arial" w:cs="Arial"/>
                <w:sz w:val="22"/>
                <w:szCs w:val="22"/>
                <w:lang w:val="en-GB" w:eastAsia="en-GB"/>
              </w:rPr>
              <w:t xml:space="preserve">records of electronic fund transfers; </w:t>
            </w:r>
          </w:p>
          <w:p w14:paraId="6011FAF9" w14:textId="77777777" w:rsidR="00690BF6" w:rsidRPr="00E4265B" w:rsidRDefault="00690BF6" w:rsidP="00F80299">
            <w:pPr>
              <w:pStyle w:val="Heading9"/>
              <w:spacing w:after="120"/>
              <w:rPr>
                <w:rFonts w:ascii="Arial" w:hAnsi="Arial" w:cs="Arial"/>
                <w:sz w:val="22"/>
                <w:szCs w:val="22"/>
                <w:lang w:val="en-GB" w:eastAsia="en-GB"/>
              </w:rPr>
            </w:pPr>
            <w:r w:rsidRPr="00E4265B">
              <w:rPr>
                <w:rFonts w:ascii="Arial" w:hAnsi="Arial" w:cs="Arial"/>
                <w:sz w:val="22"/>
                <w:szCs w:val="22"/>
                <w:lang w:val="en-GB" w:eastAsia="en-GB"/>
              </w:rPr>
              <w:t xml:space="preserve">invoices; </w:t>
            </w:r>
          </w:p>
          <w:p w14:paraId="2CD6103A" w14:textId="77777777" w:rsidR="00690BF6" w:rsidRPr="00E4265B" w:rsidRDefault="00690BF6" w:rsidP="00F80299">
            <w:pPr>
              <w:pStyle w:val="Heading9"/>
              <w:spacing w:after="120"/>
              <w:rPr>
                <w:rFonts w:ascii="Arial" w:hAnsi="Arial" w:cs="Arial"/>
                <w:sz w:val="22"/>
                <w:szCs w:val="22"/>
                <w:lang w:val="en-GB" w:eastAsia="en-GB"/>
              </w:rPr>
            </w:pPr>
            <w:r w:rsidRPr="00E4265B">
              <w:rPr>
                <w:rFonts w:ascii="Arial" w:hAnsi="Arial" w:cs="Arial"/>
                <w:sz w:val="22"/>
                <w:szCs w:val="22"/>
                <w:lang w:val="en-GB" w:eastAsia="en-GB"/>
              </w:rPr>
              <w:t xml:space="preserve">contracts; </w:t>
            </w:r>
          </w:p>
          <w:p w14:paraId="2B395EE2" w14:textId="77777777" w:rsidR="00690BF6" w:rsidRPr="00E4265B" w:rsidRDefault="00690BF6" w:rsidP="00F80299">
            <w:pPr>
              <w:pStyle w:val="Heading9"/>
              <w:spacing w:after="120"/>
              <w:rPr>
                <w:rFonts w:ascii="Arial" w:hAnsi="Arial" w:cs="Arial"/>
                <w:sz w:val="22"/>
                <w:szCs w:val="22"/>
                <w:lang w:val="en-GB" w:eastAsia="en-GB"/>
              </w:rPr>
            </w:pPr>
            <w:r w:rsidRPr="00E4265B">
              <w:rPr>
                <w:rFonts w:ascii="Arial" w:hAnsi="Arial" w:cs="Arial"/>
                <w:sz w:val="22"/>
                <w:szCs w:val="22"/>
                <w:lang w:val="en-GB" w:eastAsia="en-GB"/>
              </w:rPr>
              <w:t xml:space="preserve">the general and subsidiary ledgers, journal entries and other adjustments to the financial statements that are not reflected in journal entries; and </w:t>
            </w:r>
          </w:p>
          <w:p w14:paraId="52F9C776" w14:textId="4747E5B4" w:rsidR="00690BF6" w:rsidRPr="00E4265B" w:rsidRDefault="00690BF6" w:rsidP="00CB58F6">
            <w:pPr>
              <w:pStyle w:val="Heading9"/>
              <w:spacing w:after="120"/>
              <w:rPr>
                <w:rFonts w:ascii="Arial" w:hAnsi="Arial" w:cs="Arial"/>
                <w:sz w:val="22"/>
                <w:szCs w:val="22"/>
                <w:lang w:val="en-GB"/>
              </w:rPr>
            </w:pPr>
            <w:r w:rsidRPr="00E4265B">
              <w:rPr>
                <w:rFonts w:ascii="Arial" w:hAnsi="Arial" w:cs="Arial"/>
                <w:sz w:val="22"/>
                <w:szCs w:val="22"/>
                <w:lang w:val="en-GB" w:eastAsia="en-GB"/>
              </w:rPr>
              <w:t>work sheets and spread</w:t>
            </w:r>
            <w:r w:rsidR="006529E8" w:rsidRPr="00E4265B">
              <w:rPr>
                <w:rFonts w:ascii="Arial" w:hAnsi="Arial" w:cs="Arial"/>
                <w:sz w:val="22"/>
                <w:szCs w:val="22"/>
                <w:lang w:val="en-GB" w:eastAsia="en-GB"/>
              </w:rPr>
              <w:t xml:space="preserve"> </w:t>
            </w:r>
            <w:r w:rsidRPr="00E4265B">
              <w:rPr>
                <w:rFonts w:ascii="Arial" w:hAnsi="Arial" w:cs="Arial"/>
                <w:sz w:val="22"/>
                <w:szCs w:val="22"/>
                <w:lang w:val="en-GB" w:eastAsia="en-GB"/>
              </w:rPr>
              <w:t xml:space="preserve">sheets supporting cost allocations, computations, reconciliations and disclosures. </w:t>
            </w:r>
          </w:p>
        </w:tc>
      </w:tr>
      <w:tr w:rsidR="00690BF6" w:rsidRPr="00E4265B" w14:paraId="70C214C0" w14:textId="77777777" w:rsidTr="00CD1719">
        <w:trPr>
          <w:gridBefore w:val="1"/>
          <w:wBefore w:w="882" w:type="dxa"/>
        </w:trPr>
        <w:tc>
          <w:tcPr>
            <w:tcW w:w="2462" w:type="dxa"/>
          </w:tcPr>
          <w:p w14:paraId="0629A4E7" w14:textId="77777777" w:rsidR="00690BF6" w:rsidRPr="00E4265B" w:rsidRDefault="00690BF6" w:rsidP="008B499D">
            <w:pPr>
              <w:spacing w:before="120" w:after="120"/>
              <w:rPr>
                <w:rFonts w:ascii="Arial" w:hAnsi="Arial" w:cs="Arial"/>
                <w:sz w:val="22"/>
                <w:szCs w:val="22"/>
                <w:lang w:val="en-GB"/>
              </w:rPr>
            </w:pPr>
            <w:r w:rsidRPr="00E4265B">
              <w:rPr>
                <w:rFonts w:ascii="Arial" w:hAnsi="Arial" w:cs="Arial"/>
                <w:sz w:val="22"/>
                <w:szCs w:val="22"/>
                <w:lang w:val="en-GB"/>
              </w:rPr>
              <w:t>Acting as the Administrator of a Collective Investment Fund</w:t>
            </w:r>
          </w:p>
        </w:tc>
        <w:tc>
          <w:tcPr>
            <w:tcW w:w="5188" w:type="dxa"/>
          </w:tcPr>
          <w:p w14:paraId="06A7DC7B" w14:textId="7670BAD9" w:rsidR="00690BF6" w:rsidRPr="00E4265B" w:rsidRDefault="00580C58" w:rsidP="00801DAF">
            <w:pPr>
              <w:spacing w:before="120" w:after="120"/>
              <w:jc w:val="both"/>
              <w:rPr>
                <w:rFonts w:ascii="Arial" w:eastAsia="Times New Roman" w:hAnsi="Arial" w:cs="Arial"/>
                <w:sz w:val="22"/>
                <w:szCs w:val="22"/>
                <w:lang w:val="en-GB" w:eastAsia="en-GB"/>
              </w:rPr>
            </w:pPr>
            <w:r w:rsidRPr="00E4265B">
              <w:rPr>
                <w:rFonts w:ascii="Arial" w:eastAsia="Times New Roman" w:hAnsi="Arial" w:cs="Arial"/>
                <w:sz w:val="22"/>
                <w:szCs w:val="22"/>
                <w:lang w:val="en-GB" w:eastAsia="en-GB"/>
              </w:rPr>
              <w:t xml:space="preserve">Means the Regulated Activity specified in paragraph </w:t>
            </w:r>
            <w:r w:rsidRPr="00E4265B">
              <w:rPr>
                <w:rFonts w:ascii="Arial" w:eastAsia="Times New Roman" w:hAnsi="Arial" w:cs="Arial"/>
                <w:sz w:val="22"/>
                <w:szCs w:val="22"/>
                <w:cs/>
                <w:lang w:val="en-GB" w:eastAsia="en-GB"/>
              </w:rPr>
              <w:t>‎</w:t>
            </w:r>
            <w:r w:rsidRPr="00E4265B">
              <w:rPr>
                <w:rFonts w:ascii="Arial" w:eastAsia="Times New Roman" w:hAnsi="Arial" w:cs="Arial"/>
                <w:sz w:val="22"/>
                <w:szCs w:val="22"/>
                <w:rtl/>
                <w:cs/>
                <w:lang w:val="en-GB" w:eastAsia="en-GB"/>
              </w:rPr>
              <w:t xml:space="preserve">60 of </w:t>
            </w:r>
            <w:r w:rsidRPr="00E4265B">
              <w:rPr>
                <w:rFonts w:ascii="Arial" w:eastAsia="Times New Roman" w:hAnsi="Arial" w:cs="Arial"/>
                <w:sz w:val="22"/>
                <w:szCs w:val="22"/>
                <w:cs/>
                <w:lang w:val="en-GB" w:eastAsia="en-GB"/>
              </w:rPr>
              <w:t>‎</w:t>
            </w:r>
            <w:r w:rsidRPr="00E4265B">
              <w:rPr>
                <w:rFonts w:ascii="Arial" w:eastAsia="Times New Roman" w:hAnsi="Arial" w:cs="Arial"/>
                <w:sz w:val="22"/>
                <w:szCs w:val="22"/>
                <w:rtl/>
                <w:cs/>
                <w:lang w:val="en-GB" w:eastAsia="en-GB"/>
              </w:rPr>
              <w:t>Schedule 1 of the FSMR.</w:t>
            </w:r>
            <w:r w:rsidR="00A8589F" w:rsidRPr="00E4265B">
              <w:rPr>
                <w:rFonts w:ascii="Arial" w:eastAsia="Times New Roman" w:hAnsi="Arial" w:cs="Arial"/>
                <w:sz w:val="22"/>
                <w:szCs w:val="22"/>
                <w:rtl/>
                <w:cs/>
                <w:lang w:val="en-GB" w:eastAsia="en-GB"/>
              </w:rPr>
              <w:t>.</w:t>
            </w:r>
          </w:p>
        </w:tc>
      </w:tr>
      <w:tr w:rsidR="00690BF6" w:rsidRPr="00E4265B" w14:paraId="5F13DBFC" w14:textId="77777777" w:rsidTr="00CD1719">
        <w:trPr>
          <w:gridBefore w:val="1"/>
          <w:wBefore w:w="882" w:type="dxa"/>
        </w:trPr>
        <w:tc>
          <w:tcPr>
            <w:tcW w:w="2462" w:type="dxa"/>
          </w:tcPr>
          <w:p w14:paraId="60A3012F" w14:textId="77777777" w:rsidR="00690BF6" w:rsidRPr="00E4265B" w:rsidRDefault="00690BF6" w:rsidP="008B499D">
            <w:pPr>
              <w:spacing w:before="120" w:after="120"/>
              <w:rPr>
                <w:rFonts w:ascii="Arial" w:hAnsi="Arial" w:cs="Arial"/>
                <w:sz w:val="22"/>
                <w:szCs w:val="22"/>
                <w:lang w:val="en-GB"/>
              </w:rPr>
            </w:pPr>
            <w:r w:rsidRPr="00E4265B">
              <w:rPr>
                <w:rFonts w:ascii="Arial" w:hAnsi="Arial" w:cs="Arial"/>
                <w:sz w:val="22"/>
                <w:szCs w:val="22"/>
                <w:lang w:val="en-GB"/>
              </w:rPr>
              <w:t>Acting as the Trustee of an Investment Trust</w:t>
            </w:r>
          </w:p>
        </w:tc>
        <w:tc>
          <w:tcPr>
            <w:tcW w:w="5188" w:type="dxa"/>
          </w:tcPr>
          <w:p w14:paraId="68715697" w14:textId="77777777" w:rsidR="00690BF6" w:rsidRPr="00E4265B" w:rsidRDefault="00690BF6" w:rsidP="00801DAF">
            <w:pPr>
              <w:spacing w:before="120" w:after="120"/>
              <w:jc w:val="both"/>
              <w:rPr>
                <w:rFonts w:ascii="Arial" w:eastAsia="Times New Roman" w:hAnsi="Arial" w:cs="Arial"/>
                <w:sz w:val="22"/>
                <w:szCs w:val="22"/>
                <w:lang w:val="en-GB" w:eastAsia="en-GB"/>
              </w:rPr>
            </w:pPr>
            <w:r w:rsidRPr="00E4265B">
              <w:rPr>
                <w:rFonts w:ascii="Arial" w:eastAsia="Times New Roman" w:hAnsi="Arial" w:cs="Arial"/>
                <w:sz w:val="22"/>
                <w:szCs w:val="22"/>
                <w:lang w:val="en-GB" w:eastAsia="en-GB"/>
              </w:rPr>
              <w:t>Means the Regulated Ac</w:t>
            </w:r>
            <w:r w:rsidR="00D10C63" w:rsidRPr="00E4265B">
              <w:rPr>
                <w:rFonts w:ascii="Arial" w:eastAsia="Times New Roman" w:hAnsi="Arial" w:cs="Arial"/>
                <w:sz w:val="22"/>
                <w:szCs w:val="22"/>
                <w:lang w:val="en-GB" w:eastAsia="en-GB"/>
              </w:rPr>
              <w:t xml:space="preserve">tivity specified in paragraph </w:t>
            </w:r>
            <w:r w:rsidR="00D10C63" w:rsidRPr="00E4265B">
              <w:rPr>
                <w:rFonts w:ascii="Arial" w:eastAsia="Times New Roman" w:hAnsi="Arial" w:cs="Arial"/>
                <w:sz w:val="22"/>
                <w:szCs w:val="22"/>
                <w:cs/>
                <w:lang w:val="en-GB" w:eastAsia="en-GB"/>
              </w:rPr>
              <w:t>‎</w:t>
            </w:r>
            <w:r w:rsidR="00D10C63" w:rsidRPr="00E4265B">
              <w:rPr>
                <w:rFonts w:ascii="Arial" w:eastAsia="Times New Roman" w:hAnsi="Arial" w:cs="Arial"/>
                <w:sz w:val="22"/>
                <w:szCs w:val="22"/>
                <w:rtl/>
                <w:cs/>
                <w:lang w:val="en-GB" w:eastAsia="en-GB"/>
              </w:rPr>
              <w:t>6</w:t>
            </w:r>
            <w:r w:rsidR="00801DAF" w:rsidRPr="00E4265B">
              <w:rPr>
                <w:rFonts w:ascii="Arial" w:eastAsia="Times New Roman" w:hAnsi="Arial" w:cs="Arial"/>
                <w:sz w:val="22"/>
                <w:szCs w:val="22"/>
                <w:lang w:val="en-GB" w:eastAsia="en-GB"/>
              </w:rPr>
              <w:t>1</w:t>
            </w:r>
            <w:r w:rsidRPr="00E4265B">
              <w:rPr>
                <w:rFonts w:ascii="Arial" w:eastAsia="Times New Roman" w:hAnsi="Arial" w:cs="Arial"/>
                <w:sz w:val="22"/>
                <w:szCs w:val="22"/>
                <w:lang w:val="en-GB" w:eastAsia="en-GB"/>
              </w:rPr>
              <w:t xml:space="preserve"> of </w:t>
            </w:r>
            <w:r w:rsidRPr="00E4265B">
              <w:rPr>
                <w:rFonts w:ascii="Arial" w:eastAsia="Times New Roman" w:hAnsi="Arial" w:cs="Arial"/>
                <w:sz w:val="22"/>
                <w:szCs w:val="22"/>
                <w:cs/>
                <w:lang w:val="en-GB" w:eastAsia="en-GB"/>
              </w:rPr>
              <w:t>‎</w:t>
            </w:r>
            <w:r w:rsidRPr="00E4265B">
              <w:rPr>
                <w:rFonts w:ascii="Arial" w:eastAsia="Times New Roman" w:hAnsi="Arial" w:cs="Arial"/>
                <w:sz w:val="22"/>
                <w:szCs w:val="22"/>
                <w:rtl/>
                <w:cs/>
                <w:lang w:val="en-GB" w:eastAsia="en-GB"/>
              </w:rPr>
              <w:t>Schedule 1</w:t>
            </w:r>
            <w:r w:rsidRPr="00E4265B">
              <w:rPr>
                <w:rFonts w:ascii="Arial" w:eastAsia="Times New Roman" w:hAnsi="Arial" w:cs="Arial"/>
                <w:sz w:val="22"/>
                <w:szCs w:val="22"/>
                <w:lang w:val="en-GB" w:eastAsia="en-GB"/>
              </w:rPr>
              <w:t xml:space="preserve"> of the FSMR.</w:t>
            </w:r>
          </w:p>
        </w:tc>
      </w:tr>
      <w:tr w:rsidR="00690BF6" w:rsidRPr="00E4265B" w14:paraId="3DF87695" w14:textId="77777777" w:rsidTr="00CD1719">
        <w:trPr>
          <w:gridBefore w:val="1"/>
          <w:wBefore w:w="882" w:type="dxa"/>
        </w:trPr>
        <w:tc>
          <w:tcPr>
            <w:tcW w:w="2462" w:type="dxa"/>
          </w:tcPr>
          <w:p w14:paraId="17EB396D"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Adjusted Capital Resources</w:t>
            </w:r>
          </w:p>
        </w:tc>
        <w:tc>
          <w:tcPr>
            <w:tcW w:w="5188" w:type="dxa"/>
          </w:tcPr>
          <w:p w14:paraId="3606CD23" w14:textId="77777777" w:rsidR="00690BF6" w:rsidRPr="00E4265B" w:rsidRDefault="00690BF6" w:rsidP="00652C1B">
            <w:pPr>
              <w:spacing w:before="120" w:after="120"/>
              <w:jc w:val="both"/>
              <w:rPr>
                <w:rStyle w:val="me"/>
                <w:rFonts w:ascii="Arial" w:hAnsi="Arial" w:cs="Arial"/>
                <w:color w:val="222222"/>
                <w:sz w:val="22"/>
                <w:szCs w:val="22"/>
                <w:lang w:val="en-GB"/>
              </w:rPr>
            </w:pPr>
            <w:r w:rsidRPr="00E4265B">
              <w:rPr>
                <w:rStyle w:val="me"/>
                <w:rFonts w:ascii="Arial" w:hAnsi="Arial" w:cs="Arial"/>
                <w:color w:val="222222"/>
                <w:sz w:val="22"/>
                <w:szCs w:val="22"/>
                <w:lang w:val="en-GB"/>
              </w:rPr>
              <w:t>Capital resources calculated in accordance with</w:t>
            </w:r>
            <w:r w:rsidR="00652C1B" w:rsidRPr="00E4265B">
              <w:rPr>
                <w:rStyle w:val="me"/>
                <w:rFonts w:ascii="Arial" w:hAnsi="Arial" w:cs="Arial"/>
                <w:color w:val="222222"/>
                <w:sz w:val="22"/>
                <w:szCs w:val="22"/>
                <w:lang w:val="en-GB"/>
              </w:rPr>
              <w:t xml:space="preserve"> the </w:t>
            </w:r>
            <w:r w:rsidRPr="00E4265B">
              <w:rPr>
                <w:rStyle w:val="me"/>
                <w:rFonts w:ascii="Arial" w:hAnsi="Arial" w:cs="Arial"/>
                <w:color w:val="222222"/>
                <w:sz w:val="22"/>
                <w:szCs w:val="22"/>
                <w:lang w:val="en-GB"/>
              </w:rPr>
              <w:t>PIN rules.</w:t>
            </w:r>
          </w:p>
        </w:tc>
      </w:tr>
      <w:tr w:rsidR="00690BF6" w:rsidRPr="00E4265B" w14:paraId="3A783A74" w14:textId="77777777" w:rsidTr="00CD1719">
        <w:trPr>
          <w:gridBefore w:val="1"/>
          <w:wBefore w:w="882" w:type="dxa"/>
        </w:trPr>
        <w:tc>
          <w:tcPr>
            <w:tcW w:w="2462" w:type="dxa"/>
          </w:tcPr>
          <w:p w14:paraId="7FE9F4D0" w14:textId="77777777" w:rsidR="00690BF6" w:rsidRPr="00E4265B" w:rsidRDefault="00690BF6" w:rsidP="001023BD">
            <w:pPr>
              <w:spacing w:before="120" w:after="120"/>
              <w:rPr>
                <w:rFonts w:ascii="Arial" w:hAnsi="Arial" w:cs="Arial"/>
                <w:sz w:val="22"/>
                <w:szCs w:val="22"/>
                <w:lang w:val="en-GB"/>
              </w:rPr>
            </w:pPr>
            <w:r w:rsidRPr="00E4265B">
              <w:rPr>
                <w:rFonts w:ascii="Arial" w:hAnsi="Arial" w:cs="Arial"/>
                <w:sz w:val="22"/>
                <w:szCs w:val="22"/>
                <w:lang w:val="en-GB"/>
              </w:rPr>
              <w:t>Advising on Investments or Credit</w:t>
            </w:r>
          </w:p>
        </w:tc>
        <w:tc>
          <w:tcPr>
            <w:tcW w:w="5188" w:type="dxa"/>
          </w:tcPr>
          <w:p w14:paraId="4D61C2BA" w14:textId="77777777" w:rsidR="00690BF6" w:rsidRPr="00E4265B" w:rsidRDefault="00690BF6" w:rsidP="00A428D7">
            <w:pPr>
              <w:spacing w:before="120" w:after="120"/>
              <w:jc w:val="both"/>
              <w:rPr>
                <w:rFonts w:ascii="Arial" w:hAnsi="Arial" w:cs="Arial"/>
                <w:sz w:val="22"/>
                <w:szCs w:val="22"/>
                <w:lang w:val="en-GB"/>
              </w:rPr>
            </w:pPr>
            <w:r w:rsidRPr="00E4265B">
              <w:rPr>
                <w:rFonts w:ascii="Arial" w:eastAsia="Times New Roman" w:hAnsi="Arial" w:cs="Arial"/>
                <w:sz w:val="22"/>
                <w:szCs w:val="22"/>
                <w:lang w:val="en-GB" w:eastAsia="en-GB"/>
              </w:rPr>
              <w:t xml:space="preserve">Means the Regulated Activity specified in paragraph </w:t>
            </w:r>
            <w:r w:rsidRPr="00E4265B">
              <w:rPr>
                <w:rFonts w:ascii="Arial" w:eastAsia="Times New Roman" w:hAnsi="Arial" w:cs="Arial"/>
                <w:sz w:val="22"/>
                <w:szCs w:val="22"/>
                <w:cs/>
                <w:lang w:val="en-GB" w:eastAsia="en-GB"/>
              </w:rPr>
              <w:t>‎</w:t>
            </w:r>
            <w:r w:rsidR="00D10C63" w:rsidRPr="00E4265B">
              <w:rPr>
                <w:rFonts w:ascii="Arial" w:eastAsia="Times New Roman" w:hAnsi="Arial" w:cs="Arial"/>
                <w:sz w:val="22"/>
                <w:szCs w:val="22"/>
                <w:lang w:val="en-GB" w:eastAsia="en-GB"/>
              </w:rPr>
              <w:t>28</w:t>
            </w:r>
            <w:r w:rsidRPr="00E4265B">
              <w:rPr>
                <w:rFonts w:ascii="Arial" w:eastAsia="Times New Roman" w:hAnsi="Arial" w:cs="Arial"/>
                <w:sz w:val="22"/>
                <w:szCs w:val="22"/>
                <w:lang w:val="en-GB" w:eastAsia="en-GB"/>
              </w:rPr>
              <w:t xml:space="preserve"> of Schedule 1 of the FSMR.</w:t>
            </w:r>
          </w:p>
        </w:tc>
      </w:tr>
      <w:tr w:rsidR="00690BF6" w:rsidRPr="00E4265B" w14:paraId="6440B7B6" w14:textId="77777777" w:rsidTr="00CD1719">
        <w:trPr>
          <w:gridBefore w:val="1"/>
          <w:wBefore w:w="882" w:type="dxa"/>
        </w:trPr>
        <w:tc>
          <w:tcPr>
            <w:tcW w:w="2462" w:type="dxa"/>
          </w:tcPr>
          <w:p w14:paraId="316748A9"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ALCO</w:t>
            </w:r>
          </w:p>
        </w:tc>
        <w:tc>
          <w:tcPr>
            <w:tcW w:w="5188" w:type="dxa"/>
          </w:tcPr>
          <w:p w14:paraId="625B5109"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Asset and Liability Committee.</w:t>
            </w:r>
          </w:p>
        </w:tc>
      </w:tr>
      <w:tr w:rsidR="00690BF6" w:rsidRPr="00E4265B" w14:paraId="1E80EC05" w14:textId="77777777" w:rsidTr="00CD1719">
        <w:trPr>
          <w:gridBefore w:val="1"/>
          <w:wBefore w:w="882" w:type="dxa"/>
        </w:trPr>
        <w:tc>
          <w:tcPr>
            <w:tcW w:w="2462" w:type="dxa"/>
          </w:tcPr>
          <w:p w14:paraId="21D49B1C"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Alternative Standardised Approach</w:t>
            </w:r>
          </w:p>
        </w:tc>
        <w:tc>
          <w:tcPr>
            <w:tcW w:w="5188" w:type="dxa"/>
          </w:tcPr>
          <w:p w14:paraId="744F3A6A" w14:textId="77777777" w:rsidR="00690BF6" w:rsidRPr="00E4265B" w:rsidRDefault="00690BF6" w:rsidP="00CB58F6">
            <w:pPr>
              <w:spacing w:before="120" w:after="120"/>
              <w:jc w:val="both"/>
              <w:rPr>
                <w:rFonts w:ascii="Arial" w:hAnsi="Arial" w:cs="Arial"/>
                <w:sz w:val="22"/>
                <w:szCs w:val="22"/>
                <w:lang w:val="en-GB"/>
              </w:rPr>
            </w:pPr>
            <w:r w:rsidRPr="00E4265B">
              <w:rPr>
                <w:rFonts w:ascii="Arial" w:hAnsi="Arial" w:cs="Arial"/>
                <w:sz w:val="22"/>
                <w:szCs w:val="22"/>
                <w:lang w:val="en-GB"/>
              </w:rPr>
              <w:t>The manner in which the Operation</w:t>
            </w:r>
            <w:r w:rsidR="00CB58F6" w:rsidRPr="00E4265B">
              <w:rPr>
                <w:rFonts w:ascii="Arial" w:hAnsi="Arial" w:cs="Arial"/>
                <w:sz w:val="22"/>
                <w:szCs w:val="22"/>
                <w:lang w:val="en-GB"/>
              </w:rPr>
              <w:t>al</w:t>
            </w:r>
            <w:r w:rsidRPr="00E4265B">
              <w:rPr>
                <w:rFonts w:ascii="Arial" w:hAnsi="Arial" w:cs="Arial"/>
                <w:sz w:val="22"/>
                <w:szCs w:val="22"/>
                <w:lang w:val="en-GB"/>
              </w:rPr>
              <w:t xml:space="preserve"> Risk Capital Requirement is calculated in accordance with Sections 6.11 and A</w:t>
            </w:r>
            <w:r w:rsidR="00CB58F6" w:rsidRPr="00E4265B">
              <w:rPr>
                <w:rFonts w:ascii="Arial" w:hAnsi="Arial" w:cs="Arial"/>
                <w:sz w:val="22"/>
                <w:szCs w:val="22"/>
                <w:lang w:val="en-GB"/>
              </w:rPr>
              <w:t>7</w:t>
            </w:r>
            <w:r w:rsidRPr="00E4265B">
              <w:rPr>
                <w:rFonts w:ascii="Arial" w:hAnsi="Arial" w:cs="Arial"/>
                <w:sz w:val="22"/>
                <w:szCs w:val="22"/>
                <w:lang w:val="en-GB"/>
              </w:rPr>
              <w:t>.3.</w:t>
            </w:r>
          </w:p>
        </w:tc>
      </w:tr>
      <w:tr w:rsidR="00690BF6" w:rsidRPr="00E4265B" w14:paraId="57944586" w14:textId="77777777" w:rsidTr="00CD1719">
        <w:trPr>
          <w:gridBefore w:val="1"/>
          <w:wBefore w:w="882" w:type="dxa"/>
        </w:trPr>
        <w:tc>
          <w:tcPr>
            <w:tcW w:w="2462" w:type="dxa"/>
          </w:tcPr>
          <w:p w14:paraId="52EB4ADD"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Annual Audited Expenditure</w:t>
            </w:r>
          </w:p>
        </w:tc>
        <w:tc>
          <w:tcPr>
            <w:tcW w:w="5188" w:type="dxa"/>
          </w:tcPr>
          <w:p w14:paraId="27A3F254" w14:textId="77777777" w:rsidR="00690BF6" w:rsidRPr="00E4265B" w:rsidRDefault="00690BF6" w:rsidP="00CB58F6">
            <w:pPr>
              <w:spacing w:before="120" w:after="120"/>
              <w:jc w:val="both"/>
              <w:rPr>
                <w:rFonts w:ascii="Arial" w:hAnsi="Arial" w:cs="Arial"/>
                <w:sz w:val="22"/>
                <w:szCs w:val="22"/>
                <w:lang w:val="en-GB"/>
              </w:rPr>
            </w:pPr>
            <w:r w:rsidRPr="00E4265B">
              <w:rPr>
                <w:rFonts w:ascii="Arial" w:hAnsi="Arial" w:cs="Arial"/>
                <w:sz w:val="22"/>
                <w:szCs w:val="22"/>
                <w:lang w:val="en-GB"/>
              </w:rPr>
              <w:t>The expenditure calculated in accordance with Rule 3.7.</w:t>
            </w:r>
            <w:r w:rsidR="00CB58F6" w:rsidRPr="00E4265B">
              <w:rPr>
                <w:rFonts w:ascii="Arial" w:hAnsi="Arial" w:cs="Arial"/>
                <w:sz w:val="22"/>
                <w:szCs w:val="22"/>
                <w:lang w:val="en-GB"/>
              </w:rPr>
              <w:t>2</w:t>
            </w:r>
            <w:r w:rsidRPr="00E4265B">
              <w:rPr>
                <w:rFonts w:ascii="Arial" w:hAnsi="Arial" w:cs="Arial"/>
                <w:sz w:val="22"/>
                <w:szCs w:val="22"/>
                <w:lang w:val="en-GB"/>
              </w:rPr>
              <w:t>.</w:t>
            </w:r>
          </w:p>
        </w:tc>
      </w:tr>
      <w:tr w:rsidR="00690BF6" w:rsidRPr="00E4265B" w14:paraId="1ACBFF16" w14:textId="77777777" w:rsidTr="00CD1719">
        <w:trPr>
          <w:gridBefore w:val="1"/>
          <w:wBefore w:w="882" w:type="dxa"/>
        </w:trPr>
        <w:tc>
          <w:tcPr>
            <w:tcW w:w="2462" w:type="dxa"/>
          </w:tcPr>
          <w:p w14:paraId="6E3C0AAE" w14:textId="77777777" w:rsidR="00690BF6" w:rsidRPr="00E4265B" w:rsidRDefault="00690BF6" w:rsidP="000D3D13">
            <w:pPr>
              <w:spacing w:before="120" w:after="120"/>
              <w:rPr>
                <w:rFonts w:ascii="Arial" w:hAnsi="Arial" w:cs="Arial"/>
                <w:sz w:val="22"/>
                <w:szCs w:val="22"/>
                <w:lang w:val="en-GB"/>
              </w:rPr>
            </w:pPr>
            <w:r w:rsidRPr="00E4265B">
              <w:rPr>
                <w:rFonts w:ascii="Arial" w:hAnsi="Arial" w:cs="Arial"/>
                <w:sz w:val="22"/>
                <w:szCs w:val="22"/>
                <w:lang w:val="en-GB"/>
              </w:rPr>
              <w:t>Arranging Credit</w:t>
            </w:r>
          </w:p>
        </w:tc>
        <w:tc>
          <w:tcPr>
            <w:tcW w:w="5188" w:type="dxa"/>
          </w:tcPr>
          <w:p w14:paraId="1072AFB9" w14:textId="77777777" w:rsidR="00690BF6" w:rsidRPr="00E4265B" w:rsidRDefault="00690BF6" w:rsidP="00905066">
            <w:pPr>
              <w:pStyle w:val="Heading9"/>
              <w:numPr>
                <w:ilvl w:val="0"/>
                <w:numId w:val="0"/>
              </w:numPr>
              <w:rPr>
                <w:rFonts w:ascii="Arial" w:hAnsi="Arial" w:cs="Arial"/>
                <w:sz w:val="22"/>
                <w:szCs w:val="22"/>
                <w:lang w:val="en-GB"/>
              </w:rPr>
            </w:pPr>
            <w:r w:rsidRPr="00E4265B">
              <w:rPr>
                <w:rFonts w:ascii="Arial" w:hAnsi="Arial" w:cs="Arial"/>
                <w:sz w:val="22"/>
                <w:szCs w:val="22"/>
                <w:lang w:val="en-GB"/>
              </w:rPr>
              <w:t xml:space="preserve">Means the Regulated Activity specified in paragraph </w:t>
            </w:r>
            <w:r w:rsidRPr="00E4265B">
              <w:rPr>
                <w:rFonts w:ascii="Arial" w:hAnsi="Arial" w:cs="Arial"/>
                <w:iCs w:val="0"/>
                <w:sz w:val="22"/>
                <w:szCs w:val="22"/>
                <w:cs/>
                <w:lang w:val="en-GB"/>
              </w:rPr>
              <w:t>‎</w:t>
            </w:r>
            <w:r w:rsidRPr="00E4265B">
              <w:rPr>
                <w:rFonts w:ascii="Arial" w:hAnsi="Arial" w:cs="Arial"/>
                <w:sz w:val="22"/>
                <w:szCs w:val="22"/>
                <w:rtl/>
                <w:cs/>
                <w:lang w:val="en-GB"/>
              </w:rPr>
              <w:t>5</w:t>
            </w:r>
            <w:r w:rsidR="00D10C63" w:rsidRPr="00E4265B">
              <w:rPr>
                <w:rFonts w:ascii="Arial" w:hAnsi="Arial" w:cs="Arial"/>
                <w:sz w:val="22"/>
                <w:szCs w:val="22"/>
                <w:lang w:val="en-GB"/>
              </w:rPr>
              <w:t>0</w:t>
            </w:r>
            <w:r w:rsidRPr="00E4265B">
              <w:rPr>
                <w:rFonts w:ascii="Arial" w:hAnsi="Arial" w:cs="Arial"/>
                <w:sz w:val="22"/>
                <w:szCs w:val="22"/>
                <w:lang w:val="en-GB"/>
              </w:rPr>
              <w:t xml:space="preserve"> o</w:t>
            </w:r>
            <w:r w:rsidR="00905066" w:rsidRPr="00E4265B">
              <w:rPr>
                <w:rFonts w:ascii="Arial" w:hAnsi="Arial" w:cs="Arial"/>
                <w:sz w:val="22"/>
                <w:szCs w:val="22"/>
                <w:lang w:val="en-GB"/>
              </w:rPr>
              <w:t xml:space="preserve">f Schedule 1 </w:t>
            </w:r>
            <w:r w:rsidRPr="00E4265B">
              <w:rPr>
                <w:rFonts w:ascii="Arial" w:hAnsi="Arial" w:cs="Arial"/>
                <w:sz w:val="22"/>
                <w:szCs w:val="22"/>
                <w:lang w:val="en-GB"/>
              </w:rPr>
              <w:t>of the FSMR.</w:t>
            </w:r>
          </w:p>
        </w:tc>
      </w:tr>
      <w:tr w:rsidR="00690BF6" w:rsidRPr="00E4265B" w14:paraId="12C47066" w14:textId="77777777" w:rsidTr="00CD1719">
        <w:trPr>
          <w:gridBefore w:val="1"/>
          <w:wBefore w:w="882" w:type="dxa"/>
        </w:trPr>
        <w:tc>
          <w:tcPr>
            <w:tcW w:w="2462" w:type="dxa"/>
          </w:tcPr>
          <w:p w14:paraId="1F05AF4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Arranging Custody</w:t>
            </w:r>
          </w:p>
        </w:tc>
        <w:tc>
          <w:tcPr>
            <w:tcW w:w="5188" w:type="dxa"/>
          </w:tcPr>
          <w:p w14:paraId="38223127" w14:textId="77777777" w:rsidR="00690BF6" w:rsidRPr="00E4265B" w:rsidRDefault="00690BF6" w:rsidP="00D10C63">
            <w:pPr>
              <w:spacing w:before="120" w:after="120"/>
              <w:jc w:val="both"/>
              <w:rPr>
                <w:rFonts w:ascii="Arial" w:hAnsi="Arial" w:cs="Arial"/>
                <w:color w:val="222222"/>
                <w:sz w:val="22"/>
                <w:szCs w:val="22"/>
                <w:lang w:val="en-GB"/>
              </w:rPr>
            </w:pPr>
            <w:r w:rsidRPr="00E4265B">
              <w:rPr>
                <w:rFonts w:ascii="Arial" w:hAnsi="Arial" w:cs="Arial"/>
                <w:sz w:val="22"/>
                <w:szCs w:val="22"/>
                <w:lang w:val="en-GB"/>
              </w:rPr>
              <w:t xml:space="preserve">Means the Regulated Activity specified in paragraph </w:t>
            </w:r>
            <w:r w:rsidRPr="00E4265B">
              <w:rPr>
                <w:rFonts w:ascii="Arial" w:hAnsi="Arial" w:cs="Arial"/>
                <w:sz w:val="22"/>
                <w:szCs w:val="22"/>
                <w:cs/>
                <w:lang w:val="en-GB"/>
              </w:rPr>
              <w:t>‎</w:t>
            </w:r>
            <w:r w:rsidRPr="00E4265B">
              <w:rPr>
                <w:rFonts w:ascii="Arial" w:hAnsi="Arial" w:cs="Arial"/>
                <w:sz w:val="22"/>
                <w:szCs w:val="22"/>
                <w:rtl/>
                <w:cs/>
                <w:lang w:val="en-GB"/>
              </w:rPr>
              <w:t>4</w:t>
            </w:r>
            <w:r w:rsidR="00D10C63" w:rsidRPr="00E4265B">
              <w:rPr>
                <w:rFonts w:ascii="Arial" w:hAnsi="Arial" w:cs="Arial"/>
                <w:sz w:val="22"/>
                <w:szCs w:val="22"/>
                <w:lang w:val="en-GB"/>
              </w:rPr>
              <w:t>6</w:t>
            </w:r>
            <w:r w:rsidRPr="00E4265B">
              <w:rPr>
                <w:rFonts w:ascii="Arial" w:hAnsi="Arial" w:cs="Arial"/>
                <w:sz w:val="22"/>
                <w:szCs w:val="22"/>
                <w:lang w:val="en-GB"/>
              </w:rPr>
              <w:t xml:space="preserve"> of </w:t>
            </w:r>
            <w:r w:rsidRPr="00E4265B">
              <w:rPr>
                <w:rFonts w:ascii="Arial" w:hAnsi="Arial" w:cs="Arial"/>
                <w:sz w:val="22"/>
                <w:szCs w:val="22"/>
                <w:cs/>
                <w:lang w:val="en-GB"/>
              </w:rPr>
              <w:t>‎</w:t>
            </w:r>
            <w:r w:rsidRPr="00E4265B">
              <w:rPr>
                <w:rFonts w:ascii="Arial" w:hAnsi="Arial" w:cs="Arial"/>
                <w:sz w:val="22"/>
                <w:szCs w:val="22"/>
                <w:rtl/>
                <w:cs/>
                <w:lang w:val="en-GB"/>
              </w:rPr>
              <w:t>Schedule 1</w:t>
            </w:r>
            <w:r w:rsidRPr="00E4265B">
              <w:rPr>
                <w:rFonts w:ascii="Arial" w:hAnsi="Arial" w:cs="Arial"/>
                <w:sz w:val="22"/>
                <w:szCs w:val="22"/>
                <w:lang w:val="en-GB"/>
              </w:rPr>
              <w:t xml:space="preserve"> of the FSMR.</w:t>
            </w:r>
          </w:p>
        </w:tc>
      </w:tr>
      <w:tr w:rsidR="00690BF6" w:rsidRPr="00E4265B" w14:paraId="7AC22F19" w14:textId="77777777" w:rsidTr="00CD1719">
        <w:trPr>
          <w:gridBefore w:val="1"/>
          <w:wBefore w:w="882" w:type="dxa"/>
        </w:trPr>
        <w:tc>
          <w:tcPr>
            <w:tcW w:w="2462" w:type="dxa"/>
          </w:tcPr>
          <w:p w14:paraId="1518BA9F"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Arranging Deals in Investments</w:t>
            </w:r>
          </w:p>
        </w:tc>
        <w:tc>
          <w:tcPr>
            <w:tcW w:w="5188" w:type="dxa"/>
          </w:tcPr>
          <w:p w14:paraId="70BC16C3" w14:textId="77777777" w:rsidR="00690BF6" w:rsidRPr="00E4265B" w:rsidRDefault="00690BF6" w:rsidP="00A428D7">
            <w:pPr>
              <w:spacing w:before="120" w:after="120"/>
              <w:jc w:val="both"/>
              <w:rPr>
                <w:rFonts w:ascii="Arial" w:hAnsi="Arial" w:cs="Arial"/>
                <w:sz w:val="22"/>
                <w:szCs w:val="22"/>
                <w:lang w:val="en-GB"/>
              </w:rPr>
            </w:pPr>
            <w:r w:rsidRPr="00E4265B">
              <w:rPr>
                <w:rFonts w:ascii="Arial" w:hAnsi="Arial" w:cs="Arial"/>
                <w:sz w:val="22"/>
                <w:szCs w:val="22"/>
                <w:lang w:val="en-GB"/>
              </w:rPr>
              <w:t>Means the Regulated Act</w:t>
            </w:r>
            <w:r w:rsidR="00D10C63" w:rsidRPr="00E4265B">
              <w:rPr>
                <w:rFonts w:ascii="Arial" w:hAnsi="Arial" w:cs="Arial"/>
                <w:sz w:val="22"/>
                <w:szCs w:val="22"/>
                <w:lang w:val="en-GB"/>
              </w:rPr>
              <w:t xml:space="preserve">ivity specified in paragraph </w:t>
            </w:r>
            <w:r w:rsidR="00D10C63" w:rsidRPr="00E4265B">
              <w:rPr>
                <w:rFonts w:ascii="Arial" w:hAnsi="Arial" w:cs="Arial"/>
                <w:sz w:val="22"/>
                <w:szCs w:val="22"/>
                <w:cs/>
                <w:lang w:val="en-GB"/>
              </w:rPr>
              <w:t>‎</w:t>
            </w:r>
            <w:r w:rsidR="00D10C63" w:rsidRPr="00E4265B">
              <w:rPr>
                <w:rFonts w:ascii="Arial" w:hAnsi="Arial" w:cs="Arial"/>
                <w:sz w:val="22"/>
                <w:szCs w:val="22"/>
                <w:rtl/>
                <w:cs/>
                <w:lang w:val="en-GB"/>
              </w:rPr>
              <w:t>16</w:t>
            </w:r>
            <w:r w:rsidRPr="00E4265B">
              <w:rPr>
                <w:rFonts w:ascii="Arial" w:hAnsi="Arial" w:cs="Arial"/>
                <w:sz w:val="22"/>
                <w:szCs w:val="22"/>
                <w:lang w:val="en-GB"/>
              </w:rPr>
              <w:t xml:space="preserve"> of </w:t>
            </w:r>
            <w:r w:rsidRPr="00E4265B">
              <w:rPr>
                <w:rFonts w:ascii="Arial" w:hAnsi="Arial" w:cs="Arial"/>
                <w:sz w:val="22"/>
                <w:szCs w:val="22"/>
                <w:cs/>
                <w:lang w:val="en-GB"/>
              </w:rPr>
              <w:t>‎</w:t>
            </w:r>
            <w:r w:rsidRPr="00E4265B">
              <w:rPr>
                <w:rFonts w:ascii="Arial" w:hAnsi="Arial" w:cs="Arial"/>
                <w:sz w:val="22"/>
                <w:szCs w:val="22"/>
                <w:rtl/>
                <w:cs/>
                <w:lang w:val="en-GB"/>
              </w:rPr>
              <w:t>Schedule 1</w:t>
            </w:r>
            <w:r w:rsidRPr="00E4265B">
              <w:rPr>
                <w:rFonts w:ascii="Arial" w:hAnsi="Arial" w:cs="Arial"/>
                <w:sz w:val="22"/>
                <w:szCs w:val="22"/>
                <w:lang w:val="en-GB"/>
              </w:rPr>
              <w:t xml:space="preserve"> of the FSMR.</w:t>
            </w:r>
          </w:p>
        </w:tc>
      </w:tr>
      <w:tr w:rsidR="00CE663D" w:rsidRPr="00E4265B" w14:paraId="032D302B" w14:textId="77777777" w:rsidTr="00CD1719">
        <w:trPr>
          <w:gridBefore w:val="1"/>
          <w:wBefore w:w="882" w:type="dxa"/>
        </w:trPr>
        <w:tc>
          <w:tcPr>
            <w:tcW w:w="2462" w:type="dxa"/>
          </w:tcPr>
          <w:p w14:paraId="2A0D48CF" w14:textId="28A1C08F" w:rsidR="00CE663D" w:rsidRPr="00E4265B" w:rsidRDefault="00CE663D" w:rsidP="00CE663D">
            <w:pPr>
              <w:spacing w:before="120" w:after="120"/>
              <w:rPr>
                <w:rFonts w:ascii="Arial" w:hAnsi="Arial" w:cs="Arial"/>
                <w:sz w:val="22"/>
                <w:szCs w:val="22"/>
                <w:lang w:val="en-GB"/>
              </w:rPr>
            </w:pPr>
            <w:r w:rsidRPr="00E4265B">
              <w:rPr>
                <w:rFonts w:ascii="Arial" w:hAnsi="Arial" w:cs="Arial"/>
                <w:sz w:val="22"/>
                <w:szCs w:val="22"/>
                <w:lang w:val="en-GB"/>
              </w:rPr>
              <w:t>ASF</w:t>
            </w:r>
          </w:p>
        </w:tc>
        <w:tc>
          <w:tcPr>
            <w:tcW w:w="5188" w:type="dxa"/>
          </w:tcPr>
          <w:p w14:paraId="5AAEE8FE" w14:textId="6064F74D" w:rsidR="00CE663D" w:rsidRPr="00E4265B" w:rsidRDefault="00CE663D" w:rsidP="00CE663D">
            <w:pPr>
              <w:spacing w:before="120" w:after="120"/>
              <w:jc w:val="both"/>
              <w:rPr>
                <w:rFonts w:ascii="Arial" w:hAnsi="Arial" w:cs="Arial"/>
                <w:sz w:val="22"/>
                <w:szCs w:val="22"/>
                <w:lang w:val="en-GB"/>
              </w:rPr>
            </w:pPr>
            <w:r w:rsidRPr="00E4265B">
              <w:rPr>
                <w:rFonts w:ascii="Arial" w:hAnsi="Arial" w:cs="Arial"/>
                <w:sz w:val="22"/>
                <w:szCs w:val="22"/>
                <w:lang w:val="en-GB"/>
              </w:rPr>
              <w:t>Available Stable Funding.</w:t>
            </w:r>
          </w:p>
        </w:tc>
      </w:tr>
      <w:tr w:rsidR="00690BF6" w:rsidRPr="00E4265B" w14:paraId="2AA9E239" w14:textId="77777777" w:rsidTr="00CD1719">
        <w:trPr>
          <w:gridBefore w:val="1"/>
          <w:wBefore w:w="882" w:type="dxa"/>
        </w:trPr>
        <w:tc>
          <w:tcPr>
            <w:tcW w:w="2462" w:type="dxa"/>
          </w:tcPr>
          <w:p w14:paraId="1EE238A9"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Asset</w:t>
            </w:r>
            <w:r w:rsidRPr="00E4265B">
              <w:rPr>
                <w:rFonts w:ascii="Arial" w:hAnsi="Arial" w:cs="Arial"/>
                <w:sz w:val="22"/>
                <w:szCs w:val="22"/>
                <w:lang w:val="en-GB"/>
              </w:rPr>
              <w:noBreakHyphen/>
              <w:t>Backed Commercial Paper (ABCP) Programme</w:t>
            </w:r>
          </w:p>
        </w:tc>
        <w:tc>
          <w:tcPr>
            <w:tcW w:w="5188" w:type="dxa"/>
          </w:tcPr>
          <w:p w14:paraId="67A471AD"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programme that predomina</w:t>
            </w:r>
            <w:r w:rsidR="003C1D71" w:rsidRPr="00E4265B">
              <w:rPr>
                <w:rFonts w:ascii="Arial" w:hAnsi="Arial" w:cs="Arial"/>
                <w:sz w:val="22"/>
                <w:szCs w:val="22"/>
                <w:lang w:val="en-GB"/>
              </w:rPr>
              <w:t>nt</w:t>
            </w:r>
            <w:r w:rsidRPr="00E4265B">
              <w:rPr>
                <w:rFonts w:ascii="Arial" w:hAnsi="Arial" w:cs="Arial"/>
                <w:sz w:val="22"/>
                <w:szCs w:val="22"/>
                <w:lang w:val="en-GB"/>
              </w:rPr>
              <w:t>ly issues commercial paper with an Original Maturity of one year or less that is backed by assets or other Exposures held in a bankruptcy</w:t>
            </w:r>
            <w:r w:rsidRPr="00E4265B">
              <w:rPr>
                <w:rFonts w:ascii="Arial" w:hAnsi="Arial" w:cs="Arial"/>
                <w:sz w:val="22"/>
                <w:szCs w:val="22"/>
                <w:lang w:val="en-GB"/>
              </w:rPr>
              <w:noBreakHyphen/>
              <w:t>remote SPE.</w:t>
            </w:r>
          </w:p>
        </w:tc>
      </w:tr>
      <w:tr w:rsidR="00690BF6" w:rsidRPr="00E4265B" w14:paraId="723E045D" w14:textId="77777777" w:rsidTr="00CD1719">
        <w:trPr>
          <w:gridBefore w:val="1"/>
          <w:wBefore w:w="882" w:type="dxa"/>
        </w:trPr>
        <w:tc>
          <w:tcPr>
            <w:tcW w:w="2462" w:type="dxa"/>
          </w:tcPr>
          <w:p w14:paraId="52587F85"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Associate</w:t>
            </w:r>
          </w:p>
        </w:tc>
        <w:tc>
          <w:tcPr>
            <w:tcW w:w="5188" w:type="dxa"/>
          </w:tcPr>
          <w:p w14:paraId="2820F0DA" w14:textId="77777777" w:rsidR="00690BF6" w:rsidRPr="00E4265B" w:rsidRDefault="00690BF6" w:rsidP="0069381C">
            <w:pPr>
              <w:pStyle w:val="Heading8"/>
              <w:rPr>
                <w:rFonts w:ascii="Arial" w:hAnsi="Arial" w:cs="Arial"/>
                <w:sz w:val="22"/>
                <w:szCs w:val="22"/>
                <w:lang w:val="en-GB"/>
              </w:rPr>
            </w:pPr>
            <w:r w:rsidRPr="00E4265B">
              <w:rPr>
                <w:rFonts w:ascii="Arial" w:hAnsi="Arial" w:cs="Arial"/>
                <w:sz w:val="22"/>
                <w:szCs w:val="22"/>
                <w:lang w:val="en-GB"/>
              </w:rPr>
              <w:t>Means, in respect of a Person 'A' holding Shares or entitled to exercise, or control the exercise of voting power, in an Authorised Person or a Holding Company of an Authorised Person:</w:t>
            </w:r>
          </w:p>
          <w:p w14:paraId="12C4A561" w14:textId="77777777" w:rsidR="00690BF6" w:rsidRPr="00E4265B" w:rsidRDefault="00690BF6" w:rsidP="0069381C">
            <w:pPr>
              <w:pStyle w:val="Heading9"/>
              <w:rPr>
                <w:rFonts w:ascii="Arial" w:hAnsi="Arial" w:cs="Arial"/>
                <w:sz w:val="22"/>
                <w:szCs w:val="22"/>
                <w:lang w:val="en-GB"/>
              </w:rPr>
            </w:pPr>
            <w:r w:rsidRPr="00E4265B">
              <w:rPr>
                <w:rFonts w:ascii="Arial" w:hAnsi="Arial" w:cs="Arial"/>
                <w:sz w:val="22"/>
                <w:szCs w:val="22"/>
                <w:lang w:val="en-GB"/>
              </w:rPr>
              <w:t>the spouse of A;</w:t>
            </w:r>
          </w:p>
          <w:p w14:paraId="1D0926F9" w14:textId="77777777" w:rsidR="00690BF6" w:rsidRPr="00E4265B" w:rsidRDefault="00690BF6" w:rsidP="00F80299">
            <w:pPr>
              <w:pStyle w:val="Heading9"/>
              <w:rPr>
                <w:rFonts w:ascii="Arial" w:hAnsi="Arial" w:cs="Arial"/>
                <w:sz w:val="22"/>
                <w:szCs w:val="22"/>
                <w:lang w:val="en-GB"/>
              </w:rPr>
            </w:pPr>
            <w:r w:rsidRPr="00E4265B">
              <w:rPr>
                <w:rFonts w:ascii="Arial" w:hAnsi="Arial" w:cs="Arial"/>
                <w:sz w:val="22"/>
                <w:szCs w:val="22"/>
                <w:lang w:val="en-GB"/>
              </w:rPr>
              <w:t>a child or stepchild of A;</w:t>
            </w:r>
          </w:p>
          <w:p w14:paraId="0328E2CC" w14:textId="6D1951E8" w:rsidR="00690BF6" w:rsidRPr="00E4265B" w:rsidRDefault="00690BF6" w:rsidP="00F80299">
            <w:pPr>
              <w:pStyle w:val="Heading9"/>
              <w:rPr>
                <w:rFonts w:ascii="Arial" w:hAnsi="Arial" w:cs="Arial"/>
                <w:sz w:val="22"/>
                <w:szCs w:val="22"/>
                <w:lang w:val="en-GB"/>
              </w:rPr>
            </w:pPr>
            <w:r w:rsidRPr="00E4265B">
              <w:rPr>
                <w:rFonts w:ascii="Arial" w:hAnsi="Arial" w:cs="Arial"/>
                <w:sz w:val="22"/>
                <w:szCs w:val="22"/>
                <w:lang w:val="en-GB"/>
              </w:rPr>
              <w:t>the trustee of any settlement, including an di</w:t>
            </w:r>
            <w:r w:rsidR="00CE663D" w:rsidRPr="00E4265B">
              <w:rPr>
                <w:rFonts w:ascii="Arial" w:hAnsi="Arial" w:cs="Arial"/>
                <w:sz w:val="22"/>
                <w:szCs w:val="22"/>
                <w:lang w:val="en-GB"/>
              </w:rPr>
              <w:t xml:space="preserve">sposition or arrangement under </w:t>
            </w:r>
            <w:r w:rsidRPr="00E4265B">
              <w:rPr>
                <w:rFonts w:ascii="Arial" w:hAnsi="Arial" w:cs="Arial"/>
                <w:sz w:val="22"/>
                <w:szCs w:val="22"/>
                <w:lang w:val="en-GB"/>
              </w:rPr>
              <w:t>which property is held on trust or subject to a comparable obligation, under which A has a life interest in possession;</w:t>
            </w:r>
          </w:p>
          <w:p w14:paraId="52915266" w14:textId="77777777" w:rsidR="00690BF6" w:rsidRPr="00E4265B" w:rsidRDefault="00690BF6" w:rsidP="00F80299">
            <w:pPr>
              <w:pStyle w:val="Heading9"/>
              <w:rPr>
                <w:rFonts w:ascii="Arial" w:hAnsi="Arial" w:cs="Arial"/>
                <w:sz w:val="22"/>
                <w:szCs w:val="22"/>
                <w:lang w:val="en-GB"/>
              </w:rPr>
            </w:pPr>
            <w:r w:rsidRPr="00E4265B">
              <w:rPr>
                <w:rFonts w:ascii="Arial" w:hAnsi="Arial" w:cs="Arial"/>
                <w:sz w:val="22"/>
                <w:szCs w:val="22"/>
                <w:lang w:val="en-GB"/>
              </w:rPr>
              <w:t>an Undertaking of which A is a Director;</w:t>
            </w:r>
          </w:p>
          <w:p w14:paraId="2C12E5EE" w14:textId="77777777" w:rsidR="00690BF6" w:rsidRPr="00E4265B" w:rsidRDefault="00690BF6" w:rsidP="00F80299">
            <w:pPr>
              <w:pStyle w:val="Heading9"/>
              <w:rPr>
                <w:rFonts w:ascii="Arial" w:hAnsi="Arial" w:cs="Arial"/>
                <w:sz w:val="22"/>
                <w:szCs w:val="22"/>
                <w:lang w:val="en-GB"/>
              </w:rPr>
            </w:pPr>
            <w:r w:rsidRPr="00E4265B">
              <w:rPr>
                <w:rFonts w:ascii="Arial" w:hAnsi="Arial" w:cs="Arial"/>
                <w:sz w:val="22"/>
                <w:szCs w:val="22"/>
                <w:lang w:val="en-GB"/>
              </w:rPr>
              <w:t>a Person who is an Employee or Partner of A;</w:t>
            </w:r>
          </w:p>
          <w:p w14:paraId="6C0BA1E4" w14:textId="77777777" w:rsidR="00690BF6" w:rsidRPr="00E4265B" w:rsidRDefault="00690BF6" w:rsidP="00F80299">
            <w:pPr>
              <w:pStyle w:val="Heading9"/>
              <w:rPr>
                <w:rFonts w:ascii="Arial" w:hAnsi="Arial" w:cs="Arial"/>
                <w:sz w:val="22"/>
                <w:szCs w:val="22"/>
                <w:lang w:val="en-GB"/>
              </w:rPr>
            </w:pPr>
            <w:r w:rsidRPr="00E4265B">
              <w:rPr>
                <w:rFonts w:ascii="Arial" w:hAnsi="Arial" w:cs="Arial"/>
                <w:sz w:val="22"/>
                <w:szCs w:val="22"/>
                <w:lang w:val="en-GB"/>
              </w:rPr>
              <w:t>where A is an Undertaking:</w:t>
            </w:r>
          </w:p>
          <w:p w14:paraId="154E9E25" w14:textId="77777777" w:rsidR="00690BF6" w:rsidRPr="00E4265B" w:rsidRDefault="00690BF6" w:rsidP="00466733">
            <w:pPr>
              <w:tabs>
                <w:tab w:val="left" w:pos="1152"/>
                <w:tab w:val="left" w:pos="1782"/>
              </w:tabs>
              <w:spacing w:before="120" w:after="120"/>
              <w:jc w:val="both"/>
              <w:rPr>
                <w:rFonts w:ascii="Arial" w:hAnsi="Arial" w:cs="Arial"/>
                <w:sz w:val="22"/>
                <w:szCs w:val="22"/>
                <w:lang w:val="en-GB"/>
              </w:rPr>
            </w:pPr>
            <w:r w:rsidRPr="00E4265B">
              <w:rPr>
                <w:rFonts w:ascii="Arial" w:hAnsi="Arial" w:cs="Arial"/>
                <w:sz w:val="22"/>
                <w:szCs w:val="22"/>
                <w:lang w:val="en-GB"/>
              </w:rPr>
              <w:tab/>
              <w:t xml:space="preserve">(i) </w:t>
            </w:r>
            <w:r w:rsidRPr="00E4265B">
              <w:rPr>
                <w:rFonts w:ascii="Arial" w:hAnsi="Arial" w:cs="Arial"/>
                <w:sz w:val="22"/>
                <w:szCs w:val="22"/>
                <w:lang w:val="en-GB"/>
              </w:rPr>
              <w:tab/>
              <w:t>a Director of A;</w:t>
            </w:r>
          </w:p>
          <w:p w14:paraId="04159DBA" w14:textId="77777777" w:rsidR="00690BF6" w:rsidRPr="00E4265B" w:rsidRDefault="00690BF6" w:rsidP="00466733">
            <w:pPr>
              <w:tabs>
                <w:tab w:val="left" w:pos="1152"/>
                <w:tab w:val="left" w:pos="1782"/>
              </w:tabs>
              <w:spacing w:before="120" w:after="120"/>
              <w:ind w:left="1782" w:hanging="1782"/>
              <w:jc w:val="both"/>
              <w:rPr>
                <w:rFonts w:ascii="Arial" w:hAnsi="Arial" w:cs="Arial"/>
                <w:sz w:val="22"/>
                <w:szCs w:val="22"/>
                <w:lang w:val="en-GB"/>
              </w:rPr>
            </w:pPr>
            <w:r w:rsidRPr="00E4265B">
              <w:rPr>
                <w:rFonts w:ascii="Arial" w:hAnsi="Arial" w:cs="Arial"/>
                <w:sz w:val="22"/>
                <w:szCs w:val="22"/>
                <w:lang w:val="en-GB"/>
              </w:rPr>
              <w:tab/>
              <w:t xml:space="preserve">(ii) </w:t>
            </w:r>
            <w:r w:rsidRPr="00E4265B">
              <w:rPr>
                <w:rFonts w:ascii="Arial" w:hAnsi="Arial" w:cs="Arial"/>
                <w:sz w:val="22"/>
                <w:szCs w:val="22"/>
                <w:lang w:val="en-GB"/>
              </w:rPr>
              <w:tab/>
              <w:t>a Subsidiary or wholly</w:t>
            </w:r>
            <w:r w:rsidR="0069381C" w:rsidRPr="00E4265B">
              <w:rPr>
                <w:rFonts w:ascii="Arial" w:hAnsi="Arial" w:cs="Arial"/>
                <w:sz w:val="22"/>
                <w:szCs w:val="22"/>
                <w:lang w:val="en-GB"/>
              </w:rPr>
              <w:t>-</w:t>
            </w:r>
            <w:r w:rsidRPr="00E4265B">
              <w:rPr>
                <w:rFonts w:ascii="Arial" w:hAnsi="Arial" w:cs="Arial"/>
                <w:sz w:val="22"/>
                <w:szCs w:val="22"/>
                <w:lang w:val="en-GB"/>
              </w:rPr>
              <w:t>owned Subsidiary of A; or</w:t>
            </w:r>
          </w:p>
          <w:p w14:paraId="4C50A975" w14:textId="77777777" w:rsidR="00690BF6" w:rsidRPr="00E4265B" w:rsidRDefault="00690BF6" w:rsidP="00466733">
            <w:pPr>
              <w:tabs>
                <w:tab w:val="left" w:pos="1152"/>
                <w:tab w:val="left" w:pos="1782"/>
              </w:tabs>
              <w:spacing w:before="120" w:after="120"/>
              <w:ind w:left="1782" w:hanging="1782"/>
              <w:jc w:val="both"/>
              <w:rPr>
                <w:rFonts w:ascii="Arial" w:hAnsi="Arial" w:cs="Arial"/>
                <w:sz w:val="22"/>
                <w:szCs w:val="22"/>
                <w:lang w:val="en-GB"/>
              </w:rPr>
            </w:pPr>
            <w:r w:rsidRPr="00E4265B">
              <w:rPr>
                <w:rFonts w:ascii="Arial" w:hAnsi="Arial" w:cs="Arial"/>
                <w:sz w:val="22"/>
                <w:szCs w:val="22"/>
                <w:lang w:val="en-GB"/>
              </w:rPr>
              <w:tab/>
              <w:t xml:space="preserve">(iii) </w:t>
            </w:r>
            <w:r w:rsidRPr="00E4265B">
              <w:rPr>
                <w:rFonts w:ascii="Arial" w:hAnsi="Arial" w:cs="Arial"/>
                <w:sz w:val="22"/>
                <w:szCs w:val="22"/>
                <w:lang w:val="en-GB"/>
              </w:rPr>
              <w:tab/>
              <w:t>a Director or Employee of such a Subsidiary or wholly</w:t>
            </w:r>
            <w:r w:rsidR="0069381C" w:rsidRPr="00E4265B">
              <w:rPr>
                <w:rFonts w:ascii="Arial" w:hAnsi="Arial" w:cs="Arial"/>
                <w:sz w:val="22"/>
                <w:szCs w:val="22"/>
                <w:lang w:val="en-GB"/>
              </w:rPr>
              <w:t>-</w:t>
            </w:r>
            <w:r w:rsidRPr="00E4265B">
              <w:rPr>
                <w:rFonts w:ascii="Arial" w:hAnsi="Arial" w:cs="Arial"/>
                <w:sz w:val="22"/>
                <w:szCs w:val="22"/>
                <w:lang w:val="en-GB"/>
              </w:rPr>
              <w:t>owned Subsidiary; or</w:t>
            </w:r>
          </w:p>
          <w:p w14:paraId="4D81D2E2" w14:textId="77777777" w:rsidR="00690BF6" w:rsidRPr="00E4265B" w:rsidRDefault="00690BF6" w:rsidP="00466733">
            <w:pPr>
              <w:pStyle w:val="Heading9"/>
              <w:rPr>
                <w:rFonts w:ascii="Arial" w:hAnsi="Arial" w:cs="Arial"/>
                <w:sz w:val="22"/>
                <w:szCs w:val="22"/>
                <w:lang w:val="en-GB"/>
              </w:rPr>
            </w:pPr>
            <w:r w:rsidRPr="00E4265B">
              <w:rPr>
                <w:rFonts w:ascii="Arial" w:hAnsi="Arial" w:cs="Arial"/>
                <w:sz w:val="22"/>
                <w:szCs w:val="22"/>
                <w:lang w:val="en-GB"/>
              </w:rPr>
              <w:t>a Person who has an agreement or arrangement with A with respect to the acquisition, holding or disposal of Shares or other interests in the Authorised Person or the Holding Company of an Authorised Person or under which they undertake to act together in exercising their voting power in relation to an Authorised Person or the Holding Company of an Authorised Person or that other Person.</w:t>
            </w:r>
          </w:p>
          <w:p w14:paraId="0883F8BA" w14:textId="77777777" w:rsidR="00690BF6" w:rsidRPr="00E4265B" w:rsidRDefault="00690BF6" w:rsidP="00466733">
            <w:pPr>
              <w:pStyle w:val="Heading8"/>
              <w:rPr>
                <w:rFonts w:ascii="Arial" w:hAnsi="Arial" w:cs="Arial"/>
                <w:sz w:val="22"/>
                <w:szCs w:val="22"/>
                <w:lang w:val="en-GB"/>
              </w:rPr>
            </w:pPr>
            <w:r w:rsidRPr="00E4265B">
              <w:rPr>
                <w:rFonts w:ascii="Arial" w:hAnsi="Arial" w:cs="Arial"/>
                <w:sz w:val="22"/>
                <w:szCs w:val="22"/>
                <w:lang w:val="en-GB"/>
              </w:rPr>
              <w:lastRenderedPageBreak/>
              <w:t>Means in respect of a Person 'A', any Person, including an affiliated company which is:</w:t>
            </w:r>
          </w:p>
          <w:p w14:paraId="49E9BC21" w14:textId="77777777" w:rsidR="00690BF6" w:rsidRPr="00E4265B" w:rsidRDefault="00690BF6" w:rsidP="00466733">
            <w:pPr>
              <w:pStyle w:val="Heading9"/>
              <w:rPr>
                <w:rFonts w:ascii="Arial" w:hAnsi="Arial" w:cs="Arial"/>
                <w:sz w:val="22"/>
                <w:szCs w:val="22"/>
                <w:lang w:val="en-GB"/>
              </w:rPr>
            </w:pPr>
            <w:r w:rsidRPr="00E4265B">
              <w:rPr>
                <w:rFonts w:ascii="Arial" w:hAnsi="Arial" w:cs="Arial"/>
                <w:sz w:val="22"/>
                <w:szCs w:val="22"/>
                <w:lang w:val="en-GB"/>
              </w:rPr>
              <w:t>an Undertaking in the same Group as A; or</w:t>
            </w:r>
          </w:p>
          <w:p w14:paraId="26E31F8C" w14:textId="77777777" w:rsidR="00690BF6" w:rsidRPr="00E4265B" w:rsidRDefault="00690BF6" w:rsidP="0069381C">
            <w:pPr>
              <w:pStyle w:val="Heading9"/>
              <w:rPr>
                <w:rFonts w:ascii="Arial" w:hAnsi="Arial" w:cs="Arial"/>
                <w:sz w:val="22"/>
                <w:szCs w:val="22"/>
                <w:lang w:val="en-GB"/>
              </w:rPr>
            </w:pPr>
            <w:r w:rsidRPr="00E4265B">
              <w:rPr>
                <w:rFonts w:ascii="Arial" w:hAnsi="Arial" w:cs="Arial"/>
                <w:sz w:val="22"/>
                <w:szCs w:val="22"/>
                <w:lang w:val="en-GB"/>
              </w:rPr>
              <w:t xml:space="preserve">any other Person whose business or domestic relationship with A or </w:t>
            </w:r>
            <w:r w:rsidR="0069381C" w:rsidRPr="00E4265B">
              <w:rPr>
                <w:rFonts w:ascii="Arial" w:hAnsi="Arial" w:cs="Arial"/>
                <w:sz w:val="22"/>
                <w:szCs w:val="22"/>
                <w:lang w:val="en-GB"/>
              </w:rPr>
              <w:t>it</w:t>
            </w:r>
            <w:r w:rsidRPr="00E4265B">
              <w:rPr>
                <w:rFonts w:ascii="Arial" w:hAnsi="Arial" w:cs="Arial"/>
                <w:sz w:val="22"/>
                <w:szCs w:val="22"/>
                <w:lang w:val="en-GB"/>
              </w:rPr>
              <w:t>s Associate might reasonably be expected to give rise to a community of interest between them which may involve a conflict of interest in dealings with third parties.</w:t>
            </w:r>
          </w:p>
        </w:tc>
      </w:tr>
      <w:tr w:rsidR="00690BF6" w:rsidRPr="00E4265B" w14:paraId="2D87B5C9" w14:textId="77777777" w:rsidTr="00CD1719">
        <w:trPr>
          <w:gridBefore w:val="1"/>
          <w:wBefore w:w="882" w:type="dxa"/>
        </w:trPr>
        <w:tc>
          <w:tcPr>
            <w:tcW w:w="2462" w:type="dxa"/>
          </w:tcPr>
          <w:p w14:paraId="503A611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AT1</w:t>
            </w:r>
          </w:p>
        </w:tc>
        <w:tc>
          <w:tcPr>
            <w:tcW w:w="5188" w:type="dxa"/>
          </w:tcPr>
          <w:p w14:paraId="6AAA97A0"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 xml:space="preserve">Additional </w:t>
            </w:r>
            <w:r w:rsidR="0069381C" w:rsidRPr="00E4265B">
              <w:rPr>
                <w:rFonts w:ascii="Arial" w:hAnsi="Arial" w:cs="Arial"/>
                <w:sz w:val="22"/>
                <w:szCs w:val="22"/>
                <w:lang w:val="en-GB"/>
              </w:rPr>
              <w:t xml:space="preserve">Tier </w:t>
            </w:r>
            <w:r w:rsidRPr="00E4265B">
              <w:rPr>
                <w:rFonts w:ascii="Arial" w:hAnsi="Arial" w:cs="Arial"/>
                <w:sz w:val="22"/>
                <w:szCs w:val="22"/>
                <w:lang w:val="en-GB"/>
              </w:rPr>
              <w:t>1.</w:t>
            </w:r>
          </w:p>
        </w:tc>
      </w:tr>
      <w:tr w:rsidR="00690BF6" w:rsidRPr="00E4265B" w14:paraId="303A20E1" w14:textId="77777777" w:rsidTr="00CD1719">
        <w:trPr>
          <w:gridBefore w:val="1"/>
          <w:wBefore w:w="882" w:type="dxa"/>
        </w:trPr>
        <w:tc>
          <w:tcPr>
            <w:tcW w:w="2462" w:type="dxa"/>
          </w:tcPr>
          <w:p w14:paraId="4A559FA2"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AT1 Capital</w:t>
            </w:r>
          </w:p>
        </w:tc>
        <w:tc>
          <w:tcPr>
            <w:tcW w:w="5188" w:type="dxa"/>
          </w:tcPr>
          <w:p w14:paraId="51D9EBDB" w14:textId="77777777" w:rsidR="00690BF6" w:rsidRPr="00E4265B" w:rsidRDefault="00690BF6" w:rsidP="0069381C">
            <w:pPr>
              <w:spacing w:before="120" w:after="120"/>
              <w:jc w:val="both"/>
              <w:rPr>
                <w:rFonts w:ascii="Arial" w:hAnsi="Arial" w:cs="Arial"/>
                <w:sz w:val="22"/>
                <w:szCs w:val="22"/>
                <w:lang w:val="en-GB"/>
              </w:rPr>
            </w:pPr>
            <w:r w:rsidRPr="00E4265B">
              <w:rPr>
                <w:rFonts w:ascii="Arial" w:hAnsi="Arial" w:cs="Arial"/>
                <w:sz w:val="22"/>
                <w:szCs w:val="22"/>
                <w:lang w:val="en-GB"/>
              </w:rPr>
              <w:t>Has the meaning given in Section 3.1</w:t>
            </w:r>
            <w:r w:rsidR="0069381C" w:rsidRPr="00E4265B">
              <w:rPr>
                <w:rFonts w:ascii="Arial" w:hAnsi="Arial" w:cs="Arial"/>
                <w:sz w:val="22"/>
                <w:szCs w:val="22"/>
                <w:lang w:val="en-GB"/>
              </w:rPr>
              <w:t>1</w:t>
            </w:r>
            <w:r w:rsidRPr="00E4265B">
              <w:rPr>
                <w:rFonts w:ascii="Arial" w:hAnsi="Arial" w:cs="Arial"/>
                <w:sz w:val="22"/>
                <w:szCs w:val="22"/>
                <w:lang w:val="en-GB"/>
              </w:rPr>
              <w:t>.</w:t>
            </w:r>
          </w:p>
        </w:tc>
      </w:tr>
      <w:tr w:rsidR="00690BF6" w:rsidRPr="00E4265B" w14:paraId="75401A8A" w14:textId="77777777" w:rsidTr="00CD1719">
        <w:trPr>
          <w:gridBefore w:val="1"/>
          <w:wBefore w:w="882" w:type="dxa"/>
        </w:trPr>
        <w:tc>
          <w:tcPr>
            <w:tcW w:w="2462" w:type="dxa"/>
          </w:tcPr>
          <w:p w14:paraId="410C15EE"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Auditor</w:t>
            </w:r>
          </w:p>
        </w:tc>
        <w:tc>
          <w:tcPr>
            <w:tcW w:w="5188" w:type="dxa"/>
          </w:tcPr>
          <w:p w14:paraId="07B21C2A" w14:textId="77777777" w:rsidR="00690BF6" w:rsidRPr="00E4265B" w:rsidRDefault="00690BF6" w:rsidP="008F5C01">
            <w:pPr>
              <w:spacing w:before="120" w:after="120"/>
              <w:rPr>
                <w:rFonts w:ascii="Arial" w:hAnsi="Arial" w:cs="Arial"/>
                <w:sz w:val="22"/>
                <w:szCs w:val="22"/>
                <w:lang w:val="en-GB"/>
              </w:rPr>
            </w:pPr>
            <w:r w:rsidRPr="00E4265B">
              <w:rPr>
                <w:rFonts w:ascii="Arial" w:hAnsi="Arial" w:cs="Arial"/>
                <w:sz w:val="22"/>
                <w:szCs w:val="22"/>
                <w:lang w:val="en-GB"/>
              </w:rPr>
              <w:t xml:space="preserve">A Partnership or </w:t>
            </w:r>
            <w:r w:rsidR="003C1D71" w:rsidRPr="00E4265B">
              <w:rPr>
                <w:rFonts w:ascii="Arial" w:hAnsi="Arial" w:cs="Arial"/>
                <w:sz w:val="22"/>
                <w:szCs w:val="22"/>
                <w:lang w:val="en-GB"/>
              </w:rPr>
              <w:t>C</w:t>
            </w:r>
            <w:r w:rsidRPr="00E4265B">
              <w:rPr>
                <w:rFonts w:ascii="Arial" w:hAnsi="Arial" w:cs="Arial"/>
                <w:sz w:val="22"/>
                <w:szCs w:val="22"/>
                <w:lang w:val="en-GB"/>
              </w:rPr>
              <w:t>ompany that is registered by the Regulator to provide audit services to:</w:t>
            </w:r>
          </w:p>
          <w:p w14:paraId="56EF1C6C" w14:textId="77777777" w:rsidR="00690BF6" w:rsidRPr="00E4265B" w:rsidRDefault="00690BF6" w:rsidP="00D13883">
            <w:pPr>
              <w:pStyle w:val="Heading9"/>
              <w:numPr>
                <w:ilvl w:val="8"/>
                <w:numId w:val="33"/>
              </w:numPr>
              <w:rPr>
                <w:rFonts w:ascii="Arial" w:hAnsi="Arial" w:cs="Arial"/>
                <w:sz w:val="22"/>
                <w:szCs w:val="22"/>
                <w:lang w:val="en-GB"/>
              </w:rPr>
            </w:pPr>
            <w:r w:rsidRPr="00E4265B">
              <w:rPr>
                <w:rFonts w:ascii="Arial" w:hAnsi="Arial" w:cs="Arial"/>
                <w:sz w:val="22"/>
                <w:szCs w:val="22"/>
                <w:lang w:val="en-GB"/>
              </w:rPr>
              <w:t>an Authorised Person or Recognised Body that is a Domestic Firm;</w:t>
            </w:r>
          </w:p>
          <w:p w14:paraId="2E2238AC" w14:textId="77777777" w:rsidR="00690BF6" w:rsidRPr="00E4265B" w:rsidRDefault="00690BF6" w:rsidP="00276B90">
            <w:pPr>
              <w:pStyle w:val="Heading9"/>
              <w:rPr>
                <w:rFonts w:ascii="Arial" w:hAnsi="Arial" w:cs="Arial"/>
                <w:sz w:val="22"/>
                <w:szCs w:val="22"/>
                <w:lang w:val="en-GB"/>
              </w:rPr>
            </w:pPr>
            <w:r w:rsidRPr="00E4265B">
              <w:rPr>
                <w:rFonts w:ascii="Arial" w:hAnsi="Arial" w:cs="Arial"/>
                <w:sz w:val="22"/>
                <w:szCs w:val="22"/>
                <w:lang w:val="en-GB"/>
              </w:rPr>
              <w:t>a Domestic Fund; or</w:t>
            </w:r>
          </w:p>
          <w:p w14:paraId="71E4E55D" w14:textId="77777777" w:rsidR="00690BF6" w:rsidRPr="00E4265B" w:rsidRDefault="00690BF6" w:rsidP="00276B90">
            <w:pPr>
              <w:pStyle w:val="Heading9"/>
              <w:rPr>
                <w:rFonts w:ascii="Arial" w:hAnsi="Arial" w:cs="Arial"/>
                <w:sz w:val="22"/>
                <w:szCs w:val="22"/>
                <w:lang w:val="en-GB"/>
              </w:rPr>
            </w:pPr>
            <w:r w:rsidRPr="00E4265B">
              <w:rPr>
                <w:rFonts w:ascii="Arial" w:hAnsi="Arial" w:cs="Arial"/>
                <w:sz w:val="22"/>
                <w:szCs w:val="22"/>
                <w:lang w:val="en-GB"/>
              </w:rPr>
              <w:t>a Public Listed Company.</w:t>
            </w:r>
          </w:p>
        </w:tc>
      </w:tr>
      <w:tr w:rsidR="00690BF6" w:rsidRPr="00E4265B" w14:paraId="1960E0DE" w14:textId="77777777" w:rsidTr="00CD1719">
        <w:trPr>
          <w:gridBefore w:val="1"/>
          <w:wBefore w:w="882" w:type="dxa"/>
        </w:trPr>
        <w:tc>
          <w:tcPr>
            <w:tcW w:w="2462" w:type="dxa"/>
          </w:tcPr>
          <w:p w14:paraId="374726C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Authorised Person</w:t>
            </w:r>
          </w:p>
        </w:tc>
        <w:tc>
          <w:tcPr>
            <w:tcW w:w="5188" w:type="dxa"/>
          </w:tcPr>
          <w:p w14:paraId="3FA789DE" w14:textId="77777777" w:rsidR="00690BF6" w:rsidRPr="00E4265B" w:rsidRDefault="00690BF6" w:rsidP="00014630">
            <w:pPr>
              <w:spacing w:before="120" w:after="120"/>
              <w:jc w:val="both"/>
              <w:rPr>
                <w:rFonts w:ascii="Arial" w:hAnsi="Arial" w:cs="Arial"/>
                <w:sz w:val="22"/>
                <w:szCs w:val="22"/>
                <w:lang w:val="en-GB"/>
              </w:rPr>
            </w:pPr>
            <w:r w:rsidRPr="00E4265B">
              <w:rPr>
                <w:rFonts w:ascii="Arial" w:hAnsi="Arial" w:cs="Arial"/>
                <w:sz w:val="22"/>
                <w:szCs w:val="22"/>
                <w:lang w:val="en-GB"/>
              </w:rPr>
              <w:t>A Person, other than a Recognised Body, who holds a Financial Services Permission.</w:t>
            </w:r>
          </w:p>
        </w:tc>
      </w:tr>
      <w:tr w:rsidR="00CE663D" w:rsidRPr="00E4265B" w14:paraId="1C1857D5" w14:textId="77777777" w:rsidTr="00CD1719">
        <w:trPr>
          <w:gridBefore w:val="1"/>
          <w:wBefore w:w="882" w:type="dxa"/>
        </w:trPr>
        <w:tc>
          <w:tcPr>
            <w:tcW w:w="2462" w:type="dxa"/>
          </w:tcPr>
          <w:p w14:paraId="4DCF2D33" w14:textId="21AA9994" w:rsidR="00CE663D" w:rsidRPr="00E4265B" w:rsidRDefault="00CE663D" w:rsidP="00CE663D">
            <w:pPr>
              <w:spacing w:before="120" w:after="120"/>
              <w:rPr>
                <w:rFonts w:ascii="Arial" w:hAnsi="Arial" w:cs="Arial"/>
                <w:sz w:val="22"/>
                <w:szCs w:val="22"/>
                <w:lang w:val="en-GB"/>
              </w:rPr>
            </w:pPr>
            <w:r w:rsidRPr="00E4265B">
              <w:rPr>
                <w:rFonts w:ascii="Arial" w:hAnsi="Arial" w:cs="Arial"/>
                <w:sz w:val="22"/>
                <w:szCs w:val="22"/>
                <w:lang w:val="en-GB"/>
              </w:rPr>
              <w:t>Available Stable Funding</w:t>
            </w:r>
          </w:p>
        </w:tc>
        <w:tc>
          <w:tcPr>
            <w:tcW w:w="5188" w:type="dxa"/>
          </w:tcPr>
          <w:p w14:paraId="2005DDBD" w14:textId="28D29869" w:rsidR="00CE663D" w:rsidRPr="00E4265B" w:rsidRDefault="00CE663D" w:rsidP="00CE663D">
            <w:pPr>
              <w:spacing w:before="120" w:after="120"/>
              <w:jc w:val="both"/>
              <w:rPr>
                <w:rFonts w:ascii="Arial" w:hAnsi="Arial" w:cs="Arial"/>
                <w:sz w:val="22"/>
                <w:szCs w:val="22"/>
                <w:lang w:val="en-GB"/>
              </w:rPr>
            </w:pPr>
            <w:r w:rsidRPr="00E4265B">
              <w:rPr>
                <w:rFonts w:ascii="Arial" w:hAnsi="Arial" w:cs="Arial"/>
                <w:sz w:val="22"/>
                <w:szCs w:val="22"/>
                <w:lang w:val="en-GB"/>
              </w:rPr>
              <w:t>The amount calculated in accordance with Rule A10.4.8.</w:t>
            </w:r>
          </w:p>
        </w:tc>
      </w:tr>
      <w:tr w:rsidR="00690BF6" w:rsidRPr="00E4265B" w14:paraId="57398A0C" w14:textId="77777777" w:rsidTr="00CD1719">
        <w:trPr>
          <w:gridBefore w:val="1"/>
          <w:wBefore w:w="882" w:type="dxa"/>
        </w:trPr>
        <w:tc>
          <w:tcPr>
            <w:tcW w:w="2462" w:type="dxa"/>
          </w:tcPr>
          <w:p w14:paraId="5217E0D5"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Bank</w:t>
            </w:r>
          </w:p>
        </w:tc>
        <w:tc>
          <w:tcPr>
            <w:tcW w:w="5188" w:type="dxa"/>
          </w:tcPr>
          <w:p w14:paraId="79193600"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Means a Credit Institution.</w:t>
            </w:r>
          </w:p>
        </w:tc>
      </w:tr>
      <w:tr w:rsidR="00690BF6" w:rsidRPr="00E4265B" w14:paraId="481E7FDA" w14:textId="77777777" w:rsidTr="00CD1719">
        <w:trPr>
          <w:gridBefore w:val="1"/>
          <w:wBefore w:w="882" w:type="dxa"/>
        </w:trPr>
        <w:tc>
          <w:tcPr>
            <w:tcW w:w="2462" w:type="dxa"/>
          </w:tcPr>
          <w:p w14:paraId="5571C580"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Base Capital Requirement</w:t>
            </w:r>
          </w:p>
        </w:tc>
        <w:tc>
          <w:tcPr>
            <w:tcW w:w="5188" w:type="dxa"/>
          </w:tcPr>
          <w:p w14:paraId="08B2A2DC" w14:textId="77777777" w:rsidR="00690BF6" w:rsidRPr="00E4265B" w:rsidRDefault="00690BF6" w:rsidP="0069381C">
            <w:pPr>
              <w:spacing w:before="120" w:after="120"/>
              <w:jc w:val="both"/>
              <w:rPr>
                <w:rFonts w:ascii="Arial" w:hAnsi="Arial" w:cs="Arial"/>
                <w:sz w:val="22"/>
                <w:szCs w:val="22"/>
                <w:lang w:val="en-GB"/>
              </w:rPr>
            </w:pPr>
            <w:r w:rsidRPr="00E4265B">
              <w:rPr>
                <w:rFonts w:ascii="Arial" w:hAnsi="Arial" w:cs="Arial"/>
                <w:sz w:val="22"/>
                <w:szCs w:val="22"/>
                <w:lang w:val="en-GB"/>
              </w:rPr>
              <w:t>Has the meaning given in Section 3.</w:t>
            </w:r>
            <w:r w:rsidR="0069381C" w:rsidRPr="00E4265B">
              <w:rPr>
                <w:rFonts w:ascii="Arial" w:hAnsi="Arial" w:cs="Arial"/>
                <w:sz w:val="22"/>
                <w:szCs w:val="22"/>
                <w:lang w:val="en-GB"/>
              </w:rPr>
              <w:t>3</w:t>
            </w:r>
            <w:r w:rsidRPr="00E4265B">
              <w:rPr>
                <w:rFonts w:ascii="Arial" w:hAnsi="Arial" w:cs="Arial"/>
                <w:sz w:val="22"/>
                <w:szCs w:val="22"/>
                <w:lang w:val="en-GB"/>
              </w:rPr>
              <w:t>.</w:t>
            </w:r>
          </w:p>
        </w:tc>
      </w:tr>
      <w:tr w:rsidR="00690BF6" w:rsidRPr="00E4265B" w14:paraId="5E005796" w14:textId="77777777" w:rsidTr="00CD1719">
        <w:trPr>
          <w:gridBefore w:val="1"/>
          <w:wBefore w:w="882" w:type="dxa"/>
        </w:trPr>
        <w:tc>
          <w:tcPr>
            <w:tcW w:w="2462" w:type="dxa"/>
          </w:tcPr>
          <w:p w14:paraId="551BB54C"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Basic Indicator Approach</w:t>
            </w:r>
          </w:p>
        </w:tc>
        <w:tc>
          <w:tcPr>
            <w:tcW w:w="5188" w:type="dxa"/>
          </w:tcPr>
          <w:p w14:paraId="2306FC0E" w14:textId="77777777" w:rsidR="00690BF6" w:rsidRPr="00E4265B" w:rsidRDefault="00690BF6" w:rsidP="0069381C">
            <w:pPr>
              <w:spacing w:before="120" w:after="120"/>
              <w:jc w:val="both"/>
              <w:rPr>
                <w:rFonts w:ascii="Arial" w:hAnsi="Arial" w:cs="Arial"/>
                <w:sz w:val="22"/>
                <w:szCs w:val="22"/>
                <w:lang w:val="en-GB"/>
              </w:rPr>
            </w:pPr>
            <w:r w:rsidRPr="00E4265B">
              <w:rPr>
                <w:rFonts w:ascii="Arial" w:hAnsi="Arial" w:cs="Arial"/>
                <w:sz w:val="22"/>
                <w:szCs w:val="22"/>
                <w:lang w:val="en-GB"/>
              </w:rPr>
              <w:t>The manner in which the Operational Risk Capital Requirement is calculated in accordance with Sections 6.11 and A</w:t>
            </w:r>
            <w:r w:rsidR="0069381C" w:rsidRPr="00E4265B">
              <w:rPr>
                <w:rFonts w:ascii="Arial" w:hAnsi="Arial" w:cs="Arial"/>
                <w:sz w:val="22"/>
                <w:szCs w:val="22"/>
                <w:lang w:val="en-GB"/>
              </w:rPr>
              <w:t>7</w:t>
            </w:r>
            <w:r w:rsidRPr="00E4265B">
              <w:rPr>
                <w:rFonts w:ascii="Arial" w:hAnsi="Arial" w:cs="Arial"/>
                <w:sz w:val="22"/>
                <w:szCs w:val="22"/>
                <w:lang w:val="en-GB"/>
              </w:rPr>
              <w:t>.1.</w:t>
            </w:r>
          </w:p>
        </w:tc>
      </w:tr>
      <w:tr w:rsidR="00690BF6" w:rsidRPr="00E4265B" w14:paraId="052F63C8" w14:textId="77777777" w:rsidTr="00CD1719">
        <w:trPr>
          <w:gridBefore w:val="1"/>
          <w:wBefore w:w="882" w:type="dxa"/>
        </w:trPr>
        <w:tc>
          <w:tcPr>
            <w:tcW w:w="2462" w:type="dxa"/>
          </w:tcPr>
          <w:p w14:paraId="4E2CFFA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BCBS</w:t>
            </w:r>
          </w:p>
        </w:tc>
        <w:tc>
          <w:tcPr>
            <w:tcW w:w="5188" w:type="dxa"/>
          </w:tcPr>
          <w:p w14:paraId="2F59055C"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The Basel Committee on Banking Supervision.</w:t>
            </w:r>
          </w:p>
        </w:tc>
      </w:tr>
      <w:tr w:rsidR="00690BF6" w:rsidRPr="00E4265B" w14:paraId="2492EC4D" w14:textId="77777777" w:rsidTr="00CD1719">
        <w:trPr>
          <w:gridBefore w:val="1"/>
          <w:wBefore w:w="882" w:type="dxa"/>
        </w:trPr>
        <w:tc>
          <w:tcPr>
            <w:tcW w:w="2462" w:type="dxa"/>
          </w:tcPr>
          <w:p w14:paraId="06139C7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Body Corporate</w:t>
            </w:r>
          </w:p>
        </w:tc>
        <w:tc>
          <w:tcPr>
            <w:tcW w:w="5188" w:type="dxa"/>
          </w:tcPr>
          <w:p w14:paraId="39664C89" w14:textId="77777777" w:rsidR="00690BF6" w:rsidRPr="00E4265B" w:rsidRDefault="00690BF6" w:rsidP="00276B90">
            <w:pPr>
              <w:spacing w:before="120" w:after="120"/>
              <w:jc w:val="both"/>
              <w:rPr>
                <w:rFonts w:ascii="Arial" w:hAnsi="Arial" w:cs="Arial"/>
                <w:sz w:val="22"/>
                <w:szCs w:val="22"/>
                <w:lang w:val="en-GB"/>
              </w:rPr>
            </w:pPr>
            <w:r w:rsidRPr="00E4265B">
              <w:rPr>
                <w:rFonts w:ascii="Arial" w:hAnsi="Arial" w:cs="Arial"/>
                <w:sz w:val="22"/>
                <w:szCs w:val="22"/>
                <w:lang w:val="en-GB"/>
              </w:rPr>
              <w:t>Any body corporate, and a body corporate constituted under the law of a country or territory outside of ADGM.</w:t>
            </w:r>
          </w:p>
        </w:tc>
      </w:tr>
      <w:tr w:rsidR="00690BF6" w:rsidRPr="00E4265B" w14:paraId="2E8F28CD" w14:textId="77777777" w:rsidTr="00CD1719">
        <w:trPr>
          <w:gridBefore w:val="1"/>
          <w:wBefore w:w="882" w:type="dxa"/>
        </w:trPr>
        <w:tc>
          <w:tcPr>
            <w:tcW w:w="2462" w:type="dxa"/>
          </w:tcPr>
          <w:p w14:paraId="3380193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Branch</w:t>
            </w:r>
          </w:p>
        </w:tc>
        <w:tc>
          <w:tcPr>
            <w:tcW w:w="5188" w:type="dxa"/>
          </w:tcPr>
          <w:p w14:paraId="54544B9D"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 xml:space="preserve">Means a place of business within ADGM: </w:t>
            </w:r>
          </w:p>
          <w:p w14:paraId="40E5B0CF" w14:textId="77777777" w:rsidR="00690BF6" w:rsidRPr="00E4265B" w:rsidRDefault="00690BF6" w:rsidP="00D13883">
            <w:pPr>
              <w:pStyle w:val="Heading9"/>
              <w:numPr>
                <w:ilvl w:val="8"/>
                <w:numId w:val="34"/>
              </w:numPr>
              <w:rPr>
                <w:rFonts w:ascii="Arial" w:hAnsi="Arial" w:cs="Arial"/>
                <w:sz w:val="22"/>
                <w:szCs w:val="22"/>
                <w:lang w:val="en-GB"/>
              </w:rPr>
            </w:pPr>
            <w:r w:rsidRPr="00E4265B">
              <w:rPr>
                <w:rFonts w:ascii="Arial" w:hAnsi="Arial" w:cs="Arial"/>
                <w:sz w:val="22"/>
                <w:szCs w:val="22"/>
                <w:lang w:val="en-GB"/>
              </w:rPr>
              <w:t>which has no separate legal personality;</w:t>
            </w:r>
          </w:p>
          <w:p w14:paraId="46BCC8D2" w14:textId="46F92143" w:rsidR="00690BF6" w:rsidRPr="00E4265B" w:rsidRDefault="00690BF6" w:rsidP="001B38E7">
            <w:pPr>
              <w:pStyle w:val="Heading9"/>
              <w:rPr>
                <w:rFonts w:ascii="Arial" w:hAnsi="Arial" w:cs="Arial"/>
                <w:sz w:val="22"/>
                <w:szCs w:val="22"/>
                <w:lang w:val="en-GB"/>
              </w:rPr>
            </w:pPr>
            <w:r w:rsidRPr="00E4265B">
              <w:rPr>
                <w:rFonts w:ascii="Arial" w:hAnsi="Arial" w:cs="Arial"/>
                <w:sz w:val="22"/>
                <w:szCs w:val="22"/>
                <w:lang w:val="en-GB"/>
              </w:rPr>
              <w:t xml:space="preserve">forms a legally dependant part of an </w:t>
            </w:r>
            <w:r w:rsidR="00363CED" w:rsidRPr="00E4265B">
              <w:rPr>
                <w:rFonts w:ascii="Arial" w:hAnsi="Arial" w:cs="Arial"/>
                <w:sz w:val="22"/>
                <w:szCs w:val="22"/>
                <w:lang w:val="en-GB"/>
              </w:rPr>
              <w:t>Authorised Person wh</w:t>
            </w:r>
            <w:r w:rsidR="001B38E7" w:rsidRPr="00E4265B">
              <w:rPr>
                <w:rFonts w:ascii="Arial" w:hAnsi="Arial" w:cs="Arial"/>
                <w:sz w:val="22"/>
                <w:szCs w:val="22"/>
                <w:lang w:val="en-GB"/>
              </w:rPr>
              <w:t>o</w:t>
            </w:r>
            <w:r w:rsidRPr="00E4265B">
              <w:rPr>
                <w:rFonts w:ascii="Arial" w:hAnsi="Arial" w:cs="Arial"/>
                <w:sz w:val="22"/>
                <w:szCs w:val="22"/>
                <w:lang w:val="en-GB"/>
              </w:rPr>
              <w:t xml:space="preserve">se principal </w:t>
            </w:r>
            <w:r w:rsidRPr="00E4265B">
              <w:rPr>
                <w:rFonts w:ascii="Arial" w:hAnsi="Arial" w:cs="Arial"/>
                <w:sz w:val="22"/>
                <w:szCs w:val="22"/>
                <w:lang w:val="en-GB"/>
              </w:rPr>
              <w:lastRenderedPageBreak/>
              <w:t>place of business and head office is in a jurisdiction other than ADGM; and</w:t>
            </w:r>
          </w:p>
          <w:p w14:paraId="5370EF0A" w14:textId="77777777" w:rsidR="00690BF6" w:rsidRPr="00E4265B" w:rsidRDefault="00690BF6" w:rsidP="00276B90">
            <w:pPr>
              <w:pStyle w:val="Heading9"/>
              <w:rPr>
                <w:rFonts w:ascii="Arial" w:hAnsi="Arial" w:cs="Arial"/>
                <w:sz w:val="22"/>
                <w:szCs w:val="22"/>
                <w:lang w:val="en-GB"/>
              </w:rPr>
            </w:pPr>
            <w:r w:rsidRPr="00E4265B">
              <w:rPr>
                <w:rFonts w:ascii="Arial" w:hAnsi="Arial" w:cs="Arial"/>
                <w:sz w:val="22"/>
                <w:szCs w:val="22"/>
                <w:lang w:val="en-GB"/>
              </w:rPr>
              <w:t>through which the Authorised Person carries on Regulated Activities in  or from ADGM.</w:t>
            </w:r>
          </w:p>
        </w:tc>
      </w:tr>
      <w:tr w:rsidR="00690BF6" w:rsidRPr="00E4265B" w14:paraId="03D4E87F" w14:textId="77777777" w:rsidTr="00CD1719">
        <w:trPr>
          <w:gridBefore w:val="1"/>
          <w:wBefore w:w="882" w:type="dxa"/>
        </w:trPr>
        <w:tc>
          <w:tcPr>
            <w:tcW w:w="2462" w:type="dxa"/>
          </w:tcPr>
          <w:p w14:paraId="451D15F7"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By Way of Business</w:t>
            </w:r>
          </w:p>
        </w:tc>
        <w:tc>
          <w:tcPr>
            <w:tcW w:w="5188" w:type="dxa"/>
          </w:tcPr>
          <w:p w14:paraId="07E0883D" w14:textId="77777777" w:rsidR="00690BF6" w:rsidRPr="00E4265B" w:rsidRDefault="00690BF6" w:rsidP="002721C7">
            <w:pPr>
              <w:spacing w:before="120" w:after="120"/>
              <w:jc w:val="both"/>
              <w:rPr>
                <w:rFonts w:ascii="Arial" w:hAnsi="Arial" w:cs="Arial"/>
                <w:sz w:val="22"/>
                <w:szCs w:val="22"/>
                <w:lang w:val="en-GB"/>
              </w:rPr>
            </w:pPr>
            <w:r w:rsidRPr="00E4265B">
              <w:rPr>
                <w:rFonts w:ascii="Arial" w:hAnsi="Arial" w:cs="Arial"/>
                <w:sz w:val="22"/>
                <w:szCs w:val="22"/>
                <w:lang w:val="en-GB"/>
              </w:rPr>
              <w:t>A Person carries on an activity specified in these Rules by way of business only if he carries on that activity from a permanent place of business maintained by him in ADGM and:</w:t>
            </w:r>
          </w:p>
          <w:p w14:paraId="4BD74807" w14:textId="77777777" w:rsidR="00690BF6" w:rsidRPr="00E4265B" w:rsidRDefault="00690BF6" w:rsidP="0019712D">
            <w:pPr>
              <w:pStyle w:val="Heading9"/>
              <w:numPr>
                <w:ilvl w:val="8"/>
                <w:numId w:val="59"/>
              </w:numPr>
              <w:rPr>
                <w:rFonts w:ascii="Arial" w:hAnsi="Arial" w:cs="Arial"/>
                <w:sz w:val="22"/>
                <w:szCs w:val="22"/>
                <w:lang w:val="en-GB"/>
              </w:rPr>
            </w:pPr>
            <w:r w:rsidRPr="00E4265B">
              <w:rPr>
                <w:rFonts w:ascii="Arial" w:hAnsi="Arial" w:cs="Arial"/>
                <w:sz w:val="22"/>
                <w:szCs w:val="22"/>
                <w:lang w:val="en-GB"/>
              </w:rPr>
              <w:t>engages in that activity in a manner which constitutes the carrying on of a business by him;</w:t>
            </w:r>
          </w:p>
          <w:p w14:paraId="1CF31368" w14:textId="77777777" w:rsidR="00690BF6" w:rsidRPr="00E4265B" w:rsidRDefault="00690BF6" w:rsidP="00276B90">
            <w:pPr>
              <w:pStyle w:val="Heading9"/>
              <w:rPr>
                <w:rFonts w:ascii="Arial" w:hAnsi="Arial" w:cs="Arial"/>
                <w:sz w:val="22"/>
                <w:szCs w:val="22"/>
                <w:lang w:val="en-GB"/>
              </w:rPr>
            </w:pPr>
            <w:r w:rsidRPr="00E4265B">
              <w:rPr>
                <w:rFonts w:ascii="Arial" w:hAnsi="Arial" w:cs="Arial"/>
                <w:sz w:val="22"/>
                <w:szCs w:val="22"/>
                <w:lang w:val="en-GB"/>
              </w:rPr>
              <w:t>holds himself out as willing and able to engage in that activity; or</w:t>
            </w:r>
          </w:p>
          <w:p w14:paraId="343C2E9C" w14:textId="77777777" w:rsidR="00690BF6" w:rsidRPr="00E4265B" w:rsidRDefault="00690BF6" w:rsidP="002721C7">
            <w:pPr>
              <w:pStyle w:val="Heading9"/>
              <w:rPr>
                <w:rFonts w:ascii="Arial" w:hAnsi="Arial" w:cs="Arial"/>
                <w:sz w:val="22"/>
                <w:szCs w:val="22"/>
                <w:lang w:val="en-GB"/>
              </w:rPr>
            </w:pPr>
            <w:r w:rsidRPr="00E4265B">
              <w:rPr>
                <w:rFonts w:ascii="Arial" w:hAnsi="Arial" w:cs="Arial"/>
                <w:sz w:val="22"/>
                <w:szCs w:val="22"/>
                <w:lang w:val="en-GB"/>
              </w:rPr>
              <w:t>regularly solicits other Persons to engage with him in transactions constituting that activity.</w:t>
            </w:r>
          </w:p>
        </w:tc>
      </w:tr>
      <w:tr w:rsidR="00690BF6" w:rsidRPr="00E4265B" w14:paraId="444FC076" w14:textId="77777777" w:rsidTr="00CD1719">
        <w:trPr>
          <w:gridBefore w:val="1"/>
          <w:wBefore w:w="882" w:type="dxa"/>
        </w:trPr>
        <w:tc>
          <w:tcPr>
            <w:tcW w:w="2462" w:type="dxa"/>
          </w:tcPr>
          <w:p w14:paraId="19E8111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Capital Conservation Buffer</w:t>
            </w:r>
          </w:p>
        </w:tc>
        <w:tc>
          <w:tcPr>
            <w:tcW w:w="5188" w:type="dxa"/>
          </w:tcPr>
          <w:p w14:paraId="76E4D86D" w14:textId="00A5C959" w:rsidR="00690BF6" w:rsidRPr="00E4265B" w:rsidRDefault="0069381C" w:rsidP="00FD0BD0">
            <w:pPr>
              <w:spacing w:before="120" w:after="120"/>
              <w:jc w:val="both"/>
              <w:rPr>
                <w:rFonts w:ascii="Arial" w:hAnsi="Arial" w:cs="Arial"/>
                <w:sz w:val="22"/>
                <w:szCs w:val="22"/>
                <w:lang w:val="en-GB"/>
              </w:rPr>
            </w:pPr>
            <w:r w:rsidRPr="00E4265B">
              <w:rPr>
                <w:rFonts w:ascii="Arial" w:hAnsi="Arial" w:cs="Arial"/>
                <w:sz w:val="22"/>
                <w:szCs w:val="22"/>
                <w:lang w:val="en-GB"/>
              </w:rPr>
              <w:t>Means the capital</w:t>
            </w:r>
            <w:r w:rsidR="00FD0BD0" w:rsidRPr="00E4265B">
              <w:rPr>
                <w:rFonts w:ascii="Arial" w:hAnsi="Arial" w:cs="Arial"/>
                <w:sz w:val="22"/>
                <w:szCs w:val="22"/>
                <w:lang w:val="en-GB"/>
              </w:rPr>
              <w:t xml:space="preserve"> buffer requirements as applied</w:t>
            </w:r>
            <w:r w:rsidRPr="00E4265B">
              <w:rPr>
                <w:rFonts w:ascii="Arial" w:hAnsi="Arial" w:cs="Arial"/>
                <w:sz w:val="22"/>
                <w:szCs w:val="22"/>
                <w:lang w:val="en-GB"/>
              </w:rPr>
              <w:t xml:space="preserve"> in Section 3.17.</w:t>
            </w:r>
          </w:p>
        </w:tc>
      </w:tr>
      <w:tr w:rsidR="00690BF6" w:rsidRPr="00E4265B" w14:paraId="63B20E67" w14:textId="77777777" w:rsidTr="00CD1719">
        <w:trPr>
          <w:gridBefore w:val="1"/>
          <w:wBefore w:w="882" w:type="dxa"/>
        </w:trPr>
        <w:tc>
          <w:tcPr>
            <w:tcW w:w="2462" w:type="dxa"/>
          </w:tcPr>
          <w:p w14:paraId="42975A3D"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Capital Requirement</w:t>
            </w:r>
          </w:p>
        </w:tc>
        <w:tc>
          <w:tcPr>
            <w:tcW w:w="5188" w:type="dxa"/>
          </w:tcPr>
          <w:p w14:paraId="436DBB2A" w14:textId="77777777" w:rsidR="00690BF6" w:rsidRPr="00E4265B" w:rsidRDefault="0069381C" w:rsidP="00F80299">
            <w:pPr>
              <w:spacing w:before="120" w:after="120"/>
              <w:jc w:val="both"/>
              <w:rPr>
                <w:rFonts w:ascii="Arial" w:hAnsi="Arial" w:cs="Arial"/>
                <w:sz w:val="22"/>
                <w:szCs w:val="22"/>
                <w:lang w:val="en-GB"/>
              </w:rPr>
            </w:pPr>
            <w:r w:rsidRPr="00E4265B">
              <w:rPr>
                <w:rFonts w:ascii="Arial" w:hAnsi="Arial" w:cs="Arial"/>
                <w:sz w:val="22"/>
                <w:szCs w:val="22"/>
                <w:lang w:val="en-GB"/>
              </w:rPr>
              <w:t>The minimum amount of Capital Resources that an Authorised Person must hold, calculated in accordance with Section 3.4 or 3.6, as applicable.</w:t>
            </w:r>
          </w:p>
        </w:tc>
      </w:tr>
      <w:tr w:rsidR="00690BF6" w:rsidRPr="00E4265B" w14:paraId="2A4E58AE" w14:textId="77777777" w:rsidTr="00CD1719">
        <w:trPr>
          <w:gridBefore w:val="1"/>
          <w:wBefore w:w="882" w:type="dxa"/>
        </w:trPr>
        <w:tc>
          <w:tcPr>
            <w:tcW w:w="2462" w:type="dxa"/>
          </w:tcPr>
          <w:p w14:paraId="40DF5E95"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Capital Resources</w:t>
            </w:r>
          </w:p>
        </w:tc>
        <w:tc>
          <w:tcPr>
            <w:tcW w:w="5188" w:type="dxa"/>
          </w:tcPr>
          <w:p w14:paraId="543C59D0" w14:textId="77777777" w:rsidR="00690BF6" w:rsidRPr="00E4265B" w:rsidRDefault="00690BF6" w:rsidP="0069381C">
            <w:pPr>
              <w:spacing w:before="120" w:after="120"/>
              <w:jc w:val="both"/>
              <w:rPr>
                <w:rFonts w:ascii="Arial" w:hAnsi="Arial" w:cs="Arial"/>
                <w:sz w:val="22"/>
                <w:szCs w:val="22"/>
                <w:lang w:val="en-GB"/>
              </w:rPr>
            </w:pPr>
            <w:r w:rsidRPr="00E4265B">
              <w:rPr>
                <w:rFonts w:ascii="Arial" w:hAnsi="Arial" w:cs="Arial"/>
                <w:sz w:val="22"/>
                <w:szCs w:val="22"/>
                <w:lang w:val="en-GB"/>
              </w:rPr>
              <w:t>The total Capital Resources of an Authorised Person calculated in accordance with Section 3.1</w:t>
            </w:r>
            <w:r w:rsidR="0069381C" w:rsidRPr="00E4265B">
              <w:rPr>
                <w:rFonts w:ascii="Arial" w:hAnsi="Arial" w:cs="Arial"/>
                <w:sz w:val="22"/>
                <w:szCs w:val="22"/>
                <w:lang w:val="en-GB"/>
              </w:rPr>
              <w:t>5</w:t>
            </w:r>
            <w:r w:rsidRPr="00E4265B">
              <w:rPr>
                <w:rFonts w:ascii="Arial" w:hAnsi="Arial" w:cs="Arial"/>
                <w:sz w:val="22"/>
                <w:szCs w:val="22"/>
                <w:lang w:val="en-GB"/>
              </w:rPr>
              <w:t>.</w:t>
            </w:r>
          </w:p>
        </w:tc>
      </w:tr>
      <w:tr w:rsidR="00690BF6" w:rsidRPr="00E4265B" w14:paraId="6B5F42F2" w14:textId="77777777" w:rsidTr="00CD1719">
        <w:trPr>
          <w:gridBefore w:val="1"/>
          <w:wBefore w:w="882" w:type="dxa"/>
        </w:trPr>
        <w:tc>
          <w:tcPr>
            <w:tcW w:w="2462" w:type="dxa"/>
          </w:tcPr>
          <w:p w14:paraId="1AACD61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Carrying Out Contracts of Insurance as Principal</w:t>
            </w:r>
          </w:p>
        </w:tc>
        <w:tc>
          <w:tcPr>
            <w:tcW w:w="5188" w:type="dxa"/>
          </w:tcPr>
          <w:p w14:paraId="739D0F42" w14:textId="77777777" w:rsidR="00690BF6" w:rsidRPr="00E4265B" w:rsidRDefault="00690BF6" w:rsidP="00D44F23">
            <w:pPr>
              <w:spacing w:before="120" w:after="120"/>
              <w:rPr>
                <w:rFonts w:ascii="Arial" w:hAnsi="Arial" w:cs="Arial"/>
                <w:sz w:val="22"/>
                <w:szCs w:val="22"/>
                <w:lang w:val="en-GB"/>
              </w:rPr>
            </w:pPr>
            <w:r w:rsidRPr="00E4265B">
              <w:rPr>
                <w:rFonts w:ascii="Arial" w:hAnsi="Arial" w:cs="Arial"/>
                <w:sz w:val="22"/>
                <w:szCs w:val="22"/>
                <w:lang w:val="en-GB"/>
              </w:rPr>
              <w:t xml:space="preserve">Means the Regulated Activity specified in paragraph </w:t>
            </w:r>
            <w:r w:rsidRPr="00E4265B">
              <w:rPr>
                <w:rFonts w:ascii="Arial" w:hAnsi="Arial" w:cs="Arial"/>
                <w:sz w:val="22"/>
                <w:szCs w:val="22"/>
                <w:cs/>
                <w:lang w:val="en-GB"/>
              </w:rPr>
              <w:t>‎</w:t>
            </w:r>
            <w:r w:rsidRPr="00E4265B">
              <w:rPr>
                <w:rFonts w:ascii="Arial" w:hAnsi="Arial" w:cs="Arial"/>
                <w:sz w:val="22"/>
                <w:szCs w:val="22"/>
                <w:rtl/>
                <w:cs/>
                <w:lang w:val="en-GB"/>
              </w:rPr>
              <w:t>3</w:t>
            </w:r>
            <w:r w:rsidR="00D10C63" w:rsidRPr="00E4265B">
              <w:rPr>
                <w:rFonts w:ascii="Arial" w:hAnsi="Arial" w:cs="Arial"/>
                <w:sz w:val="22"/>
                <w:szCs w:val="22"/>
                <w:lang w:val="en-GB"/>
              </w:rPr>
              <w:t>2</w:t>
            </w:r>
            <w:r w:rsidRPr="00E4265B">
              <w:rPr>
                <w:rFonts w:ascii="Arial" w:hAnsi="Arial" w:cs="Arial"/>
                <w:sz w:val="22"/>
                <w:szCs w:val="22"/>
                <w:lang w:val="en-GB"/>
              </w:rPr>
              <w:t xml:space="preserve"> </w:t>
            </w:r>
            <w:r w:rsidR="00D44F23" w:rsidRPr="00E4265B">
              <w:rPr>
                <w:rFonts w:ascii="Arial" w:hAnsi="Arial" w:cs="Arial"/>
                <w:sz w:val="22"/>
                <w:szCs w:val="22"/>
                <w:lang w:val="en-GB"/>
              </w:rPr>
              <w:t>of Schedule 1 of the FSMR.</w:t>
            </w:r>
          </w:p>
        </w:tc>
      </w:tr>
      <w:tr w:rsidR="00CE663D" w:rsidRPr="00E4265B" w14:paraId="69B57F4C" w14:textId="77777777" w:rsidTr="00CD1719">
        <w:trPr>
          <w:gridBefore w:val="1"/>
          <w:wBefore w:w="882" w:type="dxa"/>
        </w:trPr>
        <w:tc>
          <w:tcPr>
            <w:tcW w:w="2462" w:type="dxa"/>
          </w:tcPr>
          <w:p w14:paraId="057DE3DE" w14:textId="55BFD776" w:rsidR="00CE663D" w:rsidRPr="00E4265B" w:rsidRDefault="00CE663D" w:rsidP="00CE663D">
            <w:pPr>
              <w:spacing w:before="120" w:after="120"/>
              <w:rPr>
                <w:rFonts w:ascii="Arial" w:hAnsi="Arial" w:cs="Arial"/>
                <w:sz w:val="22"/>
                <w:szCs w:val="22"/>
                <w:lang w:val="en-GB"/>
              </w:rPr>
            </w:pPr>
            <w:r w:rsidRPr="00E4265B">
              <w:rPr>
                <w:rFonts w:ascii="Arial" w:hAnsi="Arial" w:cs="Arial"/>
                <w:sz w:val="22"/>
                <w:szCs w:val="22"/>
                <w:lang w:val="en-GB"/>
              </w:rPr>
              <w:t>Carrying Value</w:t>
            </w:r>
          </w:p>
        </w:tc>
        <w:tc>
          <w:tcPr>
            <w:tcW w:w="5188" w:type="dxa"/>
          </w:tcPr>
          <w:p w14:paraId="3BB99C37" w14:textId="77777777" w:rsidR="00CE663D" w:rsidRPr="00E4265B" w:rsidRDefault="00CE663D" w:rsidP="00CE663D">
            <w:pPr>
              <w:spacing w:before="120" w:after="120"/>
              <w:jc w:val="both"/>
              <w:rPr>
                <w:rFonts w:ascii="Arial" w:hAnsi="Arial" w:cs="Arial"/>
                <w:sz w:val="22"/>
                <w:szCs w:val="22"/>
                <w:lang w:val="en-GB"/>
              </w:rPr>
            </w:pPr>
            <w:r w:rsidRPr="00E4265B">
              <w:rPr>
                <w:rFonts w:ascii="Arial" w:hAnsi="Arial" w:cs="Arial"/>
                <w:sz w:val="22"/>
                <w:szCs w:val="22"/>
                <w:lang w:val="en-GB"/>
              </w:rPr>
              <w:t>In relation to:</w:t>
            </w:r>
          </w:p>
          <w:p w14:paraId="5AAAB55B" w14:textId="4F3DA9BC" w:rsidR="00CE663D" w:rsidRPr="00E4265B" w:rsidRDefault="00CE663D" w:rsidP="0019712D">
            <w:pPr>
              <w:pStyle w:val="Heading9"/>
              <w:numPr>
                <w:ilvl w:val="8"/>
                <w:numId w:val="79"/>
              </w:numPr>
              <w:rPr>
                <w:rFonts w:ascii="Arial" w:hAnsi="Arial" w:cs="Arial"/>
                <w:sz w:val="22"/>
                <w:szCs w:val="22"/>
                <w:lang w:val="en-GB"/>
              </w:rPr>
            </w:pPr>
            <w:r w:rsidRPr="00E4265B">
              <w:rPr>
                <w:rFonts w:ascii="Arial" w:hAnsi="Arial" w:cs="Arial"/>
                <w:sz w:val="22"/>
                <w:szCs w:val="22"/>
                <w:lang w:val="en-GB"/>
              </w:rPr>
              <w:t>a liability or equity instrument the amount at which the liability or equity instrument is recorded before the application of any regulatory deductions, filters or other adjustments, as determined in accordance with the International Financial Reporting Standards; or</w:t>
            </w:r>
          </w:p>
          <w:p w14:paraId="499B666F" w14:textId="5368AA25" w:rsidR="00CE663D" w:rsidRPr="00E4265B" w:rsidRDefault="00CE663D" w:rsidP="00CE663D">
            <w:pPr>
              <w:pStyle w:val="Heading9"/>
              <w:rPr>
                <w:rFonts w:ascii="Arial" w:hAnsi="Arial" w:cs="Arial"/>
                <w:sz w:val="22"/>
                <w:szCs w:val="22"/>
                <w:lang w:val="en-GB"/>
              </w:rPr>
            </w:pPr>
            <w:r w:rsidRPr="00E4265B">
              <w:rPr>
                <w:rFonts w:ascii="Arial" w:hAnsi="Arial" w:cs="Arial"/>
                <w:sz w:val="22"/>
                <w:szCs w:val="22"/>
                <w:lang w:val="en-GB"/>
              </w:rPr>
              <w:t>an asset the amount at which the asset is recorded, net of specific allowances, as determined in accordance with the International Financial Reporting Standards.</w:t>
            </w:r>
          </w:p>
        </w:tc>
      </w:tr>
      <w:tr w:rsidR="00690BF6" w:rsidRPr="00E4265B" w14:paraId="61DC9283" w14:textId="77777777" w:rsidTr="00CD1719">
        <w:trPr>
          <w:gridBefore w:val="1"/>
          <w:wBefore w:w="882" w:type="dxa"/>
        </w:trPr>
        <w:tc>
          <w:tcPr>
            <w:tcW w:w="2462" w:type="dxa"/>
          </w:tcPr>
          <w:p w14:paraId="40983460"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Category</w:t>
            </w:r>
          </w:p>
        </w:tc>
        <w:tc>
          <w:tcPr>
            <w:tcW w:w="5188" w:type="dxa"/>
          </w:tcPr>
          <w:p w14:paraId="2A1E2776"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prudential grouping of Authorised Persons which determines the application of these Rules.</w:t>
            </w:r>
          </w:p>
        </w:tc>
      </w:tr>
      <w:tr w:rsidR="00690BF6" w:rsidRPr="00E4265B" w14:paraId="11025C50" w14:textId="77777777" w:rsidTr="00CD1719">
        <w:trPr>
          <w:gridBefore w:val="1"/>
          <w:wBefore w:w="882" w:type="dxa"/>
        </w:trPr>
        <w:tc>
          <w:tcPr>
            <w:tcW w:w="2462" w:type="dxa"/>
          </w:tcPr>
          <w:p w14:paraId="65ED91B7"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CCF</w:t>
            </w:r>
          </w:p>
        </w:tc>
        <w:tc>
          <w:tcPr>
            <w:tcW w:w="5188" w:type="dxa"/>
          </w:tcPr>
          <w:p w14:paraId="65FC096C"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Credit conversion factor.</w:t>
            </w:r>
          </w:p>
        </w:tc>
      </w:tr>
      <w:tr w:rsidR="0069381C" w:rsidRPr="00E4265B" w14:paraId="28842080" w14:textId="77777777" w:rsidTr="00CD1719">
        <w:trPr>
          <w:gridBefore w:val="1"/>
          <w:wBefore w:w="882" w:type="dxa"/>
        </w:trPr>
        <w:tc>
          <w:tcPr>
            <w:tcW w:w="2462" w:type="dxa"/>
          </w:tcPr>
          <w:p w14:paraId="229C2801" w14:textId="77777777" w:rsidR="0069381C" w:rsidRPr="00E4265B" w:rsidRDefault="0069381C" w:rsidP="00F80299">
            <w:pPr>
              <w:spacing w:before="120" w:after="120"/>
              <w:rPr>
                <w:rFonts w:ascii="Arial" w:hAnsi="Arial" w:cs="Arial"/>
                <w:sz w:val="22"/>
                <w:szCs w:val="22"/>
                <w:lang w:val="en-GB"/>
              </w:rPr>
            </w:pPr>
            <w:r w:rsidRPr="00E4265B">
              <w:rPr>
                <w:rFonts w:ascii="Arial" w:hAnsi="Arial" w:cs="Arial"/>
                <w:sz w:val="22"/>
                <w:szCs w:val="22"/>
                <w:lang w:val="en-GB"/>
              </w:rPr>
              <w:t>CCP</w:t>
            </w:r>
          </w:p>
        </w:tc>
        <w:tc>
          <w:tcPr>
            <w:tcW w:w="5188" w:type="dxa"/>
          </w:tcPr>
          <w:p w14:paraId="5BB77804" w14:textId="77777777" w:rsidR="0069381C" w:rsidRPr="00E4265B" w:rsidRDefault="0069381C" w:rsidP="00F80299">
            <w:pPr>
              <w:spacing w:before="120" w:after="120"/>
              <w:jc w:val="both"/>
              <w:rPr>
                <w:rFonts w:ascii="Arial" w:hAnsi="Arial" w:cs="Arial"/>
                <w:sz w:val="22"/>
                <w:szCs w:val="22"/>
                <w:lang w:val="en-GB"/>
              </w:rPr>
            </w:pPr>
            <w:r w:rsidRPr="00E4265B">
              <w:rPr>
                <w:rFonts w:ascii="Arial" w:hAnsi="Arial" w:cs="Arial"/>
                <w:sz w:val="22"/>
                <w:szCs w:val="22"/>
                <w:lang w:val="en-GB"/>
              </w:rPr>
              <w:t>Means a central counterparty.</w:t>
            </w:r>
          </w:p>
        </w:tc>
      </w:tr>
      <w:tr w:rsidR="00690BF6" w:rsidRPr="00E4265B" w14:paraId="41C1B573" w14:textId="77777777" w:rsidTr="00CD1719">
        <w:trPr>
          <w:gridBefore w:val="1"/>
          <w:wBefore w:w="882" w:type="dxa"/>
        </w:trPr>
        <w:tc>
          <w:tcPr>
            <w:tcW w:w="2462" w:type="dxa"/>
          </w:tcPr>
          <w:p w14:paraId="6FDF895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CEA</w:t>
            </w:r>
          </w:p>
        </w:tc>
        <w:tc>
          <w:tcPr>
            <w:tcW w:w="5188" w:type="dxa"/>
          </w:tcPr>
          <w:p w14:paraId="6DA3D8D1"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Credit equivalent amount.</w:t>
            </w:r>
          </w:p>
        </w:tc>
      </w:tr>
      <w:tr w:rsidR="00690BF6" w:rsidRPr="00E4265B" w14:paraId="0A12E82D" w14:textId="77777777" w:rsidTr="00CD1719">
        <w:trPr>
          <w:gridBefore w:val="1"/>
          <w:wBefore w:w="882" w:type="dxa"/>
        </w:trPr>
        <w:tc>
          <w:tcPr>
            <w:tcW w:w="2462" w:type="dxa"/>
          </w:tcPr>
          <w:p w14:paraId="3F5AC96E"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Central Bank</w:t>
            </w:r>
          </w:p>
        </w:tc>
        <w:tc>
          <w:tcPr>
            <w:tcW w:w="5188" w:type="dxa"/>
          </w:tcPr>
          <w:p w14:paraId="18EE53D6" w14:textId="77777777" w:rsidR="00690BF6" w:rsidRPr="00E4265B" w:rsidRDefault="00690BF6" w:rsidP="0069381C">
            <w:pPr>
              <w:spacing w:before="120" w:after="120"/>
              <w:jc w:val="both"/>
              <w:rPr>
                <w:rFonts w:ascii="Arial" w:hAnsi="Arial" w:cs="Arial"/>
                <w:sz w:val="22"/>
                <w:szCs w:val="22"/>
                <w:lang w:val="en-GB"/>
              </w:rPr>
            </w:pPr>
            <w:r w:rsidRPr="00E4265B">
              <w:rPr>
                <w:rFonts w:ascii="Arial" w:hAnsi="Arial" w:cs="Arial"/>
                <w:sz w:val="22"/>
                <w:szCs w:val="22"/>
                <w:lang w:val="en-GB"/>
              </w:rPr>
              <w:t>The Central Bank of the UAE.</w:t>
            </w:r>
          </w:p>
        </w:tc>
      </w:tr>
      <w:tr w:rsidR="00690BF6" w:rsidRPr="00E4265B" w14:paraId="6A53F151" w14:textId="77777777" w:rsidTr="00CD1719">
        <w:trPr>
          <w:gridBefore w:val="1"/>
          <w:wBefore w:w="882" w:type="dxa"/>
        </w:trPr>
        <w:tc>
          <w:tcPr>
            <w:tcW w:w="2462" w:type="dxa"/>
          </w:tcPr>
          <w:p w14:paraId="1261B90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Certificate</w:t>
            </w:r>
          </w:p>
        </w:tc>
        <w:tc>
          <w:tcPr>
            <w:tcW w:w="5188" w:type="dxa"/>
          </w:tcPr>
          <w:p w14:paraId="4A0306BF"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Certificate is an instrument:</w:t>
            </w:r>
          </w:p>
          <w:p w14:paraId="7126ADBE" w14:textId="5492AD3D" w:rsidR="00690BF6" w:rsidRPr="00E4265B" w:rsidRDefault="0069381C" w:rsidP="0019712D">
            <w:pPr>
              <w:pStyle w:val="Heading9"/>
              <w:numPr>
                <w:ilvl w:val="8"/>
                <w:numId w:val="61"/>
              </w:numPr>
              <w:rPr>
                <w:rFonts w:ascii="Arial" w:hAnsi="Arial" w:cs="Arial"/>
                <w:sz w:val="22"/>
                <w:szCs w:val="22"/>
                <w:lang w:val="en-GB"/>
              </w:rPr>
            </w:pPr>
            <w:r w:rsidRPr="00E4265B">
              <w:rPr>
                <w:rFonts w:ascii="Arial" w:hAnsi="Arial" w:cs="Arial"/>
                <w:sz w:val="22"/>
                <w:szCs w:val="22"/>
                <w:lang w:val="en-GB"/>
              </w:rPr>
              <w:t xml:space="preserve">which confers on the holder contractual </w:t>
            </w:r>
            <w:r w:rsidR="00862850" w:rsidRPr="00E4265B">
              <w:rPr>
                <w:rFonts w:ascii="Arial" w:hAnsi="Arial" w:cs="Arial"/>
                <w:sz w:val="22"/>
                <w:szCs w:val="22"/>
                <w:lang w:val="en-GB"/>
              </w:rPr>
              <w:t xml:space="preserve">or </w:t>
            </w:r>
            <w:r w:rsidRPr="00E4265B">
              <w:rPr>
                <w:rFonts w:ascii="Arial" w:hAnsi="Arial" w:cs="Arial"/>
                <w:sz w:val="22"/>
                <w:szCs w:val="22"/>
                <w:lang w:val="en-GB"/>
              </w:rPr>
              <w:t>property rights to or in respect of a Share, Debenture, Unit or Warrant held by a Person; and</w:t>
            </w:r>
          </w:p>
          <w:p w14:paraId="73E4427D" w14:textId="77777777" w:rsidR="00690BF6" w:rsidRPr="00E4265B" w:rsidRDefault="00690BF6" w:rsidP="00276B90">
            <w:pPr>
              <w:pStyle w:val="Heading9"/>
              <w:rPr>
                <w:rFonts w:ascii="Arial" w:hAnsi="Arial" w:cs="Arial"/>
                <w:sz w:val="22"/>
                <w:szCs w:val="22"/>
                <w:lang w:val="en-GB"/>
              </w:rPr>
            </w:pPr>
            <w:r w:rsidRPr="00E4265B">
              <w:rPr>
                <w:rFonts w:ascii="Arial" w:hAnsi="Arial" w:cs="Arial"/>
                <w:sz w:val="22"/>
                <w:szCs w:val="22"/>
                <w:lang w:val="en-GB"/>
              </w:rPr>
              <w:t xml:space="preserve">the transfer of which may be effected by the holder without the consent of that other Person; </w:t>
            </w:r>
          </w:p>
          <w:p w14:paraId="16D7A7FA"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but excludes rights under an Option.</w:t>
            </w:r>
          </w:p>
        </w:tc>
      </w:tr>
      <w:tr w:rsidR="00690BF6" w:rsidRPr="00E4265B" w14:paraId="1794F1EC" w14:textId="77777777" w:rsidTr="00CD1719">
        <w:trPr>
          <w:gridBefore w:val="1"/>
          <w:wBefore w:w="882" w:type="dxa"/>
        </w:trPr>
        <w:tc>
          <w:tcPr>
            <w:tcW w:w="2462" w:type="dxa"/>
          </w:tcPr>
          <w:p w14:paraId="315DA5E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CET1</w:t>
            </w:r>
          </w:p>
        </w:tc>
        <w:tc>
          <w:tcPr>
            <w:tcW w:w="5188" w:type="dxa"/>
          </w:tcPr>
          <w:p w14:paraId="70B2D4A7"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 xml:space="preserve">Common </w:t>
            </w:r>
            <w:r w:rsidR="0069381C" w:rsidRPr="00E4265B">
              <w:rPr>
                <w:rFonts w:ascii="Arial" w:hAnsi="Arial" w:cs="Arial"/>
                <w:sz w:val="22"/>
                <w:szCs w:val="22"/>
                <w:lang w:val="en-GB"/>
              </w:rPr>
              <w:t xml:space="preserve">Equity Tier </w:t>
            </w:r>
            <w:r w:rsidRPr="00E4265B">
              <w:rPr>
                <w:rFonts w:ascii="Arial" w:hAnsi="Arial" w:cs="Arial"/>
                <w:sz w:val="22"/>
                <w:szCs w:val="22"/>
                <w:lang w:val="en-GB"/>
              </w:rPr>
              <w:t>1.</w:t>
            </w:r>
          </w:p>
        </w:tc>
      </w:tr>
      <w:tr w:rsidR="00690BF6" w:rsidRPr="00E4265B" w14:paraId="38AA2A37" w14:textId="77777777" w:rsidTr="00CD1719">
        <w:trPr>
          <w:gridBefore w:val="1"/>
          <w:wBefore w:w="882" w:type="dxa"/>
        </w:trPr>
        <w:tc>
          <w:tcPr>
            <w:tcW w:w="2462" w:type="dxa"/>
          </w:tcPr>
          <w:p w14:paraId="4811A9E6"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CET1 Capital</w:t>
            </w:r>
          </w:p>
        </w:tc>
        <w:tc>
          <w:tcPr>
            <w:tcW w:w="5188" w:type="dxa"/>
          </w:tcPr>
          <w:p w14:paraId="68AFBB1D" w14:textId="77777777" w:rsidR="00690BF6" w:rsidRPr="00E4265B" w:rsidRDefault="00690BF6" w:rsidP="0069381C">
            <w:pPr>
              <w:spacing w:before="120" w:after="120"/>
              <w:jc w:val="both"/>
              <w:rPr>
                <w:rFonts w:ascii="Arial" w:hAnsi="Arial" w:cs="Arial"/>
                <w:sz w:val="22"/>
                <w:szCs w:val="22"/>
                <w:lang w:val="en-GB"/>
              </w:rPr>
            </w:pPr>
            <w:r w:rsidRPr="00E4265B">
              <w:rPr>
                <w:rFonts w:ascii="Arial" w:hAnsi="Arial" w:cs="Arial"/>
                <w:sz w:val="22"/>
                <w:szCs w:val="22"/>
                <w:lang w:val="en-GB"/>
              </w:rPr>
              <w:t>Has the meaning given in Section 3.1</w:t>
            </w:r>
            <w:r w:rsidR="0069381C" w:rsidRPr="00E4265B">
              <w:rPr>
                <w:rFonts w:ascii="Arial" w:hAnsi="Arial" w:cs="Arial"/>
                <w:sz w:val="22"/>
                <w:szCs w:val="22"/>
                <w:lang w:val="en-GB"/>
              </w:rPr>
              <w:t>0</w:t>
            </w:r>
            <w:r w:rsidRPr="00E4265B">
              <w:rPr>
                <w:rFonts w:ascii="Arial" w:hAnsi="Arial" w:cs="Arial"/>
                <w:sz w:val="22"/>
                <w:szCs w:val="22"/>
                <w:lang w:val="en-GB"/>
              </w:rPr>
              <w:t>.</w:t>
            </w:r>
          </w:p>
        </w:tc>
      </w:tr>
      <w:tr w:rsidR="00690BF6" w:rsidRPr="00E4265B" w14:paraId="62DFDA7A" w14:textId="77777777" w:rsidTr="00CD1719">
        <w:trPr>
          <w:gridBefore w:val="1"/>
          <w:wBefore w:w="882" w:type="dxa"/>
        </w:trPr>
        <w:tc>
          <w:tcPr>
            <w:tcW w:w="2462" w:type="dxa"/>
          </w:tcPr>
          <w:p w14:paraId="73226249"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Clean</w:t>
            </w:r>
            <w:r w:rsidRPr="00E4265B">
              <w:rPr>
                <w:rFonts w:ascii="Arial" w:hAnsi="Arial" w:cs="Arial"/>
                <w:sz w:val="22"/>
                <w:szCs w:val="22"/>
                <w:lang w:val="en-GB"/>
              </w:rPr>
              <w:noBreakHyphen/>
              <w:t>Up Call</w:t>
            </w:r>
          </w:p>
        </w:tc>
        <w:tc>
          <w:tcPr>
            <w:tcW w:w="5188" w:type="dxa"/>
          </w:tcPr>
          <w:p w14:paraId="0921705A"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 Option that permits the SE Exposures (e.g. asset</w:t>
            </w:r>
            <w:r w:rsidRPr="00E4265B">
              <w:rPr>
                <w:rFonts w:ascii="Arial" w:hAnsi="Arial" w:cs="Arial"/>
                <w:sz w:val="22"/>
                <w:szCs w:val="22"/>
                <w:lang w:val="en-GB"/>
              </w:rPr>
              <w:noBreakHyphen/>
              <w:t>backed Securities) to be called before all of the underlying Exposures or SE Exposures have been repaid. In the case of Traditional Securitisations, this is generally accomplished by repurchasing the remaining SE Exposures once the pool balance or outstanding Securities have fallen below some specified level. In the case of a synthetic Exposure, the Clean</w:t>
            </w:r>
            <w:r w:rsidRPr="00E4265B">
              <w:rPr>
                <w:rFonts w:ascii="Arial" w:hAnsi="Arial" w:cs="Arial"/>
                <w:sz w:val="22"/>
                <w:szCs w:val="22"/>
                <w:lang w:val="en-GB"/>
              </w:rPr>
              <w:noBreakHyphen/>
              <w:t>Up Call may take the form of a clause that extinguishes the credit protection.</w:t>
            </w:r>
          </w:p>
        </w:tc>
      </w:tr>
      <w:tr w:rsidR="00690BF6" w:rsidRPr="00E4265B" w14:paraId="054B2D0E" w14:textId="77777777" w:rsidTr="00CD1719">
        <w:trPr>
          <w:gridBefore w:val="1"/>
          <w:wBefore w:w="882" w:type="dxa"/>
        </w:trPr>
        <w:tc>
          <w:tcPr>
            <w:tcW w:w="2462" w:type="dxa"/>
          </w:tcPr>
          <w:p w14:paraId="40CD537C"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Client</w:t>
            </w:r>
          </w:p>
        </w:tc>
        <w:tc>
          <w:tcPr>
            <w:tcW w:w="5188" w:type="dxa"/>
          </w:tcPr>
          <w:p w14:paraId="20089BBC" w14:textId="77777777" w:rsidR="00690BF6" w:rsidRPr="00E4265B" w:rsidRDefault="00690BF6" w:rsidP="00276B90">
            <w:pPr>
              <w:spacing w:before="120" w:after="120"/>
              <w:rPr>
                <w:rFonts w:ascii="Arial" w:hAnsi="Arial" w:cs="Arial"/>
                <w:sz w:val="22"/>
                <w:szCs w:val="22"/>
                <w:lang w:val="en-GB"/>
              </w:rPr>
            </w:pPr>
            <w:r w:rsidRPr="00E4265B">
              <w:rPr>
                <w:rFonts w:ascii="Arial" w:hAnsi="Arial" w:cs="Arial"/>
                <w:sz w:val="22"/>
                <w:szCs w:val="22"/>
                <w:lang w:val="en-GB"/>
              </w:rPr>
              <w:t>A Retail Client, Professional Client or Market Counterparty.</w:t>
            </w:r>
          </w:p>
        </w:tc>
      </w:tr>
      <w:tr w:rsidR="00690BF6" w:rsidRPr="00E4265B" w14:paraId="3686A0CE" w14:textId="77777777" w:rsidTr="00CD1719">
        <w:trPr>
          <w:gridBefore w:val="1"/>
          <w:wBefore w:w="882" w:type="dxa"/>
        </w:trPr>
        <w:tc>
          <w:tcPr>
            <w:tcW w:w="2462" w:type="dxa"/>
          </w:tcPr>
          <w:p w14:paraId="300C1694"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Client Assets</w:t>
            </w:r>
          </w:p>
        </w:tc>
        <w:tc>
          <w:tcPr>
            <w:tcW w:w="5188" w:type="dxa"/>
          </w:tcPr>
          <w:p w14:paraId="5ACAF0D9"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Means Client Money and Client Investments.</w:t>
            </w:r>
          </w:p>
        </w:tc>
      </w:tr>
      <w:tr w:rsidR="00690BF6" w:rsidRPr="00E4265B" w14:paraId="4C2C3607" w14:textId="77777777" w:rsidTr="00CD1719">
        <w:trPr>
          <w:gridBefore w:val="1"/>
          <w:wBefore w:w="882" w:type="dxa"/>
        </w:trPr>
        <w:tc>
          <w:tcPr>
            <w:tcW w:w="2462" w:type="dxa"/>
          </w:tcPr>
          <w:p w14:paraId="65D3CED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Client Investments</w:t>
            </w:r>
          </w:p>
        </w:tc>
        <w:tc>
          <w:tcPr>
            <w:tcW w:w="5188" w:type="dxa"/>
          </w:tcPr>
          <w:p w14:paraId="09B3A777"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Means all Investments held or controlled by an Authorised Person on behalf of a Client in the course of, or in connection with the carrying on of Investment Business.</w:t>
            </w:r>
          </w:p>
        </w:tc>
      </w:tr>
      <w:tr w:rsidR="00690BF6" w:rsidRPr="00E4265B" w14:paraId="5BDC5C6B" w14:textId="77777777" w:rsidTr="00CD1719">
        <w:trPr>
          <w:gridBefore w:val="1"/>
          <w:wBefore w:w="882" w:type="dxa"/>
        </w:trPr>
        <w:tc>
          <w:tcPr>
            <w:tcW w:w="2462" w:type="dxa"/>
          </w:tcPr>
          <w:p w14:paraId="5721946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Client Money</w:t>
            </w:r>
          </w:p>
        </w:tc>
        <w:tc>
          <w:tcPr>
            <w:tcW w:w="5188" w:type="dxa"/>
          </w:tcPr>
          <w:p w14:paraId="3E479999" w14:textId="77777777" w:rsidR="00690BF6" w:rsidRPr="00E4265B" w:rsidRDefault="00B34070" w:rsidP="00B34070">
            <w:pPr>
              <w:pStyle w:val="Heading9"/>
              <w:numPr>
                <w:ilvl w:val="0"/>
                <w:numId w:val="0"/>
              </w:numPr>
              <w:rPr>
                <w:rFonts w:ascii="Arial" w:hAnsi="Arial" w:cs="Arial"/>
                <w:sz w:val="22"/>
                <w:szCs w:val="22"/>
                <w:lang w:val="en-GB"/>
              </w:rPr>
            </w:pPr>
            <w:r w:rsidRPr="00E4265B">
              <w:rPr>
                <w:rFonts w:ascii="Arial" w:hAnsi="Arial" w:cs="Arial"/>
                <w:snapToGrid w:val="0"/>
                <w:sz w:val="22"/>
                <w:szCs w:val="22"/>
                <w:lang w:val="en-GB"/>
              </w:rPr>
              <w:t xml:space="preserve">Means money of any currency which an Authorised Person holds on behalf of a Client (including any </w:t>
            </w:r>
            <w:r w:rsidRPr="00E4265B">
              <w:rPr>
                <w:rFonts w:ascii="Arial" w:eastAsia="Times New Roman" w:hAnsi="Arial" w:cs="Arial"/>
                <w:snapToGrid w:val="0"/>
                <w:sz w:val="22"/>
                <w:szCs w:val="22"/>
                <w:lang w:val="en-GB"/>
              </w:rPr>
              <w:t>receivables</w:t>
            </w:r>
            <w:r w:rsidRPr="00E4265B">
              <w:rPr>
                <w:rFonts w:ascii="Arial" w:hAnsi="Arial" w:cs="Arial"/>
                <w:snapToGrid w:val="0"/>
                <w:sz w:val="22"/>
                <w:szCs w:val="22"/>
                <w:lang w:val="en-GB"/>
              </w:rPr>
              <w:t xml:space="preserve"> of the Authorised Person in respect of bank accounts or clearing or brokerage accounts) </w:t>
            </w:r>
            <w:r w:rsidRPr="00E4265B">
              <w:rPr>
                <w:rFonts w:ascii="Arial" w:hAnsi="Arial" w:cs="Arial"/>
                <w:snapToGrid w:val="0"/>
                <w:sz w:val="22"/>
                <w:szCs w:val="22"/>
                <w:lang w:val="en-GB"/>
              </w:rPr>
              <w:lastRenderedPageBreak/>
              <w:t>or which an Authorised Person treats as Client Money, subject to the exclusions in COBS 14.2.6.</w:t>
            </w:r>
          </w:p>
        </w:tc>
      </w:tr>
      <w:tr w:rsidR="00690BF6" w:rsidRPr="00E4265B" w14:paraId="06B369B7" w14:textId="77777777" w:rsidTr="00CD1719">
        <w:trPr>
          <w:gridBefore w:val="1"/>
          <w:wBefore w:w="882" w:type="dxa"/>
        </w:trPr>
        <w:tc>
          <w:tcPr>
            <w:tcW w:w="2462" w:type="dxa"/>
          </w:tcPr>
          <w:p w14:paraId="2FD26CE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CLN</w:t>
            </w:r>
          </w:p>
        </w:tc>
        <w:tc>
          <w:tcPr>
            <w:tcW w:w="5188" w:type="dxa"/>
          </w:tcPr>
          <w:p w14:paraId="36A8D9AC" w14:textId="77777777" w:rsidR="00690BF6" w:rsidRPr="00E4265B" w:rsidRDefault="00690BF6" w:rsidP="004D3979">
            <w:pPr>
              <w:spacing w:before="120" w:after="120"/>
              <w:jc w:val="both"/>
              <w:rPr>
                <w:rFonts w:ascii="Arial" w:hAnsi="Arial" w:cs="Arial"/>
                <w:sz w:val="22"/>
                <w:szCs w:val="22"/>
                <w:lang w:val="en-GB"/>
              </w:rPr>
            </w:pPr>
            <w:r w:rsidRPr="00E4265B">
              <w:rPr>
                <w:rFonts w:ascii="Arial" w:hAnsi="Arial" w:cs="Arial"/>
                <w:sz w:val="22"/>
                <w:szCs w:val="22"/>
                <w:lang w:val="en-GB"/>
              </w:rPr>
              <w:t>Credit-linked note.</w:t>
            </w:r>
          </w:p>
        </w:tc>
      </w:tr>
      <w:tr w:rsidR="00690BF6" w:rsidRPr="00E4265B" w14:paraId="31E20F15" w14:textId="77777777" w:rsidTr="00CD1719">
        <w:trPr>
          <w:gridBefore w:val="1"/>
          <w:wBefore w:w="882" w:type="dxa"/>
        </w:trPr>
        <w:tc>
          <w:tcPr>
            <w:tcW w:w="2462" w:type="dxa"/>
          </w:tcPr>
          <w:p w14:paraId="2BEB36DF"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Close Links</w:t>
            </w:r>
          </w:p>
        </w:tc>
        <w:tc>
          <w:tcPr>
            <w:tcW w:w="5188" w:type="dxa"/>
          </w:tcPr>
          <w:p w14:paraId="79A4D4FC"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Person (Person A) has Close Links with a Person (Person B) if:</w:t>
            </w:r>
          </w:p>
          <w:p w14:paraId="438BCECB" w14:textId="77777777" w:rsidR="00690BF6" w:rsidRPr="00E4265B" w:rsidRDefault="00690BF6" w:rsidP="00D13883">
            <w:pPr>
              <w:pStyle w:val="Heading9"/>
              <w:numPr>
                <w:ilvl w:val="8"/>
                <w:numId w:val="35"/>
              </w:numPr>
              <w:rPr>
                <w:rFonts w:ascii="Arial" w:hAnsi="Arial" w:cs="Arial"/>
                <w:sz w:val="22"/>
                <w:szCs w:val="22"/>
                <w:lang w:val="en-GB"/>
              </w:rPr>
            </w:pPr>
            <w:r w:rsidRPr="00E4265B">
              <w:rPr>
                <w:rFonts w:ascii="Arial" w:hAnsi="Arial" w:cs="Arial"/>
                <w:sz w:val="22"/>
                <w:szCs w:val="22"/>
                <w:lang w:val="en-GB"/>
              </w:rPr>
              <w:t>Person B:</w:t>
            </w:r>
          </w:p>
          <w:p w14:paraId="65891657" w14:textId="77777777" w:rsidR="00690BF6" w:rsidRPr="00E4265B" w:rsidRDefault="00690BF6" w:rsidP="00276B90">
            <w:pPr>
              <w:spacing w:before="120" w:after="120"/>
              <w:ind w:left="1782" w:hanging="630"/>
              <w:jc w:val="both"/>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is a Holding Company of Person A;</w:t>
            </w:r>
          </w:p>
          <w:p w14:paraId="572AE437" w14:textId="77777777" w:rsidR="00690BF6" w:rsidRPr="00E4265B" w:rsidRDefault="00690BF6" w:rsidP="00276B90">
            <w:pPr>
              <w:spacing w:before="120" w:after="120"/>
              <w:ind w:left="1782" w:hanging="630"/>
              <w:jc w:val="both"/>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is a Subsidiary of Person A;</w:t>
            </w:r>
          </w:p>
          <w:p w14:paraId="2381FF4E" w14:textId="77777777" w:rsidR="00690BF6" w:rsidRPr="00E4265B" w:rsidRDefault="00690BF6" w:rsidP="00276B90">
            <w:pPr>
              <w:spacing w:before="120" w:after="120"/>
              <w:ind w:left="1782" w:hanging="630"/>
              <w:jc w:val="both"/>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is a Holding Company of the Subsidiary of Person A;</w:t>
            </w:r>
          </w:p>
          <w:p w14:paraId="4D2C0756" w14:textId="01970318" w:rsidR="00690BF6" w:rsidRPr="00E4265B" w:rsidRDefault="00690BF6" w:rsidP="00276B90">
            <w:pPr>
              <w:spacing w:before="120" w:after="120"/>
              <w:ind w:left="1782" w:hanging="630"/>
              <w:jc w:val="both"/>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is a Subsidiary of a</w:t>
            </w:r>
            <w:r w:rsidR="0069381C" w:rsidRPr="00E4265B">
              <w:rPr>
                <w:rFonts w:ascii="Arial" w:hAnsi="Arial" w:cs="Arial"/>
                <w:sz w:val="22"/>
                <w:szCs w:val="22"/>
                <w:lang w:val="en-GB"/>
              </w:rPr>
              <w:t xml:space="preserve"> Holding Company of Person A; </w:t>
            </w:r>
            <w:r w:rsidR="00A51D3E" w:rsidRPr="00E4265B">
              <w:rPr>
                <w:rFonts w:ascii="Arial" w:hAnsi="Arial" w:cs="Arial"/>
                <w:sz w:val="22"/>
                <w:szCs w:val="22"/>
                <w:lang w:val="en-GB"/>
              </w:rPr>
              <w:t>or</w:t>
            </w:r>
          </w:p>
          <w:p w14:paraId="2D224A55" w14:textId="77777777" w:rsidR="00690BF6" w:rsidRPr="00E4265B" w:rsidRDefault="00690BF6" w:rsidP="00276B90">
            <w:pPr>
              <w:spacing w:before="120" w:after="120"/>
              <w:ind w:left="1782" w:hanging="630"/>
              <w:jc w:val="both"/>
              <w:rPr>
                <w:rFonts w:ascii="Arial" w:hAnsi="Arial" w:cs="Arial"/>
                <w:sz w:val="22"/>
                <w:szCs w:val="22"/>
                <w:lang w:val="en-GB"/>
              </w:rPr>
            </w:pPr>
            <w:r w:rsidRPr="00E4265B">
              <w:rPr>
                <w:rFonts w:ascii="Arial" w:hAnsi="Arial" w:cs="Arial"/>
                <w:sz w:val="22"/>
                <w:szCs w:val="22"/>
                <w:lang w:val="en-GB"/>
              </w:rPr>
              <w:t>(v)</w:t>
            </w:r>
            <w:r w:rsidRPr="00E4265B">
              <w:rPr>
                <w:rFonts w:ascii="Arial" w:hAnsi="Arial" w:cs="Arial"/>
                <w:sz w:val="22"/>
                <w:szCs w:val="22"/>
                <w:lang w:val="en-GB"/>
              </w:rPr>
              <w:tab/>
              <w:t>owns and controls 20% or more of the voting rights or Shares of Person A; or</w:t>
            </w:r>
          </w:p>
          <w:p w14:paraId="178A5B6C" w14:textId="77777777" w:rsidR="00690BF6" w:rsidRPr="00E4265B" w:rsidRDefault="00690BF6" w:rsidP="00883C04">
            <w:pPr>
              <w:pStyle w:val="Heading9"/>
              <w:rPr>
                <w:rFonts w:ascii="Arial" w:hAnsi="Arial" w:cs="Arial"/>
                <w:b/>
                <w:sz w:val="22"/>
                <w:szCs w:val="22"/>
                <w:lang w:val="en-GB"/>
              </w:rPr>
            </w:pPr>
            <w:r w:rsidRPr="00E4265B">
              <w:rPr>
                <w:rFonts w:ascii="Arial" w:hAnsi="Arial" w:cs="Arial"/>
                <w:sz w:val="22"/>
                <w:szCs w:val="22"/>
                <w:lang w:val="en-GB"/>
              </w:rPr>
              <w:t>Person A owns and controls 20% or more of the voting rights or Shares of Person B.</w:t>
            </w:r>
          </w:p>
        </w:tc>
      </w:tr>
      <w:tr w:rsidR="00690BF6" w:rsidRPr="00E4265B" w14:paraId="329BBF91" w14:textId="77777777" w:rsidTr="00CD1719">
        <w:trPr>
          <w:gridBefore w:val="1"/>
          <w:wBefore w:w="882" w:type="dxa"/>
        </w:trPr>
        <w:tc>
          <w:tcPr>
            <w:tcW w:w="2462" w:type="dxa"/>
          </w:tcPr>
          <w:p w14:paraId="4869721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Close Relative</w:t>
            </w:r>
          </w:p>
        </w:tc>
        <w:tc>
          <w:tcPr>
            <w:tcW w:w="5188" w:type="dxa"/>
          </w:tcPr>
          <w:p w14:paraId="104AD7EA"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In relation to any individual:</w:t>
            </w:r>
          </w:p>
          <w:p w14:paraId="2249F3A4" w14:textId="77777777" w:rsidR="00690BF6" w:rsidRPr="00E4265B" w:rsidRDefault="00690BF6" w:rsidP="00D13883">
            <w:pPr>
              <w:pStyle w:val="Heading9"/>
              <w:numPr>
                <w:ilvl w:val="8"/>
                <w:numId w:val="36"/>
              </w:numPr>
              <w:rPr>
                <w:rFonts w:ascii="Arial" w:hAnsi="Arial" w:cs="Arial"/>
                <w:sz w:val="22"/>
                <w:szCs w:val="22"/>
                <w:lang w:val="en-GB"/>
              </w:rPr>
            </w:pPr>
            <w:r w:rsidRPr="00E4265B">
              <w:rPr>
                <w:rFonts w:ascii="Arial" w:hAnsi="Arial" w:cs="Arial"/>
                <w:sz w:val="22"/>
                <w:szCs w:val="22"/>
                <w:lang w:val="en-GB"/>
              </w:rPr>
              <w:t>his spouse;</w:t>
            </w:r>
          </w:p>
          <w:p w14:paraId="0A14A6EF" w14:textId="386C4E7C" w:rsidR="00690BF6" w:rsidRPr="00E4265B" w:rsidRDefault="00690BF6" w:rsidP="00276B90">
            <w:pPr>
              <w:pStyle w:val="Heading9"/>
              <w:rPr>
                <w:rFonts w:ascii="Arial" w:hAnsi="Arial" w:cs="Arial"/>
                <w:sz w:val="22"/>
                <w:szCs w:val="22"/>
                <w:lang w:val="en-GB"/>
              </w:rPr>
            </w:pPr>
            <w:r w:rsidRPr="00E4265B">
              <w:rPr>
                <w:rFonts w:ascii="Arial" w:hAnsi="Arial" w:cs="Arial"/>
                <w:sz w:val="22"/>
                <w:szCs w:val="22"/>
                <w:lang w:val="en-GB"/>
              </w:rPr>
              <w:t xml:space="preserve">his children and step-children, </w:t>
            </w:r>
            <w:r w:rsidR="00AF6544" w:rsidRPr="00E4265B">
              <w:rPr>
                <w:rFonts w:ascii="Arial" w:hAnsi="Arial" w:cs="Arial"/>
                <w:sz w:val="22"/>
                <w:szCs w:val="22"/>
                <w:lang w:val="en-GB"/>
              </w:rPr>
              <w:t xml:space="preserve">his </w:t>
            </w:r>
            <w:r w:rsidRPr="00E4265B">
              <w:rPr>
                <w:rFonts w:ascii="Arial" w:hAnsi="Arial" w:cs="Arial"/>
                <w:sz w:val="22"/>
                <w:szCs w:val="22"/>
                <w:lang w:val="en-GB"/>
              </w:rPr>
              <w:t xml:space="preserve">parents and step-parents, </w:t>
            </w:r>
            <w:r w:rsidR="00AF6544" w:rsidRPr="00E4265B">
              <w:rPr>
                <w:rFonts w:ascii="Arial" w:hAnsi="Arial" w:cs="Arial"/>
                <w:sz w:val="22"/>
                <w:szCs w:val="22"/>
                <w:lang w:val="en-GB"/>
              </w:rPr>
              <w:t xml:space="preserve">his </w:t>
            </w:r>
            <w:r w:rsidRPr="00E4265B">
              <w:rPr>
                <w:rFonts w:ascii="Arial" w:hAnsi="Arial" w:cs="Arial"/>
                <w:sz w:val="22"/>
                <w:szCs w:val="22"/>
                <w:lang w:val="en-GB"/>
              </w:rPr>
              <w:t xml:space="preserve">brothers and sisters and </w:t>
            </w:r>
            <w:r w:rsidR="00AF6544" w:rsidRPr="00E4265B">
              <w:rPr>
                <w:rFonts w:ascii="Arial" w:hAnsi="Arial" w:cs="Arial"/>
                <w:sz w:val="22"/>
                <w:szCs w:val="22"/>
                <w:lang w:val="en-GB"/>
              </w:rPr>
              <w:t xml:space="preserve">his </w:t>
            </w:r>
            <w:r w:rsidRPr="00E4265B">
              <w:rPr>
                <w:rFonts w:ascii="Arial" w:hAnsi="Arial" w:cs="Arial"/>
                <w:sz w:val="22"/>
                <w:szCs w:val="22"/>
                <w:lang w:val="en-GB"/>
              </w:rPr>
              <w:t>step-brothers and step-sisters; and</w:t>
            </w:r>
          </w:p>
          <w:p w14:paraId="5554D5D2" w14:textId="77777777" w:rsidR="00690BF6" w:rsidRPr="00E4265B" w:rsidRDefault="00690BF6" w:rsidP="00276B90">
            <w:pPr>
              <w:pStyle w:val="Heading9"/>
              <w:rPr>
                <w:rFonts w:ascii="Arial" w:hAnsi="Arial" w:cs="Arial"/>
                <w:sz w:val="22"/>
                <w:szCs w:val="22"/>
                <w:lang w:val="en-GB"/>
              </w:rPr>
            </w:pPr>
            <w:r w:rsidRPr="00E4265B">
              <w:rPr>
                <w:rFonts w:ascii="Arial" w:hAnsi="Arial" w:cs="Arial"/>
                <w:sz w:val="22"/>
                <w:szCs w:val="22"/>
                <w:lang w:val="en-GB"/>
              </w:rPr>
              <w:t>the spouse of any individual within (b).</w:t>
            </w:r>
          </w:p>
        </w:tc>
      </w:tr>
      <w:tr w:rsidR="00690BF6" w:rsidRPr="00E4265B" w14:paraId="4AD884E7" w14:textId="77777777" w:rsidTr="00CD1719">
        <w:trPr>
          <w:gridBefore w:val="1"/>
          <w:wBefore w:w="882" w:type="dxa"/>
        </w:trPr>
        <w:tc>
          <w:tcPr>
            <w:tcW w:w="2462" w:type="dxa"/>
          </w:tcPr>
          <w:p w14:paraId="1C10F532"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Closely Related</w:t>
            </w:r>
          </w:p>
        </w:tc>
        <w:tc>
          <w:tcPr>
            <w:tcW w:w="5188" w:type="dxa"/>
          </w:tcPr>
          <w:p w14:paraId="519B38A2"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Has the meaning given in Rule A4.11.5.</w:t>
            </w:r>
          </w:p>
        </w:tc>
      </w:tr>
      <w:tr w:rsidR="00690BF6" w:rsidRPr="00E4265B" w14:paraId="4A2BF01C" w14:textId="77777777" w:rsidTr="00CD1719">
        <w:trPr>
          <w:gridBefore w:val="1"/>
          <w:wBefore w:w="882" w:type="dxa"/>
        </w:trPr>
        <w:tc>
          <w:tcPr>
            <w:tcW w:w="2462" w:type="dxa"/>
          </w:tcPr>
          <w:p w14:paraId="6F6F7AE4"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Collateral</w:t>
            </w:r>
          </w:p>
        </w:tc>
        <w:tc>
          <w:tcPr>
            <w:tcW w:w="5188" w:type="dxa"/>
          </w:tcPr>
          <w:p w14:paraId="22CA6907" w14:textId="26A826D5" w:rsidR="00690BF6" w:rsidRPr="00E4265B" w:rsidRDefault="0069381C" w:rsidP="00B10A0B">
            <w:pPr>
              <w:spacing w:before="120" w:after="120"/>
              <w:jc w:val="both"/>
              <w:rPr>
                <w:rFonts w:ascii="Arial" w:hAnsi="Arial" w:cs="Arial"/>
                <w:sz w:val="22"/>
                <w:szCs w:val="22"/>
                <w:lang w:val="en-GB"/>
              </w:rPr>
            </w:pPr>
            <w:r w:rsidRPr="00E4265B">
              <w:rPr>
                <w:rFonts w:ascii="Arial" w:eastAsia="Times New Roman" w:hAnsi="Arial" w:cs="Arial"/>
                <w:snapToGrid w:val="0"/>
                <w:sz w:val="22"/>
                <w:szCs w:val="22"/>
                <w:lang w:val="en-GB" w:eastAsia="en-GB"/>
              </w:rPr>
              <w:t>Means a Client Investment which has been paid for in full by a Client and which is held or controlled by the Authorised Person under the terms of a deposit, pledge, charge or other security arrangement.</w:t>
            </w:r>
          </w:p>
        </w:tc>
      </w:tr>
      <w:tr w:rsidR="00690BF6" w:rsidRPr="00E4265B" w14:paraId="7B31FAB4" w14:textId="77777777" w:rsidTr="00CD1719">
        <w:trPr>
          <w:gridBefore w:val="1"/>
          <w:wBefore w:w="882" w:type="dxa"/>
        </w:trPr>
        <w:tc>
          <w:tcPr>
            <w:tcW w:w="2462" w:type="dxa"/>
          </w:tcPr>
          <w:p w14:paraId="12A72F5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Collective Investment Fund</w:t>
            </w:r>
          </w:p>
        </w:tc>
        <w:tc>
          <w:tcPr>
            <w:tcW w:w="5188" w:type="dxa"/>
          </w:tcPr>
          <w:p w14:paraId="32D0469E" w14:textId="77777777" w:rsidR="00690BF6" w:rsidRPr="00E4265B" w:rsidRDefault="00B34070" w:rsidP="00B34070">
            <w:pPr>
              <w:spacing w:before="120" w:after="120"/>
              <w:jc w:val="both"/>
              <w:rPr>
                <w:rFonts w:ascii="Arial" w:hAnsi="Arial" w:cs="Arial"/>
                <w:sz w:val="22"/>
                <w:szCs w:val="22"/>
                <w:lang w:val="en-GB"/>
              </w:rPr>
            </w:pPr>
            <w:r w:rsidRPr="00E4265B">
              <w:rPr>
                <w:rFonts w:ascii="Arial" w:hAnsi="Arial" w:cs="Arial"/>
                <w:snapToGrid w:val="0"/>
                <w:sz w:val="22"/>
                <w:szCs w:val="22"/>
                <w:lang w:val="en-GB"/>
              </w:rPr>
              <w:t xml:space="preserve">Means an arrangement falling within section 106 of FSMR and which is not </w:t>
            </w:r>
            <w:r w:rsidRPr="00E4265B">
              <w:rPr>
                <w:rFonts w:ascii="Arial" w:eastAsia="Times New Roman" w:hAnsi="Arial" w:cs="Arial"/>
                <w:snapToGrid w:val="0"/>
                <w:sz w:val="22"/>
                <w:szCs w:val="22"/>
                <w:lang w:val="en-GB"/>
              </w:rPr>
              <w:t>excluded</w:t>
            </w:r>
            <w:r w:rsidRPr="00E4265B">
              <w:rPr>
                <w:rFonts w:ascii="Arial" w:hAnsi="Arial" w:cs="Arial"/>
                <w:snapToGrid w:val="0"/>
                <w:sz w:val="22"/>
                <w:szCs w:val="22"/>
                <w:lang w:val="en-GB"/>
              </w:rPr>
              <w:t xml:space="preserve"> under FUNDS Chapter 2.</w:t>
            </w:r>
          </w:p>
        </w:tc>
      </w:tr>
      <w:tr w:rsidR="00690BF6" w:rsidRPr="00E4265B" w14:paraId="33CB6C77" w14:textId="77777777" w:rsidTr="00CD1719">
        <w:trPr>
          <w:gridBefore w:val="1"/>
          <w:wBefore w:w="882" w:type="dxa"/>
        </w:trPr>
        <w:tc>
          <w:tcPr>
            <w:tcW w:w="2462" w:type="dxa"/>
          </w:tcPr>
          <w:p w14:paraId="476BCD64"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Collective Investment Fund Risk Capital Requirement</w:t>
            </w:r>
          </w:p>
        </w:tc>
        <w:tc>
          <w:tcPr>
            <w:tcW w:w="5188" w:type="dxa"/>
          </w:tcPr>
          <w:p w14:paraId="0DB354DD"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 xml:space="preserve">A component of </w:t>
            </w:r>
            <w:r w:rsidR="0069381C" w:rsidRPr="00E4265B">
              <w:rPr>
                <w:rFonts w:ascii="Arial" w:hAnsi="Arial" w:cs="Arial"/>
                <w:sz w:val="22"/>
                <w:szCs w:val="22"/>
                <w:lang w:val="en-GB"/>
              </w:rPr>
              <w:t xml:space="preserve">the </w:t>
            </w:r>
            <w:r w:rsidRPr="00E4265B">
              <w:rPr>
                <w:rFonts w:ascii="Arial" w:hAnsi="Arial" w:cs="Arial"/>
                <w:sz w:val="22"/>
                <w:szCs w:val="22"/>
                <w:lang w:val="en-GB"/>
              </w:rPr>
              <w:t>Market Risk Capital Requirement calculated in accordance with Section 5.9.</w:t>
            </w:r>
          </w:p>
        </w:tc>
      </w:tr>
      <w:tr w:rsidR="00B65F07" w:rsidRPr="00E4265B" w14:paraId="6F322DD8" w14:textId="77777777" w:rsidTr="00CD1719">
        <w:trPr>
          <w:gridBefore w:val="1"/>
          <w:wBefore w:w="882" w:type="dxa"/>
        </w:trPr>
        <w:tc>
          <w:tcPr>
            <w:tcW w:w="2462" w:type="dxa"/>
          </w:tcPr>
          <w:p w14:paraId="1E0CE454" w14:textId="77777777" w:rsidR="00B65F07" w:rsidRPr="00E4265B" w:rsidRDefault="00B65F07" w:rsidP="00F80299">
            <w:pPr>
              <w:spacing w:before="120" w:after="120"/>
              <w:rPr>
                <w:rFonts w:ascii="Arial" w:hAnsi="Arial" w:cs="Arial"/>
                <w:sz w:val="22"/>
                <w:szCs w:val="22"/>
                <w:lang w:val="en-GB"/>
              </w:rPr>
            </w:pPr>
            <w:r w:rsidRPr="00E4265B">
              <w:rPr>
                <w:rFonts w:ascii="Arial" w:hAnsi="Arial" w:cs="Arial"/>
                <w:sz w:val="22"/>
                <w:szCs w:val="22"/>
                <w:lang w:val="en-GB"/>
              </w:rPr>
              <w:t>Combined Buffer</w:t>
            </w:r>
          </w:p>
        </w:tc>
        <w:tc>
          <w:tcPr>
            <w:tcW w:w="5188" w:type="dxa"/>
          </w:tcPr>
          <w:p w14:paraId="6FA02ED9" w14:textId="7B950C8A" w:rsidR="00B65F07" w:rsidRPr="00E4265B" w:rsidRDefault="006E6343" w:rsidP="00F80299">
            <w:pPr>
              <w:spacing w:before="120" w:after="120"/>
              <w:jc w:val="both"/>
              <w:rPr>
                <w:rFonts w:ascii="Arial" w:hAnsi="Arial" w:cs="Arial"/>
                <w:sz w:val="22"/>
                <w:szCs w:val="22"/>
                <w:lang w:val="en-GB"/>
              </w:rPr>
            </w:pPr>
            <w:r w:rsidRPr="00E4265B">
              <w:rPr>
                <w:rFonts w:ascii="Arial" w:hAnsi="Arial" w:cs="Arial"/>
                <w:sz w:val="22"/>
                <w:szCs w:val="22"/>
                <w:lang w:val="en-GB"/>
              </w:rPr>
              <w:t>Has the me</w:t>
            </w:r>
            <w:r w:rsidR="002A272A" w:rsidRPr="00E4265B">
              <w:rPr>
                <w:rFonts w:ascii="Arial" w:hAnsi="Arial" w:cs="Arial"/>
                <w:sz w:val="22"/>
                <w:szCs w:val="22"/>
                <w:lang w:val="en-GB"/>
              </w:rPr>
              <w:t>aning given in Rule</w:t>
            </w:r>
            <w:r w:rsidRPr="00E4265B">
              <w:rPr>
                <w:rFonts w:ascii="Arial" w:hAnsi="Arial" w:cs="Arial"/>
                <w:sz w:val="22"/>
                <w:szCs w:val="22"/>
                <w:lang w:val="en-GB"/>
              </w:rPr>
              <w:t xml:space="preserve"> 3.19</w:t>
            </w:r>
            <w:r w:rsidR="002A272A" w:rsidRPr="00E4265B">
              <w:rPr>
                <w:rFonts w:ascii="Arial" w:hAnsi="Arial" w:cs="Arial"/>
                <w:sz w:val="22"/>
                <w:szCs w:val="22"/>
                <w:lang w:val="en-GB"/>
              </w:rPr>
              <w:t>.1</w:t>
            </w:r>
            <w:r w:rsidR="007F38AD" w:rsidRPr="00E4265B">
              <w:rPr>
                <w:rFonts w:ascii="Arial" w:hAnsi="Arial" w:cs="Arial"/>
                <w:sz w:val="22"/>
                <w:szCs w:val="22"/>
                <w:lang w:val="en-GB"/>
              </w:rPr>
              <w:t>.</w:t>
            </w:r>
          </w:p>
        </w:tc>
      </w:tr>
      <w:tr w:rsidR="00B65F07" w:rsidRPr="00E4265B" w14:paraId="7E8490EC" w14:textId="77777777" w:rsidTr="00CD1719">
        <w:trPr>
          <w:gridBefore w:val="1"/>
          <w:wBefore w:w="882" w:type="dxa"/>
        </w:trPr>
        <w:tc>
          <w:tcPr>
            <w:tcW w:w="2462" w:type="dxa"/>
          </w:tcPr>
          <w:p w14:paraId="7315B0C6" w14:textId="77777777" w:rsidR="00B65F07" w:rsidRPr="00E4265B" w:rsidRDefault="00B65F07"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Combined Buffer Requirement</w:t>
            </w:r>
          </w:p>
        </w:tc>
        <w:tc>
          <w:tcPr>
            <w:tcW w:w="5188" w:type="dxa"/>
          </w:tcPr>
          <w:p w14:paraId="222B9F22" w14:textId="77777777" w:rsidR="00B65F07" w:rsidRPr="00E4265B" w:rsidRDefault="006E6343" w:rsidP="002A272A">
            <w:pPr>
              <w:spacing w:before="120" w:after="120"/>
              <w:jc w:val="both"/>
              <w:rPr>
                <w:rFonts w:ascii="Arial" w:hAnsi="Arial" w:cs="Arial"/>
                <w:sz w:val="22"/>
                <w:szCs w:val="22"/>
                <w:lang w:val="en-GB"/>
              </w:rPr>
            </w:pPr>
            <w:r w:rsidRPr="00E4265B">
              <w:rPr>
                <w:rFonts w:ascii="Arial" w:hAnsi="Arial" w:cs="Arial"/>
                <w:sz w:val="22"/>
                <w:szCs w:val="22"/>
                <w:lang w:val="en-GB"/>
              </w:rPr>
              <w:t>The CET1</w:t>
            </w:r>
            <w:r w:rsidR="002A272A" w:rsidRPr="00E4265B">
              <w:rPr>
                <w:rFonts w:ascii="Arial" w:hAnsi="Arial" w:cs="Arial"/>
                <w:sz w:val="22"/>
                <w:szCs w:val="22"/>
                <w:lang w:val="en-GB"/>
              </w:rPr>
              <w:t xml:space="preserve"> Capital required to satisfy the conditions for the Combined Buffer. </w:t>
            </w:r>
          </w:p>
        </w:tc>
      </w:tr>
      <w:tr w:rsidR="00690BF6" w:rsidRPr="00E4265B" w14:paraId="63742B28" w14:textId="77777777" w:rsidTr="00CD1719">
        <w:trPr>
          <w:gridBefore w:val="1"/>
          <w:wBefore w:w="882" w:type="dxa"/>
        </w:trPr>
        <w:tc>
          <w:tcPr>
            <w:tcW w:w="2462" w:type="dxa"/>
          </w:tcPr>
          <w:p w14:paraId="3EB8A91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Commodities Risk Capital Requirement</w:t>
            </w:r>
          </w:p>
        </w:tc>
        <w:tc>
          <w:tcPr>
            <w:tcW w:w="5188" w:type="dxa"/>
          </w:tcPr>
          <w:p w14:paraId="4D3ACA6A"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component of the Market Risk Capital Requirement to cover the risk of holding or taking positions in commodities, including precious metals, but excluding gold, calculated in accordance with Section 5.7.</w:t>
            </w:r>
          </w:p>
        </w:tc>
      </w:tr>
      <w:tr w:rsidR="00690BF6" w:rsidRPr="00E4265B" w14:paraId="6A8CEE26" w14:textId="77777777" w:rsidTr="00CD1719">
        <w:trPr>
          <w:gridBefore w:val="1"/>
          <w:wBefore w:w="882" w:type="dxa"/>
        </w:trPr>
        <w:tc>
          <w:tcPr>
            <w:tcW w:w="2462" w:type="dxa"/>
          </w:tcPr>
          <w:p w14:paraId="4766C075"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Connected</w:t>
            </w:r>
          </w:p>
        </w:tc>
        <w:tc>
          <w:tcPr>
            <w:tcW w:w="5188" w:type="dxa"/>
          </w:tcPr>
          <w:p w14:paraId="4BF21A66" w14:textId="4BAD4A58" w:rsidR="00690BF6" w:rsidRPr="00E4265B" w:rsidRDefault="00690BF6" w:rsidP="00A51D3E">
            <w:pPr>
              <w:spacing w:before="120" w:after="120"/>
              <w:jc w:val="both"/>
              <w:rPr>
                <w:rFonts w:ascii="Arial" w:hAnsi="Arial" w:cs="Arial"/>
                <w:sz w:val="22"/>
                <w:szCs w:val="22"/>
                <w:lang w:val="en-GB"/>
              </w:rPr>
            </w:pPr>
            <w:r w:rsidRPr="00E4265B">
              <w:rPr>
                <w:rFonts w:ascii="Arial" w:hAnsi="Arial" w:cs="Arial"/>
                <w:sz w:val="22"/>
                <w:szCs w:val="22"/>
                <w:lang w:val="en-GB"/>
              </w:rPr>
              <w:t xml:space="preserve">In relation to a Person (A), a Person </w:t>
            </w:r>
            <w:r w:rsidR="0069381C" w:rsidRPr="00E4265B">
              <w:rPr>
                <w:rFonts w:ascii="Arial" w:hAnsi="Arial" w:cs="Arial"/>
                <w:sz w:val="22"/>
                <w:szCs w:val="22"/>
                <w:lang w:val="en-GB"/>
              </w:rPr>
              <w:t>wh</w:t>
            </w:r>
            <w:r w:rsidR="00A51D3E" w:rsidRPr="00E4265B">
              <w:rPr>
                <w:rFonts w:ascii="Arial" w:hAnsi="Arial" w:cs="Arial"/>
                <w:sz w:val="22"/>
                <w:szCs w:val="22"/>
                <w:lang w:val="en-GB"/>
              </w:rPr>
              <w:t xml:space="preserve">ich </w:t>
            </w:r>
            <w:r w:rsidRPr="00E4265B">
              <w:rPr>
                <w:rFonts w:ascii="Arial" w:hAnsi="Arial" w:cs="Arial"/>
                <w:sz w:val="22"/>
                <w:szCs w:val="22"/>
                <w:lang w:val="en-GB"/>
              </w:rPr>
              <w:t>has or has at any relevant time had the following relationship to A:</w:t>
            </w:r>
          </w:p>
          <w:p w14:paraId="21EBA95A" w14:textId="77777777" w:rsidR="00690BF6" w:rsidRPr="00E4265B" w:rsidRDefault="00690BF6" w:rsidP="00D13883">
            <w:pPr>
              <w:pStyle w:val="Heading9"/>
              <w:numPr>
                <w:ilvl w:val="8"/>
                <w:numId w:val="37"/>
              </w:numPr>
              <w:rPr>
                <w:rFonts w:ascii="Arial" w:hAnsi="Arial" w:cs="Arial"/>
                <w:sz w:val="22"/>
                <w:szCs w:val="22"/>
                <w:lang w:val="en-GB"/>
              </w:rPr>
            </w:pPr>
            <w:r w:rsidRPr="00E4265B">
              <w:rPr>
                <w:rFonts w:ascii="Arial" w:hAnsi="Arial" w:cs="Arial"/>
                <w:sz w:val="22"/>
                <w:szCs w:val="22"/>
                <w:lang w:val="en-GB"/>
              </w:rPr>
              <w:t>a member of A's Group;</w:t>
            </w:r>
          </w:p>
          <w:p w14:paraId="68CCA38E" w14:textId="77777777" w:rsidR="00690BF6" w:rsidRPr="00E4265B" w:rsidRDefault="00690BF6" w:rsidP="00276B90">
            <w:pPr>
              <w:pStyle w:val="Heading9"/>
              <w:rPr>
                <w:rFonts w:ascii="Arial" w:hAnsi="Arial" w:cs="Arial"/>
                <w:sz w:val="22"/>
                <w:szCs w:val="22"/>
                <w:lang w:val="en-GB"/>
              </w:rPr>
            </w:pPr>
            <w:r w:rsidRPr="00E4265B">
              <w:rPr>
                <w:rFonts w:ascii="Arial" w:hAnsi="Arial" w:cs="Arial"/>
                <w:sz w:val="22"/>
                <w:szCs w:val="22"/>
                <w:lang w:val="en-GB"/>
              </w:rPr>
              <w:t>a Controller of A;</w:t>
            </w:r>
          </w:p>
          <w:p w14:paraId="0DAB71D4" w14:textId="76B8DC28" w:rsidR="00690BF6" w:rsidRPr="00E4265B" w:rsidRDefault="00690BF6" w:rsidP="00276B90">
            <w:pPr>
              <w:pStyle w:val="Heading9"/>
              <w:rPr>
                <w:rFonts w:ascii="Arial" w:hAnsi="Arial" w:cs="Arial"/>
                <w:sz w:val="22"/>
                <w:szCs w:val="22"/>
                <w:lang w:val="en-GB"/>
              </w:rPr>
            </w:pPr>
            <w:r w:rsidRPr="00E4265B">
              <w:rPr>
                <w:rFonts w:ascii="Arial" w:hAnsi="Arial" w:cs="Arial"/>
                <w:sz w:val="22"/>
                <w:szCs w:val="22"/>
                <w:lang w:val="en-GB"/>
              </w:rPr>
              <w:t>a member of a Partn</w:t>
            </w:r>
            <w:r w:rsidR="00CE663D" w:rsidRPr="00E4265B">
              <w:rPr>
                <w:rFonts w:ascii="Arial" w:hAnsi="Arial" w:cs="Arial"/>
                <w:sz w:val="22"/>
                <w:szCs w:val="22"/>
                <w:lang w:val="en-GB"/>
              </w:rPr>
              <w:t xml:space="preserve">ership of which A is </w:t>
            </w:r>
            <w:r w:rsidRPr="00E4265B">
              <w:rPr>
                <w:rFonts w:ascii="Arial" w:hAnsi="Arial" w:cs="Arial"/>
                <w:sz w:val="22"/>
                <w:szCs w:val="22"/>
                <w:lang w:val="en-GB"/>
              </w:rPr>
              <w:t>a member;</w:t>
            </w:r>
          </w:p>
          <w:p w14:paraId="053A936F" w14:textId="77777777" w:rsidR="00690BF6" w:rsidRPr="00E4265B" w:rsidRDefault="00690BF6" w:rsidP="00276B90">
            <w:pPr>
              <w:pStyle w:val="Heading9"/>
              <w:rPr>
                <w:rFonts w:ascii="Arial" w:hAnsi="Arial" w:cs="Arial"/>
                <w:sz w:val="22"/>
                <w:szCs w:val="22"/>
                <w:lang w:val="en-GB"/>
              </w:rPr>
            </w:pPr>
            <w:r w:rsidRPr="00E4265B">
              <w:rPr>
                <w:rFonts w:ascii="Arial" w:hAnsi="Arial" w:cs="Arial"/>
                <w:sz w:val="22"/>
                <w:szCs w:val="22"/>
                <w:lang w:val="en-GB"/>
              </w:rPr>
              <w:t>an Employee or former Employee of A;</w:t>
            </w:r>
          </w:p>
          <w:p w14:paraId="3336AC64" w14:textId="77777777" w:rsidR="00690BF6" w:rsidRPr="00E4265B" w:rsidRDefault="00690BF6" w:rsidP="00276B90">
            <w:pPr>
              <w:pStyle w:val="Heading9"/>
              <w:rPr>
                <w:rFonts w:ascii="Arial" w:hAnsi="Arial" w:cs="Arial"/>
                <w:sz w:val="22"/>
                <w:szCs w:val="22"/>
                <w:lang w:val="en-GB"/>
              </w:rPr>
            </w:pPr>
            <w:r w:rsidRPr="00E4265B">
              <w:rPr>
                <w:rFonts w:ascii="Arial" w:hAnsi="Arial" w:cs="Arial"/>
                <w:sz w:val="22"/>
                <w:szCs w:val="22"/>
                <w:lang w:val="en-GB"/>
              </w:rPr>
              <w:t xml:space="preserve">if A is a </w:t>
            </w:r>
            <w:r w:rsidR="002E5BB8" w:rsidRPr="00E4265B">
              <w:rPr>
                <w:rFonts w:ascii="Arial" w:hAnsi="Arial" w:cs="Arial"/>
                <w:sz w:val="22"/>
                <w:szCs w:val="22"/>
                <w:lang w:val="en-GB"/>
              </w:rPr>
              <w:t>C</w:t>
            </w:r>
            <w:r w:rsidRPr="00E4265B">
              <w:rPr>
                <w:rFonts w:ascii="Arial" w:hAnsi="Arial" w:cs="Arial"/>
                <w:sz w:val="22"/>
                <w:szCs w:val="22"/>
                <w:lang w:val="en-GB"/>
              </w:rPr>
              <w:t>ompany:</w:t>
            </w:r>
          </w:p>
          <w:p w14:paraId="53805277" w14:textId="77777777" w:rsidR="00690BF6" w:rsidRPr="00E4265B" w:rsidRDefault="00690BF6" w:rsidP="00276B90">
            <w:pPr>
              <w:spacing w:before="120" w:after="120"/>
              <w:ind w:left="1782" w:hanging="630"/>
              <w:jc w:val="both"/>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an officer or manager of A or of a Parent of A; </w:t>
            </w:r>
          </w:p>
          <w:p w14:paraId="7CE88CC6" w14:textId="77777777" w:rsidR="00690BF6" w:rsidRPr="00E4265B" w:rsidRDefault="00690BF6" w:rsidP="00276B90">
            <w:pPr>
              <w:spacing w:before="120" w:after="120"/>
              <w:ind w:left="1782" w:hanging="630"/>
              <w:jc w:val="both"/>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an agent of A or of a Parent of A;</w:t>
            </w:r>
          </w:p>
          <w:p w14:paraId="006D7734" w14:textId="77777777" w:rsidR="00690BF6" w:rsidRPr="00E4265B" w:rsidRDefault="00690BF6" w:rsidP="00276B90">
            <w:pPr>
              <w:pStyle w:val="Heading9"/>
              <w:rPr>
                <w:rFonts w:ascii="Arial" w:hAnsi="Arial" w:cs="Arial"/>
                <w:sz w:val="22"/>
                <w:szCs w:val="22"/>
                <w:lang w:val="en-GB"/>
              </w:rPr>
            </w:pPr>
            <w:r w:rsidRPr="00E4265B">
              <w:rPr>
                <w:rFonts w:ascii="Arial" w:hAnsi="Arial" w:cs="Arial"/>
                <w:sz w:val="22"/>
                <w:szCs w:val="22"/>
                <w:lang w:val="en-GB"/>
              </w:rPr>
              <w:t>if A is a Partnership is or has been a member, manager or agent of A; or</w:t>
            </w:r>
          </w:p>
          <w:p w14:paraId="0282AF54" w14:textId="77777777" w:rsidR="00690BF6" w:rsidRPr="00E4265B" w:rsidRDefault="00690BF6" w:rsidP="00276B90">
            <w:pPr>
              <w:pStyle w:val="Heading9"/>
              <w:rPr>
                <w:rFonts w:ascii="Arial" w:hAnsi="Arial" w:cs="Arial"/>
                <w:sz w:val="22"/>
                <w:szCs w:val="22"/>
                <w:lang w:val="en-GB"/>
              </w:rPr>
            </w:pPr>
            <w:r w:rsidRPr="00E4265B">
              <w:rPr>
                <w:rFonts w:ascii="Arial" w:hAnsi="Arial" w:cs="Arial"/>
                <w:sz w:val="22"/>
                <w:szCs w:val="22"/>
                <w:lang w:val="en-GB"/>
              </w:rPr>
              <w:t>if A is an unincorporated association of Persons which is not a Partnership, is or has been an officer, manager or agent of A.</w:t>
            </w:r>
          </w:p>
        </w:tc>
      </w:tr>
      <w:tr w:rsidR="00690BF6" w:rsidRPr="00E4265B" w14:paraId="06D11CED" w14:textId="77777777" w:rsidTr="00CD1719">
        <w:trPr>
          <w:gridBefore w:val="1"/>
          <w:wBefore w:w="882" w:type="dxa"/>
        </w:trPr>
        <w:tc>
          <w:tcPr>
            <w:tcW w:w="2462" w:type="dxa"/>
          </w:tcPr>
          <w:p w14:paraId="3B991BD4" w14:textId="77777777" w:rsidR="00690BF6" w:rsidRPr="00E4265B" w:rsidRDefault="00690BF6" w:rsidP="0069381C">
            <w:pPr>
              <w:spacing w:before="120" w:after="120"/>
              <w:rPr>
                <w:rFonts w:ascii="Arial" w:hAnsi="Arial" w:cs="Arial"/>
                <w:sz w:val="22"/>
                <w:szCs w:val="22"/>
                <w:lang w:val="en-GB"/>
              </w:rPr>
            </w:pPr>
            <w:r w:rsidRPr="00E4265B">
              <w:rPr>
                <w:rFonts w:ascii="Arial" w:hAnsi="Arial" w:cs="Arial"/>
                <w:sz w:val="22"/>
                <w:szCs w:val="22"/>
                <w:lang w:val="en-GB"/>
              </w:rPr>
              <w:t>Connected Counterpart</w:t>
            </w:r>
            <w:r w:rsidR="0069381C" w:rsidRPr="00E4265B">
              <w:rPr>
                <w:rFonts w:ascii="Arial" w:hAnsi="Arial" w:cs="Arial"/>
                <w:sz w:val="22"/>
                <w:szCs w:val="22"/>
                <w:lang w:val="en-GB"/>
              </w:rPr>
              <w:t>y</w:t>
            </w:r>
          </w:p>
        </w:tc>
        <w:tc>
          <w:tcPr>
            <w:tcW w:w="5188" w:type="dxa"/>
          </w:tcPr>
          <w:p w14:paraId="7BCD7472" w14:textId="170536E4" w:rsidR="00690BF6" w:rsidRPr="00E4265B" w:rsidRDefault="00690BF6" w:rsidP="00CE663D">
            <w:pPr>
              <w:spacing w:before="120" w:after="120"/>
              <w:jc w:val="both"/>
              <w:rPr>
                <w:rFonts w:ascii="Arial" w:hAnsi="Arial" w:cs="Arial"/>
                <w:sz w:val="22"/>
                <w:szCs w:val="22"/>
                <w:lang w:val="en-GB"/>
              </w:rPr>
            </w:pPr>
            <w:r w:rsidRPr="00E4265B">
              <w:rPr>
                <w:rFonts w:ascii="Arial" w:hAnsi="Arial" w:cs="Arial"/>
                <w:sz w:val="22"/>
                <w:szCs w:val="22"/>
                <w:lang w:val="en-GB"/>
              </w:rPr>
              <w:t xml:space="preserve">For </w:t>
            </w:r>
            <w:r w:rsidR="00CE663D" w:rsidRPr="00E4265B">
              <w:rPr>
                <w:rFonts w:ascii="Arial" w:hAnsi="Arial" w:cs="Arial"/>
                <w:sz w:val="22"/>
                <w:szCs w:val="22"/>
                <w:lang w:val="en-GB"/>
              </w:rPr>
              <w:t>the</w:t>
            </w:r>
            <w:r w:rsidRPr="00E4265B">
              <w:rPr>
                <w:rFonts w:ascii="Arial" w:hAnsi="Arial" w:cs="Arial"/>
                <w:sz w:val="22"/>
                <w:szCs w:val="22"/>
                <w:lang w:val="en-GB"/>
              </w:rPr>
              <w:t xml:space="preserve"> purposes</w:t>
            </w:r>
            <w:r w:rsidR="00CE663D" w:rsidRPr="00E4265B">
              <w:rPr>
                <w:rFonts w:ascii="Arial" w:hAnsi="Arial" w:cs="Arial"/>
                <w:sz w:val="22"/>
                <w:szCs w:val="22"/>
                <w:lang w:val="en-GB"/>
              </w:rPr>
              <w:t xml:space="preserve"> of Large Exposures</w:t>
            </w:r>
            <w:r w:rsidRPr="00E4265B">
              <w:rPr>
                <w:rFonts w:ascii="Arial" w:hAnsi="Arial" w:cs="Arial"/>
                <w:sz w:val="22"/>
                <w:szCs w:val="22"/>
                <w:lang w:val="en-GB"/>
              </w:rPr>
              <w:t>, and in relation to a Person</w:t>
            </w:r>
            <w:r w:rsidR="00CE663D" w:rsidRPr="00E4265B">
              <w:rPr>
                <w:rFonts w:ascii="Arial" w:hAnsi="Arial" w:cs="Arial"/>
                <w:sz w:val="22"/>
                <w:szCs w:val="22"/>
                <w:lang w:val="en-GB"/>
              </w:rPr>
              <w:t xml:space="preserve"> to which the Authorised Person has an Exposure</w:t>
            </w:r>
            <w:r w:rsidRPr="00E4265B">
              <w:rPr>
                <w:rFonts w:ascii="Arial" w:hAnsi="Arial" w:cs="Arial"/>
                <w:sz w:val="22"/>
                <w:szCs w:val="22"/>
                <w:lang w:val="en-GB"/>
              </w:rPr>
              <w:t xml:space="preserve">, a Connected Counterparty means another Person to whom the </w:t>
            </w:r>
            <w:r w:rsidR="00CE663D" w:rsidRPr="00E4265B">
              <w:rPr>
                <w:rFonts w:ascii="Arial" w:hAnsi="Arial" w:cs="Arial"/>
                <w:sz w:val="22"/>
                <w:szCs w:val="22"/>
                <w:lang w:val="en-GB"/>
              </w:rPr>
              <w:t>Authorised</w:t>
            </w:r>
            <w:r w:rsidRPr="00E4265B">
              <w:rPr>
                <w:rFonts w:ascii="Arial" w:hAnsi="Arial" w:cs="Arial"/>
                <w:sz w:val="22"/>
                <w:szCs w:val="22"/>
                <w:lang w:val="en-GB"/>
              </w:rPr>
              <w:t xml:space="preserve"> Person has an Exposure and who fulfils one </w:t>
            </w:r>
            <w:r w:rsidR="00CE663D" w:rsidRPr="00E4265B">
              <w:rPr>
                <w:rFonts w:ascii="Arial" w:hAnsi="Arial" w:cs="Arial"/>
                <w:sz w:val="22"/>
                <w:szCs w:val="22"/>
                <w:lang w:val="en-GB"/>
              </w:rPr>
              <w:t xml:space="preserve">or more </w:t>
            </w:r>
            <w:r w:rsidRPr="00E4265B">
              <w:rPr>
                <w:rFonts w:ascii="Arial" w:hAnsi="Arial" w:cs="Arial"/>
                <w:sz w:val="22"/>
                <w:szCs w:val="22"/>
                <w:lang w:val="en-GB"/>
              </w:rPr>
              <w:t>of the following conditions:</w:t>
            </w:r>
          </w:p>
          <w:p w14:paraId="13F930DA" w14:textId="717DC176" w:rsidR="00690BF6" w:rsidRPr="00E4265B" w:rsidRDefault="00CE663D" w:rsidP="00D13883">
            <w:pPr>
              <w:pStyle w:val="Heading9"/>
              <w:numPr>
                <w:ilvl w:val="8"/>
                <w:numId w:val="38"/>
              </w:numPr>
              <w:rPr>
                <w:rFonts w:ascii="Arial" w:hAnsi="Arial" w:cs="Arial"/>
                <w:sz w:val="22"/>
                <w:szCs w:val="22"/>
                <w:lang w:val="en-GB"/>
              </w:rPr>
            </w:pPr>
            <w:r w:rsidRPr="00E4265B">
              <w:rPr>
                <w:rFonts w:ascii="Arial" w:hAnsi="Arial" w:cs="Arial"/>
                <w:sz w:val="22"/>
                <w:szCs w:val="22"/>
                <w:lang w:val="en-GB"/>
              </w:rPr>
              <w:t>it</w:t>
            </w:r>
            <w:r w:rsidR="00690BF6" w:rsidRPr="00E4265B">
              <w:rPr>
                <w:rFonts w:ascii="Arial" w:hAnsi="Arial" w:cs="Arial"/>
                <w:sz w:val="22"/>
                <w:szCs w:val="22"/>
                <w:lang w:val="en-GB"/>
              </w:rPr>
              <w:t xml:space="preserve"> is Connected to the first Person;</w:t>
            </w:r>
          </w:p>
          <w:p w14:paraId="59D3E35A" w14:textId="496984D7" w:rsidR="00690BF6" w:rsidRPr="00E4265B" w:rsidRDefault="00CE663D" w:rsidP="00276B90">
            <w:pPr>
              <w:pStyle w:val="Heading9"/>
              <w:rPr>
                <w:rFonts w:ascii="Arial" w:hAnsi="Arial" w:cs="Arial"/>
                <w:sz w:val="22"/>
                <w:szCs w:val="22"/>
                <w:lang w:val="en-GB"/>
              </w:rPr>
            </w:pPr>
            <w:r w:rsidRPr="00E4265B">
              <w:rPr>
                <w:rFonts w:ascii="Arial" w:hAnsi="Arial" w:cs="Arial"/>
                <w:sz w:val="22"/>
                <w:szCs w:val="22"/>
                <w:lang w:val="en-GB"/>
              </w:rPr>
              <w:t>it</w:t>
            </w:r>
            <w:r w:rsidR="00690BF6" w:rsidRPr="00E4265B">
              <w:rPr>
                <w:rFonts w:ascii="Arial" w:hAnsi="Arial" w:cs="Arial"/>
                <w:sz w:val="22"/>
                <w:szCs w:val="22"/>
                <w:lang w:val="en-GB"/>
              </w:rPr>
              <w:t xml:space="preserve"> is an Associate of the first Person;</w:t>
            </w:r>
          </w:p>
          <w:p w14:paraId="30C5CA77" w14:textId="583D3D50" w:rsidR="00690BF6" w:rsidRPr="00E4265B" w:rsidRDefault="00690BF6" w:rsidP="00276B90">
            <w:pPr>
              <w:pStyle w:val="Heading9"/>
              <w:rPr>
                <w:rFonts w:ascii="Arial" w:hAnsi="Arial" w:cs="Arial"/>
                <w:sz w:val="22"/>
                <w:szCs w:val="22"/>
                <w:lang w:val="en-GB"/>
              </w:rPr>
            </w:pPr>
            <w:r w:rsidRPr="00E4265B">
              <w:rPr>
                <w:rFonts w:ascii="Arial" w:hAnsi="Arial" w:cs="Arial"/>
                <w:sz w:val="22"/>
                <w:szCs w:val="22"/>
                <w:lang w:val="en-GB"/>
              </w:rPr>
              <w:t>the same P</w:t>
            </w:r>
            <w:r w:rsidR="00CE663D" w:rsidRPr="00E4265B">
              <w:rPr>
                <w:rFonts w:ascii="Arial" w:hAnsi="Arial" w:cs="Arial"/>
                <w:sz w:val="22"/>
                <w:szCs w:val="22"/>
                <w:lang w:val="en-GB"/>
              </w:rPr>
              <w:t xml:space="preserve">ersons significantly influence </w:t>
            </w:r>
            <w:r w:rsidRPr="00E4265B">
              <w:rPr>
                <w:rFonts w:ascii="Arial" w:hAnsi="Arial" w:cs="Arial"/>
                <w:sz w:val="22"/>
                <w:szCs w:val="22"/>
                <w:lang w:val="en-GB"/>
              </w:rPr>
              <w:t>the Governing Body of each of them; or</w:t>
            </w:r>
          </w:p>
          <w:p w14:paraId="2EF4F7BF" w14:textId="17B5C6C1" w:rsidR="00690BF6" w:rsidRPr="00E4265B" w:rsidRDefault="00690BF6" w:rsidP="00276B90">
            <w:pPr>
              <w:pStyle w:val="Heading9"/>
              <w:rPr>
                <w:rFonts w:ascii="Arial" w:hAnsi="Arial" w:cs="Arial"/>
                <w:color w:val="222222"/>
                <w:sz w:val="22"/>
                <w:szCs w:val="22"/>
                <w:lang w:val="en-GB"/>
              </w:rPr>
            </w:pPr>
            <w:r w:rsidRPr="00E4265B">
              <w:rPr>
                <w:rFonts w:ascii="Arial" w:hAnsi="Arial" w:cs="Arial"/>
                <w:sz w:val="22"/>
                <w:szCs w:val="22"/>
                <w:lang w:val="en-GB"/>
              </w:rPr>
              <w:t>one of those Persons has an Exposure</w:t>
            </w:r>
            <w:r w:rsidRPr="00E4265B">
              <w:rPr>
                <w:rFonts w:ascii="Arial" w:hAnsi="Arial" w:cs="Arial"/>
                <w:sz w:val="22"/>
                <w:szCs w:val="22"/>
                <w:vertAlign w:val="superscript"/>
                <w:lang w:val="en-GB"/>
              </w:rPr>
              <w:t xml:space="preserve"> </w:t>
            </w:r>
            <w:r w:rsidR="007F38AD" w:rsidRPr="00E4265B">
              <w:rPr>
                <w:rFonts w:ascii="Arial" w:hAnsi="Arial" w:cs="Arial"/>
                <w:sz w:val="22"/>
                <w:szCs w:val="22"/>
                <w:lang w:val="en-GB"/>
              </w:rPr>
              <w:t xml:space="preserve">to </w:t>
            </w:r>
            <w:r w:rsidRPr="00E4265B">
              <w:rPr>
                <w:rFonts w:ascii="Arial" w:hAnsi="Arial" w:cs="Arial"/>
                <w:sz w:val="22"/>
                <w:szCs w:val="22"/>
                <w:lang w:val="en-GB"/>
              </w:rPr>
              <w:t>the other that was not incurred for the clear c</w:t>
            </w:r>
            <w:r w:rsidR="007F38AD" w:rsidRPr="00E4265B">
              <w:rPr>
                <w:rFonts w:ascii="Arial" w:hAnsi="Arial" w:cs="Arial"/>
                <w:sz w:val="22"/>
                <w:szCs w:val="22"/>
                <w:lang w:val="en-GB"/>
              </w:rPr>
              <w:t xml:space="preserve">ommercial advantage of both of </w:t>
            </w:r>
            <w:r w:rsidRPr="00E4265B">
              <w:rPr>
                <w:rFonts w:ascii="Arial" w:hAnsi="Arial" w:cs="Arial"/>
                <w:sz w:val="22"/>
                <w:szCs w:val="22"/>
                <w:lang w:val="en-GB"/>
              </w:rPr>
              <w:t>them and which is not on arm's length terms.</w:t>
            </w:r>
          </w:p>
        </w:tc>
      </w:tr>
      <w:tr w:rsidR="00690BF6" w:rsidRPr="00E4265B" w14:paraId="2F2C4914" w14:textId="77777777" w:rsidTr="00CD1719">
        <w:trPr>
          <w:gridBefore w:val="1"/>
          <w:wBefore w:w="882" w:type="dxa"/>
        </w:trPr>
        <w:tc>
          <w:tcPr>
            <w:tcW w:w="2462" w:type="dxa"/>
          </w:tcPr>
          <w:p w14:paraId="1F4F6EF7"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Constitution</w:t>
            </w:r>
          </w:p>
        </w:tc>
        <w:tc>
          <w:tcPr>
            <w:tcW w:w="5188" w:type="dxa"/>
          </w:tcPr>
          <w:p w14:paraId="4560BC6B" w14:textId="77777777" w:rsidR="00B34070" w:rsidRPr="00E4265B" w:rsidRDefault="00B34070" w:rsidP="00B34070">
            <w:pPr>
              <w:spacing w:after="240" w:line="246" w:lineRule="atLeast"/>
              <w:jc w:val="both"/>
              <w:rPr>
                <w:rFonts w:ascii="Arial" w:eastAsia="MS Mincho" w:hAnsi="Arial" w:cs="Arial"/>
                <w:snapToGrid w:val="0"/>
                <w:sz w:val="22"/>
                <w:szCs w:val="22"/>
                <w:lang w:val="en-GB"/>
              </w:rPr>
            </w:pPr>
            <w:r w:rsidRPr="00E4265B">
              <w:rPr>
                <w:rFonts w:ascii="Arial" w:eastAsia="MS Mincho" w:hAnsi="Arial" w:cs="Arial"/>
                <w:snapToGrid w:val="0"/>
                <w:sz w:val="22"/>
                <w:szCs w:val="22"/>
                <w:lang w:val="en-GB"/>
              </w:rPr>
              <w:t xml:space="preserve">Means in </w:t>
            </w:r>
            <w:r w:rsidRPr="00E4265B">
              <w:rPr>
                <w:rFonts w:ascii="Arial" w:eastAsia="Times New Roman" w:hAnsi="Arial" w:cs="Arial"/>
                <w:snapToGrid w:val="0"/>
                <w:sz w:val="22"/>
                <w:szCs w:val="22"/>
                <w:lang w:val="en-GB"/>
              </w:rPr>
              <w:t>relation</w:t>
            </w:r>
            <w:r w:rsidRPr="00E4265B">
              <w:rPr>
                <w:rFonts w:ascii="Arial" w:eastAsia="MS Mincho" w:hAnsi="Arial" w:cs="Arial"/>
                <w:snapToGrid w:val="0"/>
                <w:sz w:val="22"/>
                <w:szCs w:val="22"/>
                <w:lang w:val="en-GB"/>
              </w:rPr>
              <w:t xml:space="preserve"> to a Fund:</w:t>
            </w:r>
          </w:p>
          <w:p w14:paraId="2B2921AD" w14:textId="393E0D40" w:rsidR="00B34070" w:rsidRPr="00E4265B" w:rsidRDefault="00B34070" w:rsidP="0019712D">
            <w:pPr>
              <w:pStyle w:val="Heading9"/>
              <w:numPr>
                <w:ilvl w:val="8"/>
                <w:numId w:val="80"/>
              </w:numPr>
              <w:rPr>
                <w:rFonts w:ascii="Arial" w:hAnsi="Arial" w:cs="Arial"/>
                <w:sz w:val="22"/>
                <w:szCs w:val="22"/>
                <w:lang w:val="en-GB"/>
              </w:rPr>
            </w:pPr>
            <w:r w:rsidRPr="00E4265B">
              <w:rPr>
                <w:rFonts w:ascii="Arial" w:hAnsi="Arial" w:cs="Arial"/>
                <w:sz w:val="22"/>
                <w:szCs w:val="22"/>
                <w:lang w:val="en-GB"/>
              </w:rPr>
              <w:t>which is in the form of a Body Corporate, the instrument of incorporation;</w:t>
            </w:r>
          </w:p>
          <w:p w14:paraId="63FDA44A" w14:textId="0E2BDE52" w:rsidR="00B34070" w:rsidRPr="00E4265B" w:rsidRDefault="00B34070" w:rsidP="00CE663D">
            <w:pPr>
              <w:pStyle w:val="Heading9"/>
              <w:rPr>
                <w:rFonts w:ascii="Arial" w:hAnsi="Arial" w:cs="Arial"/>
                <w:sz w:val="22"/>
                <w:szCs w:val="22"/>
                <w:lang w:val="en-GB"/>
              </w:rPr>
            </w:pPr>
            <w:r w:rsidRPr="00E4265B">
              <w:rPr>
                <w:rFonts w:ascii="Arial" w:hAnsi="Arial" w:cs="Arial"/>
                <w:sz w:val="22"/>
                <w:szCs w:val="22"/>
                <w:lang w:val="en-GB"/>
              </w:rPr>
              <w:t>which is in the form of an Investment Trust, the trust deed;</w:t>
            </w:r>
          </w:p>
          <w:p w14:paraId="14949ECD" w14:textId="21B5F4DA" w:rsidR="00B34070" w:rsidRPr="00E4265B" w:rsidRDefault="00B34070" w:rsidP="00CE663D">
            <w:pPr>
              <w:pStyle w:val="Heading9"/>
              <w:rPr>
                <w:rFonts w:ascii="Arial" w:hAnsi="Arial" w:cs="Arial"/>
                <w:sz w:val="22"/>
                <w:szCs w:val="22"/>
                <w:lang w:val="en-GB"/>
              </w:rPr>
            </w:pPr>
            <w:r w:rsidRPr="00E4265B">
              <w:rPr>
                <w:rFonts w:ascii="Arial" w:hAnsi="Arial" w:cs="Arial"/>
                <w:sz w:val="22"/>
                <w:szCs w:val="22"/>
                <w:lang w:val="en-GB"/>
              </w:rPr>
              <w:t>which is in the form of a Partnership, the partnership deed; or</w:t>
            </w:r>
          </w:p>
          <w:p w14:paraId="249CD1E0" w14:textId="36E426ED" w:rsidR="00690BF6" w:rsidRPr="00E4265B" w:rsidRDefault="00B34070" w:rsidP="00CE663D">
            <w:pPr>
              <w:pStyle w:val="Heading9"/>
              <w:rPr>
                <w:rFonts w:ascii="Arial" w:hAnsi="Arial" w:cs="Arial"/>
                <w:sz w:val="22"/>
                <w:szCs w:val="22"/>
                <w:lang w:val="en-GB"/>
              </w:rPr>
            </w:pPr>
            <w:r w:rsidRPr="00E4265B">
              <w:rPr>
                <w:rFonts w:ascii="Arial" w:hAnsi="Arial" w:cs="Arial"/>
                <w:sz w:val="22"/>
                <w:szCs w:val="22"/>
                <w:lang w:val="en-GB"/>
              </w:rPr>
              <w:t>adopting a form other than one specified in  paragraphs (a) to (c) of this definition, an instrument creating the legal form of the Fund to which the Fund Manager is a party setting out provisions relating to any aspect of the operation or management of the Fund.</w:t>
            </w:r>
          </w:p>
        </w:tc>
      </w:tr>
      <w:tr w:rsidR="00690BF6" w:rsidRPr="00E4265B" w14:paraId="1613A3B8" w14:textId="77777777" w:rsidTr="00CD1719">
        <w:trPr>
          <w:gridBefore w:val="1"/>
          <w:wBefore w:w="882" w:type="dxa"/>
        </w:trPr>
        <w:tc>
          <w:tcPr>
            <w:tcW w:w="2462" w:type="dxa"/>
          </w:tcPr>
          <w:p w14:paraId="50FC61C7"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Controlled Early Amortisation</w:t>
            </w:r>
          </w:p>
        </w:tc>
        <w:tc>
          <w:tcPr>
            <w:tcW w:w="5188" w:type="dxa"/>
          </w:tcPr>
          <w:p w14:paraId="7D3FDD24"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Early Amortisation that meets the conditions in Rule 4.14.58.</w:t>
            </w:r>
          </w:p>
        </w:tc>
      </w:tr>
      <w:tr w:rsidR="007F38AD" w:rsidRPr="00E4265B" w14:paraId="4BEDA794" w14:textId="77777777" w:rsidTr="00CD1719">
        <w:trPr>
          <w:gridBefore w:val="1"/>
          <w:wBefore w:w="882" w:type="dxa"/>
        </w:trPr>
        <w:tc>
          <w:tcPr>
            <w:tcW w:w="2462" w:type="dxa"/>
          </w:tcPr>
          <w:p w14:paraId="03B4179A" w14:textId="38516ADC" w:rsidR="007F38AD" w:rsidRPr="00E4265B" w:rsidRDefault="007F38AD" w:rsidP="007F38AD">
            <w:pPr>
              <w:spacing w:before="120" w:after="120"/>
              <w:rPr>
                <w:rFonts w:ascii="Arial" w:hAnsi="Arial" w:cs="Arial"/>
                <w:sz w:val="22"/>
                <w:szCs w:val="22"/>
                <w:lang w:val="en-GB"/>
              </w:rPr>
            </w:pPr>
            <w:r w:rsidRPr="00E4265B">
              <w:rPr>
                <w:rFonts w:ascii="Arial" w:hAnsi="Arial" w:cs="Arial"/>
                <w:sz w:val="22"/>
                <w:szCs w:val="22"/>
                <w:lang w:val="en-GB"/>
              </w:rPr>
              <w:t>Countercyclical Capital Buffer</w:t>
            </w:r>
          </w:p>
        </w:tc>
        <w:tc>
          <w:tcPr>
            <w:tcW w:w="5188" w:type="dxa"/>
          </w:tcPr>
          <w:p w14:paraId="2EFA1B14" w14:textId="2EEF6970" w:rsidR="007F38AD" w:rsidRPr="00E4265B" w:rsidRDefault="007F38AD" w:rsidP="007F38AD">
            <w:pPr>
              <w:spacing w:before="120" w:after="120"/>
              <w:jc w:val="both"/>
              <w:rPr>
                <w:rFonts w:ascii="Arial" w:hAnsi="Arial" w:cs="Arial"/>
                <w:sz w:val="22"/>
                <w:szCs w:val="22"/>
                <w:lang w:val="en-GB"/>
              </w:rPr>
            </w:pPr>
            <w:r w:rsidRPr="00E4265B">
              <w:rPr>
                <w:rFonts w:ascii="Arial" w:hAnsi="Arial" w:cs="Arial"/>
                <w:sz w:val="22"/>
                <w:szCs w:val="22"/>
                <w:lang w:val="en-GB"/>
              </w:rPr>
              <w:t>Means the capital buffer requirements as applied in Section 3.18.</w:t>
            </w:r>
          </w:p>
        </w:tc>
      </w:tr>
      <w:tr w:rsidR="00690BF6" w:rsidRPr="00E4265B" w14:paraId="35948A33" w14:textId="77777777" w:rsidTr="00CD1719">
        <w:trPr>
          <w:gridBefore w:val="1"/>
          <w:wBefore w:w="882" w:type="dxa"/>
        </w:trPr>
        <w:tc>
          <w:tcPr>
            <w:tcW w:w="2462" w:type="dxa"/>
          </w:tcPr>
          <w:p w14:paraId="0A7C8437"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Counterparty</w:t>
            </w:r>
          </w:p>
        </w:tc>
        <w:tc>
          <w:tcPr>
            <w:tcW w:w="5188" w:type="dxa"/>
          </w:tcPr>
          <w:p w14:paraId="65E8F890"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Means any Person with or for whom an Authorised Person carries on, or intends to carry on, any regulated business or associated business. In this context, Counterparty includes an individual, unincorporated body, company, government, local authority or other public body.</w:t>
            </w:r>
          </w:p>
        </w:tc>
      </w:tr>
      <w:tr w:rsidR="00690BF6" w:rsidRPr="00E4265B" w14:paraId="03203D51" w14:textId="77777777" w:rsidTr="00CD1719">
        <w:trPr>
          <w:gridBefore w:val="1"/>
          <w:wBefore w:w="882" w:type="dxa"/>
        </w:trPr>
        <w:tc>
          <w:tcPr>
            <w:tcW w:w="2462" w:type="dxa"/>
          </w:tcPr>
          <w:p w14:paraId="1E8690DC"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Counterparty Risk</w:t>
            </w:r>
          </w:p>
        </w:tc>
        <w:tc>
          <w:tcPr>
            <w:tcW w:w="5188" w:type="dxa"/>
          </w:tcPr>
          <w:p w14:paraId="2B700298" w14:textId="5209E404" w:rsidR="00690BF6" w:rsidRPr="00E4265B" w:rsidRDefault="00690BF6" w:rsidP="00A51D3E">
            <w:pPr>
              <w:spacing w:before="120" w:after="120"/>
              <w:jc w:val="both"/>
              <w:rPr>
                <w:rFonts w:ascii="Arial" w:hAnsi="Arial" w:cs="Arial"/>
                <w:sz w:val="22"/>
                <w:szCs w:val="22"/>
                <w:lang w:val="en-GB"/>
              </w:rPr>
            </w:pPr>
            <w:r w:rsidRPr="00E4265B">
              <w:rPr>
                <w:rFonts w:ascii="Arial" w:hAnsi="Arial" w:cs="Arial"/>
                <w:sz w:val="22"/>
                <w:szCs w:val="22"/>
                <w:lang w:val="en-GB"/>
              </w:rPr>
              <w:t>The risk that an Authorised Person's Counterparty does not perform its obligations under the terms of a contract.</w:t>
            </w:r>
          </w:p>
        </w:tc>
      </w:tr>
      <w:tr w:rsidR="00690BF6" w:rsidRPr="00E4265B" w14:paraId="50F77163" w14:textId="77777777" w:rsidTr="00CD1719">
        <w:trPr>
          <w:gridBefore w:val="1"/>
          <w:wBefore w:w="882" w:type="dxa"/>
        </w:trPr>
        <w:tc>
          <w:tcPr>
            <w:tcW w:w="2462" w:type="dxa"/>
          </w:tcPr>
          <w:p w14:paraId="06DCF378" w14:textId="77777777" w:rsidR="00690BF6" w:rsidRPr="00E4265B" w:rsidRDefault="007966E3" w:rsidP="00F80299">
            <w:pPr>
              <w:spacing w:before="120" w:after="120"/>
              <w:rPr>
                <w:rFonts w:ascii="Arial" w:hAnsi="Arial" w:cs="Arial"/>
                <w:sz w:val="22"/>
                <w:szCs w:val="22"/>
                <w:lang w:val="en-GB"/>
              </w:rPr>
            </w:pPr>
            <w:r w:rsidRPr="00E4265B">
              <w:rPr>
                <w:rFonts w:ascii="Arial" w:hAnsi="Arial" w:cs="Arial"/>
                <w:sz w:val="22"/>
                <w:szCs w:val="22"/>
                <w:lang w:val="en-GB"/>
              </w:rPr>
              <w:t>CR Exposure</w:t>
            </w:r>
          </w:p>
        </w:tc>
        <w:tc>
          <w:tcPr>
            <w:tcW w:w="5188" w:type="dxa"/>
          </w:tcPr>
          <w:p w14:paraId="6574E80F" w14:textId="77777777" w:rsidR="00690BF6" w:rsidRPr="00E4265B" w:rsidRDefault="007966E3" w:rsidP="00F80299">
            <w:pPr>
              <w:spacing w:before="120" w:after="120"/>
              <w:jc w:val="both"/>
              <w:rPr>
                <w:rFonts w:ascii="Arial" w:hAnsi="Arial" w:cs="Arial"/>
                <w:sz w:val="22"/>
                <w:szCs w:val="22"/>
                <w:lang w:val="en-GB"/>
              </w:rPr>
            </w:pPr>
            <w:r w:rsidRPr="00E4265B">
              <w:rPr>
                <w:rFonts w:ascii="Arial" w:hAnsi="Arial" w:cs="Arial"/>
                <w:sz w:val="22"/>
                <w:szCs w:val="22"/>
                <w:lang w:val="en-GB"/>
              </w:rPr>
              <w:t xml:space="preserve">The Exposure value or amount arising from a Credit Risk Exposure. </w:t>
            </w:r>
          </w:p>
        </w:tc>
      </w:tr>
      <w:tr w:rsidR="00690BF6" w:rsidRPr="00E4265B" w14:paraId="22555BE8" w14:textId="77777777" w:rsidTr="00CD1719">
        <w:trPr>
          <w:gridBefore w:val="1"/>
          <w:wBefore w:w="882" w:type="dxa"/>
        </w:trPr>
        <w:tc>
          <w:tcPr>
            <w:tcW w:w="2462" w:type="dxa"/>
          </w:tcPr>
          <w:p w14:paraId="3FC5CDBD" w14:textId="77777777" w:rsidR="00690BF6" w:rsidRPr="00E4265B" w:rsidRDefault="007966E3" w:rsidP="00F80299">
            <w:pPr>
              <w:spacing w:before="120" w:after="120"/>
              <w:rPr>
                <w:rFonts w:ascii="Arial" w:hAnsi="Arial" w:cs="Arial"/>
                <w:sz w:val="22"/>
                <w:szCs w:val="22"/>
                <w:lang w:val="en-GB"/>
              </w:rPr>
            </w:pPr>
            <w:r w:rsidRPr="00E4265B">
              <w:rPr>
                <w:rFonts w:ascii="Arial" w:hAnsi="Arial" w:cs="Arial"/>
                <w:sz w:val="22"/>
                <w:szCs w:val="22"/>
                <w:lang w:val="en-GB"/>
              </w:rPr>
              <w:t>CRA</w:t>
            </w:r>
          </w:p>
        </w:tc>
        <w:tc>
          <w:tcPr>
            <w:tcW w:w="5188" w:type="dxa"/>
          </w:tcPr>
          <w:p w14:paraId="22729F48" w14:textId="77777777" w:rsidR="00690BF6" w:rsidRPr="00E4265B" w:rsidRDefault="007966E3" w:rsidP="00F80299">
            <w:pPr>
              <w:spacing w:before="120" w:after="120"/>
              <w:jc w:val="both"/>
              <w:rPr>
                <w:rFonts w:ascii="Arial" w:hAnsi="Arial" w:cs="Arial"/>
                <w:sz w:val="22"/>
                <w:szCs w:val="22"/>
                <w:lang w:val="en-GB"/>
              </w:rPr>
            </w:pPr>
            <w:r w:rsidRPr="00E4265B">
              <w:rPr>
                <w:rFonts w:ascii="Arial" w:hAnsi="Arial" w:cs="Arial"/>
                <w:sz w:val="22"/>
                <w:szCs w:val="22"/>
                <w:lang w:val="en-GB"/>
              </w:rPr>
              <w:t>Credit Rating Agency.</w:t>
            </w:r>
          </w:p>
        </w:tc>
      </w:tr>
      <w:tr w:rsidR="00690BF6" w:rsidRPr="00E4265B" w14:paraId="2A5E1893" w14:textId="77777777" w:rsidTr="00CD1719">
        <w:trPr>
          <w:gridBefore w:val="1"/>
          <w:wBefore w:w="882" w:type="dxa"/>
        </w:trPr>
        <w:tc>
          <w:tcPr>
            <w:tcW w:w="2462" w:type="dxa"/>
          </w:tcPr>
          <w:p w14:paraId="3FB3A973" w14:textId="77777777" w:rsidR="00690BF6" w:rsidRPr="00E4265B" w:rsidRDefault="007966E3" w:rsidP="00F80299">
            <w:pPr>
              <w:spacing w:before="120" w:after="120"/>
              <w:rPr>
                <w:rFonts w:ascii="Arial" w:hAnsi="Arial" w:cs="Arial"/>
                <w:sz w:val="22"/>
                <w:szCs w:val="22"/>
                <w:lang w:val="en-GB"/>
              </w:rPr>
            </w:pPr>
            <w:r w:rsidRPr="00E4265B">
              <w:rPr>
                <w:rFonts w:ascii="Arial" w:hAnsi="Arial" w:cs="Arial"/>
                <w:sz w:val="22"/>
                <w:szCs w:val="22"/>
                <w:lang w:val="en-GB"/>
              </w:rPr>
              <w:t>CRCOM</w:t>
            </w:r>
          </w:p>
        </w:tc>
        <w:tc>
          <w:tcPr>
            <w:tcW w:w="5188" w:type="dxa"/>
          </w:tcPr>
          <w:p w14:paraId="6A787645" w14:textId="77777777" w:rsidR="00690BF6" w:rsidRPr="00E4265B" w:rsidRDefault="007966E3" w:rsidP="00F80299">
            <w:pPr>
              <w:spacing w:before="120" w:after="120"/>
              <w:jc w:val="both"/>
              <w:rPr>
                <w:rFonts w:ascii="Arial" w:hAnsi="Arial" w:cs="Arial"/>
                <w:sz w:val="22"/>
                <w:szCs w:val="22"/>
                <w:lang w:val="en-GB"/>
              </w:rPr>
            </w:pPr>
            <w:r w:rsidRPr="00E4265B">
              <w:rPr>
                <w:rFonts w:ascii="Arial" w:hAnsi="Arial" w:cs="Arial"/>
                <w:sz w:val="22"/>
                <w:szCs w:val="22"/>
                <w:lang w:val="en-GB"/>
              </w:rPr>
              <w:t>Credit Risk Capital Requirement.</w:t>
            </w:r>
          </w:p>
        </w:tc>
      </w:tr>
      <w:tr w:rsidR="00690BF6" w:rsidRPr="00E4265B" w14:paraId="7855306F" w14:textId="77777777" w:rsidTr="00CD1719">
        <w:trPr>
          <w:gridBefore w:val="1"/>
          <w:wBefore w:w="882" w:type="dxa"/>
        </w:trPr>
        <w:tc>
          <w:tcPr>
            <w:tcW w:w="2462" w:type="dxa"/>
          </w:tcPr>
          <w:p w14:paraId="76E17B44"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Credit Derivative</w:t>
            </w:r>
          </w:p>
        </w:tc>
        <w:tc>
          <w:tcPr>
            <w:tcW w:w="5188" w:type="dxa"/>
          </w:tcPr>
          <w:p w14:paraId="4342E4ED"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Any contract which transfers the Credit Risk of a reference obligation or set of reference obligations from the protection buyer to the protection seller, such that the protection seller has an Exposure to the reference obligation(s).</w:t>
            </w:r>
          </w:p>
        </w:tc>
      </w:tr>
      <w:tr w:rsidR="00690BF6" w:rsidRPr="00E4265B" w14:paraId="65BA310C" w14:textId="77777777" w:rsidTr="00CD1719">
        <w:trPr>
          <w:gridBefore w:val="1"/>
          <w:wBefore w:w="882" w:type="dxa"/>
        </w:trPr>
        <w:tc>
          <w:tcPr>
            <w:tcW w:w="2462" w:type="dxa"/>
          </w:tcPr>
          <w:p w14:paraId="7730187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Credit Enhancement</w:t>
            </w:r>
          </w:p>
        </w:tc>
        <w:tc>
          <w:tcPr>
            <w:tcW w:w="5188" w:type="dxa"/>
          </w:tcPr>
          <w:p w14:paraId="0B26ACA7"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contractual arrangement in which the Authorised Person retains or assumes an SE Exposure and, in substance, provides some degree of added protection to other parties to the transaction.</w:t>
            </w:r>
          </w:p>
        </w:tc>
      </w:tr>
      <w:tr w:rsidR="00690BF6" w:rsidRPr="00E4265B" w14:paraId="4956E489" w14:textId="77777777" w:rsidTr="00CD1719">
        <w:trPr>
          <w:gridBefore w:val="1"/>
          <w:wBefore w:w="882" w:type="dxa"/>
        </w:trPr>
        <w:tc>
          <w:tcPr>
            <w:tcW w:w="2462" w:type="dxa"/>
          </w:tcPr>
          <w:p w14:paraId="32F883E9"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Credit Facility</w:t>
            </w:r>
          </w:p>
        </w:tc>
        <w:tc>
          <w:tcPr>
            <w:tcW w:w="5188" w:type="dxa"/>
          </w:tcPr>
          <w:p w14:paraId="02E9405D"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Any facility which includes any arrangement or agreement which extends monetary credit whether funded or unfunded to a Person including but not limited to any loan or syndicated loan, mortgage, overdraft, financial lease, letter of credit, financial guarantee, trade finance, transaction finance, project finance or asset finance.</w:t>
            </w:r>
          </w:p>
        </w:tc>
      </w:tr>
      <w:tr w:rsidR="00690BF6" w:rsidRPr="00E4265B" w14:paraId="4F8A2DB1" w14:textId="77777777" w:rsidTr="00CD1719">
        <w:trPr>
          <w:gridBefore w:val="1"/>
          <w:wBefore w:w="882" w:type="dxa"/>
        </w:trPr>
        <w:tc>
          <w:tcPr>
            <w:tcW w:w="2462" w:type="dxa"/>
          </w:tcPr>
          <w:p w14:paraId="258A30D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Credit Institution</w:t>
            </w:r>
          </w:p>
        </w:tc>
        <w:tc>
          <w:tcPr>
            <w:tcW w:w="5188" w:type="dxa"/>
          </w:tcPr>
          <w:p w14:paraId="417F92A0" w14:textId="77777777" w:rsidR="00B34070" w:rsidRPr="00E4265B" w:rsidRDefault="00B34070" w:rsidP="00B34070">
            <w:pPr>
              <w:keepNext/>
              <w:spacing w:after="240" w:line="246" w:lineRule="atLeast"/>
              <w:jc w:val="both"/>
              <w:rPr>
                <w:rFonts w:ascii="Arial" w:eastAsia="MS Mincho" w:hAnsi="Arial" w:cs="Arial"/>
                <w:snapToGrid w:val="0"/>
                <w:sz w:val="22"/>
                <w:szCs w:val="22"/>
                <w:lang w:val="en-GB"/>
              </w:rPr>
            </w:pPr>
            <w:r w:rsidRPr="00E4265B">
              <w:rPr>
                <w:rFonts w:ascii="Arial" w:eastAsia="MS Mincho" w:hAnsi="Arial" w:cs="Arial"/>
                <w:snapToGrid w:val="0"/>
                <w:sz w:val="22"/>
                <w:szCs w:val="22"/>
                <w:lang w:val="en-GB"/>
              </w:rPr>
              <w:t>Means:</w:t>
            </w:r>
          </w:p>
          <w:p w14:paraId="5628CFA7" w14:textId="046BFAE8" w:rsidR="00B34070" w:rsidRPr="00E4265B" w:rsidRDefault="00B34070" w:rsidP="00B741C9">
            <w:pPr>
              <w:pStyle w:val="Heading9"/>
              <w:numPr>
                <w:ilvl w:val="0"/>
                <w:numId w:val="0"/>
              </w:numPr>
              <w:ind w:left="1120" w:hanging="616"/>
              <w:rPr>
                <w:rFonts w:ascii="Arial" w:hAnsi="Arial" w:cs="Arial"/>
                <w:sz w:val="22"/>
                <w:szCs w:val="22"/>
                <w:lang w:val="en-GB"/>
              </w:rPr>
            </w:pPr>
            <w:r w:rsidRPr="00E4265B">
              <w:rPr>
                <w:rFonts w:ascii="Arial" w:eastAsia="Times New Roman" w:hAnsi="Arial" w:cs="Arial"/>
                <w:snapToGrid w:val="0"/>
                <w:color w:val="010000"/>
                <w:sz w:val="22"/>
                <w:szCs w:val="22"/>
                <w:lang w:val="en-GB"/>
              </w:rPr>
              <w:t>(a)</w:t>
            </w:r>
            <w:r w:rsidRPr="00E4265B">
              <w:rPr>
                <w:rFonts w:ascii="Arial" w:eastAsia="Times New Roman" w:hAnsi="Arial" w:cs="Arial"/>
                <w:snapToGrid w:val="0"/>
                <w:color w:val="010000"/>
                <w:sz w:val="22"/>
                <w:szCs w:val="22"/>
                <w:lang w:val="en-GB"/>
              </w:rPr>
              <w:tab/>
            </w:r>
            <w:r w:rsidRPr="00E4265B">
              <w:rPr>
                <w:rFonts w:ascii="Arial" w:hAnsi="Arial" w:cs="Arial"/>
                <w:sz w:val="22"/>
                <w:szCs w:val="22"/>
                <w:lang w:val="en-GB"/>
              </w:rPr>
              <w:t>an undertaking whose business is to receive Deposits or other repayable funds from the public and to grant Credits for its own account; or</w:t>
            </w:r>
          </w:p>
          <w:p w14:paraId="76B3171A" w14:textId="3D853800" w:rsidR="00690BF6" w:rsidRPr="00E4265B" w:rsidRDefault="00B34070" w:rsidP="00B741C9">
            <w:pPr>
              <w:pStyle w:val="Heading9"/>
              <w:numPr>
                <w:ilvl w:val="0"/>
                <w:numId w:val="0"/>
              </w:numPr>
              <w:ind w:left="1120" w:hanging="616"/>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an Electronic Money Institution.</w:t>
            </w:r>
            <w:r w:rsidRPr="00E4265B">
              <w:rPr>
                <w:rFonts w:ascii="Arial" w:hAnsi="Arial" w:cs="Arial"/>
                <w:snapToGrid w:val="0"/>
                <w:color w:val="010000"/>
                <w:sz w:val="22"/>
                <w:szCs w:val="22"/>
                <w:lang w:val="en-GB"/>
              </w:rPr>
              <w:t xml:space="preserve">  </w:t>
            </w:r>
          </w:p>
        </w:tc>
      </w:tr>
      <w:tr w:rsidR="00690BF6" w:rsidRPr="00E4265B" w14:paraId="1155BF54" w14:textId="77777777" w:rsidTr="00CD1719">
        <w:trPr>
          <w:gridBefore w:val="1"/>
          <w:wBefore w:w="882" w:type="dxa"/>
        </w:trPr>
        <w:tc>
          <w:tcPr>
            <w:tcW w:w="2462" w:type="dxa"/>
          </w:tcPr>
          <w:p w14:paraId="0307B2D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Credit Quality Grade</w:t>
            </w:r>
          </w:p>
        </w:tc>
        <w:tc>
          <w:tcPr>
            <w:tcW w:w="5188" w:type="dxa"/>
          </w:tcPr>
          <w:p w14:paraId="5964F69D" w14:textId="77777777" w:rsidR="00690BF6" w:rsidRPr="00E4265B" w:rsidRDefault="00690BF6" w:rsidP="000933A0">
            <w:pPr>
              <w:spacing w:before="120" w:after="120"/>
              <w:jc w:val="both"/>
              <w:rPr>
                <w:rFonts w:ascii="Arial" w:hAnsi="Arial" w:cs="Arial"/>
                <w:sz w:val="22"/>
                <w:szCs w:val="22"/>
                <w:lang w:val="en-GB"/>
              </w:rPr>
            </w:pPr>
            <w:r w:rsidRPr="00E4265B">
              <w:rPr>
                <w:rFonts w:ascii="Arial" w:hAnsi="Arial" w:cs="Arial"/>
                <w:sz w:val="22"/>
                <w:szCs w:val="22"/>
                <w:lang w:val="en-GB"/>
              </w:rPr>
              <w:t xml:space="preserve">A credit quality step in a credit quality assessment scale. A credit quality assessment scale is a scale onto </w:t>
            </w:r>
            <w:r w:rsidR="000933A0" w:rsidRPr="00E4265B">
              <w:rPr>
                <w:rFonts w:ascii="Arial" w:hAnsi="Arial" w:cs="Arial"/>
                <w:sz w:val="22"/>
                <w:szCs w:val="22"/>
                <w:lang w:val="en-GB"/>
              </w:rPr>
              <w:t xml:space="preserve">which </w:t>
            </w:r>
            <w:r w:rsidRPr="00E4265B">
              <w:rPr>
                <w:rFonts w:ascii="Arial" w:hAnsi="Arial" w:cs="Arial"/>
                <w:sz w:val="22"/>
                <w:szCs w:val="22"/>
                <w:lang w:val="en-GB"/>
              </w:rPr>
              <w:t>the credit assessments of an E</w:t>
            </w:r>
            <w:r w:rsidR="000933A0" w:rsidRPr="00E4265B">
              <w:rPr>
                <w:rFonts w:ascii="Arial" w:hAnsi="Arial" w:cs="Arial"/>
                <w:sz w:val="22"/>
                <w:szCs w:val="22"/>
                <w:lang w:val="en-GB"/>
              </w:rPr>
              <w:t>CAI or an expert credit agency are</w:t>
            </w:r>
            <w:r w:rsidRPr="00E4265B">
              <w:rPr>
                <w:rFonts w:ascii="Arial" w:hAnsi="Arial" w:cs="Arial"/>
                <w:sz w:val="22"/>
                <w:szCs w:val="22"/>
                <w:lang w:val="en-GB"/>
              </w:rPr>
              <w:t xml:space="preserve"> mapped.</w:t>
            </w:r>
          </w:p>
        </w:tc>
      </w:tr>
      <w:tr w:rsidR="00690BF6" w:rsidRPr="00E4265B" w14:paraId="4ED3D3A0" w14:textId="77777777" w:rsidTr="00CD1719">
        <w:trPr>
          <w:gridBefore w:val="1"/>
          <w:wBefore w:w="882" w:type="dxa"/>
        </w:trPr>
        <w:tc>
          <w:tcPr>
            <w:tcW w:w="2462" w:type="dxa"/>
          </w:tcPr>
          <w:p w14:paraId="2199BF47"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Credit Rating Agency</w:t>
            </w:r>
          </w:p>
        </w:tc>
        <w:tc>
          <w:tcPr>
            <w:tcW w:w="5188" w:type="dxa"/>
          </w:tcPr>
          <w:p w14:paraId="224BBE64" w14:textId="368E4824" w:rsidR="00690BF6" w:rsidRPr="00E4265B" w:rsidRDefault="00690BF6" w:rsidP="002B669F">
            <w:pPr>
              <w:spacing w:before="120" w:after="120"/>
              <w:rPr>
                <w:rFonts w:ascii="Arial" w:hAnsi="Arial" w:cs="Arial"/>
                <w:sz w:val="22"/>
                <w:szCs w:val="22"/>
                <w:lang w:val="en-GB"/>
              </w:rPr>
            </w:pPr>
            <w:r w:rsidRPr="00E4265B">
              <w:rPr>
                <w:rFonts w:ascii="Arial" w:hAnsi="Arial" w:cs="Arial"/>
                <w:sz w:val="22"/>
                <w:szCs w:val="22"/>
                <w:lang w:val="en-GB"/>
              </w:rPr>
              <w:t xml:space="preserve">A Person carrying on </w:t>
            </w:r>
            <w:r w:rsidR="002B669F" w:rsidRPr="00E4265B">
              <w:rPr>
                <w:rFonts w:ascii="Arial" w:hAnsi="Arial" w:cs="Arial"/>
                <w:sz w:val="22"/>
                <w:szCs w:val="22"/>
                <w:lang w:val="en-GB"/>
              </w:rPr>
              <w:t xml:space="preserve">in or from ADGM </w:t>
            </w:r>
            <w:r w:rsidRPr="00E4265B">
              <w:rPr>
                <w:rFonts w:ascii="Arial" w:hAnsi="Arial" w:cs="Arial"/>
                <w:sz w:val="22"/>
                <w:szCs w:val="22"/>
                <w:lang w:val="en-GB"/>
              </w:rPr>
              <w:t>the Regulated Activity of Operating a Credit Rating Agency</w:t>
            </w:r>
            <w:r w:rsidR="007966E3" w:rsidRPr="00E4265B">
              <w:rPr>
                <w:rFonts w:ascii="Arial" w:hAnsi="Arial" w:cs="Arial"/>
                <w:sz w:val="22"/>
                <w:szCs w:val="22"/>
                <w:lang w:val="en-GB"/>
              </w:rPr>
              <w:t xml:space="preserve"> </w:t>
            </w:r>
            <w:r w:rsidRPr="00E4265B">
              <w:rPr>
                <w:rFonts w:ascii="Arial" w:hAnsi="Arial" w:cs="Arial"/>
                <w:sz w:val="22"/>
                <w:szCs w:val="22"/>
                <w:lang w:val="en-GB"/>
              </w:rPr>
              <w:t>for which it has an authorisation under its Financial Services Permission.</w:t>
            </w:r>
          </w:p>
        </w:tc>
      </w:tr>
      <w:tr w:rsidR="00690BF6" w:rsidRPr="00E4265B" w14:paraId="67C76953" w14:textId="77777777" w:rsidTr="00CD1719">
        <w:trPr>
          <w:gridBefore w:val="1"/>
          <w:wBefore w:w="882" w:type="dxa"/>
        </w:trPr>
        <w:tc>
          <w:tcPr>
            <w:tcW w:w="2462" w:type="dxa"/>
          </w:tcPr>
          <w:p w14:paraId="2F6A7E0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Credit Risk</w:t>
            </w:r>
          </w:p>
        </w:tc>
        <w:tc>
          <w:tcPr>
            <w:tcW w:w="5188" w:type="dxa"/>
          </w:tcPr>
          <w:p w14:paraId="2372021A" w14:textId="0B72656C" w:rsidR="00690BF6" w:rsidRPr="00E4265B" w:rsidRDefault="00B34070" w:rsidP="002B669F">
            <w:pPr>
              <w:spacing w:before="120" w:after="120"/>
              <w:jc w:val="both"/>
              <w:rPr>
                <w:rFonts w:ascii="Arial" w:hAnsi="Arial" w:cs="Arial"/>
                <w:sz w:val="22"/>
                <w:szCs w:val="22"/>
                <w:lang w:val="en-GB"/>
              </w:rPr>
            </w:pPr>
            <w:r w:rsidRPr="00E4265B">
              <w:rPr>
                <w:rFonts w:ascii="Arial" w:eastAsiaTheme="majorEastAsia" w:hAnsi="Arial" w:cs="Arial"/>
                <w:iCs/>
                <w:snapToGrid w:val="0"/>
                <w:sz w:val="22"/>
                <w:szCs w:val="22"/>
                <w:lang w:val="en-GB"/>
              </w:rPr>
              <w:t xml:space="preserve">Means, in relation to </w:t>
            </w:r>
            <w:r w:rsidRPr="00E4265B">
              <w:rPr>
                <w:rFonts w:ascii="Arial" w:eastAsia="Times New Roman" w:hAnsi="Arial" w:cs="Arial"/>
                <w:snapToGrid w:val="0"/>
                <w:sz w:val="22"/>
                <w:szCs w:val="22"/>
                <w:lang w:val="en-GB"/>
              </w:rPr>
              <w:t>an</w:t>
            </w:r>
            <w:r w:rsidRPr="00E4265B">
              <w:rPr>
                <w:rFonts w:ascii="Arial" w:eastAsiaTheme="majorEastAsia" w:hAnsi="Arial" w:cs="Arial"/>
                <w:iCs/>
                <w:snapToGrid w:val="0"/>
                <w:sz w:val="22"/>
                <w:szCs w:val="22"/>
                <w:lang w:val="en-GB"/>
              </w:rPr>
              <w:t xml:space="preserve"> Authorised Person, the risk of loss if another party fails to perform on its financial obligation to the Authorised Person.</w:t>
            </w:r>
          </w:p>
        </w:tc>
      </w:tr>
      <w:tr w:rsidR="00690BF6" w:rsidRPr="00E4265B" w14:paraId="587FE6D6" w14:textId="77777777" w:rsidTr="00CD1719">
        <w:trPr>
          <w:gridBefore w:val="1"/>
          <w:wBefore w:w="882" w:type="dxa"/>
        </w:trPr>
        <w:tc>
          <w:tcPr>
            <w:tcW w:w="2462" w:type="dxa"/>
          </w:tcPr>
          <w:p w14:paraId="682072BC" w14:textId="77777777" w:rsidR="00690BF6" w:rsidRPr="00E4265B" w:rsidRDefault="00690BF6" w:rsidP="007966E3">
            <w:pPr>
              <w:spacing w:before="120" w:after="120"/>
              <w:rPr>
                <w:rFonts w:ascii="Arial" w:hAnsi="Arial" w:cs="Arial"/>
                <w:sz w:val="22"/>
                <w:szCs w:val="22"/>
                <w:lang w:val="en-GB"/>
              </w:rPr>
            </w:pPr>
            <w:r w:rsidRPr="00E4265B">
              <w:rPr>
                <w:rFonts w:ascii="Arial" w:hAnsi="Arial" w:cs="Arial"/>
                <w:sz w:val="22"/>
                <w:szCs w:val="22"/>
                <w:lang w:val="en-GB"/>
              </w:rPr>
              <w:t xml:space="preserve">Credit Risk Capital Requirement </w:t>
            </w:r>
          </w:p>
        </w:tc>
        <w:tc>
          <w:tcPr>
            <w:tcW w:w="5188" w:type="dxa"/>
          </w:tcPr>
          <w:p w14:paraId="3FDE917B"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The credit risk capital requirement calculated in accordance with Section 4.6.</w:t>
            </w:r>
          </w:p>
        </w:tc>
      </w:tr>
      <w:tr w:rsidR="00690BF6" w:rsidRPr="00E4265B" w14:paraId="3CE97066" w14:textId="77777777" w:rsidTr="00CD1719">
        <w:trPr>
          <w:gridBefore w:val="1"/>
          <w:wBefore w:w="882" w:type="dxa"/>
        </w:trPr>
        <w:tc>
          <w:tcPr>
            <w:tcW w:w="2462" w:type="dxa"/>
          </w:tcPr>
          <w:p w14:paraId="3DC780B3"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Credit</w:t>
            </w:r>
            <w:r w:rsidRPr="00E4265B">
              <w:rPr>
                <w:rFonts w:ascii="Arial" w:hAnsi="Arial" w:cs="Arial"/>
                <w:sz w:val="22"/>
                <w:szCs w:val="22"/>
                <w:lang w:val="en-GB"/>
              </w:rPr>
              <w:noBreakHyphen/>
              <w:t>Enhancing Interest</w:t>
            </w:r>
            <w:r w:rsidRPr="00E4265B">
              <w:rPr>
                <w:rFonts w:ascii="Arial" w:hAnsi="Arial" w:cs="Arial"/>
                <w:sz w:val="22"/>
                <w:szCs w:val="22"/>
                <w:lang w:val="en-GB"/>
              </w:rPr>
              <w:noBreakHyphen/>
              <w:t>Only Strip</w:t>
            </w:r>
          </w:p>
        </w:tc>
        <w:tc>
          <w:tcPr>
            <w:tcW w:w="5188" w:type="dxa"/>
          </w:tcPr>
          <w:p w14:paraId="29A12E84"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 on</w:t>
            </w:r>
            <w:r w:rsidRPr="00E4265B">
              <w:rPr>
                <w:rFonts w:ascii="Arial" w:hAnsi="Arial" w:cs="Arial"/>
                <w:sz w:val="22"/>
                <w:szCs w:val="22"/>
                <w:lang w:val="en-GB"/>
              </w:rPr>
              <w:noBreakHyphen/>
              <w:t>balance sheet asset that:</w:t>
            </w:r>
          </w:p>
          <w:p w14:paraId="27824F7A" w14:textId="77777777" w:rsidR="00690BF6" w:rsidRPr="00E4265B" w:rsidRDefault="00690BF6" w:rsidP="0019712D">
            <w:pPr>
              <w:pStyle w:val="Heading9"/>
              <w:numPr>
                <w:ilvl w:val="8"/>
                <w:numId w:val="62"/>
              </w:numPr>
              <w:rPr>
                <w:rFonts w:ascii="Arial" w:hAnsi="Arial" w:cs="Arial"/>
                <w:sz w:val="22"/>
                <w:szCs w:val="22"/>
                <w:lang w:val="en-GB"/>
              </w:rPr>
            </w:pPr>
            <w:r w:rsidRPr="00E4265B">
              <w:rPr>
                <w:rFonts w:ascii="Arial" w:hAnsi="Arial" w:cs="Arial"/>
                <w:sz w:val="22"/>
                <w:szCs w:val="22"/>
                <w:lang w:val="en-GB"/>
              </w:rPr>
              <w:t>represents a valuation of cash flows related to future margin income; and</w:t>
            </w:r>
          </w:p>
          <w:p w14:paraId="4D2FC6C6" w14:textId="77777777" w:rsidR="00690BF6" w:rsidRPr="00E4265B" w:rsidRDefault="00690BF6" w:rsidP="008C6DD1">
            <w:pPr>
              <w:pStyle w:val="Heading9"/>
              <w:rPr>
                <w:rFonts w:ascii="Arial" w:hAnsi="Arial" w:cs="Arial"/>
                <w:sz w:val="22"/>
                <w:szCs w:val="22"/>
                <w:lang w:val="en-GB"/>
              </w:rPr>
            </w:pPr>
            <w:r w:rsidRPr="00E4265B">
              <w:rPr>
                <w:rFonts w:ascii="Arial" w:hAnsi="Arial" w:cs="Arial"/>
                <w:sz w:val="22"/>
                <w:szCs w:val="22"/>
                <w:lang w:val="en-GB"/>
              </w:rPr>
              <w:t>is subordinated.</w:t>
            </w:r>
          </w:p>
        </w:tc>
      </w:tr>
      <w:tr w:rsidR="007966E3" w:rsidRPr="00E4265B" w14:paraId="7C234D52" w14:textId="77777777" w:rsidTr="00CD1719">
        <w:trPr>
          <w:gridBefore w:val="1"/>
          <w:wBefore w:w="882" w:type="dxa"/>
        </w:trPr>
        <w:tc>
          <w:tcPr>
            <w:tcW w:w="2462" w:type="dxa"/>
          </w:tcPr>
          <w:p w14:paraId="6289C40E" w14:textId="77777777" w:rsidR="007966E3" w:rsidRPr="00E4265B" w:rsidRDefault="007966E3" w:rsidP="00F80299">
            <w:pPr>
              <w:spacing w:before="120" w:after="120"/>
              <w:rPr>
                <w:rFonts w:ascii="Arial" w:hAnsi="Arial" w:cs="Arial"/>
                <w:sz w:val="22"/>
                <w:szCs w:val="22"/>
                <w:lang w:val="en-GB"/>
              </w:rPr>
            </w:pPr>
            <w:r w:rsidRPr="00E4265B">
              <w:rPr>
                <w:rFonts w:ascii="Arial" w:hAnsi="Arial" w:cs="Arial"/>
                <w:sz w:val="22"/>
                <w:szCs w:val="22"/>
                <w:lang w:val="en-GB"/>
              </w:rPr>
              <w:t>Credit Valuation Adjustment</w:t>
            </w:r>
          </w:p>
        </w:tc>
        <w:tc>
          <w:tcPr>
            <w:tcW w:w="5188" w:type="dxa"/>
          </w:tcPr>
          <w:p w14:paraId="5A334678" w14:textId="77777777" w:rsidR="007966E3" w:rsidRPr="00E4265B" w:rsidRDefault="007966E3" w:rsidP="00F80299">
            <w:pPr>
              <w:spacing w:before="120" w:after="120"/>
              <w:jc w:val="both"/>
              <w:rPr>
                <w:rFonts w:ascii="Arial" w:hAnsi="Arial" w:cs="Arial"/>
                <w:sz w:val="22"/>
                <w:szCs w:val="22"/>
                <w:lang w:val="en-GB"/>
              </w:rPr>
            </w:pPr>
            <w:r w:rsidRPr="00E4265B">
              <w:rPr>
                <w:rFonts w:ascii="Arial" w:hAnsi="Arial" w:cs="Arial"/>
                <w:sz w:val="22"/>
                <w:szCs w:val="22"/>
                <w:lang w:val="en-GB"/>
              </w:rPr>
              <w:t>Has the meaning given in App5.</w:t>
            </w:r>
          </w:p>
        </w:tc>
      </w:tr>
      <w:tr w:rsidR="00690BF6" w:rsidRPr="00E4265B" w14:paraId="4B685F59" w14:textId="77777777" w:rsidTr="00CD1719">
        <w:trPr>
          <w:gridBefore w:val="1"/>
          <w:wBefore w:w="882" w:type="dxa"/>
        </w:trPr>
        <w:tc>
          <w:tcPr>
            <w:tcW w:w="2462" w:type="dxa"/>
          </w:tcPr>
          <w:p w14:paraId="715A39EC"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CRM</w:t>
            </w:r>
          </w:p>
        </w:tc>
        <w:tc>
          <w:tcPr>
            <w:tcW w:w="5188" w:type="dxa"/>
          </w:tcPr>
          <w:p w14:paraId="2D6D0BBF"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Credit risk mitigation.</w:t>
            </w:r>
          </w:p>
        </w:tc>
      </w:tr>
      <w:tr w:rsidR="00690BF6" w:rsidRPr="00E4265B" w14:paraId="75FAE17D" w14:textId="77777777" w:rsidTr="00CD1719">
        <w:trPr>
          <w:gridBefore w:val="1"/>
          <w:wBefore w:w="882" w:type="dxa"/>
        </w:trPr>
        <w:tc>
          <w:tcPr>
            <w:tcW w:w="2462" w:type="dxa"/>
          </w:tcPr>
          <w:p w14:paraId="7E1EC5AD"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CRW</w:t>
            </w:r>
          </w:p>
        </w:tc>
        <w:tc>
          <w:tcPr>
            <w:tcW w:w="5188" w:type="dxa"/>
          </w:tcPr>
          <w:p w14:paraId="7D9270B6"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Credit risk weight for an Exposure.</w:t>
            </w:r>
          </w:p>
        </w:tc>
      </w:tr>
      <w:tr w:rsidR="00690BF6" w:rsidRPr="00E4265B" w14:paraId="6B844C97" w14:textId="77777777" w:rsidTr="00CD1719">
        <w:trPr>
          <w:gridBefore w:val="1"/>
          <w:wBefore w:w="882" w:type="dxa"/>
        </w:trPr>
        <w:tc>
          <w:tcPr>
            <w:tcW w:w="2462" w:type="dxa"/>
          </w:tcPr>
          <w:p w14:paraId="34A95D7D"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CV</w:t>
            </w:r>
          </w:p>
        </w:tc>
        <w:tc>
          <w:tcPr>
            <w:tcW w:w="5188" w:type="dxa"/>
          </w:tcPr>
          <w:p w14:paraId="60745F99"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Contracted value for delivery.</w:t>
            </w:r>
          </w:p>
        </w:tc>
      </w:tr>
      <w:tr w:rsidR="007966E3" w:rsidRPr="00E4265B" w14:paraId="10930577" w14:textId="77777777" w:rsidTr="00CD1719">
        <w:trPr>
          <w:gridBefore w:val="1"/>
          <w:wBefore w:w="882" w:type="dxa"/>
        </w:trPr>
        <w:tc>
          <w:tcPr>
            <w:tcW w:w="2462" w:type="dxa"/>
          </w:tcPr>
          <w:p w14:paraId="4D7B3F28" w14:textId="77777777" w:rsidR="007966E3" w:rsidRPr="00E4265B" w:rsidRDefault="007966E3" w:rsidP="00F80299">
            <w:pPr>
              <w:spacing w:before="120" w:after="120"/>
              <w:rPr>
                <w:rFonts w:ascii="Arial" w:hAnsi="Arial" w:cs="Arial"/>
                <w:sz w:val="22"/>
                <w:szCs w:val="22"/>
                <w:lang w:val="en-GB"/>
              </w:rPr>
            </w:pPr>
            <w:r w:rsidRPr="00E4265B">
              <w:rPr>
                <w:rFonts w:ascii="Arial" w:hAnsi="Arial" w:cs="Arial"/>
                <w:sz w:val="22"/>
                <w:szCs w:val="22"/>
                <w:lang w:val="en-GB"/>
              </w:rPr>
              <w:t>CVA</w:t>
            </w:r>
          </w:p>
        </w:tc>
        <w:tc>
          <w:tcPr>
            <w:tcW w:w="5188" w:type="dxa"/>
          </w:tcPr>
          <w:p w14:paraId="0C32B694" w14:textId="77777777" w:rsidR="007966E3" w:rsidRPr="00E4265B" w:rsidRDefault="007966E3" w:rsidP="00F80299">
            <w:pPr>
              <w:spacing w:before="120" w:after="120"/>
              <w:jc w:val="both"/>
              <w:rPr>
                <w:rFonts w:ascii="Arial" w:hAnsi="Arial" w:cs="Arial"/>
                <w:sz w:val="22"/>
                <w:szCs w:val="22"/>
                <w:lang w:val="en-GB"/>
              </w:rPr>
            </w:pPr>
            <w:r w:rsidRPr="00E4265B">
              <w:rPr>
                <w:rFonts w:ascii="Arial" w:hAnsi="Arial" w:cs="Arial"/>
                <w:sz w:val="22"/>
                <w:szCs w:val="22"/>
                <w:lang w:val="en-GB"/>
              </w:rPr>
              <w:t>Credit Valuation Adjustment.</w:t>
            </w:r>
          </w:p>
        </w:tc>
      </w:tr>
      <w:tr w:rsidR="007966E3" w:rsidRPr="00E4265B" w14:paraId="5A4CA8A4" w14:textId="77777777" w:rsidTr="00CD1719">
        <w:trPr>
          <w:gridBefore w:val="1"/>
          <w:wBefore w:w="882" w:type="dxa"/>
        </w:trPr>
        <w:tc>
          <w:tcPr>
            <w:tcW w:w="2462" w:type="dxa"/>
          </w:tcPr>
          <w:p w14:paraId="73455475" w14:textId="77777777" w:rsidR="007966E3" w:rsidRPr="00E4265B" w:rsidRDefault="007966E3" w:rsidP="00F80299">
            <w:pPr>
              <w:spacing w:before="120" w:after="120"/>
              <w:rPr>
                <w:rFonts w:ascii="Arial" w:hAnsi="Arial" w:cs="Arial"/>
                <w:sz w:val="22"/>
                <w:szCs w:val="22"/>
                <w:lang w:val="en-GB"/>
              </w:rPr>
            </w:pPr>
            <w:r w:rsidRPr="00E4265B">
              <w:rPr>
                <w:rFonts w:ascii="Arial" w:hAnsi="Arial" w:cs="Arial"/>
                <w:sz w:val="22"/>
                <w:szCs w:val="22"/>
                <w:lang w:val="en-GB"/>
              </w:rPr>
              <w:t xml:space="preserve">CVA Risk Capital Requirement </w:t>
            </w:r>
          </w:p>
        </w:tc>
        <w:tc>
          <w:tcPr>
            <w:tcW w:w="5188" w:type="dxa"/>
          </w:tcPr>
          <w:p w14:paraId="45C60F7B" w14:textId="77777777" w:rsidR="007966E3" w:rsidRPr="00E4265B" w:rsidRDefault="007966E3" w:rsidP="00F80299">
            <w:pPr>
              <w:spacing w:before="120" w:after="120"/>
              <w:jc w:val="both"/>
              <w:rPr>
                <w:rFonts w:ascii="Arial" w:hAnsi="Arial" w:cs="Arial"/>
                <w:sz w:val="22"/>
                <w:szCs w:val="22"/>
                <w:lang w:val="en-GB"/>
              </w:rPr>
            </w:pPr>
            <w:r w:rsidRPr="00E4265B">
              <w:rPr>
                <w:rFonts w:ascii="Arial" w:hAnsi="Arial" w:cs="Arial"/>
                <w:sz w:val="22"/>
                <w:szCs w:val="22"/>
                <w:lang w:val="en-GB"/>
              </w:rPr>
              <w:t>Means the requirement calculated in accordance with App5.</w:t>
            </w:r>
          </w:p>
        </w:tc>
      </w:tr>
      <w:tr w:rsidR="00690BF6" w:rsidRPr="00E4265B" w14:paraId="2480A21F" w14:textId="77777777" w:rsidTr="00CD1719">
        <w:trPr>
          <w:gridBefore w:val="1"/>
          <w:wBefore w:w="882" w:type="dxa"/>
        </w:trPr>
        <w:tc>
          <w:tcPr>
            <w:tcW w:w="2462" w:type="dxa"/>
          </w:tcPr>
          <w:p w14:paraId="49EE75F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Dealing in Investments as Agent</w:t>
            </w:r>
          </w:p>
        </w:tc>
        <w:tc>
          <w:tcPr>
            <w:tcW w:w="5188" w:type="dxa"/>
          </w:tcPr>
          <w:p w14:paraId="5C2F7AA3" w14:textId="77777777" w:rsidR="00690BF6" w:rsidRPr="00E4265B" w:rsidRDefault="00690BF6" w:rsidP="00D10C63">
            <w:pPr>
              <w:spacing w:before="120" w:after="120"/>
              <w:jc w:val="both"/>
              <w:rPr>
                <w:rFonts w:ascii="Arial" w:hAnsi="Arial" w:cs="Arial"/>
                <w:sz w:val="22"/>
                <w:szCs w:val="22"/>
                <w:lang w:val="en-GB"/>
              </w:rPr>
            </w:pPr>
            <w:r w:rsidRPr="00E4265B">
              <w:rPr>
                <w:rFonts w:ascii="Arial" w:hAnsi="Arial" w:cs="Arial"/>
                <w:sz w:val="22"/>
                <w:szCs w:val="22"/>
                <w:lang w:val="en-GB"/>
              </w:rPr>
              <w:t xml:space="preserve">Means the Regulated Activity specified in paragraph </w:t>
            </w:r>
            <w:r w:rsidRPr="00E4265B">
              <w:rPr>
                <w:rFonts w:ascii="Arial" w:hAnsi="Arial" w:cs="Arial"/>
                <w:sz w:val="22"/>
                <w:szCs w:val="22"/>
                <w:cs/>
                <w:lang w:val="en-GB"/>
              </w:rPr>
              <w:t>‎</w:t>
            </w:r>
            <w:r w:rsidRPr="00E4265B">
              <w:rPr>
                <w:rFonts w:ascii="Arial" w:hAnsi="Arial" w:cs="Arial"/>
                <w:sz w:val="22"/>
                <w:szCs w:val="22"/>
                <w:rtl/>
                <w:cs/>
                <w:lang w:val="en-GB"/>
              </w:rPr>
              <w:t>1</w:t>
            </w:r>
            <w:r w:rsidR="00D10C63" w:rsidRPr="00E4265B">
              <w:rPr>
                <w:rFonts w:ascii="Arial" w:hAnsi="Arial" w:cs="Arial"/>
                <w:sz w:val="22"/>
                <w:szCs w:val="22"/>
                <w:lang w:val="en-GB"/>
              </w:rPr>
              <w:t>2</w:t>
            </w:r>
            <w:r w:rsidRPr="00E4265B">
              <w:rPr>
                <w:rFonts w:ascii="Arial" w:hAnsi="Arial" w:cs="Arial"/>
                <w:sz w:val="22"/>
                <w:szCs w:val="22"/>
                <w:lang w:val="en-GB"/>
              </w:rPr>
              <w:t xml:space="preserve"> of </w:t>
            </w:r>
            <w:r w:rsidRPr="00E4265B">
              <w:rPr>
                <w:rFonts w:ascii="Arial" w:hAnsi="Arial" w:cs="Arial"/>
                <w:sz w:val="22"/>
                <w:szCs w:val="22"/>
                <w:cs/>
                <w:lang w:val="en-GB"/>
              </w:rPr>
              <w:t>‎</w:t>
            </w:r>
            <w:r w:rsidRPr="00E4265B">
              <w:rPr>
                <w:rFonts w:ascii="Arial" w:hAnsi="Arial" w:cs="Arial"/>
                <w:sz w:val="22"/>
                <w:szCs w:val="22"/>
                <w:rtl/>
                <w:cs/>
                <w:lang w:val="en-GB"/>
              </w:rPr>
              <w:t>Schedule 1</w:t>
            </w:r>
            <w:r w:rsidRPr="00E4265B">
              <w:rPr>
                <w:rFonts w:ascii="Arial" w:hAnsi="Arial" w:cs="Arial"/>
                <w:sz w:val="22"/>
                <w:szCs w:val="22"/>
                <w:lang w:val="en-GB"/>
              </w:rPr>
              <w:t xml:space="preserve"> of the FSMR.</w:t>
            </w:r>
          </w:p>
        </w:tc>
      </w:tr>
      <w:tr w:rsidR="00690BF6" w:rsidRPr="00E4265B" w14:paraId="61DF118E" w14:textId="77777777" w:rsidTr="00CD1719">
        <w:trPr>
          <w:gridBefore w:val="1"/>
          <w:wBefore w:w="882" w:type="dxa"/>
        </w:trPr>
        <w:tc>
          <w:tcPr>
            <w:tcW w:w="2462" w:type="dxa"/>
          </w:tcPr>
          <w:p w14:paraId="75D8501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Dealing in Investments as Principal</w:t>
            </w:r>
          </w:p>
        </w:tc>
        <w:tc>
          <w:tcPr>
            <w:tcW w:w="5188" w:type="dxa"/>
          </w:tcPr>
          <w:p w14:paraId="06861BA4" w14:textId="77777777" w:rsidR="00690BF6" w:rsidRPr="00E4265B" w:rsidRDefault="00690BF6" w:rsidP="002E5BB8">
            <w:pPr>
              <w:spacing w:before="120" w:after="120"/>
              <w:jc w:val="both"/>
              <w:rPr>
                <w:rFonts w:ascii="Arial" w:hAnsi="Arial" w:cs="Arial"/>
                <w:sz w:val="22"/>
                <w:szCs w:val="22"/>
                <w:lang w:val="en-GB"/>
              </w:rPr>
            </w:pPr>
            <w:r w:rsidRPr="00E4265B">
              <w:rPr>
                <w:rFonts w:ascii="Arial" w:hAnsi="Arial" w:cs="Arial"/>
                <w:sz w:val="22"/>
                <w:szCs w:val="22"/>
                <w:lang w:val="en-GB"/>
              </w:rPr>
              <w:t>Means the Regulated Activity specified</w:t>
            </w:r>
            <w:r w:rsidR="00D10C63" w:rsidRPr="00E4265B">
              <w:rPr>
                <w:rFonts w:ascii="Arial" w:hAnsi="Arial" w:cs="Arial"/>
                <w:sz w:val="22"/>
                <w:szCs w:val="22"/>
                <w:lang w:val="en-GB"/>
              </w:rPr>
              <w:t xml:space="preserve"> in paragraph </w:t>
            </w:r>
            <w:r w:rsidR="00D10C63" w:rsidRPr="00E4265B">
              <w:rPr>
                <w:rFonts w:ascii="Arial" w:hAnsi="Arial" w:cs="Arial"/>
                <w:sz w:val="22"/>
                <w:szCs w:val="22"/>
                <w:cs/>
                <w:lang w:val="en-GB"/>
              </w:rPr>
              <w:t>‎</w:t>
            </w:r>
            <w:r w:rsidR="00D10C63" w:rsidRPr="00E4265B">
              <w:rPr>
                <w:rFonts w:ascii="Arial" w:hAnsi="Arial" w:cs="Arial"/>
                <w:sz w:val="22"/>
                <w:szCs w:val="22"/>
                <w:rtl/>
                <w:cs/>
                <w:lang w:val="en-GB"/>
              </w:rPr>
              <w:t>4</w:t>
            </w:r>
            <w:r w:rsidRPr="00E4265B">
              <w:rPr>
                <w:rFonts w:ascii="Arial" w:hAnsi="Arial" w:cs="Arial"/>
                <w:sz w:val="22"/>
                <w:szCs w:val="22"/>
                <w:lang w:val="en-GB"/>
              </w:rPr>
              <w:t xml:space="preserve"> </w:t>
            </w:r>
            <w:r w:rsidR="002E5BB8" w:rsidRPr="00E4265B">
              <w:rPr>
                <w:rFonts w:ascii="Arial" w:hAnsi="Arial" w:cs="Arial"/>
                <w:sz w:val="22"/>
                <w:szCs w:val="22"/>
                <w:lang w:val="en-GB"/>
              </w:rPr>
              <w:t>of Schedule 1 of the FSMR.</w:t>
            </w:r>
          </w:p>
        </w:tc>
      </w:tr>
      <w:tr w:rsidR="00690BF6" w:rsidRPr="00E4265B" w14:paraId="665EC72B" w14:textId="77777777" w:rsidTr="00CD1719">
        <w:trPr>
          <w:gridBefore w:val="1"/>
          <w:wBefore w:w="882" w:type="dxa"/>
        </w:trPr>
        <w:tc>
          <w:tcPr>
            <w:tcW w:w="2462" w:type="dxa"/>
          </w:tcPr>
          <w:p w14:paraId="45B17084"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Debenture</w:t>
            </w:r>
          </w:p>
        </w:tc>
        <w:tc>
          <w:tcPr>
            <w:tcW w:w="5188" w:type="dxa"/>
          </w:tcPr>
          <w:p w14:paraId="4336626D" w14:textId="77777777" w:rsidR="00690BF6" w:rsidRPr="00E4265B" w:rsidRDefault="00690BF6" w:rsidP="00F80299">
            <w:pPr>
              <w:spacing w:before="120" w:after="120"/>
              <w:jc w:val="both"/>
              <w:rPr>
                <w:rStyle w:val="me"/>
                <w:rFonts w:ascii="Arial" w:hAnsi="Arial" w:cs="Arial"/>
                <w:color w:val="222222"/>
                <w:sz w:val="22"/>
                <w:szCs w:val="22"/>
                <w:lang w:val="en-GB"/>
              </w:rPr>
            </w:pPr>
            <w:r w:rsidRPr="00E4265B">
              <w:rPr>
                <w:rFonts w:ascii="Arial" w:hAnsi="Arial" w:cs="Arial"/>
                <w:sz w:val="22"/>
                <w:szCs w:val="22"/>
                <w:lang w:val="en-GB"/>
              </w:rPr>
              <w:t xml:space="preserve">Means an instrument creating or acknowledging indebtedness, </w:t>
            </w:r>
            <w:r w:rsidRPr="00E4265B">
              <w:rPr>
                <w:rStyle w:val="me"/>
                <w:rFonts w:ascii="Arial" w:hAnsi="Arial" w:cs="Arial"/>
                <w:color w:val="222222"/>
                <w:sz w:val="22"/>
                <w:szCs w:val="22"/>
                <w:lang w:val="en-GB"/>
              </w:rPr>
              <w:t>whether secured or not,</w:t>
            </w:r>
            <w:r w:rsidRPr="00E4265B">
              <w:rPr>
                <w:rFonts w:ascii="Arial" w:hAnsi="Arial" w:cs="Arial"/>
                <w:sz w:val="22"/>
                <w:szCs w:val="22"/>
                <w:lang w:val="en-GB"/>
              </w:rPr>
              <w:t xml:space="preserve"> but </w:t>
            </w:r>
            <w:r w:rsidRPr="00E4265B">
              <w:rPr>
                <w:rStyle w:val="me"/>
                <w:rFonts w:ascii="Arial" w:hAnsi="Arial" w:cs="Arial"/>
                <w:color w:val="222222"/>
                <w:sz w:val="22"/>
                <w:szCs w:val="22"/>
                <w:lang w:val="en-GB"/>
              </w:rPr>
              <w:t>excludes:</w:t>
            </w:r>
          </w:p>
          <w:p w14:paraId="186ACDB6" w14:textId="77777777" w:rsidR="00690BF6" w:rsidRPr="00E4265B" w:rsidRDefault="00690BF6" w:rsidP="00D13883">
            <w:pPr>
              <w:pStyle w:val="Heading9"/>
              <w:numPr>
                <w:ilvl w:val="8"/>
                <w:numId w:val="39"/>
              </w:numPr>
              <w:rPr>
                <w:rFonts w:ascii="Arial" w:hAnsi="Arial" w:cs="Arial"/>
                <w:sz w:val="22"/>
                <w:szCs w:val="22"/>
                <w:lang w:val="en-GB"/>
              </w:rPr>
            </w:pPr>
            <w:r w:rsidRPr="00E4265B">
              <w:rPr>
                <w:rFonts w:ascii="Arial" w:hAnsi="Arial" w:cs="Arial"/>
                <w:sz w:val="22"/>
                <w:szCs w:val="22"/>
                <w:lang w:val="en-GB"/>
              </w:rPr>
              <w:t xml:space="preserve">an instrument creating or acknowledging indebtedness for, or for Money borrowed to defray, the consideration payable under a contract for the supply of goods or services; </w:t>
            </w:r>
          </w:p>
          <w:p w14:paraId="546277FD" w14:textId="77777777" w:rsidR="00690BF6" w:rsidRPr="00E4265B" w:rsidRDefault="00690BF6" w:rsidP="0079430A">
            <w:pPr>
              <w:pStyle w:val="Heading9"/>
              <w:rPr>
                <w:rFonts w:ascii="Arial" w:hAnsi="Arial" w:cs="Arial"/>
                <w:sz w:val="22"/>
                <w:szCs w:val="22"/>
                <w:lang w:val="en-GB"/>
              </w:rPr>
            </w:pPr>
            <w:r w:rsidRPr="00E4265B">
              <w:rPr>
                <w:rFonts w:ascii="Arial" w:hAnsi="Arial" w:cs="Arial"/>
                <w:sz w:val="22"/>
                <w:szCs w:val="22"/>
                <w:lang w:val="en-GB"/>
              </w:rPr>
              <w:t>a cheque or other bill of exchange, a banker's draft or a letter of credit (but not a bill of exchange accepted by a banker);</w:t>
            </w:r>
          </w:p>
          <w:p w14:paraId="60A1F994" w14:textId="77777777" w:rsidR="00690BF6" w:rsidRPr="00E4265B" w:rsidRDefault="00690BF6" w:rsidP="0079430A">
            <w:pPr>
              <w:pStyle w:val="Heading9"/>
              <w:rPr>
                <w:rFonts w:ascii="Arial" w:hAnsi="Arial" w:cs="Arial"/>
                <w:sz w:val="22"/>
                <w:szCs w:val="22"/>
                <w:lang w:val="en-GB"/>
              </w:rPr>
            </w:pPr>
            <w:r w:rsidRPr="00E4265B">
              <w:rPr>
                <w:rFonts w:ascii="Arial" w:hAnsi="Arial" w:cs="Arial"/>
                <w:sz w:val="22"/>
                <w:szCs w:val="22"/>
                <w:lang w:val="en-GB"/>
              </w:rPr>
              <w:t xml:space="preserve">a banknote, a statement showing a balance on a bank account, or a lease or other disposition of property; and </w:t>
            </w:r>
          </w:p>
          <w:p w14:paraId="40F08658" w14:textId="77777777" w:rsidR="00690BF6" w:rsidRPr="00E4265B" w:rsidRDefault="00690BF6" w:rsidP="0079430A">
            <w:pPr>
              <w:pStyle w:val="Heading9"/>
              <w:rPr>
                <w:rFonts w:ascii="Arial" w:hAnsi="Arial" w:cs="Arial"/>
                <w:sz w:val="22"/>
                <w:szCs w:val="22"/>
                <w:lang w:val="en-GB"/>
              </w:rPr>
            </w:pPr>
            <w:r w:rsidRPr="00E4265B">
              <w:rPr>
                <w:rFonts w:ascii="Arial" w:hAnsi="Arial" w:cs="Arial"/>
                <w:sz w:val="22"/>
                <w:szCs w:val="22"/>
                <w:lang w:val="en-GB"/>
              </w:rPr>
              <w:t>a Contract of Insurance.</w:t>
            </w:r>
          </w:p>
        </w:tc>
      </w:tr>
      <w:tr w:rsidR="00690BF6" w:rsidRPr="00E4265B" w14:paraId="2D59C436" w14:textId="77777777" w:rsidTr="00CD1719">
        <w:trPr>
          <w:gridBefore w:val="1"/>
          <w:wBefore w:w="882" w:type="dxa"/>
        </w:trPr>
        <w:tc>
          <w:tcPr>
            <w:tcW w:w="2462" w:type="dxa"/>
          </w:tcPr>
          <w:p w14:paraId="5D0B975C"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Delta</w:t>
            </w:r>
          </w:p>
        </w:tc>
        <w:tc>
          <w:tcPr>
            <w:tcW w:w="5188" w:type="dxa"/>
          </w:tcPr>
          <w:p w14:paraId="20BA7CFD"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The measure of an Option's sensitivity to a change in value of the underlying Investment, asset or property.</w:t>
            </w:r>
          </w:p>
        </w:tc>
      </w:tr>
      <w:tr w:rsidR="00690BF6" w:rsidRPr="00E4265B" w14:paraId="6B9B8E40" w14:textId="77777777" w:rsidTr="00CD1719">
        <w:trPr>
          <w:gridBefore w:val="1"/>
          <w:wBefore w:w="882" w:type="dxa"/>
        </w:trPr>
        <w:tc>
          <w:tcPr>
            <w:tcW w:w="2462" w:type="dxa"/>
          </w:tcPr>
          <w:p w14:paraId="67C91E56"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Deposit</w:t>
            </w:r>
          </w:p>
        </w:tc>
        <w:tc>
          <w:tcPr>
            <w:tcW w:w="5188" w:type="dxa"/>
          </w:tcPr>
          <w:p w14:paraId="299DB777" w14:textId="77777777" w:rsidR="00690BF6" w:rsidRPr="00E4265B" w:rsidRDefault="00690BF6" w:rsidP="00D13883">
            <w:pPr>
              <w:pStyle w:val="Heading8"/>
              <w:numPr>
                <w:ilvl w:val="7"/>
                <w:numId w:val="40"/>
              </w:numPr>
              <w:rPr>
                <w:rFonts w:ascii="Arial" w:hAnsi="Arial" w:cs="Arial"/>
                <w:sz w:val="22"/>
                <w:szCs w:val="22"/>
                <w:lang w:val="en-GB"/>
              </w:rPr>
            </w:pPr>
            <w:r w:rsidRPr="00E4265B">
              <w:rPr>
                <w:rFonts w:ascii="Arial" w:hAnsi="Arial" w:cs="Arial"/>
                <w:sz w:val="22"/>
                <w:szCs w:val="22"/>
                <w:lang w:val="en-GB"/>
              </w:rPr>
              <w:t xml:space="preserve">Means a sum of Money paid on terms: </w:t>
            </w:r>
          </w:p>
          <w:p w14:paraId="22940B20" w14:textId="77777777" w:rsidR="00690BF6" w:rsidRPr="00E4265B" w:rsidRDefault="00690BF6" w:rsidP="0079430A">
            <w:pPr>
              <w:pStyle w:val="Heading9"/>
              <w:rPr>
                <w:rFonts w:ascii="Arial" w:hAnsi="Arial" w:cs="Arial"/>
                <w:sz w:val="22"/>
                <w:szCs w:val="22"/>
                <w:lang w:val="en-GB"/>
              </w:rPr>
            </w:pPr>
            <w:r w:rsidRPr="00E4265B">
              <w:rPr>
                <w:rFonts w:ascii="Arial" w:hAnsi="Arial" w:cs="Arial"/>
                <w:sz w:val="22"/>
                <w:szCs w:val="22"/>
                <w:lang w:val="en-GB"/>
              </w:rPr>
              <w:t>under which it will be repaid, with or without interest or a premium, and either on demand or at a time or in circumstances agreed by or on behalf of the Person</w:t>
            </w:r>
            <w:r w:rsidRPr="00E4265B">
              <w:rPr>
                <w:rFonts w:ascii="Arial" w:hAnsi="Arial" w:cs="Arial"/>
                <w:sz w:val="22"/>
                <w:szCs w:val="22"/>
                <w:vertAlign w:val="superscript"/>
                <w:lang w:val="en-GB"/>
              </w:rPr>
              <w:t xml:space="preserve"> </w:t>
            </w:r>
            <w:r w:rsidRPr="00E4265B">
              <w:rPr>
                <w:rFonts w:ascii="Arial" w:hAnsi="Arial" w:cs="Arial"/>
                <w:sz w:val="22"/>
                <w:szCs w:val="22"/>
                <w:lang w:val="en-GB"/>
              </w:rPr>
              <w:t>making the payment and the Person receiving it; and</w:t>
            </w:r>
          </w:p>
          <w:p w14:paraId="247B9BA0" w14:textId="77777777" w:rsidR="00690BF6" w:rsidRPr="00E4265B" w:rsidRDefault="00690BF6" w:rsidP="0079430A">
            <w:pPr>
              <w:pStyle w:val="Heading9"/>
              <w:rPr>
                <w:rFonts w:ascii="Arial" w:hAnsi="Arial" w:cs="Arial"/>
                <w:sz w:val="22"/>
                <w:szCs w:val="22"/>
                <w:lang w:val="en-GB"/>
              </w:rPr>
            </w:pPr>
            <w:r w:rsidRPr="00E4265B">
              <w:rPr>
                <w:rFonts w:ascii="Arial" w:hAnsi="Arial" w:cs="Arial"/>
                <w:sz w:val="22"/>
                <w:szCs w:val="22"/>
                <w:lang w:val="en-GB"/>
              </w:rPr>
              <w:t>which is not referable to the provision of property (other than currency) or services or the giving of security.</w:t>
            </w:r>
          </w:p>
          <w:p w14:paraId="350E0A2A" w14:textId="77777777" w:rsidR="00690BF6" w:rsidRPr="00E4265B" w:rsidRDefault="00690BF6" w:rsidP="0079430A">
            <w:pPr>
              <w:pStyle w:val="Heading8"/>
              <w:rPr>
                <w:rFonts w:ascii="Arial" w:hAnsi="Arial" w:cs="Arial"/>
                <w:sz w:val="22"/>
                <w:szCs w:val="22"/>
                <w:lang w:val="en-GB"/>
              </w:rPr>
            </w:pPr>
            <w:r w:rsidRPr="00E4265B">
              <w:rPr>
                <w:rFonts w:ascii="Arial" w:hAnsi="Arial" w:cs="Arial"/>
                <w:sz w:val="22"/>
                <w:szCs w:val="22"/>
                <w:lang w:val="en-GB"/>
              </w:rPr>
              <w:t xml:space="preserve">In (1) Money is paid on terms which are referable to the provision of property or services or the giving of security if: </w:t>
            </w:r>
          </w:p>
          <w:p w14:paraId="76A8BA35" w14:textId="77777777" w:rsidR="00690BF6" w:rsidRPr="00E4265B" w:rsidRDefault="00690BF6" w:rsidP="0079430A">
            <w:pPr>
              <w:pStyle w:val="Heading9"/>
              <w:rPr>
                <w:rFonts w:ascii="Arial" w:hAnsi="Arial" w:cs="Arial"/>
                <w:sz w:val="22"/>
                <w:szCs w:val="22"/>
                <w:lang w:val="en-GB"/>
              </w:rPr>
            </w:pPr>
            <w:r w:rsidRPr="00E4265B">
              <w:rPr>
                <w:rFonts w:ascii="Arial" w:hAnsi="Arial" w:cs="Arial"/>
                <w:sz w:val="22"/>
                <w:szCs w:val="22"/>
                <w:lang w:val="en-GB"/>
              </w:rPr>
              <w:t xml:space="preserve">it is paid by way of advance or part payment under a contract for the sale, hire or other provision of property or services, and is repayable only in the event that the property or services are </w:t>
            </w:r>
            <w:r w:rsidRPr="00E4265B">
              <w:rPr>
                <w:rFonts w:ascii="Arial" w:hAnsi="Arial" w:cs="Arial"/>
                <w:sz w:val="22"/>
                <w:szCs w:val="22"/>
                <w:lang w:val="en-GB"/>
              </w:rPr>
              <w:lastRenderedPageBreak/>
              <w:t>not in fact sold, hired or otherwise provided;</w:t>
            </w:r>
          </w:p>
          <w:p w14:paraId="41FC7200" w14:textId="77777777" w:rsidR="00690BF6" w:rsidRPr="00E4265B" w:rsidRDefault="00690BF6" w:rsidP="0079430A">
            <w:pPr>
              <w:pStyle w:val="Heading9"/>
              <w:rPr>
                <w:rFonts w:ascii="Arial" w:hAnsi="Arial" w:cs="Arial"/>
                <w:sz w:val="22"/>
                <w:szCs w:val="22"/>
                <w:lang w:val="en-GB"/>
              </w:rPr>
            </w:pPr>
            <w:r w:rsidRPr="00E4265B">
              <w:rPr>
                <w:rFonts w:ascii="Arial" w:hAnsi="Arial" w:cs="Arial"/>
                <w:sz w:val="22"/>
                <w:szCs w:val="22"/>
                <w:lang w:val="en-GB"/>
              </w:rPr>
              <w:t>it is paid by way of security for the performance of a contract or by way of security in respect of loss which may result from the non-performance of a contract; or</w:t>
            </w:r>
          </w:p>
          <w:p w14:paraId="0CAE2F76" w14:textId="0C58CFCA" w:rsidR="00690BF6" w:rsidRPr="00E4265B" w:rsidRDefault="00690BF6" w:rsidP="00A8589F">
            <w:pPr>
              <w:pStyle w:val="Heading9"/>
              <w:rPr>
                <w:rFonts w:ascii="Arial" w:hAnsi="Arial" w:cs="Arial"/>
                <w:sz w:val="22"/>
                <w:szCs w:val="22"/>
                <w:lang w:val="en-GB"/>
              </w:rPr>
            </w:pPr>
            <w:r w:rsidRPr="00E4265B">
              <w:rPr>
                <w:rFonts w:ascii="Arial" w:hAnsi="Arial" w:cs="Arial"/>
                <w:sz w:val="22"/>
                <w:szCs w:val="22"/>
                <w:lang w:val="en-GB"/>
              </w:rPr>
              <w:t xml:space="preserve">without prejudice to (b), it is paid by way of security for the delivery </w:t>
            </w:r>
            <w:r w:rsidR="002B669F" w:rsidRPr="00E4265B">
              <w:rPr>
                <w:rFonts w:ascii="Arial" w:hAnsi="Arial" w:cs="Arial"/>
                <w:sz w:val="22"/>
                <w:szCs w:val="22"/>
                <w:lang w:val="en-GB"/>
              </w:rPr>
              <w:t>u</w:t>
            </w:r>
            <w:r w:rsidR="00A8589F" w:rsidRPr="00E4265B">
              <w:rPr>
                <w:rFonts w:ascii="Arial" w:hAnsi="Arial" w:cs="Arial"/>
                <w:sz w:val="22"/>
                <w:szCs w:val="22"/>
                <w:lang w:val="en-GB"/>
              </w:rPr>
              <w:t>p</w:t>
            </w:r>
            <w:r w:rsidRPr="00E4265B">
              <w:rPr>
                <w:rFonts w:ascii="Arial" w:hAnsi="Arial" w:cs="Arial"/>
                <w:sz w:val="22"/>
                <w:szCs w:val="22"/>
                <w:lang w:val="en-GB"/>
              </w:rPr>
              <w:t xml:space="preserve"> of property, whether in a particular state of repair or otherwise.</w:t>
            </w:r>
          </w:p>
          <w:p w14:paraId="115F83F5" w14:textId="77777777" w:rsidR="00690BF6" w:rsidRPr="00E4265B" w:rsidRDefault="00690BF6" w:rsidP="0079430A">
            <w:pPr>
              <w:pStyle w:val="Heading8"/>
              <w:rPr>
                <w:rFonts w:ascii="Arial" w:hAnsi="Arial" w:cs="Arial"/>
                <w:sz w:val="22"/>
                <w:szCs w:val="22"/>
                <w:lang w:val="en-GB"/>
              </w:rPr>
            </w:pPr>
            <w:r w:rsidRPr="00E4265B">
              <w:rPr>
                <w:rFonts w:ascii="Arial" w:hAnsi="Arial" w:cs="Arial"/>
                <w:sz w:val="22"/>
                <w:szCs w:val="22"/>
                <w:lang w:val="en-GB"/>
              </w:rPr>
              <w:t>A sum is not a Deposit</w:t>
            </w:r>
            <w:r w:rsidRPr="00E4265B">
              <w:rPr>
                <w:rFonts w:ascii="Arial" w:hAnsi="Arial" w:cs="Arial"/>
                <w:sz w:val="22"/>
                <w:szCs w:val="22"/>
                <w:vertAlign w:val="superscript"/>
                <w:lang w:val="en-GB"/>
              </w:rPr>
              <w:t xml:space="preserve"> </w:t>
            </w:r>
            <w:r w:rsidRPr="00E4265B">
              <w:rPr>
                <w:rFonts w:ascii="Arial" w:hAnsi="Arial" w:cs="Arial"/>
                <w:sz w:val="22"/>
                <w:szCs w:val="22"/>
                <w:lang w:val="en-GB"/>
              </w:rPr>
              <w:t>if it is paid:</w:t>
            </w:r>
          </w:p>
          <w:p w14:paraId="1856096D" w14:textId="77777777" w:rsidR="00690BF6" w:rsidRPr="00E4265B" w:rsidRDefault="00690BF6" w:rsidP="0079430A">
            <w:pPr>
              <w:pStyle w:val="Heading9"/>
              <w:rPr>
                <w:rFonts w:ascii="Arial" w:hAnsi="Arial" w:cs="Arial"/>
                <w:sz w:val="22"/>
                <w:szCs w:val="22"/>
                <w:lang w:val="en-GB"/>
              </w:rPr>
            </w:pPr>
            <w:r w:rsidRPr="00E4265B">
              <w:rPr>
                <w:rFonts w:ascii="Arial" w:hAnsi="Arial" w:cs="Arial"/>
                <w:sz w:val="22"/>
                <w:szCs w:val="22"/>
                <w:lang w:val="en-GB"/>
              </w:rPr>
              <w:t>by a Person</w:t>
            </w:r>
            <w:r w:rsidRPr="00E4265B">
              <w:rPr>
                <w:rFonts w:ascii="Arial" w:hAnsi="Arial" w:cs="Arial"/>
                <w:sz w:val="22"/>
                <w:szCs w:val="22"/>
                <w:vertAlign w:val="superscript"/>
                <w:lang w:val="en-GB"/>
              </w:rPr>
              <w:t xml:space="preserve"> </w:t>
            </w:r>
            <w:r w:rsidRPr="00E4265B">
              <w:rPr>
                <w:rFonts w:ascii="Arial" w:hAnsi="Arial" w:cs="Arial"/>
                <w:sz w:val="22"/>
                <w:szCs w:val="22"/>
                <w:lang w:val="en-GB"/>
              </w:rPr>
              <w:t>in the course of carrying on a business consisting wholly or to a significant extent of lending Money;</w:t>
            </w:r>
          </w:p>
          <w:p w14:paraId="37B44FA6" w14:textId="77777777" w:rsidR="00690BF6" w:rsidRPr="00E4265B" w:rsidRDefault="00690BF6" w:rsidP="0079430A">
            <w:pPr>
              <w:pStyle w:val="Heading9"/>
              <w:rPr>
                <w:rFonts w:ascii="Arial" w:hAnsi="Arial" w:cs="Arial"/>
                <w:sz w:val="22"/>
                <w:szCs w:val="22"/>
                <w:lang w:val="en-GB"/>
              </w:rPr>
            </w:pPr>
            <w:r w:rsidRPr="00E4265B">
              <w:rPr>
                <w:rFonts w:ascii="Arial" w:hAnsi="Arial" w:cs="Arial"/>
                <w:sz w:val="22"/>
                <w:szCs w:val="22"/>
                <w:lang w:val="en-GB"/>
              </w:rPr>
              <w:t>by one company to another at a time when both are members of the same Group;</w:t>
            </w:r>
          </w:p>
          <w:p w14:paraId="1B605DDC" w14:textId="77777777" w:rsidR="00690BF6" w:rsidRPr="00E4265B" w:rsidRDefault="00690BF6" w:rsidP="0079430A">
            <w:pPr>
              <w:pStyle w:val="Heading9"/>
              <w:rPr>
                <w:rFonts w:ascii="Arial" w:hAnsi="Arial" w:cs="Arial"/>
                <w:sz w:val="22"/>
                <w:szCs w:val="22"/>
                <w:lang w:val="en-GB"/>
              </w:rPr>
            </w:pPr>
            <w:r w:rsidRPr="00E4265B">
              <w:rPr>
                <w:rFonts w:ascii="Arial" w:hAnsi="Arial" w:cs="Arial"/>
                <w:sz w:val="22"/>
                <w:szCs w:val="22"/>
                <w:lang w:val="en-GB"/>
              </w:rPr>
              <w:t>by an Authorised Person</w:t>
            </w:r>
            <w:r w:rsidRPr="00E4265B">
              <w:rPr>
                <w:rFonts w:ascii="Arial" w:hAnsi="Arial" w:cs="Arial"/>
                <w:sz w:val="22"/>
                <w:szCs w:val="22"/>
                <w:vertAlign w:val="superscript"/>
                <w:lang w:val="en-GB"/>
              </w:rPr>
              <w:t xml:space="preserve"> </w:t>
            </w:r>
            <w:r w:rsidRPr="00E4265B">
              <w:rPr>
                <w:rFonts w:ascii="Arial" w:hAnsi="Arial" w:cs="Arial"/>
                <w:sz w:val="22"/>
                <w:szCs w:val="22"/>
                <w:lang w:val="en-GB"/>
              </w:rPr>
              <w:t xml:space="preserve">authorised under its Financial Services Permission to carry on the following Regulated Activities: </w:t>
            </w:r>
          </w:p>
          <w:p w14:paraId="5AFD907F" w14:textId="77777777" w:rsidR="00690BF6" w:rsidRPr="00E4265B" w:rsidRDefault="00690BF6" w:rsidP="0079430A">
            <w:pPr>
              <w:tabs>
                <w:tab w:val="left" w:pos="1170"/>
                <w:tab w:val="left" w:pos="1782"/>
              </w:tabs>
              <w:spacing w:before="120" w:after="120"/>
              <w:ind w:left="1782" w:hanging="1782"/>
              <w:jc w:val="both"/>
              <w:rPr>
                <w:rFonts w:ascii="Arial" w:hAnsi="Arial" w:cs="Arial"/>
                <w:sz w:val="22"/>
                <w:szCs w:val="22"/>
                <w:lang w:val="en-GB"/>
              </w:rPr>
            </w:pPr>
            <w:r w:rsidRPr="00E4265B">
              <w:rPr>
                <w:rFonts w:ascii="Arial" w:hAnsi="Arial" w:cs="Arial"/>
                <w:sz w:val="22"/>
                <w:szCs w:val="22"/>
                <w:lang w:val="en-GB"/>
              </w:rPr>
              <w:tab/>
              <w:t xml:space="preserve">(i) </w:t>
            </w:r>
            <w:r w:rsidRPr="00E4265B">
              <w:rPr>
                <w:rFonts w:ascii="Arial" w:hAnsi="Arial" w:cs="Arial"/>
                <w:sz w:val="22"/>
                <w:szCs w:val="22"/>
                <w:lang w:val="en-GB"/>
              </w:rPr>
              <w:tab/>
              <w:t>Accepting Deposits;</w:t>
            </w:r>
          </w:p>
          <w:p w14:paraId="4C9D2E3B" w14:textId="74C4DF54" w:rsidR="00690BF6" w:rsidRPr="00E4265B" w:rsidRDefault="00690BF6" w:rsidP="0079430A">
            <w:pPr>
              <w:tabs>
                <w:tab w:val="left" w:pos="1170"/>
                <w:tab w:val="left" w:pos="1782"/>
              </w:tabs>
              <w:spacing w:before="120" w:after="120"/>
              <w:ind w:left="1782" w:hanging="1782"/>
              <w:jc w:val="both"/>
              <w:rPr>
                <w:rFonts w:ascii="Arial" w:hAnsi="Arial" w:cs="Arial"/>
                <w:sz w:val="22"/>
                <w:szCs w:val="22"/>
                <w:lang w:val="en-GB"/>
              </w:rPr>
            </w:pPr>
            <w:r w:rsidRPr="00E4265B">
              <w:rPr>
                <w:rFonts w:ascii="Arial" w:hAnsi="Arial" w:cs="Arial"/>
                <w:sz w:val="22"/>
                <w:szCs w:val="22"/>
                <w:lang w:val="en-GB"/>
              </w:rPr>
              <w:tab/>
              <w:t xml:space="preserve">(ii) </w:t>
            </w:r>
            <w:r w:rsidRPr="00E4265B">
              <w:rPr>
                <w:rFonts w:ascii="Arial" w:hAnsi="Arial" w:cs="Arial"/>
                <w:sz w:val="22"/>
                <w:szCs w:val="22"/>
                <w:lang w:val="en-GB"/>
              </w:rPr>
              <w:tab/>
              <w:t>Eff</w:t>
            </w:r>
            <w:r w:rsidR="004E5DA6" w:rsidRPr="00E4265B">
              <w:rPr>
                <w:rFonts w:ascii="Arial" w:hAnsi="Arial" w:cs="Arial"/>
                <w:sz w:val="22"/>
                <w:szCs w:val="22"/>
                <w:lang w:val="en-GB"/>
              </w:rPr>
              <w:t xml:space="preserve">ecting Contracts of Insurance; </w:t>
            </w:r>
            <w:r w:rsidRPr="00E4265B">
              <w:rPr>
                <w:rFonts w:ascii="Arial" w:hAnsi="Arial" w:cs="Arial"/>
                <w:sz w:val="22"/>
                <w:szCs w:val="22"/>
                <w:lang w:val="en-GB"/>
              </w:rPr>
              <w:t>or</w:t>
            </w:r>
          </w:p>
          <w:p w14:paraId="45035BF5" w14:textId="77777777" w:rsidR="00690BF6" w:rsidRPr="00E4265B" w:rsidRDefault="00690BF6" w:rsidP="0079430A">
            <w:pPr>
              <w:tabs>
                <w:tab w:val="left" w:pos="1170"/>
                <w:tab w:val="left" w:pos="1782"/>
              </w:tabs>
              <w:spacing w:before="120" w:after="120"/>
              <w:ind w:left="1782" w:hanging="1782"/>
              <w:jc w:val="both"/>
              <w:rPr>
                <w:rFonts w:ascii="Arial" w:hAnsi="Arial" w:cs="Arial"/>
                <w:sz w:val="22"/>
                <w:szCs w:val="22"/>
                <w:lang w:val="en-GB"/>
              </w:rPr>
            </w:pPr>
            <w:r w:rsidRPr="00E4265B">
              <w:rPr>
                <w:rFonts w:ascii="Arial" w:hAnsi="Arial" w:cs="Arial"/>
                <w:sz w:val="22"/>
                <w:szCs w:val="22"/>
                <w:lang w:val="en-GB"/>
              </w:rPr>
              <w:tab/>
              <w:t xml:space="preserve">(iii) </w:t>
            </w:r>
            <w:r w:rsidRPr="00E4265B">
              <w:rPr>
                <w:rFonts w:ascii="Arial" w:hAnsi="Arial" w:cs="Arial"/>
                <w:sz w:val="22"/>
                <w:szCs w:val="22"/>
                <w:lang w:val="en-GB"/>
              </w:rPr>
              <w:tab/>
              <w:t>Carrying Out Contracts of Insurance as Principal; or</w:t>
            </w:r>
          </w:p>
          <w:p w14:paraId="2CEBADA2" w14:textId="77777777" w:rsidR="00690BF6" w:rsidRPr="00E4265B" w:rsidRDefault="00690BF6" w:rsidP="0079430A">
            <w:pPr>
              <w:pStyle w:val="Heading9"/>
              <w:rPr>
                <w:rFonts w:ascii="Arial" w:hAnsi="Arial" w:cs="Arial"/>
                <w:sz w:val="22"/>
                <w:szCs w:val="22"/>
                <w:lang w:val="en-GB"/>
              </w:rPr>
            </w:pPr>
            <w:r w:rsidRPr="00E4265B">
              <w:rPr>
                <w:rFonts w:ascii="Arial" w:hAnsi="Arial" w:cs="Arial"/>
                <w:sz w:val="22"/>
                <w:szCs w:val="22"/>
                <w:lang w:val="en-GB"/>
              </w:rPr>
              <w:t>by a Person</w:t>
            </w:r>
            <w:r w:rsidRPr="00E4265B">
              <w:rPr>
                <w:rFonts w:ascii="Arial" w:hAnsi="Arial" w:cs="Arial"/>
                <w:sz w:val="22"/>
                <w:szCs w:val="22"/>
                <w:vertAlign w:val="superscript"/>
                <w:lang w:val="en-GB"/>
              </w:rPr>
              <w:t xml:space="preserve"> </w:t>
            </w:r>
            <w:r w:rsidRPr="00E4265B">
              <w:rPr>
                <w:rFonts w:ascii="Arial" w:hAnsi="Arial" w:cs="Arial"/>
                <w:sz w:val="22"/>
                <w:szCs w:val="22"/>
                <w:lang w:val="en-GB"/>
              </w:rPr>
              <w:t xml:space="preserve">who is a Close Relative of the </w:t>
            </w:r>
            <w:r w:rsidRPr="00E4265B">
              <w:rPr>
                <w:rFonts w:ascii="Arial" w:hAnsi="Arial" w:cs="Arial"/>
                <w:color w:val="222222"/>
                <w:sz w:val="22"/>
                <w:szCs w:val="22"/>
                <w:lang w:val="en-GB"/>
              </w:rPr>
              <w:t xml:space="preserve"> </w:t>
            </w:r>
            <w:r w:rsidRPr="00E4265B">
              <w:rPr>
                <w:rFonts w:ascii="Arial" w:hAnsi="Arial" w:cs="Arial"/>
                <w:sz w:val="22"/>
                <w:szCs w:val="22"/>
                <w:lang w:val="en-GB"/>
              </w:rPr>
              <w:t xml:space="preserve">Person </w:t>
            </w:r>
            <w:r w:rsidRPr="00E4265B">
              <w:rPr>
                <w:rFonts w:ascii="Arial" w:hAnsi="Arial" w:cs="Arial"/>
                <w:color w:val="222222"/>
                <w:sz w:val="22"/>
                <w:szCs w:val="22"/>
                <w:lang w:val="en-GB"/>
              </w:rPr>
              <w:t>receiving</w:t>
            </w:r>
            <w:r w:rsidRPr="00E4265B">
              <w:rPr>
                <w:rFonts w:ascii="Arial" w:hAnsi="Arial" w:cs="Arial"/>
                <w:sz w:val="22"/>
                <w:szCs w:val="22"/>
                <w:lang w:val="en-GB"/>
              </w:rPr>
              <w:t xml:space="preserve"> it or who is a Director, manager or </w:t>
            </w:r>
            <w:r w:rsidRPr="00E4265B">
              <w:rPr>
                <w:rFonts w:ascii="Arial" w:hAnsi="Arial" w:cs="Arial"/>
                <w:color w:val="222222"/>
                <w:sz w:val="22"/>
                <w:szCs w:val="22"/>
                <w:lang w:val="en-GB"/>
              </w:rPr>
              <w:t>Controller</w:t>
            </w:r>
            <w:r w:rsidRPr="00E4265B">
              <w:rPr>
                <w:rFonts w:ascii="Arial" w:hAnsi="Arial" w:cs="Arial"/>
                <w:sz w:val="22"/>
                <w:szCs w:val="22"/>
                <w:lang w:val="en-GB"/>
              </w:rPr>
              <w:t xml:space="preserve"> of that Person.</w:t>
            </w:r>
          </w:p>
          <w:p w14:paraId="6870DB58" w14:textId="77777777" w:rsidR="00690BF6" w:rsidRPr="00E4265B" w:rsidRDefault="00690BF6" w:rsidP="0079430A">
            <w:pPr>
              <w:pStyle w:val="Heading8"/>
              <w:rPr>
                <w:rFonts w:ascii="Arial" w:hAnsi="Arial" w:cs="Arial"/>
                <w:sz w:val="22"/>
                <w:szCs w:val="22"/>
                <w:lang w:val="en-GB"/>
              </w:rPr>
            </w:pPr>
            <w:r w:rsidRPr="00E4265B">
              <w:rPr>
                <w:rFonts w:ascii="Arial" w:hAnsi="Arial" w:cs="Arial"/>
                <w:sz w:val="22"/>
                <w:szCs w:val="22"/>
                <w:lang w:val="en-GB"/>
              </w:rPr>
              <w:t>A sum is not a Deposit if it is received:</w:t>
            </w:r>
          </w:p>
          <w:p w14:paraId="4C9BA159" w14:textId="7096966F" w:rsidR="00690BF6" w:rsidRPr="00E4265B" w:rsidRDefault="00690BF6" w:rsidP="002B669F">
            <w:pPr>
              <w:pStyle w:val="Heading9"/>
              <w:rPr>
                <w:rFonts w:ascii="Arial" w:hAnsi="Arial" w:cs="Arial"/>
                <w:sz w:val="22"/>
                <w:szCs w:val="22"/>
                <w:lang w:val="en-GB"/>
              </w:rPr>
            </w:pPr>
            <w:r w:rsidRPr="00E4265B">
              <w:rPr>
                <w:rFonts w:ascii="Arial" w:hAnsi="Arial" w:cs="Arial"/>
                <w:sz w:val="22"/>
                <w:szCs w:val="22"/>
                <w:lang w:val="en-GB"/>
              </w:rPr>
              <w:t xml:space="preserve">by a lawyer acting in </w:t>
            </w:r>
            <w:r w:rsidR="002B669F" w:rsidRPr="00E4265B">
              <w:rPr>
                <w:rFonts w:ascii="Arial" w:hAnsi="Arial" w:cs="Arial"/>
                <w:sz w:val="22"/>
                <w:szCs w:val="22"/>
                <w:lang w:val="en-GB"/>
              </w:rPr>
              <w:t>his</w:t>
            </w:r>
            <w:r w:rsidRPr="00E4265B">
              <w:rPr>
                <w:rFonts w:ascii="Arial" w:hAnsi="Arial" w:cs="Arial"/>
                <w:sz w:val="22"/>
                <w:szCs w:val="22"/>
                <w:lang w:val="en-GB"/>
              </w:rPr>
              <w:t xml:space="preserve"> professional capacity;</w:t>
            </w:r>
          </w:p>
          <w:p w14:paraId="0989C022" w14:textId="7D47B221" w:rsidR="00690BF6" w:rsidRPr="00E4265B" w:rsidRDefault="00690BF6" w:rsidP="002B669F">
            <w:pPr>
              <w:pStyle w:val="Heading9"/>
              <w:rPr>
                <w:rFonts w:ascii="Arial" w:hAnsi="Arial" w:cs="Arial"/>
                <w:sz w:val="22"/>
                <w:szCs w:val="22"/>
                <w:lang w:val="en-GB"/>
              </w:rPr>
            </w:pPr>
            <w:r w:rsidRPr="00E4265B">
              <w:rPr>
                <w:rFonts w:ascii="Arial" w:hAnsi="Arial" w:cs="Arial"/>
                <w:sz w:val="22"/>
                <w:szCs w:val="22"/>
                <w:lang w:val="en-GB"/>
              </w:rPr>
              <w:t xml:space="preserve">by an accountant acting in </w:t>
            </w:r>
            <w:r w:rsidR="002B669F" w:rsidRPr="00E4265B">
              <w:rPr>
                <w:rFonts w:ascii="Arial" w:hAnsi="Arial" w:cs="Arial"/>
                <w:sz w:val="22"/>
                <w:szCs w:val="22"/>
                <w:lang w:val="en-GB"/>
              </w:rPr>
              <w:t>his</w:t>
            </w:r>
            <w:r w:rsidRPr="00E4265B">
              <w:rPr>
                <w:rFonts w:ascii="Arial" w:hAnsi="Arial" w:cs="Arial"/>
                <w:sz w:val="22"/>
                <w:szCs w:val="22"/>
                <w:lang w:val="en-GB"/>
              </w:rPr>
              <w:t xml:space="preserve"> professional capacity;</w:t>
            </w:r>
          </w:p>
          <w:p w14:paraId="049C81F1" w14:textId="77777777" w:rsidR="00690BF6" w:rsidRPr="00E4265B" w:rsidRDefault="00690BF6" w:rsidP="0079430A">
            <w:pPr>
              <w:pStyle w:val="Heading9"/>
              <w:rPr>
                <w:rFonts w:ascii="Arial" w:hAnsi="Arial" w:cs="Arial"/>
                <w:sz w:val="22"/>
                <w:szCs w:val="22"/>
                <w:lang w:val="en-GB"/>
              </w:rPr>
            </w:pPr>
            <w:r w:rsidRPr="00E4265B">
              <w:rPr>
                <w:rFonts w:ascii="Arial" w:hAnsi="Arial" w:cs="Arial"/>
                <w:sz w:val="22"/>
                <w:szCs w:val="22"/>
                <w:lang w:val="en-GB"/>
              </w:rPr>
              <w:t>by an Authorised Person or a Recognised Body authorised under its Financial Services Permission to carry on any one or more of the following Regulated Activities:</w:t>
            </w:r>
          </w:p>
          <w:p w14:paraId="0331A6C3" w14:textId="77777777" w:rsidR="00690BF6" w:rsidRPr="00E4265B" w:rsidRDefault="00690BF6" w:rsidP="0079430A">
            <w:pPr>
              <w:tabs>
                <w:tab w:val="left" w:pos="1170"/>
                <w:tab w:val="left" w:pos="1818"/>
              </w:tabs>
              <w:spacing w:before="120" w:after="120"/>
              <w:ind w:left="1818" w:hanging="1818"/>
              <w:jc w:val="both"/>
              <w:rPr>
                <w:rFonts w:ascii="Arial" w:hAnsi="Arial" w:cs="Arial"/>
                <w:sz w:val="22"/>
                <w:szCs w:val="22"/>
                <w:lang w:val="en-GB"/>
              </w:rPr>
            </w:pPr>
            <w:r w:rsidRPr="00E4265B">
              <w:rPr>
                <w:rFonts w:ascii="Arial" w:hAnsi="Arial" w:cs="Arial"/>
                <w:sz w:val="22"/>
                <w:szCs w:val="22"/>
                <w:lang w:val="en-GB"/>
              </w:rPr>
              <w:lastRenderedPageBreak/>
              <w:tab/>
              <w:t xml:space="preserve">(i) </w:t>
            </w:r>
            <w:r w:rsidRPr="00E4265B">
              <w:rPr>
                <w:rFonts w:ascii="Arial" w:hAnsi="Arial" w:cs="Arial"/>
                <w:sz w:val="22"/>
                <w:szCs w:val="22"/>
                <w:lang w:val="en-GB"/>
              </w:rPr>
              <w:tab/>
              <w:t>Dealing in Investments as Principal;</w:t>
            </w:r>
          </w:p>
          <w:p w14:paraId="22D740C3" w14:textId="77777777" w:rsidR="00690BF6" w:rsidRPr="00E4265B" w:rsidRDefault="00690BF6" w:rsidP="0079430A">
            <w:pPr>
              <w:tabs>
                <w:tab w:val="left" w:pos="1170"/>
                <w:tab w:val="left" w:pos="1818"/>
              </w:tabs>
              <w:spacing w:before="120" w:after="120"/>
              <w:ind w:left="1818" w:hanging="1818"/>
              <w:jc w:val="both"/>
              <w:rPr>
                <w:rFonts w:ascii="Arial" w:hAnsi="Arial" w:cs="Arial"/>
                <w:sz w:val="22"/>
                <w:szCs w:val="22"/>
                <w:lang w:val="en-GB"/>
              </w:rPr>
            </w:pPr>
            <w:r w:rsidRPr="00E4265B">
              <w:rPr>
                <w:rFonts w:ascii="Arial" w:hAnsi="Arial" w:cs="Arial"/>
                <w:sz w:val="22"/>
                <w:szCs w:val="22"/>
                <w:lang w:val="en-GB"/>
              </w:rPr>
              <w:tab/>
              <w:t xml:space="preserve">(ii) </w:t>
            </w:r>
            <w:r w:rsidRPr="00E4265B">
              <w:rPr>
                <w:rFonts w:ascii="Arial" w:hAnsi="Arial" w:cs="Arial"/>
                <w:sz w:val="22"/>
                <w:szCs w:val="22"/>
                <w:lang w:val="en-GB"/>
              </w:rPr>
              <w:tab/>
              <w:t>Dealing in Investments as Agent;</w:t>
            </w:r>
          </w:p>
          <w:p w14:paraId="36DC3BFB" w14:textId="77777777" w:rsidR="00690BF6" w:rsidRPr="00E4265B" w:rsidRDefault="00690BF6" w:rsidP="0079430A">
            <w:pPr>
              <w:tabs>
                <w:tab w:val="left" w:pos="1170"/>
                <w:tab w:val="left" w:pos="1818"/>
              </w:tabs>
              <w:spacing w:before="120" w:after="120"/>
              <w:ind w:left="1818" w:hanging="1818"/>
              <w:jc w:val="both"/>
              <w:rPr>
                <w:rFonts w:ascii="Arial" w:hAnsi="Arial" w:cs="Arial"/>
                <w:sz w:val="22"/>
                <w:szCs w:val="22"/>
                <w:lang w:val="en-GB"/>
              </w:rPr>
            </w:pPr>
            <w:r w:rsidRPr="00E4265B">
              <w:rPr>
                <w:rFonts w:ascii="Arial" w:hAnsi="Arial" w:cs="Arial"/>
                <w:sz w:val="22"/>
                <w:szCs w:val="22"/>
                <w:lang w:val="en-GB"/>
              </w:rPr>
              <w:tab/>
              <w:t xml:space="preserve">(iii) </w:t>
            </w:r>
            <w:r w:rsidRPr="00E4265B">
              <w:rPr>
                <w:rFonts w:ascii="Arial" w:hAnsi="Arial" w:cs="Arial"/>
                <w:sz w:val="22"/>
                <w:szCs w:val="22"/>
                <w:lang w:val="en-GB"/>
              </w:rPr>
              <w:tab/>
              <w:t>Arranging Credit;</w:t>
            </w:r>
          </w:p>
          <w:p w14:paraId="39F5CD12" w14:textId="77777777" w:rsidR="00690BF6" w:rsidRPr="00E4265B" w:rsidRDefault="00690BF6" w:rsidP="005D30CC">
            <w:pPr>
              <w:tabs>
                <w:tab w:val="left" w:pos="1170"/>
                <w:tab w:val="left" w:pos="1818"/>
              </w:tabs>
              <w:spacing w:before="120" w:after="120"/>
              <w:ind w:left="1818" w:hanging="1818"/>
              <w:jc w:val="both"/>
              <w:rPr>
                <w:rFonts w:ascii="Arial" w:hAnsi="Arial" w:cs="Arial"/>
                <w:sz w:val="22"/>
                <w:szCs w:val="22"/>
                <w:lang w:val="en-GB"/>
              </w:rPr>
            </w:pPr>
            <w:r w:rsidRPr="00E4265B">
              <w:rPr>
                <w:rFonts w:ascii="Arial" w:hAnsi="Arial" w:cs="Arial"/>
                <w:sz w:val="22"/>
                <w:szCs w:val="22"/>
                <w:lang w:val="en-GB"/>
              </w:rPr>
              <w:tab/>
              <w:t xml:space="preserve">(iv) </w:t>
            </w:r>
            <w:r w:rsidRPr="00E4265B">
              <w:rPr>
                <w:rFonts w:ascii="Arial" w:hAnsi="Arial" w:cs="Arial"/>
                <w:sz w:val="22"/>
                <w:szCs w:val="22"/>
                <w:lang w:val="en-GB"/>
              </w:rPr>
              <w:tab/>
              <w:t>Arranging Deals in Investments;</w:t>
            </w:r>
          </w:p>
          <w:p w14:paraId="25C910EB" w14:textId="77777777" w:rsidR="00690BF6" w:rsidRPr="00E4265B" w:rsidRDefault="00690BF6" w:rsidP="0079430A">
            <w:pPr>
              <w:tabs>
                <w:tab w:val="left" w:pos="1170"/>
                <w:tab w:val="left" w:pos="1818"/>
              </w:tabs>
              <w:spacing w:before="120" w:after="120"/>
              <w:ind w:left="1818" w:hanging="1818"/>
              <w:jc w:val="both"/>
              <w:rPr>
                <w:rFonts w:ascii="Arial" w:hAnsi="Arial" w:cs="Arial"/>
                <w:sz w:val="22"/>
                <w:szCs w:val="22"/>
                <w:lang w:val="en-GB"/>
              </w:rPr>
            </w:pPr>
            <w:r w:rsidRPr="00E4265B">
              <w:rPr>
                <w:rFonts w:ascii="Arial" w:hAnsi="Arial" w:cs="Arial"/>
                <w:sz w:val="22"/>
                <w:szCs w:val="22"/>
                <w:lang w:val="en-GB"/>
              </w:rPr>
              <w:tab/>
              <w:t xml:space="preserve">(v) </w:t>
            </w:r>
            <w:r w:rsidRPr="00E4265B">
              <w:rPr>
                <w:rFonts w:ascii="Arial" w:hAnsi="Arial" w:cs="Arial"/>
                <w:sz w:val="22"/>
                <w:szCs w:val="22"/>
                <w:lang w:val="en-GB"/>
              </w:rPr>
              <w:tab/>
              <w:t>Managing Assets;</w:t>
            </w:r>
          </w:p>
          <w:p w14:paraId="2D9AD7FF" w14:textId="77777777" w:rsidR="00690BF6" w:rsidRPr="00E4265B" w:rsidRDefault="00690BF6" w:rsidP="0079430A">
            <w:pPr>
              <w:tabs>
                <w:tab w:val="left" w:pos="1170"/>
                <w:tab w:val="left" w:pos="1818"/>
              </w:tabs>
              <w:spacing w:before="120" w:after="120"/>
              <w:ind w:left="1818" w:hanging="1818"/>
              <w:jc w:val="both"/>
              <w:rPr>
                <w:rFonts w:ascii="Arial" w:hAnsi="Arial" w:cs="Arial"/>
                <w:sz w:val="22"/>
                <w:szCs w:val="22"/>
                <w:lang w:val="en-GB"/>
              </w:rPr>
            </w:pPr>
            <w:r w:rsidRPr="00E4265B">
              <w:rPr>
                <w:rFonts w:ascii="Arial" w:hAnsi="Arial" w:cs="Arial"/>
                <w:sz w:val="22"/>
                <w:szCs w:val="22"/>
                <w:lang w:val="en-GB"/>
              </w:rPr>
              <w:tab/>
              <w:t xml:space="preserve">(vi) </w:t>
            </w:r>
            <w:r w:rsidRPr="00E4265B">
              <w:rPr>
                <w:rFonts w:ascii="Arial" w:hAnsi="Arial" w:cs="Arial"/>
                <w:sz w:val="22"/>
                <w:szCs w:val="22"/>
                <w:lang w:val="en-GB"/>
              </w:rPr>
              <w:tab/>
              <w:t>Operating a Collective Investment Fund;</w:t>
            </w:r>
          </w:p>
          <w:p w14:paraId="285D1633" w14:textId="77777777" w:rsidR="00690BF6" w:rsidRPr="00E4265B" w:rsidRDefault="00690BF6" w:rsidP="0079430A">
            <w:pPr>
              <w:tabs>
                <w:tab w:val="left" w:pos="1170"/>
                <w:tab w:val="left" w:pos="1818"/>
              </w:tabs>
              <w:spacing w:before="120" w:after="120"/>
              <w:ind w:left="1818" w:hanging="1818"/>
              <w:jc w:val="both"/>
              <w:rPr>
                <w:rFonts w:ascii="Arial" w:hAnsi="Arial" w:cs="Arial"/>
                <w:sz w:val="22"/>
                <w:szCs w:val="22"/>
                <w:lang w:val="en-GB"/>
              </w:rPr>
            </w:pPr>
            <w:r w:rsidRPr="00E4265B">
              <w:rPr>
                <w:rFonts w:ascii="Arial" w:hAnsi="Arial" w:cs="Arial"/>
                <w:sz w:val="22"/>
                <w:szCs w:val="22"/>
                <w:lang w:val="en-GB"/>
              </w:rPr>
              <w:tab/>
              <w:t xml:space="preserve">(vii) </w:t>
            </w:r>
            <w:r w:rsidRPr="00E4265B">
              <w:rPr>
                <w:rFonts w:ascii="Arial" w:hAnsi="Arial" w:cs="Arial"/>
                <w:sz w:val="22"/>
                <w:szCs w:val="22"/>
                <w:lang w:val="en-GB"/>
              </w:rPr>
              <w:tab/>
              <w:t>Effecting Contracts of Insurance;</w:t>
            </w:r>
          </w:p>
          <w:p w14:paraId="16295DB9" w14:textId="77777777" w:rsidR="00690BF6" w:rsidRPr="00E4265B" w:rsidRDefault="00690BF6" w:rsidP="0079430A">
            <w:pPr>
              <w:tabs>
                <w:tab w:val="left" w:pos="1170"/>
                <w:tab w:val="left" w:pos="1818"/>
              </w:tabs>
              <w:spacing w:before="120" w:after="120"/>
              <w:ind w:left="1818" w:hanging="1818"/>
              <w:jc w:val="both"/>
              <w:rPr>
                <w:rFonts w:ascii="Arial" w:hAnsi="Arial" w:cs="Arial"/>
                <w:sz w:val="22"/>
                <w:szCs w:val="22"/>
                <w:lang w:val="en-GB"/>
              </w:rPr>
            </w:pPr>
            <w:r w:rsidRPr="00E4265B">
              <w:rPr>
                <w:rFonts w:ascii="Arial" w:hAnsi="Arial" w:cs="Arial"/>
                <w:sz w:val="22"/>
                <w:szCs w:val="22"/>
                <w:lang w:val="en-GB"/>
              </w:rPr>
              <w:tab/>
              <w:t xml:space="preserve">(viii) </w:t>
            </w:r>
            <w:r w:rsidRPr="00E4265B">
              <w:rPr>
                <w:rFonts w:ascii="Arial" w:hAnsi="Arial" w:cs="Arial"/>
                <w:sz w:val="22"/>
                <w:szCs w:val="22"/>
                <w:lang w:val="en-GB"/>
              </w:rPr>
              <w:tab/>
              <w:t>Carrying Out Contracts of Insurance as Principal;</w:t>
            </w:r>
          </w:p>
          <w:p w14:paraId="4BFD48B7" w14:textId="77777777" w:rsidR="00690BF6" w:rsidRPr="00E4265B" w:rsidRDefault="00690BF6" w:rsidP="0079430A">
            <w:pPr>
              <w:tabs>
                <w:tab w:val="left" w:pos="1170"/>
                <w:tab w:val="left" w:pos="1818"/>
              </w:tabs>
              <w:spacing w:before="120" w:after="120"/>
              <w:ind w:left="1818" w:hanging="1818"/>
              <w:jc w:val="both"/>
              <w:rPr>
                <w:rFonts w:ascii="Arial" w:hAnsi="Arial" w:cs="Arial"/>
                <w:sz w:val="22"/>
                <w:szCs w:val="22"/>
                <w:lang w:val="en-GB"/>
              </w:rPr>
            </w:pPr>
            <w:r w:rsidRPr="00E4265B">
              <w:rPr>
                <w:rFonts w:ascii="Arial" w:hAnsi="Arial" w:cs="Arial"/>
                <w:sz w:val="22"/>
                <w:szCs w:val="22"/>
                <w:lang w:val="en-GB"/>
              </w:rPr>
              <w:tab/>
              <w:t xml:space="preserve">(ix) </w:t>
            </w:r>
            <w:r w:rsidRPr="00E4265B">
              <w:rPr>
                <w:rFonts w:ascii="Arial" w:hAnsi="Arial" w:cs="Arial"/>
                <w:sz w:val="22"/>
                <w:szCs w:val="22"/>
                <w:lang w:val="en-GB"/>
              </w:rPr>
              <w:tab/>
              <w:t>Insurance Intermediation;</w:t>
            </w:r>
          </w:p>
          <w:p w14:paraId="4EDB6B66" w14:textId="77777777" w:rsidR="00690BF6" w:rsidRPr="00E4265B" w:rsidRDefault="00690BF6" w:rsidP="0079430A">
            <w:pPr>
              <w:tabs>
                <w:tab w:val="left" w:pos="1170"/>
                <w:tab w:val="left" w:pos="1818"/>
              </w:tabs>
              <w:spacing w:before="120" w:after="120"/>
              <w:ind w:left="1818" w:hanging="1818"/>
              <w:jc w:val="both"/>
              <w:rPr>
                <w:rFonts w:ascii="Arial" w:hAnsi="Arial" w:cs="Arial"/>
                <w:sz w:val="22"/>
                <w:szCs w:val="22"/>
                <w:lang w:val="en-GB"/>
              </w:rPr>
            </w:pPr>
            <w:r w:rsidRPr="00E4265B">
              <w:rPr>
                <w:rFonts w:ascii="Arial" w:hAnsi="Arial" w:cs="Arial"/>
                <w:sz w:val="22"/>
                <w:szCs w:val="22"/>
                <w:lang w:val="en-GB"/>
              </w:rPr>
              <w:tab/>
              <w:t xml:space="preserve">(x) </w:t>
            </w:r>
            <w:r w:rsidRPr="00E4265B">
              <w:rPr>
                <w:rFonts w:ascii="Arial" w:hAnsi="Arial" w:cs="Arial"/>
                <w:sz w:val="22"/>
                <w:szCs w:val="22"/>
                <w:lang w:val="en-GB"/>
              </w:rPr>
              <w:tab/>
              <w:t>Insurance Management; or</w:t>
            </w:r>
          </w:p>
          <w:p w14:paraId="52B3F681" w14:textId="77777777" w:rsidR="00690BF6" w:rsidRPr="00E4265B" w:rsidRDefault="00690BF6" w:rsidP="0079430A">
            <w:pPr>
              <w:tabs>
                <w:tab w:val="left" w:pos="1170"/>
                <w:tab w:val="left" w:pos="1818"/>
              </w:tabs>
              <w:spacing w:before="120" w:after="120"/>
              <w:ind w:left="1818" w:hanging="1818"/>
              <w:jc w:val="both"/>
              <w:rPr>
                <w:rFonts w:ascii="Arial" w:hAnsi="Arial" w:cs="Arial"/>
                <w:sz w:val="22"/>
                <w:szCs w:val="22"/>
                <w:lang w:val="en-GB"/>
              </w:rPr>
            </w:pPr>
            <w:r w:rsidRPr="00E4265B">
              <w:rPr>
                <w:rFonts w:ascii="Arial" w:hAnsi="Arial" w:cs="Arial"/>
                <w:sz w:val="22"/>
                <w:szCs w:val="22"/>
                <w:lang w:val="en-GB"/>
              </w:rPr>
              <w:tab/>
              <w:t xml:space="preserve">(xi) </w:t>
            </w:r>
            <w:r w:rsidRPr="00E4265B">
              <w:rPr>
                <w:rFonts w:ascii="Arial" w:hAnsi="Arial" w:cs="Arial"/>
                <w:sz w:val="22"/>
                <w:szCs w:val="22"/>
                <w:lang w:val="en-GB"/>
              </w:rPr>
              <w:tab/>
              <w:t>Managing a Profit Sharing Investment Account</w:t>
            </w:r>
            <w:r w:rsidR="002E5BB8" w:rsidRPr="00E4265B">
              <w:rPr>
                <w:rFonts w:ascii="Arial" w:hAnsi="Arial" w:cs="Arial"/>
                <w:sz w:val="22"/>
                <w:szCs w:val="22"/>
                <w:lang w:val="en-GB"/>
              </w:rPr>
              <w:t>,</w:t>
            </w:r>
          </w:p>
          <w:p w14:paraId="5D049385" w14:textId="77777777" w:rsidR="00690BF6" w:rsidRPr="00E4265B" w:rsidRDefault="00690BF6" w:rsidP="0079430A">
            <w:pPr>
              <w:spacing w:before="120" w:after="120"/>
              <w:ind w:left="720"/>
              <w:jc w:val="both"/>
              <w:rPr>
                <w:rFonts w:ascii="Arial" w:hAnsi="Arial" w:cs="Arial"/>
                <w:sz w:val="22"/>
                <w:szCs w:val="22"/>
                <w:lang w:val="en-GB"/>
              </w:rPr>
            </w:pPr>
            <w:r w:rsidRPr="00E4265B">
              <w:rPr>
                <w:rFonts w:ascii="Arial" w:hAnsi="Arial" w:cs="Arial"/>
                <w:sz w:val="22"/>
                <w:szCs w:val="22"/>
                <w:lang w:val="en-GB"/>
              </w:rPr>
              <w:t>in the course of or for the purpose of any such Regulated Activity disregarding any applicable exclusions in the GEN rules; or</w:t>
            </w:r>
          </w:p>
          <w:p w14:paraId="139C3B4C" w14:textId="77777777" w:rsidR="00690BF6" w:rsidRPr="00E4265B" w:rsidRDefault="00690BF6" w:rsidP="0079430A">
            <w:pPr>
              <w:pStyle w:val="Heading9"/>
              <w:rPr>
                <w:rFonts w:ascii="Arial" w:hAnsi="Arial" w:cs="Arial"/>
                <w:sz w:val="22"/>
                <w:szCs w:val="22"/>
                <w:lang w:val="en-GB"/>
              </w:rPr>
            </w:pPr>
            <w:r w:rsidRPr="00E4265B">
              <w:rPr>
                <w:rFonts w:ascii="Arial" w:hAnsi="Arial" w:cs="Arial"/>
                <w:sz w:val="22"/>
                <w:szCs w:val="22"/>
                <w:lang w:val="en-GB"/>
              </w:rPr>
              <w:t>by a Person as consideration for the issue by him of a Debenture.</w:t>
            </w:r>
          </w:p>
        </w:tc>
      </w:tr>
      <w:tr w:rsidR="00690BF6" w:rsidRPr="00E4265B" w14:paraId="649B1000" w14:textId="77777777" w:rsidTr="00CD1719">
        <w:trPr>
          <w:gridBefore w:val="1"/>
          <w:wBefore w:w="882" w:type="dxa"/>
        </w:trPr>
        <w:tc>
          <w:tcPr>
            <w:tcW w:w="2462" w:type="dxa"/>
          </w:tcPr>
          <w:p w14:paraId="49AD1D9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Derivative</w:t>
            </w:r>
            <w:r w:rsidR="00BF3963" w:rsidRPr="00E4265B">
              <w:rPr>
                <w:rFonts w:ascii="Arial" w:hAnsi="Arial" w:cs="Arial"/>
                <w:sz w:val="22"/>
                <w:szCs w:val="22"/>
                <w:lang w:val="en-GB"/>
              </w:rPr>
              <w:t xml:space="preserve"> or Derivative Contract</w:t>
            </w:r>
          </w:p>
        </w:tc>
        <w:tc>
          <w:tcPr>
            <w:tcW w:w="5188" w:type="dxa"/>
          </w:tcPr>
          <w:p w14:paraId="1154284F" w14:textId="5D41FC03" w:rsidR="00690BF6" w:rsidRPr="00E4265B" w:rsidRDefault="00BF3963" w:rsidP="00F80299">
            <w:pPr>
              <w:spacing w:before="120" w:after="120"/>
              <w:jc w:val="both"/>
              <w:rPr>
                <w:rFonts w:ascii="Arial" w:hAnsi="Arial" w:cs="Arial"/>
                <w:sz w:val="22"/>
                <w:szCs w:val="22"/>
                <w:lang w:val="en-GB"/>
              </w:rPr>
            </w:pPr>
            <w:r w:rsidRPr="00E4265B">
              <w:rPr>
                <w:rFonts w:ascii="Arial" w:hAnsi="Arial" w:cs="Arial"/>
                <w:snapToGrid w:val="0"/>
                <w:sz w:val="22"/>
                <w:szCs w:val="22"/>
                <w:lang w:val="en-GB"/>
              </w:rPr>
              <w:t>Means Specified Investments falling within paragraphs 94 to 96 of Schedule 1 of FSMR or, so far as relevant to such investments, any investment falling within paragraph 98</w:t>
            </w:r>
            <w:r w:rsidR="004E5DA6" w:rsidRPr="00E4265B">
              <w:rPr>
                <w:rFonts w:ascii="Arial" w:hAnsi="Arial" w:cs="Arial"/>
                <w:snapToGrid w:val="0"/>
                <w:sz w:val="22"/>
                <w:szCs w:val="22"/>
                <w:lang w:val="en-GB"/>
              </w:rPr>
              <w:t xml:space="preserve"> or 99</w:t>
            </w:r>
            <w:r w:rsidRPr="00E4265B">
              <w:rPr>
                <w:rFonts w:ascii="Arial" w:hAnsi="Arial" w:cs="Arial"/>
                <w:snapToGrid w:val="0"/>
                <w:sz w:val="22"/>
                <w:szCs w:val="22"/>
                <w:lang w:val="en-GB"/>
              </w:rPr>
              <w:t xml:space="preserve"> of that Schedule.  </w:t>
            </w:r>
          </w:p>
        </w:tc>
      </w:tr>
      <w:tr w:rsidR="00690BF6" w:rsidRPr="00E4265B" w14:paraId="7B25DABB" w14:textId="77777777" w:rsidTr="00CD1719">
        <w:trPr>
          <w:gridBefore w:val="1"/>
          <w:wBefore w:w="882" w:type="dxa"/>
        </w:trPr>
        <w:tc>
          <w:tcPr>
            <w:tcW w:w="2462" w:type="dxa"/>
          </w:tcPr>
          <w:p w14:paraId="2BC1BDC6"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Director</w:t>
            </w:r>
          </w:p>
        </w:tc>
        <w:tc>
          <w:tcPr>
            <w:tcW w:w="5188" w:type="dxa"/>
          </w:tcPr>
          <w:p w14:paraId="429A0C60" w14:textId="77777777" w:rsidR="00690BF6" w:rsidRPr="00E4265B" w:rsidRDefault="00690BF6" w:rsidP="00D13883">
            <w:pPr>
              <w:pStyle w:val="Heading8"/>
              <w:numPr>
                <w:ilvl w:val="7"/>
                <w:numId w:val="41"/>
              </w:numPr>
              <w:rPr>
                <w:rFonts w:ascii="Arial" w:hAnsi="Arial" w:cs="Arial"/>
                <w:sz w:val="22"/>
                <w:szCs w:val="22"/>
                <w:lang w:val="en-GB"/>
              </w:rPr>
            </w:pPr>
            <w:r w:rsidRPr="00E4265B">
              <w:rPr>
                <w:rFonts w:ascii="Arial" w:hAnsi="Arial" w:cs="Arial"/>
                <w:sz w:val="22"/>
                <w:szCs w:val="22"/>
                <w:lang w:val="en-GB"/>
              </w:rPr>
              <w:t>In relation to an Undertaking established under the Companies Regulations, a Person who appears on the Register of Directors maintained by the Registrar of Companies; and</w:t>
            </w:r>
          </w:p>
          <w:p w14:paraId="2AD9A89A" w14:textId="77777777" w:rsidR="00690BF6" w:rsidRPr="00E4265B" w:rsidRDefault="00690BF6" w:rsidP="007966E3">
            <w:pPr>
              <w:pStyle w:val="Heading8"/>
              <w:rPr>
                <w:rFonts w:ascii="Arial" w:hAnsi="Arial" w:cs="Arial"/>
                <w:sz w:val="22"/>
                <w:szCs w:val="22"/>
                <w:lang w:val="en-GB"/>
              </w:rPr>
            </w:pPr>
            <w:r w:rsidRPr="00E4265B">
              <w:rPr>
                <w:rFonts w:ascii="Arial" w:hAnsi="Arial" w:cs="Arial"/>
                <w:sz w:val="22"/>
                <w:szCs w:val="22"/>
                <w:lang w:val="en-GB"/>
              </w:rPr>
              <w:t>in relation to all other Undertakings, a Person who has been admitted to a register which has a corresponding meaning to the Register of Directors or performs the function of acting in the capacity of a Director, by whatever name called.</w:t>
            </w:r>
          </w:p>
        </w:tc>
      </w:tr>
      <w:tr w:rsidR="00690BF6" w:rsidRPr="00E4265B" w14:paraId="4000D746" w14:textId="77777777" w:rsidTr="00CD1719">
        <w:trPr>
          <w:gridBefore w:val="1"/>
          <w:wBefore w:w="882" w:type="dxa"/>
        </w:trPr>
        <w:tc>
          <w:tcPr>
            <w:tcW w:w="2462" w:type="dxa"/>
          </w:tcPr>
          <w:p w14:paraId="76454060"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Displaced Commercial Risk Capital Requirement</w:t>
            </w:r>
          </w:p>
        </w:tc>
        <w:tc>
          <w:tcPr>
            <w:tcW w:w="5188" w:type="dxa"/>
          </w:tcPr>
          <w:p w14:paraId="59C39A3C" w14:textId="77777777" w:rsidR="00690BF6" w:rsidRPr="00E4265B" w:rsidRDefault="00690BF6" w:rsidP="00652C1B">
            <w:pPr>
              <w:spacing w:before="120" w:after="120"/>
              <w:jc w:val="both"/>
              <w:rPr>
                <w:rFonts w:ascii="Arial" w:hAnsi="Arial" w:cs="Arial"/>
                <w:sz w:val="22"/>
                <w:szCs w:val="22"/>
                <w:lang w:val="en-GB"/>
              </w:rPr>
            </w:pPr>
            <w:r w:rsidRPr="00E4265B">
              <w:rPr>
                <w:rFonts w:ascii="Arial" w:hAnsi="Arial" w:cs="Arial"/>
                <w:sz w:val="22"/>
                <w:szCs w:val="22"/>
                <w:lang w:val="en-GB"/>
              </w:rPr>
              <w:t>The requirement calculated in accordance with the IFR rules.</w:t>
            </w:r>
          </w:p>
        </w:tc>
      </w:tr>
      <w:tr w:rsidR="00690BF6" w:rsidRPr="00E4265B" w14:paraId="08EE4FC6" w14:textId="77777777" w:rsidTr="00CD1719">
        <w:trPr>
          <w:gridBefore w:val="1"/>
          <w:wBefore w:w="882" w:type="dxa"/>
        </w:trPr>
        <w:tc>
          <w:tcPr>
            <w:tcW w:w="2462" w:type="dxa"/>
          </w:tcPr>
          <w:p w14:paraId="7B4F6C59"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Domestic Firm</w:t>
            </w:r>
          </w:p>
        </w:tc>
        <w:tc>
          <w:tcPr>
            <w:tcW w:w="5188" w:type="dxa"/>
          </w:tcPr>
          <w:p w14:paraId="30FC7CF5"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 Authorised Person</w:t>
            </w:r>
            <w:r w:rsidR="002721C7" w:rsidRPr="00E4265B">
              <w:rPr>
                <w:rFonts w:ascii="Arial" w:hAnsi="Arial" w:cs="Arial"/>
                <w:sz w:val="22"/>
                <w:szCs w:val="22"/>
                <w:lang w:val="en-GB"/>
              </w:rPr>
              <w:t xml:space="preserve"> or</w:t>
            </w:r>
            <w:r w:rsidRPr="00E4265B">
              <w:rPr>
                <w:rFonts w:ascii="Arial" w:hAnsi="Arial" w:cs="Arial"/>
                <w:sz w:val="22"/>
                <w:szCs w:val="22"/>
                <w:lang w:val="en-GB"/>
              </w:rPr>
              <w:t xml:space="preserve"> Recognised Body which:</w:t>
            </w:r>
          </w:p>
          <w:p w14:paraId="615288C3" w14:textId="6F42463F" w:rsidR="00690BF6" w:rsidRPr="00E4265B" w:rsidRDefault="00690BF6" w:rsidP="004E5DA6">
            <w:pPr>
              <w:pStyle w:val="Heading9"/>
              <w:rPr>
                <w:rFonts w:ascii="Arial" w:hAnsi="Arial" w:cs="Arial"/>
                <w:sz w:val="22"/>
                <w:szCs w:val="22"/>
                <w:lang w:val="en-GB"/>
              </w:rPr>
            </w:pPr>
            <w:r w:rsidRPr="00E4265B">
              <w:rPr>
                <w:rFonts w:ascii="Arial" w:hAnsi="Arial" w:cs="Arial"/>
                <w:sz w:val="22"/>
                <w:szCs w:val="22"/>
                <w:lang w:val="en-GB"/>
              </w:rPr>
              <w:t>has its registered and head office in ADGM; or</w:t>
            </w:r>
          </w:p>
          <w:p w14:paraId="36557ECD" w14:textId="6976EA48" w:rsidR="00690BF6" w:rsidRPr="00E4265B" w:rsidRDefault="00690BF6" w:rsidP="004E5DA6">
            <w:pPr>
              <w:pStyle w:val="Heading9"/>
              <w:rPr>
                <w:rFonts w:ascii="Arial" w:hAnsi="Arial" w:cs="Arial"/>
                <w:sz w:val="22"/>
                <w:szCs w:val="22"/>
                <w:lang w:val="en-GB"/>
              </w:rPr>
            </w:pPr>
            <w:r w:rsidRPr="00E4265B">
              <w:rPr>
                <w:rFonts w:ascii="Arial" w:hAnsi="Arial" w:cs="Arial"/>
                <w:sz w:val="22"/>
                <w:szCs w:val="22"/>
                <w:lang w:val="en-GB"/>
              </w:rPr>
              <w:lastRenderedPageBreak/>
              <w:t>if it is a Subsidiary of an Undertaking whose principal place of business and head office is in a jurisdiction other than ADGM, has its registered office in ADGM.</w:t>
            </w:r>
          </w:p>
        </w:tc>
      </w:tr>
      <w:tr w:rsidR="00690BF6" w:rsidRPr="00E4265B" w14:paraId="49C7BE0C" w14:textId="77777777" w:rsidTr="00CD1719">
        <w:trPr>
          <w:gridBefore w:val="1"/>
          <w:wBefore w:w="882" w:type="dxa"/>
        </w:trPr>
        <w:tc>
          <w:tcPr>
            <w:tcW w:w="2462" w:type="dxa"/>
          </w:tcPr>
          <w:p w14:paraId="3977157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Domestic Fund</w:t>
            </w:r>
          </w:p>
        </w:tc>
        <w:tc>
          <w:tcPr>
            <w:tcW w:w="5188" w:type="dxa"/>
          </w:tcPr>
          <w:p w14:paraId="287FCC27"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A Fund established or domiciled in the ADGM.</w:t>
            </w:r>
          </w:p>
        </w:tc>
      </w:tr>
      <w:tr w:rsidR="00690BF6" w:rsidRPr="00E4265B" w14:paraId="052D1674" w14:textId="77777777" w:rsidTr="00CD1719">
        <w:trPr>
          <w:gridBefore w:val="1"/>
          <w:wBefore w:w="882" w:type="dxa"/>
        </w:trPr>
        <w:tc>
          <w:tcPr>
            <w:tcW w:w="2462" w:type="dxa"/>
          </w:tcPr>
          <w:p w14:paraId="0ED2AFF3"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Duration Method</w:t>
            </w:r>
          </w:p>
        </w:tc>
        <w:tc>
          <w:tcPr>
            <w:tcW w:w="5188" w:type="dxa"/>
          </w:tcPr>
          <w:p w14:paraId="43B4ABBC" w14:textId="77777777" w:rsidR="00690BF6" w:rsidRPr="00E4265B" w:rsidRDefault="00690BF6" w:rsidP="007966E3">
            <w:pPr>
              <w:spacing w:before="120" w:after="120"/>
              <w:jc w:val="both"/>
              <w:rPr>
                <w:rFonts w:ascii="Arial" w:hAnsi="Arial" w:cs="Arial"/>
                <w:sz w:val="22"/>
                <w:szCs w:val="22"/>
                <w:lang w:val="en-GB"/>
              </w:rPr>
            </w:pPr>
            <w:r w:rsidRPr="00E4265B">
              <w:rPr>
                <w:rFonts w:ascii="Arial" w:hAnsi="Arial" w:cs="Arial"/>
                <w:sz w:val="22"/>
                <w:szCs w:val="22"/>
                <w:lang w:val="en-GB"/>
              </w:rPr>
              <w:t>A measure of General Market Risk calculated in accordance with Rule A</w:t>
            </w:r>
            <w:r w:rsidR="007966E3" w:rsidRPr="00E4265B">
              <w:rPr>
                <w:rFonts w:ascii="Arial" w:hAnsi="Arial" w:cs="Arial"/>
                <w:sz w:val="22"/>
                <w:szCs w:val="22"/>
                <w:lang w:val="en-GB"/>
              </w:rPr>
              <w:t>6</w:t>
            </w:r>
            <w:r w:rsidRPr="00E4265B">
              <w:rPr>
                <w:rFonts w:ascii="Arial" w:hAnsi="Arial" w:cs="Arial"/>
                <w:sz w:val="22"/>
                <w:szCs w:val="22"/>
                <w:lang w:val="en-GB"/>
              </w:rPr>
              <w:t>.2.19.</w:t>
            </w:r>
          </w:p>
        </w:tc>
      </w:tr>
      <w:tr w:rsidR="00690BF6" w:rsidRPr="00E4265B" w14:paraId="6E7DE58A" w14:textId="77777777" w:rsidTr="00CD1719">
        <w:trPr>
          <w:gridBefore w:val="1"/>
          <w:wBefore w:w="882" w:type="dxa"/>
        </w:trPr>
        <w:tc>
          <w:tcPr>
            <w:tcW w:w="2462" w:type="dxa"/>
          </w:tcPr>
          <w:p w14:paraId="2DC31ABC"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DvP</w:t>
            </w:r>
          </w:p>
        </w:tc>
        <w:tc>
          <w:tcPr>
            <w:tcW w:w="5188" w:type="dxa"/>
          </w:tcPr>
          <w:p w14:paraId="30E579C9"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Delivery versus Payment.</w:t>
            </w:r>
          </w:p>
        </w:tc>
      </w:tr>
      <w:tr w:rsidR="00690BF6" w:rsidRPr="00E4265B" w14:paraId="4EB6DA56" w14:textId="77777777" w:rsidTr="00CD1719">
        <w:trPr>
          <w:gridBefore w:val="1"/>
          <w:wBefore w:w="882" w:type="dxa"/>
        </w:trPr>
        <w:tc>
          <w:tcPr>
            <w:tcW w:w="2462" w:type="dxa"/>
          </w:tcPr>
          <w:p w14:paraId="6EDBD0F2"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E</w:t>
            </w:r>
          </w:p>
        </w:tc>
        <w:tc>
          <w:tcPr>
            <w:tcW w:w="5188" w:type="dxa"/>
          </w:tcPr>
          <w:p w14:paraId="01EBD0D3"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 Exposure value or amount.</w:t>
            </w:r>
          </w:p>
        </w:tc>
      </w:tr>
      <w:tr w:rsidR="00690BF6" w:rsidRPr="00E4265B" w14:paraId="5A0E5174" w14:textId="77777777" w:rsidTr="00CD1719">
        <w:trPr>
          <w:gridBefore w:val="1"/>
          <w:wBefore w:w="882" w:type="dxa"/>
        </w:trPr>
        <w:tc>
          <w:tcPr>
            <w:tcW w:w="2462" w:type="dxa"/>
          </w:tcPr>
          <w:p w14:paraId="57E2EB1C"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E*</w:t>
            </w:r>
          </w:p>
        </w:tc>
        <w:tc>
          <w:tcPr>
            <w:tcW w:w="5188" w:type="dxa"/>
          </w:tcPr>
          <w:p w14:paraId="37628829"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 Exposure value or amount adjusted in the manner provided in the relevant Rule.</w:t>
            </w:r>
          </w:p>
        </w:tc>
      </w:tr>
      <w:tr w:rsidR="00CC6CA3" w:rsidRPr="00E4265B" w14:paraId="2D0323C3" w14:textId="77777777" w:rsidTr="00CD1719">
        <w:trPr>
          <w:gridBefore w:val="1"/>
          <w:wBefore w:w="882" w:type="dxa"/>
        </w:trPr>
        <w:tc>
          <w:tcPr>
            <w:tcW w:w="2462" w:type="dxa"/>
          </w:tcPr>
          <w:p w14:paraId="7257B0B2" w14:textId="77777777" w:rsidR="00CC6CA3" w:rsidRPr="00E4265B" w:rsidRDefault="00CC6CA3" w:rsidP="00F80299">
            <w:pPr>
              <w:spacing w:before="120" w:after="120"/>
              <w:rPr>
                <w:rFonts w:ascii="Arial" w:hAnsi="Arial" w:cs="Arial"/>
                <w:sz w:val="22"/>
                <w:szCs w:val="22"/>
                <w:lang w:val="en-GB"/>
              </w:rPr>
            </w:pPr>
            <w:r w:rsidRPr="00E4265B">
              <w:rPr>
                <w:rFonts w:ascii="Arial" w:hAnsi="Arial" w:cs="Arial"/>
                <w:sz w:val="22"/>
                <w:szCs w:val="22"/>
                <w:lang w:val="en-GB"/>
              </w:rPr>
              <w:t>EAD</w:t>
            </w:r>
          </w:p>
        </w:tc>
        <w:tc>
          <w:tcPr>
            <w:tcW w:w="5188" w:type="dxa"/>
          </w:tcPr>
          <w:p w14:paraId="29228989" w14:textId="77777777" w:rsidR="00CC6CA3" w:rsidRPr="00E4265B" w:rsidRDefault="00CC6CA3" w:rsidP="00F80299">
            <w:pPr>
              <w:spacing w:before="120" w:after="120"/>
              <w:jc w:val="both"/>
              <w:rPr>
                <w:rFonts w:ascii="Arial" w:hAnsi="Arial" w:cs="Arial"/>
                <w:sz w:val="22"/>
                <w:szCs w:val="22"/>
                <w:lang w:val="en-GB"/>
              </w:rPr>
            </w:pPr>
            <w:r w:rsidRPr="00E4265B">
              <w:rPr>
                <w:rFonts w:ascii="Arial" w:hAnsi="Arial" w:cs="Arial"/>
                <w:sz w:val="22"/>
                <w:szCs w:val="22"/>
                <w:lang w:val="en-GB"/>
              </w:rPr>
              <w:t>Exposure at default</w:t>
            </w:r>
          </w:p>
        </w:tc>
      </w:tr>
      <w:tr w:rsidR="00690BF6" w:rsidRPr="00E4265B" w14:paraId="52A6F504" w14:textId="77777777" w:rsidTr="00CD1719">
        <w:trPr>
          <w:gridBefore w:val="1"/>
          <w:wBefore w:w="882" w:type="dxa"/>
        </w:trPr>
        <w:tc>
          <w:tcPr>
            <w:tcW w:w="2462" w:type="dxa"/>
          </w:tcPr>
          <w:p w14:paraId="6C7FC54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EAE</w:t>
            </w:r>
          </w:p>
        </w:tc>
        <w:tc>
          <w:tcPr>
            <w:tcW w:w="5188" w:type="dxa"/>
          </w:tcPr>
          <w:p w14:paraId="7CBF5182"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The Exposure value or amount for an Early Amortisation Exposure.</w:t>
            </w:r>
          </w:p>
        </w:tc>
      </w:tr>
      <w:tr w:rsidR="00690BF6" w:rsidRPr="00E4265B" w14:paraId="2C0AC1B5" w14:textId="77777777" w:rsidTr="00CD1719">
        <w:trPr>
          <w:gridBefore w:val="1"/>
          <w:wBefore w:w="882" w:type="dxa"/>
        </w:trPr>
        <w:tc>
          <w:tcPr>
            <w:tcW w:w="2462" w:type="dxa"/>
          </w:tcPr>
          <w:p w14:paraId="6A127FF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Early Amortisation</w:t>
            </w:r>
          </w:p>
        </w:tc>
        <w:tc>
          <w:tcPr>
            <w:tcW w:w="5188" w:type="dxa"/>
          </w:tcPr>
          <w:p w14:paraId="62C49EBE" w14:textId="6B0D198F"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mechanism that, once triggered, allows investors to be paid out prior to the ori</w:t>
            </w:r>
            <w:r w:rsidR="004E5DA6" w:rsidRPr="00E4265B">
              <w:rPr>
                <w:rFonts w:ascii="Arial" w:hAnsi="Arial" w:cs="Arial"/>
                <w:sz w:val="22"/>
                <w:szCs w:val="22"/>
                <w:lang w:val="en-GB"/>
              </w:rPr>
              <w:t>ginally stated maturity of the a</w:t>
            </w:r>
            <w:r w:rsidRPr="00E4265B">
              <w:rPr>
                <w:rFonts w:ascii="Arial" w:hAnsi="Arial" w:cs="Arial"/>
                <w:sz w:val="22"/>
                <w:szCs w:val="22"/>
                <w:lang w:val="en-GB"/>
              </w:rPr>
              <w:t>mortisation provision will be considered either controlled or non</w:t>
            </w:r>
            <w:r w:rsidRPr="00E4265B">
              <w:rPr>
                <w:rFonts w:ascii="Arial" w:hAnsi="Arial" w:cs="Arial"/>
                <w:sz w:val="22"/>
                <w:szCs w:val="22"/>
                <w:lang w:val="en-GB"/>
              </w:rPr>
              <w:noBreakHyphen/>
              <w:t>controlled.</w:t>
            </w:r>
          </w:p>
        </w:tc>
      </w:tr>
      <w:tr w:rsidR="00690BF6" w:rsidRPr="00E4265B" w14:paraId="522377D8" w14:textId="77777777" w:rsidTr="00CD1719">
        <w:trPr>
          <w:gridBefore w:val="1"/>
          <w:wBefore w:w="882" w:type="dxa"/>
        </w:trPr>
        <w:tc>
          <w:tcPr>
            <w:tcW w:w="2462" w:type="dxa"/>
          </w:tcPr>
          <w:p w14:paraId="33B5F8B3"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ECAI</w:t>
            </w:r>
          </w:p>
        </w:tc>
        <w:tc>
          <w:tcPr>
            <w:tcW w:w="5188" w:type="dxa"/>
          </w:tcPr>
          <w:p w14:paraId="6712AA7D" w14:textId="77777777" w:rsidR="00690BF6" w:rsidRPr="00E4265B" w:rsidRDefault="00690BF6" w:rsidP="008F5C01">
            <w:pPr>
              <w:spacing w:before="120" w:after="120"/>
              <w:jc w:val="both"/>
              <w:rPr>
                <w:rFonts w:ascii="Arial" w:hAnsi="Arial" w:cs="Arial"/>
                <w:sz w:val="22"/>
                <w:szCs w:val="22"/>
                <w:lang w:val="en-GB"/>
              </w:rPr>
            </w:pPr>
            <w:r w:rsidRPr="00E4265B">
              <w:rPr>
                <w:rFonts w:ascii="Arial" w:hAnsi="Arial" w:cs="Arial"/>
                <w:sz w:val="22"/>
                <w:szCs w:val="22"/>
                <w:lang w:val="en-GB"/>
              </w:rPr>
              <w:t>A CRA or an external credit rating agency approved by the Regulator for the purpose of these Rules.</w:t>
            </w:r>
          </w:p>
        </w:tc>
      </w:tr>
      <w:tr w:rsidR="00690BF6" w:rsidRPr="00E4265B" w14:paraId="1174380F" w14:textId="77777777" w:rsidTr="00CD1719">
        <w:trPr>
          <w:gridBefore w:val="1"/>
          <w:wBefore w:w="882" w:type="dxa"/>
        </w:trPr>
        <w:tc>
          <w:tcPr>
            <w:tcW w:w="2462" w:type="dxa"/>
          </w:tcPr>
          <w:p w14:paraId="35B96BA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Effecting Contracts of Insurance</w:t>
            </w:r>
          </w:p>
        </w:tc>
        <w:tc>
          <w:tcPr>
            <w:tcW w:w="5188" w:type="dxa"/>
          </w:tcPr>
          <w:p w14:paraId="25643C90" w14:textId="77777777" w:rsidR="00690BF6" w:rsidRPr="00E4265B" w:rsidRDefault="00690BF6" w:rsidP="00D10C63">
            <w:pPr>
              <w:spacing w:before="120" w:after="120"/>
              <w:jc w:val="both"/>
              <w:rPr>
                <w:rFonts w:ascii="Arial" w:hAnsi="Arial" w:cs="Arial"/>
                <w:sz w:val="22"/>
                <w:szCs w:val="22"/>
                <w:lang w:val="en-GB"/>
              </w:rPr>
            </w:pPr>
            <w:r w:rsidRPr="00E4265B">
              <w:rPr>
                <w:rFonts w:ascii="Arial" w:hAnsi="Arial" w:cs="Arial"/>
                <w:sz w:val="22"/>
                <w:szCs w:val="22"/>
                <w:lang w:val="en-GB"/>
              </w:rPr>
              <w:t xml:space="preserve">Means the Regulated Activity specified in paragraph </w:t>
            </w:r>
            <w:r w:rsidRPr="00E4265B">
              <w:rPr>
                <w:rFonts w:ascii="Arial" w:hAnsi="Arial" w:cs="Arial"/>
                <w:sz w:val="22"/>
                <w:szCs w:val="22"/>
                <w:cs/>
                <w:lang w:val="en-GB"/>
              </w:rPr>
              <w:t>‎</w:t>
            </w:r>
            <w:r w:rsidRPr="00E4265B">
              <w:rPr>
                <w:rFonts w:ascii="Arial" w:hAnsi="Arial" w:cs="Arial"/>
                <w:sz w:val="22"/>
                <w:szCs w:val="22"/>
                <w:rtl/>
                <w:cs/>
                <w:lang w:val="en-GB"/>
              </w:rPr>
              <w:t>3</w:t>
            </w:r>
            <w:r w:rsidR="00D10C63" w:rsidRPr="00E4265B">
              <w:rPr>
                <w:rFonts w:ascii="Arial" w:hAnsi="Arial" w:cs="Arial"/>
                <w:sz w:val="22"/>
                <w:szCs w:val="22"/>
                <w:lang w:val="en-GB"/>
              </w:rPr>
              <w:t>1</w:t>
            </w:r>
            <w:r w:rsidRPr="00E4265B">
              <w:rPr>
                <w:rFonts w:ascii="Arial" w:hAnsi="Arial" w:cs="Arial"/>
                <w:sz w:val="22"/>
                <w:szCs w:val="22"/>
                <w:lang w:val="en-GB"/>
              </w:rPr>
              <w:t xml:space="preserve"> of </w:t>
            </w:r>
            <w:r w:rsidRPr="00E4265B">
              <w:rPr>
                <w:rFonts w:ascii="Arial" w:hAnsi="Arial" w:cs="Arial"/>
                <w:sz w:val="22"/>
                <w:szCs w:val="22"/>
                <w:cs/>
                <w:lang w:val="en-GB"/>
              </w:rPr>
              <w:t>‎</w:t>
            </w:r>
            <w:r w:rsidRPr="00E4265B">
              <w:rPr>
                <w:rFonts w:ascii="Arial" w:hAnsi="Arial" w:cs="Arial"/>
                <w:sz w:val="22"/>
                <w:szCs w:val="22"/>
                <w:rtl/>
                <w:cs/>
                <w:lang w:val="en-GB"/>
              </w:rPr>
              <w:t>Schedule 1</w:t>
            </w:r>
            <w:r w:rsidRPr="00E4265B">
              <w:rPr>
                <w:rFonts w:ascii="Arial" w:hAnsi="Arial" w:cs="Arial"/>
                <w:sz w:val="22"/>
                <w:szCs w:val="22"/>
                <w:lang w:val="en-GB"/>
              </w:rPr>
              <w:t xml:space="preserve"> of the FSMR.</w:t>
            </w:r>
          </w:p>
        </w:tc>
      </w:tr>
      <w:tr w:rsidR="00690BF6" w:rsidRPr="00E4265B" w14:paraId="62FD1DBA" w14:textId="77777777" w:rsidTr="00CD1719">
        <w:trPr>
          <w:gridBefore w:val="1"/>
          <w:wBefore w:w="882" w:type="dxa"/>
        </w:trPr>
        <w:tc>
          <w:tcPr>
            <w:tcW w:w="2462" w:type="dxa"/>
          </w:tcPr>
          <w:p w14:paraId="32973F76"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Employee</w:t>
            </w:r>
          </w:p>
        </w:tc>
        <w:tc>
          <w:tcPr>
            <w:tcW w:w="5188" w:type="dxa"/>
          </w:tcPr>
          <w:p w14:paraId="6F6A6B8E" w14:textId="77777777" w:rsidR="00690BF6" w:rsidRPr="00E4265B" w:rsidRDefault="00690BF6" w:rsidP="00F80299">
            <w:pPr>
              <w:spacing w:before="120" w:after="120"/>
              <w:jc w:val="both"/>
              <w:rPr>
                <w:rFonts w:ascii="Arial" w:eastAsia="Times New Roman" w:hAnsi="Arial" w:cs="Arial"/>
                <w:sz w:val="22"/>
                <w:szCs w:val="22"/>
                <w:lang w:val="en-GB" w:eastAsia="en-GB"/>
              </w:rPr>
            </w:pPr>
            <w:r w:rsidRPr="00E4265B">
              <w:rPr>
                <w:rFonts w:ascii="Arial" w:eastAsia="Times New Roman" w:hAnsi="Arial" w:cs="Arial"/>
                <w:sz w:val="22"/>
                <w:szCs w:val="22"/>
                <w:lang w:val="en-GB" w:eastAsia="en-GB"/>
              </w:rPr>
              <w:t>Means an individual:</w:t>
            </w:r>
          </w:p>
          <w:p w14:paraId="60AD10AF" w14:textId="77777777" w:rsidR="00690BF6" w:rsidRPr="00E4265B" w:rsidRDefault="00690BF6" w:rsidP="00D13883">
            <w:pPr>
              <w:pStyle w:val="Heading9"/>
              <w:numPr>
                <w:ilvl w:val="8"/>
                <w:numId w:val="42"/>
              </w:numPr>
              <w:rPr>
                <w:rFonts w:ascii="Arial" w:hAnsi="Arial" w:cs="Arial"/>
                <w:sz w:val="22"/>
                <w:szCs w:val="22"/>
                <w:lang w:val="en-GB" w:eastAsia="en-GB"/>
              </w:rPr>
            </w:pPr>
            <w:r w:rsidRPr="00E4265B">
              <w:rPr>
                <w:rFonts w:ascii="Arial" w:hAnsi="Arial" w:cs="Arial"/>
                <w:sz w:val="22"/>
                <w:szCs w:val="22"/>
                <w:lang w:val="en-GB" w:eastAsia="en-GB"/>
              </w:rPr>
              <w:t>who is employed or appointed by a Person in connection with that Person's business, whether under a contract of service or for services or otherwise; or</w:t>
            </w:r>
          </w:p>
          <w:p w14:paraId="6A65EB34" w14:textId="77777777" w:rsidR="00690BF6" w:rsidRPr="00E4265B" w:rsidRDefault="00690BF6" w:rsidP="0079430A">
            <w:pPr>
              <w:pStyle w:val="Heading9"/>
              <w:rPr>
                <w:rFonts w:ascii="Arial" w:hAnsi="Arial" w:cs="Arial"/>
                <w:sz w:val="22"/>
                <w:szCs w:val="22"/>
                <w:lang w:val="en-GB"/>
              </w:rPr>
            </w:pPr>
            <w:r w:rsidRPr="00E4265B">
              <w:rPr>
                <w:rFonts w:ascii="Arial" w:hAnsi="Arial" w:cs="Arial"/>
                <w:sz w:val="22"/>
                <w:szCs w:val="22"/>
                <w:lang w:val="en-GB" w:eastAsia="en-GB"/>
              </w:rPr>
              <w:t>whose services, under an arrangement between that Person and a third party, are placed at the disposal and under the control of that Person.</w:t>
            </w:r>
          </w:p>
        </w:tc>
      </w:tr>
      <w:tr w:rsidR="000C0916" w:rsidRPr="00E4265B" w14:paraId="35A8B7DC" w14:textId="77777777" w:rsidTr="00CD1719">
        <w:trPr>
          <w:gridBefore w:val="1"/>
          <w:wBefore w:w="882" w:type="dxa"/>
        </w:trPr>
        <w:tc>
          <w:tcPr>
            <w:tcW w:w="2462" w:type="dxa"/>
          </w:tcPr>
          <w:p w14:paraId="610F0004" w14:textId="24A23D67" w:rsidR="000C0916" w:rsidRPr="00E4265B" w:rsidRDefault="000C0916" w:rsidP="00F80299">
            <w:pPr>
              <w:spacing w:before="120" w:after="120"/>
              <w:rPr>
                <w:rFonts w:ascii="Arial" w:hAnsi="Arial" w:cs="Arial"/>
                <w:sz w:val="22"/>
                <w:szCs w:val="22"/>
                <w:lang w:val="en-GB"/>
              </w:rPr>
            </w:pPr>
            <w:r w:rsidRPr="00E4265B">
              <w:rPr>
                <w:rFonts w:ascii="Arial" w:hAnsi="Arial" w:cs="Arial"/>
                <w:sz w:val="22"/>
                <w:szCs w:val="22"/>
                <w:lang w:val="en-GB"/>
              </w:rPr>
              <w:t>EPRS</w:t>
            </w:r>
          </w:p>
        </w:tc>
        <w:tc>
          <w:tcPr>
            <w:tcW w:w="5188" w:type="dxa"/>
          </w:tcPr>
          <w:p w14:paraId="1780722C" w14:textId="7F1A6105" w:rsidR="000C0916" w:rsidRPr="00E4265B" w:rsidRDefault="000C0916" w:rsidP="00F80299">
            <w:pPr>
              <w:spacing w:before="120" w:after="120"/>
              <w:jc w:val="both"/>
              <w:rPr>
                <w:rFonts w:ascii="Arial" w:eastAsia="Times New Roman" w:hAnsi="Arial" w:cs="Arial"/>
                <w:sz w:val="22"/>
                <w:szCs w:val="22"/>
                <w:lang w:val="en-GB" w:eastAsia="en-GB"/>
              </w:rPr>
            </w:pPr>
            <w:r w:rsidRPr="00E4265B">
              <w:rPr>
                <w:rFonts w:ascii="Arial" w:eastAsia="Times New Roman" w:hAnsi="Arial" w:cs="Arial"/>
                <w:sz w:val="22"/>
                <w:szCs w:val="22"/>
                <w:lang w:val="en-GB" w:eastAsia="en-GB"/>
              </w:rPr>
              <w:t>Electronic Prudential Reporting System</w:t>
            </w:r>
          </w:p>
        </w:tc>
      </w:tr>
      <w:tr w:rsidR="00690BF6" w:rsidRPr="00E4265B" w14:paraId="3F9A1C9D" w14:textId="77777777" w:rsidTr="00CD1719">
        <w:trPr>
          <w:gridBefore w:val="1"/>
          <w:wBefore w:w="882" w:type="dxa"/>
        </w:trPr>
        <w:tc>
          <w:tcPr>
            <w:tcW w:w="2462" w:type="dxa"/>
          </w:tcPr>
          <w:p w14:paraId="236A61B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Equity Risk Capital Requirement</w:t>
            </w:r>
          </w:p>
        </w:tc>
        <w:tc>
          <w:tcPr>
            <w:tcW w:w="5188" w:type="dxa"/>
          </w:tcPr>
          <w:p w14:paraId="433411C2"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component of Market Risk Capital Requirement and calculated in accordance with Section 5.5.</w:t>
            </w:r>
          </w:p>
        </w:tc>
      </w:tr>
      <w:tr w:rsidR="00690BF6" w:rsidRPr="00E4265B" w14:paraId="32D7CB1B" w14:textId="77777777" w:rsidTr="00CD1719">
        <w:trPr>
          <w:gridBefore w:val="1"/>
          <w:wBefore w:w="882" w:type="dxa"/>
        </w:trPr>
        <w:tc>
          <w:tcPr>
            <w:tcW w:w="2462" w:type="dxa"/>
          </w:tcPr>
          <w:p w14:paraId="16488469"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Evergreening</w:t>
            </w:r>
          </w:p>
        </w:tc>
        <w:tc>
          <w:tcPr>
            <w:tcW w:w="5188" w:type="dxa"/>
          </w:tcPr>
          <w:p w14:paraId="770C6DA8"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Evergreening refers to the practice by some banks to roll over or renew their non</w:t>
            </w:r>
            <w:r w:rsidRPr="00E4265B">
              <w:rPr>
                <w:rFonts w:ascii="Arial" w:hAnsi="Arial" w:cs="Arial"/>
                <w:sz w:val="22"/>
                <w:szCs w:val="22"/>
                <w:lang w:val="en-GB"/>
              </w:rPr>
              <w:noBreakHyphen/>
              <w:t>performing loans or potentially non</w:t>
            </w:r>
            <w:r w:rsidR="002E5BB8" w:rsidRPr="00E4265B">
              <w:rPr>
                <w:rFonts w:ascii="Arial" w:hAnsi="Arial" w:cs="Arial"/>
                <w:sz w:val="22"/>
                <w:szCs w:val="22"/>
                <w:lang w:val="en-GB"/>
              </w:rPr>
              <w:t>-</w:t>
            </w:r>
            <w:r w:rsidRPr="00E4265B">
              <w:rPr>
                <w:rFonts w:ascii="Arial" w:hAnsi="Arial" w:cs="Arial"/>
                <w:sz w:val="22"/>
                <w:szCs w:val="22"/>
                <w:lang w:val="en-GB"/>
              </w:rPr>
              <w:t>performing loans, so that they can avoid recognising them as non</w:t>
            </w:r>
            <w:r w:rsidRPr="00E4265B">
              <w:rPr>
                <w:rFonts w:ascii="Arial" w:hAnsi="Arial" w:cs="Arial"/>
                <w:sz w:val="22"/>
                <w:szCs w:val="22"/>
                <w:lang w:val="en-GB"/>
              </w:rPr>
              <w:noBreakHyphen/>
              <w:t xml:space="preserve">performing loans in </w:t>
            </w:r>
            <w:r w:rsidRPr="00E4265B">
              <w:rPr>
                <w:rFonts w:ascii="Arial" w:hAnsi="Arial" w:cs="Arial"/>
                <w:sz w:val="22"/>
                <w:szCs w:val="22"/>
                <w:lang w:val="en-GB"/>
              </w:rPr>
              <w:lastRenderedPageBreak/>
              <w:t>their accounts and consequently avoid provisioning for them.</w:t>
            </w:r>
          </w:p>
        </w:tc>
      </w:tr>
      <w:tr w:rsidR="00690BF6" w:rsidRPr="00E4265B" w14:paraId="711757F3" w14:textId="77777777" w:rsidTr="00CD1719">
        <w:trPr>
          <w:gridBefore w:val="1"/>
          <w:wBefore w:w="882" w:type="dxa"/>
        </w:trPr>
        <w:tc>
          <w:tcPr>
            <w:tcW w:w="2462" w:type="dxa"/>
          </w:tcPr>
          <w:p w14:paraId="1B97951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Excess Spread</w:t>
            </w:r>
          </w:p>
        </w:tc>
        <w:tc>
          <w:tcPr>
            <w:tcW w:w="5188" w:type="dxa"/>
          </w:tcPr>
          <w:p w14:paraId="213E60E1"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Gross finance charge collections and other income received by the trust or SPE minus certificate interest, servicing fees, charge</w:t>
            </w:r>
            <w:r w:rsidRPr="00E4265B">
              <w:rPr>
                <w:rFonts w:ascii="Arial" w:hAnsi="Arial" w:cs="Arial"/>
                <w:sz w:val="22"/>
                <w:szCs w:val="22"/>
                <w:lang w:val="en-GB"/>
              </w:rPr>
              <w:noBreakHyphen/>
              <w:t xml:space="preserve">offs, and other senior trust or SPE expenses. </w:t>
            </w:r>
          </w:p>
        </w:tc>
      </w:tr>
      <w:tr w:rsidR="00690BF6" w:rsidRPr="00E4265B" w14:paraId="0166EE26" w14:textId="77777777" w:rsidTr="00CD1719">
        <w:trPr>
          <w:gridBefore w:val="1"/>
          <w:wBefore w:w="882" w:type="dxa"/>
        </w:trPr>
        <w:tc>
          <w:tcPr>
            <w:tcW w:w="2462" w:type="dxa"/>
          </w:tcPr>
          <w:p w14:paraId="2795F8A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Expenditure Based Capital Minimum</w:t>
            </w:r>
          </w:p>
        </w:tc>
        <w:tc>
          <w:tcPr>
            <w:tcW w:w="5188" w:type="dxa"/>
          </w:tcPr>
          <w:p w14:paraId="3F718778"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Capital Requirement calculated in accordance with Section 3.7.</w:t>
            </w:r>
          </w:p>
        </w:tc>
      </w:tr>
      <w:tr w:rsidR="00690BF6" w:rsidRPr="00E4265B" w14:paraId="67556E5F" w14:textId="77777777" w:rsidTr="00CD1719">
        <w:trPr>
          <w:gridBefore w:val="1"/>
          <w:wBefore w:w="882" w:type="dxa"/>
        </w:trPr>
        <w:tc>
          <w:tcPr>
            <w:tcW w:w="2462" w:type="dxa"/>
          </w:tcPr>
          <w:p w14:paraId="64CADC54"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Exposure</w:t>
            </w:r>
          </w:p>
        </w:tc>
        <w:tc>
          <w:tcPr>
            <w:tcW w:w="5188" w:type="dxa"/>
          </w:tcPr>
          <w:p w14:paraId="55736905" w14:textId="77777777" w:rsidR="00690BF6" w:rsidRPr="00E4265B" w:rsidRDefault="00690BF6" w:rsidP="00D13883">
            <w:pPr>
              <w:pStyle w:val="Heading8"/>
              <w:numPr>
                <w:ilvl w:val="7"/>
                <w:numId w:val="43"/>
              </w:numPr>
              <w:rPr>
                <w:rFonts w:ascii="Arial" w:hAnsi="Arial" w:cs="Arial"/>
                <w:sz w:val="22"/>
                <w:szCs w:val="22"/>
                <w:lang w:val="en-GB"/>
              </w:rPr>
            </w:pPr>
            <w:r w:rsidRPr="00E4265B">
              <w:rPr>
                <w:rFonts w:ascii="Arial" w:hAnsi="Arial" w:cs="Arial"/>
                <w:sz w:val="22"/>
                <w:szCs w:val="22"/>
                <w:lang w:val="en-GB"/>
              </w:rPr>
              <w:t>The maximum loss that an Authorised Person (and where applicable its PSIA holders) might suffer if:</w:t>
            </w:r>
          </w:p>
          <w:p w14:paraId="4790B657"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a Counterparty or a group of Connected Counterparties fail to meet their obligations; or</w:t>
            </w:r>
          </w:p>
          <w:p w14:paraId="15AFF310" w14:textId="74F2D135" w:rsidR="00690BF6" w:rsidRPr="00E4265B" w:rsidRDefault="002B669F" w:rsidP="00EB5478">
            <w:pPr>
              <w:pStyle w:val="Heading9"/>
              <w:rPr>
                <w:rFonts w:ascii="Arial" w:hAnsi="Arial" w:cs="Arial"/>
                <w:sz w:val="22"/>
                <w:szCs w:val="22"/>
                <w:lang w:val="en-GB"/>
              </w:rPr>
            </w:pPr>
            <w:r w:rsidRPr="00E4265B">
              <w:rPr>
                <w:rFonts w:ascii="Arial" w:hAnsi="Arial" w:cs="Arial"/>
                <w:sz w:val="22"/>
                <w:szCs w:val="22"/>
                <w:lang w:val="en-GB"/>
              </w:rPr>
              <w:t>it</w:t>
            </w:r>
            <w:r w:rsidR="00690BF6" w:rsidRPr="00E4265B">
              <w:rPr>
                <w:rFonts w:ascii="Arial" w:hAnsi="Arial" w:cs="Arial"/>
                <w:sz w:val="22"/>
                <w:szCs w:val="22"/>
                <w:lang w:val="en-GB"/>
              </w:rPr>
              <w:t xml:space="preserve"> realises assets or off</w:t>
            </w:r>
            <w:r w:rsidR="00690BF6" w:rsidRPr="00E4265B">
              <w:rPr>
                <w:rFonts w:ascii="Arial" w:hAnsi="Arial" w:cs="Arial"/>
                <w:sz w:val="22"/>
                <w:szCs w:val="22"/>
                <w:lang w:val="en-GB"/>
              </w:rPr>
              <w:noBreakHyphen/>
              <w:t>balance sheet positions.</w:t>
            </w:r>
          </w:p>
          <w:p w14:paraId="1A0C5CEB" w14:textId="77777777" w:rsidR="00690BF6" w:rsidRPr="00E4265B" w:rsidRDefault="00690BF6" w:rsidP="00EB5478">
            <w:pPr>
              <w:pStyle w:val="Heading8"/>
              <w:rPr>
                <w:rFonts w:ascii="Arial" w:hAnsi="Arial" w:cs="Arial"/>
                <w:sz w:val="22"/>
                <w:szCs w:val="22"/>
                <w:lang w:val="en-GB"/>
              </w:rPr>
            </w:pPr>
            <w:r w:rsidRPr="00E4265B">
              <w:rPr>
                <w:rFonts w:ascii="Arial" w:hAnsi="Arial" w:cs="Arial"/>
                <w:sz w:val="22"/>
                <w:szCs w:val="22"/>
                <w:lang w:val="en-GB"/>
              </w:rPr>
              <w:t>An Exposure also includes any asset or off</w:t>
            </w:r>
            <w:r w:rsidRPr="00E4265B">
              <w:rPr>
                <w:rFonts w:ascii="Arial" w:hAnsi="Arial" w:cs="Arial"/>
                <w:sz w:val="22"/>
                <w:szCs w:val="22"/>
                <w:lang w:val="en-GB"/>
              </w:rPr>
              <w:noBreakHyphen/>
              <w:t>balance sheet item, which could result in a potential loss to the Authorised Person due to Market Risk or Operational Risk or any other risk factor.</w:t>
            </w:r>
          </w:p>
        </w:tc>
      </w:tr>
      <w:tr w:rsidR="00690BF6" w:rsidRPr="00E4265B" w14:paraId="5326D582" w14:textId="77777777" w:rsidTr="00CD1719">
        <w:trPr>
          <w:gridBefore w:val="1"/>
          <w:wBefore w:w="882" w:type="dxa"/>
        </w:trPr>
        <w:tc>
          <w:tcPr>
            <w:tcW w:w="2462" w:type="dxa"/>
          </w:tcPr>
          <w:p w14:paraId="53782BE5"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FCCA</w:t>
            </w:r>
          </w:p>
        </w:tc>
        <w:tc>
          <w:tcPr>
            <w:tcW w:w="5188" w:type="dxa"/>
          </w:tcPr>
          <w:p w14:paraId="4438D3EC"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Financial Collateral Comprehensive Approach as described in Rule 4.9.5.</w:t>
            </w:r>
          </w:p>
        </w:tc>
      </w:tr>
      <w:tr w:rsidR="00690BF6" w:rsidRPr="00E4265B" w14:paraId="1BE983F0" w14:textId="77777777" w:rsidTr="00CD1719">
        <w:trPr>
          <w:gridBefore w:val="1"/>
          <w:wBefore w:w="882" w:type="dxa"/>
        </w:trPr>
        <w:tc>
          <w:tcPr>
            <w:tcW w:w="2462" w:type="dxa"/>
          </w:tcPr>
          <w:p w14:paraId="13D9AEB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FCSA</w:t>
            </w:r>
          </w:p>
        </w:tc>
        <w:tc>
          <w:tcPr>
            <w:tcW w:w="5188" w:type="dxa"/>
          </w:tcPr>
          <w:p w14:paraId="2110C886"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Financial Collateral Simplified Approach as described in Rule 4.9.5.</w:t>
            </w:r>
          </w:p>
        </w:tc>
      </w:tr>
      <w:tr w:rsidR="00690BF6" w:rsidRPr="00E4265B" w14:paraId="00237648" w14:textId="77777777" w:rsidTr="00CD1719">
        <w:trPr>
          <w:gridBefore w:val="1"/>
          <w:wBefore w:w="882" w:type="dxa"/>
        </w:trPr>
        <w:tc>
          <w:tcPr>
            <w:tcW w:w="2462" w:type="dxa"/>
          </w:tcPr>
          <w:p w14:paraId="68775E0F"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Financial Group</w:t>
            </w:r>
          </w:p>
        </w:tc>
        <w:tc>
          <w:tcPr>
            <w:tcW w:w="5188" w:type="dxa"/>
          </w:tcPr>
          <w:p w14:paraId="4660576A"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group of entities which includes an Authorised Person and:</w:t>
            </w:r>
          </w:p>
          <w:p w14:paraId="790661E9"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any Parent incorporated in ADGM;</w:t>
            </w:r>
          </w:p>
          <w:p w14:paraId="04E710C6"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 xml:space="preserve">any </w:t>
            </w:r>
            <w:r w:rsidR="00F5245A" w:rsidRPr="00E4265B">
              <w:rPr>
                <w:rFonts w:ascii="Arial" w:hAnsi="Arial" w:cs="Arial"/>
                <w:sz w:val="22"/>
                <w:szCs w:val="22"/>
                <w:lang w:val="en-GB"/>
              </w:rPr>
              <w:t xml:space="preserve">Financial Institution </w:t>
            </w:r>
            <w:r w:rsidRPr="00E4265B">
              <w:rPr>
                <w:rFonts w:ascii="Arial" w:hAnsi="Arial" w:cs="Arial"/>
                <w:sz w:val="22"/>
                <w:szCs w:val="22"/>
                <w:lang w:val="en-GB"/>
              </w:rPr>
              <w:t>subsidiaries (whether direct or indirect) of the Parent or Parents in (a) or of the Authorised Person;</w:t>
            </w:r>
          </w:p>
          <w:p w14:paraId="2F7B296A"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 xml:space="preserve">any </w:t>
            </w:r>
            <w:r w:rsidR="00F5245A" w:rsidRPr="00E4265B">
              <w:rPr>
                <w:rFonts w:ascii="Arial" w:hAnsi="Arial" w:cs="Arial"/>
                <w:sz w:val="22"/>
                <w:szCs w:val="22"/>
                <w:lang w:val="en-GB"/>
              </w:rPr>
              <w:t>Financial Institution</w:t>
            </w:r>
            <w:r w:rsidRPr="00E4265B">
              <w:rPr>
                <w:rFonts w:ascii="Arial" w:hAnsi="Arial" w:cs="Arial"/>
                <w:sz w:val="22"/>
                <w:szCs w:val="22"/>
                <w:lang w:val="en-GB"/>
              </w:rPr>
              <w:t xml:space="preserve"> in which the Parent or Parents in (a), the </w:t>
            </w:r>
            <w:r w:rsidR="00F5245A" w:rsidRPr="00E4265B">
              <w:rPr>
                <w:rFonts w:ascii="Arial" w:hAnsi="Arial" w:cs="Arial"/>
                <w:sz w:val="22"/>
                <w:szCs w:val="22"/>
                <w:lang w:val="en-GB"/>
              </w:rPr>
              <w:t xml:space="preserve">Financial Institution </w:t>
            </w:r>
            <w:r w:rsidRPr="00E4265B">
              <w:rPr>
                <w:rFonts w:ascii="Arial" w:hAnsi="Arial" w:cs="Arial"/>
                <w:sz w:val="22"/>
                <w:szCs w:val="22"/>
                <w:lang w:val="en-GB"/>
              </w:rPr>
              <w:t>subsidiaries in (b) or the Authorised Person (whether direct or indirect) hold 20% or more of the voting rights or capital; and</w:t>
            </w:r>
          </w:p>
          <w:p w14:paraId="22F084CD" w14:textId="4003294C" w:rsidR="00690BF6" w:rsidRPr="00E4265B" w:rsidRDefault="00690BF6" w:rsidP="00B34070">
            <w:pPr>
              <w:pStyle w:val="Heading9"/>
              <w:rPr>
                <w:rFonts w:ascii="Arial" w:hAnsi="Arial" w:cs="Arial"/>
                <w:sz w:val="22"/>
                <w:szCs w:val="22"/>
                <w:lang w:val="en-GB"/>
              </w:rPr>
            </w:pPr>
            <w:r w:rsidRPr="00E4265B">
              <w:rPr>
                <w:rFonts w:ascii="Arial" w:hAnsi="Arial" w:cs="Arial"/>
                <w:sz w:val="22"/>
                <w:szCs w:val="22"/>
                <w:lang w:val="en-GB"/>
              </w:rPr>
              <w:t>any entity which the Regulator directs the Authorised Person to include in accordan</w:t>
            </w:r>
            <w:r w:rsidR="004E5DA6" w:rsidRPr="00E4265B">
              <w:rPr>
                <w:rFonts w:ascii="Arial" w:hAnsi="Arial" w:cs="Arial"/>
                <w:sz w:val="22"/>
                <w:szCs w:val="22"/>
                <w:lang w:val="en-GB"/>
              </w:rPr>
              <w:t>ce with Rule 8.1.3</w:t>
            </w:r>
            <w:r w:rsidRPr="00E4265B">
              <w:rPr>
                <w:rFonts w:ascii="Arial" w:hAnsi="Arial" w:cs="Arial"/>
                <w:sz w:val="22"/>
                <w:szCs w:val="22"/>
                <w:lang w:val="en-GB"/>
              </w:rPr>
              <w:t>.</w:t>
            </w:r>
          </w:p>
        </w:tc>
      </w:tr>
      <w:tr w:rsidR="00690BF6" w:rsidRPr="00E4265B" w14:paraId="49F25E3B" w14:textId="77777777" w:rsidTr="00CD1719">
        <w:trPr>
          <w:gridBefore w:val="1"/>
          <w:wBefore w:w="882" w:type="dxa"/>
        </w:trPr>
        <w:tc>
          <w:tcPr>
            <w:tcW w:w="2462" w:type="dxa"/>
          </w:tcPr>
          <w:p w14:paraId="6B7D586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Financial Group Capital Resources</w:t>
            </w:r>
          </w:p>
        </w:tc>
        <w:tc>
          <w:tcPr>
            <w:tcW w:w="5188" w:type="dxa"/>
          </w:tcPr>
          <w:p w14:paraId="42B58D16" w14:textId="77777777" w:rsidR="00690BF6" w:rsidRPr="00E4265B" w:rsidRDefault="00690BF6" w:rsidP="00B34070">
            <w:pPr>
              <w:spacing w:before="120" w:after="120"/>
              <w:jc w:val="both"/>
              <w:rPr>
                <w:rFonts w:ascii="Arial" w:hAnsi="Arial" w:cs="Arial"/>
                <w:sz w:val="22"/>
                <w:szCs w:val="22"/>
                <w:lang w:val="en-GB"/>
              </w:rPr>
            </w:pPr>
            <w:r w:rsidRPr="00E4265B">
              <w:rPr>
                <w:rFonts w:ascii="Arial" w:hAnsi="Arial" w:cs="Arial"/>
                <w:sz w:val="22"/>
                <w:szCs w:val="22"/>
                <w:lang w:val="en-GB"/>
              </w:rPr>
              <w:t>The Capital Resources of a Financial Group calculate</w:t>
            </w:r>
            <w:r w:rsidR="00B34070" w:rsidRPr="00E4265B">
              <w:rPr>
                <w:rFonts w:ascii="Arial" w:hAnsi="Arial" w:cs="Arial"/>
                <w:sz w:val="22"/>
                <w:szCs w:val="22"/>
                <w:lang w:val="en-GB"/>
              </w:rPr>
              <w:t>d in accordance with Rule 8.3.4</w:t>
            </w:r>
            <w:r w:rsidRPr="00E4265B">
              <w:rPr>
                <w:rFonts w:ascii="Arial" w:hAnsi="Arial" w:cs="Arial"/>
                <w:sz w:val="22"/>
                <w:szCs w:val="22"/>
                <w:lang w:val="en-GB"/>
              </w:rPr>
              <w:t>.</w:t>
            </w:r>
          </w:p>
        </w:tc>
      </w:tr>
      <w:tr w:rsidR="00690BF6" w:rsidRPr="00E4265B" w14:paraId="380834FB" w14:textId="77777777" w:rsidTr="00CD1719">
        <w:trPr>
          <w:gridBefore w:val="1"/>
          <w:wBefore w:w="882" w:type="dxa"/>
        </w:trPr>
        <w:tc>
          <w:tcPr>
            <w:tcW w:w="2462" w:type="dxa"/>
          </w:tcPr>
          <w:p w14:paraId="7215E415"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Financial Institution</w:t>
            </w:r>
          </w:p>
        </w:tc>
        <w:tc>
          <w:tcPr>
            <w:tcW w:w="5188" w:type="dxa"/>
          </w:tcPr>
          <w:p w14:paraId="4CDBF3FD" w14:textId="77777777" w:rsidR="00D8079B" w:rsidRPr="00E4265B" w:rsidRDefault="00D8079B" w:rsidP="00D8079B">
            <w:pPr>
              <w:spacing w:after="240" w:line="246" w:lineRule="atLeast"/>
              <w:jc w:val="both"/>
              <w:rPr>
                <w:rFonts w:ascii="Arial" w:eastAsia="MS Mincho" w:hAnsi="Arial" w:cs="Arial"/>
                <w:snapToGrid w:val="0"/>
                <w:sz w:val="22"/>
                <w:szCs w:val="22"/>
                <w:lang w:val="en-GB"/>
              </w:rPr>
            </w:pPr>
            <w:r w:rsidRPr="00E4265B">
              <w:rPr>
                <w:rFonts w:ascii="Arial" w:eastAsia="MS Mincho" w:hAnsi="Arial" w:cs="Arial"/>
                <w:snapToGrid w:val="0"/>
                <w:sz w:val="22"/>
                <w:szCs w:val="22"/>
                <w:lang w:val="en-GB"/>
              </w:rPr>
              <w:t>Means:</w:t>
            </w:r>
          </w:p>
          <w:p w14:paraId="2D2BFC37" w14:textId="77777777" w:rsidR="00D8079B" w:rsidRPr="00E4265B" w:rsidRDefault="00D8079B" w:rsidP="0019712D">
            <w:pPr>
              <w:pStyle w:val="Heading9"/>
              <w:numPr>
                <w:ilvl w:val="8"/>
                <w:numId w:val="64"/>
              </w:numPr>
              <w:rPr>
                <w:rFonts w:ascii="Arial" w:hAnsi="Arial" w:cs="Arial"/>
                <w:sz w:val="22"/>
                <w:szCs w:val="22"/>
                <w:lang w:val="en-GB"/>
              </w:rPr>
            </w:pPr>
            <w:r w:rsidRPr="00E4265B">
              <w:rPr>
                <w:rFonts w:ascii="Arial" w:hAnsi="Arial" w:cs="Arial"/>
                <w:sz w:val="22"/>
                <w:szCs w:val="22"/>
                <w:lang w:val="en-GB"/>
              </w:rPr>
              <w:t>an Authorised Person;</w:t>
            </w:r>
            <w:r w:rsidR="00BF2706" w:rsidRPr="00E4265B">
              <w:rPr>
                <w:rFonts w:ascii="Arial" w:hAnsi="Arial" w:cs="Arial"/>
                <w:sz w:val="22"/>
                <w:szCs w:val="22"/>
                <w:lang w:val="en-GB"/>
              </w:rPr>
              <w:t xml:space="preserve"> or</w:t>
            </w:r>
          </w:p>
          <w:p w14:paraId="0B779284" w14:textId="11CF5323" w:rsidR="00D8079B" w:rsidRPr="00E4265B" w:rsidRDefault="00D8079B" w:rsidP="002B669F">
            <w:pPr>
              <w:pStyle w:val="Heading9"/>
              <w:rPr>
                <w:rFonts w:ascii="Arial" w:hAnsi="Arial" w:cs="Arial"/>
                <w:sz w:val="22"/>
                <w:szCs w:val="22"/>
                <w:lang w:val="en-GB"/>
              </w:rPr>
            </w:pPr>
            <w:r w:rsidRPr="00E4265B">
              <w:rPr>
                <w:rFonts w:ascii="Arial" w:hAnsi="Arial" w:cs="Arial"/>
                <w:sz w:val="22"/>
                <w:szCs w:val="22"/>
                <w:lang w:val="en-GB"/>
              </w:rPr>
              <w:t xml:space="preserve">any Person </w:t>
            </w:r>
            <w:r w:rsidR="007966E3" w:rsidRPr="00E4265B">
              <w:rPr>
                <w:rFonts w:ascii="Arial" w:hAnsi="Arial" w:cs="Arial"/>
                <w:sz w:val="22"/>
                <w:szCs w:val="22"/>
                <w:lang w:val="en-GB"/>
              </w:rPr>
              <w:t>wh</w:t>
            </w:r>
            <w:r w:rsidR="002B669F" w:rsidRPr="00E4265B">
              <w:rPr>
                <w:rFonts w:ascii="Arial" w:hAnsi="Arial" w:cs="Arial"/>
                <w:sz w:val="22"/>
                <w:szCs w:val="22"/>
                <w:lang w:val="en-GB"/>
              </w:rPr>
              <w:t>ich</w:t>
            </w:r>
            <w:r w:rsidRPr="00E4265B">
              <w:rPr>
                <w:rFonts w:ascii="Arial" w:hAnsi="Arial" w:cs="Arial"/>
                <w:sz w:val="22"/>
                <w:szCs w:val="22"/>
                <w:lang w:val="en-GB"/>
              </w:rPr>
              <w:t xml:space="preserve"> carries out as its principal business an activity which would, if carried out in ADGM, be a Regulated Activity; and</w:t>
            </w:r>
          </w:p>
          <w:p w14:paraId="053C7ED7" w14:textId="77777777" w:rsidR="00D8079B" w:rsidRPr="00E4265B" w:rsidRDefault="00D8079B" w:rsidP="007966E3">
            <w:pPr>
              <w:pStyle w:val="Heading9"/>
              <w:rPr>
                <w:rFonts w:ascii="Arial" w:hAnsi="Arial" w:cs="Arial"/>
                <w:sz w:val="22"/>
                <w:szCs w:val="22"/>
                <w:lang w:val="en-GB"/>
              </w:rPr>
            </w:pPr>
            <w:r w:rsidRPr="00E4265B">
              <w:rPr>
                <w:rFonts w:ascii="Arial" w:hAnsi="Arial" w:cs="Arial"/>
                <w:sz w:val="22"/>
                <w:szCs w:val="22"/>
                <w:lang w:val="en-GB"/>
              </w:rPr>
              <w:t>is not one of the following:</w:t>
            </w:r>
          </w:p>
          <w:p w14:paraId="7CDAAA03" w14:textId="104375DE" w:rsidR="00D8079B" w:rsidRPr="00E4265B" w:rsidRDefault="00D8079B" w:rsidP="0019712D">
            <w:pPr>
              <w:pStyle w:val="ListParagraph"/>
              <w:numPr>
                <w:ilvl w:val="0"/>
                <w:numId w:val="65"/>
              </w:numPr>
              <w:tabs>
                <w:tab w:val="num" w:pos="1299"/>
                <w:tab w:val="num" w:pos="2880"/>
              </w:tabs>
              <w:spacing w:after="240" w:line="246" w:lineRule="atLeast"/>
              <w:ind w:left="1782" w:hanging="630"/>
              <w:jc w:val="both"/>
              <w:outlineLvl w:val="5"/>
              <w:rPr>
                <w:rFonts w:ascii="Arial" w:eastAsiaTheme="majorEastAsia" w:hAnsi="Arial" w:cs="Arial"/>
                <w:iCs/>
                <w:snapToGrid w:val="0"/>
                <w:sz w:val="22"/>
                <w:szCs w:val="22"/>
                <w:lang w:val="en-GB"/>
              </w:rPr>
            </w:pPr>
            <w:r w:rsidRPr="00E4265B">
              <w:rPr>
                <w:rFonts w:ascii="Arial" w:eastAsiaTheme="majorEastAsia" w:hAnsi="Arial" w:cs="Arial"/>
                <w:iCs/>
                <w:snapToGrid w:val="0"/>
                <w:sz w:val="22"/>
                <w:szCs w:val="22"/>
                <w:lang w:val="en-GB"/>
              </w:rPr>
              <w:t xml:space="preserve">a governmental organisation, including the </w:t>
            </w:r>
            <w:r w:rsidR="00030214" w:rsidRPr="00E4265B">
              <w:rPr>
                <w:rFonts w:ascii="Arial" w:eastAsiaTheme="majorEastAsia" w:hAnsi="Arial" w:cs="Arial"/>
                <w:iCs/>
                <w:snapToGrid w:val="0"/>
                <w:sz w:val="22"/>
                <w:szCs w:val="22"/>
                <w:lang w:val="en-GB"/>
              </w:rPr>
              <w:t>c</w:t>
            </w:r>
            <w:r w:rsidRPr="00E4265B">
              <w:rPr>
                <w:rFonts w:ascii="Arial" w:eastAsiaTheme="majorEastAsia" w:hAnsi="Arial" w:cs="Arial"/>
                <w:iCs/>
                <w:snapToGrid w:val="0"/>
                <w:sz w:val="22"/>
                <w:szCs w:val="22"/>
                <w:lang w:val="en-GB"/>
              </w:rPr>
              <w:t xml:space="preserve">entral </w:t>
            </w:r>
            <w:r w:rsidR="00030214" w:rsidRPr="00E4265B">
              <w:rPr>
                <w:rFonts w:ascii="Arial" w:eastAsiaTheme="majorEastAsia" w:hAnsi="Arial" w:cs="Arial"/>
                <w:iCs/>
                <w:snapToGrid w:val="0"/>
                <w:sz w:val="22"/>
                <w:szCs w:val="22"/>
                <w:lang w:val="en-GB"/>
              </w:rPr>
              <w:t>b</w:t>
            </w:r>
            <w:r w:rsidRPr="00E4265B">
              <w:rPr>
                <w:rFonts w:ascii="Arial" w:eastAsiaTheme="majorEastAsia" w:hAnsi="Arial" w:cs="Arial"/>
                <w:iCs/>
                <w:snapToGrid w:val="0"/>
                <w:sz w:val="22"/>
                <w:szCs w:val="22"/>
                <w:lang w:val="en-GB"/>
              </w:rPr>
              <w:t>ank of any State; or</w:t>
            </w:r>
          </w:p>
          <w:p w14:paraId="6BB91FDC" w14:textId="77777777" w:rsidR="00690BF6" w:rsidRPr="00E4265B" w:rsidRDefault="007966E3" w:rsidP="0019712D">
            <w:pPr>
              <w:pStyle w:val="ListParagraph"/>
              <w:numPr>
                <w:ilvl w:val="0"/>
                <w:numId w:val="65"/>
              </w:numPr>
              <w:tabs>
                <w:tab w:val="num" w:pos="1299"/>
                <w:tab w:val="num" w:pos="2880"/>
              </w:tabs>
              <w:spacing w:after="240" w:line="246" w:lineRule="atLeast"/>
              <w:ind w:left="1782" w:hanging="630"/>
              <w:jc w:val="both"/>
              <w:outlineLvl w:val="5"/>
              <w:rPr>
                <w:rFonts w:ascii="Arial" w:eastAsiaTheme="majorEastAsia" w:hAnsi="Arial" w:cs="Arial"/>
                <w:iCs/>
                <w:snapToGrid w:val="0"/>
                <w:sz w:val="22"/>
                <w:szCs w:val="22"/>
                <w:lang w:val="en-GB"/>
              </w:rPr>
            </w:pPr>
            <w:r w:rsidRPr="00E4265B">
              <w:rPr>
                <w:rFonts w:ascii="Arial" w:eastAsia="MS Mincho" w:hAnsi="Arial" w:cs="Arial"/>
                <w:snapToGrid w:val="0"/>
                <w:sz w:val="22"/>
                <w:szCs w:val="22"/>
                <w:lang w:val="en-GB"/>
              </w:rPr>
              <w:t>a multilateral development bank.</w:t>
            </w:r>
          </w:p>
        </w:tc>
      </w:tr>
      <w:tr w:rsidR="00690BF6" w:rsidRPr="00E4265B" w14:paraId="77BC1C7C" w14:textId="77777777" w:rsidTr="00CD1719">
        <w:trPr>
          <w:gridBefore w:val="1"/>
          <w:wBefore w:w="882" w:type="dxa"/>
        </w:trPr>
        <w:tc>
          <w:tcPr>
            <w:tcW w:w="2462" w:type="dxa"/>
          </w:tcPr>
          <w:p w14:paraId="2DE556F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Financial Instrument</w:t>
            </w:r>
          </w:p>
        </w:tc>
        <w:tc>
          <w:tcPr>
            <w:tcW w:w="5188" w:type="dxa"/>
          </w:tcPr>
          <w:p w14:paraId="52468DD6" w14:textId="77777777" w:rsidR="00690BF6" w:rsidRPr="00E4265B" w:rsidRDefault="00690BF6" w:rsidP="00EB5478">
            <w:pPr>
              <w:autoSpaceDE w:val="0"/>
              <w:autoSpaceDN w:val="0"/>
              <w:adjustRightInd w:val="0"/>
              <w:spacing w:before="120" w:after="120"/>
              <w:jc w:val="both"/>
              <w:rPr>
                <w:rFonts w:ascii="Arial" w:hAnsi="Arial" w:cs="Arial"/>
                <w:sz w:val="22"/>
                <w:szCs w:val="22"/>
                <w:lang w:val="en-GB"/>
              </w:rPr>
            </w:pPr>
            <w:r w:rsidRPr="00E4265B">
              <w:rPr>
                <w:rFonts w:ascii="Arial" w:hAnsi="Arial" w:cs="Arial"/>
                <w:sz w:val="22"/>
                <w:szCs w:val="22"/>
                <w:lang w:val="en-GB"/>
              </w:rPr>
              <w:t>Any contract that gives rise to both a financial asset of one entity and a financial liability or equity instrument of another entity.</w:t>
            </w:r>
          </w:p>
        </w:tc>
      </w:tr>
      <w:tr w:rsidR="00690BF6" w:rsidRPr="00E4265B" w14:paraId="6811445A" w14:textId="77777777" w:rsidTr="00CD1719">
        <w:trPr>
          <w:gridBefore w:val="1"/>
          <w:wBefore w:w="882" w:type="dxa"/>
        </w:trPr>
        <w:tc>
          <w:tcPr>
            <w:tcW w:w="2462" w:type="dxa"/>
          </w:tcPr>
          <w:p w14:paraId="069DC7C6"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Financial Product</w:t>
            </w:r>
          </w:p>
        </w:tc>
        <w:tc>
          <w:tcPr>
            <w:tcW w:w="5188" w:type="dxa"/>
          </w:tcPr>
          <w:p w14:paraId="6E059AD1" w14:textId="77777777" w:rsidR="00690BF6" w:rsidRPr="00E4265B" w:rsidRDefault="00690BF6" w:rsidP="00EB5478">
            <w:pPr>
              <w:spacing w:before="120" w:after="120"/>
              <w:rPr>
                <w:rFonts w:ascii="Arial" w:hAnsi="Arial" w:cs="Arial"/>
                <w:sz w:val="22"/>
                <w:szCs w:val="22"/>
                <w:lang w:val="en-GB"/>
              </w:rPr>
            </w:pPr>
            <w:r w:rsidRPr="00E4265B">
              <w:rPr>
                <w:rStyle w:val="me"/>
                <w:rFonts w:ascii="Arial" w:hAnsi="Arial" w:cs="Arial"/>
                <w:color w:val="222222"/>
                <w:sz w:val="22"/>
                <w:szCs w:val="22"/>
                <w:lang w:val="en-GB"/>
              </w:rPr>
              <w:t>Means an Investment, a Credit Facility, a Deposit, a Profit Sharing Investment Account, or a Contract of Insurance.</w:t>
            </w:r>
          </w:p>
        </w:tc>
      </w:tr>
      <w:tr w:rsidR="00690BF6" w:rsidRPr="00E4265B" w14:paraId="75621CC8" w14:textId="77777777" w:rsidTr="00CD1719">
        <w:trPr>
          <w:gridBefore w:val="1"/>
          <w:wBefore w:w="882" w:type="dxa"/>
        </w:trPr>
        <w:tc>
          <w:tcPr>
            <w:tcW w:w="2462" w:type="dxa"/>
          </w:tcPr>
          <w:p w14:paraId="7978176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Financial Services Permission</w:t>
            </w:r>
          </w:p>
        </w:tc>
        <w:tc>
          <w:tcPr>
            <w:tcW w:w="5188" w:type="dxa"/>
          </w:tcPr>
          <w:p w14:paraId="0F276533" w14:textId="77777777" w:rsidR="00690BF6" w:rsidRPr="00E4265B" w:rsidRDefault="007966E3" w:rsidP="00877CEA">
            <w:pPr>
              <w:spacing w:before="120" w:after="120"/>
              <w:jc w:val="both"/>
              <w:rPr>
                <w:rFonts w:ascii="Arial" w:hAnsi="Arial" w:cs="Arial"/>
                <w:sz w:val="22"/>
                <w:szCs w:val="22"/>
                <w:lang w:val="en-GB"/>
              </w:rPr>
            </w:pPr>
            <w:r w:rsidRPr="00E4265B">
              <w:rPr>
                <w:rFonts w:ascii="Arial" w:hAnsi="Arial" w:cs="Arial"/>
                <w:sz w:val="22"/>
                <w:szCs w:val="22"/>
                <w:lang w:val="en-GB"/>
              </w:rPr>
              <w:t xml:space="preserve">A </w:t>
            </w:r>
            <w:r w:rsidR="00690BF6" w:rsidRPr="00E4265B">
              <w:rPr>
                <w:rFonts w:ascii="Arial" w:hAnsi="Arial" w:cs="Arial"/>
                <w:sz w:val="22"/>
                <w:szCs w:val="22"/>
                <w:lang w:val="en-GB"/>
              </w:rPr>
              <w:t>permission given, or having effect as if so given, by the Regulator in accordance with Part 4 of the Financial Services and Markets Regulations.</w:t>
            </w:r>
          </w:p>
        </w:tc>
      </w:tr>
      <w:tr w:rsidR="00690BF6" w:rsidRPr="00E4265B" w14:paraId="16ABA5E5" w14:textId="77777777" w:rsidTr="00CD1719">
        <w:trPr>
          <w:gridBefore w:val="1"/>
          <w:wBefore w:w="882" w:type="dxa"/>
        </w:trPr>
        <w:tc>
          <w:tcPr>
            <w:tcW w:w="2462" w:type="dxa"/>
          </w:tcPr>
          <w:p w14:paraId="4FF71AE4"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First Loss Position</w:t>
            </w:r>
          </w:p>
        </w:tc>
        <w:tc>
          <w:tcPr>
            <w:tcW w:w="5188" w:type="dxa"/>
          </w:tcPr>
          <w:p w14:paraId="55CF8EF1"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Represents the first level of support provided to the Special Purpose Entity or vehicle that should bear all, or a significant part of, the risk associated with the items held by the Special Purpose Entity or vehicle.</w:t>
            </w:r>
          </w:p>
        </w:tc>
      </w:tr>
      <w:tr w:rsidR="00690BF6" w:rsidRPr="00E4265B" w14:paraId="3DE390DC" w14:textId="77777777" w:rsidTr="00CD1719">
        <w:trPr>
          <w:gridBefore w:val="1"/>
          <w:wBefore w:w="882" w:type="dxa"/>
        </w:trPr>
        <w:tc>
          <w:tcPr>
            <w:tcW w:w="2462" w:type="dxa"/>
          </w:tcPr>
          <w:p w14:paraId="5207FCB6"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Foreign Exchange Risk Capital Requirement</w:t>
            </w:r>
          </w:p>
        </w:tc>
        <w:tc>
          <w:tcPr>
            <w:tcW w:w="5188" w:type="dxa"/>
          </w:tcPr>
          <w:p w14:paraId="1776A6A4"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component of the Market Risk Capital Requirement and as calculated in accordance with Section 5.6.</w:t>
            </w:r>
          </w:p>
        </w:tc>
      </w:tr>
      <w:tr w:rsidR="00690BF6" w:rsidRPr="00E4265B" w14:paraId="21EA8985" w14:textId="77777777" w:rsidTr="00CD1719">
        <w:trPr>
          <w:gridBefore w:val="1"/>
          <w:wBefore w:w="882" w:type="dxa"/>
        </w:trPr>
        <w:tc>
          <w:tcPr>
            <w:tcW w:w="2462" w:type="dxa"/>
          </w:tcPr>
          <w:p w14:paraId="5E391300"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Fund</w:t>
            </w:r>
          </w:p>
        </w:tc>
        <w:tc>
          <w:tcPr>
            <w:tcW w:w="5188" w:type="dxa"/>
          </w:tcPr>
          <w:p w14:paraId="4E9AC0FD"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Means a Collective Investment Fund.</w:t>
            </w:r>
          </w:p>
        </w:tc>
      </w:tr>
      <w:tr w:rsidR="00690BF6" w:rsidRPr="00E4265B" w14:paraId="4BE3EDF6" w14:textId="77777777" w:rsidTr="00CD1719">
        <w:trPr>
          <w:gridBefore w:val="1"/>
          <w:wBefore w:w="882" w:type="dxa"/>
        </w:trPr>
        <w:tc>
          <w:tcPr>
            <w:tcW w:w="2462" w:type="dxa"/>
          </w:tcPr>
          <w:p w14:paraId="3DAA8477"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Fund Manager</w:t>
            </w:r>
          </w:p>
        </w:tc>
        <w:tc>
          <w:tcPr>
            <w:tcW w:w="5188" w:type="dxa"/>
          </w:tcPr>
          <w:p w14:paraId="51A89834" w14:textId="77777777" w:rsidR="00690BF6" w:rsidRPr="00E4265B" w:rsidRDefault="00B34070" w:rsidP="008F5C01">
            <w:pPr>
              <w:spacing w:before="120" w:after="120"/>
              <w:jc w:val="both"/>
              <w:rPr>
                <w:rStyle w:val="me"/>
                <w:rFonts w:ascii="Arial" w:hAnsi="Arial" w:cs="Arial"/>
                <w:color w:val="222222"/>
                <w:sz w:val="22"/>
                <w:szCs w:val="22"/>
                <w:lang w:val="en-GB"/>
              </w:rPr>
            </w:pPr>
            <w:r w:rsidRPr="00E4265B">
              <w:rPr>
                <w:rFonts w:ascii="Arial" w:eastAsia="Times New Roman" w:hAnsi="Arial" w:cs="Arial"/>
                <w:snapToGrid w:val="0"/>
                <w:sz w:val="22"/>
                <w:szCs w:val="22"/>
                <w:lang w:val="en-GB" w:eastAsia="en-GB"/>
              </w:rPr>
              <w:t xml:space="preserve">Means a Person responsible for the management of the property held for or within a Fund and </w:t>
            </w:r>
            <w:r w:rsidRPr="00E4265B">
              <w:rPr>
                <w:rFonts w:ascii="Arial" w:hAnsi="Arial" w:cs="Arial"/>
                <w:snapToGrid w:val="0"/>
                <w:sz w:val="22"/>
                <w:szCs w:val="22"/>
                <w:lang w:val="en-GB"/>
              </w:rPr>
              <w:t>who</w:t>
            </w:r>
            <w:r w:rsidRPr="00E4265B">
              <w:rPr>
                <w:rFonts w:ascii="Arial" w:eastAsia="Times New Roman" w:hAnsi="Arial" w:cs="Arial"/>
                <w:snapToGrid w:val="0"/>
                <w:sz w:val="22"/>
                <w:szCs w:val="22"/>
                <w:lang w:val="en-GB" w:eastAsia="en-GB"/>
              </w:rPr>
              <w:t xml:space="preserve"> otherwise operates the Fund.</w:t>
            </w:r>
          </w:p>
        </w:tc>
      </w:tr>
      <w:tr w:rsidR="00690BF6" w:rsidRPr="00E4265B" w14:paraId="7EC3B1E3" w14:textId="77777777" w:rsidTr="00CD1719">
        <w:trPr>
          <w:gridBefore w:val="1"/>
          <w:wBefore w:w="882" w:type="dxa"/>
        </w:trPr>
        <w:tc>
          <w:tcPr>
            <w:tcW w:w="2462" w:type="dxa"/>
          </w:tcPr>
          <w:p w14:paraId="022CE5DD"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Fund Property</w:t>
            </w:r>
          </w:p>
        </w:tc>
        <w:tc>
          <w:tcPr>
            <w:tcW w:w="5188" w:type="dxa"/>
          </w:tcPr>
          <w:p w14:paraId="0F7B0D8E" w14:textId="77777777" w:rsidR="00690BF6" w:rsidRPr="00E4265B" w:rsidRDefault="00690BF6" w:rsidP="00F80299">
            <w:pPr>
              <w:spacing w:before="120" w:after="120"/>
              <w:rPr>
                <w:rFonts w:ascii="Arial" w:hAnsi="Arial" w:cs="Arial"/>
                <w:sz w:val="22"/>
                <w:szCs w:val="22"/>
                <w:lang w:val="en-GB"/>
              </w:rPr>
            </w:pPr>
            <w:r w:rsidRPr="00E4265B">
              <w:rPr>
                <w:rStyle w:val="me"/>
                <w:rFonts w:ascii="Arial" w:hAnsi="Arial" w:cs="Arial"/>
                <w:color w:val="222222"/>
                <w:sz w:val="22"/>
                <w:szCs w:val="22"/>
                <w:lang w:val="en-GB"/>
              </w:rPr>
              <w:t>The property held for or within a Fund.</w:t>
            </w:r>
          </w:p>
        </w:tc>
      </w:tr>
      <w:tr w:rsidR="00690BF6" w:rsidRPr="00E4265B" w14:paraId="0DECD425" w14:textId="77777777" w:rsidTr="00CD1719">
        <w:trPr>
          <w:gridBefore w:val="1"/>
          <w:wBefore w:w="882" w:type="dxa"/>
        </w:trPr>
        <w:tc>
          <w:tcPr>
            <w:tcW w:w="2462" w:type="dxa"/>
          </w:tcPr>
          <w:p w14:paraId="348C563D"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Future</w:t>
            </w:r>
          </w:p>
        </w:tc>
        <w:tc>
          <w:tcPr>
            <w:tcW w:w="5188" w:type="dxa"/>
          </w:tcPr>
          <w:p w14:paraId="06D536E8"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Means an instrument comprising rights under a contract:</w:t>
            </w:r>
          </w:p>
          <w:p w14:paraId="3CA82677" w14:textId="77777777" w:rsidR="00690BF6" w:rsidRPr="00E4265B" w:rsidRDefault="00690BF6" w:rsidP="0019712D">
            <w:pPr>
              <w:pStyle w:val="Heading9"/>
              <w:numPr>
                <w:ilvl w:val="8"/>
                <w:numId w:val="60"/>
              </w:numPr>
              <w:rPr>
                <w:rFonts w:ascii="Arial" w:hAnsi="Arial" w:cs="Arial"/>
                <w:sz w:val="22"/>
                <w:szCs w:val="22"/>
                <w:lang w:val="en-GB"/>
              </w:rPr>
            </w:pPr>
            <w:r w:rsidRPr="00E4265B">
              <w:rPr>
                <w:rFonts w:ascii="Arial" w:hAnsi="Arial" w:cs="Arial"/>
                <w:sz w:val="22"/>
                <w:szCs w:val="22"/>
                <w:lang w:val="en-GB"/>
              </w:rPr>
              <w:t xml:space="preserve">for the sale of a commodity or property of any other description under which delivery is to be made at a future date </w:t>
            </w:r>
            <w:r w:rsidRPr="00E4265B">
              <w:rPr>
                <w:rFonts w:ascii="Arial" w:hAnsi="Arial" w:cs="Arial"/>
                <w:sz w:val="22"/>
                <w:szCs w:val="22"/>
                <w:lang w:val="en-GB"/>
              </w:rPr>
              <w:lastRenderedPageBreak/>
              <w:t>and at a price agreed on when the contract is made and that contract:</w:t>
            </w:r>
          </w:p>
          <w:p w14:paraId="19D88850" w14:textId="77777777" w:rsidR="00690BF6" w:rsidRPr="00E4265B" w:rsidRDefault="00690BF6" w:rsidP="00EB5478">
            <w:pPr>
              <w:tabs>
                <w:tab w:val="left" w:pos="1160"/>
                <w:tab w:val="left" w:pos="1804"/>
              </w:tabs>
              <w:spacing w:before="120" w:after="120"/>
              <w:ind w:left="1804" w:hanging="1804"/>
              <w:jc w:val="both"/>
              <w:rPr>
                <w:rFonts w:ascii="Arial" w:hAnsi="Arial" w:cs="Arial"/>
                <w:sz w:val="22"/>
                <w:szCs w:val="22"/>
                <w:lang w:val="en-GB"/>
              </w:rPr>
            </w:pPr>
            <w:r w:rsidRPr="00E4265B">
              <w:rPr>
                <w:rFonts w:ascii="Arial" w:hAnsi="Arial" w:cs="Arial"/>
                <w:sz w:val="22"/>
                <w:szCs w:val="22"/>
                <w:lang w:val="en-GB"/>
              </w:rPr>
              <w:tab/>
              <w:t xml:space="preserve">(i) </w:t>
            </w:r>
            <w:r w:rsidRPr="00E4265B">
              <w:rPr>
                <w:rFonts w:ascii="Arial" w:hAnsi="Arial" w:cs="Arial"/>
                <w:sz w:val="22"/>
                <w:szCs w:val="22"/>
                <w:lang w:val="en-GB"/>
              </w:rPr>
              <w:tab/>
              <w:t>is made or traded on a regulated exchange;</w:t>
            </w:r>
          </w:p>
          <w:p w14:paraId="22F219D0" w14:textId="77777777" w:rsidR="00690BF6" w:rsidRPr="00E4265B" w:rsidRDefault="00690BF6" w:rsidP="00EB5478">
            <w:pPr>
              <w:tabs>
                <w:tab w:val="left" w:pos="1160"/>
                <w:tab w:val="left" w:pos="1804"/>
              </w:tabs>
              <w:spacing w:before="120" w:after="120"/>
              <w:ind w:left="1804" w:hanging="1804"/>
              <w:jc w:val="both"/>
              <w:rPr>
                <w:rFonts w:ascii="Arial" w:hAnsi="Arial" w:cs="Arial"/>
                <w:sz w:val="22"/>
                <w:szCs w:val="22"/>
                <w:lang w:val="en-GB"/>
              </w:rPr>
            </w:pPr>
            <w:r w:rsidRPr="00E4265B">
              <w:rPr>
                <w:rFonts w:ascii="Arial" w:hAnsi="Arial" w:cs="Arial"/>
                <w:sz w:val="22"/>
                <w:szCs w:val="22"/>
                <w:lang w:val="en-GB"/>
              </w:rPr>
              <w:tab/>
              <w:t xml:space="preserve">(ii) </w:t>
            </w:r>
            <w:r w:rsidRPr="00E4265B">
              <w:rPr>
                <w:rFonts w:ascii="Arial" w:hAnsi="Arial" w:cs="Arial"/>
                <w:sz w:val="22"/>
                <w:szCs w:val="22"/>
                <w:lang w:val="en-GB"/>
              </w:rPr>
              <w:tab/>
              <w:t>is made or traded on terms that are similar to those made or traded on a regulated exchange; or</w:t>
            </w:r>
          </w:p>
          <w:p w14:paraId="3CD5159B" w14:textId="77777777" w:rsidR="00690BF6" w:rsidRPr="00E4265B" w:rsidRDefault="00690BF6" w:rsidP="00EB5478">
            <w:pPr>
              <w:tabs>
                <w:tab w:val="left" w:pos="1160"/>
                <w:tab w:val="left" w:pos="1804"/>
              </w:tabs>
              <w:spacing w:before="120" w:after="120"/>
              <w:ind w:left="1804" w:hanging="1804"/>
              <w:jc w:val="both"/>
              <w:rPr>
                <w:rFonts w:ascii="Arial" w:hAnsi="Arial" w:cs="Arial"/>
                <w:sz w:val="22"/>
                <w:szCs w:val="22"/>
                <w:lang w:val="en-GB"/>
              </w:rPr>
            </w:pPr>
            <w:r w:rsidRPr="00E4265B">
              <w:rPr>
                <w:rFonts w:ascii="Arial" w:hAnsi="Arial" w:cs="Arial"/>
                <w:sz w:val="22"/>
                <w:szCs w:val="22"/>
                <w:lang w:val="en-GB"/>
              </w:rPr>
              <w:tab/>
              <w:t xml:space="preserve">(iii) </w:t>
            </w:r>
            <w:r w:rsidRPr="00E4265B">
              <w:rPr>
                <w:rFonts w:ascii="Arial" w:hAnsi="Arial" w:cs="Arial"/>
                <w:sz w:val="22"/>
                <w:szCs w:val="22"/>
                <w:lang w:val="en-GB"/>
              </w:rPr>
              <w:tab/>
              <w:t>would, on reasonable grounds, be regarded as made for investment and not for commercial purposes; or</w:t>
            </w:r>
          </w:p>
          <w:p w14:paraId="55AABB5E"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where the value of the contract is ultimately determined by reference, wholly or in part, to fluctuations in:</w:t>
            </w:r>
          </w:p>
          <w:p w14:paraId="11E2D9BF" w14:textId="77777777" w:rsidR="00690BF6" w:rsidRPr="00E4265B" w:rsidRDefault="00690BF6" w:rsidP="00D94D55">
            <w:pPr>
              <w:tabs>
                <w:tab w:val="left" w:pos="1171"/>
                <w:tab w:val="left" w:pos="1815"/>
              </w:tabs>
              <w:spacing w:before="120" w:after="120"/>
              <w:ind w:left="1815" w:hanging="1815"/>
              <w:jc w:val="both"/>
              <w:rPr>
                <w:rFonts w:ascii="Arial" w:hAnsi="Arial" w:cs="Arial"/>
                <w:sz w:val="22"/>
                <w:szCs w:val="22"/>
                <w:lang w:val="en-GB"/>
              </w:rPr>
            </w:pPr>
            <w:r w:rsidRPr="00E4265B">
              <w:rPr>
                <w:rFonts w:ascii="Arial" w:hAnsi="Arial" w:cs="Arial"/>
                <w:sz w:val="22"/>
                <w:szCs w:val="22"/>
                <w:lang w:val="en-GB"/>
              </w:rPr>
              <w:tab/>
              <w:t xml:space="preserve">(i) </w:t>
            </w:r>
            <w:r w:rsidRPr="00E4265B">
              <w:rPr>
                <w:rFonts w:ascii="Arial" w:hAnsi="Arial" w:cs="Arial"/>
                <w:sz w:val="22"/>
                <w:szCs w:val="22"/>
                <w:lang w:val="en-GB"/>
              </w:rPr>
              <w:tab/>
              <w:t>the value or price of property of any description; or</w:t>
            </w:r>
          </w:p>
          <w:p w14:paraId="46C82AA2" w14:textId="77777777" w:rsidR="00690BF6" w:rsidRPr="00E4265B" w:rsidRDefault="00690BF6" w:rsidP="00D94D55">
            <w:pPr>
              <w:tabs>
                <w:tab w:val="left" w:pos="1171"/>
                <w:tab w:val="left" w:pos="1815"/>
              </w:tabs>
              <w:spacing w:before="120" w:after="120"/>
              <w:ind w:left="1815" w:hanging="1815"/>
              <w:jc w:val="both"/>
              <w:rPr>
                <w:rFonts w:ascii="Arial" w:hAnsi="Arial" w:cs="Arial"/>
                <w:sz w:val="22"/>
                <w:szCs w:val="22"/>
                <w:lang w:val="en-GB"/>
              </w:rPr>
            </w:pPr>
            <w:r w:rsidRPr="00E4265B">
              <w:rPr>
                <w:rFonts w:ascii="Arial" w:hAnsi="Arial" w:cs="Arial"/>
                <w:sz w:val="22"/>
                <w:szCs w:val="22"/>
                <w:lang w:val="en-GB"/>
              </w:rPr>
              <w:tab/>
              <w:t xml:space="preserve">(ii) </w:t>
            </w:r>
            <w:r w:rsidRPr="00E4265B">
              <w:rPr>
                <w:rFonts w:ascii="Arial" w:hAnsi="Arial" w:cs="Arial"/>
                <w:sz w:val="22"/>
                <w:szCs w:val="22"/>
                <w:lang w:val="en-GB"/>
              </w:rPr>
              <w:tab/>
              <w:t>an index, interest rate, exchange rate, any combination of these, or other factor designated for that purpose in the contract; and</w:t>
            </w:r>
          </w:p>
          <w:p w14:paraId="0818762D" w14:textId="0EE10F7A" w:rsidR="00690BF6" w:rsidRPr="00E4265B" w:rsidRDefault="00690BF6" w:rsidP="002164CC">
            <w:pPr>
              <w:tabs>
                <w:tab w:val="left" w:pos="1171"/>
              </w:tabs>
              <w:spacing w:before="120" w:after="120"/>
              <w:ind w:left="1202" w:hanging="1202"/>
              <w:jc w:val="both"/>
              <w:rPr>
                <w:rFonts w:ascii="Arial" w:hAnsi="Arial" w:cs="Arial"/>
                <w:sz w:val="22"/>
                <w:szCs w:val="22"/>
                <w:lang w:val="en-GB"/>
              </w:rPr>
            </w:pPr>
            <w:r w:rsidRPr="00E4265B">
              <w:rPr>
                <w:rFonts w:ascii="Arial" w:hAnsi="Arial" w:cs="Arial"/>
                <w:sz w:val="22"/>
                <w:szCs w:val="22"/>
                <w:lang w:val="en-GB"/>
              </w:rPr>
              <w:tab/>
              <w:t>which is wholly settled by cash or set-off between the parties but excludes:</w:t>
            </w:r>
          </w:p>
          <w:p w14:paraId="2D7A5059" w14:textId="05E2A39D" w:rsidR="00690BF6" w:rsidRPr="00E4265B" w:rsidRDefault="00690BF6" w:rsidP="00D94D55">
            <w:pPr>
              <w:tabs>
                <w:tab w:val="left" w:pos="1171"/>
                <w:tab w:val="left" w:pos="1815"/>
              </w:tabs>
              <w:spacing w:before="120" w:after="120"/>
              <w:ind w:left="1815" w:hanging="1815"/>
              <w:jc w:val="both"/>
              <w:rPr>
                <w:rFonts w:ascii="Arial" w:hAnsi="Arial" w:cs="Arial"/>
                <w:sz w:val="22"/>
                <w:szCs w:val="22"/>
                <w:lang w:val="en-GB"/>
              </w:rPr>
            </w:pPr>
            <w:r w:rsidRPr="00E4265B">
              <w:rPr>
                <w:rFonts w:ascii="Arial" w:hAnsi="Arial" w:cs="Arial"/>
                <w:sz w:val="22"/>
                <w:szCs w:val="22"/>
                <w:lang w:val="en-GB"/>
              </w:rPr>
              <w:tab/>
              <w:t>(i</w:t>
            </w:r>
            <w:r w:rsidR="002164CC" w:rsidRPr="00E4265B">
              <w:rPr>
                <w:rFonts w:ascii="Arial" w:hAnsi="Arial" w:cs="Arial"/>
                <w:sz w:val="22"/>
                <w:szCs w:val="22"/>
                <w:lang w:val="en-GB"/>
              </w:rPr>
              <w:t>ii</w:t>
            </w:r>
            <w:r w:rsidRPr="00E4265B">
              <w:rPr>
                <w:rFonts w:ascii="Arial" w:hAnsi="Arial" w:cs="Arial"/>
                <w:sz w:val="22"/>
                <w:szCs w:val="22"/>
                <w:lang w:val="en-GB"/>
              </w:rPr>
              <w:t xml:space="preserve">) </w:t>
            </w:r>
            <w:r w:rsidRPr="00E4265B">
              <w:rPr>
                <w:rFonts w:ascii="Arial" w:hAnsi="Arial" w:cs="Arial"/>
                <w:sz w:val="22"/>
                <w:szCs w:val="22"/>
                <w:lang w:val="en-GB"/>
              </w:rPr>
              <w:tab/>
              <w:t>rights under a contract where one or more of the parties takes delivery of any property to which the contract relates;</w:t>
            </w:r>
          </w:p>
          <w:p w14:paraId="4869426B" w14:textId="62AB66F2" w:rsidR="00690BF6" w:rsidRPr="00E4265B" w:rsidRDefault="00690BF6" w:rsidP="00D94D55">
            <w:pPr>
              <w:tabs>
                <w:tab w:val="left" w:pos="1171"/>
                <w:tab w:val="left" w:pos="1815"/>
              </w:tabs>
              <w:spacing w:before="120" w:after="120"/>
              <w:ind w:left="1815" w:hanging="1815"/>
              <w:jc w:val="both"/>
              <w:rPr>
                <w:rFonts w:ascii="Arial" w:hAnsi="Arial" w:cs="Arial"/>
                <w:sz w:val="22"/>
                <w:szCs w:val="22"/>
                <w:lang w:val="en-GB"/>
              </w:rPr>
            </w:pPr>
            <w:r w:rsidRPr="00E4265B">
              <w:rPr>
                <w:rFonts w:ascii="Arial" w:hAnsi="Arial" w:cs="Arial"/>
                <w:sz w:val="22"/>
                <w:szCs w:val="22"/>
                <w:lang w:val="en-GB"/>
              </w:rPr>
              <w:tab/>
              <w:t>(</w:t>
            </w:r>
            <w:r w:rsidR="002164CC" w:rsidRPr="00E4265B">
              <w:rPr>
                <w:rFonts w:ascii="Arial" w:hAnsi="Arial" w:cs="Arial"/>
                <w:sz w:val="22"/>
                <w:szCs w:val="22"/>
                <w:lang w:val="en-GB"/>
              </w:rPr>
              <w:t>i</w:t>
            </w:r>
            <w:r w:rsidRPr="00E4265B">
              <w:rPr>
                <w:rFonts w:ascii="Arial" w:hAnsi="Arial" w:cs="Arial"/>
                <w:sz w:val="22"/>
                <w:szCs w:val="22"/>
                <w:lang w:val="en-GB"/>
              </w:rPr>
              <w:t xml:space="preserve">v) </w:t>
            </w:r>
            <w:r w:rsidRPr="00E4265B">
              <w:rPr>
                <w:rFonts w:ascii="Arial" w:hAnsi="Arial" w:cs="Arial"/>
                <w:sz w:val="22"/>
                <w:szCs w:val="22"/>
                <w:lang w:val="en-GB"/>
              </w:rPr>
              <w:tab/>
              <w:t>a contract under which Money is received by way of Deposit or an acknowledgement of a debt on terms that any return to be paid on the sum deposited or received will be calculated by reference to an index, interest rate, exchange rate or any combination of these or other factors; or</w:t>
            </w:r>
          </w:p>
          <w:p w14:paraId="0925E5C8" w14:textId="6499327F" w:rsidR="00690BF6" w:rsidRPr="00E4265B" w:rsidRDefault="00690BF6" w:rsidP="002164CC">
            <w:pPr>
              <w:tabs>
                <w:tab w:val="left" w:pos="1171"/>
                <w:tab w:val="left" w:pos="1815"/>
              </w:tabs>
              <w:spacing w:before="120" w:after="120"/>
              <w:ind w:left="1815" w:hanging="1815"/>
              <w:jc w:val="both"/>
              <w:rPr>
                <w:rFonts w:ascii="Arial" w:hAnsi="Arial" w:cs="Arial"/>
                <w:sz w:val="22"/>
                <w:szCs w:val="22"/>
                <w:lang w:val="en-GB"/>
              </w:rPr>
            </w:pPr>
            <w:r w:rsidRPr="00E4265B">
              <w:rPr>
                <w:rFonts w:ascii="Arial" w:hAnsi="Arial" w:cs="Arial"/>
                <w:sz w:val="22"/>
                <w:szCs w:val="22"/>
                <w:lang w:val="en-GB"/>
              </w:rPr>
              <w:tab/>
              <w:t xml:space="preserve">(v) </w:t>
            </w:r>
            <w:r w:rsidRPr="00E4265B">
              <w:rPr>
                <w:rFonts w:ascii="Arial" w:hAnsi="Arial" w:cs="Arial"/>
                <w:sz w:val="22"/>
                <w:szCs w:val="22"/>
                <w:lang w:val="en-GB"/>
              </w:rPr>
              <w:tab/>
              <w:t>a Contract of Insurance.</w:t>
            </w:r>
          </w:p>
        </w:tc>
      </w:tr>
      <w:tr w:rsidR="00690BF6" w:rsidRPr="00E4265B" w14:paraId="77D084EE" w14:textId="77777777" w:rsidTr="00CD1719">
        <w:trPr>
          <w:gridBefore w:val="1"/>
          <w:wBefore w:w="882" w:type="dxa"/>
        </w:trPr>
        <w:tc>
          <w:tcPr>
            <w:tcW w:w="2462" w:type="dxa"/>
          </w:tcPr>
          <w:p w14:paraId="5193428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Gamma</w:t>
            </w:r>
          </w:p>
        </w:tc>
        <w:tc>
          <w:tcPr>
            <w:tcW w:w="5188" w:type="dxa"/>
          </w:tcPr>
          <w:p w14:paraId="196CA3B1"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The measure of the rate of change of Delta.</w:t>
            </w:r>
          </w:p>
        </w:tc>
      </w:tr>
      <w:tr w:rsidR="00690BF6" w:rsidRPr="00E4265B" w14:paraId="21291F46" w14:textId="77777777" w:rsidTr="00CD1719">
        <w:trPr>
          <w:gridBefore w:val="1"/>
          <w:wBefore w:w="882" w:type="dxa"/>
        </w:trPr>
        <w:tc>
          <w:tcPr>
            <w:tcW w:w="2462" w:type="dxa"/>
          </w:tcPr>
          <w:p w14:paraId="1588912E"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General Market Risk</w:t>
            </w:r>
          </w:p>
        </w:tc>
        <w:tc>
          <w:tcPr>
            <w:tcW w:w="5188" w:type="dxa"/>
          </w:tcPr>
          <w:p w14:paraId="333648C9" w14:textId="77777777" w:rsidR="00690BF6" w:rsidRPr="00E4265B" w:rsidRDefault="00690BF6" w:rsidP="00D13883">
            <w:pPr>
              <w:pStyle w:val="Heading8"/>
              <w:numPr>
                <w:ilvl w:val="7"/>
                <w:numId w:val="44"/>
              </w:numPr>
              <w:rPr>
                <w:rFonts w:ascii="Arial" w:hAnsi="Arial" w:cs="Arial"/>
                <w:sz w:val="22"/>
                <w:szCs w:val="22"/>
                <w:lang w:val="en-GB"/>
              </w:rPr>
            </w:pPr>
            <w:r w:rsidRPr="00E4265B">
              <w:rPr>
                <w:rFonts w:ascii="Arial" w:hAnsi="Arial" w:cs="Arial"/>
                <w:sz w:val="22"/>
                <w:szCs w:val="22"/>
                <w:lang w:val="en-GB"/>
              </w:rPr>
              <w:t>For the purposes of the Interest Rate Risk Capital Requirement, means the risk that losses may arise from price changes in Securities caused by parallel or non</w:t>
            </w:r>
            <w:r w:rsidRPr="00E4265B">
              <w:rPr>
                <w:rFonts w:ascii="Arial" w:hAnsi="Arial" w:cs="Arial"/>
                <w:sz w:val="22"/>
                <w:szCs w:val="22"/>
                <w:lang w:val="en-GB"/>
              </w:rPr>
              <w:noBreakHyphen/>
              <w:t>parallel shifts in the yield curve or from price movements in the equity market for a given country;</w:t>
            </w:r>
          </w:p>
          <w:p w14:paraId="44930DE7" w14:textId="77777777" w:rsidR="00690BF6" w:rsidRPr="00E4265B" w:rsidRDefault="00690BF6" w:rsidP="00D94D55">
            <w:pPr>
              <w:pStyle w:val="Heading8"/>
              <w:rPr>
                <w:rFonts w:ascii="Arial" w:hAnsi="Arial" w:cs="Arial"/>
                <w:sz w:val="22"/>
                <w:szCs w:val="22"/>
                <w:lang w:val="en-GB"/>
              </w:rPr>
            </w:pPr>
            <w:r w:rsidRPr="00E4265B">
              <w:rPr>
                <w:rFonts w:ascii="Arial" w:hAnsi="Arial" w:cs="Arial"/>
                <w:sz w:val="22"/>
                <w:szCs w:val="22"/>
                <w:lang w:val="en-GB"/>
              </w:rPr>
              <w:lastRenderedPageBreak/>
              <w:t>For the purposes of the Equity Risk Capital Requirement, means the risk that losses may arise from a price movement in the equity market for a given country; or</w:t>
            </w:r>
          </w:p>
          <w:p w14:paraId="58892A50" w14:textId="77777777" w:rsidR="00690BF6" w:rsidRPr="00E4265B" w:rsidRDefault="00690BF6" w:rsidP="00D94D55">
            <w:pPr>
              <w:pStyle w:val="Heading8"/>
              <w:rPr>
                <w:rFonts w:ascii="Arial" w:hAnsi="Arial" w:cs="Arial"/>
                <w:sz w:val="22"/>
                <w:szCs w:val="22"/>
                <w:lang w:val="en-GB"/>
              </w:rPr>
            </w:pPr>
            <w:r w:rsidRPr="00E4265B">
              <w:rPr>
                <w:rFonts w:ascii="Arial" w:hAnsi="Arial" w:cs="Arial"/>
                <w:sz w:val="22"/>
                <w:szCs w:val="22"/>
                <w:lang w:val="en-GB"/>
              </w:rPr>
              <w:t>For the purposes of internal models, means both of the above risks.</w:t>
            </w:r>
          </w:p>
        </w:tc>
      </w:tr>
      <w:tr w:rsidR="00690BF6" w:rsidRPr="00E4265B" w14:paraId="0A2AD15A" w14:textId="77777777" w:rsidTr="00CD1719">
        <w:trPr>
          <w:gridBefore w:val="1"/>
          <w:wBefore w:w="882" w:type="dxa"/>
        </w:trPr>
        <w:tc>
          <w:tcPr>
            <w:tcW w:w="2462" w:type="dxa"/>
          </w:tcPr>
          <w:p w14:paraId="41A17C99"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Governing Body</w:t>
            </w:r>
          </w:p>
        </w:tc>
        <w:tc>
          <w:tcPr>
            <w:tcW w:w="5188" w:type="dxa"/>
          </w:tcPr>
          <w:p w14:paraId="6B35CDF3" w14:textId="77777777" w:rsidR="00690BF6" w:rsidRPr="00E4265B" w:rsidRDefault="00690BF6" w:rsidP="00BF3963">
            <w:pPr>
              <w:pStyle w:val="Heading8"/>
              <w:numPr>
                <w:ilvl w:val="0"/>
                <w:numId w:val="0"/>
              </w:numPr>
              <w:rPr>
                <w:rFonts w:ascii="Arial" w:hAnsi="Arial" w:cs="Arial"/>
                <w:sz w:val="22"/>
                <w:szCs w:val="22"/>
                <w:lang w:val="en-GB"/>
              </w:rPr>
            </w:pPr>
            <w:r w:rsidRPr="00E4265B">
              <w:rPr>
                <w:rFonts w:ascii="Arial" w:hAnsi="Arial" w:cs="Arial"/>
                <w:sz w:val="22"/>
                <w:szCs w:val="22"/>
                <w:lang w:val="en-GB"/>
              </w:rPr>
              <w:t>The board of Directors, Partners, committee of management or other Governing Body of an Undertaking.</w:t>
            </w:r>
          </w:p>
        </w:tc>
      </w:tr>
      <w:tr w:rsidR="00690BF6" w:rsidRPr="00E4265B" w14:paraId="1D3F5DD3" w14:textId="77777777" w:rsidTr="00CD1719">
        <w:trPr>
          <w:gridBefore w:val="1"/>
          <w:wBefore w:w="882" w:type="dxa"/>
        </w:trPr>
        <w:tc>
          <w:tcPr>
            <w:tcW w:w="2462" w:type="dxa"/>
          </w:tcPr>
          <w:p w14:paraId="27AE16B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Group</w:t>
            </w:r>
          </w:p>
        </w:tc>
        <w:tc>
          <w:tcPr>
            <w:tcW w:w="5188" w:type="dxa"/>
          </w:tcPr>
          <w:p w14:paraId="5CAABDC7" w14:textId="77777777" w:rsidR="00690BF6" w:rsidRPr="00E4265B" w:rsidRDefault="00BF3963" w:rsidP="00BF3963">
            <w:pPr>
              <w:pStyle w:val="Heading9"/>
              <w:numPr>
                <w:ilvl w:val="0"/>
                <w:numId w:val="0"/>
              </w:numPr>
              <w:rPr>
                <w:rFonts w:ascii="Arial" w:hAnsi="Arial" w:cs="Arial"/>
                <w:sz w:val="22"/>
                <w:szCs w:val="22"/>
                <w:lang w:val="en-GB"/>
              </w:rPr>
            </w:pPr>
            <w:r w:rsidRPr="00E4265B">
              <w:rPr>
                <w:rFonts w:ascii="Arial" w:eastAsia="Times New Roman" w:hAnsi="Arial" w:cs="Arial"/>
                <w:snapToGrid w:val="0"/>
                <w:color w:val="010000"/>
                <w:sz w:val="22"/>
                <w:szCs w:val="22"/>
                <w:lang w:val="en-GB"/>
              </w:rPr>
              <w:t>Has the meaning given in section 258 of FSMR.</w:t>
            </w:r>
          </w:p>
        </w:tc>
      </w:tr>
      <w:tr w:rsidR="00690BF6" w:rsidRPr="00E4265B" w14:paraId="2486CCC9" w14:textId="77777777" w:rsidTr="00CD1719">
        <w:trPr>
          <w:gridBefore w:val="1"/>
          <w:wBefore w:w="882" w:type="dxa"/>
        </w:trPr>
        <w:tc>
          <w:tcPr>
            <w:tcW w:w="2462" w:type="dxa"/>
          </w:tcPr>
          <w:p w14:paraId="22FF3C06"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Group Risk</w:t>
            </w:r>
          </w:p>
        </w:tc>
        <w:tc>
          <w:tcPr>
            <w:tcW w:w="5188" w:type="dxa"/>
          </w:tcPr>
          <w:p w14:paraId="34AE79E3"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The risk of loss to the Authorised Person as a result of its membership of, or linkages within a Group.</w:t>
            </w:r>
          </w:p>
        </w:tc>
      </w:tr>
      <w:tr w:rsidR="00690BF6" w:rsidRPr="00E4265B" w14:paraId="143F0A7C" w14:textId="77777777" w:rsidTr="00CD1719">
        <w:trPr>
          <w:gridBefore w:val="1"/>
          <w:wBefore w:w="882" w:type="dxa"/>
        </w:trPr>
        <w:tc>
          <w:tcPr>
            <w:tcW w:w="2462" w:type="dxa"/>
          </w:tcPr>
          <w:p w14:paraId="626B1442"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High Quality Liquid Assets (HQLA)</w:t>
            </w:r>
          </w:p>
        </w:tc>
        <w:tc>
          <w:tcPr>
            <w:tcW w:w="5188" w:type="dxa"/>
          </w:tcPr>
          <w:p w14:paraId="40F50EA1" w14:textId="77777777" w:rsidR="00690BF6" w:rsidRPr="00E4265B" w:rsidRDefault="00690BF6" w:rsidP="007966E3">
            <w:pPr>
              <w:spacing w:before="120" w:after="120"/>
              <w:jc w:val="both"/>
              <w:rPr>
                <w:rFonts w:ascii="Arial" w:hAnsi="Arial" w:cs="Arial"/>
                <w:sz w:val="22"/>
                <w:szCs w:val="22"/>
                <w:lang w:val="en-GB"/>
              </w:rPr>
            </w:pPr>
            <w:r w:rsidRPr="00E4265B">
              <w:rPr>
                <w:rFonts w:ascii="Arial" w:hAnsi="Arial" w:cs="Arial"/>
                <w:sz w:val="22"/>
                <w:szCs w:val="22"/>
                <w:lang w:val="en-GB"/>
              </w:rPr>
              <w:t>Liquid assets that meet the conditions in Rules A</w:t>
            </w:r>
            <w:r w:rsidR="007966E3" w:rsidRPr="00E4265B">
              <w:rPr>
                <w:rFonts w:ascii="Arial" w:hAnsi="Arial" w:cs="Arial"/>
                <w:sz w:val="22"/>
                <w:szCs w:val="22"/>
                <w:lang w:val="en-GB"/>
              </w:rPr>
              <w:t>10</w:t>
            </w:r>
            <w:r w:rsidRPr="00E4265B">
              <w:rPr>
                <w:rFonts w:ascii="Arial" w:hAnsi="Arial" w:cs="Arial"/>
                <w:sz w:val="22"/>
                <w:szCs w:val="22"/>
                <w:lang w:val="en-GB"/>
              </w:rPr>
              <w:t>.2.2 to A</w:t>
            </w:r>
            <w:r w:rsidR="007966E3" w:rsidRPr="00E4265B">
              <w:rPr>
                <w:rFonts w:ascii="Arial" w:hAnsi="Arial" w:cs="Arial"/>
                <w:sz w:val="22"/>
                <w:szCs w:val="22"/>
                <w:lang w:val="en-GB"/>
              </w:rPr>
              <w:t>10</w:t>
            </w:r>
            <w:r w:rsidRPr="00E4265B">
              <w:rPr>
                <w:rFonts w:ascii="Arial" w:hAnsi="Arial" w:cs="Arial"/>
                <w:sz w:val="22"/>
                <w:szCs w:val="22"/>
                <w:lang w:val="en-GB"/>
              </w:rPr>
              <w:t>.2.9 of App</w:t>
            </w:r>
            <w:r w:rsidR="007966E3" w:rsidRPr="00E4265B">
              <w:rPr>
                <w:rFonts w:ascii="Arial" w:hAnsi="Arial" w:cs="Arial"/>
                <w:sz w:val="22"/>
                <w:szCs w:val="22"/>
                <w:lang w:val="en-GB"/>
              </w:rPr>
              <w:t>10</w:t>
            </w:r>
            <w:r w:rsidRPr="00E4265B">
              <w:rPr>
                <w:rFonts w:ascii="Arial" w:hAnsi="Arial" w:cs="Arial"/>
                <w:sz w:val="22"/>
                <w:szCs w:val="22"/>
                <w:lang w:val="en-GB"/>
              </w:rPr>
              <w:t>.</w:t>
            </w:r>
          </w:p>
        </w:tc>
      </w:tr>
      <w:tr w:rsidR="00690BF6" w:rsidRPr="00E4265B" w14:paraId="6425BD6C" w14:textId="77777777" w:rsidTr="00CD1719">
        <w:trPr>
          <w:gridBefore w:val="1"/>
          <w:wBefore w:w="882" w:type="dxa"/>
        </w:trPr>
        <w:tc>
          <w:tcPr>
            <w:tcW w:w="2462" w:type="dxa"/>
          </w:tcPr>
          <w:p w14:paraId="51820246"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Holding Company</w:t>
            </w:r>
          </w:p>
        </w:tc>
        <w:tc>
          <w:tcPr>
            <w:tcW w:w="5188" w:type="dxa"/>
          </w:tcPr>
          <w:p w14:paraId="039E1F5C"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Has the meaning given in the Companies Regulation</w:t>
            </w:r>
            <w:r w:rsidR="002E5BB8" w:rsidRPr="00E4265B">
              <w:rPr>
                <w:rFonts w:ascii="Arial" w:hAnsi="Arial" w:cs="Arial"/>
                <w:sz w:val="22"/>
                <w:szCs w:val="22"/>
                <w:lang w:val="en-GB"/>
              </w:rPr>
              <w:t>s</w:t>
            </w:r>
            <w:r w:rsidRPr="00E4265B">
              <w:rPr>
                <w:rFonts w:ascii="Arial" w:hAnsi="Arial" w:cs="Arial"/>
                <w:sz w:val="22"/>
                <w:szCs w:val="22"/>
                <w:lang w:val="en-GB"/>
              </w:rPr>
              <w:t>.</w:t>
            </w:r>
          </w:p>
        </w:tc>
      </w:tr>
      <w:tr w:rsidR="00690BF6" w:rsidRPr="00E4265B" w14:paraId="4E915467" w14:textId="77777777" w:rsidTr="00CD1719">
        <w:trPr>
          <w:gridBefore w:val="1"/>
          <w:wBefore w:w="882" w:type="dxa"/>
        </w:trPr>
        <w:tc>
          <w:tcPr>
            <w:tcW w:w="2462" w:type="dxa"/>
          </w:tcPr>
          <w:p w14:paraId="16E0D07F"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Home State Regulator</w:t>
            </w:r>
          </w:p>
        </w:tc>
        <w:tc>
          <w:tcPr>
            <w:tcW w:w="5188" w:type="dxa"/>
          </w:tcPr>
          <w:p w14:paraId="49AB6011"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Means the relevant Regulated Activities regulator of a Branch in its home member state.</w:t>
            </w:r>
          </w:p>
        </w:tc>
      </w:tr>
      <w:tr w:rsidR="00690BF6" w:rsidRPr="00E4265B" w14:paraId="3C3EE09C" w14:textId="77777777" w:rsidTr="00CD1719">
        <w:trPr>
          <w:gridBefore w:val="1"/>
          <w:wBefore w:w="882" w:type="dxa"/>
        </w:trPr>
        <w:tc>
          <w:tcPr>
            <w:tcW w:w="2462" w:type="dxa"/>
          </w:tcPr>
          <w:p w14:paraId="385FC04C"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ICR</w:t>
            </w:r>
          </w:p>
        </w:tc>
        <w:tc>
          <w:tcPr>
            <w:tcW w:w="5188" w:type="dxa"/>
          </w:tcPr>
          <w:p w14:paraId="4C60E505"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Means the Individual Capital Requirement given in Section 10.6.</w:t>
            </w:r>
          </w:p>
        </w:tc>
      </w:tr>
      <w:tr w:rsidR="00690BF6" w:rsidRPr="00E4265B" w14:paraId="408A3C4B" w14:textId="77777777" w:rsidTr="00CD1719">
        <w:trPr>
          <w:gridBefore w:val="1"/>
          <w:wBefore w:w="882" w:type="dxa"/>
        </w:trPr>
        <w:tc>
          <w:tcPr>
            <w:tcW w:w="2462" w:type="dxa"/>
          </w:tcPr>
          <w:p w14:paraId="533B9ACF"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Implicit Support</w:t>
            </w:r>
          </w:p>
        </w:tc>
        <w:tc>
          <w:tcPr>
            <w:tcW w:w="5188" w:type="dxa"/>
          </w:tcPr>
          <w:p w14:paraId="30AEE4BF"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Arises when an Authorised Person provides support to a securitisation in excess of its predetermined contractual obligation.</w:t>
            </w:r>
          </w:p>
        </w:tc>
      </w:tr>
      <w:tr w:rsidR="00690BF6" w:rsidRPr="00E4265B" w14:paraId="1AA53FE9" w14:textId="77777777" w:rsidTr="00CD1719">
        <w:trPr>
          <w:gridBefore w:val="1"/>
          <w:wBefore w:w="882" w:type="dxa"/>
        </w:trPr>
        <w:tc>
          <w:tcPr>
            <w:tcW w:w="2462" w:type="dxa"/>
          </w:tcPr>
          <w:p w14:paraId="1237D8F9"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Insurance Intermediation</w:t>
            </w:r>
          </w:p>
        </w:tc>
        <w:tc>
          <w:tcPr>
            <w:tcW w:w="5188" w:type="dxa"/>
          </w:tcPr>
          <w:p w14:paraId="038B8621" w14:textId="77777777" w:rsidR="00690BF6" w:rsidRPr="00E4265B" w:rsidRDefault="00690BF6" w:rsidP="00D10C63">
            <w:pPr>
              <w:spacing w:before="120" w:after="120"/>
              <w:jc w:val="both"/>
              <w:rPr>
                <w:rFonts w:ascii="Arial" w:hAnsi="Arial" w:cs="Arial"/>
                <w:sz w:val="22"/>
                <w:szCs w:val="22"/>
                <w:lang w:val="en-GB"/>
              </w:rPr>
            </w:pPr>
            <w:r w:rsidRPr="00E4265B">
              <w:rPr>
                <w:rFonts w:ascii="Arial" w:hAnsi="Arial" w:cs="Arial"/>
                <w:sz w:val="22"/>
                <w:szCs w:val="22"/>
                <w:lang w:val="en-GB"/>
              </w:rPr>
              <w:t xml:space="preserve">Means the Regulated Activity specified in paragraph </w:t>
            </w:r>
            <w:r w:rsidRPr="00E4265B">
              <w:rPr>
                <w:rFonts w:ascii="Arial" w:hAnsi="Arial" w:cs="Arial"/>
                <w:sz w:val="22"/>
                <w:szCs w:val="22"/>
                <w:cs/>
                <w:lang w:val="en-GB"/>
              </w:rPr>
              <w:t>‎</w:t>
            </w:r>
            <w:r w:rsidRPr="00E4265B">
              <w:rPr>
                <w:rFonts w:ascii="Arial" w:hAnsi="Arial" w:cs="Arial"/>
                <w:sz w:val="22"/>
                <w:szCs w:val="22"/>
                <w:rtl/>
                <w:cs/>
                <w:lang w:val="en-GB"/>
              </w:rPr>
              <w:t>3</w:t>
            </w:r>
            <w:r w:rsidR="00D10C63" w:rsidRPr="00E4265B">
              <w:rPr>
                <w:rFonts w:ascii="Arial" w:hAnsi="Arial" w:cs="Arial"/>
                <w:sz w:val="22"/>
                <w:szCs w:val="22"/>
                <w:lang w:val="en-GB"/>
              </w:rPr>
              <w:t>3</w:t>
            </w:r>
            <w:r w:rsidRPr="00E4265B">
              <w:rPr>
                <w:rFonts w:ascii="Arial" w:hAnsi="Arial" w:cs="Arial"/>
                <w:sz w:val="22"/>
                <w:szCs w:val="22"/>
                <w:lang w:val="en-GB"/>
              </w:rPr>
              <w:t xml:space="preserve"> of </w:t>
            </w:r>
            <w:r w:rsidRPr="00E4265B">
              <w:rPr>
                <w:rFonts w:ascii="Arial" w:hAnsi="Arial" w:cs="Arial"/>
                <w:sz w:val="22"/>
                <w:szCs w:val="22"/>
                <w:cs/>
                <w:lang w:val="en-GB"/>
              </w:rPr>
              <w:t>‎</w:t>
            </w:r>
            <w:r w:rsidRPr="00E4265B">
              <w:rPr>
                <w:rFonts w:ascii="Arial" w:hAnsi="Arial" w:cs="Arial"/>
                <w:sz w:val="22"/>
                <w:szCs w:val="22"/>
                <w:rtl/>
                <w:cs/>
                <w:lang w:val="en-GB"/>
              </w:rPr>
              <w:t>Schedule 1</w:t>
            </w:r>
            <w:r w:rsidRPr="00E4265B">
              <w:rPr>
                <w:rFonts w:ascii="Arial" w:hAnsi="Arial" w:cs="Arial"/>
                <w:sz w:val="22"/>
                <w:szCs w:val="22"/>
                <w:lang w:val="en-GB"/>
              </w:rPr>
              <w:t xml:space="preserve"> of the FSMR.</w:t>
            </w:r>
          </w:p>
        </w:tc>
      </w:tr>
      <w:tr w:rsidR="00690BF6" w:rsidRPr="00E4265B" w14:paraId="06E41002" w14:textId="77777777" w:rsidTr="00CD1719">
        <w:trPr>
          <w:gridBefore w:val="1"/>
          <w:wBefore w:w="882" w:type="dxa"/>
        </w:trPr>
        <w:tc>
          <w:tcPr>
            <w:tcW w:w="2462" w:type="dxa"/>
          </w:tcPr>
          <w:p w14:paraId="50918FA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Insurance Management</w:t>
            </w:r>
          </w:p>
        </w:tc>
        <w:tc>
          <w:tcPr>
            <w:tcW w:w="5188" w:type="dxa"/>
          </w:tcPr>
          <w:p w14:paraId="7B40FAD7" w14:textId="77777777" w:rsidR="00690BF6" w:rsidRPr="00E4265B" w:rsidRDefault="00690BF6" w:rsidP="00D10C63">
            <w:pPr>
              <w:spacing w:before="120" w:after="120"/>
              <w:jc w:val="both"/>
              <w:rPr>
                <w:rFonts w:ascii="Arial" w:hAnsi="Arial" w:cs="Arial"/>
                <w:sz w:val="22"/>
                <w:szCs w:val="22"/>
                <w:lang w:val="en-GB"/>
              </w:rPr>
            </w:pPr>
            <w:r w:rsidRPr="00E4265B">
              <w:rPr>
                <w:rFonts w:ascii="Arial" w:hAnsi="Arial" w:cs="Arial"/>
                <w:sz w:val="22"/>
                <w:szCs w:val="22"/>
                <w:lang w:val="en-GB"/>
              </w:rPr>
              <w:t xml:space="preserve">Means the Regulated Activity specified in paragraph </w:t>
            </w:r>
            <w:r w:rsidRPr="00E4265B">
              <w:rPr>
                <w:rFonts w:ascii="Arial" w:hAnsi="Arial" w:cs="Arial"/>
                <w:sz w:val="22"/>
                <w:szCs w:val="22"/>
                <w:cs/>
                <w:lang w:val="en-GB"/>
              </w:rPr>
              <w:t>‎</w:t>
            </w:r>
            <w:r w:rsidR="00D10C63" w:rsidRPr="00E4265B">
              <w:rPr>
                <w:rFonts w:ascii="Arial" w:hAnsi="Arial" w:cs="Arial"/>
                <w:sz w:val="22"/>
                <w:szCs w:val="22"/>
                <w:lang w:val="en-GB"/>
              </w:rPr>
              <w:t>36</w:t>
            </w:r>
            <w:r w:rsidRPr="00E4265B">
              <w:rPr>
                <w:rFonts w:ascii="Arial" w:hAnsi="Arial" w:cs="Arial"/>
                <w:sz w:val="22"/>
                <w:szCs w:val="22"/>
                <w:lang w:val="en-GB"/>
              </w:rPr>
              <w:t xml:space="preserve"> of </w:t>
            </w:r>
            <w:r w:rsidRPr="00E4265B">
              <w:rPr>
                <w:rFonts w:ascii="Arial" w:hAnsi="Arial" w:cs="Arial"/>
                <w:sz w:val="22"/>
                <w:szCs w:val="22"/>
                <w:cs/>
                <w:lang w:val="en-GB"/>
              </w:rPr>
              <w:t>‎</w:t>
            </w:r>
            <w:r w:rsidRPr="00E4265B">
              <w:rPr>
                <w:rFonts w:ascii="Arial" w:hAnsi="Arial" w:cs="Arial"/>
                <w:sz w:val="22"/>
                <w:szCs w:val="22"/>
                <w:rtl/>
                <w:cs/>
                <w:lang w:val="en-GB"/>
              </w:rPr>
              <w:t>Schedule 1</w:t>
            </w:r>
            <w:r w:rsidRPr="00E4265B">
              <w:rPr>
                <w:rFonts w:ascii="Arial" w:hAnsi="Arial" w:cs="Arial"/>
                <w:sz w:val="22"/>
                <w:szCs w:val="22"/>
                <w:lang w:val="en-GB"/>
              </w:rPr>
              <w:t xml:space="preserve"> of the FSMR.</w:t>
            </w:r>
          </w:p>
        </w:tc>
      </w:tr>
      <w:tr w:rsidR="00690BF6" w:rsidRPr="00E4265B" w14:paraId="3CBA6098" w14:textId="77777777" w:rsidTr="00CD1719">
        <w:trPr>
          <w:gridBefore w:val="1"/>
          <w:wBefore w:w="882" w:type="dxa"/>
        </w:trPr>
        <w:tc>
          <w:tcPr>
            <w:tcW w:w="2462" w:type="dxa"/>
          </w:tcPr>
          <w:p w14:paraId="7646C09D"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Insurance Manager</w:t>
            </w:r>
          </w:p>
        </w:tc>
        <w:tc>
          <w:tcPr>
            <w:tcW w:w="5188" w:type="dxa"/>
          </w:tcPr>
          <w:p w14:paraId="13584777" w14:textId="2CB7F990"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 xml:space="preserve">An </w:t>
            </w:r>
            <w:r w:rsidR="00363CED" w:rsidRPr="00E4265B">
              <w:rPr>
                <w:rFonts w:ascii="Arial" w:hAnsi="Arial" w:cs="Arial"/>
                <w:sz w:val="22"/>
                <w:szCs w:val="22"/>
                <w:lang w:val="en-GB"/>
              </w:rPr>
              <w:t xml:space="preserve">Authorised Person </w:t>
            </w:r>
            <w:r w:rsidR="004C4069" w:rsidRPr="00E4265B">
              <w:rPr>
                <w:rFonts w:ascii="Arial" w:hAnsi="Arial" w:cs="Arial"/>
                <w:sz w:val="22"/>
                <w:szCs w:val="22"/>
                <w:lang w:val="en-GB"/>
              </w:rPr>
              <w:t>whose</w:t>
            </w:r>
            <w:r w:rsidRPr="00E4265B">
              <w:rPr>
                <w:rFonts w:ascii="Arial" w:hAnsi="Arial" w:cs="Arial"/>
                <w:sz w:val="22"/>
                <w:szCs w:val="22"/>
                <w:lang w:val="en-GB"/>
              </w:rPr>
              <w:t xml:space="preserve"> Financial Services Permission authorises it to carry on the Regulated Activity of Insurance Management.</w:t>
            </w:r>
          </w:p>
        </w:tc>
      </w:tr>
      <w:tr w:rsidR="00690BF6" w:rsidRPr="00E4265B" w14:paraId="021809D4" w14:textId="77777777" w:rsidTr="00CD1719">
        <w:trPr>
          <w:gridBefore w:val="1"/>
          <w:wBefore w:w="882" w:type="dxa"/>
        </w:trPr>
        <w:tc>
          <w:tcPr>
            <w:tcW w:w="2462" w:type="dxa"/>
          </w:tcPr>
          <w:p w14:paraId="5518822E"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Insurance Money</w:t>
            </w:r>
          </w:p>
        </w:tc>
        <w:tc>
          <w:tcPr>
            <w:tcW w:w="5188" w:type="dxa"/>
          </w:tcPr>
          <w:p w14:paraId="28470C2F" w14:textId="77777777" w:rsidR="00690BF6" w:rsidRPr="00E4265B" w:rsidRDefault="00690BF6" w:rsidP="00D13883">
            <w:pPr>
              <w:pStyle w:val="Heading8"/>
              <w:numPr>
                <w:ilvl w:val="7"/>
                <w:numId w:val="45"/>
              </w:numPr>
              <w:rPr>
                <w:rFonts w:ascii="Arial" w:hAnsi="Arial" w:cs="Arial"/>
                <w:sz w:val="22"/>
                <w:szCs w:val="22"/>
                <w:lang w:val="en-GB"/>
              </w:rPr>
            </w:pPr>
            <w:r w:rsidRPr="00E4265B">
              <w:rPr>
                <w:rFonts w:ascii="Arial" w:hAnsi="Arial" w:cs="Arial"/>
                <w:sz w:val="22"/>
                <w:szCs w:val="22"/>
                <w:lang w:val="en-GB"/>
              </w:rPr>
              <w:t>Means, subject to (2), any monies arising from Insurance Intermediation or the Insurance Management business which are any of the following:</w:t>
            </w:r>
          </w:p>
          <w:p w14:paraId="48AB2903"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premiums, additional premiums and return premiums of all kinds;</w:t>
            </w:r>
          </w:p>
          <w:p w14:paraId="69512BEF"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claims and other payments due under Contracts of Insurance;</w:t>
            </w:r>
          </w:p>
          <w:p w14:paraId="6A0F537A"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lastRenderedPageBreak/>
              <w:t>refunds and salvages;</w:t>
            </w:r>
          </w:p>
          <w:p w14:paraId="69025F7C"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fees, charges, taxes and similar fiscal levies relating to Contracts of Insurance;</w:t>
            </w:r>
          </w:p>
          <w:p w14:paraId="1B161508"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discounts, commissions and brokerage; or</w:t>
            </w:r>
          </w:p>
          <w:p w14:paraId="3931867C"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monies received from or on behalf of a Client of an Insurance Manager, in relation to his Insurance Management business.</w:t>
            </w:r>
          </w:p>
          <w:p w14:paraId="3C010DD3" w14:textId="77777777" w:rsidR="00690BF6" w:rsidRPr="00E4265B" w:rsidRDefault="00690BF6" w:rsidP="00D94D55">
            <w:pPr>
              <w:pStyle w:val="Heading8"/>
              <w:rPr>
                <w:rFonts w:ascii="Arial" w:hAnsi="Arial" w:cs="Arial"/>
                <w:sz w:val="22"/>
                <w:szCs w:val="22"/>
                <w:lang w:val="en-GB"/>
              </w:rPr>
            </w:pPr>
            <w:r w:rsidRPr="00E4265B">
              <w:rPr>
                <w:rFonts w:ascii="Arial" w:hAnsi="Arial" w:cs="Arial"/>
                <w:sz w:val="22"/>
                <w:szCs w:val="22"/>
                <w:lang w:val="en-GB"/>
              </w:rPr>
              <w:t>Monies are not Insurance Monies where there is a written agreement in place between the Insurance Intermediary or Insurance Manager and the Insurer to whom the relevant monies are to be paid (or from whom they have been received) under which the Insurer agrees that:</w:t>
            </w:r>
          </w:p>
          <w:p w14:paraId="0F7C3C22"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the Insurance Intermediary or Insurance Manager , as the case may be, holds as agent for the Insurer all monies received by it in connection with Contracts of Insurance effected or to be effected by the Insurer;</w:t>
            </w:r>
          </w:p>
          <w:p w14:paraId="2C1BAE15"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insurance cover is maintained for the Client once the monies are received by the Insurance Intermediary or the Insurance Manager , as the case may be; and</w:t>
            </w:r>
          </w:p>
          <w:p w14:paraId="3CF22B47"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the Insurer's obligation to make a payment to the Client is not discharged until actual receipt of the relevant monies by the Client.</w:t>
            </w:r>
          </w:p>
          <w:p w14:paraId="31731FDB" w14:textId="77777777" w:rsidR="00690BF6" w:rsidRPr="00E4265B" w:rsidRDefault="00690BF6" w:rsidP="00D94D55">
            <w:pPr>
              <w:pStyle w:val="Heading8"/>
              <w:rPr>
                <w:rFonts w:ascii="Arial" w:hAnsi="Arial" w:cs="Arial"/>
                <w:sz w:val="22"/>
                <w:szCs w:val="22"/>
                <w:lang w:val="en-GB"/>
              </w:rPr>
            </w:pPr>
            <w:r w:rsidRPr="00E4265B">
              <w:rPr>
                <w:rFonts w:ascii="Arial" w:hAnsi="Arial" w:cs="Arial"/>
                <w:sz w:val="22"/>
                <w:szCs w:val="22"/>
                <w:lang w:val="en-GB"/>
              </w:rPr>
              <w:t>In this definition, a Client of an Insurance Manager means:</w:t>
            </w:r>
          </w:p>
          <w:p w14:paraId="2899DEF7"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any Insurer for which the Insurance Manager provides Insurance Management;</w:t>
            </w:r>
          </w:p>
          <w:p w14:paraId="320B6B5E"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 xml:space="preserve">any shareholder of an Insurer mentioned </w:t>
            </w:r>
            <w:r w:rsidRPr="00E4265B">
              <w:rPr>
                <w:rFonts w:ascii="Arial" w:hAnsi="Arial" w:cs="Arial"/>
                <w:sz w:val="22"/>
                <w:szCs w:val="22"/>
                <w:lang w:val="en-GB"/>
              </w:rPr>
              <w:tab/>
              <w:t>in (a); or</w:t>
            </w:r>
          </w:p>
          <w:p w14:paraId="7B22D37B"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any Person on whose behalf the Insurance Manager undertakes to establish that Person as an Insurer.</w:t>
            </w:r>
          </w:p>
        </w:tc>
      </w:tr>
      <w:tr w:rsidR="00690BF6" w:rsidRPr="00E4265B" w14:paraId="32ADED49" w14:textId="77777777" w:rsidTr="00CD1719">
        <w:trPr>
          <w:gridBefore w:val="1"/>
          <w:wBefore w:w="882" w:type="dxa"/>
        </w:trPr>
        <w:tc>
          <w:tcPr>
            <w:tcW w:w="2462" w:type="dxa"/>
          </w:tcPr>
          <w:p w14:paraId="6F3DAC1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Insurer</w:t>
            </w:r>
          </w:p>
        </w:tc>
        <w:tc>
          <w:tcPr>
            <w:tcW w:w="5188" w:type="dxa"/>
          </w:tcPr>
          <w:p w14:paraId="2C007A74" w14:textId="77777777" w:rsidR="00690BF6" w:rsidRPr="00E4265B" w:rsidRDefault="00690BF6" w:rsidP="00F80299">
            <w:pPr>
              <w:spacing w:before="120" w:after="120"/>
              <w:jc w:val="both"/>
              <w:rPr>
                <w:rFonts w:ascii="Arial" w:eastAsia="Times New Roman" w:hAnsi="Arial" w:cs="Arial"/>
                <w:sz w:val="22"/>
                <w:szCs w:val="22"/>
                <w:lang w:val="en-GB" w:eastAsia="en-GB"/>
              </w:rPr>
            </w:pPr>
            <w:r w:rsidRPr="00E4265B">
              <w:rPr>
                <w:rFonts w:ascii="Arial" w:eastAsia="Times New Roman" w:hAnsi="Arial" w:cs="Arial"/>
                <w:sz w:val="22"/>
                <w:szCs w:val="22"/>
                <w:lang w:val="en-GB" w:eastAsia="en-GB"/>
              </w:rPr>
              <w:t xml:space="preserve">A Person carrying on in the ADGM either or both of the following </w:t>
            </w:r>
            <w:r w:rsidRPr="00E4265B">
              <w:rPr>
                <w:rFonts w:ascii="Arial" w:hAnsi="Arial" w:cs="Arial"/>
                <w:sz w:val="22"/>
                <w:szCs w:val="22"/>
                <w:lang w:val="en-GB"/>
              </w:rPr>
              <w:t>Regulated Activities</w:t>
            </w:r>
            <w:r w:rsidRPr="00E4265B">
              <w:rPr>
                <w:rFonts w:ascii="Arial" w:eastAsia="Times New Roman" w:hAnsi="Arial" w:cs="Arial"/>
                <w:sz w:val="22"/>
                <w:szCs w:val="22"/>
                <w:lang w:val="en-GB" w:eastAsia="en-GB"/>
              </w:rPr>
              <w:t xml:space="preserve"> for which it has </w:t>
            </w:r>
            <w:r w:rsidRPr="00E4265B">
              <w:rPr>
                <w:rFonts w:ascii="Arial" w:eastAsia="Times New Roman" w:hAnsi="Arial" w:cs="Arial"/>
                <w:sz w:val="22"/>
                <w:szCs w:val="22"/>
                <w:lang w:val="en-GB" w:eastAsia="en-GB"/>
              </w:rPr>
              <w:lastRenderedPageBreak/>
              <w:t xml:space="preserve">authorisation under its </w:t>
            </w:r>
            <w:r w:rsidRPr="00E4265B">
              <w:rPr>
                <w:rFonts w:ascii="Arial" w:hAnsi="Arial" w:cs="Arial"/>
                <w:sz w:val="22"/>
                <w:szCs w:val="22"/>
                <w:lang w:val="en-GB"/>
              </w:rPr>
              <w:t>Financial Services Permission</w:t>
            </w:r>
            <w:r w:rsidRPr="00E4265B">
              <w:rPr>
                <w:rFonts w:ascii="Arial" w:eastAsia="Times New Roman" w:hAnsi="Arial" w:cs="Arial"/>
                <w:sz w:val="22"/>
                <w:szCs w:val="22"/>
                <w:lang w:val="en-GB" w:eastAsia="en-GB"/>
              </w:rPr>
              <w:t>:</w:t>
            </w:r>
          </w:p>
          <w:p w14:paraId="29667B40" w14:textId="77777777" w:rsidR="00690BF6" w:rsidRPr="00E4265B" w:rsidRDefault="00690BF6" w:rsidP="00D13883">
            <w:pPr>
              <w:pStyle w:val="Heading9"/>
              <w:numPr>
                <w:ilvl w:val="8"/>
                <w:numId w:val="46"/>
              </w:numPr>
              <w:rPr>
                <w:rFonts w:ascii="Arial" w:hAnsi="Arial" w:cs="Arial"/>
                <w:sz w:val="22"/>
                <w:szCs w:val="22"/>
                <w:lang w:val="en-GB" w:eastAsia="en-GB"/>
              </w:rPr>
            </w:pPr>
            <w:r w:rsidRPr="00E4265B">
              <w:rPr>
                <w:rFonts w:ascii="Arial" w:hAnsi="Arial" w:cs="Arial"/>
                <w:sz w:val="22"/>
                <w:szCs w:val="22"/>
                <w:lang w:val="en-GB" w:eastAsia="en-GB"/>
              </w:rPr>
              <w:t>Effecting Contracts of Insurance; or</w:t>
            </w:r>
          </w:p>
          <w:p w14:paraId="5B93082F"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eastAsia="en-GB"/>
              </w:rPr>
              <w:t>Carrying Out Contracts of Insurance as Principal.</w:t>
            </w:r>
          </w:p>
        </w:tc>
      </w:tr>
      <w:tr w:rsidR="00690BF6" w:rsidRPr="00E4265B" w14:paraId="094E63C5" w14:textId="77777777" w:rsidTr="00CD1719">
        <w:trPr>
          <w:gridBefore w:val="1"/>
          <w:wBefore w:w="882" w:type="dxa"/>
        </w:trPr>
        <w:tc>
          <w:tcPr>
            <w:tcW w:w="2462" w:type="dxa"/>
          </w:tcPr>
          <w:p w14:paraId="5574C6CF"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Interest Rate Risk Capital Requirement</w:t>
            </w:r>
          </w:p>
        </w:tc>
        <w:tc>
          <w:tcPr>
            <w:tcW w:w="5188" w:type="dxa"/>
          </w:tcPr>
          <w:p w14:paraId="7BFBE35D"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component of Market Risk Capital Requirement and calculated in accordance with Section 5.4.</w:t>
            </w:r>
          </w:p>
        </w:tc>
      </w:tr>
      <w:tr w:rsidR="00690BF6" w:rsidRPr="00E4265B" w14:paraId="75E06DD2" w14:textId="77777777" w:rsidTr="00CD1719">
        <w:trPr>
          <w:gridBefore w:val="1"/>
          <w:wBefore w:w="882" w:type="dxa"/>
        </w:trPr>
        <w:tc>
          <w:tcPr>
            <w:tcW w:w="2462" w:type="dxa"/>
          </w:tcPr>
          <w:p w14:paraId="1F562F25"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Internal Capital Adequacy Assessment Process (ICAAP)</w:t>
            </w:r>
          </w:p>
        </w:tc>
        <w:tc>
          <w:tcPr>
            <w:tcW w:w="5188" w:type="dxa"/>
          </w:tcPr>
          <w:p w14:paraId="485B6938"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The internal capital adequacy assessment process prescribed in Chapter 10.</w:t>
            </w:r>
          </w:p>
        </w:tc>
      </w:tr>
      <w:tr w:rsidR="00690BF6" w:rsidRPr="00E4265B" w14:paraId="391D6050" w14:textId="77777777" w:rsidTr="00CD1719">
        <w:trPr>
          <w:gridBefore w:val="1"/>
          <w:wBefore w:w="882" w:type="dxa"/>
        </w:trPr>
        <w:tc>
          <w:tcPr>
            <w:tcW w:w="2462" w:type="dxa"/>
          </w:tcPr>
          <w:p w14:paraId="3DE20162"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Internal Risk Assessment Process (IRAP)</w:t>
            </w:r>
          </w:p>
        </w:tc>
        <w:tc>
          <w:tcPr>
            <w:tcW w:w="5188" w:type="dxa"/>
          </w:tcPr>
          <w:p w14:paraId="225BDC41"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The internal risk assessment process prescribed in Section 10.3.</w:t>
            </w:r>
          </w:p>
        </w:tc>
      </w:tr>
      <w:tr w:rsidR="00690BF6" w:rsidRPr="00E4265B" w14:paraId="40407DC5" w14:textId="77777777" w:rsidTr="00CD1719">
        <w:trPr>
          <w:gridBefore w:val="1"/>
          <w:wBefore w:w="882" w:type="dxa"/>
        </w:trPr>
        <w:tc>
          <w:tcPr>
            <w:tcW w:w="2462" w:type="dxa"/>
          </w:tcPr>
          <w:p w14:paraId="3704A77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International Financial Reporting Standards</w:t>
            </w:r>
          </w:p>
        </w:tc>
        <w:tc>
          <w:tcPr>
            <w:tcW w:w="5188" w:type="dxa"/>
          </w:tcPr>
          <w:p w14:paraId="4899683B" w14:textId="77777777" w:rsidR="00690BF6" w:rsidRPr="00E4265B" w:rsidRDefault="00BF3963" w:rsidP="00F80299">
            <w:pPr>
              <w:spacing w:before="120" w:after="120"/>
              <w:jc w:val="both"/>
              <w:rPr>
                <w:rFonts w:ascii="Arial" w:hAnsi="Arial" w:cs="Arial"/>
                <w:sz w:val="22"/>
                <w:szCs w:val="22"/>
                <w:lang w:val="en-GB"/>
              </w:rPr>
            </w:pPr>
            <w:r w:rsidRPr="00E4265B">
              <w:rPr>
                <w:rFonts w:ascii="Arial" w:hAnsi="Arial" w:cs="Arial"/>
                <w:snapToGrid w:val="0"/>
                <w:sz w:val="22"/>
                <w:szCs w:val="22"/>
                <w:lang w:val="en-GB"/>
              </w:rPr>
              <w:t>Means the International Financial Reporting Standards as issued and amended from time to time by the International Accounting Standards Board.</w:t>
            </w:r>
          </w:p>
        </w:tc>
      </w:tr>
      <w:tr w:rsidR="00690BF6" w:rsidRPr="00E4265B" w14:paraId="76E5A94B" w14:textId="77777777" w:rsidTr="00CD1719">
        <w:trPr>
          <w:gridBefore w:val="1"/>
          <w:wBefore w:w="882" w:type="dxa"/>
        </w:trPr>
        <w:tc>
          <w:tcPr>
            <w:tcW w:w="2462" w:type="dxa"/>
          </w:tcPr>
          <w:p w14:paraId="0525BC59"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Investment</w:t>
            </w:r>
          </w:p>
        </w:tc>
        <w:tc>
          <w:tcPr>
            <w:tcW w:w="5188" w:type="dxa"/>
          </w:tcPr>
          <w:p w14:paraId="13B74447" w14:textId="77777777" w:rsidR="00690BF6" w:rsidRPr="00E4265B" w:rsidRDefault="00690BF6" w:rsidP="00D13883">
            <w:pPr>
              <w:pStyle w:val="Heading8"/>
              <w:numPr>
                <w:ilvl w:val="7"/>
                <w:numId w:val="47"/>
              </w:numPr>
              <w:rPr>
                <w:rFonts w:ascii="Arial" w:hAnsi="Arial" w:cs="Arial"/>
                <w:sz w:val="22"/>
                <w:szCs w:val="22"/>
                <w:lang w:val="en-GB"/>
              </w:rPr>
            </w:pPr>
            <w:r w:rsidRPr="00E4265B">
              <w:rPr>
                <w:rFonts w:ascii="Arial" w:hAnsi="Arial" w:cs="Arial"/>
                <w:sz w:val="22"/>
                <w:szCs w:val="22"/>
                <w:lang w:val="en-GB"/>
              </w:rPr>
              <w:t>Means either a Security or Derivative.</w:t>
            </w:r>
          </w:p>
          <w:p w14:paraId="78C31621" w14:textId="77777777" w:rsidR="00690BF6" w:rsidRPr="00E4265B" w:rsidRDefault="00690BF6" w:rsidP="00D94D55">
            <w:pPr>
              <w:pStyle w:val="Heading8"/>
              <w:rPr>
                <w:rFonts w:ascii="Arial" w:hAnsi="Arial" w:cs="Arial"/>
                <w:sz w:val="22"/>
                <w:szCs w:val="22"/>
                <w:lang w:val="en-GB"/>
              </w:rPr>
            </w:pPr>
            <w:r w:rsidRPr="00E4265B">
              <w:rPr>
                <w:rFonts w:ascii="Arial" w:hAnsi="Arial" w:cs="Arial"/>
                <w:sz w:val="22"/>
                <w:szCs w:val="22"/>
                <w:lang w:val="en-GB"/>
              </w:rPr>
              <w:t>Such Security or Derivative includes:</w:t>
            </w:r>
          </w:p>
          <w:p w14:paraId="6F34F4FC"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a right or interest in the relevant Security or Derivative; and</w:t>
            </w:r>
          </w:p>
          <w:p w14:paraId="5DA75145"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any instrument declared as a Security or Derivative by the GEN rules.</w:t>
            </w:r>
          </w:p>
        </w:tc>
      </w:tr>
      <w:tr w:rsidR="00690BF6" w:rsidRPr="00E4265B" w14:paraId="25573011" w14:textId="77777777" w:rsidTr="00CD1719">
        <w:trPr>
          <w:gridBefore w:val="1"/>
          <w:wBefore w:w="882" w:type="dxa"/>
        </w:trPr>
        <w:tc>
          <w:tcPr>
            <w:tcW w:w="2462" w:type="dxa"/>
          </w:tcPr>
          <w:p w14:paraId="639C8B4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Investment Business</w:t>
            </w:r>
          </w:p>
        </w:tc>
        <w:tc>
          <w:tcPr>
            <w:tcW w:w="5188" w:type="dxa"/>
          </w:tcPr>
          <w:p w14:paraId="0798AF91"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 xml:space="preserve">The business of: </w:t>
            </w:r>
          </w:p>
          <w:p w14:paraId="0793EFB2" w14:textId="77777777" w:rsidR="00690BF6" w:rsidRPr="00E4265B" w:rsidRDefault="00690BF6" w:rsidP="00D13883">
            <w:pPr>
              <w:pStyle w:val="Heading9"/>
              <w:numPr>
                <w:ilvl w:val="8"/>
                <w:numId w:val="48"/>
              </w:numPr>
              <w:rPr>
                <w:rFonts w:ascii="Arial" w:hAnsi="Arial" w:cs="Arial"/>
                <w:sz w:val="22"/>
                <w:szCs w:val="22"/>
                <w:lang w:val="en-GB"/>
              </w:rPr>
            </w:pPr>
            <w:r w:rsidRPr="00E4265B">
              <w:rPr>
                <w:rFonts w:ascii="Arial" w:hAnsi="Arial" w:cs="Arial"/>
                <w:sz w:val="22"/>
                <w:szCs w:val="22"/>
                <w:lang w:val="en-GB"/>
              </w:rPr>
              <w:t xml:space="preserve">Dealing in Investments as Principal; </w:t>
            </w:r>
          </w:p>
          <w:p w14:paraId="515F44F9"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 xml:space="preserve">Dealing in Investments as Agent; </w:t>
            </w:r>
          </w:p>
          <w:p w14:paraId="4EE5DEF8"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Arranging Credit;</w:t>
            </w:r>
          </w:p>
          <w:p w14:paraId="63A7BA1E"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Arranging Deals in Investments;</w:t>
            </w:r>
          </w:p>
          <w:p w14:paraId="349BEB90"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 xml:space="preserve">Managing Assets; </w:t>
            </w:r>
          </w:p>
          <w:p w14:paraId="5CA8C4E8"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 xml:space="preserve">Advising on Investments or Credit; </w:t>
            </w:r>
          </w:p>
          <w:p w14:paraId="5196F111"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 xml:space="preserve">Operating a Collective Investment Fund; </w:t>
            </w:r>
          </w:p>
          <w:p w14:paraId="26AAEB86"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 xml:space="preserve">Providing Custody; </w:t>
            </w:r>
          </w:p>
          <w:p w14:paraId="061A3F10"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 xml:space="preserve">Arranging Custody; </w:t>
            </w:r>
          </w:p>
          <w:p w14:paraId="37F1F1F3"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lastRenderedPageBreak/>
              <w:t>Managing a Profit Sharing Investment Account; or</w:t>
            </w:r>
          </w:p>
          <w:p w14:paraId="57DBC667"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 xml:space="preserve">Acting as the Trustee of an Investment Trust. </w:t>
            </w:r>
          </w:p>
        </w:tc>
      </w:tr>
      <w:tr w:rsidR="00690BF6" w:rsidRPr="00E4265B" w14:paraId="1AD4CC6D" w14:textId="77777777" w:rsidTr="00CD1719">
        <w:trPr>
          <w:gridBefore w:val="1"/>
          <w:wBefore w:w="882" w:type="dxa"/>
        </w:trPr>
        <w:tc>
          <w:tcPr>
            <w:tcW w:w="2462" w:type="dxa"/>
          </w:tcPr>
          <w:p w14:paraId="1CDBBD1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Investment Grade</w:t>
            </w:r>
          </w:p>
        </w:tc>
        <w:tc>
          <w:tcPr>
            <w:tcW w:w="5188" w:type="dxa"/>
          </w:tcPr>
          <w:p w14:paraId="34F0F431" w14:textId="386C974A" w:rsidR="00690BF6" w:rsidRPr="00E4265B" w:rsidRDefault="00690BF6" w:rsidP="00207963">
            <w:pPr>
              <w:spacing w:before="120" w:after="120"/>
              <w:jc w:val="both"/>
              <w:rPr>
                <w:rFonts w:ascii="Arial" w:hAnsi="Arial" w:cs="Arial"/>
                <w:sz w:val="22"/>
                <w:szCs w:val="22"/>
                <w:lang w:val="en-GB"/>
              </w:rPr>
            </w:pPr>
            <w:r w:rsidRPr="00E4265B">
              <w:rPr>
                <w:rFonts w:ascii="Arial" w:hAnsi="Arial" w:cs="Arial"/>
                <w:sz w:val="22"/>
                <w:szCs w:val="22"/>
                <w:lang w:val="en-GB"/>
              </w:rPr>
              <w:t xml:space="preserve">A credit rating which </w:t>
            </w:r>
            <w:r w:rsidR="00207963" w:rsidRPr="00E4265B">
              <w:rPr>
                <w:rFonts w:ascii="Arial" w:hAnsi="Arial" w:cs="Arial"/>
                <w:sz w:val="22"/>
                <w:szCs w:val="22"/>
                <w:lang w:val="en-GB"/>
              </w:rPr>
              <w:t>maps to</w:t>
            </w:r>
            <w:r w:rsidRPr="00E4265B">
              <w:rPr>
                <w:rFonts w:ascii="Arial" w:hAnsi="Arial" w:cs="Arial"/>
                <w:sz w:val="22"/>
                <w:szCs w:val="22"/>
                <w:lang w:val="en-GB"/>
              </w:rPr>
              <w:t xml:space="preserve"> a Credit Quality Grade of 1, 2 or 3.</w:t>
            </w:r>
          </w:p>
        </w:tc>
      </w:tr>
      <w:tr w:rsidR="00690BF6" w:rsidRPr="00E4265B" w14:paraId="53BEFF03" w14:textId="77777777" w:rsidTr="00CD1719">
        <w:trPr>
          <w:gridBefore w:val="1"/>
          <w:wBefore w:w="882" w:type="dxa"/>
        </w:trPr>
        <w:tc>
          <w:tcPr>
            <w:tcW w:w="2462" w:type="dxa"/>
          </w:tcPr>
          <w:p w14:paraId="70B3362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Investment Risk Reserve</w:t>
            </w:r>
          </w:p>
        </w:tc>
        <w:tc>
          <w:tcPr>
            <w:tcW w:w="5188" w:type="dxa"/>
          </w:tcPr>
          <w:p w14:paraId="26317E17" w14:textId="77777777" w:rsidR="00690BF6" w:rsidRPr="00E4265B" w:rsidRDefault="00690BF6" w:rsidP="00D94D55">
            <w:pPr>
              <w:spacing w:before="120" w:after="120"/>
              <w:jc w:val="both"/>
              <w:rPr>
                <w:rFonts w:ascii="Arial" w:hAnsi="Arial" w:cs="Arial"/>
                <w:sz w:val="22"/>
                <w:szCs w:val="22"/>
                <w:lang w:val="en-GB"/>
              </w:rPr>
            </w:pPr>
            <w:r w:rsidRPr="00E4265B">
              <w:rPr>
                <w:rFonts w:ascii="Arial" w:hAnsi="Arial" w:cs="Arial"/>
                <w:sz w:val="22"/>
                <w:szCs w:val="22"/>
                <w:lang w:val="en-GB"/>
              </w:rPr>
              <w:t>Represents the amount that is appropriated out of the income of investment account holders, after allocating the Mudarib's share, in order to meet future losses attributable to investment account holders.</w:t>
            </w:r>
          </w:p>
        </w:tc>
      </w:tr>
      <w:tr w:rsidR="00690BF6" w:rsidRPr="00E4265B" w14:paraId="4A0572AB" w14:textId="77777777" w:rsidTr="00CD1719">
        <w:trPr>
          <w:gridBefore w:val="1"/>
          <w:wBefore w:w="882" w:type="dxa"/>
        </w:trPr>
        <w:tc>
          <w:tcPr>
            <w:tcW w:w="2462" w:type="dxa"/>
          </w:tcPr>
          <w:p w14:paraId="6149FAF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Investment Trust</w:t>
            </w:r>
          </w:p>
        </w:tc>
        <w:tc>
          <w:tcPr>
            <w:tcW w:w="5188" w:type="dxa"/>
          </w:tcPr>
          <w:p w14:paraId="6E2CDC1F" w14:textId="77777777" w:rsidR="00690BF6" w:rsidRPr="00E4265B" w:rsidRDefault="00824C6F" w:rsidP="00D94D55">
            <w:pPr>
              <w:spacing w:before="120" w:after="120"/>
              <w:jc w:val="both"/>
              <w:rPr>
                <w:rFonts w:ascii="Arial" w:hAnsi="Arial" w:cs="Arial"/>
                <w:sz w:val="22"/>
                <w:szCs w:val="22"/>
                <w:lang w:val="en-GB"/>
              </w:rPr>
            </w:pPr>
            <w:r w:rsidRPr="00E4265B">
              <w:rPr>
                <w:rFonts w:ascii="Arial" w:hAnsi="Arial" w:cs="Arial"/>
                <w:snapToGrid w:val="0"/>
                <w:sz w:val="22"/>
                <w:szCs w:val="22"/>
                <w:lang w:val="en-GB"/>
              </w:rPr>
              <w:t>Means an express trust created solely for collective investment purposes under section 114 of FSMR.</w:t>
            </w:r>
          </w:p>
        </w:tc>
      </w:tr>
      <w:tr w:rsidR="00690BF6" w:rsidRPr="00E4265B" w14:paraId="4F7E4796" w14:textId="77777777" w:rsidTr="00CD1719">
        <w:trPr>
          <w:gridBefore w:val="1"/>
          <w:wBefore w:w="882" w:type="dxa"/>
        </w:trPr>
        <w:tc>
          <w:tcPr>
            <w:tcW w:w="2462" w:type="dxa"/>
          </w:tcPr>
          <w:p w14:paraId="4E0CE90E"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Islamic Contracts</w:t>
            </w:r>
          </w:p>
        </w:tc>
        <w:tc>
          <w:tcPr>
            <w:tcW w:w="5188" w:type="dxa"/>
          </w:tcPr>
          <w:p w14:paraId="60559D3E"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Any contract designed to comply with Shari'a.</w:t>
            </w:r>
          </w:p>
        </w:tc>
      </w:tr>
      <w:tr w:rsidR="00690BF6" w:rsidRPr="00E4265B" w14:paraId="39116D63" w14:textId="77777777" w:rsidTr="00CD1719">
        <w:trPr>
          <w:gridBefore w:val="1"/>
          <w:wBefore w:w="882" w:type="dxa"/>
        </w:trPr>
        <w:tc>
          <w:tcPr>
            <w:tcW w:w="2462" w:type="dxa"/>
          </w:tcPr>
          <w:p w14:paraId="3A8D2D32"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Islamic Financial Business</w:t>
            </w:r>
          </w:p>
        </w:tc>
        <w:tc>
          <w:tcPr>
            <w:tcW w:w="5188" w:type="dxa"/>
          </w:tcPr>
          <w:p w14:paraId="550B99A0"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Any part of the financial business of an Authorised Person or Recognised Body which is carried out in accordance with Shari'a.</w:t>
            </w:r>
          </w:p>
        </w:tc>
      </w:tr>
      <w:tr w:rsidR="00690BF6" w:rsidRPr="00E4265B" w14:paraId="67B0BC63" w14:textId="77777777" w:rsidTr="00CD1719">
        <w:trPr>
          <w:gridBefore w:val="1"/>
          <w:wBefore w:w="882" w:type="dxa"/>
        </w:trPr>
        <w:tc>
          <w:tcPr>
            <w:tcW w:w="2462" w:type="dxa"/>
          </w:tcPr>
          <w:p w14:paraId="6C9E35C5"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Islamic Financial Institution</w:t>
            </w:r>
          </w:p>
        </w:tc>
        <w:tc>
          <w:tcPr>
            <w:tcW w:w="5188" w:type="dxa"/>
          </w:tcPr>
          <w:p w14:paraId="0C81B95C"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 Authorised Person or Recognised Body which has, on its Financial Services Permission, an endorsement authorising it to conduct its entire financial busin</w:t>
            </w:r>
            <w:r w:rsidR="009339DD" w:rsidRPr="00E4265B">
              <w:rPr>
                <w:rFonts w:ascii="Arial" w:hAnsi="Arial" w:cs="Arial"/>
                <w:sz w:val="22"/>
                <w:szCs w:val="22"/>
                <w:lang w:val="en-GB"/>
              </w:rPr>
              <w:t>ess in accordance with Shari</w:t>
            </w:r>
            <w:r w:rsidRPr="00E4265B">
              <w:rPr>
                <w:rFonts w:ascii="Arial" w:hAnsi="Arial" w:cs="Arial"/>
                <w:sz w:val="22"/>
                <w:szCs w:val="22"/>
                <w:lang w:val="en-GB"/>
              </w:rPr>
              <w:t>'a.</w:t>
            </w:r>
          </w:p>
        </w:tc>
      </w:tr>
      <w:tr w:rsidR="00690BF6" w:rsidRPr="00E4265B" w14:paraId="1EE759C4" w14:textId="77777777" w:rsidTr="00CD1719">
        <w:trPr>
          <w:gridBefore w:val="1"/>
          <w:wBefore w:w="882" w:type="dxa"/>
        </w:trPr>
        <w:tc>
          <w:tcPr>
            <w:tcW w:w="2462" w:type="dxa"/>
          </w:tcPr>
          <w:p w14:paraId="02380420"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Issuer</w:t>
            </w:r>
          </w:p>
        </w:tc>
        <w:tc>
          <w:tcPr>
            <w:tcW w:w="5188" w:type="dxa"/>
          </w:tcPr>
          <w:p w14:paraId="3A02F127" w14:textId="77777777" w:rsidR="00BF3963" w:rsidRPr="00E4265B" w:rsidRDefault="00BF3963" w:rsidP="00BF3963">
            <w:pPr>
              <w:spacing w:after="240" w:line="246" w:lineRule="atLeast"/>
              <w:jc w:val="both"/>
              <w:rPr>
                <w:rFonts w:ascii="Arial" w:hAnsi="Arial" w:cs="Arial"/>
                <w:snapToGrid w:val="0"/>
                <w:sz w:val="22"/>
                <w:szCs w:val="22"/>
                <w:lang w:val="en-GB"/>
              </w:rPr>
            </w:pPr>
            <w:r w:rsidRPr="00E4265B">
              <w:rPr>
                <w:rFonts w:ascii="Arial" w:hAnsi="Arial" w:cs="Arial"/>
                <w:snapToGrid w:val="0"/>
                <w:sz w:val="22"/>
                <w:szCs w:val="22"/>
                <w:lang w:val="en-GB"/>
              </w:rPr>
              <w:t>In relation to:</w:t>
            </w:r>
          </w:p>
          <w:p w14:paraId="1DEA417C" w14:textId="77777777" w:rsidR="00BF3963" w:rsidRPr="00E4265B" w:rsidRDefault="00BF3963" w:rsidP="00B741C9">
            <w:pPr>
              <w:pStyle w:val="Heading9"/>
              <w:numPr>
                <w:ilvl w:val="0"/>
                <w:numId w:val="0"/>
              </w:numPr>
              <w:ind w:left="1030" w:hanging="526"/>
              <w:rPr>
                <w:rFonts w:ascii="Arial" w:hAnsi="Arial" w:cs="Arial"/>
                <w:sz w:val="22"/>
                <w:szCs w:val="22"/>
                <w:lang w:val="en-GB"/>
              </w:rPr>
            </w:pPr>
            <w:r w:rsidRPr="00E4265B">
              <w:rPr>
                <w:rFonts w:ascii="Arial" w:eastAsia="Times New Roman" w:hAnsi="Arial" w:cs="Arial"/>
                <w:snapToGrid w:val="0"/>
                <w:color w:val="010000"/>
                <w:sz w:val="22"/>
                <w:szCs w:val="22"/>
                <w:lang w:val="en-GB"/>
              </w:rPr>
              <w:t>(a)</w:t>
            </w:r>
            <w:r w:rsidRPr="00E4265B">
              <w:rPr>
                <w:rFonts w:ascii="Arial" w:eastAsia="Times New Roman" w:hAnsi="Arial" w:cs="Arial"/>
                <w:snapToGrid w:val="0"/>
                <w:color w:val="010000"/>
                <w:sz w:val="22"/>
                <w:szCs w:val="22"/>
                <w:lang w:val="en-GB"/>
              </w:rPr>
              <w:tab/>
            </w:r>
            <w:r w:rsidRPr="00E4265B">
              <w:rPr>
                <w:rFonts w:ascii="Arial" w:hAnsi="Arial" w:cs="Arial"/>
                <w:sz w:val="22"/>
                <w:szCs w:val="22"/>
                <w:lang w:val="en-GB"/>
              </w:rPr>
              <w:t>any Security other than a Unit in a Collective Investment Fund, means the Person by whom it is or is to be issued;</w:t>
            </w:r>
          </w:p>
          <w:p w14:paraId="3EDEF422" w14:textId="77777777" w:rsidR="00BF3963" w:rsidRPr="00E4265B" w:rsidRDefault="00BF3963" w:rsidP="00B741C9">
            <w:pPr>
              <w:pStyle w:val="Heading9"/>
              <w:numPr>
                <w:ilvl w:val="0"/>
                <w:numId w:val="0"/>
              </w:numPr>
              <w:ind w:left="1030" w:hanging="526"/>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 Unit in a Collective Investment Fund, means the Fund Manager; and</w:t>
            </w:r>
          </w:p>
          <w:p w14:paraId="0A489E23" w14:textId="77777777" w:rsidR="00690BF6" w:rsidRPr="00E4265B" w:rsidRDefault="00BF3963" w:rsidP="00B741C9">
            <w:pPr>
              <w:pStyle w:val="Heading9"/>
              <w:numPr>
                <w:ilvl w:val="0"/>
                <w:numId w:val="0"/>
              </w:numPr>
              <w:ind w:left="1030" w:hanging="526"/>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an interest in a Limited Liability Partnership, means the Partnership.</w:t>
            </w:r>
          </w:p>
        </w:tc>
      </w:tr>
      <w:tr w:rsidR="00690BF6" w:rsidRPr="00E4265B" w14:paraId="6F3DD0D0" w14:textId="77777777" w:rsidTr="00CD1719">
        <w:trPr>
          <w:gridBefore w:val="1"/>
          <w:wBefore w:w="882" w:type="dxa"/>
        </w:trPr>
        <w:tc>
          <w:tcPr>
            <w:tcW w:w="2462" w:type="dxa"/>
          </w:tcPr>
          <w:p w14:paraId="2C6B7EC2"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Large Exposure</w:t>
            </w:r>
          </w:p>
        </w:tc>
        <w:tc>
          <w:tcPr>
            <w:tcW w:w="5188" w:type="dxa"/>
          </w:tcPr>
          <w:p w14:paraId="32EAA80D" w14:textId="32CA7FD1" w:rsidR="00690BF6" w:rsidRPr="00E4265B" w:rsidRDefault="00690BF6" w:rsidP="004E5DA6">
            <w:pPr>
              <w:spacing w:before="120" w:after="120"/>
              <w:jc w:val="both"/>
              <w:rPr>
                <w:rFonts w:ascii="Arial" w:hAnsi="Arial" w:cs="Arial"/>
                <w:sz w:val="22"/>
                <w:szCs w:val="22"/>
                <w:lang w:val="en-GB"/>
              </w:rPr>
            </w:pPr>
            <w:r w:rsidRPr="00E4265B">
              <w:rPr>
                <w:rFonts w:ascii="Arial" w:hAnsi="Arial" w:cs="Arial"/>
                <w:sz w:val="22"/>
                <w:szCs w:val="22"/>
                <w:lang w:val="en-GB"/>
              </w:rPr>
              <w:t>An Exposure</w:t>
            </w:r>
            <w:r w:rsidR="004E5DA6" w:rsidRPr="00E4265B">
              <w:rPr>
                <w:rFonts w:ascii="Arial" w:hAnsi="Arial" w:cs="Arial"/>
                <w:sz w:val="22"/>
                <w:szCs w:val="22"/>
                <w:lang w:val="en-GB"/>
              </w:rPr>
              <w:t xml:space="preserve"> aggregated across</w:t>
            </w:r>
            <w:r w:rsidRPr="00E4265B">
              <w:rPr>
                <w:rFonts w:ascii="Arial" w:hAnsi="Arial" w:cs="Arial"/>
                <w:sz w:val="22"/>
                <w:szCs w:val="22"/>
                <w:lang w:val="en-GB"/>
              </w:rPr>
              <w:t xml:space="preserve"> an Authorised Person's Non</w:t>
            </w:r>
            <w:r w:rsidRPr="00E4265B">
              <w:rPr>
                <w:rFonts w:ascii="Arial" w:hAnsi="Arial" w:cs="Arial"/>
                <w:sz w:val="22"/>
                <w:szCs w:val="22"/>
                <w:lang w:val="en-GB"/>
              </w:rPr>
              <w:noBreakHyphen/>
              <w:t xml:space="preserve">Trading Book </w:t>
            </w:r>
            <w:r w:rsidR="004E5DA6" w:rsidRPr="00E4265B">
              <w:rPr>
                <w:rFonts w:ascii="Arial" w:hAnsi="Arial" w:cs="Arial"/>
                <w:sz w:val="22"/>
                <w:szCs w:val="22"/>
                <w:lang w:val="en-GB"/>
              </w:rPr>
              <w:t>and</w:t>
            </w:r>
            <w:r w:rsidRPr="00E4265B">
              <w:rPr>
                <w:rFonts w:ascii="Arial" w:hAnsi="Arial" w:cs="Arial"/>
                <w:sz w:val="22"/>
                <w:szCs w:val="22"/>
                <w:lang w:val="en-GB"/>
              </w:rPr>
              <w:t xml:space="preserve"> Trading Book to a Counterparty</w:t>
            </w:r>
            <w:r w:rsidR="004E5DA6" w:rsidRPr="00E4265B">
              <w:rPr>
                <w:rFonts w:ascii="Arial" w:hAnsi="Arial" w:cs="Arial"/>
                <w:sz w:val="22"/>
                <w:szCs w:val="22"/>
                <w:lang w:val="en-GB"/>
              </w:rPr>
              <w:t>, a group of Connected Counterparties</w:t>
            </w:r>
            <w:r w:rsidRPr="00E4265B">
              <w:rPr>
                <w:rFonts w:ascii="Arial" w:hAnsi="Arial" w:cs="Arial"/>
                <w:sz w:val="22"/>
                <w:szCs w:val="22"/>
                <w:lang w:val="en-GB"/>
              </w:rPr>
              <w:t xml:space="preserve"> or </w:t>
            </w:r>
            <w:r w:rsidR="004E5DA6" w:rsidRPr="00E4265B">
              <w:rPr>
                <w:rFonts w:ascii="Arial" w:hAnsi="Arial" w:cs="Arial"/>
                <w:sz w:val="22"/>
                <w:szCs w:val="22"/>
                <w:lang w:val="en-GB"/>
              </w:rPr>
              <w:t xml:space="preserve">a </w:t>
            </w:r>
            <w:r w:rsidRPr="00E4265B">
              <w:rPr>
                <w:rFonts w:ascii="Arial" w:hAnsi="Arial" w:cs="Arial"/>
                <w:sz w:val="22"/>
                <w:szCs w:val="22"/>
                <w:lang w:val="en-GB"/>
              </w:rPr>
              <w:t xml:space="preserve">group of Closely Related Counterparties </w:t>
            </w:r>
            <w:r w:rsidR="004E5DA6" w:rsidRPr="00E4265B">
              <w:rPr>
                <w:rFonts w:ascii="Arial" w:hAnsi="Arial" w:cs="Arial"/>
                <w:sz w:val="22"/>
                <w:szCs w:val="22"/>
                <w:lang w:val="en-GB"/>
              </w:rPr>
              <w:t>that</w:t>
            </w:r>
            <w:r w:rsidRPr="00E4265B">
              <w:rPr>
                <w:rFonts w:ascii="Arial" w:hAnsi="Arial" w:cs="Arial"/>
                <w:sz w:val="22"/>
                <w:szCs w:val="22"/>
                <w:lang w:val="en-GB"/>
              </w:rPr>
              <w:t xml:space="preserve"> equals or exceeds 10% of the Authorised Person's Capital Resources.</w:t>
            </w:r>
          </w:p>
        </w:tc>
      </w:tr>
      <w:tr w:rsidR="00690BF6" w:rsidRPr="00E4265B" w14:paraId="1E3B3847" w14:textId="77777777" w:rsidTr="00CD1719">
        <w:trPr>
          <w:gridBefore w:val="1"/>
          <w:wBefore w:w="882" w:type="dxa"/>
        </w:trPr>
        <w:tc>
          <w:tcPr>
            <w:tcW w:w="2462" w:type="dxa"/>
          </w:tcPr>
          <w:p w14:paraId="3180B074"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LCR Requirement</w:t>
            </w:r>
          </w:p>
        </w:tc>
        <w:tc>
          <w:tcPr>
            <w:tcW w:w="5188" w:type="dxa"/>
          </w:tcPr>
          <w:p w14:paraId="30FE1368" w14:textId="77777777" w:rsidR="00690BF6" w:rsidRPr="00E4265B" w:rsidRDefault="00690BF6" w:rsidP="000204FF">
            <w:pPr>
              <w:spacing w:before="120" w:after="120"/>
              <w:jc w:val="both"/>
              <w:rPr>
                <w:rFonts w:ascii="Arial" w:hAnsi="Arial" w:cs="Arial"/>
                <w:sz w:val="22"/>
                <w:szCs w:val="22"/>
                <w:lang w:val="en-GB"/>
              </w:rPr>
            </w:pPr>
            <w:r w:rsidRPr="00E4265B">
              <w:rPr>
                <w:rFonts w:ascii="Arial" w:hAnsi="Arial" w:cs="Arial"/>
                <w:sz w:val="22"/>
                <w:szCs w:val="22"/>
                <w:lang w:val="en-GB"/>
              </w:rPr>
              <w:t>The LCR required to be maintained by an Authorised Person under Rule 9.3.4</w:t>
            </w:r>
            <w:r w:rsidR="000204FF" w:rsidRPr="00E4265B">
              <w:rPr>
                <w:rFonts w:ascii="Arial" w:hAnsi="Arial" w:cs="Arial"/>
                <w:sz w:val="22"/>
                <w:szCs w:val="22"/>
                <w:lang w:val="en-GB"/>
              </w:rPr>
              <w:t>.</w:t>
            </w:r>
          </w:p>
        </w:tc>
      </w:tr>
      <w:tr w:rsidR="00690BF6" w:rsidRPr="00E4265B" w14:paraId="6A544295" w14:textId="77777777" w:rsidTr="00CD1719">
        <w:trPr>
          <w:gridBefore w:val="1"/>
          <w:wBefore w:w="882" w:type="dxa"/>
        </w:trPr>
        <w:tc>
          <w:tcPr>
            <w:tcW w:w="2462" w:type="dxa"/>
          </w:tcPr>
          <w:p w14:paraId="60EAB7CF"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Leverage Ratio</w:t>
            </w:r>
          </w:p>
        </w:tc>
        <w:tc>
          <w:tcPr>
            <w:tcW w:w="5188" w:type="dxa"/>
          </w:tcPr>
          <w:p w14:paraId="279A6CFF" w14:textId="77777777" w:rsidR="00690BF6" w:rsidRPr="00E4265B" w:rsidRDefault="00690BF6" w:rsidP="00CC4877">
            <w:pPr>
              <w:spacing w:before="120" w:after="120"/>
              <w:jc w:val="both"/>
              <w:rPr>
                <w:rFonts w:ascii="Arial" w:hAnsi="Arial" w:cs="Arial"/>
                <w:sz w:val="22"/>
                <w:szCs w:val="22"/>
                <w:lang w:val="en-GB"/>
              </w:rPr>
            </w:pPr>
            <w:r w:rsidRPr="00E4265B">
              <w:rPr>
                <w:rFonts w:ascii="Arial" w:hAnsi="Arial" w:cs="Arial"/>
                <w:sz w:val="22"/>
                <w:szCs w:val="22"/>
                <w:lang w:val="en-GB"/>
              </w:rPr>
              <w:t>The amount expressed as a percentage value that is calculated in accordance with Rule 3.</w:t>
            </w:r>
            <w:r w:rsidR="00CC4877" w:rsidRPr="00E4265B">
              <w:rPr>
                <w:rFonts w:ascii="Arial" w:hAnsi="Arial" w:cs="Arial"/>
                <w:sz w:val="22"/>
                <w:szCs w:val="22"/>
                <w:lang w:val="en-GB"/>
              </w:rPr>
              <w:t>21</w:t>
            </w:r>
            <w:r w:rsidRPr="00E4265B">
              <w:rPr>
                <w:rFonts w:ascii="Arial" w:hAnsi="Arial" w:cs="Arial"/>
                <w:sz w:val="22"/>
                <w:szCs w:val="22"/>
                <w:lang w:val="en-GB"/>
              </w:rPr>
              <w:t>.</w:t>
            </w:r>
          </w:p>
        </w:tc>
      </w:tr>
      <w:tr w:rsidR="00690BF6" w:rsidRPr="00E4265B" w14:paraId="52C6AF38" w14:textId="77777777" w:rsidTr="00CD1719">
        <w:trPr>
          <w:gridBefore w:val="1"/>
          <w:wBefore w:w="882" w:type="dxa"/>
        </w:trPr>
        <w:tc>
          <w:tcPr>
            <w:tcW w:w="2462" w:type="dxa"/>
          </w:tcPr>
          <w:p w14:paraId="3D8B4710"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Liquidity Coverage Ratio (LCR)</w:t>
            </w:r>
          </w:p>
        </w:tc>
        <w:tc>
          <w:tcPr>
            <w:tcW w:w="5188" w:type="dxa"/>
          </w:tcPr>
          <w:p w14:paraId="23321119" w14:textId="77777777" w:rsidR="00690BF6" w:rsidRPr="00E4265B" w:rsidRDefault="00690BF6" w:rsidP="00CC4877">
            <w:pPr>
              <w:spacing w:before="120" w:after="120"/>
              <w:jc w:val="both"/>
              <w:rPr>
                <w:rFonts w:ascii="Arial" w:hAnsi="Arial" w:cs="Arial"/>
                <w:sz w:val="22"/>
                <w:szCs w:val="22"/>
                <w:lang w:val="en-GB"/>
              </w:rPr>
            </w:pPr>
            <w:r w:rsidRPr="00E4265B">
              <w:rPr>
                <w:rFonts w:ascii="Arial" w:hAnsi="Arial" w:cs="Arial"/>
                <w:sz w:val="22"/>
                <w:szCs w:val="22"/>
                <w:lang w:val="en-GB"/>
              </w:rPr>
              <w:t>The amount expressed as a percentage value that is calculated in accordance with Rule 9.3.</w:t>
            </w:r>
            <w:r w:rsidR="002E5BB8" w:rsidRPr="00E4265B">
              <w:rPr>
                <w:rFonts w:ascii="Arial" w:hAnsi="Arial" w:cs="Arial"/>
                <w:sz w:val="22"/>
                <w:szCs w:val="22"/>
                <w:lang w:val="en-GB"/>
              </w:rPr>
              <w:t>4</w:t>
            </w:r>
            <w:r w:rsidRPr="00E4265B">
              <w:rPr>
                <w:rFonts w:ascii="Arial" w:hAnsi="Arial" w:cs="Arial"/>
                <w:sz w:val="22"/>
                <w:szCs w:val="22"/>
                <w:lang w:val="en-GB"/>
              </w:rPr>
              <w:t xml:space="preserve"> and section A</w:t>
            </w:r>
            <w:r w:rsidR="00CC4877" w:rsidRPr="00E4265B">
              <w:rPr>
                <w:rFonts w:ascii="Arial" w:hAnsi="Arial" w:cs="Arial"/>
                <w:sz w:val="22"/>
                <w:szCs w:val="22"/>
                <w:lang w:val="en-GB"/>
              </w:rPr>
              <w:t>10</w:t>
            </w:r>
            <w:r w:rsidRPr="00E4265B">
              <w:rPr>
                <w:rFonts w:ascii="Arial" w:hAnsi="Arial" w:cs="Arial"/>
                <w:sz w:val="22"/>
                <w:szCs w:val="22"/>
                <w:lang w:val="en-GB"/>
              </w:rPr>
              <w:t>.2 of App</w:t>
            </w:r>
            <w:r w:rsidR="00CC4877" w:rsidRPr="00E4265B">
              <w:rPr>
                <w:rFonts w:ascii="Arial" w:hAnsi="Arial" w:cs="Arial"/>
                <w:sz w:val="22"/>
                <w:szCs w:val="22"/>
                <w:lang w:val="en-GB"/>
              </w:rPr>
              <w:t>10</w:t>
            </w:r>
            <w:r w:rsidRPr="00E4265B">
              <w:rPr>
                <w:rFonts w:ascii="Arial" w:hAnsi="Arial" w:cs="Arial"/>
                <w:sz w:val="22"/>
                <w:szCs w:val="22"/>
                <w:lang w:val="en-GB"/>
              </w:rPr>
              <w:t>.</w:t>
            </w:r>
          </w:p>
        </w:tc>
      </w:tr>
      <w:tr w:rsidR="004E5DA6" w:rsidRPr="00E4265B" w14:paraId="5B0A7BEB" w14:textId="77777777" w:rsidTr="00CD1719">
        <w:trPr>
          <w:gridBefore w:val="1"/>
          <w:wBefore w:w="882" w:type="dxa"/>
        </w:trPr>
        <w:tc>
          <w:tcPr>
            <w:tcW w:w="2462" w:type="dxa"/>
          </w:tcPr>
          <w:p w14:paraId="4A3FA75F" w14:textId="7ADAC8DD" w:rsidR="004E5DA6" w:rsidRPr="00E4265B" w:rsidRDefault="004E5DA6" w:rsidP="004E5DA6">
            <w:pPr>
              <w:spacing w:before="120" w:after="120"/>
              <w:rPr>
                <w:rFonts w:ascii="Arial" w:hAnsi="Arial" w:cs="Arial"/>
                <w:sz w:val="22"/>
                <w:szCs w:val="22"/>
                <w:lang w:val="en-GB"/>
              </w:rPr>
            </w:pPr>
            <w:r w:rsidRPr="00E4265B">
              <w:rPr>
                <w:rFonts w:ascii="Arial" w:hAnsi="Arial" w:cs="Arial"/>
                <w:sz w:val="22"/>
                <w:szCs w:val="22"/>
                <w:lang w:val="en-GB"/>
              </w:rPr>
              <w:t>Liquidity Mismatch Approach</w:t>
            </w:r>
          </w:p>
        </w:tc>
        <w:tc>
          <w:tcPr>
            <w:tcW w:w="5188" w:type="dxa"/>
          </w:tcPr>
          <w:p w14:paraId="0704B7C4" w14:textId="3658D21A" w:rsidR="004E5DA6" w:rsidRPr="00E4265B" w:rsidRDefault="004E5DA6" w:rsidP="004E5DA6">
            <w:pPr>
              <w:spacing w:before="120" w:after="120"/>
              <w:jc w:val="both"/>
              <w:rPr>
                <w:rFonts w:ascii="Arial" w:hAnsi="Arial" w:cs="Arial"/>
                <w:sz w:val="22"/>
                <w:szCs w:val="22"/>
                <w:lang w:val="en-GB"/>
              </w:rPr>
            </w:pPr>
            <w:r w:rsidRPr="00E4265B">
              <w:rPr>
                <w:rFonts w:ascii="Arial" w:hAnsi="Arial" w:cs="Arial"/>
                <w:sz w:val="22"/>
                <w:szCs w:val="22"/>
                <w:lang w:val="en-GB"/>
              </w:rPr>
              <w:t>For the purposes of liquidity, an assessment of the short-term liquidity of an Authorised Person.</w:t>
            </w:r>
          </w:p>
        </w:tc>
      </w:tr>
      <w:tr w:rsidR="00690BF6" w:rsidRPr="00E4265B" w14:paraId="08E08BC6" w14:textId="77777777" w:rsidTr="00CD1719">
        <w:trPr>
          <w:gridBefore w:val="1"/>
          <w:wBefore w:w="882" w:type="dxa"/>
        </w:trPr>
        <w:tc>
          <w:tcPr>
            <w:tcW w:w="2462" w:type="dxa"/>
          </w:tcPr>
          <w:p w14:paraId="2B3CC79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Liquidity Risk</w:t>
            </w:r>
          </w:p>
        </w:tc>
        <w:tc>
          <w:tcPr>
            <w:tcW w:w="5188" w:type="dxa"/>
          </w:tcPr>
          <w:p w14:paraId="55C1DA4C" w14:textId="77777777" w:rsidR="00690BF6" w:rsidRPr="00E4265B" w:rsidRDefault="00690BF6" w:rsidP="00D30061">
            <w:pPr>
              <w:spacing w:before="120" w:after="120"/>
              <w:jc w:val="both"/>
              <w:rPr>
                <w:rFonts w:ascii="Arial" w:hAnsi="Arial" w:cs="Arial"/>
                <w:sz w:val="22"/>
                <w:szCs w:val="22"/>
                <w:lang w:val="en-GB"/>
              </w:rPr>
            </w:pPr>
            <w:r w:rsidRPr="00E4265B">
              <w:rPr>
                <w:rFonts w:ascii="Arial" w:hAnsi="Arial" w:cs="Arial"/>
                <w:sz w:val="22"/>
                <w:szCs w:val="22"/>
                <w:lang w:val="en-GB"/>
              </w:rPr>
              <w:t>The risk</w:t>
            </w:r>
            <w:r w:rsidR="00D30061" w:rsidRPr="00E4265B">
              <w:rPr>
                <w:rFonts w:ascii="Arial" w:hAnsi="Arial" w:cs="Arial"/>
                <w:sz w:val="22"/>
                <w:szCs w:val="22"/>
                <w:lang w:val="en-GB"/>
              </w:rPr>
              <w:t xml:space="preserve"> that an Authorised Person, although solvent, either does not have available sufficient financial resources to enable it to meet its obligations as they fall due, or can secure such resources only at excessive cost. </w:t>
            </w:r>
          </w:p>
        </w:tc>
      </w:tr>
      <w:tr w:rsidR="00690BF6" w:rsidRPr="00E4265B" w14:paraId="7818AD7D" w14:textId="77777777" w:rsidTr="00CD1719">
        <w:trPr>
          <w:gridBefore w:val="1"/>
          <w:wBefore w:w="882" w:type="dxa"/>
        </w:trPr>
        <w:tc>
          <w:tcPr>
            <w:tcW w:w="2462" w:type="dxa"/>
          </w:tcPr>
          <w:p w14:paraId="295EEF9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Managing a Collective Investment Fund</w:t>
            </w:r>
          </w:p>
        </w:tc>
        <w:tc>
          <w:tcPr>
            <w:tcW w:w="5188" w:type="dxa"/>
          </w:tcPr>
          <w:p w14:paraId="3A194FD7" w14:textId="77777777" w:rsidR="00690BF6" w:rsidRPr="00E4265B" w:rsidRDefault="00690BF6" w:rsidP="00801DAF">
            <w:pPr>
              <w:spacing w:before="120" w:after="120"/>
              <w:jc w:val="both"/>
              <w:rPr>
                <w:rFonts w:ascii="Arial" w:hAnsi="Arial" w:cs="Arial"/>
                <w:sz w:val="22"/>
                <w:szCs w:val="22"/>
                <w:lang w:val="en-GB"/>
              </w:rPr>
            </w:pPr>
            <w:r w:rsidRPr="00E4265B">
              <w:rPr>
                <w:rFonts w:ascii="Arial" w:hAnsi="Arial" w:cs="Arial"/>
                <w:sz w:val="22"/>
                <w:szCs w:val="22"/>
                <w:lang w:val="en-GB"/>
              </w:rPr>
              <w:t xml:space="preserve">Means the Regulated Activity specified in paragraph </w:t>
            </w:r>
            <w:r w:rsidRPr="00E4265B">
              <w:rPr>
                <w:rFonts w:ascii="Arial" w:hAnsi="Arial" w:cs="Arial"/>
                <w:sz w:val="22"/>
                <w:szCs w:val="22"/>
                <w:cs/>
                <w:lang w:val="en-GB"/>
              </w:rPr>
              <w:t>‎</w:t>
            </w:r>
            <w:r w:rsidR="00801DAF" w:rsidRPr="00E4265B">
              <w:rPr>
                <w:rFonts w:ascii="Arial" w:hAnsi="Arial" w:cs="Arial"/>
                <w:sz w:val="22"/>
                <w:szCs w:val="22"/>
                <w:lang w:val="en-GB"/>
              </w:rPr>
              <w:t>59</w:t>
            </w:r>
            <w:r w:rsidRPr="00E4265B">
              <w:rPr>
                <w:rFonts w:ascii="Arial" w:hAnsi="Arial" w:cs="Arial"/>
                <w:sz w:val="22"/>
                <w:szCs w:val="22"/>
                <w:lang w:val="en-GB"/>
              </w:rPr>
              <w:t xml:space="preserve"> of </w:t>
            </w:r>
            <w:r w:rsidRPr="00E4265B">
              <w:rPr>
                <w:rFonts w:ascii="Arial" w:hAnsi="Arial" w:cs="Arial"/>
                <w:sz w:val="22"/>
                <w:szCs w:val="22"/>
                <w:cs/>
                <w:lang w:val="en-GB"/>
              </w:rPr>
              <w:t>‎</w:t>
            </w:r>
            <w:r w:rsidRPr="00E4265B">
              <w:rPr>
                <w:rFonts w:ascii="Arial" w:hAnsi="Arial" w:cs="Arial"/>
                <w:sz w:val="22"/>
                <w:szCs w:val="22"/>
                <w:rtl/>
                <w:cs/>
                <w:lang w:val="en-GB"/>
              </w:rPr>
              <w:t>Schedule 1</w:t>
            </w:r>
            <w:r w:rsidRPr="00E4265B">
              <w:rPr>
                <w:rFonts w:ascii="Arial" w:hAnsi="Arial" w:cs="Arial"/>
                <w:sz w:val="22"/>
                <w:szCs w:val="22"/>
                <w:lang w:val="en-GB"/>
              </w:rPr>
              <w:t xml:space="preserve"> of the FSMR.</w:t>
            </w:r>
          </w:p>
        </w:tc>
      </w:tr>
      <w:tr w:rsidR="00690BF6" w:rsidRPr="00E4265B" w14:paraId="2BB0F4BC" w14:textId="77777777" w:rsidTr="00CD1719">
        <w:trPr>
          <w:gridBefore w:val="1"/>
          <w:wBefore w:w="882" w:type="dxa"/>
        </w:trPr>
        <w:tc>
          <w:tcPr>
            <w:tcW w:w="2462" w:type="dxa"/>
          </w:tcPr>
          <w:p w14:paraId="65C49210"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Managing a Profit Sharing Investment Account</w:t>
            </w:r>
          </w:p>
        </w:tc>
        <w:tc>
          <w:tcPr>
            <w:tcW w:w="5188" w:type="dxa"/>
          </w:tcPr>
          <w:p w14:paraId="4124612E" w14:textId="77777777" w:rsidR="00690BF6" w:rsidRPr="00E4265B" w:rsidRDefault="00690BF6" w:rsidP="002E5BB8">
            <w:pPr>
              <w:spacing w:before="120" w:after="120"/>
              <w:jc w:val="both"/>
              <w:rPr>
                <w:rFonts w:ascii="Arial" w:hAnsi="Arial" w:cs="Arial"/>
                <w:sz w:val="22"/>
                <w:szCs w:val="22"/>
                <w:lang w:val="en-GB"/>
              </w:rPr>
            </w:pPr>
            <w:r w:rsidRPr="00E4265B">
              <w:rPr>
                <w:rFonts w:ascii="Arial" w:hAnsi="Arial" w:cs="Arial"/>
                <w:sz w:val="22"/>
                <w:szCs w:val="22"/>
                <w:lang w:val="en-GB"/>
              </w:rPr>
              <w:t>Means the Regulated Ac</w:t>
            </w:r>
            <w:r w:rsidR="004565E7" w:rsidRPr="00E4265B">
              <w:rPr>
                <w:rFonts w:ascii="Arial" w:hAnsi="Arial" w:cs="Arial"/>
                <w:sz w:val="22"/>
                <w:szCs w:val="22"/>
                <w:lang w:val="en-GB"/>
              </w:rPr>
              <w:t xml:space="preserve">tivity specified in paragraph </w:t>
            </w:r>
            <w:r w:rsidR="004565E7" w:rsidRPr="00E4265B">
              <w:rPr>
                <w:rFonts w:ascii="Arial" w:hAnsi="Arial" w:cs="Arial"/>
                <w:sz w:val="22"/>
                <w:szCs w:val="22"/>
                <w:cs/>
                <w:lang w:val="en-GB"/>
              </w:rPr>
              <w:t>‎</w:t>
            </w:r>
            <w:r w:rsidR="004565E7" w:rsidRPr="00E4265B">
              <w:rPr>
                <w:rFonts w:ascii="Arial" w:hAnsi="Arial" w:cs="Arial"/>
                <w:sz w:val="22"/>
                <w:szCs w:val="22"/>
                <w:rtl/>
                <w:cs/>
                <w:lang w:val="en-GB"/>
              </w:rPr>
              <w:t>6</w:t>
            </w:r>
            <w:r w:rsidR="00801DAF" w:rsidRPr="00E4265B">
              <w:rPr>
                <w:rFonts w:ascii="Arial" w:hAnsi="Arial" w:cs="Arial"/>
                <w:sz w:val="22"/>
                <w:szCs w:val="22"/>
                <w:lang w:val="en-GB"/>
              </w:rPr>
              <w:t>4</w:t>
            </w:r>
            <w:r w:rsidR="0067620F" w:rsidRPr="00E4265B">
              <w:rPr>
                <w:rFonts w:ascii="Arial" w:hAnsi="Arial" w:cs="Arial"/>
                <w:sz w:val="22"/>
                <w:szCs w:val="22"/>
                <w:lang w:val="en-GB"/>
              </w:rPr>
              <w:t>(2)</w:t>
            </w:r>
            <w:r w:rsidRPr="00E4265B">
              <w:rPr>
                <w:rFonts w:ascii="Arial" w:hAnsi="Arial" w:cs="Arial"/>
                <w:sz w:val="22"/>
                <w:szCs w:val="22"/>
                <w:lang w:val="en-GB"/>
              </w:rPr>
              <w:t xml:space="preserve"> </w:t>
            </w:r>
            <w:r w:rsidR="002E5BB8" w:rsidRPr="00E4265B">
              <w:rPr>
                <w:rFonts w:ascii="Arial" w:hAnsi="Arial" w:cs="Arial"/>
                <w:sz w:val="22"/>
                <w:szCs w:val="22"/>
                <w:lang w:val="en-GB"/>
              </w:rPr>
              <w:t>of Schedule 1 of the FSMR.</w:t>
            </w:r>
          </w:p>
        </w:tc>
      </w:tr>
      <w:tr w:rsidR="00690BF6" w:rsidRPr="00E4265B" w14:paraId="3A3ECAE7" w14:textId="77777777" w:rsidTr="00CD1719">
        <w:trPr>
          <w:gridBefore w:val="1"/>
          <w:wBefore w:w="882" w:type="dxa"/>
        </w:trPr>
        <w:tc>
          <w:tcPr>
            <w:tcW w:w="2462" w:type="dxa"/>
          </w:tcPr>
          <w:p w14:paraId="3EA98DA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Managing Assets</w:t>
            </w:r>
          </w:p>
        </w:tc>
        <w:tc>
          <w:tcPr>
            <w:tcW w:w="5188" w:type="dxa"/>
          </w:tcPr>
          <w:p w14:paraId="09AC8389" w14:textId="77777777" w:rsidR="00690BF6" w:rsidRPr="00E4265B" w:rsidRDefault="00690BF6" w:rsidP="00801DAF">
            <w:pPr>
              <w:spacing w:before="120" w:after="120"/>
              <w:jc w:val="both"/>
              <w:rPr>
                <w:rFonts w:ascii="Arial" w:hAnsi="Arial" w:cs="Arial"/>
                <w:sz w:val="22"/>
                <w:szCs w:val="22"/>
                <w:lang w:val="en-GB"/>
              </w:rPr>
            </w:pPr>
            <w:r w:rsidRPr="00E4265B">
              <w:rPr>
                <w:rFonts w:ascii="Arial" w:hAnsi="Arial" w:cs="Arial"/>
                <w:sz w:val="22"/>
                <w:szCs w:val="22"/>
                <w:lang w:val="en-GB"/>
              </w:rPr>
              <w:t>Means the Regulated Ac</w:t>
            </w:r>
            <w:r w:rsidR="004565E7" w:rsidRPr="00E4265B">
              <w:rPr>
                <w:rFonts w:ascii="Arial" w:hAnsi="Arial" w:cs="Arial"/>
                <w:sz w:val="22"/>
                <w:szCs w:val="22"/>
                <w:lang w:val="en-GB"/>
              </w:rPr>
              <w:t xml:space="preserve">tivity specified in paragraph </w:t>
            </w:r>
            <w:r w:rsidR="004565E7" w:rsidRPr="00E4265B">
              <w:rPr>
                <w:rFonts w:ascii="Arial" w:hAnsi="Arial" w:cs="Arial"/>
                <w:sz w:val="22"/>
                <w:szCs w:val="22"/>
                <w:cs/>
                <w:lang w:val="en-GB"/>
              </w:rPr>
              <w:t>‎</w:t>
            </w:r>
            <w:r w:rsidR="004565E7" w:rsidRPr="00E4265B">
              <w:rPr>
                <w:rFonts w:ascii="Arial" w:hAnsi="Arial" w:cs="Arial"/>
                <w:sz w:val="22"/>
                <w:szCs w:val="22"/>
                <w:rtl/>
                <w:cs/>
                <w:lang w:val="en-GB"/>
              </w:rPr>
              <w:t>5</w:t>
            </w:r>
            <w:r w:rsidR="00801DAF" w:rsidRPr="00E4265B">
              <w:rPr>
                <w:rFonts w:ascii="Arial" w:hAnsi="Arial" w:cs="Arial"/>
                <w:sz w:val="22"/>
                <w:szCs w:val="22"/>
                <w:lang w:val="en-GB"/>
              </w:rPr>
              <w:t>6</w:t>
            </w:r>
            <w:r w:rsidRPr="00E4265B">
              <w:rPr>
                <w:rFonts w:ascii="Arial" w:hAnsi="Arial" w:cs="Arial"/>
                <w:sz w:val="22"/>
                <w:szCs w:val="22"/>
                <w:lang w:val="en-GB"/>
              </w:rPr>
              <w:t xml:space="preserve"> of </w:t>
            </w:r>
            <w:r w:rsidRPr="00E4265B">
              <w:rPr>
                <w:rFonts w:ascii="Arial" w:hAnsi="Arial" w:cs="Arial"/>
                <w:sz w:val="22"/>
                <w:szCs w:val="22"/>
                <w:cs/>
                <w:lang w:val="en-GB"/>
              </w:rPr>
              <w:t>‎</w:t>
            </w:r>
            <w:r w:rsidRPr="00E4265B">
              <w:rPr>
                <w:rFonts w:ascii="Arial" w:hAnsi="Arial" w:cs="Arial"/>
                <w:sz w:val="22"/>
                <w:szCs w:val="22"/>
                <w:rtl/>
                <w:cs/>
                <w:lang w:val="en-GB"/>
              </w:rPr>
              <w:t>Schedule 1</w:t>
            </w:r>
            <w:r w:rsidRPr="00E4265B">
              <w:rPr>
                <w:rFonts w:ascii="Arial" w:hAnsi="Arial" w:cs="Arial"/>
                <w:sz w:val="22"/>
                <w:szCs w:val="22"/>
                <w:lang w:val="en-GB"/>
              </w:rPr>
              <w:t xml:space="preserve"> of the FSMR.</w:t>
            </w:r>
          </w:p>
        </w:tc>
      </w:tr>
      <w:tr w:rsidR="00690BF6" w:rsidRPr="00E4265B" w14:paraId="70711EEB" w14:textId="77777777" w:rsidTr="00CD1719">
        <w:trPr>
          <w:gridBefore w:val="1"/>
          <w:wBefore w:w="882" w:type="dxa"/>
        </w:trPr>
        <w:tc>
          <w:tcPr>
            <w:tcW w:w="2462" w:type="dxa"/>
          </w:tcPr>
          <w:p w14:paraId="15FAD93C"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Market Counterparty</w:t>
            </w:r>
          </w:p>
        </w:tc>
        <w:tc>
          <w:tcPr>
            <w:tcW w:w="5188" w:type="dxa"/>
          </w:tcPr>
          <w:p w14:paraId="536C9A0E" w14:textId="77777777" w:rsidR="00690BF6" w:rsidRPr="00E4265B" w:rsidRDefault="00690BF6" w:rsidP="00D13883">
            <w:pPr>
              <w:pStyle w:val="Heading8"/>
              <w:numPr>
                <w:ilvl w:val="7"/>
                <w:numId w:val="49"/>
              </w:numPr>
              <w:rPr>
                <w:rFonts w:ascii="Arial" w:hAnsi="Arial" w:cs="Arial"/>
                <w:sz w:val="22"/>
                <w:szCs w:val="22"/>
                <w:lang w:val="en-GB"/>
              </w:rPr>
            </w:pPr>
            <w:r w:rsidRPr="00E4265B">
              <w:rPr>
                <w:rFonts w:ascii="Arial" w:hAnsi="Arial" w:cs="Arial"/>
                <w:sz w:val="22"/>
                <w:szCs w:val="22"/>
                <w:lang w:val="en-GB"/>
              </w:rPr>
              <w:t>An Authorised Person</w:t>
            </w:r>
            <w:r w:rsidRPr="00E4265B">
              <w:rPr>
                <w:rFonts w:ascii="Arial" w:hAnsi="Arial" w:cs="Arial"/>
                <w:sz w:val="22"/>
                <w:szCs w:val="22"/>
                <w:vertAlign w:val="superscript"/>
                <w:lang w:val="en-GB"/>
              </w:rPr>
              <w:t xml:space="preserve"> </w:t>
            </w:r>
            <w:r w:rsidRPr="00E4265B">
              <w:rPr>
                <w:rFonts w:ascii="Arial" w:hAnsi="Arial" w:cs="Arial"/>
                <w:sz w:val="22"/>
                <w:szCs w:val="22"/>
                <w:lang w:val="en-GB"/>
              </w:rPr>
              <w:t>may treat a Professional Client referred to in part (2) of the definition of Professional Client as a Market Counterparty provided that the firm:</w:t>
            </w:r>
          </w:p>
          <w:p w14:paraId="085EDAF7"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 xml:space="preserve">in the case of a Professional Client referred to in part (2)(a) to (f) of the definition of Professional Client, has given to that Client a prior written notification of the classification as a Market Counterparty and that Client has not requested to be treated otherwise; and </w:t>
            </w:r>
          </w:p>
          <w:p w14:paraId="3A02DAF8"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in the case of a Professional Client referred to in part (2)(g), (h), or (i) of the definition of Professional Client, has obtained the prior written consent of that Client</w:t>
            </w:r>
            <w:r w:rsidRPr="00E4265B">
              <w:rPr>
                <w:rFonts w:ascii="Arial" w:hAnsi="Arial" w:cs="Arial"/>
                <w:sz w:val="22"/>
                <w:szCs w:val="22"/>
                <w:vertAlign w:val="superscript"/>
                <w:lang w:val="en-GB"/>
              </w:rPr>
              <w:t xml:space="preserve"> </w:t>
            </w:r>
            <w:r w:rsidRPr="00E4265B">
              <w:rPr>
                <w:rFonts w:ascii="Arial" w:hAnsi="Arial" w:cs="Arial"/>
                <w:sz w:val="22"/>
                <w:szCs w:val="22"/>
                <w:lang w:val="en-GB"/>
              </w:rPr>
              <w:t xml:space="preserve">to be treated as a Market Counterparty. </w:t>
            </w:r>
          </w:p>
          <w:p w14:paraId="1A974080" w14:textId="3B79A770" w:rsidR="00690BF6" w:rsidRPr="00E4265B" w:rsidRDefault="00690BF6" w:rsidP="00D94D55">
            <w:pPr>
              <w:pStyle w:val="Heading8"/>
              <w:rPr>
                <w:rFonts w:ascii="Arial" w:hAnsi="Arial" w:cs="Arial"/>
                <w:sz w:val="22"/>
                <w:szCs w:val="22"/>
                <w:lang w:val="en-GB"/>
              </w:rPr>
            </w:pPr>
            <w:r w:rsidRPr="00E4265B">
              <w:rPr>
                <w:rFonts w:ascii="Arial" w:hAnsi="Arial" w:cs="Arial"/>
                <w:sz w:val="22"/>
                <w:szCs w:val="22"/>
                <w:lang w:val="en-GB"/>
              </w:rPr>
              <w:t>The notification and consent referred to in (1) may be given in r</w:t>
            </w:r>
            <w:r w:rsidR="004E5DA6" w:rsidRPr="00E4265B">
              <w:rPr>
                <w:rFonts w:ascii="Arial" w:hAnsi="Arial" w:cs="Arial"/>
                <w:sz w:val="22"/>
                <w:szCs w:val="22"/>
                <w:lang w:val="en-GB"/>
              </w:rPr>
              <w:t>espect of all services or in respect of each individual t</w:t>
            </w:r>
            <w:r w:rsidRPr="00E4265B">
              <w:rPr>
                <w:rFonts w:ascii="Arial" w:hAnsi="Arial" w:cs="Arial"/>
                <w:sz w:val="22"/>
                <w:szCs w:val="22"/>
                <w:lang w:val="en-GB"/>
              </w:rPr>
              <w:t>ransaction.</w:t>
            </w:r>
          </w:p>
          <w:p w14:paraId="37923143" w14:textId="77777777" w:rsidR="00690BF6" w:rsidRPr="00E4265B" w:rsidRDefault="00690BF6" w:rsidP="00D94D55">
            <w:pPr>
              <w:pStyle w:val="Heading8"/>
              <w:rPr>
                <w:rFonts w:ascii="Arial" w:hAnsi="Arial" w:cs="Arial"/>
                <w:sz w:val="22"/>
                <w:szCs w:val="22"/>
                <w:lang w:val="en-GB"/>
              </w:rPr>
            </w:pPr>
            <w:r w:rsidRPr="00E4265B">
              <w:rPr>
                <w:rFonts w:ascii="Arial" w:hAnsi="Arial" w:cs="Arial"/>
                <w:sz w:val="22"/>
                <w:szCs w:val="22"/>
                <w:lang w:val="en-GB"/>
              </w:rPr>
              <w:t xml:space="preserve">The notification in (1)(a) need only be given to one of: </w:t>
            </w:r>
          </w:p>
          <w:p w14:paraId="7E78AB1B" w14:textId="77777777" w:rsidR="00690BF6" w:rsidRPr="00E4265B" w:rsidRDefault="00690BF6" w:rsidP="00D94D55">
            <w:pPr>
              <w:pStyle w:val="Heading9"/>
              <w:rPr>
                <w:rFonts w:ascii="Arial" w:hAnsi="Arial" w:cs="Arial"/>
                <w:sz w:val="22"/>
                <w:szCs w:val="22"/>
                <w:lang w:val="en-GB"/>
              </w:rPr>
            </w:pPr>
            <w:r w:rsidRPr="00E4265B">
              <w:rPr>
                <w:rFonts w:ascii="Arial" w:hAnsi="Arial" w:cs="Arial"/>
                <w:sz w:val="22"/>
                <w:szCs w:val="22"/>
                <w:lang w:val="en-GB"/>
              </w:rPr>
              <w:t>a Fund</w:t>
            </w:r>
            <w:r w:rsidRPr="00E4265B">
              <w:rPr>
                <w:rFonts w:ascii="Arial" w:hAnsi="Arial" w:cs="Arial"/>
                <w:sz w:val="22"/>
                <w:szCs w:val="22"/>
                <w:vertAlign w:val="superscript"/>
                <w:lang w:val="en-GB"/>
              </w:rPr>
              <w:t xml:space="preserve"> </w:t>
            </w:r>
            <w:r w:rsidRPr="00E4265B">
              <w:rPr>
                <w:rFonts w:ascii="Arial" w:hAnsi="Arial" w:cs="Arial"/>
                <w:sz w:val="22"/>
                <w:szCs w:val="22"/>
                <w:lang w:val="en-GB"/>
              </w:rPr>
              <w:t xml:space="preserve">or its </w:t>
            </w:r>
            <w:r w:rsidRPr="00E4265B">
              <w:rPr>
                <w:rStyle w:val="me"/>
                <w:rFonts w:ascii="Arial" w:hAnsi="Arial" w:cs="Arial"/>
                <w:color w:val="222222"/>
                <w:sz w:val="22"/>
                <w:szCs w:val="22"/>
                <w:lang w:val="en-GB"/>
              </w:rPr>
              <w:t>Fund Manager</w:t>
            </w:r>
            <w:r w:rsidRPr="00E4265B">
              <w:rPr>
                <w:rFonts w:ascii="Arial" w:hAnsi="Arial" w:cs="Arial"/>
                <w:sz w:val="22"/>
                <w:szCs w:val="22"/>
                <w:lang w:val="en-GB"/>
              </w:rPr>
              <w:t xml:space="preserve">; or </w:t>
            </w:r>
          </w:p>
          <w:p w14:paraId="76492DDB" w14:textId="77777777" w:rsidR="00690BF6" w:rsidRPr="00E4265B" w:rsidRDefault="00690BF6" w:rsidP="00D94D55">
            <w:pPr>
              <w:pStyle w:val="Heading9"/>
              <w:rPr>
                <w:rFonts w:ascii="Arial" w:hAnsi="Arial" w:cs="Arial"/>
                <w:color w:val="222222"/>
                <w:sz w:val="22"/>
                <w:szCs w:val="22"/>
                <w:lang w:val="en-GB"/>
              </w:rPr>
            </w:pPr>
            <w:r w:rsidRPr="00E4265B">
              <w:rPr>
                <w:rFonts w:ascii="Arial" w:hAnsi="Arial" w:cs="Arial"/>
                <w:sz w:val="22"/>
                <w:szCs w:val="22"/>
                <w:lang w:val="en-GB"/>
              </w:rPr>
              <w:lastRenderedPageBreak/>
              <w:t>a pension fund or its management company.</w:t>
            </w:r>
          </w:p>
        </w:tc>
      </w:tr>
      <w:tr w:rsidR="00690BF6" w:rsidRPr="00E4265B" w14:paraId="39B43322" w14:textId="77777777" w:rsidTr="00CD1719">
        <w:trPr>
          <w:gridBefore w:val="1"/>
          <w:wBefore w:w="882" w:type="dxa"/>
        </w:trPr>
        <w:tc>
          <w:tcPr>
            <w:tcW w:w="2462" w:type="dxa"/>
          </w:tcPr>
          <w:p w14:paraId="3EBC2105"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Market Risk</w:t>
            </w:r>
          </w:p>
        </w:tc>
        <w:tc>
          <w:tcPr>
            <w:tcW w:w="5188" w:type="dxa"/>
          </w:tcPr>
          <w:p w14:paraId="524B9C33" w14:textId="77777777" w:rsidR="00690BF6" w:rsidRPr="00E4265B" w:rsidRDefault="00690BF6" w:rsidP="0013253F">
            <w:pPr>
              <w:spacing w:before="120" w:after="120"/>
              <w:jc w:val="both"/>
              <w:rPr>
                <w:rFonts w:ascii="Arial" w:hAnsi="Arial" w:cs="Arial"/>
                <w:sz w:val="22"/>
                <w:szCs w:val="22"/>
                <w:lang w:val="en-GB"/>
              </w:rPr>
            </w:pPr>
            <w:r w:rsidRPr="00E4265B">
              <w:rPr>
                <w:rFonts w:ascii="Arial" w:hAnsi="Arial" w:cs="Arial"/>
                <w:sz w:val="22"/>
                <w:szCs w:val="22"/>
                <w:lang w:val="en-GB"/>
              </w:rPr>
              <w:t>The risk of loss that arises from fluctuations in the values of</w:t>
            </w:r>
            <w:r w:rsidR="0013253F" w:rsidRPr="00E4265B">
              <w:rPr>
                <w:rFonts w:ascii="Arial" w:hAnsi="Arial" w:cs="Arial"/>
                <w:sz w:val="22"/>
                <w:szCs w:val="22"/>
                <w:lang w:val="en-GB"/>
              </w:rPr>
              <w:t xml:space="preserve"> </w:t>
            </w:r>
            <w:r w:rsidRPr="00E4265B">
              <w:rPr>
                <w:rFonts w:ascii="Arial" w:hAnsi="Arial" w:cs="Arial"/>
                <w:sz w:val="22"/>
                <w:szCs w:val="22"/>
                <w:lang w:val="en-GB"/>
              </w:rPr>
              <w:t>assets or in interest or exchange rates.</w:t>
            </w:r>
          </w:p>
        </w:tc>
      </w:tr>
      <w:tr w:rsidR="00690BF6" w:rsidRPr="00E4265B" w14:paraId="0D26272A" w14:textId="77777777" w:rsidTr="00CD1719">
        <w:trPr>
          <w:gridBefore w:val="1"/>
          <w:wBefore w:w="882" w:type="dxa"/>
        </w:trPr>
        <w:tc>
          <w:tcPr>
            <w:tcW w:w="2462" w:type="dxa"/>
          </w:tcPr>
          <w:p w14:paraId="511A7AB0"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Market Risk Capital Requirement</w:t>
            </w:r>
          </w:p>
        </w:tc>
        <w:tc>
          <w:tcPr>
            <w:tcW w:w="5188" w:type="dxa"/>
          </w:tcPr>
          <w:p w14:paraId="7FE19BE2"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The requirement calculated in accordance with Rule 5.3.1.</w:t>
            </w:r>
          </w:p>
        </w:tc>
      </w:tr>
      <w:tr w:rsidR="00690BF6" w:rsidRPr="00E4265B" w14:paraId="4A6FC763" w14:textId="77777777" w:rsidTr="00CD1719">
        <w:trPr>
          <w:gridBefore w:val="1"/>
          <w:wBefore w:w="882" w:type="dxa"/>
        </w:trPr>
        <w:tc>
          <w:tcPr>
            <w:tcW w:w="2462" w:type="dxa"/>
          </w:tcPr>
          <w:p w14:paraId="0BB925B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Matched Principal</w:t>
            </w:r>
          </w:p>
        </w:tc>
        <w:tc>
          <w:tcPr>
            <w:tcW w:w="5188" w:type="dxa"/>
          </w:tcPr>
          <w:p w14:paraId="58E7A9F3"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Has the meaning described in Rule 1.3.3(2).</w:t>
            </w:r>
          </w:p>
        </w:tc>
      </w:tr>
      <w:tr w:rsidR="00690BF6" w:rsidRPr="00E4265B" w14:paraId="06A38B1C" w14:textId="77777777" w:rsidTr="00CD1719">
        <w:trPr>
          <w:gridBefore w:val="1"/>
          <w:wBefore w:w="882" w:type="dxa"/>
        </w:trPr>
        <w:tc>
          <w:tcPr>
            <w:tcW w:w="2462" w:type="dxa"/>
          </w:tcPr>
          <w:p w14:paraId="3D410153"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Maturity Ladder</w:t>
            </w:r>
          </w:p>
        </w:tc>
        <w:tc>
          <w:tcPr>
            <w:tcW w:w="5188" w:type="dxa"/>
          </w:tcPr>
          <w:p w14:paraId="01DC9743"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table that ordinally ranks the maturity time bands and assets and liabilities within them.</w:t>
            </w:r>
          </w:p>
        </w:tc>
      </w:tr>
      <w:tr w:rsidR="00690BF6" w:rsidRPr="00E4265B" w14:paraId="2EEA46DD" w14:textId="77777777" w:rsidTr="00CD1719">
        <w:trPr>
          <w:gridBefore w:val="1"/>
          <w:wBefore w:w="882" w:type="dxa"/>
        </w:trPr>
        <w:tc>
          <w:tcPr>
            <w:tcW w:w="2462" w:type="dxa"/>
          </w:tcPr>
          <w:p w14:paraId="4B1C5344"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Maturity Method</w:t>
            </w:r>
          </w:p>
        </w:tc>
        <w:tc>
          <w:tcPr>
            <w:tcW w:w="5188" w:type="dxa"/>
          </w:tcPr>
          <w:p w14:paraId="18B33AFA" w14:textId="77777777" w:rsidR="00690BF6" w:rsidRPr="00E4265B" w:rsidRDefault="00690BF6" w:rsidP="00CC4877">
            <w:pPr>
              <w:spacing w:before="120" w:after="120"/>
              <w:jc w:val="both"/>
              <w:rPr>
                <w:rFonts w:ascii="Arial" w:hAnsi="Arial" w:cs="Arial"/>
                <w:sz w:val="22"/>
                <w:szCs w:val="22"/>
                <w:lang w:val="en-GB"/>
              </w:rPr>
            </w:pPr>
            <w:r w:rsidRPr="00E4265B">
              <w:rPr>
                <w:rFonts w:ascii="Arial" w:hAnsi="Arial" w:cs="Arial"/>
                <w:sz w:val="22"/>
                <w:szCs w:val="22"/>
                <w:lang w:val="en-GB"/>
              </w:rPr>
              <w:t>This is an advanced approach that an Authorised Person may use to measure the risk of holding or taking positions in debt Securities and other interest rate</w:t>
            </w:r>
            <w:r w:rsidRPr="00E4265B">
              <w:rPr>
                <w:rFonts w:ascii="Arial" w:hAnsi="Arial" w:cs="Arial"/>
                <w:sz w:val="22"/>
                <w:szCs w:val="22"/>
                <w:lang w:val="en-GB"/>
              </w:rPr>
              <w:noBreakHyphen/>
              <w:t>related instruments, calculated in accordance with Rule A</w:t>
            </w:r>
            <w:r w:rsidR="00CC4877" w:rsidRPr="00E4265B">
              <w:rPr>
                <w:rFonts w:ascii="Arial" w:hAnsi="Arial" w:cs="Arial"/>
                <w:sz w:val="22"/>
                <w:szCs w:val="22"/>
                <w:lang w:val="en-GB"/>
              </w:rPr>
              <w:t>6</w:t>
            </w:r>
            <w:r w:rsidRPr="00E4265B">
              <w:rPr>
                <w:rFonts w:ascii="Arial" w:hAnsi="Arial" w:cs="Arial"/>
                <w:sz w:val="22"/>
                <w:szCs w:val="22"/>
                <w:lang w:val="en-GB"/>
              </w:rPr>
              <w:t>.2.17.</w:t>
            </w:r>
          </w:p>
        </w:tc>
      </w:tr>
      <w:tr w:rsidR="00690BF6" w:rsidRPr="00E4265B" w14:paraId="5387F5D3" w14:textId="77777777" w:rsidTr="00CD1719">
        <w:trPr>
          <w:gridBefore w:val="1"/>
          <w:wBefore w:w="882" w:type="dxa"/>
        </w:trPr>
        <w:tc>
          <w:tcPr>
            <w:tcW w:w="2462" w:type="dxa"/>
          </w:tcPr>
          <w:p w14:paraId="6CAD4F0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Maturity Mismatch</w:t>
            </w:r>
          </w:p>
        </w:tc>
        <w:tc>
          <w:tcPr>
            <w:tcW w:w="5188" w:type="dxa"/>
          </w:tcPr>
          <w:p w14:paraId="4FBE5321" w14:textId="2163B975" w:rsidR="00690BF6" w:rsidRPr="00E4265B" w:rsidRDefault="004E5DA6" w:rsidP="00F80299">
            <w:pPr>
              <w:spacing w:before="120" w:after="120"/>
              <w:jc w:val="both"/>
              <w:rPr>
                <w:rFonts w:ascii="Arial" w:hAnsi="Arial" w:cs="Arial"/>
                <w:sz w:val="22"/>
                <w:szCs w:val="22"/>
                <w:lang w:val="en-GB"/>
              </w:rPr>
            </w:pPr>
            <w:r w:rsidRPr="00E4265B">
              <w:rPr>
                <w:rFonts w:ascii="Arial" w:hAnsi="Arial" w:cs="Arial"/>
                <w:sz w:val="22"/>
                <w:szCs w:val="22"/>
                <w:lang w:val="en-GB"/>
              </w:rPr>
              <w:t>For the purposes of credit risk mitigation, a</w:t>
            </w:r>
            <w:r w:rsidR="00690BF6" w:rsidRPr="00E4265B">
              <w:rPr>
                <w:rFonts w:ascii="Arial" w:hAnsi="Arial" w:cs="Arial"/>
                <w:sz w:val="22"/>
                <w:szCs w:val="22"/>
                <w:lang w:val="en-GB"/>
              </w:rPr>
              <w:t xml:space="preserve"> difference between the maturity of an asset and </w:t>
            </w:r>
            <w:r w:rsidR="00CD2C8E" w:rsidRPr="00E4265B">
              <w:rPr>
                <w:rFonts w:ascii="Arial" w:hAnsi="Arial" w:cs="Arial"/>
                <w:sz w:val="22"/>
                <w:szCs w:val="22"/>
                <w:lang w:val="en-GB"/>
              </w:rPr>
              <w:t xml:space="preserve">that of </w:t>
            </w:r>
            <w:r w:rsidR="00690BF6" w:rsidRPr="00E4265B">
              <w:rPr>
                <w:rFonts w:ascii="Arial" w:hAnsi="Arial" w:cs="Arial"/>
                <w:sz w:val="22"/>
                <w:szCs w:val="22"/>
                <w:lang w:val="en-GB"/>
              </w:rPr>
              <w:t>the corresponding liability.</w:t>
            </w:r>
          </w:p>
        </w:tc>
      </w:tr>
      <w:tr w:rsidR="00690BF6" w:rsidRPr="00E4265B" w14:paraId="463321DA" w14:textId="77777777" w:rsidTr="00CD1719">
        <w:trPr>
          <w:gridBefore w:val="1"/>
          <w:wBefore w:w="882" w:type="dxa"/>
        </w:trPr>
        <w:tc>
          <w:tcPr>
            <w:tcW w:w="2462" w:type="dxa"/>
          </w:tcPr>
          <w:p w14:paraId="21EE7B84"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MDB</w:t>
            </w:r>
          </w:p>
        </w:tc>
        <w:tc>
          <w:tcPr>
            <w:tcW w:w="5188" w:type="dxa"/>
          </w:tcPr>
          <w:p w14:paraId="550544F4"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Multilateral development bank.</w:t>
            </w:r>
          </w:p>
        </w:tc>
      </w:tr>
      <w:tr w:rsidR="00CC4877" w:rsidRPr="00E4265B" w14:paraId="1CC80521" w14:textId="77777777" w:rsidTr="00CD1719">
        <w:trPr>
          <w:gridBefore w:val="1"/>
          <w:wBefore w:w="882" w:type="dxa"/>
        </w:trPr>
        <w:tc>
          <w:tcPr>
            <w:tcW w:w="2462" w:type="dxa"/>
          </w:tcPr>
          <w:p w14:paraId="32A68089" w14:textId="77777777" w:rsidR="00CC4877" w:rsidRPr="00E4265B" w:rsidRDefault="00CC4877" w:rsidP="00780454">
            <w:pPr>
              <w:spacing w:before="120" w:after="120"/>
              <w:rPr>
                <w:rFonts w:ascii="Arial" w:hAnsi="Arial" w:cs="Arial"/>
                <w:sz w:val="22"/>
                <w:szCs w:val="22"/>
                <w:lang w:val="en-GB"/>
              </w:rPr>
            </w:pPr>
            <w:r w:rsidRPr="00E4265B">
              <w:rPr>
                <w:rFonts w:ascii="Arial" w:hAnsi="Arial" w:cs="Arial"/>
                <w:sz w:val="22"/>
                <w:szCs w:val="22"/>
                <w:lang w:val="en-GB"/>
              </w:rPr>
              <w:t>M</w:t>
            </w:r>
            <w:r w:rsidR="00780454" w:rsidRPr="00E4265B">
              <w:rPr>
                <w:rFonts w:ascii="Arial" w:hAnsi="Arial" w:cs="Arial"/>
                <w:sz w:val="22"/>
                <w:szCs w:val="22"/>
                <w:lang w:val="en-GB"/>
              </w:rPr>
              <w:t>i</w:t>
            </w:r>
            <w:r w:rsidRPr="00E4265B">
              <w:rPr>
                <w:rFonts w:ascii="Arial" w:hAnsi="Arial" w:cs="Arial"/>
                <w:sz w:val="22"/>
                <w:szCs w:val="22"/>
                <w:lang w:val="en-GB"/>
              </w:rPr>
              <w:t xml:space="preserve">nority </w:t>
            </w:r>
            <w:r w:rsidR="00780454" w:rsidRPr="00E4265B">
              <w:rPr>
                <w:rFonts w:ascii="Arial" w:hAnsi="Arial" w:cs="Arial"/>
                <w:sz w:val="22"/>
                <w:szCs w:val="22"/>
                <w:lang w:val="en-GB"/>
              </w:rPr>
              <w:t>i</w:t>
            </w:r>
            <w:r w:rsidRPr="00E4265B">
              <w:rPr>
                <w:rFonts w:ascii="Arial" w:hAnsi="Arial" w:cs="Arial"/>
                <w:sz w:val="22"/>
                <w:szCs w:val="22"/>
                <w:lang w:val="en-GB"/>
              </w:rPr>
              <w:t>nterests</w:t>
            </w:r>
          </w:p>
        </w:tc>
        <w:tc>
          <w:tcPr>
            <w:tcW w:w="5188" w:type="dxa"/>
          </w:tcPr>
          <w:p w14:paraId="389DE787" w14:textId="77777777" w:rsidR="00CC4877" w:rsidRPr="00E4265B" w:rsidRDefault="00CC4877" w:rsidP="00F80299">
            <w:pPr>
              <w:spacing w:before="120" w:after="120"/>
              <w:jc w:val="both"/>
              <w:rPr>
                <w:rFonts w:ascii="Arial" w:hAnsi="Arial" w:cs="Arial"/>
                <w:sz w:val="22"/>
                <w:szCs w:val="22"/>
                <w:lang w:val="en-GB"/>
              </w:rPr>
            </w:pPr>
            <w:r w:rsidRPr="00E4265B">
              <w:rPr>
                <w:rFonts w:ascii="Arial" w:hAnsi="Arial" w:cs="Arial"/>
                <w:sz w:val="22"/>
                <w:szCs w:val="22"/>
                <w:lang w:val="en-GB"/>
              </w:rPr>
              <w:t>Capital invested in a Subsidiary that is owned by other shareholders from outside the Financial Group.</w:t>
            </w:r>
          </w:p>
        </w:tc>
      </w:tr>
      <w:tr w:rsidR="00690BF6" w:rsidRPr="00E4265B" w14:paraId="0C21B936" w14:textId="77777777" w:rsidTr="00CD1719">
        <w:trPr>
          <w:gridBefore w:val="1"/>
          <w:wBefore w:w="882" w:type="dxa"/>
        </w:trPr>
        <w:tc>
          <w:tcPr>
            <w:tcW w:w="2462" w:type="dxa"/>
          </w:tcPr>
          <w:p w14:paraId="407989B9"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Modified Duration</w:t>
            </w:r>
          </w:p>
        </w:tc>
        <w:tc>
          <w:tcPr>
            <w:tcW w:w="5188" w:type="dxa"/>
          </w:tcPr>
          <w:p w14:paraId="11A543AB" w14:textId="77777777" w:rsidR="00690BF6" w:rsidRPr="00E4265B" w:rsidRDefault="00690BF6" w:rsidP="00CC4877">
            <w:pPr>
              <w:spacing w:before="120" w:after="120"/>
              <w:jc w:val="both"/>
              <w:rPr>
                <w:rFonts w:ascii="Arial" w:hAnsi="Arial" w:cs="Arial"/>
                <w:sz w:val="22"/>
                <w:szCs w:val="22"/>
                <w:lang w:val="en-GB"/>
              </w:rPr>
            </w:pPr>
            <w:r w:rsidRPr="00E4265B">
              <w:rPr>
                <w:rFonts w:ascii="Arial" w:hAnsi="Arial" w:cs="Arial"/>
                <w:sz w:val="22"/>
                <w:szCs w:val="22"/>
                <w:lang w:val="en-GB"/>
              </w:rPr>
              <w:t>The time period calculation for the purposes of the Duration Method in accordance with Rule A</w:t>
            </w:r>
            <w:r w:rsidR="00CC4877" w:rsidRPr="00E4265B">
              <w:rPr>
                <w:rFonts w:ascii="Arial" w:hAnsi="Arial" w:cs="Arial"/>
                <w:sz w:val="22"/>
                <w:szCs w:val="22"/>
                <w:lang w:val="en-GB"/>
              </w:rPr>
              <w:t>6</w:t>
            </w:r>
            <w:r w:rsidRPr="00E4265B">
              <w:rPr>
                <w:rFonts w:ascii="Arial" w:hAnsi="Arial" w:cs="Arial"/>
                <w:sz w:val="22"/>
                <w:szCs w:val="22"/>
                <w:lang w:val="en-GB"/>
              </w:rPr>
              <w:t>.2.21.</w:t>
            </w:r>
          </w:p>
        </w:tc>
      </w:tr>
      <w:tr w:rsidR="00690BF6" w:rsidRPr="00E4265B" w14:paraId="2B593021" w14:textId="77777777" w:rsidTr="00CD1719">
        <w:trPr>
          <w:gridBefore w:val="1"/>
          <w:wBefore w:w="882" w:type="dxa"/>
        </w:trPr>
        <w:tc>
          <w:tcPr>
            <w:tcW w:w="2462" w:type="dxa"/>
          </w:tcPr>
          <w:p w14:paraId="04CB080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Money</w:t>
            </w:r>
          </w:p>
        </w:tc>
        <w:tc>
          <w:tcPr>
            <w:tcW w:w="5188" w:type="dxa"/>
          </w:tcPr>
          <w:p w14:paraId="7C001CAE"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Any form of money, including cheques and other payable orders.</w:t>
            </w:r>
          </w:p>
        </w:tc>
      </w:tr>
      <w:tr w:rsidR="00690BF6" w:rsidRPr="00E4265B" w14:paraId="724AC932" w14:textId="77777777" w:rsidTr="00CD1719">
        <w:trPr>
          <w:gridBefore w:val="1"/>
          <w:wBefore w:w="882" w:type="dxa"/>
        </w:trPr>
        <w:tc>
          <w:tcPr>
            <w:tcW w:w="2462" w:type="dxa"/>
          </w:tcPr>
          <w:p w14:paraId="179831A4"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Multilateral Trading Facility (MTF)</w:t>
            </w:r>
          </w:p>
        </w:tc>
        <w:tc>
          <w:tcPr>
            <w:tcW w:w="5188" w:type="dxa"/>
          </w:tcPr>
          <w:p w14:paraId="44B51747" w14:textId="77777777" w:rsidR="00690BF6" w:rsidRPr="00E4265B" w:rsidRDefault="00690BF6" w:rsidP="00F80299">
            <w:pPr>
              <w:spacing w:before="120" w:after="120"/>
              <w:jc w:val="both"/>
              <w:rPr>
                <w:rFonts w:ascii="Arial" w:hAnsi="Arial" w:cs="Arial"/>
                <w:sz w:val="22"/>
                <w:szCs w:val="22"/>
                <w:lang w:val="en-GB"/>
              </w:rPr>
            </w:pPr>
            <w:r w:rsidRPr="00E4265B">
              <w:rPr>
                <w:rStyle w:val="me"/>
                <w:rFonts w:ascii="Arial" w:hAnsi="Arial" w:cs="Arial"/>
                <w:color w:val="222222"/>
                <w:sz w:val="22"/>
                <w:szCs w:val="22"/>
                <w:lang w:val="en-GB"/>
              </w:rPr>
              <w:t>Means a system which brings together multiple third party buying and selling interests in Investments, in accordance with its non-discretionary rules, in a way that results in a contract in respect of such Investments.</w:t>
            </w:r>
          </w:p>
        </w:tc>
      </w:tr>
      <w:tr w:rsidR="00690BF6" w:rsidRPr="00E4265B" w14:paraId="08FF7CFF" w14:textId="77777777" w:rsidTr="00CD1719">
        <w:trPr>
          <w:gridBefore w:val="1"/>
          <w:wBefore w:w="882" w:type="dxa"/>
        </w:trPr>
        <w:tc>
          <w:tcPr>
            <w:tcW w:w="2462" w:type="dxa"/>
          </w:tcPr>
          <w:p w14:paraId="3A156B2A" w14:textId="66008ADF" w:rsidR="00690BF6" w:rsidRPr="00E4265B" w:rsidRDefault="00690BF6" w:rsidP="00CD2C8E">
            <w:pPr>
              <w:tabs>
                <w:tab w:val="center" w:pos="1123"/>
              </w:tabs>
              <w:spacing w:before="120" w:after="120"/>
              <w:rPr>
                <w:rFonts w:ascii="Arial" w:hAnsi="Arial" w:cs="Arial"/>
                <w:sz w:val="22"/>
                <w:szCs w:val="22"/>
                <w:lang w:val="en-GB"/>
              </w:rPr>
            </w:pPr>
            <w:r w:rsidRPr="00E4265B">
              <w:rPr>
                <w:rFonts w:ascii="Arial" w:hAnsi="Arial" w:cs="Arial"/>
                <w:sz w:val="22"/>
                <w:szCs w:val="22"/>
                <w:lang w:val="en-GB"/>
              </w:rPr>
              <w:t>MV</w:t>
            </w:r>
          </w:p>
        </w:tc>
        <w:tc>
          <w:tcPr>
            <w:tcW w:w="5188" w:type="dxa"/>
          </w:tcPr>
          <w:p w14:paraId="62BD0897"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Market value.</w:t>
            </w:r>
          </w:p>
        </w:tc>
      </w:tr>
      <w:tr w:rsidR="00CD2C8E" w:rsidRPr="00E4265B" w14:paraId="5CCDAA2A" w14:textId="77777777" w:rsidTr="00CD1719">
        <w:trPr>
          <w:gridBefore w:val="1"/>
          <w:wBefore w:w="882" w:type="dxa"/>
        </w:trPr>
        <w:tc>
          <w:tcPr>
            <w:tcW w:w="2462" w:type="dxa"/>
          </w:tcPr>
          <w:p w14:paraId="5D5E3331" w14:textId="6A32B71D" w:rsidR="00CD2C8E" w:rsidRPr="00E4265B" w:rsidRDefault="00CD2C8E" w:rsidP="00CD2C8E">
            <w:pPr>
              <w:tabs>
                <w:tab w:val="center" w:pos="1123"/>
              </w:tabs>
              <w:spacing w:before="120" w:after="120"/>
              <w:rPr>
                <w:rFonts w:ascii="Arial" w:hAnsi="Arial" w:cs="Arial"/>
                <w:sz w:val="22"/>
                <w:szCs w:val="22"/>
                <w:lang w:val="en-GB"/>
              </w:rPr>
            </w:pPr>
            <w:r w:rsidRPr="00E4265B">
              <w:rPr>
                <w:rFonts w:ascii="Arial" w:hAnsi="Arial" w:cs="Arial"/>
                <w:sz w:val="22"/>
                <w:szCs w:val="22"/>
                <w:lang w:val="en-GB"/>
              </w:rPr>
              <w:t>Net Stable Funding Ratio</w:t>
            </w:r>
          </w:p>
        </w:tc>
        <w:tc>
          <w:tcPr>
            <w:tcW w:w="5188" w:type="dxa"/>
          </w:tcPr>
          <w:p w14:paraId="01DED63E" w14:textId="36A7B17F" w:rsidR="00CD2C8E" w:rsidRPr="00E4265B" w:rsidRDefault="00CD2C8E" w:rsidP="00CD2C8E">
            <w:pPr>
              <w:spacing w:before="120" w:after="120"/>
              <w:jc w:val="both"/>
              <w:rPr>
                <w:rFonts w:ascii="Arial" w:hAnsi="Arial" w:cs="Arial"/>
                <w:sz w:val="22"/>
                <w:szCs w:val="22"/>
                <w:lang w:val="en-GB"/>
              </w:rPr>
            </w:pPr>
            <w:r w:rsidRPr="00E4265B">
              <w:rPr>
                <w:rFonts w:ascii="Arial" w:hAnsi="Arial" w:cs="Arial"/>
                <w:sz w:val="22"/>
                <w:szCs w:val="22"/>
                <w:lang w:val="en-GB"/>
              </w:rPr>
              <w:t>The amount of Available Stable Funding relative to the amount of Required Stable Funding.</w:t>
            </w:r>
          </w:p>
        </w:tc>
      </w:tr>
      <w:tr w:rsidR="00690BF6" w:rsidRPr="00E4265B" w14:paraId="3E9D3040" w14:textId="77777777" w:rsidTr="00CD1719">
        <w:trPr>
          <w:gridBefore w:val="1"/>
          <w:wBefore w:w="882" w:type="dxa"/>
        </w:trPr>
        <w:tc>
          <w:tcPr>
            <w:tcW w:w="2462" w:type="dxa"/>
          </w:tcPr>
          <w:p w14:paraId="4C6B0AF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Netting</w:t>
            </w:r>
          </w:p>
        </w:tc>
        <w:tc>
          <w:tcPr>
            <w:tcW w:w="5188" w:type="dxa"/>
          </w:tcPr>
          <w:p w14:paraId="418FA441"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process by which the claims and obligations between two Counterparties are offset against each other to leave a single net sum.</w:t>
            </w:r>
          </w:p>
        </w:tc>
      </w:tr>
      <w:tr w:rsidR="00CC4877" w:rsidRPr="00E4265B" w14:paraId="6CE1C1D7" w14:textId="77777777" w:rsidTr="00CD1719">
        <w:trPr>
          <w:gridBefore w:val="1"/>
          <w:wBefore w:w="882" w:type="dxa"/>
        </w:trPr>
        <w:tc>
          <w:tcPr>
            <w:tcW w:w="2462" w:type="dxa"/>
          </w:tcPr>
          <w:p w14:paraId="2F50CA89" w14:textId="77777777" w:rsidR="00CC4877" w:rsidRPr="00E4265B" w:rsidRDefault="00CC4877" w:rsidP="00F80299">
            <w:pPr>
              <w:spacing w:before="120" w:after="120"/>
              <w:rPr>
                <w:rFonts w:ascii="Arial" w:hAnsi="Arial" w:cs="Arial"/>
                <w:sz w:val="22"/>
                <w:szCs w:val="22"/>
                <w:lang w:val="en-GB"/>
              </w:rPr>
            </w:pPr>
            <w:r w:rsidRPr="00E4265B">
              <w:rPr>
                <w:rFonts w:ascii="Arial" w:hAnsi="Arial" w:cs="Arial"/>
                <w:sz w:val="22"/>
                <w:szCs w:val="22"/>
                <w:lang w:val="en-GB"/>
              </w:rPr>
              <w:t>Non-QCCP</w:t>
            </w:r>
          </w:p>
        </w:tc>
        <w:tc>
          <w:tcPr>
            <w:tcW w:w="5188" w:type="dxa"/>
          </w:tcPr>
          <w:p w14:paraId="4976C7F4" w14:textId="77777777" w:rsidR="00CC4877" w:rsidRPr="00E4265B" w:rsidRDefault="00CC4877" w:rsidP="00F80299">
            <w:pPr>
              <w:spacing w:before="120" w:after="120"/>
              <w:jc w:val="both"/>
              <w:rPr>
                <w:rFonts w:ascii="Arial" w:hAnsi="Arial" w:cs="Arial"/>
                <w:sz w:val="22"/>
                <w:szCs w:val="22"/>
                <w:lang w:val="en-GB"/>
              </w:rPr>
            </w:pPr>
            <w:r w:rsidRPr="00E4265B">
              <w:rPr>
                <w:rFonts w:ascii="Arial" w:hAnsi="Arial" w:cs="Arial"/>
                <w:sz w:val="22"/>
                <w:szCs w:val="22"/>
                <w:lang w:val="en-GB"/>
              </w:rPr>
              <w:t>Means a CCP that is not a QCCP.</w:t>
            </w:r>
          </w:p>
        </w:tc>
      </w:tr>
      <w:tr w:rsidR="00690BF6" w:rsidRPr="00E4265B" w14:paraId="44F17054" w14:textId="77777777" w:rsidTr="00CD1719">
        <w:trPr>
          <w:gridBefore w:val="1"/>
          <w:wBefore w:w="882" w:type="dxa"/>
        </w:trPr>
        <w:tc>
          <w:tcPr>
            <w:tcW w:w="2462" w:type="dxa"/>
          </w:tcPr>
          <w:p w14:paraId="2BD64C05"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Non</w:t>
            </w:r>
            <w:r w:rsidRPr="00E4265B">
              <w:rPr>
                <w:rFonts w:ascii="Arial" w:hAnsi="Arial" w:cs="Arial"/>
                <w:sz w:val="22"/>
                <w:szCs w:val="22"/>
                <w:lang w:val="en-GB"/>
              </w:rPr>
              <w:noBreakHyphen/>
              <w:t>Trading Book</w:t>
            </w:r>
          </w:p>
        </w:tc>
        <w:tc>
          <w:tcPr>
            <w:tcW w:w="5188" w:type="dxa"/>
          </w:tcPr>
          <w:p w14:paraId="572F197B"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Describes positions, Exposures and on</w:t>
            </w:r>
            <w:r w:rsidRPr="00E4265B">
              <w:rPr>
                <w:rFonts w:ascii="Arial" w:hAnsi="Arial" w:cs="Arial"/>
                <w:sz w:val="22"/>
                <w:szCs w:val="22"/>
                <w:lang w:val="en-GB"/>
              </w:rPr>
              <w:noBreakHyphen/>
              <w:t>and off</w:t>
            </w:r>
            <w:r w:rsidRPr="00E4265B">
              <w:rPr>
                <w:rFonts w:ascii="Arial" w:hAnsi="Arial" w:cs="Arial"/>
                <w:sz w:val="22"/>
                <w:szCs w:val="22"/>
                <w:lang w:val="en-GB"/>
              </w:rPr>
              <w:noBreakHyphen/>
              <w:t>balance sheet items, which are not in the Trading Book.</w:t>
            </w:r>
          </w:p>
        </w:tc>
      </w:tr>
      <w:tr w:rsidR="00CD2C8E" w:rsidRPr="00E4265B" w14:paraId="6B031345" w14:textId="77777777" w:rsidTr="00CD1719">
        <w:trPr>
          <w:gridBefore w:val="1"/>
          <w:wBefore w:w="882" w:type="dxa"/>
        </w:trPr>
        <w:tc>
          <w:tcPr>
            <w:tcW w:w="2462" w:type="dxa"/>
          </w:tcPr>
          <w:p w14:paraId="2B073FB0" w14:textId="59BC17DD" w:rsidR="00CD2C8E" w:rsidRPr="00E4265B" w:rsidRDefault="00CD2C8E" w:rsidP="00CD2C8E">
            <w:pPr>
              <w:spacing w:before="120" w:after="120"/>
              <w:rPr>
                <w:rFonts w:ascii="Arial" w:hAnsi="Arial" w:cs="Arial"/>
                <w:sz w:val="22"/>
                <w:szCs w:val="22"/>
                <w:lang w:val="en-GB"/>
              </w:rPr>
            </w:pPr>
            <w:r w:rsidRPr="00E4265B">
              <w:rPr>
                <w:rFonts w:ascii="Arial" w:hAnsi="Arial" w:cs="Arial"/>
                <w:sz w:val="22"/>
                <w:szCs w:val="22"/>
                <w:lang w:val="en-GB"/>
              </w:rPr>
              <w:t>NSFR</w:t>
            </w:r>
          </w:p>
        </w:tc>
        <w:tc>
          <w:tcPr>
            <w:tcW w:w="5188" w:type="dxa"/>
          </w:tcPr>
          <w:p w14:paraId="50230852" w14:textId="1FEC6B67" w:rsidR="00CD2C8E" w:rsidRPr="00E4265B" w:rsidRDefault="00CD2C8E" w:rsidP="00CD2C8E">
            <w:pPr>
              <w:spacing w:before="120" w:after="120"/>
              <w:jc w:val="both"/>
              <w:rPr>
                <w:rFonts w:ascii="Arial" w:hAnsi="Arial" w:cs="Arial"/>
                <w:sz w:val="22"/>
                <w:szCs w:val="22"/>
                <w:lang w:val="en-GB"/>
              </w:rPr>
            </w:pPr>
            <w:r w:rsidRPr="00E4265B">
              <w:rPr>
                <w:rFonts w:ascii="Arial" w:hAnsi="Arial" w:cs="Arial"/>
                <w:sz w:val="22"/>
                <w:szCs w:val="22"/>
                <w:lang w:val="en-GB"/>
              </w:rPr>
              <w:t>Net Stable Funding Ratio.</w:t>
            </w:r>
          </w:p>
        </w:tc>
      </w:tr>
      <w:tr w:rsidR="00690BF6" w:rsidRPr="00E4265B" w14:paraId="669F0756" w14:textId="77777777" w:rsidTr="00CD1719">
        <w:trPr>
          <w:gridBefore w:val="1"/>
          <w:wBefore w:w="882" w:type="dxa"/>
        </w:trPr>
        <w:tc>
          <w:tcPr>
            <w:tcW w:w="2462" w:type="dxa"/>
          </w:tcPr>
          <w:p w14:paraId="67AA3E93"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Operating a Collective Investment Fund</w:t>
            </w:r>
          </w:p>
        </w:tc>
        <w:tc>
          <w:tcPr>
            <w:tcW w:w="5188" w:type="dxa"/>
          </w:tcPr>
          <w:p w14:paraId="092F7B1A" w14:textId="77777777" w:rsidR="00690BF6" w:rsidRPr="00E4265B" w:rsidRDefault="00690BF6" w:rsidP="00D13883">
            <w:pPr>
              <w:pStyle w:val="Heading8"/>
              <w:numPr>
                <w:ilvl w:val="7"/>
                <w:numId w:val="50"/>
              </w:numPr>
              <w:rPr>
                <w:rFonts w:ascii="Arial" w:hAnsi="Arial" w:cs="Arial"/>
                <w:sz w:val="22"/>
                <w:szCs w:val="22"/>
                <w:lang w:val="en-GB"/>
              </w:rPr>
            </w:pPr>
            <w:r w:rsidRPr="00E4265B">
              <w:rPr>
                <w:rFonts w:ascii="Arial" w:hAnsi="Arial" w:cs="Arial"/>
                <w:sz w:val="22"/>
                <w:szCs w:val="22"/>
                <w:lang w:val="en-GB"/>
              </w:rPr>
              <w:t xml:space="preserve">Means: </w:t>
            </w:r>
          </w:p>
          <w:p w14:paraId="7D9244EC" w14:textId="77777777" w:rsidR="00690BF6" w:rsidRPr="00E4265B" w:rsidRDefault="00690BF6" w:rsidP="009D73F9">
            <w:pPr>
              <w:pStyle w:val="Heading9"/>
              <w:rPr>
                <w:rStyle w:val="me"/>
                <w:rFonts w:ascii="Arial" w:hAnsi="Arial" w:cs="Arial"/>
                <w:color w:val="222222"/>
                <w:sz w:val="22"/>
                <w:szCs w:val="22"/>
                <w:lang w:val="en-GB"/>
              </w:rPr>
            </w:pPr>
            <w:r w:rsidRPr="00E4265B">
              <w:rPr>
                <w:rFonts w:ascii="Arial" w:hAnsi="Arial" w:cs="Arial"/>
                <w:sz w:val="22"/>
                <w:szCs w:val="22"/>
                <w:lang w:val="en-GB"/>
              </w:rPr>
              <w:t xml:space="preserve">being </w:t>
            </w:r>
            <w:r w:rsidRPr="00E4265B">
              <w:rPr>
                <w:rStyle w:val="me"/>
                <w:rFonts w:ascii="Arial" w:hAnsi="Arial" w:cs="Arial"/>
                <w:color w:val="222222"/>
                <w:sz w:val="22"/>
                <w:szCs w:val="22"/>
                <w:lang w:val="en-GB"/>
              </w:rPr>
              <w:t xml:space="preserve">legally accountable to the Unitholders in the Fund </w:t>
            </w:r>
            <w:r w:rsidRPr="00E4265B">
              <w:rPr>
                <w:rFonts w:ascii="Arial" w:hAnsi="Arial" w:cs="Arial"/>
                <w:sz w:val="22"/>
                <w:szCs w:val="22"/>
                <w:lang w:val="en-GB"/>
              </w:rPr>
              <w:t>for the management of the property held for or within a Fund under the Fund's Constitution</w:t>
            </w:r>
            <w:r w:rsidRPr="00E4265B">
              <w:rPr>
                <w:rStyle w:val="me"/>
                <w:rFonts w:ascii="Arial" w:hAnsi="Arial" w:cs="Arial"/>
                <w:color w:val="222222"/>
                <w:sz w:val="22"/>
                <w:szCs w:val="22"/>
                <w:lang w:val="en-GB"/>
              </w:rPr>
              <w:t>; and</w:t>
            </w:r>
          </w:p>
          <w:p w14:paraId="6F6AFF94" w14:textId="77777777" w:rsidR="00690BF6" w:rsidRPr="00E4265B" w:rsidRDefault="00690BF6" w:rsidP="009D73F9">
            <w:pPr>
              <w:pStyle w:val="Heading9"/>
              <w:rPr>
                <w:rFonts w:ascii="Arial" w:hAnsi="Arial" w:cs="Arial"/>
                <w:sz w:val="22"/>
                <w:szCs w:val="22"/>
                <w:lang w:val="en-GB"/>
              </w:rPr>
            </w:pPr>
            <w:r w:rsidRPr="00E4265B">
              <w:rPr>
                <w:rFonts w:ascii="Arial" w:hAnsi="Arial" w:cs="Arial"/>
                <w:sz w:val="22"/>
                <w:szCs w:val="22"/>
                <w:lang w:val="en-GB"/>
              </w:rPr>
              <w:t xml:space="preserve">establishing, </w:t>
            </w:r>
            <w:r w:rsidRPr="00E4265B">
              <w:rPr>
                <w:rStyle w:val="me"/>
                <w:rFonts w:ascii="Arial" w:hAnsi="Arial" w:cs="Arial"/>
                <w:color w:val="222222"/>
                <w:sz w:val="22"/>
                <w:szCs w:val="22"/>
                <w:lang w:val="en-GB"/>
              </w:rPr>
              <w:t>managing or otherwise</w:t>
            </w:r>
            <w:r w:rsidRPr="00E4265B">
              <w:rPr>
                <w:rFonts w:ascii="Arial" w:hAnsi="Arial" w:cs="Arial"/>
                <w:sz w:val="22"/>
                <w:szCs w:val="22"/>
                <w:lang w:val="en-GB"/>
              </w:rPr>
              <w:t xml:space="preserve"> operating or winding up a Collective Investment Fund. </w:t>
            </w:r>
          </w:p>
          <w:p w14:paraId="76DBB5B1" w14:textId="77777777" w:rsidR="00690BF6" w:rsidRPr="00E4265B" w:rsidRDefault="00690BF6" w:rsidP="009D73F9">
            <w:pPr>
              <w:pStyle w:val="Heading8"/>
              <w:rPr>
                <w:rFonts w:ascii="Arial" w:hAnsi="Arial" w:cs="Arial"/>
                <w:sz w:val="22"/>
                <w:szCs w:val="22"/>
                <w:lang w:val="en-GB"/>
              </w:rPr>
            </w:pPr>
            <w:r w:rsidRPr="00E4265B">
              <w:rPr>
                <w:rFonts w:ascii="Arial" w:hAnsi="Arial" w:cs="Arial"/>
                <w:sz w:val="22"/>
                <w:szCs w:val="22"/>
                <w:lang w:val="en-GB"/>
              </w:rPr>
              <w:t xml:space="preserve">To the extent that any activity under (1) constitutes Managing Assets, Acting as the Administrator of a Collective Investment Fund, Dealing in Investments as Agent, Dealing in Investments as Principal, Arranging Credit, Arranging Deals in Investments, or Providing Custody, such a Regulated Activity is taken to be incorporated within </w:t>
            </w:r>
            <w:r w:rsidRPr="00E4265B">
              <w:rPr>
                <w:rStyle w:val="me"/>
                <w:rFonts w:ascii="Arial" w:hAnsi="Arial" w:cs="Arial"/>
                <w:color w:val="222222"/>
                <w:sz w:val="22"/>
                <w:szCs w:val="22"/>
                <w:lang w:val="en-GB"/>
              </w:rPr>
              <w:t>Managing</w:t>
            </w:r>
            <w:r w:rsidRPr="00E4265B">
              <w:rPr>
                <w:rFonts w:ascii="Arial" w:hAnsi="Arial" w:cs="Arial"/>
                <w:sz w:val="22"/>
                <w:szCs w:val="22"/>
                <w:lang w:val="en-GB"/>
              </w:rPr>
              <w:t xml:space="preserve"> a Collective Investment Fund.</w:t>
            </w:r>
          </w:p>
          <w:p w14:paraId="65D63AEA" w14:textId="77777777" w:rsidR="00690BF6" w:rsidRPr="00E4265B" w:rsidRDefault="00690BF6" w:rsidP="009D73F9">
            <w:pPr>
              <w:pStyle w:val="Heading8"/>
              <w:rPr>
                <w:rFonts w:ascii="Arial" w:hAnsi="Arial" w:cs="Arial"/>
                <w:sz w:val="22"/>
                <w:szCs w:val="22"/>
                <w:lang w:val="en-GB"/>
              </w:rPr>
            </w:pPr>
            <w:r w:rsidRPr="00E4265B">
              <w:rPr>
                <w:rStyle w:val="me"/>
                <w:rFonts w:ascii="Arial" w:hAnsi="Arial" w:cs="Arial"/>
                <w:color w:val="222222"/>
                <w:sz w:val="22"/>
                <w:szCs w:val="22"/>
                <w:lang w:val="en-GB"/>
              </w:rPr>
              <w:t>The Person referred to in (1) is a Fund Manager.</w:t>
            </w:r>
          </w:p>
        </w:tc>
      </w:tr>
      <w:tr w:rsidR="00690BF6" w:rsidRPr="00E4265B" w14:paraId="6D68904C" w14:textId="77777777" w:rsidTr="00CD1719">
        <w:trPr>
          <w:gridBefore w:val="1"/>
          <w:wBefore w:w="882" w:type="dxa"/>
        </w:trPr>
        <w:tc>
          <w:tcPr>
            <w:tcW w:w="2462" w:type="dxa"/>
          </w:tcPr>
          <w:p w14:paraId="7DE95065"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Operating a Multilateral Trading Facility or Organised Trading Facility</w:t>
            </w:r>
          </w:p>
        </w:tc>
        <w:tc>
          <w:tcPr>
            <w:tcW w:w="5188" w:type="dxa"/>
          </w:tcPr>
          <w:p w14:paraId="7ABE30F1" w14:textId="77777777" w:rsidR="00690BF6" w:rsidRPr="00E4265B" w:rsidRDefault="00690BF6" w:rsidP="00801DAF">
            <w:pPr>
              <w:spacing w:before="120" w:after="120"/>
              <w:jc w:val="both"/>
              <w:rPr>
                <w:rFonts w:ascii="Arial" w:hAnsi="Arial" w:cs="Arial"/>
                <w:sz w:val="22"/>
                <w:szCs w:val="22"/>
                <w:lang w:val="en-GB"/>
              </w:rPr>
            </w:pPr>
            <w:r w:rsidRPr="00E4265B">
              <w:rPr>
                <w:rStyle w:val="me"/>
                <w:rFonts w:ascii="Arial" w:hAnsi="Arial" w:cs="Arial"/>
                <w:color w:val="222222"/>
                <w:sz w:val="22"/>
                <w:szCs w:val="22"/>
                <w:lang w:val="en-GB"/>
              </w:rPr>
              <w:t>Means the Regulated Ac</w:t>
            </w:r>
            <w:r w:rsidR="004565E7" w:rsidRPr="00E4265B">
              <w:rPr>
                <w:rStyle w:val="me"/>
                <w:rFonts w:ascii="Arial" w:hAnsi="Arial" w:cs="Arial"/>
                <w:color w:val="222222"/>
                <w:sz w:val="22"/>
                <w:szCs w:val="22"/>
                <w:lang w:val="en-GB"/>
              </w:rPr>
              <w:t xml:space="preserve">tivity specified in paragraph </w:t>
            </w:r>
            <w:r w:rsidR="004565E7" w:rsidRPr="00E4265B">
              <w:rPr>
                <w:rStyle w:val="me"/>
                <w:rFonts w:ascii="Arial" w:hAnsi="Arial" w:cs="Arial"/>
                <w:color w:val="222222"/>
                <w:sz w:val="22"/>
                <w:szCs w:val="22"/>
                <w:cs/>
                <w:lang w:val="en-GB"/>
              </w:rPr>
              <w:t>‎</w:t>
            </w:r>
            <w:r w:rsidR="004565E7" w:rsidRPr="00E4265B">
              <w:rPr>
                <w:rStyle w:val="me"/>
                <w:rFonts w:ascii="Arial" w:hAnsi="Arial" w:cs="Arial"/>
                <w:color w:val="222222"/>
                <w:sz w:val="22"/>
                <w:szCs w:val="22"/>
                <w:rtl/>
                <w:cs/>
                <w:lang w:val="en-GB"/>
              </w:rPr>
              <w:t>5</w:t>
            </w:r>
            <w:r w:rsidR="00801DAF" w:rsidRPr="00E4265B">
              <w:rPr>
                <w:rStyle w:val="me"/>
                <w:rFonts w:ascii="Arial" w:hAnsi="Arial" w:cs="Arial"/>
                <w:color w:val="222222"/>
                <w:sz w:val="22"/>
                <w:szCs w:val="22"/>
                <w:lang w:val="en-GB"/>
              </w:rPr>
              <w:t>4</w:t>
            </w:r>
            <w:r w:rsidRPr="00E4265B">
              <w:rPr>
                <w:rStyle w:val="me"/>
                <w:rFonts w:ascii="Arial" w:hAnsi="Arial" w:cs="Arial"/>
                <w:color w:val="222222"/>
                <w:sz w:val="22"/>
                <w:szCs w:val="22"/>
                <w:lang w:val="en-GB"/>
              </w:rPr>
              <w:t xml:space="preserve"> of </w:t>
            </w:r>
            <w:r w:rsidRPr="00E4265B">
              <w:rPr>
                <w:rStyle w:val="me"/>
                <w:rFonts w:ascii="Arial" w:hAnsi="Arial" w:cs="Arial"/>
                <w:color w:val="222222"/>
                <w:sz w:val="22"/>
                <w:szCs w:val="22"/>
                <w:cs/>
                <w:lang w:val="en-GB"/>
              </w:rPr>
              <w:t>‎</w:t>
            </w:r>
            <w:r w:rsidRPr="00E4265B">
              <w:rPr>
                <w:rStyle w:val="me"/>
                <w:rFonts w:ascii="Arial" w:hAnsi="Arial" w:cs="Arial"/>
                <w:color w:val="222222"/>
                <w:sz w:val="22"/>
                <w:szCs w:val="22"/>
                <w:rtl/>
                <w:cs/>
                <w:lang w:val="en-GB"/>
              </w:rPr>
              <w:t>Schedule 1</w:t>
            </w:r>
            <w:r w:rsidRPr="00E4265B">
              <w:rPr>
                <w:rStyle w:val="me"/>
                <w:rFonts w:ascii="Arial" w:hAnsi="Arial" w:cs="Arial"/>
                <w:color w:val="222222"/>
                <w:sz w:val="22"/>
                <w:szCs w:val="22"/>
                <w:lang w:val="en-GB"/>
              </w:rPr>
              <w:t xml:space="preserve"> of the FSMR.</w:t>
            </w:r>
          </w:p>
        </w:tc>
      </w:tr>
      <w:tr w:rsidR="00690BF6" w:rsidRPr="00E4265B" w14:paraId="074804E8" w14:textId="77777777" w:rsidTr="00CD1719">
        <w:trPr>
          <w:gridBefore w:val="1"/>
          <w:wBefore w:w="882" w:type="dxa"/>
          <w:cantSplit/>
        </w:trPr>
        <w:tc>
          <w:tcPr>
            <w:tcW w:w="2462" w:type="dxa"/>
          </w:tcPr>
          <w:p w14:paraId="5F74B276"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Operational Risk</w:t>
            </w:r>
          </w:p>
        </w:tc>
        <w:tc>
          <w:tcPr>
            <w:tcW w:w="5188" w:type="dxa"/>
          </w:tcPr>
          <w:p w14:paraId="1AEF46A4" w14:textId="7A9EF480" w:rsidR="00690BF6" w:rsidRPr="00E4265B" w:rsidRDefault="00690BF6" w:rsidP="00D13883">
            <w:pPr>
              <w:pStyle w:val="Heading8"/>
              <w:numPr>
                <w:ilvl w:val="7"/>
                <w:numId w:val="51"/>
              </w:numPr>
              <w:rPr>
                <w:rStyle w:val="me"/>
                <w:rFonts w:ascii="Arial" w:hAnsi="Arial" w:cs="Arial"/>
                <w:color w:val="222222"/>
                <w:sz w:val="22"/>
                <w:szCs w:val="22"/>
                <w:lang w:val="en-GB"/>
              </w:rPr>
            </w:pPr>
            <w:r w:rsidRPr="00E4265B">
              <w:rPr>
                <w:rStyle w:val="me"/>
                <w:rFonts w:ascii="Arial" w:hAnsi="Arial" w:cs="Arial"/>
                <w:color w:val="222222"/>
                <w:sz w:val="22"/>
                <w:szCs w:val="22"/>
                <w:lang w:val="en-GB"/>
              </w:rPr>
              <w:t>Refers to the risk of incurring losses due to the failure of systems, processes, and personnel</w:t>
            </w:r>
            <w:r w:rsidR="001B065A" w:rsidRPr="00E4265B">
              <w:rPr>
                <w:rStyle w:val="me"/>
                <w:rFonts w:ascii="Arial" w:hAnsi="Arial" w:cs="Arial"/>
                <w:color w:val="222222"/>
                <w:sz w:val="22"/>
                <w:szCs w:val="22"/>
                <w:lang w:val="en-GB"/>
              </w:rPr>
              <w:t>, whether internal or external to the Authorised Person,</w:t>
            </w:r>
            <w:r w:rsidRPr="00E4265B">
              <w:rPr>
                <w:rStyle w:val="me"/>
                <w:rFonts w:ascii="Arial" w:hAnsi="Arial" w:cs="Arial"/>
                <w:color w:val="222222"/>
                <w:sz w:val="22"/>
                <w:szCs w:val="22"/>
                <w:lang w:val="en-GB"/>
              </w:rPr>
              <w:t xml:space="preserve"> to perform expected tasks. </w:t>
            </w:r>
          </w:p>
          <w:p w14:paraId="6875B906" w14:textId="77777777" w:rsidR="00690BF6" w:rsidRPr="00E4265B" w:rsidRDefault="00690BF6" w:rsidP="009D73F9">
            <w:pPr>
              <w:pStyle w:val="Heading8"/>
              <w:rPr>
                <w:rStyle w:val="me"/>
                <w:rFonts w:ascii="Arial" w:hAnsi="Arial" w:cs="Arial"/>
                <w:color w:val="222222"/>
                <w:sz w:val="22"/>
                <w:szCs w:val="22"/>
                <w:lang w:val="en-GB"/>
              </w:rPr>
            </w:pPr>
            <w:r w:rsidRPr="00E4265B">
              <w:rPr>
                <w:rStyle w:val="me"/>
                <w:rFonts w:ascii="Arial" w:hAnsi="Arial" w:cs="Arial"/>
                <w:color w:val="222222"/>
                <w:sz w:val="22"/>
                <w:szCs w:val="22"/>
                <w:lang w:val="en-GB"/>
              </w:rPr>
              <w:t>Operational Risk losses also include losses arising out of legal risk.</w:t>
            </w:r>
          </w:p>
        </w:tc>
      </w:tr>
      <w:tr w:rsidR="00690BF6" w:rsidRPr="00E4265B" w14:paraId="1C5257C3" w14:textId="77777777" w:rsidTr="00CD1719">
        <w:trPr>
          <w:gridBefore w:val="1"/>
          <w:wBefore w:w="882" w:type="dxa"/>
        </w:trPr>
        <w:tc>
          <w:tcPr>
            <w:tcW w:w="2462" w:type="dxa"/>
          </w:tcPr>
          <w:p w14:paraId="70F0F712"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Operational Risk Capital Requirement</w:t>
            </w:r>
          </w:p>
        </w:tc>
        <w:tc>
          <w:tcPr>
            <w:tcW w:w="5188" w:type="dxa"/>
          </w:tcPr>
          <w:p w14:paraId="67434F9E"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The requirement calculated in accordance with Section 6.11.</w:t>
            </w:r>
          </w:p>
        </w:tc>
      </w:tr>
      <w:tr w:rsidR="00690BF6" w:rsidRPr="00E4265B" w14:paraId="2AA54753" w14:textId="77777777" w:rsidTr="00CD1719">
        <w:trPr>
          <w:gridBefore w:val="1"/>
          <w:wBefore w:w="882" w:type="dxa"/>
        </w:trPr>
        <w:tc>
          <w:tcPr>
            <w:tcW w:w="2462" w:type="dxa"/>
          </w:tcPr>
          <w:p w14:paraId="1DFD94E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Option</w:t>
            </w:r>
          </w:p>
        </w:tc>
        <w:tc>
          <w:tcPr>
            <w:tcW w:w="5188" w:type="dxa"/>
          </w:tcPr>
          <w:p w14:paraId="244548B1"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 Option is an instrument that confers on the holder, upon exercise, rights of the kind referred to in any of the following:</w:t>
            </w:r>
          </w:p>
          <w:p w14:paraId="110276AF" w14:textId="77777777" w:rsidR="00690BF6" w:rsidRPr="00E4265B" w:rsidRDefault="00690BF6" w:rsidP="009D73F9">
            <w:pPr>
              <w:pStyle w:val="Heading9"/>
              <w:rPr>
                <w:rFonts w:ascii="Arial" w:hAnsi="Arial" w:cs="Arial"/>
                <w:sz w:val="22"/>
                <w:szCs w:val="22"/>
                <w:lang w:val="en-GB"/>
              </w:rPr>
            </w:pPr>
            <w:r w:rsidRPr="00E4265B">
              <w:rPr>
                <w:rFonts w:ascii="Arial" w:hAnsi="Arial" w:cs="Arial"/>
                <w:sz w:val="22"/>
                <w:szCs w:val="22"/>
                <w:lang w:val="en-GB"/>
              </w:rPr>
              <w:t>a right to acquire or dispose of:</w:t>
            </w:r>
          </w:p>
          <w:p w14:paraId="268FDCE3" w14:textId="77777777" w:rsidR="00690BF6" w:rsidRPr="00E4265B" w:rsidRDefault="00690BF6" w:rsidP="009D73F9">
            <w:pPr>
              <w:tabs>
                <w:tab w:val="left" w:pos="1181"/>
                <w:tab w:val="left" w:pos="1803"/>
              </w:tabs>
              <w:spacing w:before="120" w:after="120"/>
              <w:ind w:left="1803" w:hanging="1803"/>
              <w:jc w:val="both"/>
              <w:rPr>
                <w:rFonts w:ascii="Arial" w:hAnsi="Arial" w:cs="Arial"/>
                <w:sz w:val="22"/>
                <w:szCs w:val="22"/>
                <w:lang w:val="en-GB"/>
              </w:rPr>
            </w:pPr>
            <w:r w:rsidRPr="00E4265B">
              <w:rPr>
                <w:rFonts w:ascii="Arial" w:hAnsi="Arial" w:cs="Arial"/>
                <w:sz w:val="22"/>
                <w:szCs w:val="22"/>
                <w:lang w:val="en-GB"/>
              </w:rPr>
              <w:lastRenderedPageBreak/>
              <w:tab/>
              <w:t>(i)</w:t>
            </w:r>
            <w:r w:rsidRPr="00E4265B">
              <w:rPr>
                <w:rStyle w:val="me"/>
                <w:rFonts w:ascii="Arial" w:hAnsi="Arial" w:cs="Arial"/>
                <w:color w:val="222222"/>
                <w:sz w:val="22"/>
                <w:szCs w:val="22"/>
                <w:lang w:val="en-GB"/>
              </w:rPr>
              <w:t xml:space="preserve"> </w:t>
            </w:r>
            <w:r w:rsidRPr="00E4265B">
              <w:rPr>
                <w:rFonts w:ascii="Arial" w:hAnsi="Arial" w:cs="Arial"/>
                <w:sz w:val="22"/>
                <w:szCs w:val="22"/>
                <w:lang w:val="en-GB"/>
              </w:rPr>
              <w:tab/>
              <w:t>a Security (other than a Warrant) or contractually based Investment;</w:t>
            </w:r>
          </w:p>
          <w:p w14:paraId="7819A49D" w14:textId="77777777" w:rsidR="00690BF6" w:rsidRPr="00E4265B" w:rsidRDefault="00690BF6" w:rsidP="009D73F9">
            <w:pPr>
              <w:tabs>
                <w:tab w:val="left" w:pos="1181"/>
                <w:tab w:val="left" w:pos="1803"/>
              </w:tabs>
              <w:spacing w:before="120" w:after="120"/>
              <w:ind w:left="1803" w:hanging="1803"/>
              <w:jc w:val="both"/>
              <w:rPr>
                <w:rFonts w:ascii="Arial" w:hAnsi="Arial" w:cs="Arial"/>
                <w:sz w:val="22"/>
                <w:szCs w:val="22"/>
                <w:lang w:val="en-GB"/>
              </w:rPr>
            </w:pPr>
            <w:r w:rsidRPr="00E4265B">
              <w:rPr>
                <w:rFonts w:ascii="Arial" w:hAnsi="Arial" w:cs="Arial"/>
                <w:sz w:val="22"/>
                <w:szCs w:val="22"/>
                <w:lang w:val="en-GB"/>
              </w:rPr>
              <w:tab/>
              <w:t xml:space="preserve">(ii) </w:t>
            </w:r>
            <w:r w:rsidRPr="00E4265B">
              <w:rPr>
                <w:rFonts w:ascii="Arial" w:hAnsi="Arial" w:cs="Arial"/>
                <w:sz w:val="22"/>
                <w:szCs w:val="22"/>
                <w:lang w:val="en-GB"/>
              </w:rPr>
              <w:tab/>
              <w:t>currency of any country or territory; or</w:t>
            </w:r>
          </w:p>
          <w:p w14:paraId="0ACD0510" w14:textId="77777777" w:rsidR="00690BF6" w:rsidRPr="00E4265B" w:rsidRDefault="00690BF6" w:rsidP="009D73F9">
            <w:pPr>
              <w:tabs>
                <w:tab w:val="left" w:pos="1181"/>
                <w:tab w:val="left" w:pos="1803"/>
              </w:tabs>
              <w:spacing w:before="120" w:after="120"/>
              <w:ind w:left="1803" w:hanging="1803"/>
              <w:jc w:val="both"/>
              <w:rPr>
                <w:rFonts w:ascii="Arial" w:hAnsi="Arial" w:cs="Arial"/>
                <w:sz w:val="22"/>
                <w:szCs w:val="22"/>
                <w:lang w:val="en-GB"/>
              </w:rPr>
            </w:pPr>
            <w:r w:rsidRPr="00E4265B">
              <w:rPr>
                <w:rFonts w:ascii="Arial" w:hAnsi="Arial" w:cs="Arial"/>
                <w:sz w:val="22"/>
                <w:szCs w:val="22"/>
                <w:lang w:val="en-GB"/>
              </w:rPr>
              <w:tab/>
              <w:t>(iii)</w:t>
            </w:r>
            <w:r w:rsidRPr="00E4265B">
              <w:rPr>
                <w:rStyle w:val="me"/>
                <w:rFonts w:ascii="Arial" w:hAnsi="Arial" w:cs="Arial"/>
                <w:color w:val="222222"/>
                <w:sz w:val="22"/>
                <w:szCs w:val="22"/>
                <w:lang w:val="en-GB"/>
              </w:rPr>
              <w:t xml:space="preserve"> </w:t>
            </w:r>
            <w:r w:rsidRPr="00E4265B">
              <w:rPr>
                <w:rFonts w:ascii="Arial" w:hAnsi="Arial" w:cs="Arial"/>
                <w:sz w:val="22"/>
                <w:szCs w:val="22"/>
                <w:lang w:val="en-GB"/>
              </w:rPr>
              <w:tab/>
              <w:t>a commodity of any kind;</w:t>
            </w:r>
          </w:p>
          <w:p w14:paraId="7647EB2F" w14:textId="77777777" w:rsidR="00690BF6" w:rsidRPr="00E4265B" w:rsidRDefault="00690BF6" w:rsidP="009D73F9">
            <w:pPr>
              <w:pStyle w:val="Heading9"/>
              <w:rPr>
                <w:rFonts w:ascii="Arial" w:hAnsi="Arial" w:cs="Arial"/>
                <w:sz w:val="22"/>
                <w:szCs w:val="22"/>
                <w:lang w:val="en-GB"/>
              </w:rPr>
            </w:pPr>
            <w:r w:rsidRPr="00E4265B">
              <w:rPr>
                <w:rFonts w:ascii="Arial" w:hAnsi="Arial" w:cs="Arial"/>
                <w:sz w:val="22"/>
                <w:szCs w:val="22"/>
                <w:lang w:val="en-GB"/>
              </w:rPr>
              <w:t>a right to receive a cash settlement, the value of which is determined by reference to:</w:t>
            </w:r>
          </w:p>
          <w:p w14:paraId="40166901" w14:textId="77777777" w:rsidR="00690BF6" w:rsidRPr="00E4265B" w:rsidRDefault="00690BF6" w:rsidP="009D73F9">
            <w:pPr>
              <w:tabs>
                <w:tab w:val="left" w:pos="1170"/>
                <w:tab w:val="left" w:pos="1792"/>
              </w:tabs>
              <w:spacing w:before="120" w:after="120"/>
              <w:ind w:left="1792" w:hanging="1792"/>
              <w:jc w:val="both"/>
              <w:rPr>
                <w:rFonts w:ascii="Arial" w:hAnsi="Arial" w:cs="Arial"/>
                <w:sz w:val="22"/>
                <w:szCs w:val="22"/>
                <w:lang w:val="en-GB"/>
              </w:rPr>
            </w:pPr>
            <w:r w:rsidRPr="00E4265B">
              <w:rPr>
                <w:rFonts w:ascii="Arial" w:hAnsi="Arial" w:cs="Arial"/>
                <w:sz w:val="22"/>
                <w:szCs w:val="22"/>
                <w:lang w:val="en-GB"/>
              </w:rPr>
              <w:tab/>
              <w:t>(i)</w:t>
            </w:r>
            <w:r w:rsidRPr="00E4265B">
              <w:rPr>
                <w:rStyle w:val="me"/>
                <w:rFonts w:ascii="Arial" w:hAnsi="Arial" w:cs="Arial"/>
                <w:color w:val="222222"/>
                <w:sz w:val="22"/>
                <w:szCs w:val="22"/>
                <w:lang w:val="en-GB"/>
              </w:rPr>
              <w:t xml:space="preserve"> </w:t>
            </w:r>
            <w:r w:rsidRPr="00E4265B">
              <w:rPr>
                <w:rFonts w:ascii="Arial" w:hAnsi="Arial" w:cs="Arial"/>
                <w:sz w:val="22"/>
                <w:szCs w:val="22"/>
                <w:lang w:val="en-GB"/>
              </w:rPr>
              <w:tab/>
              <w:t>the value or price of an index, interest rate or exchange rate; or</w:t>
            </w:r>
          </w:p>
          <w:p w14:paraId="36C719D0" w14:textId="77777777" w:rsidR="00690BF6" w:rsidRPr="00E4265B" w:rsidRDefault="00690BF6" w:rsidP="009D73F9">
            <w:pPr>
              <w:tabs>
                <w:tab w:val="left" w:pos="1170"/>
                <w:tab w:val="left" w:pos="1792"/>
              </w:tabs>
              <w:spacing w:before="120" w:after="120"/>
              <w:ind w:left="1792" w:hanging="1792"/>
              <w:jc w:val="both"/>
              <w:rPr>
                <w:rFonts w:ascii="Arial" w:hAnsi="Arial" w:cs="Arial"/>
                <w:sz w:val="22"/>
                <w:szCs w:val="22"/>
                <w:lang w:val="en-GB"/>
              </w:rPr>
            </w:pPr>
            <w:r w:rsidRPr="00E4265B">
              <w:rPr>
                <w:rFonts w:ascii="Arial" w:hAnsi="Arial" w:cs="Arial"/>
                <w:sz w:val="22"/>
                <w:szCs w:val="22"/>
                <w:lang w:val="en-GB"/>
              </w:rPr>
              <w:tab/>
              <w:t>(ii)</w:t>
            </w:r>
            <w:r w:rsidRPr="00E4265B">
              <w:rPr>
                <w:rStyle w:val="me"/>
                <w:rFonts w:ascii="Arial" w:hAnsi="Arial" w:cs="Arial"/>
                <w:color w:val="222222"/>
                <w:sz w:val="22"/>
                <w:szCs w:val="22"/>
                <w:lang w:val="en-GB"/>
              </w:rPr>
              <w:t xml:space="preserve"> </w:t>
            </w:r>
            <w:r w:rsidRPr="00E4265B">
              <w:rPr>
                <w:rFonts w:ascii="Arial" w:hAnsi="Arial" w:cs="Arial"/>
                <w:sz w:val="22"/>
                <w:szCs w:val="22"/>
                <w:lang w:val="en-GB"/>
              </w:rPr>
              <w:tab/>
              <w:t>any other rate or variable; or</w:t>
            </w:r>
          </w:p>
          <w:p w14:paraId="0F362139" w14:textId="77777777" w:rsidR="00690BF6" w:rsidRPr="00E4265B" w:rsidRDefault="00690BF6" w:rsidP="009D73F9">
            <w:pPr>
              <w:pStyle w:val="Heading9"/>
              <w:rPr>
                <w:rFonts w:ascii="Arial" w:hAnsi="Arial" w:cs="Arial"/>
                <w:sz w:val="22"/>
                <w:szCs w:val="22"/>
                <w:lang w:val="en-GB"/>
              </w:rPr>
            </w:pPr>
            <w:r w:rsidRPr="00E4265B">
              <w:rPr>
                <w:rFonts w:ascii="Arial" w:hAnsi="Arial" w:cs="Arial"/>
                <w:sz w:val="22"/>
                <w:szCs w:val="22"/>
                <w:lang w:val="en-GB"/>
              </w:rPr>
              <w:t>a right to acquire or dispose of another Option under (a) or (b).</w:t>
            </w:r>
          </w:p>
        </w:tc>
      </w:tr>
      <w:tr w:rsidR="00690BF6" w:rsidRPr="00E4265B" w14:paraId="53ABDC5E" w14:textId="77777777" w:rsidTr="00CD1719">
        <w:trPr>
          <w:gridBefore w:val="1"/>
          <w:wBefore w:w="882" w:type="dxa"/>
        </w:trPr>
        <w:tc>
          <w:tcPr>
            <w:tcW w:w="2462" w:type="dxa"/>
          </w:tcPr>
          <w:p w14:paraId="21ADF6CC"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Option Risk Capital Requirement</w:t>
            </w:r>
          </w:p>
        </w:tc>
        <w:tc>
          <w:tcPr>
            <w:tcW w:w="5188" w:type="dxa"/>
          </w:tcPr>
          <w:p w14:paraId="29E1BA11"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component of the Market Risk Capital Requirement and calculated in accordance with Section 5.8.</w:t>
            </w:r>
          </w:p>
        </w:tc>
      </w:tr>
      <w:tr w:rsidR="00690BF6" w:rsidRPr="00E4265B" w14:paraId="2C9898DC" w14:textId="77777777" w:rsidTr="00CD1719">
        <w:trPr>
          <w:gridBefore w:val="1"/>
          <w:wBefore w:w="882" w:type="dxa"/>
        </w:trPr>
        <w:tc>
          <w:tcPr>
            <w:tcW w:w="2462" w:type="dxa"/>
          </w:tcPr>
          <w:p w14:paraId="0331D2D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Organised Trading Facility (OTF)</w:t>
            </w:r>
          </w:p>
        </w:tc>
        <w:tc>
          <w:tcPr>
            <w:tcW w:w="5188" w:type="dxa"/>
          </w:tcPr>
          <w:p w14:paraId="29729A5D" w14:textId="77777777" w:rsidR="00690BF6" w:rsidRPr="00E4265B" w:rsidRDefault="00690BF6" w:rsidP="009D73F9">
            <w:pPr>
              <w:spacing w:before="120" w:after="120"/>
              <w:jc w:val="both"/>
              <w:rPr>
                <w:rFonts w:ascii="Arial" w:hAnsi="Arial" w:cs="Arial"/>
                <w:sz w:val="22"/>
                <w:szCs w:val="22"/>
                <w:lang w:val="en-GB"/>
              </w:rPr>
            </w:pPr>
            <w:r w:rsidRPr="00E4265B">
              <w:rPr>
                <w:rStyle w:val="me"/>
                <w:rFonts w:ascii="Arial" w:hAnsi="Arial" w:cs="Arial"/>
                <w:color w:val="222222"/>
                <w:sz w:val="22"/>
                <w:szCs w:val="22"/>
                <w:lang w:val="en-GB"/>
              </w:rPr>
              <w:t>Means a system which brings together multiple third party buying and selling interests in Investments, in accordance with its discretionary rules, in a way that results in a contract in respect of such Investments.</w:t>
            </w:r>
          </w:p>
        </w:tc>
      </w:tr>
      <w:tr w:rsidR="00690BF6" w:rsidRPr="00E4265B" w14:paraId="3180AF5C" w14:textId="77777777" w:rsidTr="00CD1719">
        <w:trPr>
          <w:gridBefore w:val="1"/>
          <w:wBefore w:w="882" w:type="dxa"/>
          <w:cantSplit/>
        </w:trPr>
        <w:tc>
          <w:tcPr>
            <w:tcW w:w="2462" w:type="dxa"/>
          </w:tcPr>
          <w:p w14:paraId="752D0DCE"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Original Maturity</w:t>
            </w:r>
          </w:p>
        </w:tc>
        <w:tc>
          <w:tcPr>
            <w:tcW w:w="5188" w:type="dxa"/>
          </w:tcPr>
          <w:p w14:paraId="5C778887" w14:textId="77777777" w:rsidR="00690BF6" w:rsidRPr="00E4265B" w:rsidRDefault="00690BF6" w:rsidP="00D13883">
            <w:pPr>
              <w:pStyle w:val="Heading8"/>
              <w:numPr>
                <w:ilvl w:val="7"/>
                <w:numId w:val="52"/>
              </w:numPr>
              <w:rPr>
                <w:rFonts w:ascii="Arial" w:hAnsi="Arial" w:cs="Arial"/>
                <w:sz w:val="22"/>
                <w:szCs w:val="22"/>
                <w:lang w:val="en-GB"/>
              </w:rPr>
            </w:pPr>
            <w:r w:rsidRPr="00E4265B">
              <w:rPr>
                <w:rFonts w:ascii="Arial" w:hAnsi="Arial" w:cs="Arial"/>
                <w:sz w:val="22"/>
                <w:szCs w:val="22"/>
                <w:lang w:val="en-GB"/>
              </w:rPr>
              <w:t>The time period between the date an offer is made and the date it expires or lapses.</w:t>
            </w:r>
          </w:p>
          <w:p w14:paraId="70BD8413" w14:textId="77777777" w:rsidR="00690BF6" w:rsidRPr="00E4265B" w:rsidRDefault="00690BF6" w:rsidP="009D73F9">
            <w:pPr>
              <w:pStyle w:val="Heading8"/>
              <w:rPr>
                <w:rFonts w:ascii="Arial" w:hAnsi="Arial" w:cs="Arial"/>
                <w:sz w:val="22"/>
                <w:szCs w:val="22"/>
                <w:lang w:val="en-GB"/>
              </w:rPr>
            </w:pPr>
            <w:r w:rsidRPr="00E4265B">
              <w:rPr>
                <w:rFonts w:ascii="Arial" w:hAnsi="Arial" w:cs="Arial"/>
                <w:sz w:val="22"/>
                <w:szCs w:val="22"/>
                <w:lang w:val="en-GB"/>
              </w:rPr>
              <w:t>In relation to Debentures, the interval between its issue date and the date on which it becomes due and payable.</w:t>
            </w:r>
          </w:p>
        </w:tc>
      </w:tr>
      <w:tr w:rsidR="00690BF6" w:rsidRPr="00E4265B" w14:paraId="523F97E2" w14:textId="77777777" w:rsidTr="00CD1719">
        <w:trPr>
          <w:gridBefore w:val="1"/>
          <w:wBefore w:w="882" w:type="dxa"/>
        </w:trPr>
        <w:tc>
          <w:tcPr>
            <w:tcW w:w="2462" w:type="dxa"/>
          </w:tcPr>
          <w:p w14:paraId="30D429F9"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Originator</w:t>
            </w:r>
          </w:p>
        </w:tc>
        <w:tc>
          <w:tcPr>
            <w:tcW w:w="5188" w:type="dxa"/>
          </w:tcPr>
          <w:p w14:paraId="565B0F38" w14:textId="77777777" w:rsidR="00690BF6" w:rsidRPr="00E4265B" w:rsidRDefault="00690BF6" w:rsidP="00D13883">
            <w:pPr>
              <w:pStyle w:val="Heading8"/>
              <w:numPr>
                <w:ilvl w:val="7"/>
                <w:numId w:val="53"/>
              </w:numPr>
              <w:rPr>
                <w:rFonts w:ascii="Arial" w:hAnsi="Arial" w:cs="Arial"/>
                <w:sz w:val="22"/>
                <w:szCs w:val="22"/>
                <w:lang w:val="en-GB"/>
              </w:rPr>
            </w:pPr>
            <w:r w:rsidRPr="00E4265B">
              <w:rPr>
                <w:rFonts w:ascii="Arial" w:hAnsi="Arial" w:cs="Arial"/>
                <w:sz w:val="22"/>
                <w:szCs w:val="22"/>
                <w:lang w:val="en-GB"/>
              </w:rPr>
              <w:t>An entity which, either itself or through related entities, directly or indirectly, creates the Exposure being securitised; or</w:t>
            </w:r>
          </w:p>
          <w:p w14:paraId="7E63C868" w14:textId="77777777" w:rsidR="00690BF6" w:rsidRPr="00E4265B" w:rsidRDefault="00690BF6" w:rsidP="009D73F9">
            <w:pPr>
              <w:pStyle w:val="Heading8"/>
              <w:rPr>
                <w:rFonts w:ascii="Arial" w:hAnsi="Arial" w:cs="Arial"/>
                <w:sz w:val="22"/>
                <w:szCs w:val="22"/>
                <w:lang w:val="en-GB"/>
              </w:rPr>
            </w:pPr>
            <w:r w:rsidRPr="00E4265B">
              <w:rPr>
                <w:rFonts w:ascii="Arial" w:hAnsi="Arial" w:cs="Arial"/>
                <w:sz w:val="22"/>
                <w:szCs w:val="22"/>
                <w:lang w:val="en-GB"/>
              </w:rPr>
              <w:t>any entity which purchases or advises or causes an SPE to purchase the Exposures of a third party, which are then used in a securitisation (for avoidance of doubt, selling credit protection such that the entity or the SPE has a long position in the Credit Risk of the obligor is equivalent to purchasing Exposures).</w:t>
            </w:r>
          </w:p>
          <w:p w14:paraId="550C41A7" w14:textId="77777777" w:rsidR="00690BF6" w:rsidRPr="00E4265B" w:rsidRDefault="00690BF6" w:rsidP="009D73F9">
            <w:pPr>
              <w:pStyle w:val="Heading8"/>
              <w:rPr>
                <w:rFonts w:ascii="Arial" w:hAnsi="Arial" w:cs="Arial"/>
                <w:sz w:val="22"/>
                <w:szCs w:val="22"/>
                <w:lang w:val="en-GB"/>
              </w:rPr>
            </w:pPr>
            <w:r w:rsidRPr="00E4265B">
              <w:rPr>
                <w:rFonts w:ascii="Arial" w:hAnsi="Arial" w:cs="Arial"/>
                <w:sz w:val="22"/>
                <w:szCs w:val="22"/>
                <w:lang w:val="en-GB"/>
              </w:rPr>
              <w:t>Where an entity lends to an SPE with a view to enabling that SPE to make loans which are then used in a securitisation, the entity will generally be deemed to be acting as an Originator.</w:t>
            </w:r>
          </w:p>
        </w:tc>
      </w:tr>
      <w:tr w:rsidR="00690BF6" w:rsidRPr="00E4265B" w14:paraId="1E8C8697" w14:textId="77777777" w:rsidTr="00CD1719">
        <w:trPr>
          <w:gridBefore w:val="1"/>
          <w:wBefore w:w="882" w:type="dxa"/>
        </w:trPr>
        <w:tc>
          <w:tcPr>
            <w:tcW w:w="2462" w:type="dxa"/>
          </w:tcPr>
          <w:p w14:paraId="6CB28860"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OTC</w:t>
            </w:r>
            <w:r w:rsidR="00BF3963" w:rsidRPr="00E4265B">
              <w:rPr>
                <w:rFonts w:ascii="Arial" w:hAnsi="Arial" w:cs="Arial"/>
                <w:snapToGrid w:val="0"/>
                <w:sz w:val="22"/>
                <w:szCs w:val="22"/>
                <w:lang w:val="en-GB"/>
              </w:rPr>
              <w:t xml:space="preserve"> Derivative or OTC Derivative Contract</w:t>
            </w:r>
          </w:p>
        </w:tc>
        <w:tc>
          <w:tcPr>
            <w:tcW w:w="5188" w:type="dxa"/>
          </w:tcPr>
          <w:p w14:paraId="1826AB76" w14:textId="77777777" w:rsidR="00690BF6" w:rsidRPr="00E4265B" w:rsidRDefault="00BF3963" w:rsidP="00F80299">
            <w:pPr>
              <w:spacing w:before="120" w:after="120"/>
              <w:jc w:val="both"/>
              <w:rPr>
                <w:rFonts w:ascii="Arial" w:hAnsi="Arial" w:cs="Arial"/>
                <w:sz w:val="22"/>
                <w:szCs w:val="22"/>
                <w:lang w:val="en-GB"/>
              </w:rPr>
            </w:pPr>
            <w:r w:rsidRPr="00E4265B">
              <w:rPr>
                <w:rFonts w:ascii="Arial" w:hAnsi="Arial" w:cs="Arial"/>
                <w:snapToGrid w:val="0"/>
                <w:sz w:val="22"/>
                <w:szCs w:val="22"/>
                <w:lang w:val="en-GB"/>
              </w:rPr>
              <w:t>Means a Derivative Contract the execution of which does not take place on a Recognised Investment Exchange.</w:t>
            </w:r>
          </w:p>
        </w:tc>
      </w:tr>
      <w:tr w:rsidR="00690BF6" w:rsidRPr="00E4265B" w14:paraId="565E7083" w14:textId="77777777" w:rsidTr="00CD1719">
        <w:trPr>
          <w:gridBefore w:val="1"/>
          <w:wBefore w:w="882" w:type="dxa"/>
        </w:trPr>
        <w:tc>
          <w:tcPr>
            <w:tcW w:w="2462" w:type="dxa"/>
          </w:tcPr>
          <w:p w14:paraId="10141597"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Parent</w:t>
            </w:r>
          </w:p>
        </w:tc>
        <w:tc>
          <w:tcPr>
            <w:tcW w:w="5188" w:type="dxa"/>
          </w:tcPr>
          <w:p w14:paraId="6D8D0750" w14:textId="77777777" w:rsidR="00690BF6" w:rsidRPr="00E4265B" w:rsidRDefault="00BF3963" w:rsidP="00F80299">
            <w:pPr>
              <w:spacing w:before="120" w:after="120"/>
              <w:jc w:val="both"/>
              <w:rPr>
                <w:rFonts w:ascii="Arial" w:hAnsi="Arial" w:cs="Arial"/>
                <w:sz w:val="22"/>
                <w:szCs w:val="22"/>
                <w:lang w:val="en-GB"/>
              </w:rPr>
            </w:pPr>
            <w:r w:rsidRPr="00E4265B">
              <w:rPr>
                <w:rFonts w:ascii="Arial" w:hAnsi="Arial" w:cs="Arial"/>
                <w:snapToGrid w:val="0"/>
                <w:sz w:val="22"/>
                <w:szCs w:val="22"/>
                <w:lang w:val="en-GB"/>
              </w:rPr>
              <w:t>Means a Holding Company as defined in section 1015 of the Companies Regulations 2015.</w:t>
            </w:r>
          </w:p>
        </w:tc>
      </w:tr>
      <w:tr w:rsidR="00690BF6" w:rsidRPr="00E4265B" w14:paraId="27948870" w14:textId="77777777" w:rsidTr="00CD1719">
        <w:trPr>
          <w:gridBefore w:val="1"/>
          <w:wBefore w:w="882" w:type="dxa"/>
        </w:trPr>
        <w:tc>
          <w:tcPr>
            <w:tcW w:w="2462" w:type="dxa"/>
          </w:tcPr>
          <w:p w14:paraId="000F3386"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Partner</w:t>
            </w:r>
          </w:p>
        </w:tc>
        <w:tc>
          <w:tcPr>
            <w:tcW w:w="5188" w:type="dxa"/>
          </w:tcPr>
          <w:p w14:paraId="62385EAA"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In relation to an Undertaking which is a Partnership, a Person occupying the position of a Partner, by whatever name called.</w:t>
            </w:r>
          </w:p>
        </w:tc>
      </w:tr>
      <w:tr w:rsidR="00690BF6" w:rsidRPr="00E4265B" w14:paraId="734373D6" w14:textId="77777777" w:rsidTr="00CD1719">
        <w:trPr>
          <w:gridBefore w:val="1"/>
          <w:wBefore w:w="882" w:type="dxa"/>
        </w:trPr>
        <w:tc>
          <w:tcPr>
            <w:tcW w:w="2462" w:type="dxa"/>
          </w:tcPr>
          <w:p w14:paraId="0842E84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Partnership</w:t>
            </w:r>
          </w:p>
        </w:tc>
        <w:tc>
          <w:tcPr>
            <w:tcW w:w="5188" w:type="dxa"/>
          </w:tcPr>
          <w:p w14:paraId="09D609D2" w14:textId="77777777" w:rsidR="00690BF6" w:rsidRPr="00E4265B" w:rsidRDefault="00BF3963" w:rsidP="00F80299">
            <w:pPr>
              <w:spacing w:before="120" w:after="120"/>
              <w:jc w:val="both"/>
              <w:rPr>
                <w:rFonts w:ascii="Arial" w:hAnsi="Arial" w:cs="Arial"/>
                <w:sz w:val="22"/>
                <w:szCs w:val="22"/>
                <w:lang w:val="en-GB"/>
              </w:rPr>
            </w:pPr>
            <w:r w:rsidRPr="00E4265B">
              <w:rPr>
                <w:rFonts w:ascii="Arial" w:hAnsi="Arial" w:cs="Arial"/>
                <w:snapToGrid w:val="0"/>
                <w:sz w:val="22"/>
                <w:szCs w:val="22"/>
                <w:lang w:val="en-GB"/>
              </w:rPr>
              <w:t>Means any partnership, including a partnership constituted under the law of a country, jurisdiction or territory outside the ADGM, but not including a Limited Liability Partnership.</w:t>
            </w:r>
          </w:p>
        </w:tc>
      </w:tr>
      <w:tr w:rsidR="00690BF6" w:rsidRPr="00E4265B" w14:paraId="6F5F47AF" w14:textId="77777777" w:rsidTr="00CD1719">
        <w:trPr>
          <w:gridBefore w:val="1"/>
          <w:wBefore w:w="882" w:type="dxa"/>
        </w:trPr>
        <w:tc>
          <w:tcPr>
            <w:tcW w:w="2462" w:type="dxa"/>
          </w:tcPr>
          <w:p w14:paraId="7DBFBB92"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Person</w:t>
            </w:r>
          </w:p>
        </w:tc>
        <w:tc>
          <w:tcPr>
            <w:tcW w:w="5188" w:type="dxa"/>
          </w:tcPr>
          <w:p w14:paraId="3F8BC05B" w14:textId="77777777" w:rsidR="00690BF6" w:rsidRPr="00E4265B" w:rsidRDefault="00690BF6" w:rsidP="00FB0EF8">
            <w:pPr>
              <w:spacing w:before="120" w:after="120"/>
              <w:jc w:val="both"/>
              <w:rPr>
                <w:rFonts w:ascii="Arial" w:hAnsi="Arial" w:cs="Arial"/>
                <w:sz w:val="22"/>
                <w:szCs w:val="22"/>
                <w:lang w:val="en-GB"/>
              </w:rPr>
            </w:pPr>
            <w:r w:rsidRPr="00E4265B">
              <w:rPr>
                <w:rFonts w:ascii="Arial" w:hAnsi="Arial" w:cs="Arial"/>
                <w:sz w:val="22"/>
                <w:szCs w:val="22"/>
                <w:lang w:val="en-GB"/>
              </w:rPr>
              <w:t>A Person includes any natural person, Body Corporate or body unincorporated, including a legal person, company, Partnership, unincorporated association, government or state.</w:t>
            </w:r>
          </w:p>
        </w:tc>
      </w:tr>
      <w:tr w:rsidR="00690BF6" w:rsidRPr="00E4265B" w14:paraId="3F21F908" w14:textId="77777777" w:rsidTr="00CD1719">
        <w:trPr>
          <w:gridBefore w:val="1"/>
          <w:wBefore w:w="882" w:type="dxa"/>
        </w:trPr>
        <w:tc>
          <w:tcPr>
            <w:tcW w:w="2462" w:type="dxa"/>
          </w:tcPr>
          <w:p w14:paraId="354E029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PII</w:t>
            </w:r>
          </w:p>
        </w:tc>
        <w:tc>
          <w:tcPr>
            <w:tcW w:w="5188" w:type="dxa"/>
          </w:tcPr>
          <w:p w14:paraId="0CC6BBDE"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Professional indemnity insurance.</w:t>
            </w:r>
          </w:p>
        </w:tc>
      </w:tr>
      <w:tr w:rsidR="00690BF6" w:rsidRPr="00E4265B" w14:paraId="22069FB0" w14:textId="77777777" w:rsidTr="00CD1719">
        <w:trPr>
          <w:gridBefore w:val="1"/>
          <w:wBefore w:w="882" w:type="dxa"/>
          <w:cantSplit/>
        </w:trPr>
        <w:tc>
          <w:tcPr>
            <w:tcW w:w="2462" w:type="dxa"/>
          </w:tcPr>
          <w:p w14:paraId="155B8964"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Potential Future Credit Exposure (PFCE)</w:t>
            </w:r>
          </w:p>
        </w:tc>
        <w:tc>
          <w:tcPr>
            <w:tcW w:w="5188" w:type="dxa"/>
          </w:tcPr>
          <w:p w14:paraId="73B280DD"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 amount calculated by multiplying the nominal principal amount of an OTC Derivative contract by a specified percentage dependent on the nature and residual maturity of the contract.</w:t>
            </w:r>
          </w:p>
        </w:tc>
      </w:tr>
      <w:tr w:rsidR="00690BF6" w:rsidRPr="00E4265B" w14:paraId="19685462" w14:textId="77777777" w:rsidTr="00CD1719">
        <w:trPr>
          <w:gridBefore w:val="1"/>
          <w:wBefore w:w="882" w:type="dxa"/>
        </w:trPr>
        <w:tc>
          <w:tcPr>
            <w:tcW w:w="2462" w:type="dxa"/>
          </w:tcPr>
          <w:p w14:paraId="7328F116"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Private Equity Fund</w:t>
            </w:r>
          </w:p>
        </w:tc>
        <w:tc>
          <w:tcPr>
            <w:tcW w:w="5188" w:type="dxa"/>
          </w:tcPr>
          <w:p w14:paraId="04B5C425" w14:textId="3D89D5B5"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Fund is a Private Equity Fund if it</w:t>
            </w:r>
            <w:r w:rsidR="009B4E73" w:rsidRPr="00E4265B">
              <w:rPr>
                <w:rFonts w:ascii="Arial" w:hAnsi="Arial" w:cs="Arial"/>
                <w:sz w:val="22"/>
                <w:szCs w:val="22"/>
                <w:lang w:val="en-GB"/>
              </w:rPr>
              <w:t>;</w:t>
            </w:r>
          </w:p>
          <w:p w14:paraId="4C326953" w14:textId="77777777" w:rsidR="00690BF6" w:rsidRPr="00E4265B" w:rsidRDefault="00690BF6" w:rsidP="009D73F9">
            <w:pPr>
              <w:pStyle w:val="Heading9"/>
              <w:rPr>
                <w:rFonts w:ascii="Arial" w:hAnsi="Arial" w:cs="Arial"/>
                <w:sz w:val="22"/>
                <w:szCs w:val="22"/>
                <w:lang w:val="en-GB"/>
              </w:rPr>
            </w:pPr>
            <w:r w:rsidRPr="00E4265B">
              <w:rPr>
                <w:rFonts w:ascii="Arial" w:hAnsi="Arial" w:cs="Arial"/>
                <w:sz w:val="22"/>
                <w:szCs w:val="22"/>
                <w:lang w:val="en-GB"/>
              </w:rPr>
              <w:t>invests in unlisted companies, by means of Shares, convertible debt or other instruments carrying equity participation rights or reward; or</w:t>
            </w:r>
          </w:p>
          <w:p w14:paraId="44FF8399" w14:textId="77777777" w:rsidR="00690BF6" w:rsidRPr="00E4265B" w:rsidRDefault="00690BF6" w:rsidP="009D73F9">
            <w:pPr>
              <w:pStyle w:val="Heading9"/>
              <w:rPr>
                <w:rFonts w:ascii="Arial" w:hAnsi="Arial" w:cs="Arial"/>
                <w:sz w:val="22"/>
                <w:szCs w:val="22"/>
                <w:lang w:val="en-GB"/>
              </w:rPr>
            </w:pPr>
            <w:r w:rsidRPr="00E4265B">
              <w:rPr>
                <w:rFonts w:ascii="Arial" w:hAnsi="Arial" w:cs="Arial"/>
                <w:sz w:val="22"/>
                <w:szCs w:val="22"/>
                <w:lang w:val="en-GB"/>
              </w:rPr>
              <w:t>participates in management buy-outs or buy-ins.</w:t>
            </w:r>
          </w:p>
        </w:tc>
      </w:tr>
      <w:tr w:rsidR="00690BF6" w:rsidRPr="00E4265B" w14:paraId="48DA0B01" w14:textId="77777777" w:rsidTr="00CD1719">
        <w:trPr>
          <w:gridBefore w:val="1"/>
          <w:wBefore w:w="882" w:type="dxa"/>
        </w:trPr>
        <w:tc>
          <w:tcPr>
            <w:tcW w:w="2462" w:type="dxa"/>
          </w:tcPr>
          <w:p w14:paraId="79B915F7"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Profit Equalisation Reserve</w:t>
            </w:r>
          </w:p>
        </w:tc>
        <w:tc>
          <w:tcPr>
            <w:tcW w:w="5188" w:type="dxa"/>
          </w:tcPr>
          <w:p w14:paraId="4C8C9918"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Represents the amount appropriated out of the Mudaraba income, before allocating the Mudarib's share, in order to maintain a certain level of investment returns for investment account holders and to increase owners' equity.</w:t>
            </w:r>
          </w:p>
        </w:tc>
      </w:tr>
      <w:tr w:rsidR="00690BF6" w:rsidRPr="00E4265B" w14:paraId="5058BB0A" w14:textId="77777777" w:rsidTr="00CD1719">
        <w:trPr>
          <w:gridBefore w:val="1"/>
          <w:wBefore w:w="882" w:type="dxa"/>
        </w:trPr>
        <w:tc>
          <w:tcPr>
            <w:tcW w:w="2462" w:type="dxa"/>
          </w:tcPr>
          <w:p w14:paraId="6FE504A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Profit Sharing Investment Account (PSIA)</w:t>
            </w:r>
          </w:p>
        </w:tc>
        <w:tc>
          <w:tcPr>
            <w:tcW w:w="5188" w:type="dxa"/>
          </w:tcPr>
          <w:p w14:paraId="3FF1161F"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 account or portfolio managed:</w:t>
            </w:r>
          </w:p>
          <w:p w14:paraId="1EEA82CC" w14:textId="77777777" w:rsidR="00690BF6" w:rsidRPr="00E4265B" w:rsidRDefault="00690BF6" w:rsidP="0019712D">
            <w:pPr>
              <w:pStyle w:val="Heading9"/>
              <w:numPr>
                <w:ilvl w:val="8"/>
                <w:numId w:val="81"/>
              </w:numPr>
              <w:rPr>
                <w:rFonts w:ascii="Arial" w:hAnsi="Arial" w:cs="Arial"/>
                <w:sz w:val="22"/>
                <w:szCs w:val="22"/>
                <w:lang w:val="en-GB"/>
              </w:rPr>
            </w:pPr>
            <w:r w:rsidRPr="00E4265B">
              <w:rPr>
                <w:rFonts w:ascii="Arial" w:hAnsi="Arial" w:cs="Arial"/>
                <w:sz w:val="22"/>
                <w:szCs w:val="22"/>
                <w:lang w:val="en-GB"/>
              </w:rPr>
              <w:t>in relation to property of any kind, including the currency of any country or territory, held for or within the account or portfolio;</w:t>
            </w:r>
          </w:p>
          <w:p w14:paraId="25A8964A" w14:textId="77777777" w:rsidR="00690BF6" w:rsidRPr="00E4265B" w:rsidRDefault="00690BF6" w:rsidP="005518A8">
            <w:pPr>
              <w:pStyle w:val="Heading9"/>
              <w:rPr>
                <w:rFonts w:ascii="Arial" w:hAnsi="Arial" w:cs="Arial"/>
                <w:sz w:val="22"/>
                <w:szCs w:val="22"/>
                <w:lang w:val="en-GB"/>
              </w:rPr>
            </w:pPr>
            <w:r w:rsidRPr="00E4265B">
              <w:rPr>
                <w:rFonts w:ascii="Arial" w:hAnsi="Arial" w:cs="Arial"/>
                <w:sz w:val="22"/>
                <w:szCs w:val="22"/>
                <w:lang w:val="en-GB"/>
              </w:rPr>
              <w:t>in accordance with Shari'a and held out as such; and</w:t>
            </w:r>
          </w:p>
          <w:p w14:paraId="4F9A67FA" w14:textId="77777777" w:rsidR="00690BF6" w:rsidRPr="00E4265B" w:rsidRDefault="00690BF6" w:rsidP="005518A8">
            <w:pPr>
              <w:pStyle w:val="Heading9"/>
              <w:rPr>
                <w:rFonts w:ascii="Arial" w:hAnsi="Arial" w:cs="Arial"/>
                <w:sz w:val="22"/>
                <w:szCs w:val="22"/>
                <w:lang w:val="en-GB"/>
              </w:rPr>
            </w:pPr>
            <w:r w:rsidRPr="00E4265B">
              <w:rPr>
                <w:rFonts w:ascii="Arial" w:hAnsi="Arial" w:cs="Arial"/>
                <w:sz w:val="22"/>
                <w:szCs w:val="22"/>
                <w:lang w:val="en-GB"/>
              </w:rPr>
              <w:lastRenderedPageBreak/>
              <w:t>under the term of an agreement whereby:</w:t>
            </w:r>
          </w:p>
          <w:p w14:paraId="7193CC84" w14:textId="77777777" w:rsidR="00690BF6" w:rsidRPr="00E4265B" w:rsidRDefault="00690BF6" w:rsidP="006F4E5A">
            <w:pPr>
              <w:tabs>
                <w:tab w:val="left" w:pos="1159"/>
                <w:tab w:val="left" w:pos="1814"/>
              </w:tabs>
              <w:spacing w:before="120" w:after="120"/>
              <w:ind w:left="1814" w:hanging="1814"/>
              <w:jc w:val="both"/>
              <w:rPr>
                <w:rFonts w:ascii="Arial" w:hAnsi="Arial" w:cs="Arial"/>
                <w:sz w:val="22"/>
                <w:szCs w:val="22"/>
                <w:lang w:val="en-GB"/>
              </w:rPr>
            </w:pPr>
            <w:r w:rsidRPr="00E4265B">
              <w:rPr>
                <w:rFonts w:ascii="Arial" w:hAnsi="Arial" w:cs="Arial"/>
                <w:sz w:val="22"/>
                <w:szCs w:val="22"/>
                <w:lang w:val="en-GB"/>
              </w:rPr>
              <w:tab/>
              <w:t xml:space="preserve">(i) </w:t>
            </w:r>
            <w:r w:rsidRPr="00E4265B">
              <w:rPr>
                <w:rFonts w:ascii="Arial" w:hAnsi="Arial" w:cs="Arial"/>
                <w:sz w:val="22"/>
                <w:szCs w:val="22"/>
                <w:lang w:val="en-GB"/>
              </w:rPr>
              <w:tab/>
              <w:t>the investor agrees to share any profit with the manager of the account or portfolio in accordance with a predetermined specified percentage or ratio; and</w:t>
            </w:r>
          </w:p>
          <w:p w14:paraId="4E19D6F8" w14:textId="77777777" w:rsidR="00690BF6" w:rsidRPr="00E4265B" w:rsidRDefault="00690BF6" w:rsidP="006F4E5A">
            <w:pPr>
              <w:tabs>
                <w:tab w:val="left" w:pos="1159"/>
                <w:tab w:val="left" w:pos="1814"/>
              </w:tabs>
              <w:spacing w:before="120" w:after="120"/>
              <w:ind w:left="1814" w:hanging="1814"/>
              <w:jc w:val="both"/>
              <w:rPr>
                <w:rFonts w:ascii="Arial" w:hAnsi="Arial" w:cs="Arial"/>
                <w:sz w:val="22"/>
                <w:szCs w:val="22"/>
                <w:lang w:val="en-GB"/>
              </w:rPr>
            </w:pPr>
            <w:r w:rsidRPr="00E4265B">
              <w:rPr>
                <w:rFonts w:ascii="Arial" w:hAnsi="Arial" w:cs="Arial"/>
                <w:sz w:val="22"/>
                <w:szCs w:val="22"/>
                <w:lang w:val="en-GB"/>
              </w:rPr>
              <w:tab/>
              <w:t xml:space="preserve">(ii) </w:t>
            </w:r>
            <w:r w:rsidRPr="00E4265B">
              <w:rPr>
                <w:rFonts w:ascii="Arial" w:hAnsi="Arial" w:cs="Arial"/>
                <w:sz w:val="22"/>
                <w:szCs w:val="22"/>
                <w:lang w:val="en-GB"/>
              </w:rPr>
              <w:tab/>
              <w:t>the investor agrees that he alone will bear any losses in the absence of negligence or breach of contract.</w:t>
            </w:r>
          </w:p>
        </w:tc>
      </w:tr>
      <w:tr w:rsidR="00690BF6" w:rsidRPr="00E4265B" w14:paraId="1BFBEAB1" w14:textId="77777777" w:rsidTr="00CD1719">
        <w:trPr>
          <w:gridBefore w:val="1"/>
          <w:wBefore w:w="882" w:type="dxa"/>
        </w:trPr>
        <w:tc>
          <w:tcPr>
            <w:tcW w:w="2462" w:type="dxa"/>
          </w:tcPr>
          <w:p w14:paraId="770C4B64"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Providing Credit</w:t>
            </w:r>
          </w:p>
        </w:tc>
        <w:tc>
          <w:tcPr>
            <w:tcW w:w="5188" w:type="dxa"/>
          </w:tcPr>
          <w:p w14:paraId="2DB53696" w14:textId="77777777" w:rsidR="00690BF6" w:rsidRPr="00E4265B" w:rsidRDefault="00690BF6" w:rsidP="004565E7">
            <w:pPr>
              <w:spacing w:before="120" w:after="120"/>
              <w:jc w:val="both"/>
              <w:rPr>
                <w:rFonts w:ascii="Arial" w:hAnsi="Arial" w:cs="Arial"/>
                <w:sz w:val="22"/>
                <w:szCs w:val="22"/>
                <w:lang w:val="en-GB"/>
              </w:rPr>
            </w:pPr>
            <w:r w:rsidRPr="00E4265B">
              <w:rPr>
                <w:rFonts w:ascii="Arial" w:hAnsi="Arial" w:cs="Arial"/>
                <w:sz w:val="22"/>
                <w:szCs w:val="22"/>
                <w:lang w:val="en-GB"/>
              </w:rPr>
              <w:t xml:space="preserve">Means the Regulated Activity specified in paragraph </w:t>
            </w:r>
            <w:r w:rsidRPr="00E4265B">
              <w:rPr>
                <w:rFonts w:ascii="Arial" w:hAnsi="Arial" w:cs="Arial"/>
                <w:sz w:val="22"/>
                <w:szCs w:val="22"/>
                <w:cs/>
                <w:lang w:val="en-GB"/>
              </w:rPr>
              <w:t>‎</w:t>
            </w:r>
            <w:r w:rsidR="004565E7" w:rsidRPr="00E4265B">
              <w:rPr>
                <w:rFonts w:ascii="Arial" w:hAnsi="Arial" w:cs="Arial"/>
                <w:sz w:val="22"/>
                <w:szCs w:val="22"/>
                <w:lang w:val="en-GB"/>
              </w:rPr>
              <w:t>48</w:t>
            </w:r>
            <w:r w:rsidRPr="00E4265B">
              <w:rPr>
                <w:rFonts w:ascii="Arial" w:hAnsi="Arial" w:cs="Arial"/>
                <w:sz w:val="22"/>
                <w:szCs w:val="22"/>
                <w:lang w:val="en-GB"/>
              </w:rPr>
              <w:t xml:space="preserve"> of </w:t>
            </w:r>
            <w:r w:rsidRPr="00E4265B">
              <w:rPr>
                <w:rFonts w:ascii="Arial" w:hAnsi="Arial" w:cs="Arial"/>
                <w:sz w:val="22"/>
                <w:szCs w:val="22"/>
                <w:cs/>
                <w:lang w:val="en-GB"/>
              </w:rPr>
              <w:t>‎</w:t>
            </w:r>
            <w:r w:rsidRPr="00E4265B">
              <w:rPr>
                <w:rFonts w:ascii="Arial" w:hAnsi="Arial" w:cs="Arial"/>
                <w:sz w:val="22"/>
                <w:szCs w:val="22"/>
                <w:rtl/>
                <w:cs/>
                <w:lang w:val="en-GB"/>
              </w:rPr>
              <w:t>Schedule 1</w:t>
            </w:r>
            <w:r w:rsidRPr="00E4265B">
              <w:rPr>
                <w:rFonts w:ascii="Arial" w:hAnsi="Arial" w:cs="Arial"/>
                <w:sz w:val="22"/>
                <w:szCs w:val="22"/>
                <w:lang w:val="en-GB"/>
              </w:rPr>
              <w:t xml:space="preserve"> of the FSMR.</w:t>
            </w:r>
          </w:p>
        </w:tc>
      </w:tr>
      <w:tr w:rsidR="00690BF6" w:rsidRPr="00E4265B" w14:paraId="1F126A95" w14:textId="77777777" w:rsidTr="00CD1719">
        <w:trPr>
          <w:gridBefore w:val="1"/>
          <w:wBefore w:w="882" w:type="dxa"/>
        </w:trPr>
        <w:tc>
          <w:tcPr>
            <w:tcW w:w="2462" w:type="dxa"/>
          </w:tcPr>
          <w:p w14:paraId="2A6745BE"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Providing Custody</w:t>
            </w:r>
          </w:p>
        </w:tc>
        <w:tc>
          <w:tcPr>
            <w:tcW w:w="5188" w:type="dxa"/>
          </w:tcPr>
          <w:p w14:paraId="56EB61C3" w14:textId="77777777" w:rsidR="00690BF6" w:rsidRPr="00E4265B" w:rsidRDefault="00690BF6" w:rsidP="004565E7">
            <w:pPr>
              <w:spacing w:before="120" w:after="120"/>
              <w:jc w:val="both"/>
              <w:rPr>
                <w:rFonts w:ascii="Arial" w:hAnsi="Arial" w:cs="Arial"/>
                <w:sz w:val="22"/>
                <w:szCs w:val="22"/>
                <w:lang w:val="en-GB"/>
              </w:rPr>
            </w:pPr>
            <w:r w:rsidRPr="00E4265B">
              <w:rPr>
                <w:rFonts w:ascii="Arial" w:hAnsi="Arial" w:cs="Arial"/>
                <w:sz w:val="22"/>
                <w:szCs w:val="22"/>
                <w:lang w:val="en-GB"/>
              </w:rPr>
              <w:t xml:space="preserve">Means the Regulated Activity specified in paragraph </w:t>
            </w:r>
            <w:r w:rsidRPr="00E4265B">
              <w:rPr>
                <w:rFonts w:ascii="Arial" w:hAnsi="Arial" w:cs="Arial"/>
                <w:sz w:val="22"/>
                <w:szCs w:val="22"/>
                <w:cs/>
                <w:lang w:val="en-GB"/>
              </w:rPr>
              <w:t>‎</w:t>
            </w:r>
            <w:r w:rsidRPr="00E4265B">
              <w:rPr>
                <w:rFonts w:ascii="Arial" w:hAnsi="Arial" w:cs="Arial"/>
                <w:sz w:val="22"/>
                <w:szCs w:val="22"/>
                <w:rtl/>
                <w:cs/>
                <w:lang w:val="en-GB"/>
              </w:rPr>
              <w:t>4</w:t>
            </w:r>
            <w:r w:rsidR="004565E7" w:rsidRPr="00E4265B">
              <w:rPr>
                <w:rFonts w:ascii="Arial" w:hAnsi="Arial" w:cs="Arial"/>
                <w:sz w:val="22"/>
                <w:szCs w:val="22"/>
                <w:lang w:val="en-GB"/>
              </w:rPr>
              <w:t>3</w:t>
            </w:r>
            <w:r w:rsidRPr="00E4265B">
              <w:rPr>
                <w:rFonts w:ascii="Arial" w:hAnsi="Arial" w:cs="Arial"/>
                <w:sz w:val="22"/>
                <w:szCs w:val="22"/>
                <w:lang w:val="en-GB"/>
              </w:rPr>
              <w:t xml:space="preserve"> of </w:t>
            </w:r>
            <w:r w:rsidRPr="00E4265B">
              <w:rPr>
                <w:rFonts w:ascii="Arial" w:hAnsi="Arial" w:cs="Arial"/>
                <w:sz w:val="22"/>
                <w:szCs w:val="22"/>
                <w:cs/>
                <w:lang w:val="en-GB"/>
              </w:rPr>
              <w:t>‎</w:t>
            </w:r>
            <w:r w:rsidRPr="00E4265B">
              <w:rPr>
                <w:rFonts w:ascii="Arial" w:hAnsi="Arial" w:cs="Arial"/>
                <w:sz w:val="22"/>
                <w:szCs w:val="22"/>
                <w:rtl/>
                <w:cs/>
                <w:lang w:val="en-GB"/>
              </w:rPr>
              <w:t>Schedule 1</w:t>
            </w:r>
            <w:r w:rsidRPr="00E4265B">
              <w:rPr>
                <w:rFonts w:ascii="Arial" w:hAnsi="Arial" w:cs="Arial"/>
                <w:sz w:val="22"/>
                <w:szCs w:val="22"/>
                <w:lang w:val="en-GB"/>
              </w:rPr>
              <w:t xml:space="preserve"> of the FSMR.</w:t>
            </w:r>
          </w:p>
        </w:tc>
      </w:tr>
      <w:tr w:rsidR="00690BF6" w:rsidRPr="00E4265B" w14:paraId="343732CB" w14:textId="77777777" w:rsidTr="00CD1719">
        <w:trPr>
          <w:gridBefore w:val="1"/>
          <w:wBefore w:w="882" w:type="dxa"/>
        </w:trPr>
        <w:tc>
          <w:tcPr>
            <w:tcW w:w="2462" w:type="dxa"/>
          </w:tcPr>
          <w:p w14:paraId="208F8975"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Providing Money Services</w:t>
            </w:r>
          </w:p>
        </w:tc>
        <w:tc>
          <w:tcPr>
            <w:tcW w:w="5188" w:type="dxa"/>
          </w:tcPr>
          <w:p w14:paraId="3D99113D" w14:textId="77777777" w:rsidR="00690BF6" w:rsidRPr="00E4265B" w:rsidRDefault="00690BF6" w:rsidP="00801DAF">
            <w:pPr>
              <w:spacing w:before="120" w:after="120"/>
              <w:rPr>
                <w:rFonts w:ascii="Arial" w:hAnsi="Arial" w:cs="Arial"/>
                <w:sz w:val="22"/>
                <w:szCs w:val="22"/>
                <w:lang w:val="en-GB"/>
              </w:rPr>
            </w:pPr>
            <w:r w:rsidRPr="00E4265B">
              <w:rPr>
                <w:rFonts w:ascii="Arial" w:hAnsi="Arial" w:cs="Arial"/>
                <w:sz w:val="22"/>
                <w:szCs w:val="22"/>
                <w:lang w:val="en-GB"/>
              </w:rPr>
              <w:t xml:space="preserve">Means the Regulated Activity specified in paragraph </w:t>
            </w:r>
            <w:r w:rsidRPr="00E4265B">
              <w:rPr>
                <w:rFonts w:ascii="Arial" w:hAnsi="Arial" w:cs="Arial"/>
                <w:sz w:val="22"/>
                <w:szCs w:val="22"/>
                <w:cs/>
                <w:lang w:val="en-GB"/>
              </w:rPr>
              <w:t>‎</w:t>
            </w:r>
            <w:r w:rsidR="004565E7" w:rsidRPr="00E4265B">
              <w:rPr>
                <w:rFonts w:ascii="Arial" w:hAnsi="Arial" w:cs="Arial"/>
                <w:sz w:val="22"/>
                <w:szCs w:val="22"/>
                <w:lang w:val="en-GB"/>
              </w:rPr>
              <w:t>5</w:t>
            </w:r>
            <w:r w:rsidR="00801DAF" w:rsidRPr="00E4265B">
              <w:rPr>
                <w:rFonts w:ascii="Arial" w:hAnsi="Arial" w:cs="Arial"/>
                <w:sz w:val="22"/>
                <w:szCs w:val="22"/>
                <w:lang w:val="en-GB"/>
              </w:rPr>
              <w:t>2</w:t>
            </w:r>
            <w:r w:rsidRPr="00E4265B">
              <w:rPr>
                <w:rFonts w:ascii="Arial" w:hAnsi="Arial" w:cs="Arial"/>
                <w:sz w:val="22"/>
                <w:szCs w:val="22"/>
                <w:lang w:val="en-GB"/>
              </w:rPr>
              <w:t xml:space="preserve"> of </w:t>
            </w:r>
            <w:r w:rsidRPr="00E4265B">
              <w:rPr>
                <w:rFonts w:ascii="Arial" w:hAnsi="Arial" w:cs="Arial"/>
                <w:sz w:val="22"/>
                <w:szCs w:val="22"/>
                <w:cs/>
                <w:lang w:val="en-GB"/>
              </w:rPr>
              <w:t>‎</w:t>
            </w:r>
            <w:r w:rsidRPr="00E4265B">
              <w:rPr>
                <w:rFonts w:ascii="Arial" w:hAnsi="Arial" w:cs="Arial"/>
                <w:sz w:val="22"/>
                <w:szCs w:val="22"/>
                <w:rtl/>
                <w:cs/>
                <w:lang w:val="en-GB"/>
              </w:rPr>
              <w:t>Schedule 1</w:t>
            </w:r>
            <w:r w:rsidRPr="00E4265B">
              <w:rPr>
                <w:rFonts w:ascii="Arial" w:hAnsi="Arial" w:cs="Arial"/>
                <w:sz w:val="22"/>
                <w:szCs w:val="22"/>
                <w:lang w:val="en-GB"/>
              </w:rPr>
              <w:t xml:space="preserve"> of the FSMR.</w:t>
            </w:r>
          </w:p>
        </w:tc>
      </w:tr>
      <w:tr w:rsidR="00690BF6" w:rsidRPr="00E4265B" w14:paraId="3CD9A7B0" w14:textId="77777777" w:rsidTr="00CD1719">
        <w:trPr>
          <w:gridBefore w:val="1"/>
          <w:wBefore w:w="882" w:type="dxa"/>
        </w:trPr>
        <w:tc>
          <w:tcPr>
            <w:tcW w:w="2462" w:type="dxa"/>
          </w:tcPr>
          <w:p w14:paraId="44A46339"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PSE</w:t>
            </w:r>
          </w:p>
        </w:tc>
        <w:tc>
          <w:tcPr>
            <w:tcW w:w="5188" w:type="dxa"/>
          </w:tcPr>
          <w:p w14:paraId="717F5480" w14:textId="77777777" w:rsidR="00690BF6" w:rsidRPr="00E4265B" w:rsidRDefault="00690BF6" w:rsidP="00F03B57">
            <w:pPr>
              <w:spacing w:before="120" w:after="120"/>
              <w:rPr>
                <w:rFonts w:ascii="Arial" w:hAnsi="Arial" w:cs="Arial"/>
                <w:sz w:val="22"/>
                <w:szCs w:val="22"/>
                <w:lang w:val="en-GB"/>
              </w:rPr>
            </w:pPr>
            <w:r w:rsidRPr="00E4265B">
              <w:rPr>
                <w:rFonts w:ascii="Arial" w:hAnsi="Arial" w:cs="Arial"/>
                <w:sz w:val="22"/>
                <w:szCs w:val="22"/>
                <w:lang w:val="en-GB"/>
              </w:rPr>
              <w:t>Public sector enterprise.</w:t>
            </w:r>
          </w:p>
        </w:tc>
      </w:tr>
      <w:tr w:rsidR="00690BF6" w:rsidRPr="00E4265B" w14:paraId="6F944B4E" w14:textId="77777777" w:rsidTr="00CD1719">
        <w:trPr>
          <w:gridBefore w:val="1"/>
          <w:wBefore w:w="882" w:type="dxa"/>
        </w:trPr>
        <w:tc>
          <w:tcPr>
            <w:tcW w:w="2462" w:type="dxa"/>
          </w:tcPr>
          <w:p w14:paraId="0502E814"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Public Listed Company</w:t>
            </w:r>
          </w:p>
        </w:tc>
        <w:tc>
          <w:tcPr>
            <w:tcW w:w="5188" w:type="dxa"/>
          </w:tcPr>
          <w:p w14:paraId="5B8DF246" w14:textId="77777777" w:rsidR="00690BF6" w:rsidRPr="00E4265B" w:rsidRDefault="00690BF6" w:rsidP="00201D55">
            <w:pPr>
              <w:spacing w:before="120" w:after="120"/>
              <w:rPr>
                <w:rFonts w:ascii="Arial" w:hAnsi="Arial" w:cs="Arial"/>
                <w:sz w:val="22"/>
                <w:szCs w:val="22"/>
                <w:lang w:val="en-GB"/>
              </w:rPr>
            </w:pPr>
            <w:r w:rsidRPr="00E4265B">
              <w:rPr>
                <w:rFonts w:ascii="Arial" w:hAnsi="Arial" w:cs="Arial"/>
                <w:sz w:val="22"/>
                <w:szCs w:val="22"/>
                <w:lang w:val="en-GB"/>
              </w:rPr>
              <w:t>Has the meaning given in the Companies Regulations.</w:t>
            </w:r>
          </w:p>
        </w:tc>
      </w:tr>
      <w:tr w:rsidR="00CC4877" w:rsidRPr="00E4265B" w14:paraId="19F1167A" w14:textId="77777777" w:rsidTr="00CD1719">
        <w:trPr>
          <w:gridBefore w:val="1"/>
          <w:wBefore w:w="882" w:type="dxa"/>
        </w:trPr>
        <w:tc>
          <w:tcPr>
            <w:tcW w:w="2462" w:type="dxa"/>
          </w:tcPr>
          <w:p w14:paraId="2719F469" w14:textId="77777777" w:rsidR="00CC4877" w:rsidRPr="00E4265B" w:rsidRDefault="00CC4877" w:rsidP="00F80299">
            <w:pPr>
              <w:spacing w:before="120" w:after="120"/>
              <w:rPr>
                <w:rFonts w:ascii="Arial" w:hAnsi="Arial" w:cs="Arial"/>
                <w:sz w:val="22"/>
                <w:szCs w:val="22"/>
                <w:lang w:val="en-GB"/>
              </w:rPr>
            </w:pPr>
            <w:r w:rsidRPr="00E4265B">
              <w:rPr>
                <w:rFonts w:ascii="Arial" w:hAnsi="Arial" w:cs="Arial"/>
                <w:sz w:val="22"/>
                <w:szCs w:val="22"/>
                <w:lang w:val="en-GB"/>
              </w:rPr>
              <w:t>QCCP</w:t>
            </w:r>
          </w:p>
        </w:tc>
        <w:tc>
          <w:tcPr>
            <w:tcW w:w="5188" w:type="dxa"/>
          </w:tcPr>
          <w:p w14:paraId="29C22A66" w14:textId="77777777" w:rsidR="00CC4877" w:rsidRPr="00E4265B" w:rsidRDefault="00CC4877" w:rsidP="00CC4877">
            <w:pPr>
              <w:spacing w:before="120" w:after="120"/>
              <w:jc w:val="both"/>
              <w:rPr>
                <w:rFonts w:ascii="Arial" w:hAnsi="Arial" w:cs="Arial"/>
                <w:sz w:val="22"/>
                <w:szCs w:val="22"/>
                <w:lang w:val="en-GB"/>
              </w:rPr>
            </w:pPr>
            <w:r w:rsidRPr="00E4265B">
              <w:rPr>
                <w:rFonts w:ascii="Arial" w:hAnsi="Arial" w:cs="Arial"/>
                <w:sz w:val="22"/>
                <w:szCs w:val="22"/>
                <w:lang w:val="en-GB"/>
              </w:rPr>
              <w:t>Means an entity, deemed a qualifying central counterparty, that is licensed to operate as a CCP (including a licence granted by way of confirming an exemption), and is permitted by the appropriate regulator/overseer to operate as such.  This is subject to the CCP being based and prudentially supervised in a jurisdiction where the relevant regulator/overseer has established, and publicly indicated that it applies to the central counterparty on an ongoing basis, domestic rules and regulations that are consistent with the CPSS</w:t>
            </w:r>
            <w:r w:rsidRPr="00E4265B">
              <w:rPr>
                <w:rFonts w:ascii="Cambria Math" w:hAnsi="Cambria Math" w:cs="Cambria Math"/>
                <w:sz w:val="22"/>
                <w:szCs w:val="22"/>
                <w:lang w:val="en-GB"/>
              </w:rPr>
              <w:t>‐</w:t>
            </w:r>
            <w:r w:rsidRPr="00E4265B">
              <w:rPr>
                <w:rFonts w:ascii="Arial" w:hAnsi="Arial" w:cs="Arial"/>
                <w:sz w:val="22"/>
                <w:szCs w:val="22"/>
                <w:lang w:val="en-GB"/>
              </w:rPr>
              <w:t xml:space="preserve">IOSCO Principles for Financial Market Infrastructures. </w:t>
            </w:r>
          </w:p>
          <w:p w14:paraId="18E1651F" w14:textId="4B8724C8" w:rsidR="00CC4877" w:rsidRPr="00E4265B" w:rsidRDefault="00CC4877" w:rsidP="00B44E90">
            <w:pPr>
              <w:spacing w:before="120" w:after="120"/>
              <w:jc w:val="both"/>
              <w:rPr>
                <w:rFonts w:ascii="Arial" w:hAnsi="Arial" w:cs="Arial"/>
                <w:sz w:val="22"/>
                <w:szCs w:val="22"/>
                <w:lang w:val="en-GB"/>
              </w:rPr>
            </w:pPr>
            <w:r w:rsidRPr="00E4265B">
              <w:rPr>
                <w:rFonts w:ascii="Arial" w:hAnsi="Arial" w:cs="Arial"/>
                <w:sz w:val="22"/>
                <w:szCs w:val="22"/>
                <w:lang w:val="en-GB"/>
              </w:rPr>
              <w:t>The Regulator may</w:t>
            </w:r>
            <w:r w:rsidR="00B44E90" w:rsidRPr="00E4265B">
              <w:rPr>
                <w:rFonts w:ascii="Arial" w:hAnsi="Arial" w:cs="Arial"/>
                <w:sz w:val="22"/>
                <w:szCs w:val="22"/>
                <w:lang w:val="en-GB"/>
              </w:rPr>
              <w:t>,</w:t>
            </w:r>
            <w:r w:rsidRPr="00E4265B">
              <w:rPr>
                <w:rFonts w:ascii="Arial" w:hAnsi="Arial" w:cs="Arial"/>
                <w:sz w:val="22"/>
                <w:szCs w:val="22"/>
                <w:lang w:val="en-GB"/>
              </w:rPr>
              <w:t xml:space="preserve"> </w:t>
            </w:r>
            <w:r w:rsidR="00B44E90" w:rsidRPr="00E4265B">
              <w:rPr>
                <w:rFonts w:ascii="Arial" w:hAnsi="Arial" w:cs="Arial"/>
                <w:sz w:val="22"/>
                <w:szCs w:val="22"/>
                <w:lang w:val="en-GB"/>
              </w:rPr>
              <w:t>at</w:t>
            </w:r>
            <w:r w:rsidRPr="00E4265B">
              <w:rPr>
                <w:rFonts w:ascii="Arial" w:hAnsi="Arial" w:cs="Arial"/>
                <w:sz w:val="22"/>
                <w:szCs w:val="22"/>
                <w:lang w:val="en-GB"/>
              </w:rPr>
              <w:t xml:space="preserve"> its sole discretion</w:t>
            </w:r>
            <w:r w:rsidR="00B44E90" w:rsidRPr="00E4265B">
              <w:rPr>
                <w:rFonts w:ascii="Arial" w:hAnsi="Arial" w:cs="Arial"/>
                <w:sz w:val="22"/>
                <w:szCs w:val="22"/>
                <w:lang w:val="en-GB"/>
              </w:rPr>
              <w:t>,</w:t>
            </w:r>
            <w:r w:rsidRPr="00E4265B">
              <w:rPr>
                <w:rFonts w:ascii="Arial" w:hAnsi="Arial" w:cs="Arial"/>
                <w:sz w:val="22"/>
                <w:szCs w:val="22"/>
                <w:lang w:val="en-GB"/>
              </w:rPr>
              <w:t xml:space="preserve"> determine that a CCP that is established in a jurisdiction that does not apply the CPSS</w:t>
            </w:r>
            <w:r w:rsidRPr="00E4265B">
              <w:rPr>
                <w:rFonts w:ascii="Cambria Math" w:hAnsi="Cambria Math" w:cs="Cambria Math"/>
                <w:sz w:val="22"/>
                <w:szCs w:val="22"/>
                <w:lang w:val="en-GB"/>
              </w:rPr>
              <w:t>‐</w:t>
            </w:r>
            <w:r w:rsidRPr="00E4265B">
              <w:rPr>
                <w:rFonts w:ascii="Arial" w:hAnsi="Arial" w:cs="Arial"/>
                <w:sz w:val="22"/>
                <w:szCs w:val="22"/>
                <w:lang w:val="en-GB"/>
              </w:rPr>
              <w:t>IOSCO Principles for Financial Market Infrastructures qualifies as a QCCP.</w:t>
            </w:r>
          </w:p>
        </w:tc>
      </w:tr>
      <w:tr w:rsidR="00690BF6" w:rsidRPr="00E4265B" w14:paraId="3AF256C3" w14:textId="77777777" w:rsidTr="00CD1719">
        <w:trPr>
          <w:gridBefore w:val="1"/>
          <w:wBefore w:w="882" w:type="dxa"/>
        </w:trPr>
        <w:tc>
          <w:tcPr>
            <w:tcW w:w="2462" w:type="dxa"/>
          </w:tcPr>
          <w:p w14:paraId="50F81359"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Qualifying Holding</w:t>
            </w:r>
          </w:p>
        </w:tc>
        <w:tc>
          <w:tcPr>
            <w:tcW w:w="5188" w:type="dxa"/>
          </w:tcPr>
          <w:p w14:paraId="580B0CAE"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Any holding in the capital of a non</w:t>
            </w:r>
            <w:r w:rsidRPr="00E4265B">
              <w:rPr>
                <w:rFonts w:ascii="Arial" w:hAnsi="Arial" w:cs="Arial"/>
                <w:sz w:val="22"/>
                <w:szCs w:val="22"/>
                <w:lang w:val="en-GB"/>
              </w:rPr>
              <w:noBreakHyphen/>
              <w:t>financial Undertaking of which the Authorised Person is a Controller.</w:t>
            </w:r>
          </w:p>
        </w:tc>
      </w:tr>
      <w:tr w:rsidR="00690BF6" w:rsidRPr="00E4265B" w14:paraId="733F25F5" w14:textId="77777777" w:rsidTr="00CD1719">
        <w:trPr>
          <w:gridBefore w:val="1"/>
          <w:wBefore w:w="882" w:type="dxa"/>
        </w:trPr>
        <w:tc>
          <w:tcPr>
            <w:tcW w:w="2462" w:type="dxa"/>
          </w:tcPr>
          <w:p w14:paraId="7DF751B9" w14:textId="77777777" w:rsidR="00690BF6" w:rsidRPr="00E4265B" w:rsidRDefault="00690BF6" w:rsidP="00F9081A">
            <w:pPr>
              <w:spacing w:before="120" w:after="120"/>
              <w:rPr>
                <w:rFonts w:ascii="Arial" w:hAnsi="Arial" w:cs="Arial"/>
                <w:sz w:val="22"/>
                <w:szCs w:val="22"/>
                <w:lang w:val="en-GB"/>
              </w:rPr>
            </w:pPr>
            <w:r w:rsidRPr="00E4265B">
              <w:rPr>
                <w:rFonts w:ascii="Arial" w:hAnsi="Arial" w:cs="Arial"/>
                <w:sz w:val="22"/>
                <w:szCs w:val="22"/>
                <w:lang w:val="en-GB"/>
              </w:rPr>
              <w:t>Recognised Body</w:t>
            </w:r>
          </w:p>
        </w:tc>
        <w:tc>
          <w:tcPr>
            <w:tcW w:w="5188" w:type="dxa"/>
          </w:tcPr>
          <w:p w14:paraId="14073313" w14:textId="296C5105" w:rsidR="00690BF6" w:rsidRPr="00E4265B" w:rsidRDefault="00690BF6" w:rsidP="001B065A">
            <w:pPr>
              <w:spacing w:before="120" w:after="120"/>
              <w:jc w:val="both"/>
              <w:rPr>
                <w:rFonts w:ascii="Arial" w:hAnsi="Arial" w:cs="Arial"/>
                <w:sz w:val="22"/>
                <w:szCs w:val="22"/>
                <w:lang w:val="en-GB"/>
              </w:rPr>
            </w:pPr>
            <w:r w:rsidRPr="00E4265B">
              <w:rPr>
                <w:rFonts w:ascii="Arial" w:hAnsi="Arial" w:cs="Arial"/>
                <w:sz w:val="22"/>
                <w:szCs w:val="22"/>
                <w:lang w:val="en-GB"/>
              </w:rPr>
              <w:t xml:space="preserve">Means a Recognised Investment Exchange </w:t>
            </w:r>
            <w:r w:rsidR="001B065A" w:rsidRPr="00E4265B">
              <w:rPr>
                <w:rFonts w:ascii="Arial" w:hAnsi="Arial" w:cs="Arial"/>
                <w:sz w:val="22"/>
                <w:szCs w:val="22"/>
                <w:lang w:val="en-GB"/>
              </w:rPr>
              <w:t>or</w:t>
            </w:r>
            <w:r w:rsidRPr="00E4265B">
              <w:rPr>
                <w:rFonts w:ascii="Arial" w:hAnsi="Arial" w:cs="Arial"/>
                <w:sz w:val="22"/>
                <w:szCs w:val="22"/>
                <w:lang w:val="en-GB"/>
              </w:rPr>
              <w:t xml:space="preserve"> a Recognised Clearing House.</w:t>
            </w:r>
          </w:p>
        </w:tc>
      </w:tr>
      <w:tr w:rsidR="00690BF6" w:rsidRPr="00E4265B" w14:paraId="1472D686" w14:textId="77777777" w:rsidTr="00CD1719">
        <w:trPr>
          <w:gridBefore w:val="1"/>
          <w:wBefore w:w="882" w:type="dxa"/>
        </w:trPr>
        <w:tc>
          <w:tcPr>
            <w:tcW w:w="2462" w:type="dxa"/>
          </w:tcPr>
          <w:p w14:paraId="58A021D6" w14:textId="77777777" w:rsidR="00690BF6" w:rsidRPr="00E4265B" w:rsidRDefault="00690BF6" w:rsidP="00F9081A">
            <w:pPr>
              <w:spacing w:before="120" w:after="120"/>
              <w:rPr>
                <w:rFonts w:ascii="Arial" w:hAnsi="Arial" w:cs="Arial"/>
                <w:sz w:val="22"/>
                <w:szCs w:val="22"/>
                <w:lang w:val="en-GB"/>
              </w:rPr>
            </w:pPr>
            <w:r w:rsidRPr="00E4265B">
              <w:rPr>
                <w:rFonts w:ascii="Arial" w:hAnsi="Arial" w:cs="Arial"/>
                <w:sz w:val="22"/>
                <w:szCs w:val="22"/>
                <w:lang w:val="en-GB"/>
              </w:rPr>
              <w:lastRenderedPageBreak/>
              <w:t>Recognised Clearing House</w:t>
            </w:r>
          </w:p>
        </w:tc>
        <w:tc>
          <w:tcPr>
            <w:tcW w:w="5188" w:type="dxa"/>
          </w:tcPr>
          <w:p w14:paraId="123EF612" w14:textId="77777777" w:rsidR="00690BF6" w:rsidRPr="00E4265B" w:rsidRDefault="00C70291" w:rsidP="00264F1B">
            <w:pPr>
              <w:spacing w:before="120" w:after="120"/>
              <w:jc w:val="both"/>
              <w:rPr>
                <w:rFonts w:ascii="Arial" w:hAnsi="Arial" w:cs="Arial"/>
                <w:sz w:val="22"/>
                <w:szCs w:val="22"/>
                <w:lang w:val="en-GB"/>
              </w:rPr>
            </w:pPr>
            <w:r w:rsidRPr="00E4265B">
              <w:rPr>
                <w:rFonts w:ascii="Arial" w:hAnsi="Arial" w:cs="Arial"/>
                <w:snapToGrid w:val="0"/>
                <w:sz w:val="22"/>
                <w:szCs w:val="22"/>
                <w:lang w:val="en-GB"/>
              </w:rPr>
              <w:t>Means a clearing house which provides Clearing Services in the ADGM in relation to which a recognition order is in force under Part 12 of FSMR.</w:t>
            </w:r>
          </w:p>
        </w:tc>
      </w:tr>
      <w:tr w:rsidR="00690BF6" w:rsidRPr="00E4265B" w14:paraId="537B91C3" w14:textId="77777777" w:rsidTr="00CD1719">
        <w:trPr>
          <w:gridBefore w:val="1"/>
          <w:wBefore w:w="882" w:type="dxa"/>
        </w:trPr>
        <w:tc>
          <w:tcPr>
            <w:tcW w:w="2462" w:type="dxa"/>
          </w:tcPr>
          <w:p w14:paraId="149C9F2F" w14:textId="77777777" w:rsidR="00690BF6" w:rsidRPr="00E4265B" w:rsidRDefault="00690BF6" w:rsidP="00F9081A">
            <w:pPr>
              <w:spacing w:before="120" w:after="120"/>
              <w:rPr>
                <w:rFonts w:ascii="Arial" w:hAnsi="Arial" w:cs="Arial"/>
                <w:sz w:val="22"/>
                <w:szCs w:val="22"/>
                <w:lang w:val="en-GB"/>
              </w:rPr>
            </w:pPr>
            <w:r w:rsidRPr="00E4265B">
              <w:rPr>
                <w:rFonts w:ascii="Arial" w:hAnsi="Arial" w:cs="Arial"/>
                <w:sz w:val="22"/>
                <w:szCs w:val="22"/>
                <w:lang w:val="en-GB"/>
              </w:rPr>
              <w:t>Recognised Investment Exchange</w:t>
            </w:r>
          </w:p>
        </w:tc>
        <w:tc>
          <w:tcPr>
            <w:tcW w:w="5188" w:type="dxa"/>
          </w:tcPr>
          <w:p w14:paraId="57939302" w14:textId="77777777" w:rsidR="00690BF6" w:rsidRPr="00E4265B" w:rsidRDefault="00C70291" w:rsidP="00264F1B">
            <w:pPr>
              <w:spacing w:before="120" w:after="120"/>
              <w:jc w:val="both"/>
              <w:rPr>
                <w:rFonts w:ascii="Arial" w:hAnsi="Arial" w:cs="Arial"/>
                <w:sz w:val="22"/>
                <w:szCs w:val="22"/>
                <w:lang w:val="en-GB"/>
              </w:rPr>
            </w:pPr>
            <w:r w:rsidRPr="00E4265B">
              <w:rPr>
                <w:rFonts w:ascii="Arial" w:hAnsi="Arial" w:cs="Arial"/>
                <w:bCs/>
                <w:snapToGrid w:val="0"/>
                <w:sz w:val="22"/>
                <w:szCs w:val="22"/>
                <w:lang w:val="en-GB"/>
              </w:rPr>
              <w:t xml:space="preserve">Means </w:t>
            </w:r>
            <w:r w:rsidRPr="00E4265B">
              <w:rPr>
                <w:rFonts w:ascii="Arial" w:hAnsi="Arial" w:cs="Arial"/>
                <w:snapToGrid w:val="0"/>
                <w:sz w:val="22"/>
                <w:szCs w:val="22"/>
                <w:lang w:val="en-GB"/>
              </w:rPr>
              <w:t>an investment exchange in relation to which a recognition order is in force under Part 12 of FSMR.</w:t>
            </w:r>
          </w:p>
        </w:tc>
      </w:tr>
      <w:tr w:rsidR="00690BF6" w:rsidRPr="00E4265B" w14:paraId="7E4F7194" w14:textId="77777777" w:rsidTr="00CD1719">
        <w:trPr>
          <w:gridBefore w:val="1"/>
          <w:wBefore w:w="882" w:type="dxa"/>
        </w:trPr>
        <w:tc>
          <w:tcPr>
            <w:tcW w:w="2462" w:type="dxa"/>
          </w:tcPr>
          <w:p w14:paraId="4693BE1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Regulated Activity</w:t>
            </w:r>
          </w:p>
        </w:tc>
        <w:tc>
          <w:tcPr>
            <w:tcW w:w="5188" w:type="dxa"/>
          </w:tcPr>
          <w:p w14:paraId="2CF0EA9A" w14:textId="77777777" w:rsidR="00690BF6" w:rsidRPr="00E4265B" w:rsidRDefault="00690BF6" w:rsidP="007C5CC2">
            <w:pPr>
              <w:pStyle w:val="Heading8"/>
              <w:numPr>
                <w:ilvl w:val="0"/>
                <w:numId w:val="0"/>
              </w:numPr>
              <w:rPr>
                <w:rFonts w:ascii="Arial" w:hAnsi="Arial" w:cs="Arial"/>
                <w:sz w:val="22"/>
                <w:szCs w:val="22"/>
                <w:lang w:val="en-GB"/>
              </w:rPr>
            </w:pPr>
            <w:r w:rsidRPr="00E4265B">
              <w:rPr>
                <w:rFonts w:ascii="Arial" w:hAnsi="Arial" w:cs="Arial"/>
                <w:sz w:val="22"/>
                <w:szCs w:val="22"/>
                <w:lang w:val="en-GB"/>
              </w:rPr>
              <w:t>An activity constitutes a Regulated Activity under these Rules where:</w:t>
            </w:r>
          </w:p>
          <w:p w14:paraId="3164D2CA" w14:textId="4656BB56" w:rsidR="00690BF6" w:rsidRPr="00E4265B" w:rsidRDefault="00402727" w:rsidP="0019712D">
            <w:pPr>
              <w:pStyle w:val="Heading8"/>
              <w:numPr>
                <w:ilvl w:val="7"/>
                <w:numId w:val="63"/>
              </w:numPr>
              <w:rPr>
                <w:rFonts w:ascii="Arial" w:hAnsi="Arial" w:cs="Arial"/>
                <w:sz w:val="22"/>
                <w:szCs w:val="22"/>
                <w:lang w:val="en-GB"/>
              </w:rPr>
            </w:pPr>
            <w:r w:rsidRPr="00E4265B">
              <w:rPr>
                <w:rFonts w:ascii="Arial" w:hAnsi="Arial" w:cs="Arial"/>
                <w:sz w:val="22"/>
                <w:szCs w:val="22"/>
                <w:lang w:val="en-GB"/>
              </w:rPr>
              <w:t>It</w:t>
            </w:r>
            <w:r w:rsidR="00690BF6" w:rsidRPr="00E4265B">
              <w:rPr>
                <w:rFonts w:ascii="Arial" w:hAnsi="Arial" w:cs="Arial"/>
                <w:sz w:val="22"/>
                <w:szCs w:val="22"/>
                <w:lang w:val="en-GB"/>
              </w:rPr>
              <w:t xml:space="preserve"> is one of the activities below:</w:t>
            </w:r>
          </w:p>
          <w:p w14:paraId="03F755BF"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Accepting Deposits;</w:t>
            </w:r>
          </w:p>
          <w:p w14:paraId="42A12301"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Providing Credit;</w:t>
            </w:r>
          </w:p>
          <w:p w14:paraId="3AC8B40E"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Providing Money Services;</w:t>
            </w:r>
          </w:p>
          <w:p w14:paraId="40B05CFF"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Dealing in Investments as Principal;</w:t>
            </w:r>
          </w:p>
          <w:p w14:paraId="48EC694B"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Dealing in Investments as Agent;</w:t>
            </w:r>
          </w:p>
          <w:p w14:paraId="3090471A"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Arranging Credit;</w:t>
            </w:r>
          </w:p>
          <w:p w14:paraId="2A0476A8"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Arranging Deals in Investments;</w:t>
            </w:r>
          </w:p>
          <w:p w14:paraId="0848C614"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Managing Assets;</w:t>
            </w:r>
          </w:p>
          <w:p w14:paraId="6AE3A5D6"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Advising on Investments or Credit;</w:t>
            </w:r>
          </w:p>
          <w:p w14:paraId="3A5DE1E7"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Managing a Collective Investment Fund;</w:t>
            </w:r>
          </w:p>
          <w:p w14:paraId="3EB028C5"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Providing Custody;</w:t>
            </w:r>
          </w:p>
          <w:p w14:paraId="0718DCD8"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Arranging Custody;</w:t>
            </w:r>
          </w:p>
          <w:p w14:paraId="5FDD04B0"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Effecting Contracts of Insurance;</w:t>
            </w:r>
          </w:p>
          <w:p w14:paraId="3D09B2F2"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Carrying Out Contracts of Insurance as Principal;</w:t>
            </w:r>
          </w:p>
          <w:p w14:paraId="3822D40B"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Insurance Intermediation;</w:t>
            </w:r>
          </w:p>
          <w:p w14:paraId="2B2D7394"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Insurance Management;</w:t>
            </w:r>
          </w:p>
          <w:p w14:paraId="09B7B67B"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Managing a Profit Sharing Investment Account;</w:t>
            </w:r>
          </w:p>
          <w:p w14:paraId="67E04B9F"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Acting as the Administrator of a Collective Investment Fund;</w:t>
            </w:r>
          </w:p>
          <w:p w14:paraId="22C202C8"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Acting as the Trustee of an Investment Trust;</w:t>
            </w:r>
          </w:p>
          <w:p w14:paraId="07F17B57"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lastRenderedPageBreak/>
              <w:t>Operating a Representative Office;</w:t>
            </w:r>
          </w:p>
          <w:p w14:paraId="5615736C"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Operating a Credit Rating Agency;</w:t>
            </w:r>
          </w:p>
          <w:p w14:paraId="0FF9E6A1"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Administering a Specified Benchmark;</w:t>
            </w:r>
          </w:p>
          <w:p w14:paraId="011173A7"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Operating a Multilateral Trading Facility or Organised Trading Facility;</w:t>
            </w:r>
          </w:p>
          <w:p w14:paraId="158E73E2" w14:textId="77777777" w:rsidR="00690BF6" w:rsidRPr="00E4265B" w:rsidRDefault="00690BF6" w:rsidP="00EB5478">
            <w:pPr>
              <w:pStyle w:val="Heading9"/>
              <w:rPr>
                <w:rFonts w:ascii="Arial" w:hAnsi="Arial" w:cs="Arial"/>
                <w:sz w:val="22"/>
                <w:szCs w:val="22"/>
                <w:lang w:val="en-GB"/>
              </w:rPr>
            </w:pPr>
            <w:r w:rsidRPr="00E4265B">
              <w:rPr>
                <w:rFonts w:ascii="Arial" w:hAnsi="Arial" w:cs="Arial"/>
                <w:sz w:val="22"/>
                <w:szCs w:val="22"/>
                <w:lang w:val="en-GB"/>
              </w:rPr>
              <w:t>Providing Information in Relation to a Specified Benchmark; and</w:t>
            </w:r>
          </w:p>
          <w:p w14:paraId="15007102" w14:textId="77777777" w:rsidR="00690BF6" w:rsidRPr="00E4265B" w:rsidRDefault="009339DD" w:rsidP="00EB5478">
            <w:pPr>
              <w:pStyle w:val="Heading9"/>
              <w:rPr>
                <w:rFonts w:ascii="Arial" w:hAnsi="Arial" w:cs="Arial"/>
                <w:sz w:val="22"/>
                <w:szCs w:val="22"/>
                <w:lang w:val="en-GB"/>
              </w:rPr>
            </w:pPr>
            <w:r w:rsidRPr="00E4265B">
              <w:rPr>
                <w:rFonts w:ascii="Arial" w:hAnsi="Arial" w:cs="Arial"/>
                <w:sz w:val="22"/>
                <w:szCs w:val="22"/>
                <w:lang w:val="en-GB"/>
              </w:rPr>
              <w:t>Shari’a</w:t>
            </w:r>
            <w:r w:rsidR="00690BF6" w:rsidRPr="00E4265B">
              <w:rPr>
                <w:rFonts w:ascii="Arial" w:hAnsi="Arial" w:cs="Arial"/>
                <w:sz w:val="22"/>
                <w:szCs w:val="22"/>
                <w:lang w:val="en-GB"/>
              </w:rPr>
              <w:t>-compliant Regulated Activities</w:t>
            </w:r>
            <w:r w:rsidR="00C42923" w:rsidRPr="00E4265B">
              <w:rPr>
                <w:rFonts w:ascii="Arial" w:hAnsi="Arial" w:cs="Arial"/>
                <w:sz w:val="22"/>
                <w:szCs w:val="22"/>
                <w:lang w:val="en-GB"/>
              </w:rPr>
              <w:t>; and</w:t>
            </w:r>
          </w:p>
          <w:p w14:paraId="4CFC18C7" w14:textId="0B913F76" w:rsidR="00690BF6" w:rsidRPr="00E4265B" w:rsidRDefault="00402727" w:rsidP="00CC4877">
            <w:pPr>
              <w:pStyle w:val="Heading8"/>
              <w:rPr>
                <w:rFonts w:ascii="Arial" w:hAnsi="Arial" w:cs="Arial"/>
                <w:sz w:val="22"/>
                <w:szCs w:val="22"/>
                <w:lang w:val="en-GB"/>
              </w:rPr>
            </w:pPr>
            <w:r w:rsidRPr="00E4265B">
              <w:rPr>
                <w:rFonts w:ascii="Arial" w:hAnsi="Arial" w:cs="Arial"/>
                <w:sz w:val="22"/>
                <w:szCs w:val="22"/>
                <w:lang w:val="en-GB"/>
              </w:rPr>
              <w:t>S</w:t>
            </w:r>
            <w:r w:rsidR="00690BF6" w:rsidRPr="00E4265B">
              <w:rPr>
                <w:rFonts w:ascii="Arial" w:hAnsi="Arial" w:cs="Arial"/>
                <w:sz w:val="22"/>
                <w:szCs w:val="22"/>
                <w:lang w:val="en-GB"/>
              </w:rPr>
              <w:t>uch activity prescribed in (</w:t>
            </w:r>
            <w:r w:rsidR="00CC4877" w:rsidRPr="00E4265B">
              <w:rPr>
                <w:rFonts w:ascii="Arial" w:hAnsi="Arial" w:cs="Arial"/>
                <w:sz w:val="22"/>
                <w:szCs w:val="22"/>
                <w:lang w:val="en-GB"/>
              </w:rPr>
              <w:t>1</w:t>
            </w:r>
            <w:r w:rsidR="00690BF6" w:rsidRPr="00E4265B">
              <w:rPr>
                <w:rFonts w:ascii="Arial" w:hAnsi="Arial" w:cs="Arial"/>
                <w:sz w:val="22"/>
                <w:szCs w:val="22"/>
                <w:lang w:val="en-GB"/>
              </w:rPr>
              <w:t>) is carried on By Way of Business.</w:t>
            </w:r>
          </w:p>
        </w:tc>
      </w:tr>
      <w:tr w:rsidR="00690BF6" w:rsidRPr="00E4265B" w14:paraId="3B20319B" w14:textId="77777777" w:rsidTr="00CD1719">
        <w:trPr>
          <w:gridBefore w:val="1"/>
          <w:wBefore w:w="882" w:type="dxa"/>
        </w:trPr>
        <w:tc>
          <w:tcPr>
            <w:tcW w:w="2462" w:type="dxa"/>
          </w:tcPr>
          <w:p w14:paraId="48C536D9"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Regulator</w:t>
            </w:r>
          </w:p>
        </w:tc>
        <w:tc>
          <w:tcPr>
            <w:tcW w:w="5188" w:type="dxa"/>
          </w:tcPr>
          <w:p w14:paraId="50D5F4E1" w14:textId="7C899069" w:rsidR="00690BF6" w:rsidRPr="00E4265B" w:rsidRDefault="00690BF6" w:rsidP="001B065A">
            <w:pPr>
              <w:spacing w:before="120" w:after="120"/>
              <w:jc w:val="both"/>
              <w:rPr>
                <w:rFonts w:ascii="Arial" w:hAnsi="Arial" w:cs="Arial"/>
                <w:sz w:val="22"/>
                <w:szCs w:val="22"/>
                <w:lang w:val="en-GB"/>
              </w:rPr>
            </w:pPr>
            <w:r w:rsidRPr="00E4265B">
              <w:rPr>
                <w:rFonts w:ascii="Arial" w:hAnsi="Arial" w:cs="Arial"/>
                <w:sz w:val="22"/>
                <w:szCs w:val="22"/>
                <w:lang w:val="en-GB"/>
              </w:rPr>
              <w:t xml:space="preserve">Means the </w:t>
            </w:r>
            <w:r w:rsidR="001B065A" w:rsidRPr="00E4265B">
              <w:rPr>
                <w:rFonts w:ascii="Arial" w:hAnsi="Arial" w:cs="Arial"/>
                <w:sz w:val="22"/>
                <w:szCs w:val="22"/>
                <w:lang w:val="en-GB"/>
              </w:rPr>
              <w:t xml:space="preserve">regulator of </w:t>
            </w:r>
            <w:r w:rsidRPr="00E4265B">
              <w:rPr>
                <w:rFonts w:ascii="Arial" w:hAnsi="Arial" w:cs="Arial"/>
                <w:sz w:val="22"/>
                <w:szCs w:val="22"/>
                <w:lang w:val="en-GB"/>
              </w:rPr>
              <w:t xml:space="preserve">Regulated Activities </w:t>
            </w:r>
            <w:r w:rsidR="001B065A" w:rsidRPr="00E4265B">
              <w:rPr>
                <w:rFonts w:ascii="Arial" w:hAnsi="Arial" w:cs="Arial"/>
                <w:sz w:val="22"/>
                <w:szCs w:val="22"/>
                <w:lang w:val="en-GB"/>
              </w:rPr>
              <w:t>in</w:t>
            </w:r>
            <w:r w:rsidRPr="00E4265B">
              <w:rPr>
                <w:rFonts w:ascii="Arial" w:hAnsi="Arial" w:cs="Arial"/>
                <w:sz w:val="22"/>
                <w:szCs w:val="22"/>
                <w:lang w:val="en-GB"/>
              </w:rPr>
              <w:t xml:space="preserve"> ADGM.</w:t>
            </w:r>
          </w:p>
        </w:tc>
      </w:tr>
      <w:tr w:rsidR="00690BF6" w:rsidRPr="00E4265B" w14:paraId="11D94CBF" w14:textId="77777777" w:rsidTr="00CD1719">
        <w:trPr>
          <w:gridBefore w:val="1"/>
          <w:wBefore w:w="882" w:type="dxa"/>
        </w:trPr>
        <w:tc>
          <w:tcPr>
            <w:tcW w:w="2462" w:type="dxa"/>
          </w:tcPr>
          <w:p w14:paraId="5D1BE74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Related Person</w:t>
            </w:r>
          </w:p>
        </w:tc>
        <w:tc>
          <w:tcPr>
            <w:tcW w:w="5188" w:type="dxa"/>
          </w:tcPr>
          <w:p w14:paraId="1284F5E0"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Has the meaning given in Rule 4.4.6.</w:t>
            </w:r>
          </w:p>
        </w:tc>
      </w:tr>
      <w:tr w:rsidR="00690BF6" w:rsidRPr="00E4265B" w14:paraId="4BB9C338" w14:textId="77777777" w:rsidTr="00CD1719">
        <w:trPr>
          <w:gridBefore w:val="1"/>
          <w:wBefore w:w="882" w:type="dxa"/>
        </w:trPr>
        <w:tc>
          <w:tcPr>
            <w:tcW w:w="2462" w:type="dxa"/>
          </w:tcPr>
          <w:p w14:paraId="586201F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Relevant Entity</w:t>
            </w:r>
          </w:p>
        </w:tc>
        <w:tc>
          <w:tcPr>
            <w:tcW w:w="5188" w:type="dxa"/>
          </w:tcPr>
          <w:p w14:paraId="42F264FB"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Means any of the following:</w:t>
            </w:r>
          </w:p>
          <w:p w14:paraId="6818BB83" w14:textId="77777777" w:rsidR="00690BF6" w:rsidRPr="00E4265B" w:rsidRDefault="00690BF6" w:rsidP="009707EC">
            <w:pPr>
              <w:pStyle w:val="Heading9"/>
              <w:rPr>
                <w:rFonts w:ascii="Arial" w:hAnsi="Arial" w:cs="Arial"/>
                <w:sz w:val="22"/>
                <w:szCs w:val="22"/>
                <w:lang w:val="en-GB"/>
              </w:rPr>
            </w:pPr>
            <w:r w:rsidRPr="00E4265B">
              <w:rPr>
                <w:rFonts w:ascii="Arial" w:hAnsi="Arial" w:cs="Arial"/>
                <w:sz w:val="22"/>
                <w:szCs w:val="22"/>
                <w:lang w:val="en-GB"/>
              </w:rPr>
              <w:t>a Financial Institution; or</w:t>
            </w:r>
          </w:p>
          <w:p w14:paraId="17DE71A0" w14:textId="77777777" w:rsidR="00690BF6" w:rsidRPr="00E4265B" w:rsidRDefault="00BF2706" w:rsidP="00BF2706">
            <w:pPr>
              <w:pStyle w:val="Heading9"/>
              <w:rPr>
                <w:rFonts w:ascii="Arial" w:hAnsi="Arial" w:cs="Arial"/>
                <w:sz w:val="22"/>
                <w:szCs w:val="22"/>
                <w:lang w:val="en-GB"/>
              </w:rPr>
            </w:pPr>
            <w:r w:rsidRPr="00E4265B">
              <w:rPr>
                <w:rFonts w:ascii="Arial" w:hAnsi="Arial" w:cs="Arial"/>
                <w:sz w:val="22"/>
                <w:szCs w:val="22"/>
                <w:lang w:val="en-GB"/>
              </w:rPr>
              <w:t>a</w:t>
            </w:r>
            <w:r w:rsidR="00690BF6" w:rsidRPr="00E4265B">
              <w:rPr>
                <w:rFonts w:ascii="Arial" w:hAnsi="Arial" w:cs="Arial"/>
                <w:sz w:val="22"/>
                <w:szCs w:val="22"/>
                <w:lang w:val="en-GB"/>
              </w:rPr>
              <w:t xml:space="preserve"> financial Holding Company.</w:t>
            </w:r>
          </w:p>
        </w:tc>
      </w:tr>
      <w:tr w:rsidR="00690BF6" w:rsidRPr="00E4265B" w14:paraId="6ACC37EC" w14:textId="77777777" w:rsidTr="00CD1719">
        <w:trPr>
          <w:gridBefore w:val="1"/>
          <w:wBefore w:w="882" w:type="dxa"/>
        </w:trPr>
        <w:tc>
          <w:tcPr>
            <w:tcW w:w="2462" w:type="dxa"/>
          </w:tcPr>
          <w:p w14:paraId="308308BF"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Representative Office</w:t>
            </w:r>
          </w:p>
        </w:tc>
        <w:tc>
          <w:tcPr>
            <w:tcW w:w="5188" w:type="dxa"/>
          </w:tcPr>
          <w:p w14:paraId="2DF35337" w14:textId="77777777" w:rsidR="00690BF6" w:rsidRPr="00E4265B" w:rsidRDefault="00690BF6" w:rsidP="00201D55">
            <w:pPr>
              <w:spacing w:before="120" w:after="120"/>
              <w:rPr>
                <w:rFonts w:ascii="Arial" w:hAnsi="Arial" w:cs="Arial"/>
                <w:sz w:val="22"/>
                <w:szCs w:val="22"/>
                <w:lang w:val="en-GB"/>
              </w:rPr>
            </w:pPr>
            <w:r w:rsidRPr="00E4265B">
              <w:rPr>
                <w:rFonts w:ascii="Arial" w:hAnsi="Arial" w:cs="Arial"/>
                <w:sz w:val="22"/>
                <w:szCs w:val="22"/>
                <w:lang w:val="en-GB"/>
              </w:rPr>
              <w:t>A Person carrying on in the ADGM the Regulated Activity of Operating a Representative Office for which it has authorisation under its Financial Services Permission.</w:t>
            </w:r>
          </w:p>
        </w:tc>
      </w:tr>
      <w:tr w:rsidR="001B065A" w:rsidRPr="00E4265B" w14:paraId="6A7DA410" w14:textId="77777777" w:rsidTr="00CD1719">
        <w:trPr>
          <w:gridBefore w:val="1"/>
          <w:wBefore w:w="882" w:type="dxa"/>
        </w:trPr>
        <w:tc>
          <w:tcPr>
            <w:tcW w:w="2462" w:type="dxa"/>
          </w:tcPr>
          <w:p w14:paraId="4D477447" w14:textId="20F36073" w:rsidR="001B065A" w:rsidRPr="00E4265B" w:rsidRDefault="001B065A" w:rsidP="001B065A">
            <w:pPr>
              <w:spacing w:before="120" w:after="120"/>
              <w:rPr>
                <w:rFonts w:ascii="Arial" w:hAnsi="Arial" w:cs="Arial"/>
                <w:sz w:val="22"/>
                <w:szCs w:val="22"/>
                <w:lang w:val="en-GB"/>
              </w:rPr>
            </w:pPr>
            <w:r w:rsidRPr="00E4265B">
              <w:rPr>
                <w:rFonts w:ascii="Arial" w:hAnsi="Arial" w:cs="Arial"/>
                <w:sz w:val="22"/>
                <w:szCs w:val="22"/>
                <w:lang w:val="en-GB"/>
              </w:rPr>
              <w:t>Required Stable Funding</w:t>
            </w:r>
          </w:p>
        </w:tc>
        <w:tc>
          <w:tcPr>
            <w:tcW w:w="5188" w:type="dxa"/>
          </w:tcPr>
          <w:p w14:paraId="4944ABBF" w14:textId="33C7F1CC" w:rsidR="001B065A" w:rsidRPr="00E4265B" w:rsidRDefault="001B065A" w:rsidP="001B065A">
            <w:pPr>
              <w:spacing w:before="120" w:after="120"/>
              <w:jc w:val="both"/>
              <w:rPr>
                <w:rFonts w:ascii="Arial" w:hAnsi="Arial" w:cs="Arial"/>
                <w:sz w:val="22"/>
                <w:szCs w:val="22"/>
                <w:lang w:val="en-GB"/>
              </w:rPr>
            </w:pPr>
            <w:r w:rsidRPr="00E4265B">
              <w:rPr>
                <w:rFonts w:ascii="Arial" w:hAnsi="Arial" w:cs="Arial"/>
                <w:sz w:val="22"/>
                <w:szCs w:val="22"/>
                <w:lang w:val="en-GB"/>
              </w:rPr>
              <w:t>The amount calculated in accordance with Rule A10.4.9.</w:t>
            </w:r>
          </w:p>
        </w:tc>
      </w:tr>
      <w:tr w:rsidR="00690BF6" w:rsidRPr="00E4265B" w14:paraId="59B94B3A" w14:textId="77777777" w:rsidTr="00CD1719">
        <w:trPr>
          <w:gridBefore w:val="1"/>
          <w:wBefore w:w="882" w:type="dxa"/>
        </w:trPr>
        <w:tc>
          <w:tcPr>
            <w:tcW w:w="2462" w:type="dxa"/>
          </w:tcPr>
          <w:p w14:paraId="6C5983F9"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Re</w:t>
            </w:r>
            <w:r w:rsidRPr="00E4265B">
              <w:rPr>
                <w:rFonts w:ascii="Arial" w:hAnsi="Arial" w:cs="Arial"/>
                <w:sz w:val="22"/>
                <w:szCs w:val="22"/>
                <w:lang w:val="en-GB"/>
              </w:rPr>
              <w:noBreakHyphen/>
              <w:t>securitisation</w:t>
            </w:r>
          </w:p>
        </w:tc>
        <w:tc>
          <w:tcPr>
            <w:tcW w:w="5188" w:type="dxa"/>
          </w:tcPr>
          <w:p w14:paraId="4128EA82"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Has the meaning given in Section 4.14.</w:t>
            </w:r>
          </w:p>
        </w:tc>
      </w:tr>
      <w:tr w:rsidR="00690BF6" w:rsidRPr="00E4265B" w14:paraId="68BAB6E5" w14:textId="77777777" w:rsidTr="00CD1719">
        <w:trPr>
          <w:gridBefore w:val="1"/>
          <w:wBefore w:w="882" w:type="dxa"/>
        </w:trPr>
        <w:tc>
          <w:tcPr>
            <w:tcW w:w="2462" w:type="dxa"/>
          </w:tcPr>
          <w:p w14:paraId="3487CD4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Re-securitisation Exposure</w:t>
            </w:r>
          </w:p>
        </w:tc>
        <w:tc>
          <w:tcPr>
            <w:tcW w:w="5188" w:type="dxa"/>
          </w:tcPr>
          <w:p w14:paraId="58DB1B7F"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Has the meaning given in Section 4.14.2(c).</w:t>
            </w:r>
          </w:p>
        </w:tc>
      </w:tr>
      <w:tr w:rsidR="00690BF6" w:rsidRPr="00E4265B" w14:paraId="56B0C080" w14:textId="77777777" w:rsidTr="00CD1719">
        <w:trPr>
          <w:gridBefore w:val="1"/>
          <w:wBefore w:w="882" w:type="dxa"/>
        </w:trPr>
        <w:tc>
          <w:tcPr>
            <w:tcW w:w="2462" w:type="dxa"/>
          </w:tcPr>
          <w:p w14:paraId="5E074E46"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Restricted PSIA (PSIAr)</w:t>
            </w:r>
          </w:p>
        </w:tc>
        <w:tc>
          <w:tcPr>
            <w:tcW w:w="5188" w:type="dxa"/>
          </w:tcPr>
          <w:p w14:paraId="5952C086" w14:textId="3B1B2A28" w:rsidR="00690BF6" w:rsidRPr="00E4265B" w:rsidRDefault="00690BF6" w:rsidP="00402727">
            <w:pPr>
              <w:spacing w:before="120" w:after="120"/>
              <w:jc w:val="both"/>
              <w:rPr>
                <w:rFonts w:ascii="Arial" w:hAnsi="Arial" w:cs="Arial"/>
                <w:sz w:val="22"/>
                <w:szCs w:val="22"/>
                <w:lang w:val="en-GB"/>
              </w:rPr>
            </w:pPr>
            <w:r w:rsidRPr="00E4265B">
              <w:rPr>
                <w:rFonts w:ascii="Arial" w:hAnsi="Arial" w:cs="Arial"/>
                <w:sz w:val="22"/>
                <w:szCs w:val="22"/>
                <w:lang w:val="en-GB"/>
              </w:rPr>
              <w:t xml:space="preserve">A PSIA in respect of the investment account holder imposes certain restrictions as to where, how and for what purpose </w:t>
            </w:r>
            <w:r w:rsidR="00402727" w:rsidRPr="00E4265B">
              <w:rPr>
                <w:rFonts w:ascii="Arial" w:hAnsi="Arial" w:cs="Arial"/>
                <w:sz w:val="22"/>
                <w:szCs w:val="22"/>
                <w:lang w:val="en-GB"/>
              </w:rPr>
              <w:t>hi</w:t>
            </w:r>
            <w:r w:rsidRPr="00E4265B">
              <w:rPr>
                <w:rFonts w:ascii="Arial" w:hAnsi="Arial" w:cs="Arial"/>
                <w:sz w:val="22"/>
                <w:szCs w:val="22"/>
                <w:lang w:val="en-GB"/>
              </w:rPr>
              <w:t>s funds are to be invested.</w:t>
            </w:r>
          </w:p>
        </w:tc>
      </w:tr>
      <w:tr w:rsidR="00690BF6" w:rsidRPr="00E4265B" w14:paraId="3B22BCDD" w14:textId="77777777" w:rsidTr="00CD1719">
        <w:trPr>
          <w:gridBefore w:val="1"/>
          <w:wBefore w:w="882" w:type="dxa"/>
        </w:trPr>
        <w:tc>
          <w:tcPr>
            <w:tcW w:w="2462" w:type="dxa"/>
          </w:tcPr>
          <w:p w14:paraId="55D5D6F3"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Retail Client</w:t>
            </w:r>
          </w:p>
        </w:tc>
        <w:tc>
          <w:tcPr>
            <w:tcW w:w="5188" w:type="dxa"/>
          </w:tcPr>
          <w:p w14:paraId="07A40A10" w14:textId="77777777" w:rsidR="00690BF6" w:rsidRPr="00E4265B" w:rsidRDefault="00C70291" w:rsidP="00201D55">
            <w:pPr>
              <w:spacing w:before="120" w:after="120"/>
              <w:rPr>
                <w:rFonts w:ascii="Arial" w:hAnsi="Arial" w:cs="Arial"/>
                <w:sz w:val="22"/>
                <w:szCs w:val="22"/>
                <w:lang w:val="en-GB"/>
              </w:rPr>
            </w:pPr>
            <w:r w:rsidRPr="00E4265B">
              <w:rPr>
                <w:rFonts w:ascii="Arial" w:hAnsi="Arial" w:cs="Arial"/>
                <w:snapToGrid w:val="0"/>
                <w:sz w:val="22"/>
                <w:szCs w:val="22"/>
                <w:lang w:val="en-GB"/>
              </w:rPr>
              <w:t>Means a Client specified under COBS 2.3.</w:t>
            </w:r>
          </w:p>
        </w:tc>
      </w:tr>
      <w:tr w:rsidR="00690BF6" w:rsidRPr="00E4265B" w14:paraId="3B6D484E" w14:textId="77777777" w:rsidTr="00CD1719">
        <w:trPr>
          <w:gridBefore w:val="1"/>
          <w:wBefore w:w="882" w:type="dxa"/>
        </w:trPr>
        <w:tc>
          <w:tcPr>
            <w:tcW w:w="2462" w:type="dxa"/>
          </w:tcPr>
          <w:p w14:paraId="3EB434D7"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Revolving Securitisation</w:t>
            </w:r>
          </w:p>
        </w:tc>
        <w:tc>
          <w:tcPr>
            <w:tcW w:w="5188" w:type="dxa"/>
          </w:tcPr>
          <w:p w14:paraId="225BEBAE"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Traditional or Synthetic Securitisation in which the specified items consist of revolving assets such as loan facilities or credit card balances which permit borrowers to vary the drawn amount within an agreed limit, or the scheme itself is revolving.</w:t>
            </w:r>
          </w:p>
        </w:tc>
      </w:tr>
      <w:tr w:rsidR="00690BF6" w:rsidRPr="00E4265B" w14:paraId="088935B8" w14:textId="77777777" w:rsidTr="00CD1719">
        <w:trPr>
          <w:gridBefore w:val="1"/>
          <w:wBefore w:w="882" w:type="dxa"/>
        </w:trPr>
        <w:tc>
          <w:tcPr>
            <w:tcW w:w="2462" w:type="dxa"/>
          </w:tcPr>
          <w:p w14:paraId="6A7BA6DC"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Rho</w:t>
            </w:r>
          </w:p>
        </w:tc>
        <w:tc>
          <w:tcPr>
            <w:tcW w:w="5188" w:type="dxa"/>
          </w:tcPr>
          <w:p w14:paraId="24BD2D8D"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The measure of an Option's sensitivity to a change in interest rates.</w:t>
            </w:r>
          </w:p>
        </w:tc>
      </w:tr>
      <w:tr w:rsidR="00690BF6" w:rsidRPr="00E4265B" w14:paraId="1BFD7DCB" w14:textId="77777777" w:rsidTr="00CD1719">
        <w:trPr>
          <w:gridBefore w:val="1"/>
          <w:wBefore w:w="882" w:type="dxa"/>
        </w:trPr>
        <w:tc>
          <w:tcPr>
            <w:tcW w:w="2462" w:type="dxa"/>
          </w:tcPr>
          <w:p w14:paraId="12DE8FDD"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Risk Capital Requirement</w:t>
            </w:r>
          </w:p>
        </w:tc>
        <w:tc>
          <w:tcPr>
            <w:tcW w:w="5188" w:type="dxa"/>
          </w:tcPr>
          <w:p w14:paraId="7F41D7B7" w14:textId="4366E95C" w:rsidR="00690BF6" w:rsidRPr="00E4265B" w:rsidRDefault="00690BF6" w:rsidP="00B44E90">
            <w:pPr>
              <w:tabs>
                <w:tab w:val="left" w:pos="1182"/>
              </w:tabs>
              <w:spacing w:before="120" w:after="120"/>
              <w:jc w:val="both"/>
              <w:rPr>
                <w:rFonts w:ascii="Arial" w:hAnsi="Arial" w:cs="Arial"/>
                <w:sz w:val="22"/>
                <w:szCs w:val="22"/>
                <w:lang w:val="en-GB"/>
              </w:rPr>
            </w:pPr>
            <w:r w:rsidRPr="00E4265B">
              <w:rPr>
                <w:rFonts w:ascii="Arial" w:hAnsi="Arial" w:cs="Arial"/>
                <w:sz w:val="22"/>
                <w:szCs w:val="22"/>
                <w:lang w:val="en-GB"/>
              </w:rPr>
              <w:t>Has the meaning given in Section 3.</w:t>
            </w:r>
            <w:r w:rsidR="00B44E90" w:rsidRPr="00E4265B">
              <w:rPr>
                <w:rFonts w:ascii="Arial" w:hAnsi="Arial" w:cs="Arial"/>
                <w:sz w:val="22"/>
                <w:szCs w:val="22"/>
                <w:lang w:val="en-GB"/>
              </w:rPr>
              <w:t>5</w:t>
            </w:r>
            <w:r w:rsidRPr="00E4265B">
              <w:rPr>
                <w:rFonts w:ascii="Arial" w:hAnsi="Arial" w:cs="Arial"/>
                <w:sz w:val="22"/>
                <w:szCs w:val="22"/>
                <w:lang w:val="en-GB"/>
              </w:rPr>
              <w:t>.</w:t>
            </w:r>
          </w:p>
        </w:tc>
      </w:tr>
      <w:tr w:rsidR="00DF0111" w:rsidRPr="00E4265B" w14:paraId="3550D244" w14:textId="77777777" w:rsidTr="00CD1719">
        <w:trPr>
          <w:gridBefore w:val="1"/>
          <w:wBefore w:w="882" w:type="dxa"/>
        </w:trPr>
        <w:tc>
          <w:tcPr>
            <w:tcW w:w="2462" w:type="dxa"/>
          </w:tcPr>
          <w:p w14:paraId="256ADFFF" w14:textId="789F5151" w:rsidR="00DF0111" w:rsidRPr="00E4265B" w:rsidRDefault="00DF0111" w:rsidP="006529E8">
            <w:pPr>
              <w:spacing w:before="120" w:after="120"/>
              <w:rPr>
                <w:rFonts w:ascii="Arial" w:hAnsi="Arial" w:cs="Arial"/>
                <w:sz w:val="22"/>
                <w:szCs w:val="22"/>
                <w:lang w:val="en-GB"/>
              </w:rPr>
            </w:pPr>
            <w:r w:rsidRPr="00E4265B">
              <w:rPr>
                <w:rFonts w:ascii="Arial" w:hAnsi="Arial" w:cs="Arial"/>
                <w:sz w:val="22"/>
                <w:szCs w:val="22"/>
                <w:lang w:val="en-GB"/>
              </w:rPr>
              <w:t>Risk Exposure Amount</w:t>
            </w:r>
          </w:p>
        </w:tc>
        <w:tc>
          <w:tcPr>
            <w:tcW w:w="5188" w:type="dxa"/>
          </w:tcPr>
          <w:p w14:paraId="101FF6EE" w14:textId="5018E177" w:rsidR="00DF0111" w:rsidRPr="00E4265B" w:rsidRDefault="00DF0111" w:rsidP="006529E8">
            <w:pPr>
              <w:spacing w:before="120" w:after="120"/>
              <w:jc w:val="both"/>
              <w:rPr>
                <w:rFonts w:ascii="Arial" w:hAnsi="Arial" w:cs="Arial"/>
                <w:sz w:val="22"/>
                <w:szCs w:val="22"/>
                <w:lang w:val="en-GB"/>
              </w:rPr>
            </w:pPr>
            <w:r w:rsidRPr="00E4265B">
              <w:rPr>
                <w:rFonts w:ascii="Arial" w:hAnsi="Arial" w:cs="Arial"/>
                <w:sz w:val="22"/>
                <w:szCs w:val="22"/>
                <w:lang w:val="en-GB"/>
              </w:rPr>
              <w:t>Has the meaning given in Rule 3.5.8.</w:t>
            </w:r>
          </w:p>
        </w:tc>
      </w:tr>
      <w:tr w:rsidR="001B065A" w:rsidRPr="00E4265B" w14:paraId="755A91A0" w14:textId="77777777" w:rsidTr="00CD1719">
        <w:trPr>
          <w:gridBefore w:val="1"/>
          <w:wBefore w:w="882" w:type="dxa"/>
        </w:trPr>
        <w:tc>
          <w:tcPr>
            <w:tcW w:w="2462" w:type="dxa"/>
          </w:tcPr>
          <w:p w14:paraId="26C5B0F2" w14:textId="63FC07B6" w:rsidR="001B065A" w:rsidRPr="00E4265B" w:rsidRDefault="001B065A" w:rsidP="001B065A">
            <w:pPr>
              <w:spacing w:before="120" w:after="120"/>
              <w:rPr>
                <w:rFonts w:ascii="Arial" w:hAnsi="Arial" w:cs="Arial"/>
                <w:sz w:val="22"/>
                <w:szCs w:val="22"/>
                <w:lang w:val="en-GB"/>
              </w:rPr>
            </w:pPr>
            <w:r w:rsidRPr="00E4265B">
              <w:rPr>
                <w:rFonts w:ascii="Arial" w:hAnsi="Arial" w:cs="Arial"/>
                <w:sz w:val="22"/>
                <w:szCs w:val="22"/>
                <w:lang w:val="en-GB"/>
              </w:rPr>
              <w:t>RSF</w:t>
            </w:r>
          </w:p>
        </w:tc>
        <w:tc>
          <w:tcPr>
            <w:tcW w:w="5188" w:type="dxa"/>
          </w:tcPr>
          <w:p w14:paraId="0921EBAA" w14:textId="56C0C2A2" w:rsidR="001B065A" w:rsidRPr="00E4265B" w:rsidRDefault="001B065A" w:rsidP="001B065A">
            <w:pPr>
              <w:spacing w:before="120" w:after="120"/>
              <w:jc w:val="both"/>
              <w:rPr>
                <w:rFonts w:ascii="Arial" w:hAnsi="Arial" w:cs="Arial"/>
                <w:sz w:val="22"/>
                <w:szCs w:val="22"/>
                <w:lang w:val="en-GB"/>
              </w:rPr>
            </w:pPr>
            <w:r w:rsidRPr="00E4265B">
              <w:rPr>
                <w:rFonts w:ascii="Arial" w:hAnsi="Arial" w:cs="Arial"/>
                <w:sz w:val="22"/>
                <w:szCs w:val="22"/>
                <w:lang w:val="en-GB"/>
              </w:rPr>
              <w:t>Required Stable Funding.</w:t>
            </w:r>
          </w:p>
        </w:tc>
      </w:tr>
      <w:tr w:rsidR="00690BF6" w:rsidRPr="00E4265B" w14:paraId="2971A6DB" w14:textId="77777777" w:rsidTr="00CD1719">
        <w:trPr>
          <w:gridBefore w:val="1"/>
          <w:wBefore w:w="882" w:type="dxa"/>
        </w:trPr>
        <w:tc>
          <w:tcPr>
            <w:tcW w:w="2462" w:type="dxa"/>
          </w:tcPr>
          <w:p w14:paraId="49A4C110" w14:textId="5E1352E6"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RWA</w:t>
            </w:r>
            <w:r w:rsidR="00B44E90" w:rsidRPr="00E4265B">
              <w:rPr>
                <w:rFonts w:ascii="Arial" w:hAnsi="Arial" w:cs="Arial"/>
                <w:sz w:val="22"/>
                <w:szCs w:val="22"/>
                <w:lang w:val="en-GB"/>
              </w:rPr>
              <w:t>s</w:t>
            </w:r>
          </w:p>
        </w:tc>
        <w:tc>
          <w:tcPr>
            <w:tcW w:w="5188" w:type="dxa"/>
          </w:tcPr>
          <w:p w14:paraId="508F6DBC" w14:textId="535D7CF4" w:rsidR="00690BF6" w:rsidRPr="00E4265B" w:rsidRDefault="00690BF6" w:rsidP="00B44E90">
            <w:pPr>
              <w:spacing w:before="120" w:after="120"/>
              <w:jc w:val="both"/>
              <w:rPr>
                <w:rFonts w:ascii="Arial" w:hAnsi="Arial" w:cs="Arial"/>
                <w:sz w:val="22"/>
                <w:szCs w:val="22"/>
                <w:lang w:val="en-GB"/>
              </w:rPr>
            </w:pPr>
            <w:r w:rsidRPr="00E4265B">
              <w:rPr>
                <w:rFonts w:ascii="Arial" w:hAnsi="Arial" w:cs="Arial"/>
                <w:sz w:val="22"/>
                <w:szCs w:val="22"/>
                <w:lang w:val="en-GB"/>
              </w:rPr>
              <w:t>Risk</w:t>
            </w:r>
            <w:r w:rsidR="00B44E90" w:rsidRPr="00E4265B">
              <w:rPr>
                <w:rFonts w:ascii="Arial" w:hAnsi="Arial" w:cs="Arial"/>
                <w:sz w:val="22"/>
                <w:szCs w:val="22"/>
                <w:lang w:val="en-GB"/>
              </w:rPr>
              <w:t>-</w:t>
            </w:r>
            <w:r w:rsidRPr="00E4265B">
              <w:rPr>
                <w:rFonts w:ascii="Arial" w:hAnsi="Arial" w:cs="Arial"/>
                <w:sz w:val="22"/>
                <w:szCs w:val="22"/>
                <w:lang w:val="en-GB"/>
              </w:rPr>
              <w:t>weighted assets.</w:t>
            </w:r>
          </w:p>
        </w:tc>
      </w:tr>
      <w:tr w:rsidR="00690BF6" w:rsidRPr="00E4265B" w14:paraId="0B45F42C" w14:textId="77777777" w:rsidTr="00CD1719">
        <w:trPr>
          <w:gridBefore w:val="1"/>
          <w:wBefore w:w="882" w:type="dxa"/>
        </w:trPr>
        <w:tc>
          <w:tcPr>
            <w:tcW w:w="2462" w:type="dxa"/>
          </w:tcPr>
          <w:p w14:paraId="081AE612"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SE Exposure</w:t>
            </w:r>
          </w:p>
        </w:tc>
        <w:tc>
          <w:tcPr>
            <w:tcW w:w="5188" w:type="dxa"/>
          </w:tcPr>
          <w:p w14:paraId="0AF8F119" w14:textId="77777777" w:rsidR="00690BF6" w:rsidRPr="00E4265B" w:rsidRDefault="00690BF6" w:rsidP="00F80299">
            <w:pPr>
              <w:spacing w:before="120" w:after="120"/>
              <w:jc w:val="both"/>
              <w:rPr>
                <w:rFonts w:ascii="Arial" w:eastAsia="Arial" w:hAnsi="Arial" w:cs="Arial"/>
                <w:sz w:val="22"/>
                <w:szCs w:val="22"/>
                <w:lang w:val="en-GB"/>
              </w:rPr>
            </w:pPr>
            <w:r w:rsidRPr="00E4265B">
              <w:rPr>
                <w:rFonts w:ascii="Arial" w:hAnsi="Arial" w:cs="Arial"/>
                <w:sz w:val="22"/>
                <w:szCs w:val="22"/>
                <w:lang w:val="en-GB"/>
              </w:rPr>
              <w:t>The Exposure value or amount for a securitisation Exposure.</w:t>
            </w:r>
          </w:p>
        </w:tc>
      </w:tr>
      <w:tr w:rsidR="00690BF6" w:rsidRPr="00E4265B" w14:paraId="1FC05293" w14:textId="77777777" w:rsidTr="00CD1719">
        <w:trPr>
          <w:gridBefore w:val="1"/>
          <w:wBefore w:w="882" w:type="dxa"/>
        </w:trPr>
        <w:tc>
          <w:tcPr>
            <w:tcW w:w="2462" w:type="dxa"/>
          </w:tcPr>
          <w:p w14:paraId="15B4F64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Securities Underwriting Capital Requirement</w:t>
            </w:r>
          </w:p>
        </w:tc>
        <w:tc>
          <w:tcPr>
            <w:tcW w:w="5188" w:type="dxa"/>
          </w:tcPr>
          <w:p w14:paraId="5A58E7C5"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component of the Market Risk Capital Requirement defined in Section 5.10.</w:t>
            </w:r>
          </w:p>
        </w:tc>
      </w:tr>
      <w:tr w:rsidR="00690BF6" w:rsidRPr="00E4265B" w14:paraId="02ED1851" w14:textId="77777777" w:rsidTr="00CD1719">
        <w:trPr>
          <w:gridBefore w:val="1"/>
          <w:wBefore w:w="882" w:type="dxa"/>
        </w:trPr>
        <w:tc>
          <w:tcPr>
            <w:tcW w:w="2462" w:type="dxa"/>
          </w:tcPr>
          <w:p w14:paraId="302C9B5C"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Security</w:t>
            </w:r>
          </w:p>
        </w:tc>
        <w:tc>
          <w:tcPr>
            <w:tcW w:w="5188" w:type="dxa"/>
          </w:tcPr>
          <w:p w14:paraId="3A50D69D"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For the purposes of these Rules, a Security is:</w:t>
            </w:r>
          </w:p>
          <w:p w14:paraId="4A4615BC" w14:textId="77777777" w:rsidR="00690BF6" w:rsidRPr="00E4265B" w:rsidRDefault="00690BF6" w:rsidP="0019712D">
            <w:pPr>
              <w:pStyle w:val="Heading9"/>
              <w:numPr>
                <w:ilvl w:val="8"/>
                <w:numId w:val="54"/>
              </w:numPr>
              <w:rPr>
                <w:rFonts w:ascii="Arial" w:hAnsi="Arial" w:cs="Arial"/>
                <w:sz w:val="22"/>
                <w:szCs w:val="22"/>
                <w:lang w:val="en-GB"/>
              </w:rPr>
            </w:pPr>
            <w:r w:rsidRPr="00E4265B">
              <w:rPr>
                <w:rFonts w:ascii="Arial" w:hAnsi="Arial" w:cs="Arial"/>
                <w:sz w:val="22"/>
                <w:szCs w:val="22"/>
                <w:lang w:val="en-GB"/>
              </w:rPr>
              <w:t>a Share;</w:t>
            </w:r>
          </w:p>
          <w:p w14:paraId="7DBC98D2"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t>a Debenture;</w:t>
            </w:r>
          </w:p>
          <w:p w14:paraId="473FB416"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t>a Warrant;</w:t>
            </w:r>
          </w:p>
          <w:p w14:paraId="71EC9D4F"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t>a Certificate;</w:t>
            </w:r>
          </w:p>
          <w:p w14:paraId="1D5BE06E" w14:textId="77777777" w:rsidR="00690BF6" w:rsidRPr="00E4265B" w:rsidRDefault="003966BB" w:rsidP="00201D55">
            <w:pPr>
              <w:pStyle w:val="Heading9"/>
              <w:rPr>
                <w:rFonts w:ascii="Arial" w:hAnsi="Arial" w:cs="Arial"/>
                <w:sz w:val="22"/>
                <w:szCs w:val="22"/>
                <w:lang w:val="en-GB"/>
              </w:rPr>
            </w:pPr>
            <w:r w:rsidRPr="00E4265B">
              <w:rPr>
                <w:rFonts w:ascii="Arial" w:hAnsi="Arial" w:cs="Arial"/>
                <w:sz w:val="22"/>
                <w:szCs w:val="22"/>
                <w:lang w:val="en-GB"/>
              </w:rPr>
              <w:t>a Unit;</w:t>
            </w:r>
            <w:r w:rsidR="00690BF6" w:rsidRPr="00E4265B">
              <w:rPr>
                <w:rFonts w:ascii="Arial" w:hAnsi="Arial" w:cs="Arial"/>
                <w:sz w:val="22"/>
                <w:szCs w:val="22"/>
                <w:lang w:val="en-GB"/>
              </w:rPr>
              <w:t xml:space="preserve"> </w:t>
            </w:r>
          </w:p>
          <w:p w14:paraId="68BD91D5"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t>a Structured Product</w:t>
            </w:r>
            <w:r w:rsidR="003966BB" w:rsidRPr="00E4265B">
              <w:rPr>
                <w:rFonts w:ascii="Arial" w:hAnsi="Arial" w:cs="Arial"/>
                <w:sz w:val="22"/>
                <w:szCs w:val="22"/>
                <w:lang w:val="en-GB"/>
              </w:rPr>
              <w:t>; or</w:t>
            </w:r>
          </w:p>
          <w:p w14:paraId="4B908938" w14:textId="77777777" w:rsidR="003966BB" w:rsidRPr="00E4265B" w:rsidRDefault="003966BB" w:rsidP="00201D55">
            <w:pPr>
              <w:pStyle w:val="Heading9"/>
              <w:rPr>
                <w:rFonts w:ascii="Arial" w:hAnsi="Arial" w:cs="Arial"/>
                <w:sz w:val="22"/>
                <w:szCs w:val="22"/>
                <w:lang w:val="en-GB"/>
              </w:rPr>
            </w:pPr>
            <w:r w:rsidRPr="00E4265B">
              <w:rPr>
                <w:rFonts w:ascii="Arial" w:hAnsi="Arial" w:cs="Arial"/>
                <w:sz w:val="22"/>
                <w:szCs w:val="22"/>
                <w:lang w:val="en-GB"/>
              </w:rPr>
              <w:t>a Derivative.</w:t>
            </w:r>
          </w:p>
        </w:tc>
      </w:tr>
      <w:tr w:rsidR="00690BF6" w:rsidRPr="00E4265B" w14:paraId="051873B5" w14:textId="77777777" w:rsidTr="00CD1719">
        <w:trPr>
          <w:gridBefore w:val="1"/>
          <w:wBefore w:w="882" w:type="dxa"/>
        </w:trPr>
        <w:tc>
          <w:tcPr>
            <w:tcW w:w="2462" w:type="dxa"/>
          </w:tcPr>
          <w:p w14:paraId="5CCA8F46"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Servicer</w:t>
            </w:r>
          </w:p>
        </w:tc>
        <w:tc>
          <w:tcPr>
            <w:tcW w:w="5188" w:type="dxa"/>
          </w:tcPr>
          <w:p w14:paraId="61E764F2"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Person that administers the securitised items.</w:t>
            </w:r>
          </w:p>
        </w:tc>
      </w:tr>
      <w:tr w:rsidR="00690BF6" w:rsidRPr="00E4265B" w14:paraId="2C5961A5" w14:textId="77777777" w:rsidTr="00CD1719">
        <w:trPr>
          <w:gridBefore w:val="1"/>
          <w:wBefore w:w="882" w:type="dxa"/>
        </w:trPr>
        <w:tc>
          <w:tcPr>
            <w:tcW w:w="2462" w:type="dxa"/>
          </w:tcPr>
          <w:p w14:paraId="161B876D"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SFT</w:t>
            </w:r>
          </w:p>
        </w:tc>
        <w:tc>
          <w:tcPr>
            <w:tcW w:w="5188" w:type="dxa"/>
          </w:tcPr>
          <w:p w14:paraId="39271B91"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Securities Financing Transactions, such as repo, reverse repo, security lending and borrowing, and margin lending transactions.</w:t>
            </w:r>
          </w:p>
        </w:tc>
      </w:tr>
      <w:tr w:rsidR="00690BF6" w:rsidRPr="00E4265B" w14:paraId="010003F1" w14:textId="77777777" w:rsidTr="00CD1719">
        <w:trPr>
          <w:gridBefore w:val="1"/>
          <w:wBefore w:w="882" w:type="dxa"/>
        </w:trPr>
        <w:tc>
          <w:tcPr>
            <w:tcW w:w="2462" w:type="dxa"/>
          </w:tcPr>
          <w:p w14:paraId="7C03B3D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Share</w:t>
            </w:r>
          </w:p>
        </w:tc>
        <w:tc>
          <w:tcPr>
            <w:tcW w:w="5188" w:type="dxa"/>
          </w:tcPr>
          <w:p w14:paraId="3517CC40"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 xml:space="preserve">Means a </w:t>
            </w:r>
            <w:r w:rsidR="00EE529B" w:rsidRPr="00E4265B">
              <w:rPr>
                <w:rFonts w:ascii="Arial" w:hAnsi="Arial" w:cs="Arial"/>
                <w:sz w:val="22"/>
                <w:szCs w:val="22"/>
                <w:lang w:val="en-GB"/>
              </w:rPr>
              <w:t>s</w:t>
            </w:r>
            <w:r w:rsidRPr="00E4265B">
              <w:rPr>
                <w:rFonts w:ascii="Arial" w:hAnsi="Arial" w:cs="Arial"/>
                <w:sz w:val="22"/>
                <w:szCs w:val="22"/>
                <w:lang w:val="en-GB"/>
              </w:rPr>
              <w:t>hare or stock in the capital of any Body Corporate or any unincorporated body but excludes:</w:t>
            </w:r>
          </w:p>
          <w:p w14:paraId="6D03781B" w14:textId="77777777" w:rsidR="00690BF6" w:rsidRPr="00E4265B" w:rsidRDefault="00690BF6" w:rsidP="0019712D">
            <w:pPr>
              <w:pStyle w:val="Heading9"/>
              <w:numPr>
                <w:ilvl w:val="8"/>
                <w:numId w:val="55"/>
              </w:numPr>
              <w:rPr>
                <w:rFonts w:ascii="Arial" w:hAnsi="Arial" w:cs="Arial"/>
                <w:sz w:val="22"/>
                <w:szCs w:val="22"/>
                <w:lang w:val="en-GB"/>
              </w:rPr>
            </w:pPr>
            <w:r w:rsidRPr="00E4265B">
              <w:rPr>
                <w:rFonts w:ascii="Arial" w:hAnsi="Arial" w:cs="Arial"/>
                <w:sz w:val="22"/>
                <w:szCs w:val="22"/>
                <w:lang w:val="en-GB"/>
              </w:rPr>
              <w:t xml:space="preserve">an instrument creating or acknowledging indebtedness for, or for Money borrowed to defray, the consideration payable under a contract for the supply of goods or services; </w:t>
            </w:r>
          </w:p>
          <w:p w14:paraId="3923A13D"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t xml:space="preserve">a cheque or other bill of exchange, a banker's draft or a letter of credit (but not a bill of exchange accepted by a banker); </w:t>
            </w:r>
          </w:p>
          <w:p w14:paraId="26ED7DB3"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lastRenderedPageBreak/>
              <w:t xml:space="preserve">a banknote, a statement showing a balance on a bank account, or a lease or other disposition of property; and </w:t>
            </w:r>
          </w:p>
          <w:p w14:paraId="7FFBFC03"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t>any Contract of Insurance.</w:t>
            </w:r>
          </w:p>
        </w:tc>
      </w:tr>
      <w:tr w:rsidR="00690BF6" w:rsidRPr="00E4265B" w14:paraId="0432B212" w14:textId="77777777" w:rsidTr="00CD1719">
        <w:trPr>
          <w:gridBefore w:val="1"/>
          <w:wBefore w:w="882" w:type="dxa"/>
        </w:trPr>
        <w:tc>
          <w:tcPr>
            <w:tcW w:w="2462" w:type="dxa"/>
          </w:tcPr>
          <w:p w14:paraId="78A3E9F9" w14:textId="77777777" w:rsidR="00690BF6" w:rsidRPr="00E4265B" w:rsidRDefault="009339DD"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Shari’a</w:t>
            </w:r>
            <w:r w:rsidR="00690BF6" w:rsidRPr="00E4265B">
              <w:rPr>
                <w:rFonts w:ascii="Arial" w:hAnsi="Arial" w:cs="Arial"/>
                <w:sz w:val="22"/>
                <w:szCs w:val="22"/>
                <w:lang w:val="en-GB"/>
              </w:rPr>
              <w:t>-compliant Regulated Activities</w:t>
            </w:r>
          </w:p>
        </w:tc>
        <w:tc>
          <w:tcPr>
            <w:tcW w:w="5188" w:type="dxa"/>
          </w:tcPr>
          <w:p w14:paraId="4353E2DB" w14:textId="77777777" w:rsidR="00690BF6" w:rsidRPr="00E4265B" w:rsidRDefault="00690BF6" w:rsidP="00801DAF">
            <w:pPr>
              <w:spacing w:before="120" w:after="120"/>
              <w:jc w:val="both"/>
              <w:rPr>
                <w:rFonts w:ascii="Arial" w:hAnsi="Arial" w:cs="Arial"/>
                <w:sz w:val="22"/>
                <w:szCs w:val="22"/>
                <w:lang w:val="en-GB"/>
              </w:rPr>
            </w:pPr>
            <w:r w:rsidRPr="00E4265B">
              <w:rPr>
                <w:rFonts w:ascii="Arial" w:hAnsi="Arial" w:cs="Arial"/>
                <w:sz w:val="22"/>
                <w:szCs w:val="22"/>
                <w:lang w:val="en-GB"/>
              </w:rPr>
              <w:t>Means the Regulated Acti</w:t>
            </w:r>
            <w:r w:rsidR="004565E7" w:rsidRPr="00E4265B">
              <w:rPr>
                <w:rFonts w:ascii="Arial" w:hAnsi="Arial" w:cs="Arial"/>
                <w:sz w:val="22"/>
                <w:szCs w:val="22"/>
                <w:lang w:val="en-GB"/>
              </w:rPr>
              <w:t xml:space="preserve">vities specified in paragraph </w:t>
            </w:r>
            <w:r w:rsidR="004565E7" w:rsidRPr="00E4265B">
              <w:rPr>
                <w:rFonts w:ascii="Arial" w:hAnsi="Arial" w:cs="Arial"/>
                <w:sz w:val="22"/>
                <w:szCs w:val="22"/>
                <w:cs/>
                <w:lang w:val="en-GB"/>
              </w:rPr>
              <w:t>‎</w:t>
            </w:r>
            <w:r w:rsidR="004565E7" w:rsidRPr="00E4265B">
              <w:rPr>
                <w:rFonts w:ascii="Arial" w:hAnsi="Arial" w:cs="Arial"/>
                <w:sz w:val="22"/>
                <w:szCs w:val="22"/>
                <w:rtl/>
                <w:cs/>
                <w:lang w:val="en-GB"/>
              </w:rPr>
              <w:t>6</w:t>
            </w:r>
            <w:r w:rsidR="00801DAF" w:rsidRPr="00E4265B">
              <w:rPr>
                <w:rFonts w:ascii="Arial" w:hAnsi="Arial" w:cs="Arial"/>
                <w:sz w:val="22"/>
                <w:szCs w:val="22"/>
                <w:lang w:val="en-GB"/>
              </w:rPr>
              <w:t>4</w:t>
            </w:r>
            <w:r w:rsidRPr="00E4265B">
              <w:rPr>
                <w:rFonts w:ascii="Arial" w:hAnsi="Arial" w:cs="Arial"/>
                <w:sz w:val="22"/>
                <w:szCs w:val="22"/>
                <w:lang w:val="en-GB"/>
              </w:rPr>
              <w:t xml:space="preserve"> of </w:t>
            </w:r>
            <w:r w:rsidRPr="00E4265B">
              <w:rPr>
                <w:rFonts w:ascii="Arial" w:hAnsi="Arial" w:cs="Arial"/>
                <w:sz w:val="22"/>
                <w:szCs w:val="22"/>
                <w:cs/>
                <w:lang w:val="en-GB"/>
              </w:rPr>
              <w:t>‎</w:t>
            </w:r>
            <w:r w:rsidRPr="00E4265B">
              <w:rPr>
                <w:rFonts w:ascii="Arial" w:hAnsi="Arial" w:cs="Arial"/>
                <w:sz w:val="22"/>
                <w:szCs w:val="22"/>
                <w:rtl/>
                <w:cs/>
                <w:lang w:val="en-GB"/>
              </w:rPr>
              <w:t>Schedule 1</w:t>
            </w:r>
            <w:r w:rsidRPr="00E4265B">
              <w:rPr>
                <w:rFonts w:ascii="Arial" w:hAnsi="Arial" w:cs="Arial"/>
                <w:sz w:val="22"/>
                <w:szCs w:val="22"/>
                <w:lang w:val="en-GB"/>
              </w:rPr>
              <w:t xml:space="preserve"> of the FSMR.</w:t>
            </w:r>
          </w:p>
        </w:tc>
      </w:tr>
      <w:tr w:rsidR="00690BF6" w:rsidRPr="00E4265B" w14:paraId="3D8BF247" w14:textId="77777777" w:rsidTr="00CD1719">
        <w:trPr>
          <w:gridBefore w:val="1"/>
          <w:wBefore w:w="882" w:type="dxa"/>
        </w:trPr>
        <w:tc>
          <w:tcPr>
            <w:tcW w:w="2462" w:type="dxa"/>
          </w:tcPr>
          <w:p w14:paraId="27E60D1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Simplified Approach</w:t>
            </w:r>
          </w:p>
        </w:tc>
        <w:tc>
          <w:tcPr>
            <w:tcW w:w="5188" w:type="dxa"/>
          </w:tcPr>
          <w:p w14:paraId="3F91202B" w14:textId="4B66E630" w:rsidR="00690BF6" w:rsidRPr="00E4265B" w:rsidRDefault="00690BF6" w:rsidP="00B44E90">
            <w:pPr>
              <w:spacing w:before="120" w:after="120"/>
              <w:jc w:val="both"/>
              <w:rPr>
                <w:rFonts w:ascii="Arial" w:hAnsi="Arial" w:cs="Arial"/>
                <w:sz w:val="22"/>
                <w:szCs w:val="22"/>
                <w:lang w:val="en-GB"/>
              </w:rPr>
            </w:pPr>
            <w:r w:rsidRPr="00E4265B">
              <w:rPr>
                <w:rFonts w:ascii="Arial" w:hAnsi="Arial" w:cs="Arial"/>
                <w:sz w:val="22"/>
                <w:szCs w:val="22"/>
                <w:lang w:val="en-GB"/>
              </w:rPr>
              <w:t>An alternative application of the provisions of Chapter 4 for a</w:t>
            </w:r>
            <w:r w:rsidR="00B44E90" w:rsidRPr="00E4265B">
              <w:rPr>
                <w:rFonts w:ascii="Arial" w:hAnsi="Arial" w:cs="Arial"/>
                <w:sz w:val="22"/>
                <w:szCs w:val="22"/>
                <w:lang w:val="en-GB"/>
              </w:rPr>
              <w:t>n Authorised Person in Category 2 or</w:t>
            </w:r>
            <w:r w:rsidRPr="00E4265B">
              <w:rPr>
                <w:rFonts w:ascii="Arial" w:hAnsi="Arial" w:cs="Arial"/>
                <w:sz w:val="22"/>
                <w:szCs w:val="22"/>
                <w:lang w:val="en-GB"/>
              </w:rPr>
              <w:t xml:space="preserve"> 3A, as described in Sections 4.7 and A4.12.</w:t>
            </w:r>
          </w:p>
        </w:tc>
      </w:tr>
      <w:tr w:rsidR="00690BF6" w:rsidRPr="00E4265B" w14:paraId="203F875C" w14:textId="77777777" w:rsidTr="00CD1719">
        <w:trPr>
          <w:gridBefore w:val="1"/>
          <w:wBefore w:w="882" w:type="dxa"/>
        </w:trPr>
        <w:tc>
          <w:tcPr>
            <w:tcW w:w="2462" w:type="dxa"/>
          </w:tcPr>
          <w:p w14:paraId="3CDA73C5"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Special Purpose Entity (SPE)</w:t>
            </w:r>
          </w:p>
        </w:tc>
        <w:tc>
          <w:tcPr>
            <w:tcW w:w="5188" w:type="dxa"/>
          </w:tcPr>
          <w:p w14:paraId="23982E93"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corporation, trust, or other entity organised for a specific purpose, the activities of which are limited to those appropriate to accomplish the purpose of the SPE, and the structure of which is intended to isolate the SPE from the Credit Risk of an Originator or seller of Exposures. SPEs are commonly used as financing vehicles in which Exposures are sold to a trust or similar entity in exchange for cash or other assets funded by debt issued by the trust.</w:t>
            </w:r>
          </w:p>
        </w:tc>
      </w:tr>
      <w:tr w:rsidR="00690BF6" w:rsidRPr="00E4265B" w14:paraId="7A7B34D2" w14:textId="77777777" w:rsidTr="00CD1719">
        <w:trPr>
          <w:gridBefore w:val="1"/>
          <w:wBefore w:w="882" w:type="dxa"/>
        </w:trPr>
        <w:tc>
          <w:tcPr>
            <w:tcW w:w="2462" w:type="dxa"/>
          </w:tcPr>
          <w:p w14:paraId="4038929D"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Specific Risk</w:t>
            </w:r>
          </w:p>
        </w:tc>
        <w:tc>
          <w:tcPr>
            <w:tcW w:w="5188" w:type="dxa"/>
          </w:tcPr>
          <w:p w14:paraId="555D61BB"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The risk that losses on an Authorised Person's net long or short position in an individual equity or Security may arise from a negative or positive price movement of that equity or Security relative to the relevant market generally.</w:t>
            </w:r>
          </w:p>
        </w:tc>
      </w:tr>
      <w:tr w:rsidR="00690BF6" w:rsidRPr="00E4265B" w14:paraId="0AF4EC6E" w14:textId="77777777" w:rsidTr="00CD1719">
        <w:trPr>
          <w:gridBefore w:val="1"/>
          <w:wBefore w:w="882" w:type="dxa"/>
        </w:trPr>
        <w:tc>
          <w:tcPr>
            <w:tcW w:w="2462" w:type="dxa"/>
          </w:tcPr>
          <w:p w14:paraId="63A66016"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Sponsor</w:t>
            </w:r>
          </w:p>
        </w:tc>
        <w:tc>
          <w:tcPr>
            <w:tcW w:w="5188" w:type="dxa"/>
          </w:tcPr>
          <w:p w14:paraId="00C11951"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 Authorised Person that repackages third party assets directly into a securitisation scheme. Where an Authorised Person repackages non</w:t>
            </w:r>
            <w:r w:rsidRPr="00E4265B">
              <w:rPr>
                <w:rFonts w:ascii="Arial" w:hAnsi="Arial" w:cs="Arial"/>
                <w:sz w:val="22"/>
                <w:szCs w:val="22"/>
                <w:lang w:val="en-GB"/>
              </w:rPr>
              <w:noBreakHyphen/>
              <w:t>investment Grade third party assets, it may fall within the definition of an Originator unless it originates or repackages no more than 10% of the scheme's total assets.</w:t>
            </w:r>
          </w:p>
        </w:tc>
      </w:tr>
      <w:tr w:rsidR="00690BF6" w:rsidRPr="00E4265B" w14:paraId="4176BCB8" w14:textId="77777777" w:rsidTr="00CD1719">
        <w:trPr>
          <w:gridBefore w:val="1"/>
          <w:wBefore w:w="882" w:type="dxa"/>
        </w:trPr>
        <w:tc>
          <w:tcPr>
            <w:tcW w:w="2462" w:type="dxa"/>
          </w:tcPr>
          <w:p w14:paraId="711EEDAF"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Standardised Approach</w:t>
            </w:r>
          </w:p>
        </w:tc>
        <w:tc>
          <w:tcPr>
            <w:tcW w:w="5188" w:type="dxa"/>
          </w:tcPr>
          <w:p w14:paraId="4A9140FB" w14:textId="32F88F2E" w:rsidR="00690BF6" w:rsidRPr="00E4265B" w:rsidRDefault="00690BF6" w:rsidP="00B44E90">
            <w:pPr>
              <w:spacing w:before="120" w:after="120"/>
              <w:jc w:val="both"/>
              <w:rPr>
                <w:rFonts w:ascii="Arial" w:hAnsi="Arial" w:cs="Arial"/>
                <w:sz w:val="22"/>
                <w:szCs w:val="22"/>
                <w:lang w:val="en-GB"/>
              </w:rPr>
            </w:pPr>
            <w:r w:rsidRPr="00E4265B">
              <w:rPr>
                <w:rFonts w:ascii="Arial" w:hAnsi="Arial" w:cs="Arial"/>
                <w:sz w:val="22"/>
                <w:szCs w:val="22"/>
                <w:lang w:val="en-GB"/>
              </w:rPr>
              <w:t>The manner in which the Operational Risk Capital Requirement is calculated in accordance with Sections 6.11 and A</w:t>
            </w:r>
            <w:r w:rsidR="00B44E90" w:rsidRPr="00E4265B">
              <w:rPr>
                <w:rFonts w:ascii="Arial" w:hAnsi="Arial" w:cs="Arial"/>
                <w:sz w:val="22"/>
                <w:szCs w:val="22"/>
                <w:lang w:val="en-GB"/>
              </w:rPr>
              <w:t>7</w:t>
            </w:r>
            <w:r w:rsidRPr="00E4265B">
              <w:rPr>
                <w:rFonts w:ascii="Arial" w:hAnsi="Arial" w:cs="Arial"/>
                <w:sz w:val="22"/>
                <w:szCs w:val="22"/>
                <w:lang w:val="en-GB"/>
              </w:rPr>
              <w:t>.2.</w:t>
            </w:r>
          </w:p>
        </w:tc>
      </w:tr>
      <w:tr w:rsidR="00690BF6" w:rsidRPr="00E4265B" w14:paraId="0BB15D09" w14:textId="77777777" w:rsidTr="00CD1719">
        <w:trPr>
          <w:gridBefore w:val="1"/>
          <w:wBefore w:w="882" w:type="dxa"/>
        </w:trPr>
        <w:tc>
          <w:tcPr>
            <w:tcW w:w="2462" w:type="dxa"/>
          </w:tcPr>
          <w:p w14:paraId="0332A907"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Structured Product</w:t>
            </w:r>
          </w:p>
        </w:tc>
        <w:tc>
          <w:tcPr>
            <w:tcW w:w="5188" w:type="dxa"/>
          </w:tcPr>
          <w:p w14:paraId="498B1E46"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Means an instrument comprising rights under a contract where:</w:t>
            </w:r>
          </w:p>
          <w:p w14:paraId="79154E20" w14:textId="77777777" w:rsidR="00690BF6" w:rsidRPr="00E4265B" w:rsidRDefault="00690BF6" w:rsidP="0019712D">
            <w:pPr>
              <w:pStyle w:val="Heading9"/>
              <w:numPr>
                <w:ilvl w:val="8"/>
                <w:numId w:val="56"/>
              </w:numPr>
              <w:rPr>
                <w:rFonts w:ascii="Arial" w:hAnsi="Arial" w:cs="Arial"/>
                <w:sz w:val="22"/>
                <w:szCs w:val="22"/>
                <w:lang w:val="en-GB"/>
              </w:rPr>
            </w:pPr>
            <w:r w:rsidRPr="00E4265B">
              <w:rPr>
                <w:rFonts w:ascii="Arial" w:hAnsi="Arial" w:cs="Arial"/>
                <w:sz w:val="22"/>
                <w:szCs w:val="22"/>
                <w:lang w:val="en-GB"/>
              </w:rPr>
              <w:t>the gain or loss of each party to the contract is  ultimately determined by reference to the fluctuations in the value or price of property of  any description, an index, interest rate, exchange rate or a combination of any of these as specified for that purpose in the contract ("the underlying factor") and is not leveraged upon such fluctuations;</w:t>
            </w:r>
          </w:p>
          <w:p w14:paraId="41632BA5"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lastRenderedPageBreak/>
              <w:t>the gain or loss of each party is wholly settled  by cash or set-off between the parties;</w:t>
            </w:r>
          </w:p>
          <w:p w14:paraId="148E22E6"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t>each party is not exposed to any contingent  liabilities to any other Counterparty; and</w:t>
            </w:r>
          </w:p>
          <w:p w14:paraId="2BDD8FBF"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t>there is readily available public information in  relation to the underlying factor;</w:t>
            </w:r>
          </w:p>
          <w:p w14:paraId="6DE06315" w14:textId="77777777" w:rsidR="00690BF6" w:rsidRPr="00E4265B" w:rsidRDefault="00690BF6" w:rsidP="00201D55">
            <w:pPr>
              <w:spacing w:before="120" w:after="120"/>
              <w:ind w:left="504"/>
              <w:jc w:val="both"/>
              <w:rPr>
                <w:rFonts w:ascii="Arial" w:hAnsi="Arial" w:cs="Arial"/>
                <w:sz w:val="22"/>
                <w:szCs w:val="22"/>
                <w:lang w:val="en-GB"/>
              </w:rPr>
            </w:pPr>
            <w:r w:rsidRPr="00E4265B">
              <w:rPr>
                <w:rFonts w:ascii="Arial" w:hAnsi="Arial" w:cs="Arial"/>
                <w:sz w:val="22"/>
                <w:szCs w:val="22"/>
                <w:lang w:val="en-GB"/>
              </w:rPr>
              <w:t>but excludes any rights under an instrument:</w:t>
            </w:r>
          </w:p>
          <w:p w14:paraId="54460E85"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t>where one or more of the parties takes delivery of any property to which the contract relates;</w:t>
            </w:r>
          </w:p>
          <w:p w14:paraId="1EA7E1C1"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t>which is a Debenture; or</w:t>
            </w:r>
          </w:p>
          <w:p w14:paraId="298C6FFF"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t>which is a Contract of Insurance.</w:t>
            </w:r>
          </w:p>
        </w:tc>
      </w:tr>
      <w:tr w:rsidR="00690BF6" w:rsidRPr="00E4265B" w14:paraId="40468B8C" w14:textId="77777777" w:rsidTr="00CD1719">
        <w:trPr>
          <w:gridBefore w:val="1"/>
          <w:wBefore w:w="882" w:type="dxa"/>
        </w:trPr>
        <w:tc>
          <w:tcPr>
            <w:tcW w:w="2462" w:type="dxa"/>
          </w:tcPr>
          <w:p w14:paraId="2E4ADC1E"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Subsidiary</w:t>
            </w:r>
          </w:p>
        </w:tc>
        <w:tc>
          <w:tcPr>
            <w:tcW w:w="5188" w:type="dxa"/>
          </w:tcPr>
          <w:p w14:paraId="08EB2712"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Has the meaning given to the term in the Companies Regulations.</w:t>
            </w:r>
          </w:p>
        </w:tc>
      </w:tr>
      <w:tr w:rsidR="00690BF6" w:rsidRPr="00E4265B" w14:paraId="7E6251DF" w14:textId="77777777" w:rsidTr="00CD1719">
        <w:trPr>
          <w:gridBefore w:val="1"/>
          <w:wBefore w:w="882" w:type="dxa"/>
        </w:trPr>
        <w:tc>
          <w:tcPr>
            <w:tcW w:w="2462" w:type="dxa"/>
          </w:tcPr>
          <w:p w14:paraId="6D644190"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Supervisory Review and Evaluation Process (SREP)</w:t>
            </w:r>
          </w:p>
        </w:tc>
        <w:tc>
          <w:tcPr>
            <w:tcW w:w="5188" w:type="dxa"/>
          </w:tcPr>
          <w:p w14:paraId="3A342AFF"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The supervisory review and evaluation process prescribed in Chapter 10.</w:t>
            </w:r>
          </w:p>
        </w:tc>
      </w:tr>
      <w:tr w:rsidR="00690BF6" w:rsidRPr="00E4265B" w14:paraId="36B9661A" w14:textId="77777777" w:rsidTr="00CD1719">
        <w:trPr>
          <w:gridBefore w:val="1"/>
          <w:wBefore w:w="882" w:type="dxa"/>
        </w:trPr>
        <w:tc>
          <w:tcPr>
            <w:tcW w:w="2462" w:type="dxa"/>
          </w:tcPr>
          <w:p w14:paraId="1CEBE507"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Synthetic Securitisation</w:t>
            </w:r>
          </w:p>
        </w:tc>
        <w:tc>
          <w:tcPr>
            <w:tcW w:w="5188" w:type="dxa"/>
          </w:tcPr>
          <w:p w14:paraId="20BE11B1"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Has the meaning given in Rule 4.14.2(b).</w:t>
            </w:r>
          </w:p>
        </w:tc>
      </w:tr>
      <w:tr w:rsidR="00690BF6" w:rsidRPr="00E4265B" w14:paraId="2C6DE3AA" w14:textId="77777777" w:rsidTr="00CD1719">
        <w:trPr>
          <w:gridBefore w:val="1"/>
          <w:wBefore w:w="882" w:type="dxa"/>
        </w:trPr>
        <w:tc>
          <w:tcPr>
            <w:tcW w:w="2462" w:type="dxa"/>
          </w:tcPr>
          <w:p w14:paraId="018ED322"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T</w:t>
            </w:r>
          </w:p>
        </w:tc>
        <w:tc>
          <w:tcPr>
            <w:tcW w:w="5188" w:type="dxa"/>
          </w:tcPr>
          <w:p w14:paraId="5F46711A"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Trade date, which is the date on which a transaction is entered into.</w:t>
            </w:r>
          </w:p>
        </w:tc>
      </w:tr>
      <w:tr w:rsidR="00690BF6" w:rsidRPr="00E4265B" w14:paraId="352D4990" w14:textId="77777777" w:rsidTr="00CD1719">
        <w:trPr>
          <w:gridBefore w:val="1"/>
          <w:wBefore w:w="882" w:type="dxa"/>
        </w:trPr>
        <w:tc>
          <w:tcPr>
            <w:tcW w:w="2462" w:type="dxa"/>
          </w:tcPr>
          <w:p w14:paraId="0EC3C14F"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T1</w:t>
            </w:r>
          </w:p>
        </w:tc>
        <w:tc>
          <w:tcPr>
            <w:tcW w:w="5188" w:type="dxa"/>
          </w:tcPr>
          <w:p w14:paraId="06DBB14B"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Tier 1.</w:t>
            </w:r>
          </w:p>
        </w:tc>
      </w:tr>
      <w:tr w:rsidR="00690BF6" w:rsidRPr="00E4265B" w14:paraId="4CDC7840" w14:textId="77777777" w:rsidTr="00CD1719">
        <w:trPr>
          <w:gridBefore w:val="1"/>
          <w:wBefore w:w="882" w:type="dxa"/>
        </w:trPr>
        <w:tc>
          <w:tcPr>
            <w:tcW w:w="2462" w:type="dxa"/>
          </w:tcPr>
          <w:p w14:paraId="256BDF73"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T1 Capital</w:t>
            </w:r>
          </w:p>
        </w:tc>
        <w:tc>
          <w:tcPr>
            <w:tcW w:w="5188" w:type="dxa"/>
          </w:tcPr>
          <w:p w14:paraId="3667F2DA" w14:textId="77777777" w:rsidR="00690BF6" w:rsidRPr="00E4265B" w:rsidRDefault="00690BF6" w:rsidP="00CC4877">
            <w:pPr>
              <w:spacing w:before="120" w:after="120"/>
              <w:jc w:val="both"/>
              <w:rPr>
                <w:rFonts w:ascii="Arial" w:hAnsi="Arial" w:cs="Arial"/>
                <w:sz w:val="22"/>
                <w:szCs w:val="22"/>
                <w:lang w:val="en-GB"/>
              </w:rPr>
            </w:pPr>
            <w:r w:rsidRPr="00E4265B">
              <w:rPr>
                <w:rFonts w:ascii="Arial" w:hAnsi="Arial" w:cs="Arial"/>
                <w:sz w:val="22"/>
                <w:szCs w:val="22"/>
                <w:lang w:val="en-GB"/>
              </w:rPr>
              <w:t>Has the meaning given in Rule 3.</w:t>
            </w:r>
            <w:r w:rsidR="00CC4877" w:rsidRPr="00E4265B">
              <w:rPr>
                <w:rFonts w:ascii="Arial" w:hAnsi="Arial" w:cs="Arial"/>
                <w:sz w:val="22"/>
                <w:szCs w:val="22"/>
                <w:lang w:val="en-GB"/>
              </w:rPr>
              <w:t>9</w:t>
            </w:r>
            <w:r w:rsidRPr="00E4265B">
              <w:rPr>
                <w:rFonts w:ascii="Arial" w:hAnsi="Arial" w:cs="Arial"/>
                <w:sz w:val="22"/>
                <w:szCs w:val="22"/>
                <w:lang w:val="en-GB"/>
              </w:rPr>
              <w:t>.1.</w:t>
            </w:r>
          </w:p>
        </w:tc>
      </w:tr>
      <w:tr w:rsidR="00690BF6" w:rsidRPr="00E4265B" w14:paraId="134FF7B8" w14:textId="77777777" w:rsidTr="00CD1719">
        <w:trPr>
          <w:gridBefore w:val="1"/>
          <w:wBefore w:w="882" w:type="dxa"/>
        </w:trPr>
        <w:tc>
          <w:tcPr>
            <w:tcW w:w="2462" w:type="dxa"/>
          </w:tcPr>
          <w:p w14:paraId="40FE0E09"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T2</w:t>
            </w:r>
          </w:p>
        </w:tc>
        <w:tc>
          <w:tcPr>
            <w:tcW w:w="5188" w:type="dxa"/>
          </w:tcPr>
          <w:p w14:paraId="6D6D407D"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Tier 2.</w:t>
            </w:r>
          </w:p>
        </w:tc>
      </w:tr>
      <w:tr w:rsidR="00690BF6" w:rsidRPr="00E4265B" w14:paraId="347CED2A" w14:textId="77777777" w:rsidTr="00CD1719">
        <w:trPr>
          <w:gridBefore w:val="1"/>
          <w:wBefore w:w="882" w:type="dxa"/>
        </w:trPr>
        <w:tc>
          <w:tcPr>
            <w:tcW w:w="2462" w:type="dxa"/>
          </w:tcPr>
          <w:p w14:paraId="7DDF0E8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T2 Capital</w:t>
            </w:r>
          </w:p>
        </w:tc>
        <w:tc>
          <w:tcPr>
            <w:tcW w:w="5188" w:type="dxa"/>
          </w:tcPr>
          <w:p w14:paraId="713C61B2" w14:textId="77777777" w:rsidR="00690BF6" w:rsidRPr="00E4265B" w:rsidRDefault="00690BF6" w:rsidP="00CC4877">
            <w:pPr>
              <w:spacing w:before="120" w:after="120"/>
              <w:jc w:val="both"/>
              <w:rPr>
                <w:rFonts w:ascii="Arial" w:hAnsi="Arial" w:cs="Arial"/>
                <w:sz w:val="22"/>
                <w:szCs w:val="22"/>
                <w:lang w:val="en-GB"/>
              </w:rPr>
            </w:pPr>
            <w:r w:rsidRPr="00E4265B">
              <w:rPr>
                <w:rFonts w:ascii="Arial" w:hAnsi="Arial" w:cs="Arial"/>
                <w:sz w:val="22"/>
                <w:szCs w:val="22"/>
                <w:lang w:val="en-GB"/>
              </w:rPr>
              <w:t>Has the meaning given in Rule 3.1</w:t>
            </w:r>
            <w:r w:rsidR="00CC4877" w:rsidRPr="00E4265B">
              <w:rPr>
                <w:rFonts w:ascii="Arial" w:hAnsi="Arial" w:cs="Arial"/>
                <w:sz w:val="22"/>
                <w:szCs w:val="22"/>
                <w:lang w:val="en-GB"/>
              </w:rPr>
              <w:t>2</w:t>
            </w:r>
            <w:r w:rsidRPr="00E4265B">
              <w:rPr>
                <w:rFonts w:ascii="Arial" w:hAnsi="Arial" w:cs="Arial"/>
                <w:sz w:val="22"/>
                <w:szCs w:val="22"/>
                <w:lang w:val="en-GB"/>
              </w:rPr>
              <w:t>.1.</w:t>
            </w:r>
          </w:p>
        </w:tc>
      </w:tr>
      <w:tr w:rsidR="00690BF6" w:rsidRPr="00E4265B" w14:paraId="1CB16FC0" w14:textId="77777777" w:rsidTr="00CD1719">
        <w:trPr>
          <w:gridBefore w:val="1"/>
          <w:wBefore w:w="882" w:type="dxa"/>
        </w:trPr>
        <w:tc>
          <w:tcPr>
            <w:tcW w:w="2462" w:type="dxa"/>
          </w:tcPr>
          <w:p w14:paraId="37A335B5"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Theta</w:t>
            </w:r>
          </w:p>
        </w:tc>
        <w:tc>
          <w:tcPr>
            <w:tcW w:w="5188" w:type="dxa"/>
          </w:tcPr>
          <w:p w14:paraId="0B50253E" w14:textId="0A1457C8" w:rsidR="00690BF6" w:rsidRPr="00E4265B" w:rsidRDefault="00690BF6" w:rsidP="00402727">
            <w:pPr>
              <w:spacing w:before="120" w:after="120"/>
              <w:jc w:val="both"/>
              <w:rPr>
                <w:rFonts w:ascii="Arial" w:hAnsi="Arial" w:cs="Arial"/>
                <w:sz w:val="22"/>
                <w:szCs w:val="22"/>
                <w:lang w:val="en-GB"/>
              </w:rPr>
            </w:pPr>
            <w:r w:rsidRPr="00E4265B">
              <w:rPr>
                <w:rFonts w:ascii="Arial" w:hAnsi="Arial" w:cs="Arial"/>
                <w:sz w:val="22"/>
                <w:szCs w:val="22"/>
                <w:lang w:val="en-GB"/>
              </w:rPr>
              <w:t>The ratio of the change in an Option price to the decrease in time to expiration. Th</w:t>
            </w:r>
            <w:r w:rsidR="00402727" w:rsidRPr="00E4265B">
              <w:rPr>
                <w:rFonts w:ascii="Arial" w:hAnsi="Arial" w:cs="Arial"/>
                <w:sz w:val="22"/>
                <w:szCs w:val="22"/>
                <w:lang w:val="en-GB"/>
              </w:rPr>
              <w:t>et</w:t>
            </w:r>
            <w:r w:rsidRPr="00E4265B">
              <w:rPr>
                <w:rFonts w:ascii="Arial" w:hAnsi="Arial" w:cs="Arial"/>
                <w:sz w:val="22"/>
                <w:szCs w:val="22"/>
                <w:lang w:val="en-GB"/>
              </w:rPr>
              <w:t>a can also be referred to as time decay.</w:t>
            </w:r>
          </w:p>
        </w:tc>
      </w:tr>
      <w:tr w:rsidR="00690BF6" w:rsidRPr="00E4265B" w14:paraId="79B33491" w14:textId="77777777" w:rsidTr="00CD1719">
        <w:trPr>
          <w:gridBefore w:val="1"/>
          <w:wBefore w:w="882" w:type="dxa"/>
        </w:trPr>
        <w:tc>
          <w:tcPr>
            <w:tcW w:w="2462" w:type="dxa"/>
          </w:tcPr>
          <w:p w14:paraId="1321578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Total Return Swap</w:t>
            </w:r>
          </w:p>
        </w:tc>
        <w:tc>
          <w:tcPr>
            <w:tcW w:w="5188" w:type="dxa"/>
          </w:tcPr>
          <w:p w14:paraId="012814D1"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contract under which two parties exchange their positive or negative returns on a notional amount of a reference asset for a specified period of time.</w:t>
            </w:r>
          </w:p>
        </w:tc>
      </w:tr>
      <w:tr w:rsidR="00CC4877" w:rsidRPr="00E4265B" w14:paraId="08C6B668" w14:textId="77777777" w:rsidTr="00CD1719">
        <w:trPr>
          <w:gridBefore w:val="1"/>
          <w:wBefore w:w="882" w:type="dxa"/>
        </w:trPr>
        <w:tc>
          <w:tcPr>
            <w:tcW w:w="2462" w:type="dxa"/>
          </w:tcPr>
          <w:p w14:paraId="6AF4AA0B" w14:textId="77777777" w:rsidR="00CC4877" w:rsidRPr="00E4265B" w:rsidRDefault="00CC4877" w:rsidP="00F80299">
            <w:pPr>
              <w:spacing w:before="120" w:after="120"/>
              <w:rPr>
                <w:rFonts w:ascii="Arial" w:hAnsi="Arial" w:cs="Arial"/>
                <w:sz w:val="22"/>
                <w:szCs w:val="22"/>
                <w:lang w:val="en-GB"/>
              </w:rPr>
            </w:pPr>
            <w:r w:rsidRPr="00E4265B">
              <w:rPr>
                <w:rFonts w:ascii="Arial" w:hAnsi="Arial" w:cs="Arial"/>
                <w:sz w:val="22"/>
                <w:szCs w:val="22"/>
                <w:lang w:val="en-GB"/>
              </w:rPr>
              <w:t>Total Risk Exposure Amount</w:t>
            </w:r>
          </w:p>
        </w:tc>
        <w:tc>
          <w:tcPr>
            <w:tcW w:w="5188" w:type="dxa"/>
          </w:tcPr>
          <w:p w14:paraId="472C47AE" w14:textId="77777777" w:rsidR="00CC4877" w:rsidRPr="00E4265B" w:rsidRDefault="00CC4877" w:rsidP="00F80299">
            <w:pPr>
              <w:spacing w:before="120" w:after="120"/>
              <w:jc w:val="both"/>
              <w:rPr>
                <w:rFonts w:ascii="Arial" w:hAnsi="Arial" w:cs="Arial"/>
                <w:sz w:val="22"/>
                <w:szCs w:val="22"/>
                <w:lang w:val="en-GB"/>
              </w:rPr>
            </w:pPr>
            <w:r w:rsidRPr="00E4265B">
              <w:rPr>
                <w:rFonts w:ascii="Arial" w:hAnsi="Arial" w:cs="Arial"/>
                <w:sz w:val="22"/>
                <w:szCs w:val="22"/>
                <w:lang w:val="en-GB"/>
              </w:rPr>
              <w:t>Has the meaning given in Rule 3.5.7.</w:t>
            </w:r>
          </w:p>
        </w:tc>
      </w:tr>
      <w:tr w:rsidR="00CC4877" w:rsidRPr="00E4265B" w14:paraId="48011765" w14:textId="77777777" w:rsidTr="00CD1719">
        <w:trPr>
          <w:gridBefore w:val="1"/>
          <w:wBefore w:w="882" w:type="dxa"/>
        </w:trPr>
        <w:tc>
          <w:tcPr>
            <w:tcW w:w="2462" w:type="dxa"/>
          </w:tcPr>
          <w:p w14:paraId="4A505F3D" w14:textId="77777777" w:rsidR="00CC4877" w:rsidRPr="00E4265B" w:rsidRDefault="00CC4877"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Trade Exposure</w:t>
            </w:r>
          </w:p>
        </w:tc>
        <w:tc>
          <w:tcPr>
            <w:tcW w:w="5188" w:type="dxa"/>
          </w:tcPr>
          <w:p w14:paraId="08628E7D" w14:textId="6602C14F" w:rsidR="00CC4877" w:rsidRPr="00E4265B" w:rsidRDefault="00CC4877" w:rsidP="00540B19">
            <w:pPr>
              <w:spacing w:before="120" w:after="120"/>
              <w:jc w:val="both"/>
              <w:rPr>
                <w:rFonts w:ascii="Arial" w:hAnsi="Arial" w:cs="Arial"/>
                <w:sz w:val="22"/>
                <w:szCs w:val="22"/>
                <w:lang w:val="en-GB"/>
              </w:rPr>
            </w:pPr>
            <w:r w:rsidRPr="00E4265B">
              <w:rPr>
                <w:rFonts w:ascii="Arial" w:hAnsi="Arial" w:cs="Arial"/>
                <w:sz w:val="22"/>
                <w:szCs w:val="22"/>
                <w:lang w:val="en-GB"/>
              </w:rPr>
              <w:t>Means a current exposure, including a variation margin due to the clearing member or to the Client, but not yet received, and any potential future exposure of a clearing member or a Client to a CCP arising from Derivatives, SFTs or long settlement transactions, as well as initial margin.</w:t>
            </w:r>
          </w:p>
        </w:tc>
      </w:tr>
      <w:tr w:rsidR="00690BF6" w:rsidRPr="00E4265B" w14:paraId="63BE0E1D" w14:textId="77777777" w:rsidTr="00CD1719">
        <w:trPr>
          <w:gridBefore w:val="1"/>
          <w:wBefore w:w="882" w:type="dxa"/>
        </w:trPr>
        <w:tc>
          <w:tcPr>
            <w:tcW w:w="2462" w:type="dxa"/>
          </w:tcPr>
          <w:p w14:paraId="6CEB4A3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Trading Book</w:t>
            </w:r>
          </w:p>
        </w:tc>
        <w:tc>
          <w:tcPr>
            <w:tcW w:w="5188" w:type="dxa"/>
          </w:tcPr>
          <w:p w14:paraId="198A251A"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The positions and Exposures including on and off</w:t>
            </w:r>
            <w:r w:rsidRPr="00E4265B">
              <w:rPr>
                <w:rFonts w:ascii="Arial" w:hAnsi="Arial" w:cs="Arial"/>
                <w:sz w:val="22"/>
                <w:szCs w:val="22"/>
                <w:lang w:val="en-GB"/>
              </w:rPr>
              <w:noBreakHyphen/>
              <w:t>balance sheet items eligible for inclusion in the Trading Book, as described in Section 2.2.</w:t>
            </w:r>
          </w:p>
        </w:tc>
      </w:tr>
      <w:tr w:rsidR="00690BF6" w:rsidRPr="00E4265B" w14:paraId="36D95891" w14:textId="77777777" w:rsidTr="00CD1719">
        <w:trPr>
          <w:gridBefore w:val="1"/>
          <w:wBefore w:w="882" w:type="dxa"/>
        </w:trPr>
        <w:tc>
          <w:tcPr>
            <w:tcW w:w="2462" w:type="dxa"/>
          </w:tcPr>
          <w:p w14:paraId="0D306D2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Traditional Securitisation</w:t>
            </w:r>
          </w:p>
        </w:tc>
        <w:tc>
          <w:tcPr>
            <w:tcW w:w="5188" w:type="dxa"/>
          </w:tcPr>
          <w:p w14:paraId="15D8BD0D"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Has the meaning given in Rule 4.14.2(a).</w:t>
            </w:r>
          </w:p>
        </w:tc>
      </w:tr>
      <w:tr w:rsidR="00690BF6" w:rsidRPr="00E4265B" w14:paraId="2806FFE0" w14:textId="77777777" w:rsidTr="00CD1719">
        <w:trPr>
          <w:gridBefore w:val="1"/>
          <w:wBefore w:w="882" w:type="dxa"/>
        </w:trPr>
        <w:tc>
          <w:tcPr>
            <w:tcW w:w="2462" w:type="dxa"/>
          </w:tcPr>
          <w:p w14:paraId="4B27790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Trust Administration Services</w:t>
            </w:r>
          </w:p>
        </w:tc>
        <w:tc>
          <w:tcPr>
            <w:tcW w:w="5188" w:type="dxa"/>
          </w:tcPr>
          <w:p w14:paraId="445B1740"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 xml:space="preserve">The provision of </w:t>
            </w:r>
            <w:r w:rsidRPr="00E4265B">
              <w:rPr>
                <w:rStyle w:val="highlighter1"/>
                <w:rFonts w:ascii="Arial" w:hAnsi="Arial" w:cs="Arial"/>
                <w:color w:val="auto"/>
                <w:sz w:val="22"/>
                <w:szCs w:val="22"/>
                <w:lang w:val="en-GB"/>
              </w:rPr>
              <w:t>Trust</w:t>
            </w:r>
            <w:r w:rsidRPr="00E4265B">
              <w:rPr>
                <w:rFonts w:ascii="Arial" w:hAnsi="Arial" w:cs="Arial"/>
                <w:sz w:val="22"/>
                <w:szCs w:val="22"/>
                <w:lang w:val="en-GB"/>
              </w:rPr>
              <w:t xml:space="preserve"> </w:t>
            </w:r>
            <w:r w:rsidRPr="00E4265B">
              <w:rPr>
                <w:rStyle w:val="highlighter1"/>
                <w:rFonts w:ascii="Arial" w:hAnsi="Arial" w:cs="Arial"/>
                <w:color w:val="auto"/>
                <w:sz w:val="22"/>
                <w:szCs w:val="22"/>
                <w:lang w:val="en-GB"/>
              </w:rPr>
              <w:t>Administration</w:t>
            </w:r>
            <w:r w:rsidRPr="00E4265B">
              <w:rPr>
                <w:rFonts w:ascii="Arial" w:hAnsi="Arial" w:cs="Arial"/>
                <w:sz w:val="22"/>
                <w:szCs w:val="22"/>
                <w:lang w:val="en-GB"/>
              </w:rPr>
              <w:t xml:space="preserve"> </w:t>
            </w:r>
            <w:r w:rsidRPr="00E4265B">
              <w:rPr>
                <w:rStyle w:val="highlighter1"/>
                <w:rFonts w:ascii="Arial" w:hAnsi="Arial" w:cs="Arial"/>
                <w:color w:val="auto"/>
                <w:sz w:val="22"/>
                <w:szCs w:val="22"/>
                <w:lang w:val="en-GB"/>
              </w:rPr>
              <w:t>Services</w:t>
            </w:r>
            <w:r w:rsidRPr="00E4265B">
              <w:rPr>
                <w:rFonts w:ascii="Arial" w:hAnsi="Arial" w:cs="Arial"/>
                <w:sz w:val="22"/>
                <w:szCs w:val="22"/>
                <w:lang w:val="en-GB"/>
              </w:rPr>
              <w:t xml:space="preserve"> include:</w:t>
            </w:r>
          </w:p>
          <w:p w14:paraId="7597C8F0" w14:textId="77777777" w:rsidR="00690BF6" w:rsidRPr="00E4265B" w:rsidRDefault="00690BF6" w:rsidP="0019712D">
            <w:pPr>
              <w:pStyle w:val="Heading9"/>
              <w:numPr>
                <w:ilvl w:val="8"/>
                <w:numId w:val="57"/>
              </w:numPr>
              <w:rPr>
                <w:rFonts w:ascii="Arial" w:hAnsi="Arial" w:cs="Arial"/>
                <w:sz w:val="22"/>
                <w:szCs w:val="22"/>
                <w:lang w:val="en-GB"/>
              </w:rPr>
            </w:pPr>
            <w:r w:rsidRPr="00E4265B">
              <w:rPr>
                <w:rFonts w:ascii="Arial" w:hAnsi="Arial" w:cs="Arial"/>
                <w:sz w:val="22"/>
                <w:szCs w:val="22"/>
                <w:lang w:val="en-GB"/>
              </w:rPr>
              <w:t xml:space="preserve">the keeping of </w:t>
            </w:r>
            <w:r w:rsidRPr="00E4265B">
              <w:rPr>
                <w:rStyle w:val="me"/>
                <w:rFonts w:ascii="Arial" w:hAnsi="Arial" w:cs="Arial"/>
                <w:sz w:val="22"/>
                <w:szCs w:val="22"/>
                <w:lang w:val="en-GB"/>
              </w:rPr>
              <w:t xml:space="preserve">Accounting Records </w:t>
            </w:r>
            <w:r w:rsidRPr="00E4265B">
              <w:rPr>
                <w:rFonts w:ascii="Arial" w:hAnsi="Arial" w:cs="Arial"/>
                <w:sz w:val="22"/>
                <w:szCs w:val="22"/>
                <w:lang w:val="en-GB"/>
              </w:rPr>
              <w:t xml:space="preserve">relating to an express </w:t>
            </w:r>
            <w:r w:rsidRPr="00E4265B">
              <w:rPr>
                <w:rStyle w:val="highlighter1"/>
                <w:rFonts w:ascii="Arial" w:hAnsi="Arial" w:cs="Arial"/>
                <w:color w:val="auto"/>
                <w:sz w:val="22"/>
                <w:szCs w:val="22"/>
                <w:lang w:val="en-GB"/>
              </w:rPr>
              <w:t>trust</w:t>
            </w:r>
            <w:r w:rsidRPr="00E4265B">
              <w:rPr>
                <w:rFonts w:ascii="Arial" w:hAnsi="Arial" w:cs="Arial"/>
                <w:sz w:val="22"/>
                <w:szCs w:val="22"/>
                <w:lang w:val="en-GB"/>
              </w:rPr>
              <w:t xml:space="preserve"> and the preparation of </w:t>
            </w:r>
            <w:r w:rsidRPr="00E4265B">
              <w:rPr>
                <w:rStyle w:val="highlighter1"/>
                <w:rFonts w:ascii="Arial" w:hAnsi="Arial" w:cs="Arial"/>
                <w:color w:val="auto"/>
                <w:sz w:val="22"/>
                <w:szCs w:val="22"/>
                <w:lang w:val="en-GB"/>
              </w:rPr>
              <w:t>trust</w:t>
            </w:r>
            <w:r w:rsidRPr="00E4265B">
              <w:rPr>
                <w:rFonts w:ascii="Arial" w:hAnsi="Arial" w:cs="Arial"/>
                <w:sz w:val="22"/>
                <w:szCs w:val="22"/>
                <w:lang w:val="en-GB"/>
              </w:rPr>
              <w:t xml:space="preserve"> accounts;</w:t>
            </w:r>
          </w:p>
          <w:p w14:paraId="5B04A575"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t xml:space="preserve">the preparation of </w:t>
            </w:r>
            <w:r w:rsidRPr="00E4265B">
              <w:rPr>
                <w:rStyle w:val="highlighter1"/>
                <w:rFonts w:ascii="Arial" w:hAnsi="Arial" w:cs="Arial"/>
                <w:color w:val="auto"/>
                <w:sz w:val="22"/>
                <w:szCs w:val="22"/>
                <w:lang w:val="en-GB"/>
              </w:rPr>
              <w:t>trust</w:t>
            </w:r>
            <w:r w:rsidRPr="00E4265B">
              <w:rPr>
                <w:rFonts w:ascii="Arial" w:hAnsi="Arial" w:cs="Arial"/>
                <w:sz w:val="22"/>
                <w:szCs w:val="22"/>
                <w:lang w:val="en-GB"/>
              </w:rPr>
              <w:t xml:space="preserve"> instruments or other documents relating to an express </w:t>
            </w:r>
            <w:r w:rsidRPr="00E4265B">
              <w:rPr>
                <w:rStyle w:val="highlighter1"/>
                <w:rFonts w:ascii="Arial" w:hAnsi="Arial" w:cs="Arial"/>
                <w:color w:val="auto"/>
                <w:sz w:val="22"/>
                <w:szCs w:val="22"/>
                <w:lang w:val="en-GB"/>
              </w:rPr>
              <w:t>trust</w:t>
            </w:r>
            <w:r w:rsidRPr="00E4265B">
              <w:rPr>
                <w:rFonts w:ascii="Arial" w:hAnsi="Arial" w:cs="Arial"/>
                <w:sz w:val="22"/>
                <w:szCs w:val="22"/>
                <w:lang w:val="en-GB"/>
              </w:rPr>
              <w:t>;</w:t>
            </w:r>
          </w:p>
          <w:p w14:paraId="5C4C6686"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t xml:space="preserve">the management and </w:t>
            </w:r>
            <w:r w:rsidRPr="00E4265B">
              <w:rPr>
                <w:rStyle w:val="highlighter1"/>
                <w:rFonts w:ascii="Arial" w:hAnsi="Arial" w:cs="Arial"/>
                <w:color w:val="auto"/>
                <w:sz w:val="22"/>
                <w:szCs w:val="22"/>
                <w:lang w:val="en-GB"/>
              </w:rPr>
              <w:t>administration</w:t>
            </w:r>
            <w:r w:rsidRPr="00E4265B">
              <w:rPr>
                <w:rFonts w:ascii="Arial" w:hAnsi="Arial" w:cs="Arial"/>
                <w:sz w:val="22"/>
                <w:szCs w:val="22"/>
                <w:lang w:val="en-GB"/>
              </w:rPr>
              <w:t xml:space="preserve"> of </w:t>
            </w:r>
            <w:r w:rsidRPr="00E4265B">
              <w:rPr>
                <w:rStyle w:val="highlighter1"/>
                <w:rFonts w:ascii="Arial" w:hAnsi="Arial" w:cs="Arial"/>
                <w:color w:val="auto"/>
                <w:sz w:val="22"/>
                <w:szCs w:val="22"/>
                <w:lang w:val="en-GB"/>
              </w:rPr>
              <w:t>trust</w:t>
            </w:r>
            <w:r w:rsidRPr="00E4265B">
              <w:rPr>
                <w:rFonts w:ascii="Arial" w:hAnsi="Arial" w:cs="Arial"/>
                <w:sz w:val="22"/>
                <w:szCs w:val="22"/>
                <w:lang w:val="en-GB"/>
              </w:rPr>
              <w:t xml:space="preserve"> assets subject to an express </w:t>
            </w:r>
            <w:r w:rsidRPr="00E4265B">
              <w:rPr>
                <w:rStyle w:val="highlighter1"/>
                <w:rFonts w:ascii="Arial" w:hAnsi="Arial" w:cs="Arial"/>
                <w:color w:val="auto"/>
                <w:sz w:val="22"/>
                <w:szCs w:val="22"/>
                <w:lang w:val="en-GB"/>
              </w:rPr>
              <w:t>trust</w:t>
            </w:r>
            <w:r w:rsidRPr="00E4265B">
              <w:rPr>
                <w:rFonts w:ascii="Arial" w:hAnsi="Arial" w:cs="Arial"/>
                <w:sz w:val="22"/>
                <w:szCs w:val="22"/>
                <w:lang w:val="en-GB"/>
              </w:rPr>
              <w:t>;</w:t>
            </w:r>
          </w:p>
          <w:p w14:paraId="7A060788"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t xml:space="preserve">dealing with </w:t>
            </w:r>
            <w:r w:rsidRPr="00E4265B">
              <w:rPr>
                <w:rStyle w:val="highlighter1"/>
                <w:rFonts w:ascii="Arial" w:hAnsi="Arial" w:cs="Arial"/>
                <w:color w:val="auto"/>
                <w:sz w:val="22"/>
                <w:szCs w:val="22"/>
                <w:lang w:val="en-GB"/>
              </w:rPr>
              <w:t>trust</w:t>
            </w:r>
            <w:r w:rsidRPr="00E4265B">
              <w:rPr>
                <w:rFonts w:ascii="Arial" w:hAnsi="Arial" w:cs="Arial"/>
                <w:sz w:val="22"/>
                <w:szCs w:val="22"/>
                <w:lang w:val="en-GB"/>
              </w:rPr>
              <w:t xml:space="preserve"> assets subject to an express </w:t>
            </w:r>
            <w:r w:rsidRPr="00E4265B">
              <w:rPr>
                <w:rStyle w:val="highlighter1"/>
                <w:rFonts w:ascii="Arial" w:hAnsi="Arial" w:cs="Arial"/>
                <w:color w:val="auto"/>
                <w:sz w:val="22"/>
                <w:szCs w:val="22"/>
                <w:lang w:val="en-GB"/>
              </w:rPr>
              <w:t>trust</w:t>
            </w:r>
            <w:r w:rsidRPr="00E4265B">
              <w:rPr>
                <w:rFonts w:ascii="Arial" w:hAnsi="Arial" w:cs="Arial"/>
                <w:sz w:val="22"/>
                <w:szCs w:val="22"/>
                <w:lang w:val="en-GB"/>
              </w:rPr>
              <w:t>, including the investment, transfer and disposal of such assets;</w:t>
            </w:r>
          </w:p>
          <w:p w14:paraId="545BD8FA"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t xml:space="preserve">the distribution of </w:t>
            </w:r>
            <w:r w:rsidRPr="00E4265B">
              <w:rPr>
                <w:rStyle w:val="highlighter1"/>
                <w:rFonts w:ascii="Arial" w:hAnsi="Arial" w:cs="Arial"/>
                <w:color w:val="auto"/>
                <w:sz w:val="22"/>
                <w:szCs w:val="22"/>
                <w:lang w:val="en-GB"/>
              </w:rPr>
              <w:t>trust</w:t>
            </w:r>
            <w:r w:rsidRPr="00E4265B">
              <w:rPr>
                <w:rFonts w:ascii="Arial" w:hAnsi="Arial" w:cs="Arial"/>
                <w:sz w:val="22"/>
                <w:szCs w:val="22"/>
                <w:lang w:val="en-GB"/>
              </w:rPr>
              <w:t xml:space="preserve"> assets subject to an express </w:t>
            </w:r>
            <w:r w:rsidRPr="00E4265B">
              <w:rPr>
                <w:rStyle w:val="highlighter1"/>
                <w:rFonts w:ascii="Arial" w:hAnsi="Arial" w:cs="Arial"/>
                <w:color w:val="auto"/>
                <w:sz w:val="22"/>
                <w:szCs w:val="22"/>
                <w:lang w:val="en-GB"/>
              </w:rPr>
              <w:t>trust</w:t>
            </w:r>
            <w:r w:rsidRPr="00E4265B">
              <w:rPr>
                <w:rFonts w:ascii="Arial" w:hAnsi="Arial" w:cs="Arial"/>
                <w:sz w:val="22"/>
                <w:szCs w:val="22"/>
                <w:lang w:val="en-GB"/>
              </w:rPr>
              <w:t>; and</w:t>
            </w:r>
          </w:p>
          <w:p w14:paraId="629FD04D"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t xml:space="preserve">the payment of expenses or remuneration out of an express </w:t>
            </w:r>
            <w:r w:rsidRPr="00E4265B">
              <w:rPr>
                <w:rStyle w:val="highlighter1"/>
                <w:rFonts w:ascii="Arial" w:hAnsi="Arial" w:cs="Arial"/>
                <w:color w:val="auto"/>
                <w:sz w:val="22"/>
                <w:szCs w:val="22"/>
                <w:lang w:val="en-GB"/>
              </w:rPr>
              <w:t>trust</w:t>
            </w:r>
            <w:r w:rsidRPr="00E4265B">
              <w:rPr>
                <w:rFonts w:ascii="Arial" w:hAnsi="Arial" w:cs="Arial"/>
                <w:sz w:val="22"/>
                <w:szCs w:val="22"/>
                <w:lang w:val="en-GB"/>
              </w:rPr>
              <w:t>.</w:t>
            </w:r>
          </w:p>
        </w:tc>
      </w:tr>
      <w:tr w:rsidR="00690BF6" w:rsidRPr="00E4265B" w14:paraId="5438EF4F" w14:textId="77777777" w:rsidTr="00CD1719">
        <w:trPr>
          <w:gridBefore w:val="1"/>
          <w:wBefore w:w="882" w:type="dxa"/>
        </w:trPr>
        <w:tc>
          <w:tcPr>
            <w:tcW w:w="2462" w:type="dxa"/>
          </w:tcPr>
          <w:p w14:paraId="2F930F6A"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Trust Deed</w:t>
            </w:r>
          </w:p>
        </w:tc>
        <w:tc>
          <w:tcPr>
            <w:tcW w:w="5188" w:type="dxa"/>
          </w:tcPr>
          <w:p w14:paraId="37C32395" w14:textId="77777777" w:rsidR="00690BF6" w:rsidRPr="00E4265B" w:rsidRDefault="00690BF6" w:rsidP="00201D55">
            <w:pPr>
              <w:spacing w:before="120" w:after="120"/>
              <w:jc w:val="both"/>
              <w:rPr>
                <w:rFonts w:ascii="Arial" w:hAnsi="Arial" w:cs="Arial"/>
                <w:sz w:val="22"/>
                <w:szCs w:val="22"/>
                <w:lang w:val="en-GB"/>
              </w:rPr>
            </w:pPr>
            <w:r w:rsidRPr="00E4265B">
              <w:rPr>
                <w:rFonts w:ascii="Arial" w:hAnsi="Arial" w:cs="Arial"/>
                <w:sz w:val="22"/>
                <w:szCs w:val="22"/>
                <w:lang w:val="en-GB"/>
              </w:rPr>
              <w:t>A deed entered into by a Fund Manager and the Trustee to create an Investment Trust.</w:t>
            </w:r>
          </w:p>
        </w:tc>
      </w:tr>
      <w:tr w:rsidR="00690BF6" w:rsidRPr="00E4265B" w14:paraId="0DB6B06E" w14:textId="77777777" w:rsidTr="00CD1719">
        <w:trPr>
          <w:gridBefore w:val="1"/>
          <w:wBefore w:w="882" w:type="dxa"/>
        </w:trPr>
        <w:tc>
          <w:tcPr>
            <w:tcW w:w="2462" w:type="dxa"/>
          </w:tcPr>
          <w:p w14:paraId="27417DEC"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Trustee</w:t>
            </w:r>
          </w:p>
        </w:tc>
        <w:tc>
          <w:tcPr>
            <w:tcW w:w="5188" w:type="dxa"/>
          </w:tcPr>
          <w:p w14:paraId="16888082" w14:textId="77777777" w:rsidR="00690BF6" w:rsidRPr="00E4265B" w:rsidRDefault="00C70291" w:rsidP="00C033FC">
            <w:pPr>
              <w:spacing w:before="120" w:after="120"/>
              <w:jc w:val="both"/>
              <w:rPr>
                <w:rFonts w:ascii="Arial" w:hAnsi="Arial" w:cs="Arial"/>
                <w:sz w:val="22"/>
                <w:szCs w:val="22"/>
                <w:lang w:val="en-GB"/>
              </w:rPr>
            </w:pPr>
            <w:r w:rsidRPr="00E4265B">
              <w:rPr>
                <w:rFonts w:ascii="Arial" w:hAnsi="Arial" w:cs="Arial"/>
                <w:snapToGrid w:val="0"/>
                <w:sz w:val="22"/>
                <w:szCs w:val="22"/>
                <w:lang w:val="en-GB"/>
              </w:rPr>
              <w:t>Means the Person, described under FUNDS 12.3.4 who is appointed under a Trust Deed as the trustee of an Investment Trust to hold the Investment Trust's Property on trust for the Unitholders and to oversee the operation of the Investment Trust and, in relation to a Domestic Fund, is authorised under its Financial Services Permission to Act as the Trustee of the Investment Trust.</w:t>
            </w:r>
          </w:p>
        </w:tc>
      </w:tr>
      <w:tr w:rsidR="00690BF6" w:rsidRPr="00E4265B" w14:paraId="2B4FE47F" w14:textId="77777777" w:rsidTr="00CD1719">
        <w:trPr>
          <w:gridBefore w:val="1"/>
          <w:wBefore w:w="882" w:type="dxa"/>
        </w:trPr>
        <w:tc>
          <w:tcPr>
            <w:tcW w:w="2462" w:type="dxa"/>
          </w:tcPr>
          <w:p w14:paraId="349B1E17"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Undertaking</w:t>
            </w:r>
          </w:p>
        </w:tc>
        <w:tc>
          <w:tcPr>
            <w:tcW w:w="5188" w:type="dxa"/>
          </w:tcPr>
          <w:p w14:paraId="3DDE1FB0"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Means:</w:t>
            </w:r>
          </w:p>
          <w:p w14:paraId="0D7279C8" w14:textId="77777777" w:rsidR="00690BF6" w:rsidRPr="00E4265B" w:rsidRDefault="00690BF6" w:rsidP="0019712D">
            <w:pPr>
              <w:pStyle w:val="Heading9"/>
              <w:numPr>
                <w:ilvl w:val="8"/>
                <w:numId w:val="58"/>
              </w:numPr>
              <w:rPr>
                <w:rFonts w:ascii="Arial" w:hAnsi="Arial" w:cs="Arial"/>
                <w:sz w:val="22"/>
                <w:szCs w:val="22"/>
                <w:lang w:val="en-GB"/>
              </w:rPr>
            </w:pPr>
            <w:r w:rsidRPr="00E4265B">
              <w:rPr>
                <w:rFonts w:ascii="Arial" w:hAnsi="Arial" w:cs="Arial"/>
                <w:sz w:val="22"/>
                <w:szCs w:val="22"/>
                <w:lang w:val="en-GB"/>
              </w:rPr>
              <w:t>a Body Corporate or Partnership; or</w:t>
            </w:r>
          </w:p>
          <w:p w14:paraId="7BB6B522" w14:textId="77777777" w:rsidR="00690BF6" w:rsidRPr="00E4265B" w:rsidRDefault="00690BF6" w:rsidP="00201D55">
            <w:pPr>
              <w:pStyle w:val="Heading9"/>
              <w:rPr>
                <w:rFonts w:ascii="Arial" w:hAnsi="Arial" w:cs="Arial"/>
                <w:sz w:val="22"/>
                <w:szCs w:val="22"/>
                <w:lang w:val="en-GB"/>
              </w:rPr>
            </w:pPr>
            <w:r w:rsidRPr="00E4265B">
              <w:rPr>
                <w:rFonts w:ascii="Arial" w:hAnsi="Arial" w:cs="Arial"/>
                <w:sz w:val="22"/>
                <w:szCs w:val="22"/>
                <w:lang w:val="en-GB"/>
              </w:rPr>
              <w:lastRenderedPageBreak/>
              <w:t>an unincorporated association carrying on a trade or business, with or without a view to profit.</w:t>
            </w:r>
          </w:p>
        </w:tc>
      </w:tr>
      <w:tr w:rsidR="00690BF6" w:rsidRPr="00E4265B" w14:paraId="588992DE" w14:textId="77777777" w:rsidTr="00CD1719">
        <w:trPr>
          <w:gridBefore w:val="1"/>
          <w:wBefore w:w="882" w:type="dxa"/>
        </w:trPr>
        <w:tc>
          <w:tcPr>
            <w:tcW w:w="2462" w:type="dxa"/>
          </w:tcPr>
          <w:p w14:paraId="32FD9B74"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lastRenderedPageBreak/>
              <w:t>Underwriting</w:t>
            </w:r>
          </w:p>
        </w:tc>
        <w:tc>
          <w:tcPr>
            <w:tcW w:w="5188" w:type="dxa"/>
          </w:tcPr>
          <w:p w14:paraId="46417746"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An arrangement under which a party agrees to buy, before issue, a specified quantity of Securities in an issue of Securities on a given date at a given price, if no other party has purchased or acquired them.</w:t>
            </w:r>
          </w:p>
        </w:tc>
      </w:tr>
      <w:tr w:rsidR="00690BF6" w:rsidRPr="00E4265B" w14:paraId="70648091" w14:textId="77777777" w:rsidTr="00CD1719">
        <w:trPr>
          <w:gridBefore w:val="1"/>
          <w:wBefore w:w="882" w:type="dxa"/>
        </w:trPr>
        <w:tc>
          <w:tcPr>
            <w:tcW w:w="2462" w:type="dxa"/>
          </w:tcPr>
          <w:p w14:paraId="30D431B4"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Unit</w:t>
            </w:r>
          </w:p>
        </w:tc>
        <w:tc>
          <w:tcPr>
            <w:tcW w:w="5188" w:type="dxa"/>
          </w:tcPr>
          <w:p w14:paraId="5783A52C"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Means a unit in or a Share representing the rights or interests of a Unitholder in a Fund.</w:t>
            </w:r>
          </w:p>
        </w:tc>
      </w:tr>
      <w:tr w:rsidR="00690BF6" w:rsidRPr="00E4265B" w14:paraId="6A9C4217" w14:textId="77777777" w:rsidTr="00CD1719">
        <w:trPr>
          <w:gridBefore w:val="1"/>
          <w:wBefore w:w="882" w:type="dxa"/>
        </w:trPr>
        <w:tc>
          <w:tcPr>
            <w:tcW w:w="2462" w:type="dxa"/>
          </w:tcPr>
          <w:p w14:paraId="5AA536FB"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Unitholder</w:t>
            </w:r>
          </w:p>
        </w:tc>
        <w:tc>
          <w:tcPr>
            <w:tcW w:w="5188" w:type="dxa"/>
          </w:tcPr>
          <w:p w14:paraId="0F3B2237"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Means any holder of a Unit in the Fund or of any right or interest in such a Unit, otherwise known as a 'participant' and whose name is entered on the Fund's register in relation to that Unit.</w:t>
            </w:r>
          </w:p>
        </w:tc>
      </w:tr>
      <w:tr w:rsidR="00690BF6" w:rsidRPr="00E4265B" w14:paraId="1759F38B" w14:textId="77777777" w:rsidTr="00CD1719">
        <w:trPr>
          <w:gridBefore w:val="1"/>
          <w:wBefore w:w="882" w:type="dxa"/>
        </w:trPr>
        <w:tc>
          <w:tcPr>
            <w:tcW w:w="2462" w:type="dxa"/>
          </w:tcPr>
          <w:p w14:paraId="07A04958"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Unrestricted PSIA (PSIAu)</w:t>
            </w:r>
          </w:p>
        </w:tc>
        <w:tc>
          <w:tcPr>
            <w:tcW w:w="5188" w:type="dxa"/>
          </w:tcPr>
          <w:p w14:paraId="2B2A7868"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PSIA in respect of which the investment account holder authorises the Authorised Person to invest the account holder's funds in a manner which the Authorised Person deems appropriate without laying down any restrictions as to where, how and for what purpose the funds should be invested.</w:t>
            </w:r>
          </w:p>
        </w:tc>
      </w:tr>
      <w:tr w:rsidR="00690BF6" w:rsidRPr="00E4265B" w14:paraId="690CA370" w14:textId="77777777" w:rsidTr="00CD1719">
        <w:trPr>
          <w:gridBefore w:val="1"/>
          <w:wBefore w:w="882" w:type="dxa"/>
        </w:trPr>
        <w:tc>
          <w:tcPr>
            <w:tcW w:w="2462" w:type="dxa"/>
          </w:tcPr>
          <w:p w14:paraId="70E0D317"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Unsettled Transaction</w:t>
            </w:r>
          </w:p>
        </w:tc>
        <w:tc>
          <w:tcPr>
            <w:tcW w:w="5188" w:type="dxa"/>
          </w:tcPr>
          <w:p w14:paraId="7C0F1103"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transaction where delivery of an instrument is due to take place against the receipt of cash but remains outstanding.</w:t>
            </w:r>
          </w:p>
        </w:tc>
      </w:tr>
      <w:tr w:rsidR="00690BF6" w:rsidRPr="00E4265B" w14:paraId="5B438778" w14:textId="77777777" w:rsidTr="00CD1719">
        <w:trPr>
          <w:gridBefore w:val="1"/>
          <w:wBefore w:w="882" w:type="dxa"/>
        </w:trPr>
        <w:tc>
          <w:tcPr>
            <w:tcW w:w="2462" w:type="dxa"/>
          </w:tcPr>
          <w:p w14:paraId="24E6E990"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VaR</w:t>
            </w:r>
          </w:p>
        </w:tc>
        <w:tc>
          <w:tcPr>
            <w:tcW w:w="5188" w:type="dxa"/>
          </w:tcPr>
          <w:p w14:paraId="499B060A"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Value at risk.</w:t>
            </w:r>
          </w:p>
        </w:tc>
      </w:tr>
      <w:tr w:rsidR="00690BF6" w:rsidRPr="00E4265B" w14:paraId="351068F7" w14:textId="77777777" w:rsidTr="00CD1719">
        <w:trPr>
          <w:gridBefore w:val="1"/>
          <w:wBefore w:w="882" w:type="dxa"/>
        </w:trPr>
        <w:tc>
          <w:tcPr>
            <w:tcW w:w="2462" w:type="dxa"/>
          </w:tcPr>
          <w:p w14:paraId="48B0FEA1"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Vega</w:t>
            </w:r>
          </w:p>
        </w:tc>
        <w:tc>
          <w:tcPr>
            <w:tcW w:w="5188" w:type="dxa"/>
          </w:tcPr>
          <w:p w14:paraId="49253FE1"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The measure of the sensitivity of the value of the Option to a change in the volatility of the underlying asset.</w:t>
            </w:r>
          </w:p>
        </w:tc>
      </w:tr>
      <w:tr w:rsidR="002128C2" w:rsidRPr="00E4265B" w14:paraId="415A9310" w14:textId="77777777" w:rsidTr="00CD1719">
        <w:trPr>
          <w:gridBefore w:val="1"/>
          <w:wBefore w:w="882" w:type="dxa"/>
        </w:trPr>
        <w:tc>
          <w:tcPr>
            <w:tcW w:w="2462" w:type="dxa"/>
          </w:tcPr>
          <w:p w14:paraId="5197977B" w14:textId="77777777" w:rsidR="002128C2" w:rsidRPr="00E4265B" w:rsidRDefault="002128C2" w:rsidP="002128C2">
            <w:pPr>
              <w:spacing w:before="120" w:after="120"/>
              <w:rPr>
                <w:rFonts w:ascii="Arial" w:hAnsi="Arial" w:cs="Arial"/>
                <w:sz w:val="22"/>
                <w:szCs w:val="22"/>
                <w:lang w:val="en-GB"/>
              </w:rPr>
            </w:pPr>
            <w:r w:rsidRPr="00E4265B">
              <w:rPr>
                <w:rFonts w:ascii="Arial" w:hAnsi="Arial" w:cs="Arial"/>
                <w:sz w:val="22"/>
                <w:szCs w:val="22"/>
                <w:lang w:val="en-GB"/>
              </w:rPr>
              <w:t>Venture Capital Fund</w:t>
            </w:r>
          </w:p>
        </w:tc>
        <w:tc>
          <w:tcPr>
            <w:tcW w:w="5188" w:type="dxa"/>
          </w:tcPr>
          <w:p w14:paraId="3F9B3C06" w14:textId="77777777" w:rsidR="002128C2" w:rsidRPr="00E4265B" w:rsidRDefault="002128C2" w:rsidP="002128C2">
            <w:pPr>
              <w:spacing w:before="120" w:after="120"/>
              <w:rPr>
                <w:rFonts w:ascii="Arial" w:hAnsi="Arial" w:cs="Arial"/>
                <w:sz w:val="22"/>
                <w:szCs w:val="22"/>
                <w:lang w:val="en-GB"/>
              </w:rPr>
            </w:pPr>
            <w:r w:rsidRPr="00E4265B">
              <w:rPr>
                <w:rFonts w:ascii="Arial" w:hAnsi="Arial" w:cs="Arial"/>
                <w:sz w:val="22"/>
                <w:szCs w:val="22"/>
                <w:lang w:val="en-GB"/>
              </w:rPr>
              <w:t>Has the meaning given in FUNDS 4.1.6.</w:t>
            </w:r>
          </w:p>
        </w:tc>
      </w:tr>
      <w:tr w:rsidR="00690BF6" w:rsidRPr="00E4265B" w14:paraId="347A52C2" w14:textId="77777777" w:rsidTr="00CD1719">
        <w:trPr>
          <w:gridBefore w:val="1"/>
          <w:wBefore w:w="882" w:type="dxa"/>
        </w:trPr>
        <w:tc>
          <w:tcPr>
            <w:tcW w:w="2462" w:type="dxa"/>
          </w:tcPr>
          <w:p w14:paraId="4AC8A155"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Walkaway Clause</w:t>
            </w:r>
          </w:p>
        </w:tc>
        <w:tc>
          <w:tcPr>
            <w:tcW w:w="5188" w:type="dxa"/>
          </w:tcPr>
          <w:p w14:paraId="0DE20F86"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A provision which permits a non</w:t>
            </w:r>
            <w:r w:rsidRPr="00E4265B">
              <w:rPr>
                <w:rFonts w:ascii="Arial" w:hAnsi="Arial" w:cs="Arial"/>
                <w:sz w:val="22"/>
                <w:szCs w:val="22"/>
                <w:lang w:val="en-GB"/>
              </w:rPr>
              <w:noBreakHyphen/>
              <w:t>defaulting party to make payments, or no payments at all, to the estate of the defaulter, even if the defaulter is a net creditor.</w:t>
            </w:r>
          </w:p>
        </w:tc>
      </w:tr>
      <w:tr w:rsidR="00690BF6" w:rsidRPr="00E4265B" w14:paraId="0BA65342" w14:textId="77777777" w:rsidTr="00CD1719">
        <w:trPr>
          <w:gridBefore w:val="1"/>
          <w:wBefore w:w="882" w:type="dxa"/>
        </w:trPr>
        <w:tc>
          <w:tcPr>
            <w:tcW w:w="2462" w:type="dxa"/>
          </w:tcPr>
          <w:p w14:paraId="53C5B677" w14:textId="77777777" w:rsidR="00690BF6" w:rsidRPr="00E4265B" w:rsidRDefault="00690BF6" w:rsidP="00F80299">
            <w:pPr>
              <w:spacing w:before="120" w:after="120"/>
              <w:rPr>
                <w:rFonts w:ascii="Arial" w:hAnsi="Arial" w:cs="Arial"/>
                <w:sz w:val="22"/>
                <w:szCs w:val="22"/>
                <w:lang w:val="en-GB"/>
              </w:rPr>
            </w:pPr>
            <w:r w:rsidRPr="00E4265B">
              <w:rPr>
                <w:rFonts w:ascii="Arial" w:hAnsi="Arial" w:cs="Arial"/>
                <w:sz w:val="22"/>
                <w:szCs w:val="22"/>
                <w:lang w:val="en-GB"/>
              </w:rPr>
              <w:t>Warrant</w:t>
            </w:r>
          </w:p>
        </w:tc>
        <w:tc>
          <w:tcPr>
            <w:tcW w:w="5188" w:type="dxa"/>
          </w:tcPr>
          <w:p w14:paraId="62F5D2D6" w14:textId="77777777" w:rsidR="00690BF6" w:rsidRPr="00E4265B" w:rsidRDefault="00690BF6" w:rsidP="00F80299">
            <w:pPr>
              <w:spacing w:before="120" w:after="120"/>
              <w:jc w:val="both"/>
              <w:rPr>
                <w:rFonts w:ascii="Arial" w:hAnsi="Arial" w:cs="Arial"/>
                <w:sz w:val="22"/>
                <w:szCs w:val="22"/>
                <w:lang w:val="en-GB"/>
              </w:rPr>
            </w:pPr>
            <w:r w:rsidRPr="00E4265B">
              <w:rPr>
                <w:rFonts w:ascii="Arial" w:hAnsi="Arial" w:cs="Arial"/>
                <w:sz w:val="22"/>
                <w:szCs w:val="22"/>
                <w:lang w:val="en-GB"/>
              </w:rPr>
              <w:t>Means an instrument that confers on the holder a right entitling the holder to an unissued Share, Debenture or Unit.</w:t>
            </w:r>
          </w:p>
        </w:tc>
      </w:tr>
    </w:tbl>
    <w:p w14:paraId="06D4B397" w14:textId="78B29415" w:rsidR="00B95E3D" w:rsidRPr="00E4265B" w:rsidRDefault="00B95E3D" w:rsidP="008C5EAC">
      <w:pPr>
        <w:rPr>
          <w:rFonts w:ascii="Arial" w:hAnsi="Arial" w:cs="Arial"/>
          <w:sz w:val="22"/>
          <w:szCs w:val="22"/>
          <w:lang w:val="en-GB"/>
        </w:rPr>
      </w:pPr>
    </w:p>
    <w:p w14:paraId="75E7D6DF" w14:textId="77777777" w:rsidR="00B95E3D" w:rsidRPr="00E4265B" w:rsidRDefault="00B95E3D">
      <w:pPr>
        <w:rPr>
          <w:rFonts w:ascii="Arial" w:hAnsi="Arial" w:cs="Arial"/>
          <w:sz w:val="22"/>
          <w:szCs w:val="22"/>
          <w:lang w:val="en-GB"/>
        </w:rPr>
      </w:pPr>
      <w:r w:rsidRPr="00E4265B">
        <w:rPr>
          <w:rFonts w:ascii="Arial" w:hAnsi="Arial" w:cs="Arial"/>
          <w:sz w:val="22"/>
          <w:szCs w:val="22"/>
          <w:lang w:val="en-GB"/>
        </w:rPr>
        <w:br w:type="page"/>
      </w:r>
    </w:p>
    <w:tbl>
      <w:tblPr>
        <w:tblStyle w:val="TableGrid"/>
        <w:tblW w:w="94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
        <w:gridCol w:w="325"/>
        <w:gridCol w:w="90"/>
        <w:gridCol w:w="90"/>
        <w:gridCol w:w="90"/>
        <w:gridCol w:w="90"/>
        <w:gridCol w:w="180"/>
        <w:gridCol w:w="721"/>
        <w:gridCol w:w="7307"/>
        <w:gridCol w:w="72"/>
      </w:tblGrid>
      <w:tr w:rsidR="009528A8" w:rsidRPr="00E4265B" w14:paraId="14507380" w14:textId="77777777" w:rsidTr="00520DA4">
        <w:tc>
          <w:tcPr>
            <w:tcW w:w="9450" w:type="dxa"/>
            <w:gridSpan w:val="10"/>
          </w:tcPr>
          <w:p w14:paraId="0CBB9BB0" w14:textId="77777777" w:rsidR="009528A8" w:rsidRPr="00E4265B" w:rsidRDefault="009528A8" w:rsidP="009528A8">
            <w:pPr>
              <w:pStyle w:val="Heading3"/>
              <w:rPr>
                <w:rFonts w:ascii="Arial" w:hAnsi="Arial" w:cs="Arial"/>
                <w:sz w:val="22"/>
                <w:szCs w:val="22"/>
              </w:rPr>
            </w:pPr>
            <w:bookmarkStart w:id="31" w:name="_Toc403223909"/>
            <w:bookmarkStart w:id="32" w:name="_Toc403253947"/>
            <w:bookmarkStart w:id="33" w:name="_Toc403273347"/>
            <w:bookmarkStart w:id="34" w:name="_Toc403273496"/>
            <w:bookmarkStart w:id="35" w:name="_Toc403274455"/>
            <w:bookmarkStart w:id="36" w:name="_Toc403279951"/>
            <w:bookmarkStart w:id="37" w:name="_Toc404285751"/>
            <w:bookmarkStart w:id="38" w:name="_Toc404621700"/>
            <w:bookmarkStart w:id="39" w:name="_Toc404624341"/>
            <w:bookmarkStart w:id="40" w:name="_Toc33622363"/>
            <w:r w:rsidRPr="00E4265B">
              <w:rPr>
                <w:rFonts w:ascii="Arial" w:hAnsi="Arial" w:cs="Arial"/>
                <w:sz w:val="22"/>
                <w:szCs w:val="22"/>
              </w:rPr>
              <w:lastRenderedPageBreak/>
              <w:t>Categories of Authorised Persons</w:t>
            </w:r>
            <w:bookmarkEnd w:id="31"/>
            <w:bookmarkEnd w:id="32"/>
            <w:bookmarkEnd w:id="33"/>
            <w:bookmarkEnd w:id="34"/>
            <w:bookmarkEnd w:id="35"/>
            <w:bookmarkEnd w:id="36"/>
            <w:bookmarkEnd w:id="37"/>
            <w:bookmarkEnd w:id="38"/>
            <w:bookmarkEnd w:id="39"/>
            <w:bookmarkEnd w:id="40"/>
          </w:p>
        </w:tc>
      </w:tr>
      <w:tr w:rsidR="001715CD" w:rsidRPr="00E4265B" w14:paraId="5766632C" w14:textId="77777777" w:rsidTr="00520DA4">
        <w:tc>
          <w:tcPr>
            <w:tcW w:w="900" w:type="dxa"/>
            <w:gridSpan w:val="3"/>
          </w:tcPr>
          <w:p w14:paraId="12AC17D4" w14:textId="2A03A013" w:rsidR="001715CD" w:rsidRPr="00E4265B" w:rsidRDefault="001715CD" w:rsidP="001715CD">
            <w:pPr>
              <w:pStyle w:val="TitleL5"/>
              <w:ind w:left="0"/>
              <w:rPr>
                <w:rFonts w:ascii="Arial" w:hAnsi="Arial" w:cs="Arial"/>
                <w:sz w:val="22"/>
                <w:szCs w:val="22"/>
                <w:lang w:val="en-GB"/>
              </w:rPr>
            </w:pPr>
          </w:p>
        </w:tc>
        <w:tc>
          <w:tcPr>
            <w:tcW w:w="8550" w:type="dxa"/>
            <w:gridSpan w:val="7"/>
          </w:tcPr>
          <w:p w14:paraId="6D6BB0B1" w14:textId="014A463B" w:rsidR="001715CD" w:rsidRPr="00E4265B" w:rsidRDefault="001715CD" w:rsidP="001715CD">
            <w:pPr>
              <w:pStyle w:val="TitleL5"/>
              <w:ind w:left="0"/>
              <w:rPr>
                <w:rFonts w:ascii="Arial" w:hAnsi="Arial" w:cs="Arial"/>
                <w:sz w:val="22"/>
                <w:szCs w:val="22"/>
                <w:lang w:val="en-GB"/>
              </w:rPr>
            </w:pPr>
            <w:r w:rsidRPr="00E4265B">
              <w:rPr>
                <w:rFonts w:ascii="Arial" w:hAnsi="Arial" w:cs="Arial"/>
                <w:sz w:val="22"/>
                <w:szCs w:val="22"/>
                <w:lang w:val="en-GB"/>
              </w:rPr>
              <w:t>Guidance</w:t>
            </w:r>
          </w:p>
        </w:tc>
      </w:tr>
      <w:tr w:rsidR="001715CD" w:rsidRPr="00E4265B" w14:paraId="670FFD3D" w14:textId="77777777" w:rsidTr="00520DA4">
        <w:tc>
          <w:tcPr>
            <w:tcW w:w="900" w:type="dxa"/>
            <w:gridSpan w:val="3"/>
          </w:tcPr>
          <w:p w14:paraId="37C25CBE" w14:textId="38C27A5F" w:rsidR="001715CD" w:rsidRPr="00E4265B" w:rsidRDefault="001715CD" w:rsidP="001715CD">
            <w:pPr>
              <w:pStyle w:val="1List0"/>
              <w:ind w:left="0" w:firstLine="0"/>
              <w:rPr>
                <w:rFonts w:ascii="Arial" w:hAnsi="Arial" w:cs="Arial"/>
                <w:sz w:val="22"/>
                <w:szCs w:val="22"/>
                <w:lang w:val="en-GB"/>
              </w:rPr>
            </w:pPr>
          </w:p>
        </w:tc>
        <w:tc>
          <w:tcPr>
            <w:tcW w:w="8550" w:type="dxa"/>
            <w:gridSpan w:val="7"/>
          </w:tcPr>
          <w:p w14:paraId="0DF765FB" w14:textId="239DC905" w:rsidR="001715CD" w:rsidRPr="00E4265B" w:rsidRDefault="001715CD" w:rsidP="004E1995">
            <w:pPr>
              <w:pStyle w:val="1List0"/>
              <w:ind w:left="522" w:hanging="522"/>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In these Rules, Authorised Persons are </w:t>
            </w:r>
            <w:r w:rsidR="004E1995" w:rsidRPr="00E4265B">
              <w:rPr>
                <w:rFonts w:ascii="Arial" w:hAnsi="Arial" w:cs="Arial"/>
                <w:sz w:val="22"/>
                <w:szCs w:val="22"/>
                <w:lang w:val="en-GB"/>
              </w:rPr>
              <w:t>assigned to</w:t>
            </w:r>
            <w:r w:rsidRPr="00E4265B">
              <w:rPr>
                <w:rFonts w:ascii="Arial" w:hAnsi="Arial" w:cs="Arial"/>
                <w:sz w:val="22"/>
                <w:szCs w:val="22"/>
                <w:lang w:val="en-GB"/>
              </w:rPr>
              <w:t xml:space="preserve"> "</w:t>
            </w:r>
            <w:r w:rsidRPr="00E4265B">
              <w:rPr>
                <w:rFonts w:ascii="Arial" w:hAnsi="Arial" w:cs="Arial"/>
                <w:b/>
                <w:sz w:val="22"/>
                <w:szCs w:val="22"/>
                <w:lang w:val="en-GB"/>
              </w:rPr>
              <w:t>Categories</w:t>
            </w:r>
            <w:r w:rsidRPr="00E4265B">
              <w:rPr>
                <w:rFonts w:ascii="Arial" w:hAnsi="Arial" w:cs="Arial"/>
                <w:sz w:val="22"/>
                <w:szCs w:val="22"/>
                <w:lang w:val="en-GB"/>
              </w:rPr>
              <w:t>" to create a clear framework for determining the provisions of PRU applying to each Authorised Person. The Rules in this Section enable an Authorised Person to determine into which Category it falls.</w:t>
            </w:r>
          </w:p>
        </w:tc>
      </w:tr>
      <w:tr w:rsidR="001715CD" w:rsidRPr="00E4265B" w14:paraId="327C3804" w14:textId="77777777" w:rsidTr="00520DA4">
        <w:tc>
          <w:tcPr>
            <w:tcW w:w="900" w:type="dxa"/>
            <w:gridSpan w:val="3"/>
          </w:tcPr>
          <w:p w14:paraId="76D2F2E2" w14:textId="17DD5446" w:rsidR="001715CD" w:rsidRPr="00E4265B" w:rsidRDefault="001715CD" w:rsidP="001715CD">
            <w:pPr>
              <w:pStyle w:val="1List0"/>
              <w:ind w:left="0" w:firstLine="0"/>
              <w:rPr>
                <w:rFonts w:ascii="Arial" w:hAnsi="Arial" w:cs="Arial"/>
                <w:sz w:val="22"/>
                <w:szCs w:val="22"/>
                <w:lang w:val="en-GB"/>
              </w:rPr>
            </w:pPr>
          </w:p>
        </w:tc>
        <w:tc>
          <w:tcPr>
            <w:tcW w:w="8550" w:type="dxa"/>
            <w:gridSpan w:val="7"/>
          </w:tcPr>
          <w:p w14:paraId="6B72E9B2" w14:textId="3F6EB24C" w:rsidR="001715CD" w:rsidRPr="00E4265B" w:rsidRDefault="001715CD" w:rsidP="004E1995">
            <w:pPr>
              <w:pStyle w:val="1List0"/>
              <w:ind w:left="522" w:hanging="522"/>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table in A1.1 of App1 sets out the categorisation process diagrammatically. In that table, an emboldened box indicates the Regulated Activity that is determinative of the Category into which an Authorised Person falls. An Authorised Person may, if authorised under its Financial Services Permission to do so, conduct any number of Regulated Activities specified under any lower Category than the one that applies to the Authorised Person in accordance with this Section</w:t>
            </w:r>
            <w:r w:rsidR="004E1995" w:rsidRPr="00E4265B">
              <w:rPr>
                <w:rFonts w:ascii="Arial" w:hAnsi="Arial" w:cs="Arial"/>
                <w:sz w:val="22"/>
                <w:szCs w:val="22"/>
                <w:lang w:val="en-GB"/>
              </w:rPr>
              <w:t>.</w:t>
            </w:r>
            <w:r w:rsidRPr="00E4265B">
              <w:rPr>
                <w:rFonts w:ascii="Arial" w:hAnsi="Arial" w:cs="Arial"/>
                <w:sz w:val="22"/>
                <w:szCs w:val="22"/>
                <w:lang w:val="en-GB"/>
              </w:rPr>
              <w:t xml:space="preserve"> (For this purpose Category 5 is considered </w:t>
            </w:r>
            <w:r w:rsidR="004E1995" w:rsidRPr="00E4265B">
              <w:rPr>
                <w:rFonts w:ascii="Arial" w:hAnsi="Arial" w:cs="Arial"/>
                <w:sz w:val="22"/>
                <w:szCs w:val="22"/>
                <w:lang w:val="en-GB"/>
              </w:rPr>
              <w:t>to be equivalent to Category 1.)</w:t>
            </w:r>
            <w:r w:rsidRPr="00E4265B">
              <w:rPr>
                <w:rFonts w:ascii="Arial" w:hAnsi="Arial" w:cs="Arial"/>
                <w:sz w:val="22"/>
                <w:szCs w:val="22"/>
                <w:lang w:val="en-GB"/>
              </w:rPr>
              <w:t xml:space="preserve"> For example, a Category 1 firm could conduct any </w:t>
            </w:r>
            <w:r w:rsidR="004E1995" w:rsidRPr="00E4265B">
              <w:rPr>
                <w:rFonts w:ascii="Arial" w:hAnsi="Arial" w:cs="Arial"/>
                <w:sz w:val="22"/>
                <w:szCs w:val="22"/>
                <w:lang w:val="en-GB"/>
              </w:rPr>
              <w:t xml:space="preserve">one or more </w:t>
            </w:r>
            <w:r w:rsidRPr="00E4265B">
              <w:rPr>
                <w:rFonts w:ascii="Arial" w:hAnsi="Arial" w:cs="Arial"/>
                <w:sz w:val="22"/>
                <w:szCs w:val="22"/>
                <w:lang w:val="en-GB"/>
              </w:rPr>
              <w:t>of the Regulated Activities specified under Categories 2, 3A, 3B, 3C or 4 (if authorised to do so). However, a Category 4 firm may only conduct the Regulated Activities listed under Category 4</w:t>
            </w:r>
            <w:r w:rsidR="004E1995" w:rsidRPr="00E4265B">
              <w:rPr>
                <w:rFonts w:ascii="Arial" w:hAnsi="Arial" w:cs="Arial"/>
                <w:sz w:val="22"/>
                <w:szCs w:val="22"/>
                <w:lang w:val="en-GB"/>
              </w:rPr>
              <w:t>, given that is the Category</w:t>
            </w:r>
            <w:r w:rsidRPr="00E4265B">
              <w:rPr>
                <w:rFonts w:ascii="Arial" w:hAnsi="Arial" w:cs="Arial"/>
                <w:sz w:val="22"/>
                <w:szCs w:val="22"/>
                <w:lang w:val="en-GB"/>
              </w:rPr>
              <w:t> for which it is authorised.</w:t>
            </w:r>
          </w:p>
        </w:tc>
      </w:tr>
      <w:tr w:rsidR="001715CD" w:rsidRPr="00E4265B" w14:paraId="0FA4C5A5" w14:textId="77777777" w:rsidTr="00520DA4">
        <w:tc>
          <w:tcPr>
            <w:tcW w:w="900" w:type="dxa"/>
            <w:gridSpan w:val="3"/>
          </w:tcPr>
          <w:p w14:paraId="57911AA2" w14:textId="7C26A467" w:rsidR="001715CD" w:rsidRPr="00E4265B" w:rsidRDefault="001715CD" w:rsidP="001715CD">
            <w:pPr>
              <w:pStyle w:val="TitleL5"/>
              <w:ind w:left="0"/>
              <w:rPr>
                <w:rFonts w:ascii="Arial" w:hAnsi="Arial" w:cs="Arial"/>
                <w:sz w:val="22"/>
                <w:szCs w:val="22"/>
                <w:lang w:val="en-GB"/>
              </w:rPr>
            </w:pPr>
          </w:p>
        </w:tc>
        <w:tc>
          <w:tcPr>
            <w:tcW w:w="8550" w:type="dxa"/>
            <w:gridSpan w:val="7"/>
          </w:tcPr>
          <w:p w14:paraId="627DD016" w14:textId="48B828C3" w:rsidR="001715CD" w:rsidRPr="00E4265B" w:rsidRDefault="001715CD" w:rsidP="004D4957">
            <w:pPr>
              <w:pStyle w:val="1List"/>
              <w:tabs>
                <w:tab w:val="left" w:pos="702"/>
              </w:tabs>
              <w:ind w:left="432" w:hanging="432"/>
              <w:rPr>
                <w:rFonts w:ascii="Arial" w:hAnsi="Arial" w:cs="Arial"/>
                <w:sz w:val="22"/>
                <w:szCs w:val="22"/>
                <w:lang w:val="en-GB"/>
              </w:rPr>
            </w:pPr>
            <w:r w:rsidRPr="00E4265B">
              <w:rPr>
                <w:rFonts w:ascii="Arial" w:hAnsi="Arial" w:cs="Arial"/>
                <w:b/>
                <w:bCs/>
                <w:sz w:val="22"/>
                <w:szCs w:val="22"/>
                <w:lang w:val="en-GB"/>
              </w:rPr>
              <w:t>Category 1</w:t>
            </w:r>
          </w:p>
        </w:tc>
      </w:tr>
      <w:tr w:rsidR="001715CD" w:rsidRPr="00E4265B" w14:paraId="6F59D90A" w14:textId="77777777" w:rsidTr="00520DA4">
        <w:tc>
          <w:tcPr>
            <w:tcW w:w="9450" w:type="dxa"/>
            <w:gridSpan w:val="10"/>
          </w:tcPr>
          <w:p w14:paraId="3F3F02C3" w14:textId="77777777" w:rsidR="001715CD" w:rsidRPr="00E4265B" w:rsidRDefault="001715CD" w:rsidP="004D4957">
            <w:pPr>
              <w:pStyle w:val="Heading4"/>
              <w:tabs>
                <w:tab w:val="clear" w:pos="936"/>
                <w:tab w:val="num" w:pos="1044"/>
              </w:tabs>
              <w:ind w:left="954" w:hanging="954"/>
              <w:rPr>
                <w:rFonts w:ascii="Arial" w:hAnsi="Arial" w:cs="Arial"/>
                <w:sz w:val="22"/>
                <w:szCs w:val="22"/>
              </w:rPr>
            </w:pPr>
            <w:r w:rsidRPr="00E4265B">
              <w:rPr>
                <w:rFonts w:ascii="Arial" w:hAnsi="Arial" w:cs="Arial"/>
                <w:sz w:val="22"/>
                <w:szCs w:val="22"/>
              </w:rPr>
              <w:t>An Authorised Person is in Category 1 if:</w:t>
            </w:r>
          </w:p>
        </w:tc>
      </w:tr>
      <w:tr w:rsidR="001715CD" w:rsidRPr="00E4265B" w14:paraId="3EA6F787" w14:textId="77777777" w:rsidTr="00520DA4">
        <w:tc>
          <w:tcPr>
            <w:tcW w:w="900" w:type="dxa"/>
            <w:gridSpan w:val="3"/>
          </w:tcPr>
          <w:p w14:paraId="5941BFC9" w14:textId="008AC17B" w:rsidR="001715CD" w:rsidRPr="00E4265B" w:rsidRDefault="001715CD" w:rsidP="001715CD">
            <w:pPr>
              <w:pStyle w:val="Heading5"/>
              <w:rPr>
                <w:rFonts w:ascii="Arial" w:hAnsi="Arial" w:cs="Arial"/>
                <w:sz w:val="22"/>
                <w:szCs w:val="22"/>
              </w:rPr>
            </w:pPr>
          </w:p>
        </w:tc>
        <w:tc>
          <w:tcPr>
            <w:tcW w:w="8550" w:type="dxa"/>
            <w:gridSpan w:val="7"/>
          </w:tcPr>
          <w:p w14:paraId="64E84B8B" w14:textId="6667B7F0" w:rsidR="001715CD" w:rsidRPr="00E4265B" w:rsidRDefault="001715CD" w:rsidP="0019712D">
            <w:pPr>
              <w:pStyle w:val="1List"/>
              <w:numPr>
                <w:ilvl w:val="0"/>
                <w:numId w:val="69"/>
              </w:numPr>
              <w:tabs>
                <w:tab w:val="left" w:pos="522"/>
              </w:tabs>
              <w:ind w:left="522" w:hanging="522"/>
              <w:rPr>
                <w:rFonts w:ascii="Arial" w:hAnsi="Arial" w:cs="Arial"/>
                <w:sz w:val="22"/>
                <w:szCs w:val="22"/>
                <w:lang w:val="en-GB"/>
              </w:rPr>
            </w:pPr>
            <w:r w:rsidRPr="00E4265B">
              <w:rPr>
                <w:rFonts w:ascii="Arial" w:hAnsi="Arial" w:cs="Arial"/>
                <w:sz w:val="22"/>
                <w:szCs w:val="22"/>
                <w:lang w:val="en-GB"/>
              </w:rPr>
              <w:t>its Financial Services Permission authorises it to carry on one or more of the Regulated Activities of Accepting Deposits or Managing a Profit Sharing Investment Account which is a PSIAu; and</w:t>
            </w:r>
          </w:p>
        </w:tc>
      </w:tr>
      <w:tr w:rsidR="001715CD" w:rsidRPr="00E4265B" w14:paraId="1AAFA488" w14:textId="77777777" w:rsidTr="00520DA4">
        <w:tc>
          <w:tcPr>
            <w:tcW w:w="900" w:type="dxa"/>
            <w:gridSpan w:val="3"/>
          </w:tcPr>
          <w:p w14:paraId="469A684B" w14:textId="662D42CB" w:rsidR="001715CD" w:rsidRPr="00E4265B" w:rsidRDefault="001715CD" w:rsidP="001715CD">
            <w:pPr>
              <w:pStyle w:val="Heading5"/>
              <w:rPr>
                <w:rFonts w:ascii="Arial" w:hAnsi="Arial" w:cs="Arial"/>
                <w:sz w:val="22"/>
                <w:szCs w:val="22"/>
              </w:rPr>
            </w:pPr>
          </w:p>
        </w:tc>
        <w:tc>
          <w:tcPr>
            <w:tcW w:w="8550" w:type="dxa"/>
            <w:gridSpan w:val="7"/>
          </w:tcPr>
          <w:p w14:paraId="2672BC54" w14:textId="34085E29" w:rsidR="001715CD" w:rsidRPr="00E4265B" w:rsidRDefault="001715CD" w:rsidP="0019712D">
            <w:pPr>
              <w:pStyle w:val="1List"/>
              <w:numPr>
                <w:ilvl w:val="0"/>
                <w:numId w:val="69"/>
              </w:numPr>
              <w:tabs>
                <w:tab w:val="left" w:pos="522"/>
              </w:tabs>
              <w:ind w:left="522" w:hanging="522"/>
              <w:rPr>
                <w:rFonts w:ascii="Arial" w:hAnsi="Arial" w:cs="Arial"/>
                <w:sz w:val="22"/>
                <w:szCs w:val="22"/>
                <w:lang w:val="en-GB"/>
              </w:rPr>
            </w:pPr>
            <w:r w:rsidRPr="00E4265B">
              <w:rPr>
                <w:rFonts w:ascii="Arial" w:hAnsi="Arial" w:cs="Arial"/>
                <w:sz w:val="22"/>
                <w:szCs w:val="22"/>
                <w:lang w:val="en-GB"/>
              </w:rPr>
              <w:t>it does not meet the criteria of Category 5.</w:t>
            </w:r>
          </w:p>
        </w:tc>
      </w:tr>
      <w:tr w:rsidR="001715CD" w:rsidRPr="00E4265B" w14:paraId="5B4C1617" w14:textId="77777777" w:rsidTr="00520DA4">
        <w:tc>
          <w:tcPr>
            <w:tcW w:w="900" w:type="dxa"/>
            <w:gridSpan w:val="3"/>
          </w:tcPr>
          <w:p w14:paraId="68236E75" w14:textId="438AC833" w:rsidR="001715CD" w:rsidRPr="00E4265B" w:rsidRDefault="001715CD" w:rsidP="001715CD">
            <w:pPr>
              <w:pStyle w:val="TitleL5"/>
              <w:ind w:left="0"/>
              <w:rPr>
                <w:rFonts w:ascii="Arial" w:hAnsi="Arial" w:cs="Arial"/>
                <w:sz w:val="22"/>
                <w:szCs w:val="22"/>
                <w:lang w:val="en-GB"/>
              </w:rPr>
            </w:pPr>
          </w:p>
        </w:tc>
        <w:tc>
          <w:tcPr>
            <w:tcW w:w="8550" w:type="dxa"/>
            <w:gridSpan w:val="7"/>
          </w:tcPr>
          <w:p w14:paraId="5F47A9DB" w14:textId="18FD9719" w:rsidR="001715CD" w:rsidRPr="00E4265B" w:rsidRDefault="001715CD" w:rsidP="001715CD">
            <w:pPr>
              <w:pStyle w:val="TitleL5"/>
              <w:ind w:left="0"/>
              <w:rPr>
                <w:rFonts w:ascii="Arial" w:hAnsi="Arial" w:cs="Arial"/>
                <w:sz w:val="22"/>
                <w:szCs w:val="22"/>
                <w:lang w:val="en-GB"/>
              </w:rPr>
            </w:pPr>
            <w:r w:rsidRPr="00E4265B">
              <w:rPr>
                <w:rFonts w:ascii="Arial" w:hAnsi="Arial" w:cs="Arial"/>
                <w:sz w:val="22"/>
                <w:szCs w:val="22"/>
                <w:lang w:val="en-GB"/>
              </w:rPr>
              <w:t>Guidance</w:t>
            </w:r>
          </w:p>
        </w:tc>
      </w:tr>
      <w:tr w:rsidR="002C4FCB" w:rsidRPr="00E4265B" w14:paraId="23AA2AA7" w14:textId="77777777" w:rsidTr="00520DA4">
        <w:tc>
          <w:tcPr>
            <w:tcW w:w="900" w:type="dxa"/>
            <w:gridSpan w:val="3"/>
          </w:tcPr>
          <w:p w14:paraId="68427228" w14:textId="175738C1" w:rsidR="002C4FCB" w:rsidRPr="00E4265B" w:rsidRDefault="002C4FCB" w:rsidP="002C4FCB">
            <w:pPr>
              <w:pStyle w:val="1List0"/>
              <w:ind w:left="954" w:hanging="18"/>
              <w:rPr>
                <w:rFonts w:ascii="Arial" w:hAnsi="Arial" w:cs="Arial"/>
                <w:sz w:val="22"/>
                <w:szCs w:val="22"/>
                <w:lang w:val="en-GB"/>
              </w:rPr>
            </w:pPr>
          </w:p>
        </w:tc>
        <w:tc>
          <w:tcPr>
            <w:tcW w:w="8550" w:type="dxa"/>
            <w:gridSpan w:val="7"/>
          </w:tcPr>
          <w:p w14:paraId="10F860E7" w14:textId="321832F7" w:rsidR="002C4FCB" w:rsidRPr="00E4265B" w:rsidRDefault="002C4FCB" w:rsidP="002C4FCB">
            <w:pPr>
              <w:pStyle w:val="1List0"/>
              <w:ind w:left="0" w:hanging="18"/>
              <w:rPr>
                <w:rFonts w:ascii="Arial" w:hAnsi="Arial" w:cs="Arial"/>
                <w:sz w:val="22"/>
                <w:szCs w:val="22"/>
                <w:lang w:val="en-GB"/>
              </w:rPr>
            </w:pPr>
            <w:r w:rsidRPr="00E4265B">
              <w:rPr>
                <w:rFonts w:ascii="Arial" w:hAnsi="Arial" w:cs="Arial"/>
                <w:sz w:val="22"/>
                <w:szCs w:val="22"/>
                <w:lang w:val="en-GB"/>
              </w:rPr>
              <w:t>A Category 1 Authorised Person may be authorised to conduct other Regulated Activities, but it is the authorisation for Accepting Deposits or Managing a Profit Sharing Investment Account which is a PSIAu that is determinative of its belonging to Category 1.</w:t>
            </w:r>
          </w:p>
        </w:tc>
      </w:tr>
      <w:tr w:rsidR="002C4FCB" w:rsidRPr="00E4265B" w14:paraId="0B86AC05" w14:textId="77777777" w:rsidTr="00520DA4">
        <w:tc>
          <w:tcPr>
            <w:tcW w:w="900" w:type="dxa"/>
            <w:gridSpan w:val="3"/>
          </w:tcPr>
          <w:p w14:paraId="52A62156" w14:textId="3E0DF7DB" w:rsidR="002C4FCB" w:rsidRPr="00E4265B" w:rsidRDefault="002C4FCB" w:rsidP="002C4FCB">
            <w:pPr>
              <w:pStyle w:val="TitleL5"/>
              <w:ind w:left="0"/>
              <w:rPr>
                <w:rFonts w:ascii="Arial" w:hAnsi="Arial" w:cs="Arial"/>
                <w:sz w:val="22"/>
                <w:szCs w:val="22"/>
                <w:lang w:val="en-GB"/>
              </w:rPr>
            </w:pPr>
          </w:p>
        </w:tc>
        <w:tc>
          <w:tcPr>
            <w:tcW w:w="8550" w:type="dxa"/>
            <w:gridSpan w:val="7"/>
          </w:tcPr>
          <w:p w14:paraId="52330D00" w14:textId="139688F1" w:rsidR="002C4FCB" w:rsidRPr="00E4265B" w:rsidRDefault="002C4FCB" w:rsidP="002C4FCB">
            <w:pPr>
              <w:pStyle w:val="TitleL5"/>
              <w:ind w:left="0"/>
              <w:rPr>
                <w:rFonts w:ascii="Arial" w:hAnsi="Arial" w:cs="Arial"/>
                <w:sz w:val="22"/>
                <w:szCs w:val="22"/>
                <w:lang w:val="en-GB"/>
              </w:rPr>
            </w:pPr>
            <w:r w:rsidRPr="00E4265B">
              <w:rPr>
                <w:rFonts w:ascii="Arial" w:hAnsi="Arial" w:cs="Arial"/>
                <w:sz w:val="22"/>
                <w:szCs w:val="22"/>
                <w:lang w:val="en-GB"/>
              </w:rPr>
              <w:t>Category 2</w:t>
            </w:r>
          </w:p>
        </w:tc>
      </w:tr>
      <w:tr w:rsidR="002C4FCB" w:rsidRPr="00E4265B" w14:paraId="3ABA8DF2" w14:textId="77777777" w:rsidTr="00520DA4">
        <w:tc>
          <w:tcPr>
            <w:tcW w:w="900" w:type="dxa"/>
            <w:gridSpan w:val="3"/>
          </w:tcPr>
          <w:p w14:paraId="2FC29E5D" w14:textId="38EA7469" w:rsidR="002C4FCB" w:rsidRPr="00E4265B" w:rsidRDefault="002C4FCB" w:rsidP="002C4FCB">
            <w:pPr>
              <w:pStyle w:val="TitleL5"/>
              <w:ind w:left="0"/>
              <w:rPr>
                <w:rFonts w:ascii="Arial" w:hAnsi="Arial" w:cs="Arial"/>
                <w:sz w:val="22"/>
                <w:szCs w:val="22"/>
                <w:lang w:val="en-GB"/>
              </w:rPr>
            </w:pPr>
          </w:p>
        </w:tc>
        <w:tc>
          <w:tcPr>
            <w:tcW w:w="8550" w:type="dxa"/>
            <w:gridSpan w:val="7"/>
          </w:tcPr>
          <w:p w14:paraId="4881E853" w14:textId="11104518" w:rsidR="002C4FCB" w:rsidRPr="00E4265B" w:rsidRDefault="002C4FCB" w:rsidP="002C4FCB">
            <w:pPr>
              <w:pStyle w:val="TitleL5"/>
              <w:ind w:left="0"/>
              <w:rPr>
                <w:rFonts w:ascii="Arial" w:hAnsi="Arial" w:cs="Arial"/>
                <w:sz w:val="22"/>
                <w:szCs w:val="22"/>
                <w:lang w:val="en-GB"/>
              </w:rPr>
            </w:pPr>
            <w:r w:rsidRPr="00E4265B">
              <w:rPr>
                <w:rFonts w:ascii="Arial" w:hAnsi="Arial" w:cs="Arial"/>
                <w:sz w:val="22"/>
                <w:szCs w:val="22"/>
                <w:lang w:val="en-GB"/>
              </w:rPr>
              <w:t>Guidance</w:t>
            </w:r>
          </w:p>
        </w:tc>
      </w:tr>
      <w:tr w:rsidR="002C4FCB" w:rsidRPr="00E4265B" w14:paraId="4FC15D35" w14:textId="77777777" w:rsidTr="00520DA4">
        <w:tc>
          <w:tcPr>
            <w:tcW w:w="900" w:type="dxa"/>
            <w:gridSpan w:val="3"/>
          </w:tcPr>
          <w:p w14:paraId="4EB2C23A" w14:textId="3B2342DB" w:rsidR="002C4FCB" w:rsidRPr="00E4265B" w:rsidRDefault="002C4FCB" w:rsidP="002C4FCB">
            <w:pPr>
              <w:pStyle w:val="1List0"/>
              <w:ind w:left="522" w:hanging="522"/>
              <w:rPr>
                <w:rFonts w:ascii="Arial" w:hAnsi="Arial" w:cs="Arial"/>
                <w:sz w:val="22"/>
                <w:szCs w:val="22"/>
                <w:lang w:val="en-GB"/>
              </w:rPr>
            </w:pPr>
          </w:p>
        </w:tc>
        <w:tc>
          <w:tcPr>
            <w:tcW w:w="8550" w:type="dxa"/>
            <w:gridSpan w:val="7"/>
          </w:tcPr>
          <w:p w14:paraId="21E455EE" w14:textId="214E776A" w:rsidR="002C4FCB" w:rsidRPr="00E4265B" w:rsidRDefault="002C4FCB" w:rsidP="002C4FCB">
            <w:pPr>
              <w:pStyle w:val="1List0"/>
              <w:ind w:left="522" w:hanging="522"/>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 Category 2 Authorised Person may be authorised to conduct other Regulated Activities, but it is the authorisation for Dealing in Investments as Principal (not only as a Matched Principal) or Providing Credit, and the absence of authorisation for the activities specified in Rule 1.3.1, that are determinative of its belonging to Category 2. </w:t>
            </w:r>
          </w:p>
        </w:tc>
      </w:tr>
      <w:tr w:rsidR="002C4FCB" w:rsidRPr="00E4265B" w14:paraId="4C354324" w14:textId="77777777" w:rsidTr="00520DA4">
        <w:tc>
          <w:tcPr>
            <w:tcW w:w="900" w:type="dxa"/>
            <w:gridSpan w:val="3"/>
          </w:tcPr>
          <w:p w14:paraId="2445DC16" w14:textId="52C8AFBD" w:rsidR="002C4FCB" w:rsidRPr="00E4265B" w:rsidRDefault="002C4FCB" w:rsidP="002C4FCB">
            <w:pPr>
              <w:pStyle w:val="1List0"/>
              <w:ind w:left="522" w:hanging="522"/>
              <w:rPr>
                <w:rFonts w:ascii="Arial" w:hAnsi="Arial" w:cs="Arial"/>
                <w:sz w:val="22"/>
                <w:szCs w:val="22"/>
                <w:lang w:val="en-GB"/>
              </w:rPr>
            </w:pPr>
          </w:p>
        </w:tc>
        <w:tc>
          <w:tcPr>
            <w:tcW w:w="8550" w:type="dxa"/>
            <w:gridSpan w:val="7"/>
          </w:tcPr>
          <w:p w14:paraId="48219A9D" w14:textId="5A47F4CC" w:rsidR="002C4FCB" w:rsidRPr="00E4265B" w:rsidRDefault="002C4FCB" w:rsidP="002C4FCB">
            <w:pPr>
              <w:pStyle w:val="1List0"/>
              <w:ind w:left="522" w:hanging="522"/>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Where the dealing activities of a firm are limited to acting only as Matched Principal, the activities fall in the scope of Category 3A in accordance with Rule 1.3.3(1). A definition of "Matched Principal" is in Rule 1.3.3(2). </w:t>
            </w:r>
          </w:p>
        </w:tc>
      </w:tr>
      <w:tr w:rsidR="002C4FCB" w:rsidRPr="00E4265B" w14:paraId="493F21B6" w14:textId="77777777" w:rsidTr="00520DA4">
        <w:tc>
          <w:tcPr>
            <w:tcW w:w="9450" w:type="dxa"/>
            <w:gridSpan w:val="10"/>
          </w:tcPr>
          <w:p w14:paraId="325D8835" w14:textId="77777777" w:rsidR="002C4FCB" w:rsidRPr="00E4265B" w:rsidRDefault="002C4FCB" w:rsidP="002C4FCB">
            <w:pPr>
              <w:pStyle w:val="Heading4"/>
              <w:rPr>
                <w:rFonts w:ascii="Arial" w:hAnsi="Arial" w:cs="Arial"/>
                <w:sz w:val="22"/>
                <w:szCs w:val="22"/>
              </w:rPr>
            </w:pPr>
            <w:r w:rsidRPr="00E4265B">
              <w:rPr>
                <w:rFonts w:ascii="Arial" w:hAnsi="Arial" w:cs="Arial"/>
                <w:sz w:val="22"/>
                <w:szCs w:val="22"/>
              </w:rPr>
              <w:t>An Authorised Person is in Category 2 if:</w:t>
            </w:r>
          </w:p>
        </w:tc>
      </w:tr>
      <w:tr w:rsidR="00F450FB" w:rsidRPr="00E4265B" w14:paraId="28446C16" w14:textId="77777777" w:rsidTr="00520DA4">
        <w:tc>
          <w:tcPr>
            <w:tcW w:w="900" w:type="dxa"/>
            <w:gridSpan w:val="3"/>
          </w:tcPr>
          <w:p w14:paraId="2542BD6F" w14:textId="1E92B264" w:rsidR="00F450FB" w:rsidRPr="00E4265B" w:rsidRDefault="00F450FB" w:rsidP="00F450FB">
            <w:pPr>
              <w:pStyle w:val="Heading5"/>
              <w:numPr>
                <w:ilvl w:val="0"/>
                <w:numId w:val="0"/>
              </w:numPr>
              <w:ind w:left="936"/>
              <w:rPr>
                <w:rFonts w:ascii="Arial" w:hAnsi="Arial" w:cs="Arial"/>
                <w:sz w:val="22"/>
                <w:szCs w:val="22"/>
              </w:rPr>
            </w:pPr>
          </w:p>
        </w:tc>
        <w:tc>
          <w:tcPr>
            <w:tcW w:w="8550" w:type="dxa"/>
            <w:gridSpan w:val="7"/>
          </w:tcPr>
          <w:p w14:paraId="15FD0F66" w14:textId="082477F2" w:rsidR="00F450FB" w:rsidRPr="00E4265B" w:rsidRDefault="00F450FB" w:rsidP="00F450FB">
            <w:pPr>
              <w:pStyle w:val="Heading5"/>
              <w:tabs>
                <w:tab w:val="clear" w:pos="1656"/>
                <w:tab w:val="num" w:pos="522"/>
              </w:tabs>
              <w:ind w:left="522" w:hanging="522"/>
              <w:rPr>
                <w:rFonts w:ascii="Arial" w:hAnsi="Arial" w:cs="Arial"/>
                <w:sz w:val="22"/>
                <w:szCs w:val="22"/>
              </w:rPr>
            </w:pPr>
            <w:r w:rsidRPr="00E4265B">
              <w:rPr>
                <w:rFonts w:ascii="Arial" w:hAnsi="Arial" w:cs="Arial"/>
                <w:sz w:val="22"/>
                <w:szCs w:val="22"/>
              </w:rPr>
              <w:t xml:space="preserve">its Financial Services Permission authorises it to carry on one or both of the Regulated Activities of Providing Credit or Dealing in Investments as Principal (not as Matched Principal); </w:t>
            </w:r>
          </w:p>
        </w:tc>
      </w:tr>
      <w:tr w:rsidR="00F450FB" w:rsidRPr="00E4265B" w14:paraId="07B87FB0" w14:textId="77777777" w:rsidTr="00520DA4">
        <w:tc>
          <w:tcPr>
            <w:tcW w:w="900" w:type="dxa"/>
            <w:gridSpan w:val="3"/>
          </w:tcPr>
          <w:p w14:paraId="7187ADEF" w14:textId="7CD27453" w:rsidR="00F450FB" w:rsidRPr="00E4265B" w:rsidRDefault="00F450FB" w:rsidP="00F450FB">
            <w:pPr>
              <w:pStyle w:val="Heading5"/>
              <w:numPr>
                <w:ilvl w:val="0"/>
                <w:numId w:val="0"/>
              </w:numPr>
              <w:ind w:left="1656" w:hanging="720"/>
              <w:rPr>
                <w:rFonts w:ascii="Arial" w:hAnsi="Arial" w:cs="Arial"/>
                <w:sz w:val="22"/>
                <w:szCs w:val="22"/>
                <w:lang w:val="en-US"/>
              </w:rPr>
            </w:pPr>
          </w:p>
        </w:tc>
        <w:tc>
          <w:tcPr>
            <w:tcW w:w="8550" w:type="dxa"/>
            <w:gridSpan w:val="7"/>
          </w:tcPr>
          <w:p w14:paraId="63F34C06" w14:textId="31953C16" w:rsidR="00F450FB" w:rsidRPr="00E4265B" w:rsidRDefault="00F450FB" w:rsidP="00F450FB">
            <w:pPr>
              <w:pStyle w:val="Heading5"/>
              <w:tabs>
                <w:tab w:val="clear" w:pos="1656"/>
                <w:tab w:val="num" w:pos="522"/>
              </w:tabs>
              <w:ind w:left="522" w:hanging="522"/>
              <w:rPr>
                <w:rFonts w:ascii="Arial" w:hAnsi="Arial" w:cs="Arial"/>
                <w:sz w:val="22"/>
                <w:szCs w:val="22"/>
              </w:rPr>
            </w:pPr>
            <w:r w:rsidRPr="00E4265B">
              <w:rPr>
                <w:rFonts w:ascii="Arial" w:hAnsi="Arial" w:cs="Arial"/>
                <w:sz w:val="22"/>
                <w:szCs w:val="22"/>
              </w:rPr>
              <w:t>its dealing activities are not limited in scope as provided in Rule 1.3.3(1)(a)(i); and</w:t>
            </w:r>
          </w:p>
        </w:tc>
      </w:tr>
      <w:tr w:rsidR="00F450FB" w:rsidRPr="00E4265B" w14:paraId="4D2C61C1" w14:textId="77777777" w:rsidTr="00520DA4">
        <w:tc>
          <w:tcPr>
            <w:tcW w:w="900" w:type="dxa"/>
            <w:gridSpan w:val="3"/>
          </w:tcPr>
          <w:p w14:paraId="234EC60A" w14:textId="30C597BA" w:rsidR="00F450FB" w:rsidRPr="00E4265B" w:rsidRDefault="00F450FB" w:rsidP="00F450FB">
            <w:pPr>
              <w:pStyle w:val="Heading5"/>
              <w:numPr>
                <w:ilvl w:val="0"/>
                <w:numId w:val="0"/>
              </w:numPr>
              <w:ind w:left="936"/>
              <w:rPr>
                <w:rFonts w:ascii="Arial" w:hAnsi="Arial" w:cs="Arial"/>
                <w:sz w:val="22"/>
                <w:szCs w:val="22"/>
              </w:rPr>
            </w:pPr>
          </w:p>
        </w:tc>
        <w:tc>
          <w:tcPr>
            <w:tcW w:w="8550" w:type="dxa"/>
            <w:gridSpan w:val="7"/>
          </w:tcPr>
          <w:p w14:paraId="4C073FEE" w14:textId="452ED369" w:rsidR="00F450FB" w:rsidRPr="00E4265B" w:rsidRDefault="00F450FB" w:rsidP="00F450FB">
            <w:pPr>
              <w:pStyle w:val="Heading5"/>
              <w:tabs>
                <w:tab w:val="clear" w:pos="1656"/>
                <w:tab w:val="num" w:pos="522"/>
              </w:tabs>
              <w:ind w:left="522" w:hanging="522"/>
              <w:rPr>
                <w:rFonts w:ascii="Arial" w:hAnsi="Arial" w:cs="Arial"/>
                <w:sz w:val="22"/>
                <w:szCs w:val="22"/>
              </w:rPr>
            </w:pPr>
            <w:r w:rsidRPr="00E4265B">
              <w:rPr>
                <w:rFonts w:ascii="Arial" w:hAnsi="Arial" w:cs="Arial"/>
                <w:sz w:val="22"/>
                <w:szCs w:val="22"/>
              </w:rPr>
              <w:t>it does not meet the criteria of Categories 1 or 5.</w:t>
            </w:r>
          </w:p>
        </w:tc>
      </w:tr>
      <w:tr w:rsidR="00F450FB" w:rsidRPr="00E4265B" w14:paraId="5CC65E41" w14:textId="77777777" w:rsidTr="00520DA4">
        <w:tc>
          <w:tcPr>
            <w:tcW w:w="900" w:type="dxa"/>
            <w:gridSpan w:val="3"/>
          </w:tcPr>
          <w:p w14:paraId="452667D7" w14:textId="4BF65FBE" w:rsidR="00F450FB" w:rsidRPr="00E4265B" w:rsidRDefault="00F450FB" w:rsidP="00F450FB">
            <w:pPr>
              <w:pStyle w:val="TitleL5"/>
              <w:ind w:left="0"/>
              <w:rPr>
                <w:rFonts w:ascii="Arial" w:hAnsi="Arial" w:cs="Arial"/>
                <w:sz w:val="22"/>
                <w:szCs w:val="22"/>
                <w:lang w:val="en-GB"/>
              </w:rPr>
            </w:pPr>
          </w:p>
        </w:tc>
        <w:tc>
          <w:tcPr>
            <w:tcW w:w="8550" w:type="dxa"/>
            <w:gridSpan w:val="7"/>
          </w:tcPr>
          <w:p w14:paraId="55273919" w14:textId="61FB3E80" w:rsidR="00F450FB" w:rsidRPr="00E4265B" w:rsidRDefault="00F450FB" w:rsidP="00F450FB">
            <w:pPr>
              <w:pStyle w:val="TitleL5"/>
              <w:ind w:left="0"/>
              <w:rPr>
                <w:rFonts w:ascii="Arial" w:hAnsi="Arial" w:cs="Arial"/>
                <w:sz w:val="22"/>
                <w:szCs w:val="22"/>
                <w:lang w:val="en-GB"/>
              </w:rPr>
            </w:pPr>
            <w:r w:rsidRPr="00E4265B">
              <w:rPr>
                <w:rFonts w:ascii="Arial" w:hAnsi="Arial" w:cs="Arial"/>
                <w:sz w:val="22"/>
                <w:szCs w:val="22"/>
                <w:lang w:val="en-GB"/>
              </w:rPr>
              <w:t>Category 3A</w:t>
            </w:r>
          </w:p>
        </w:tc>
      </w:tr>
      <w:tr w:rsidR="00F450FB" w:rsidRPr="00E4265B" w14:paraId="3C192356" w14:textId="77777777" w:rsidTr="00520DA4">
        <w:tc>
          <w:tcPr>
            <w:tcW w:w="900" w:type="dxa"/>
            <w:gridSpan w:val="3"/>
          </w:tcPr>
          <w:p w14:paraId="0E05F6F5" w14:textId="45C3DFFB" w:rsidR="00F450FB" w:rsidRPr="00E4265B" w:rsidRDefault="00F450FB" w:rsidP="00F450FB">
            <w:pPr>
              <w:pStyle w:val="TitleL5"/>
              <w:ind w:left="0"/>
              <w:rPr>
                <w:rFonts w:ascii="Arial" w:hAnsi="Arial" w:cs="Arial"/>
                <w:sz w:val="22"/>
                <w:szCs w:val="22"/>
                <w:lang w:val="en-GB"/>
              </w:rPr>
            </w:pPr>
          </w:p>
        </w:tc>
        <w:tc>
          <w:tcPr>
            <w:tcW w:w="8550" w:type="dxa"/>
            <w:gridSpan w:val="7"/>
          </w:tcPr>
          <w:p w14:paraId="411ACC37" w14:textId="7E99AC3B" w:rsidR="00F450FB" w:rsidRPr="00E4265B" w:rsidRDefault="00F450FB" w:rsidP="00F450FB">
            <w:pPr>
              <w:pStyle w:val="TitleL5"/>
              <w:ind w:left="0"/>
              <w:rPr>
                <w:rFonts w:ascii="Arial" w:hAnsi="Arial" w:cs="Arial"/>
                <w:sz w:val="22"/>
                <w:szCs w:val="22"/>
                <w:lang w:val="en-GB"/>
              </w:rPr>
            </w:pPr>
            <w:r w:rsidRPr="00E4265B">
              <w:rPr>
                <w:rFonts w:ascii="Arial" w:hAnsi="Arial" w:cs="Arial"/>
                <w:sz w:val="22"/>
                <w:szCs w:val="22"/>
                <w:lang w:val="en-GB"/>
              </w:rPr>
              <w:t>Guidance</w:t>
            </w:r>
          </w:p>
        </w:tc>
      </w:tr>
      <w:tr w:rsidR="00F450FB" w:rsidRPr="00E4265B" w14:paraId="200B46D0" w14:textId="77777777" w:rsidTr="00520DA4">
        <w:tc>
          <w:tcPr>
            <w:tcW w:w="900" w:type="dxa"/>
            <w:gridSpan w:val="3"/>
          </w:tcPr>
          <w:p w14:paraId="11BCEE03" w14:textId="29CDD8A2" w:rsidR="00F450FB" w:rsidRPr="00E4265B" w:rsidRDefault="00F450FB" w:rsidP="00F450FB">
            <w:pPr>
              <w:tabs>
                <w:tab w:val="left" w:pos="993"/>
              </w:tabs>
              <w:jc w:val="both"/>
              <w:rPr>
                <w:rFonts w:ascii="Arial" w:hAnsi="Arial" w:cs="Arial"/>
                <w:sz w:val="22"/>
                <w:szCs w:val="22"/>
                <w:lang w:val="en-GB"/>
              </w:rPr>
            </w:pPr>
          </w:p>
        </w:tc>
        <w:tc>
          <w:tcPr>
            <w:tcW w:w="8550" w:type="dxa"/>
            <w:gridSpan w:val="7"/>
          </w:tcPr>
          <w:p w14:paraId="2B6D6D6A" w14:textId="0213A8A7" w:rsidR="00F450FB" w:rsidRPr="00E4265B" w:rsidRDefault="00F450FB" w:rsidP="00F450FB">
            <w:pPr>
              <w:tabs>
                <w:tab w:val="left" w:pos="993"/>
              </w:tabs>
              <w:jc w:val="both"/>
              <w:rPr>
                <w:rFonts w:ascii="Arial" w:hAnsi="Arial" w:cs="Arial"/>
                <w:sz w:val="22"/>
                <w:szCs w:val="22"/>
                <w:lang w:val="en-GB"/>
              </w:rPr>
            </w:pPr>
            <w:r w:rsidRPr="00E4265B">
              <w:rPr>
                <w:rFonts w:ascii="Arial" w:hAnsi="Arial" w:cs="Arial"/>
                <w:sz w:val="22"/>
                <w:szCs w:val="22"/>
                <w:lang w:val="en-GB"/>
              </w:rPr>
              <w:t>A Category 3A Authorised Person may be authorised to conduct other Regulated Activities, but it is the authorisation for Dealing in Investments as Agent and the absence of authorisation for the activities specified in Rules 1.3.1 and 1.3.2 that are determinative of its belonging to Category 3A. Provided that an Authorised Person carries out the Regulated Activity of Dealing in Investments as Agent in a manner that is wholly incidental to the activity of Managing an Investment Fund or Managing Assets, the Authorised Person shall be regarded as falling within Category 3C.</w:t>
            </w:r>
          </w:p>
        </w:tc>
      </w:tr>
      <w:tr w:rsidR="00F450FB" w:rsidRPr="00E4265B" w14:paraId="35C805F7" w14:textId="77777777" w:rsidTr="00520DA4">
        <w:tc>
          <w:tcPr>
            <w:tcW w:w="9450" w:type="dxa"/>
            <w:gridSpan w:val="10"/>
          </w:tcPr>
          <w:p w14:paraId="6BA86217" w14:textId="77777777" w:rsidR="00F450FB" w:rsidRPr="00E4265B" w:rsidRDefault="00F450FB" w:rsidP="00F450FB">
            <w:pPr>
              <w:tabs>
                <w:tab w:val="left" w:pos="993"/>
              </w:tabs>
              <w:jc w:val="both"/>
              <w:rPr>
                <w:rFonts w:ascii="Arial" w:hAnsi="Arial" w:cs="Arial"/>
                <w:sz w:val="22"/>
                <w:szCs w:val="22"/>
                <w:lang w:val="en-GB"/>
              </w:rPr>
            </w:pPr>
          </w:p>
        </w:tc>
      </w:tr>
      <w:tr w:rsidR="00F450FB" w:rsidRPr="00E4265B" w14:paraId="02AB75A6" w14:textId="77777777" w:rsidTr="00520DA4">
        <w:tc>
          <w:tcPr>
            <w:tcW w:w="9450" w:type="dxa"/>
            <w:gridSpan w:val="10"/>
          </w:tcPr>
          <w:p w14:paraId="5599A713" w14:textId="77777777" w:rsidR="00F450FB" w:rsidRPr="00E4265B" w:rsidRDefault="00F450FB" w:rsidP="00F450FB">
            <w:pPr>
              <w:pStyle w:val="Heading4"/>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An Authorised Person is in Category 3A if:</w:t>
            </w:r>
          </w:p>
        </w:tc>
      </w:tr>
      <w:tr w:rsidR="00812203" w:rsidRPr="00E4265B" w14:paraId="0316602E" w14:textId="77777777" w:rsidTr="00520DA4">
        <w:tc>
          <w:tcPr>
            <w:tcW w:w="900" w:type="dxa"/>
            <w:gridSpan w:val="3"/>
          </w:tcPr>
          <w:p w14:paraId="6E225CD9" w14:textId="1B516E7B" w:rsidR="00812203" w:rsidRPr="00E4265B" w:rsidRDefault="00812203" w:rsidP="00812203">
            <w:pPr>
              <w:pStyle w:val="aList"/>
              <w:ind w:left="0" w:firstLine="0"/>
              <w:rPr>
                <w:rFonts w:ascii="Arial" w:hAnsi="Arial" w:cs="Arial"/>
                <w:sz w:val="22"/>
                <w:szCs w:val="22"/>
                <w:lang w:val="en-GB"/>
              </w:rPr>
            </w:pPr>
          </w:p>
        </w:tc>
        <w:tc>
          <w:tcPr>
            <w:tcW w:w="450" w:type="dxa"/>
            <w:gridSpan w:val="4"/>
          </w:tcPr>
          <w:p w14:paraId="6D0BCE93" w14:textId="1117E7F7" w:rsidR="00812203" w:rsidRPr="00E4265B" w:rsidRDefault="00812203" w:rsidP="00812203">
            <w:pPr>
              <w:pStyle w:val="aList"/>
              <w:ind w:left="0" w:firstLine="0"/>
              <w:rPr>
                <w:rFonts w:ascii="Arial" w:hAnsi="Arial" w:cs="Arial"/>
                <w:sz w:val="22"/>
                <w:szCs w:val="22"/>
                <w:lang w:val="en-GB"/>
              </w:rPr>
            </w:pPr>
          </w:p>
        </w:tc>
        <w:tc>
          <w:tcPr>
            <w:tcW w:w="8100" w:type="dxa"/>
            <w:gridSpan w:val="3"/>
          </w:tcPr>
          <w:p w14:paraId="06CD0A72" w14:textId="329612F5" w:rsidR="00812203" w:rsidRPr="00E4265B" w:rsidRDefault="00812203" w:rsidP="00AC1BBC">
            <w:pPr>
              <w:pStyle w:val="aList"/>
              <w:ind w:left="613" w:hanging="613"/>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its Financial Services Permission authorises it to carry on one or more of the Regulated Activities of:</w:t>
            </w:r>
          </w:p>
        </w:tc>
      </w:tr>
      <w:tr w:rsidR="00812203" w:rsidRPr="00E4265B" w14:paraId="6D91C3D6" w14:textId="77777777" w:rsidTr="00520DA4">
        <w:tc>
          <w:tcPr>
            <w:tcW w:w="900" w:type="dxa"/>
            <w:gridSpan w:val="3"/>
          </w:tcPr>
          <w:p w14:paraId="0A5F8850" w14:textId="0E369EA6" w:rsidR="00812203" w:rsidRPr="00E4265B" w:rsidRDefault="00812203" w:rsidP="00812203">
            <w:pPr>
              <w:pStyle w:val="iList"/>
              <w:ind w:left="0" w:firstLine="0"/>
              <w:rPr>
                <w:rFonts w:ascii="Arial" w:hAnsi="Arial" w:cs="Arial"/>
                <w:sz w:val="22"/>
                <w:szCs w:val="22"/>
                <w:lang w:val="en-GB"/>
              </w:rPr>
            </w:pPr>
          </w:p>
        </w:tc>
        <w:tc>
          <w:tcPr>
            <w:tcW w:w="450" w:type="dxa"/>
            <w:gridSpan w:val="4"/>
          </w:tcPr>
          <w:p w14:paraId="0DFD2880" w14:textId="77777777" w:rsidR="00812203" w:rsidRPr="00E4265B" w:rsidRDefault="00812203" w:rsidP="00812203">
            <w:pPr>
              <w:pStyle w:val="iList"/>
              <w:ind w:left="0" w:firstLine="0"/>
              <w:rPr>
                <w:rFonts w:ascii="Arial" w:hAnsi="Arial" w:cs="Arial"/>
                <w:sz w:val="22"/>
                <w:szCs w:val="22"/>
                <w:lang w:val="en-GB"/>
              </w:rPr>
            </w:pPr>
          </w:p>
        </w:tc>
        <w:tc>
          <w:tcPr>
            <w:tcW w:w="721" w:type="dxa"/>
          </w:tcPr>
          <w:p w14:paraId="44077C42" w14:textId="77777777" w:rsidR="00812203" w:rsidRPr="00E4265B" w:rsidRDefault="00812203" w:rsidP="00812203">
            <w:pPr>
              <w:pStyle w:val="iList"/>
              <w:ind w:left="0" w:firstLine="0"/>
              <w:rPr>
                <w:rFonts w:ascii="Arial" w:hAnsi="Arial" w:cs="Arial"/>
                <w:sz w:val="22"/>
                <w:szCs w:val="22"/>
                <w:lang w:val="en-GB"/>
              </w:rPr>
            </w:pPr>
          </w:p>
        </w:tc>
        <w:tc>
          <w:tcPr>
            <w:tcW w:w="7379" w:type="dxa"/>
            <w:gridSpan w:val="2"/>
          </w:tcPr>
          <w:p w14:paraId="0C7487FE" w14:textId="51AB2A41" w:rsidR="00812203" w:rsidRPr="00E4265B" w:rsidRDefault="00812203" w:rsidP="001D6B9A">
            <w:pPr>
              <w:pStyle w:val="iList"/>
              <w:ind w:left="784" w:hanging="784"/>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Dealing in Investments as Principal (where it does so only as a Matched Principal); or</w:t>
            </w:r>
          </w:p>
        </w:tc>
      </w:tr>
      <w:tr w:rsidR="00812203" w:rsidRPr="00E4265B" w14:paraId="4CD7C1B4" w14:textId="77777777" w:rsidTr="00520DA4">
        <w:tc>
          <w:tcPr>
            <w:tcW w:w="900" w:type="dxa"/>
            <w:gridSpan w:val="3"/>
          </w:tcPr>
          <w:p w14:paraId="05FCFCB1" w14:textId="607100F9" w:rsidR="00812203" w:rsidRPr="00E4265B" w:rsidRDefault="00812203" w:rsidP="00812203">
            <w:pPr>
              <w:pStyle w:val="iList"/>
              <w:ind w:left="0" w:firstLine="0"/>
              <w:rPr>
                <w:rFonts w:ascii="Arial" w:hAnsi="Arial" w:cs="Arial"/>
                <w:sz w:val="22"/>
                <w:szCs w:val="22"/>
                <w:lang w:val="en-GB"/>
              </w:rPr>
            </w:pPr>
          </w:p>
        </w:tc>
        <w:tc>
          <w:tcPr>
            <w:tcW w:w="450" w:type="dxa"/>
            <w:gridSpan w:val="4"/>
          </w:tcPr>
          <w:p w14:paraId="5576C9E6" w14:textId="77777777" w:rsidR="00812203" w:rsidRPr="00E4265B" w:rsidRDefault="00812203" w:rsidP="00812203">
            <w:pPr>
              <w:pStyle w:val="iList"/>
              <w:ind w:left="0" w:firstLine="0"/>
              <w:rPr>
                <w:rFonts w:ascii="Arial" w:hAnsi="Arial" w:cs="Arial"/>
                <w:sz w:val="22"/>
                <w:szCs w:val="22"/>
                <w:lang w:val="en-GB"/>
              </w:rPr>
            </w:pPr>
          </w:p>
        </w:tc>
        <w:tc>
          <w:tcPr>
            <w:tcW w:w="721" w:type="dxa"/>
          </w:tcPr>
          <w:p w14:paraId="492C4DDA" w14:textId="77777777" w:rsidR="00812203" w:rsidRPr="00E4265B" w:rsidRDefault="00812203" w:rsidP="00812203">
            <w:pPr>
              <w:pStyle w:val="iList"/>
              <w:ind w:left="0" w:firstLine="0"/>
              <w:rPr>
                <w:rFonts w:ascii="Arial" w:hAnsi="Arial" w:cs="Arial"/>
                <w:sz w:val="22"/>
                <w:szCs w:val="22"/>
                <w:lang w:val="en-GB"/>
              </w:rPr>
            </w:pPr>
          </w:p>
        </w:tc>
        <w:tc>
          <w:tcPr>
            <w:tcW w:w="7379" w:type="dxa"/>
            <w:gridSpan w:val="2"/>
          </w:tcPr>
          <w:p w14:paraId="0C12EB41" w14:textId="2E80DB7A" w:rsidR="00812203" w:rsidRPr="00E4265B" w:rsidRDefault="00812203" w:rsidP="00812203">
            <w:pPr>
              <w:pStyle w:val="iList"/>
              <w:ind w:left="0" w:firstLine="0"/>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Dealing in Investments as Agent; and</w:t>
            </w:r>
          </w:p>
        </w:tc>
      </w:tr>
      <w:tr w:rsidR="00812203" w:rsidRPr="00E4265B" w14:paraId="7F417EEC" w14:textId="77777777" w:rsidTr="00520DA4">
        <w:tc>
          <w:tcPr>
            <w:tcW w:w="900" w:type="dxa"/>
            <w:gridSpan w:val="3"/>
          </w:tcPr>
          <w:p w14:paraId="4F7F0158" w14:textId="6E6E4E2B" w:rsidR="00812203" w:rsidRPr="00E4265B" w:rsidRDefault="00812203" w:rsidP="00812203">
            <w:pPr>
              <w:pStyle w:val="aList"/>
              <w:ind w:left="0" w:firstLine="0"/>
              <w:rPr>
                <w:rFonts w:ascii="Arial" w:hAnsi="Arial" w:cs="Arial"/>
                <w:sz w:val="22"/>
                <w:szCs w:val="22"/>
                <w:lang w:val="en-GB"/>
              </w:rPr>
            </w:pPr>
          </w:p>
        </w:tc>
        <w:tc>
          <w:tcPr>
            <w:tcW w:w="450" w:type="dxa"/>
            <w:gridSpan w:val="4"/>
          </w:tcPr>
          <w:p w14:paraId="1B361A58" w14:textId="647BA5DF" w:rsidR="00812203" w:rsidRPr="00E4265B" w:rsidRDefault="00812203" w:rsidP="00812203">
            <w:pPr>
              <w:pStyle w:val="Heading5"/>
              <w:numPr>
                <w:ilvl w:val="0"/>
                <w:numId w:val="0"/>
              </w:numPr>
              <w:rPr>
                <w:rFonts w:ascii="Arial" w:hAnsi="Arial" w:cs="Arial"/>
                <w:sz w:val="22"/>
                <w:szCs w:val="22"/>
              </w:rPr>
            </w:pPr>
          </w:p>
        </w:tc>
        <w:tc>
          <w:tcPr>
            <w:tcW w:w="8100" w:type="dxa"/>
            <w:gridSpan w:val="3"/>
          </w:tcPr>
          <w:p w14:paraId="0C2EECDD" w14:textId="076C8FBA" w:rsidR="00812203" w:rsidRPr="00E4265B" w:rsidRDefault="00812203" w:rsidP="00812203">
            <w:pPr>
              <w:pStyle w:val="Heading5"/>
              <w:numPr>
                <w:ilvl w:val="0"/>
                <w:numId w:val="0"/>
              </w:numPr>
              <w:rPr>
                <w:rFonts w:ascii="Arial" w:hAnsi="Arial" w:cs="Arial"/>
                <w:sz w:val="22"/>
                <w:szCs w:val="22"/>
              </w:rPr>
            </w:pPr>
            <w:r w:rsidRPr="00E4265B">
              <w:rPr>
                <w:rFonts w:ascii="Arial" w:hAnsi="Arial" w:cs="Arial"/>
                <w:sz w:val="22"/>
                <w:szCs w:val="22"/>
              </w:rPr>
              <w:t>(b)</w:t>
            </w:r>
            <w:r w:rsidRPr="00E4265B">
              <w:rPr>
                <w:rFonts w:ascii="Arial" w:hAnsi="Arial" w:cs="Arial"/>
                <w:sz w:val="22"/>
                <w:szCs w:val="22"/>
              </w:rPr>
              <w:tab/>
              <w:t>it does not meet the criteria of Categories 1, 2 or 5.</w:t>
            </w:r>
          </w:p>
        </w:tc>
      </w:tr>
      <w:tr w:rsidR="00812203" w:rsidRPr="00E4265B" w14:paraId="6EFCEBA0" w14:textId="77777777" w:rsidTr="00520DA4">
        <w:tc>
          <w:tcPr>
            <w:tcW w:w="900" w:type="dxa"/>
            <w:gridSpan w:val="3"/>
          </w:tcPr>
          <w:p w14:paraId="3B2F4FB4" w14:textId="18B9CA00" w:rsidR="00812203" w:rsidRPr="00E4265B" w:rsidRDefault="00812203" w:rsidP="00812203">
            <w:pPr>
              <w:pStyle w:val="1List"/>
              <w:ind w:left="0" w:firstLine="0"/>
              <w:rPr>
                <w:rFonts w:ascii="Arial" w:hAnsi="Arial" w:cs="Arial"/>
                <w:sz w:val="22"/>
                <w:szCs w:val="22"/>
                <w:lang w:val="en-GB"/>
              </w:rPr>
            </w:pPr>
          </w:p>
        </w:tc>
        <w:tc>
          <w:tcPr>
            <w:tcW w:w="8550" w:type="dxa"/>
            <w:gridSpan w:val="7"/>
          </w:tcPr>
          <w:p w14:paraId="0EAF1D1F" w14:textId="6E4BC067" w:rsidR="00812203" w:rsidRPr="00E4265B" w:rsidRDefault="00812203" w:rsidP="00812203">
            <w:pPr>
              <w:pStyle w:val="Heading5"/>
              <w:numPr>
                <w:ilvl w:val="0"/>
                <w:numId w:val="0"/>
              </w:numPr>
              <w:ind w:left="432" w:hanging="432"/>
              <w:rPr>
                <w:rFonts w:ascii="Arial" w:hAnsi="Arial" w:cs="Arial"/>
                <w:sz w:val="22"/>
                <w:szCs w:val="22"/>
              </w:rPr>
            </w:pPr>
            <w:r w:rsidRPr="00E4265B">
              <w:rPr>
                <w:rFonts w:ascii="Arial" w:hAnsi="Arial" w:cs="Arial"/>
                <w:sz w:val="22"/>
                <w:szCs w:val="22"/>
              </w:rPr>
              <w:t>(2)</w:t>
            </w:r>
            <w:r w:rsidRPr="00E4265B">
              <w:rPr>
                <w:rFonts w:ascii="Arial" w:hAnsi="Arial" w:cs="Arial"/>
                <w:sz w:val="22"/>
                <w:szCs w:val="22"/>
              </w:rPr>
              <w:tab/>
              <w:t>For the purposes of these Rules, an Authorised Person Deals in Investments as a "Matched Principal" if:</w:t>
            </w:r>
          </w:p>
        </w:tc>
      </w:tr>
      <w:tr w:rsidR="00812203" w:rsidRPr="00E4265B" w14:paraId="265BECFD" w14:textId="77777777" w:rsidTr="00520DA4">
        <w:tc>
          <w:tcPr>
            <w:tcW w:w="900" w:type="dxa"/>
            <w:gridSpan w:val="3"/>
          </w:tcPr>
          <w:p w14:paraId="08A82D4E" w14:textId="6AE0015B" w:rsidR="00812203" w:rsidRPr="00E4265B" w:rsidRDefault="00812203" w:rsidP="00812203">
            <w:pPr>
              <w:pStyle w:val="aList"/>
              <w:ind w:left="0" w:firstLine="0"/>
              <w:rPr>
                <w:rFonts w:ascii="Arial" w:hAnsi="Arial" w:cs="Arial"/>
                <w:sz w:val="22"/>
                <w:szCs w:val="22"/>
                <w:lang w:val="en-GB"/>
              </w:rPr>
            </w:pPr>
          </w:p>
        </w:tc>
        <w:tc>
          <w:tcPr>
            <w:tcW w:w="450" w:type="dxa"/>
            <w:gridSpan w:val="4"/>
          </w:tcPr>
          <w:p w14:paraId="3E511357" w14:textId="72D0C0CE" w:rsidR="00812203" w:rsidRPr="00E4265B" w:rsidRDefault="00812203" w:rsidP="00812203">
            <w:pPr>
              <w:pStyle w:val="aList"/>
              <w:ind w:left="0" w:firstLine="0"/>
              <w:rPr>
                <w:rFonts w:ascii="Arial" w:hAnsi="Arial" w:cs="Arial"/>
                <w:sz w:val="22"/>
                <w:szCs w:val="22"/>
                <w:lang w:val="en-GB"/>
              </w:rPr>
            </w:pPr>
          </w:p>
        </w:tc>
        <w:tc>
          <w:tcPr>
            <w:tcW w:w="8100" w:type="dxa"/>
            <w:gridSpan w:val="3"/>
          </w:tcPr>
          <w:p w14:paraId="77E85042" w14:textId="206519A8" w:rsidR="00812203" w:rsidRPr="00E4265B" w:rsidRDefault="00812203" w:rsidP="00AC1BBC">
            <w:pPr>
              <w:pStyle w:val="aList"/>
              <w:ind w:left="613" w:hanging="613"/>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it enters into transactions as a principal only for the purpose of fulfilling its Clients' orders;</w:t>
            </w:r>
          </w:p>
        </w:tc>
      </w:tr>
      <w:tr w:rsidR="00812203" w:rsidRPr="00E4265B" w14:paraId="113A655C" w14:textId="77777777" w:rsidTr="00520DA4">
        <w:tc>
          <w:tcPr>
            <w:tcW w:w="900" w:type="dxa"/>
            <w:gridSpan w:val="3"/>
          </w:tcPr>
          <w:p w14:paraId="01B914B0" w14:textId="2EA0E8BC" w:rsidR="00812203" w:rsidRPr="00E4265B" w:rsidRDefault="00812203" w:rsidP="00812203">
            <w:pPr>
              <w:pStyle w:val="aList"/>
              <w:ind w:left="0" w:firstLine="0"/>
              <w:rPr>
                <w:rFonts w:ascii="Arial" w:hAnsi="Arial" w:cs="Arial"/>
                <w:sz w:val="22"/>
                <w:szCs w:val="22"/>
                <w:lang w:val="en-GB"/>
              </w:rPr>
            </w:pPr>
          </w:p>
        </w:tc>
        <w:tc>
          <w:tcPr>
            <w:tcW w:w="450" w:type="dxa"/>
            <w:gridSpan w:val="4"/>
          </w:tcPr>
          <w:p w14:paraId="54900DF5" w14:textId="4D81949F" w:rsidR="00812203" w:rsidRPr="00E4265B" w:rsidRDefault="00812203" w:rsidP="00812203">
            <w:pPr>
              <w:pStyle w:val="aList"/>
              <w:ind w:left="0" w:firstLine="0"/>
              <w:rPr>
                <w:rFonts w:ascii="Arial" w:hAnsi="Arial" w:cs="Arial"/>
                <w:sz w:val="22"/>
                <w:szCs w:val="22"/>
                <w:lang w:val="en-GB"/>
              </w:rPr>
            </w:pPr>
          </w:p>
        </w:tc>
        <w:tc>
          <w:tcPr>
            <w:tcW w:w="8100" w:type="dxa"/>
            <w:gridSpan w:val="3"/>
          </w:tcPr>
          <w:p w14:paraId="2F9F66E0" w14:textId="6195F9A0" w:rsidR="00812203" w:rsidRPr="00E4265B" w:rsidRDefault="00812203" w:rsidP="00AC1BBC">
            <w:pPr>
              <w:pStyle w:val="aList"/>
              <w:ind w:left="613" w:hanging="613"/>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it holds positions for its own account ("positions") only as a result of a failure to match Clients' orders;</w:t>
            </w:r>
          </w:p>
        </w:tc>
      </w:tr>
      <w:tr w:rsidR="00812203" w:rsidRPr="00E4265B" w14:paraId="6460B708" w14:textId="77777777" w:rsidTr="00520DA4">
        <w:tc>
          <w:tcPr>
            <w:tcW w:w="900" w:type="dxa"/>
            <w:gridSpan w:val="3"/>
          </w:tcPr>
          <w:p w14:paraId="42050556" w14:textId="6E0D44B1" w:rsidR="00812203" w:rsidRPr="00E4265B" w:rsidRDefault="00812203" w:rsidP="00812203">
            <w:pPr>
              <w:pStyle w:val="aList"/>
              <w:ind w:left="0" w:firstLine="0"/>
              <w:rPr>
                <w:rFonts w:ascii="Arial" w:hAnsi="Arial" w:cs="Arial"/>
                <w:sz w:val="22"/>
                <w:szCs w:val="22"/>
                <w:lang w:val="en-GB"/>
              </w:rPr>
            </w:pPr>
          </w:p>
        </w:tc>
        <w:tc>
          <w:tcPr>
            <w:tcW w:w="450" w:type="dxa"/>
            <w:gridSpan w:val="4"/>
          </w:tcPr>
          <w:p w14:paraId="6E4F3053" w14:textId="7F2F8647" w:rsidR="00812203" w:rsidRPr="00E4265B" w:rsidRDefault="00812203" w:rsidP="00812203">
            <w:pPr>
              <w:pStyle w:val="aList"/>
              <w:ind w:left="0" w:firstLine="0"/>
              <w:rPr>
                <w:rFonts w:ascii="Arial" w:hAnsi="Arial" w:cs="Arial"/>
                <w:sz w:val="22"/>
                <w:szCs w:val="22"/>
                <w:lang w:val="en-GB"/>
              </w:rPr>
            </w:pPr>
          </w:p>
        </w:tc>
        <w:tc>
          <w:tcPr>
            <w:tcW w:w="8100" w:type="dxa"/>
            <w:gridSpan w:val="3"/>
          </w:tcPr>
          <w:p w14:paraId="084F46ED" w14:textId="519666C9" w:rsidR="00812203" w:rsidRPr="00E4265B" w:rsidRDefault="00812203" w:rsidP="00AC1BBC">
            <w:pPr>
              <w:pStyle w:val="aList"/>
              <w:ind w:left="613" w:hanging="613"/>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total market value of the positions it holds is no more than 15% of the Firm's Tier 1 Capital Resources; and</w:t>
            </w:r>
          </w:p>
        </w:tc>
      </w:tr>
      <w:tr w:rsidR="00812203" w:rsidRPr="00E4265B" w14:paraId="45B774D1" w14:textId="77777777" w:rsidTr="00520DA4">
        <w:tc>
          <w:tcPr>
            <w:tcW w:w="900" w:type="dxa"/>
            <w:gridSpan w:val="3"/>
          </w:tcPr>
          <w:p w14:paraId="774C9941" w14:textId="0E1136AF" w:rsidR="00812203" w:rsidRPr="00E4265B" w:rsidRDefault="00812203" w:rsidP="00812203">
            <w:pPr>
              <w:pStyle w:val="aList"/>
              <w:ind w:left="0" w:firstLine="0"/>
              <w:rPr>
                <w:rFonts w:ascii="Arial" w:hAnsi="Arial" w:cs="Arial"/>
                <w:sz w:val="22"/>
                <w:szCs w:val="22"/>
                <w:lang w:val="en-GB"/>
              </w:rPr>
            </w:pPr>
          </w:p>
        </w:tc>
        <w:tc>
          <w:tcPr>
            <w:tcW w:w="450" w:type="dxa"/>
            <w:gridSpan w:val="4"/>
          </w:tcPr>
          <w:p w14:paraId="4473A151" w14:textId="5D3F4EEC" w:rsidR="00812203" w:rsidRPr="00E4265B" w:rsidRDefault="00812203" w:rsidP="00812203">
            <w:pPr>
              <w:pStyle w:val="aList"/>
              <w:ind w:left="0" w:firstLine="0"/>
              <w:rPr>
                <w:rFonts w:ascii="Arial" w:hAnsi="Arial" w:cs="Arial"/>
                <w:sz w:val="22"/>
                <w:szCs w:val="22"/>
                <w:lang w:val="en-GB"/>
              </w:rPr>
            </w:pPr>
          </w:p>
        </w:tc>
        <w:tc>
          <w:tcPr>
            <w:tcW w:w="8100" w:type="dxa"/>
            <w:gridSpan w:val="3"/>
          </w:tcPr>
          <w:p w14:paraId="6D5A8BF0" w14:textId="11F209EF" w:rsidR="00812203" w:rsidRPr="00E4265B" w:rsidRDefault="00812203" w:rsidP="00AC1BBC">
            <w:pPr>
              <w:pStyle w:val="aList"/>
              <w:ind w:left="613" w:hanging="613"/>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the positions are incidental in nature and are strictly limited to the time reasonably required to carry out a transaction of that nature.</w:t>
            </w:r>
          </w:p>
        </w:tc>
      </w:tr>
      <w:tr w:rsidR="00812203" w:rsidRPr="00E4265B" w14:paraId="4223656D" w14:textId="77777777" w:rsidTr="00520DA4">
        <w:tc>
          <w:tcPr>
            <w:tcW w:w="900" w:type="dxa"/>
            <w:gridSpan w:val="3"/>
          </w:tcPr>
          <w:p w14:paraId="50EE07EE" w14:textId="7EE58AAB" w:rsidR="00812203" w:rsidRPr="00E4265B" w:rsidRDefault="00812203" w:rsidP="00812203">
            <w:pPr>
              <w:pStyle w:val="TitleL5"/>
              <w:ind w:left="0"/>
              <w:rPr>
                <w:rFonts w:ascii="Arial" w:hAnsi="Arial" w:cs="Arial"/>
                <w:sz w:val="22"/>
                <w:szCs w:val="22"/>
                <w:lang w:val="en-GB"/>
              </w:rPr>
            </w:pPr>
          </w:p>
        </w:tc>
        <w:tc>
          <w:tcPr>
            <w:tcW w:w="8550" w:type="dxa"/>
            <w:gridSpan w:val="7"/>
          </w:tcPr>
          <w:p w14:paraId="2A094EDE" w14:textId="4EB64BC4" w:rsidR="00812203" w:rsidRPr="00E4265B" w:rsidRDefault="00812203" w:rsidP="00812203">
            <w:pPr>
              <w:pStyle w:val="TitleL5"/>
              <w:ind w:left="0"/>
              <w:rPr>
                <w:rFonts w:ascii="Arial" w:hAnsi="Arial" w:cs="Arial"/>
                <w:sz w:val="22"/>
                <w:szCs w:val="22"/>
                <w:lang w:val="en-GB"/>
              </w:rPr>
            </w:pPr>
            <w:r w:rsidRPr="00E4265B">
              <w:rPr>
                <w:rFonts w:ascii="Arial" w:hAnsi="Arial" w:cs="Arial"/>
                <w:sz w:val="22"/>
                <w:szCs w:val="22"/>
                <w:lang w:val="en-GB"/>
              </w:rPr>
              <w:t>Category 3B</w:t>
            </w:r>
          </w:p>
        </w:tc>
      </w:tr>
      <w:tr w:rsidR="00812203" w:rsidRPr="00E4265B" w14:paraId="35A527FF" w14:textId="77777777" w:rsidTr="00520DA4">
        <w:tc>
          <w:tcPr>
            <w:tcW w:w="9450" w:type="dxa"/>
            <w:gridSpan w:val="10"/>
          </w:tcPr>
          <w:p w14:paraId="62F6EB13" w14:textId="77777777" w:rsidR="00812203" w:rsidRPr="00E4265B" w:rsidRDefault="00812203" w:rsidP="00812203">
            <w:pPr>
              <w:pStyle w:val="Heading4"/>
              <w:rPr>
                <w:rFonts w:ascii="Arial" w:hAnsi="Arial" w:cs="Arial"/>
                <w:sz w:val="22"/>
                <w:szCs w:val="22"/>
              </w:rPr>
            </w:pPr>
            <w:r w:rsidRPr="00E4265B">
              <w:rPr>
                <w:rFonts w:ascii="Arial" w:hAnsi="Arial" w:cs="Arial"/>
                <w:sz w:val="22"/>
                <w:szCs w:val="22"/>
              </w:rPr>
              <w:t>An Authorised Person is in Category 3B if:</w:t>
            </w:r>
          </w:p>
        </w:tc>
      </w:tr>
      <w:tr w:rsidR="00812203" w:rsidRPr="00E4265B" w14:paraId="34FB9A95" w14:textId="77777777" w:rsidTr="00520DA4">
        <w:tc>
          <w:tcPr>
            <w:tcW w:w="900" w:type="dxa"/>
            <w:gridSpan w:val="3"/>
          </w:tcPr>
          <w:p w14:paraId="431BDA1F" w14:textId="1FDABBD2" w:rsidR="00812203" w:rsidRPr="00E4265B" w:rsidRDefault="00812203" w:rsidP="00812203">
            <w:pPr>
              <w:pStyle w:val="Heading5"/>
              <w:numPr>
                <w:ilvl w:val="0"/>
                <w:numId w:val="0"/>
              </w:numPr>
              <w:ind w:left="936"/>
              <w:jc w:val="left"/>
              <w:rPr>
                <w:rFonts w:ascii="Arial" w:hAnsi="Arial" w:cs="Arial"/>
                <w:sz w:val="22"/>
                <w:szCs w:val="22"/>
                <w:lang w:val="en-US"/>
              </w:rPr>
            </w:pPr>
          </w:p>
        </w:tc>
        <w:tc>
          <w:tcPr>
            <w:tcW w:w="8550" w:type="dxa"/>
            <w:gridSpan w:val="7"/>
          </w:tcPr>
          <w:p w14:paraId="1BFC314A" w14:textId="16057EDB" w:rsidR="00812203" w:rsidRPr="00E4265B" w:rsidRDefault="00812203" w:rsidP="0019712D">
            <w:pPr>
              <w:pStyle w:val="aList"/>
              <w:numPr>
                <w:ilvl w:val="0"/>
                <w:numId w:val="70"/>
              </w:numPr>
              <w:ind w:left="451" w:hanging="469"/>
              <w:rPr>
                <w:rFonts w:ascii="Arial" w:hAnsi="Arial" w:cs="Arial"/>
                <w:sz w:val="22"/>
                <w:szCs w:val="22"/>
              </w:rPr>
            </w:pPr>
            <w:r w:rsidRPr="00E4265B">
              <w:rPr>
                <w:rFonts w:ascii="Arial" w:hAnsi="Arial" w:cs="Arial"/>
                <w:sz w:val="22"/>
                <w:szCs w:val="22"/>
                <w:lang w:val="en-GB"/>
              </w:rPr>
              <w:t>its Financial Services Permission authorises it to carry on one or more of the Regulated Activities of:</w:t>
            </w:r>
          </w:p>
        </w:tc>
      </w:tr>
      <w:tr w:rsidR="00AC1BBC" w:rsidRPr="00E4265B" w14:paraId="6D951967" w14:textId="77777777" w:rsidTr="00520DA4">
        <w:tc>
          <w:tcPr>
            <w:tcW w:w="810" w:type="dxa"/>
            <w:gridSpan w:val="2"/>
          </w:tcPr>
          <w:p w14:paraId="697CEE39" w14:textId="606BFAE8" w:rsidR="00812203" w:rsidRPr="00E4265B" w:rsidRDefault="00812203" w:rsidP="00812203">
            <w:pPr>
              <w:pStyle w:val="Heading6"/>
              <w:numPr>
                <w:ilvl w:val="0"/>
                <w:numId w:val="0"/>
              </w:numPr>
              <w:ind w:left="1656"/>
              <w:rPr>
                <w:rFonts w:ascii="Arial" w:hAnsi="Arial" w:cs="Arial"/>
                <w:sz w:val="22"/>
                <w:szCs w:val="22"/>
              </w:rPr>
            </w:pPr>
          </w:p>
        </w:tc>
        <w:tc>
          <w:tcPr>
            <w:tcW w:w="270" w:type="dxa"/>
            <w:gridSpan w:val="3"/>
          </w:tcPr>
          <w:p w14:paraId="78CBFD4F" w14:textId="77777777" w:rsidR="00812203" w:rsidRPr="00E4265B" w:rsidRDefault="00812203" w:rsidP="00812203">
            <w:pPr>
              <w:pStyle w:val="Heading6"/>
              <w:numPr>
                <w:ilvl w:val="0"/>
                <w:numId w:val="0"/>
              </w:numPr>
              <w:ind w:left="1656"/>
              <w:rPr>
                <w:rFonts w:ascii="Arial" w:hAnsi="Arial" w:cs="Arial"/>
                <w:sz w:val="22"/>
                <w:szCs w:val="22"/>
              </w:rPr>
            </w:pPr>
          </w:p>
        </w:tc>
        <w:tc>
          <w:tcPr>
            <w:tcW w:w="270" w:type="dxa"/>
            <w:gridSpan w:val="2"/>
          </w:tcPr>
          <w:p w14:paraId="0F353E7B" w14:textId="7F3E61BE" w:rsidR="00812203" w:rsidRPr="00E4265B" w:rsidRDefault="00812203" w:rsidP="00812203">
            <w:pPr>
              <w:pStyle w:val="Heading6"/>
              <w:numPr>
                <w:ilvl w:val="0"/>
                <w:numId w:val="0"/>
              </w:numPr>
              <w:ind w:left="1242"/>
              <w:rPr>
                <w:rFonts w:ascii="Arial" w:hAnsi="Arial" w:cs="Arial"/>
                <w:sz w:val="22"/>
                <w:szCs w:val="22"/>
              </w:rPr>
            </w:pPr>
          </w:p>
        </w:tc>
        <w:tc>
          <w:tcPr>
            <w:tcW w:w="8100" w:type="dxa"/>
            <w:gridSpan w:val="3"/>
          </w:tcPr>
          <w:p w14:paraId="33661089" w14:textId="7651690F" w:rsidR="00812203" w:rsidRPr="00E4265B" w:rsidRDefault="00812203" w:rsidP="0019712D">
            <w:pPr>
              <w:pStyle w:val="iList"/>
              <w:numPr>
                <w:ilvl w:val="0"/>
                <w:numId w:val="72"/>
              </w:numPr>
              <w:ind w:left="341"/>
              <w:rPr>
                <w:rFonts w:ascii="Arial" w:hAnsi="Arial" w:cs="Arial"/>
                <w:sz w:val="22"/>
                <w:szCs w:val="22"/>
                <w:lang w:val="en-GB"/>
              </w:rPr>
            </w:pPr>
            <w:r w:rsidRPr="00E4265B">
              <w:rPr>
                <w:rFonts w:ascii="Arial" w:hAnsi="Arial" w:cs="Arial"/>
                <w:sz w:val="22"/>
                <w:szCs w:val="22"/>
                <w:lang w:val="en-GB"/>
              </w:rPr>
              <w:t>Providing Custody (where it does so for a Fund); or</w:t>
            </w:r>
          </w:p>
        </w:tc>
      </w:tr>
      <w:tr w:rsidR="00812203" w:rsidRPr="00E4265B" w14:paraId="722511BF" w14:textId="77777777" w:rsidTr="00520DA4">
        <w:tc>
          <w:tcPr>
            <w:tcW w:w="810" w:type="dxa"/>
            <w:gridSpan w:val="2"/>
          </w:tcPr>
          <w:p w14:paraId="66C0EAE6" w14:textId="298588D9" w:rsidR="00812203" w:rsidRPr="00E4265B" w:rsidRDefault="00812203" w:rsidP="00812203">
            <w:pPr>
              <w:pStyle w:val="Heading6"/>
              <w:numPr>
                <w:ilvl w:val="0"/>
                <w:numId w:val="0"/>
              </w:numPr>
              <w:ind w:left="1656"/>
              <w:rPr>
                <w:rFonts w:ascii="Arial" w:hAnsi="Arial" w:cs="Arial"/>
                <w:sz w:val="22"/>
                <w:szCs w:val="22"/>
              </w:rPr>
            </w:pPr>
          </w:p>
        </w:tc>
        <w:tc>
          <w:tcPr>
            <w:tcW w:w="270" w:type="dxa"/>
            <w:gridSpan w:val="3"/>
          </w:tcPr>
          <w:p w14:paraId="120064DB" w14:textId="77777777" w:rsidR="00812203" w:rsidRPr="00E4265B" w:rsidRDefault="00812203" w:rsidP="00812203">
            <w:pPr>
              <w:pStyle w:val="Heading6"/>
              <w:numPr>
                <w:ilvl w:val="0"/>
                <w:numId w:val="0"/>
              </w:numPr>
              <w:ind w:left="1656"/>
              <w:rPr>
                <w:rFonts w:ascii="Arial" w:hAnsi="Arial" w:cs="Arial"/>
                <w:sz w:val="22"/>
                <w:szCs w:val="22"/>
              </w:rPr>
            </w:pPr>
          </w:p>
        </w:tc>
        <w:tc>
          <w:tcPr>
            <w:tcW w:w="270" w:type="dxa"/>
            <w:gridSpan w:val="2"/>
          </w:tcPr>
          <w:p w14:paraId="60B9EB7E" w14:textId="1738B58E" w:rsidR="00812203" w:rsidRPr="00E4265B" w:rsidRDefault="00812203" w:rsidP="00812203">
            <w:pPr>
              <w:pStyle w:val="Heading6"/>
              <w:numPr>
                <w:ilvl w:val="0"/>
                <w:numId w:val="0"/>
              </w:numPr>
              <w:ind w:left="1242"/>
              <w:rPr>
                <w:rFonts w:ascii="Arial" w:hAnsi="Arial" w:cs="Arial"/>
                <w:sz w:val="22"/>
                <w:szCs w:val="22"/>
              </w:rPr>
            </w:pPr>
          </w:p>
        </w:tc>
        <w:tc>
          <w:tcPr>
            <w:tcW w:w="8100" w:type="dxa"/>
            <w:gridSpan w:val="3"/>
          </w:tcPr>
          <w:p w14:paraId="0BFC891F" w14:textId="2C3858BD" w:rsidR="00812203" w:rsidRPr="00E4265B" w:rsidRDefault="00812203" w:rsidP="0019712D">
            <w:pPr>
              <w:pStyle w:val="iList"/>
              <w:numPr>
                <w:ilvl w:val="0"/>
                <w:numId w:val="72"/>
              </w:numPr>
              <w:ind w:left="341"/>
              <w:rPr>
                <w:rFonts w:ascii="Arial" w:hAnsi="Arial" w:cs="Arial"/>
                <w:sz w:val="22"/>
                <w:szCs w:val="22"/>
                <w:lang w:val="en-GB"/>
              </w:rPr>
            </w:pPr>
            <w:r w:rsidRPr="00E4265B">
              <w:rPr>
                <w:rFonts w:ascii="Arial" w:hAnsi="Arial" w:cs="Arial"/>
                <w:sz w:val="22"/>
                <w:szCs w:val="22"/>
                <w:lang w:val="en-GB"/>
              </w:rPr>
              <w:t>Acting as the Trustee of an Investment Trust; and</w:t>
            </w:r>
          </w:p>
        </w:tc>
      </w:tr>
      <w:tr w:rsidR="00812203" w:rsidRPr="00E4265B" w14:paraId="50EE40E9" w14:textId="77777777" w:rsidTr="00520DA4">
        <w:tc>
          <w:tcPr>
            <w:tcW w:w="900" w:type="dxa"/>
            <w:gridSpan w:val="3"/>
          </w:tcPr>
          <w:p w14:paraId="015F26B2" w14:textId="5FFEB55A" w:rsidR="00812203" w:rsidRPr="00E4265B" w:rsidRDefault="00812203" w:rsidP="00812203">
            <w:pPr>
              <w:pStyle w:val="Heading5"/>
              <w:numPr>
                <w:ilvl w:val="0"/>
                <w:numId w:val="0"/>
              </w:numPr>
              <w:ind w:left="936"/>
              <w:rPr>
                <w:rFonts w:ascii="Arial" w:hAnsi="Arial" w:cs="Arial"/>
                <w:sz w:val="22"/>
                <w:szCs w:val="22"/>
              </w:rPr>
            </w:pPr>
          </w:p>
        </w:tc>
        <w:tc>
          <w:tcPr>
            <w:tcW w:w="8550" w:type="dxa"/>
            <w:gridSpan w:val="7"/>
          </w:tcPr>
          <w:p w14:paraId="1326C207" w14:textId="55462FA1" w:rsidR="00812203" w:rsidRPr="00E4265B" w:rsidRDefault="00812203" w:rsidP="0019712D">
            <w:pPr>
              <w:pStyle w:val="aList"/>
              <w:numPr>
                <w:ilvl w:val="0"/>
                <w:numId w:val="70"/>
              </w:numPr>
              <w:ind w:left="451" w:hanging="469"/>
              <w:rPr>
                <w:rFonts w:ascii="Arial" w:hAnsi="Arial" w:cs="Arial"/>
                <w:sz w:val="22"/>
                <w:szCs w:val="22"/>
              </w:rPr>
            </w:pPr>
            <w:r w:rsidRPr="00E4265B">
              <w:rPr>
                <w:rFonts w:ascii="Arial" w:hAnsi="Arial" w:cs="Arial"/>
                <w:sz w:val="22"/>
                <w:szCs w:val="22"/>
                <w:lang w:val="en-GB"/>
              </w:rPr>
              <w:t>it does not meet the criteria of Categories 1, 2, 3A or 5.</w:t>
            </w:r>
          </w:p>
        </w:tc>
      </w:tr>
      <w:tr w:rsidR="00812203" w:rsidRPr="00E4265B" w14:paraId="45BED9BE" w14:textId="77777777" w:rsidTr="00520DA4">
        <w:tc>
          <w:tcPr>
            <w:tcW w:w="900" w:type="dxa"/>
            <w:gridSpan w:val="3"/>
          </w:tcPr>
          <w:p w14:paraId="761EC878" w14:textId="15648273" w:rsidR="00812203" w:rsidRPr="00E4265B" w:rsidRDefault="00812203" w:rsidP="00812203">
            <w:pPr>
              <w:pStyle w:val="TitleL5"/>
              <w:ind w:left="0"/>
              <w:rPr>
                <w:rFonts w:ascii="Arial" w:hAnsi="Arial" w:cs="Arial"/>
                <w:sz w:val="22"/>
                <w:szCs w:val="22"/>
                <w:lang w:val="en-GB"/>
              </w:rPr>
            </w:pPr>
          </w:p>
        </w:tc>
        <w:tc>
          <w:tcPr>
            <w:tcW w:w="8550" w:type="dxa"/>
            <w:gridSpan w:val="7"/>
          </w:tcPr>
          <w:p w14:paraId="5F3D1797" w14:textId="7271BF9E" w:rsidR="00812203" w:rsidRPr="00E4265B" w:rsidRDefault="00812203" w:rsidP="00812203">
            <w:pPr>
              <w:pStyle w:val="TitleL5"/>
              <w:ind w:left="0"/>
              <w:rPr>
                <w:rFonts w:ascii="Arial" w:hAnsi="Arial" w:cs="Arial"/>
                <w:sz w:val="22"/>
                <w:szCs w:val="22"/>
                <w:lang w:val="en-GB"/>
              </w:rPr>
            </w:pPr>
            <w:r w:rsidRPr="00E4265B">
              <w:rPr>
                <w:rFonts w:ascii="Arial" w:hAnsi="Arial" w:cs="Arial"/>
                <w:sz w:val="22"/>
                <w:szCs w:val="22"/>
                <w:lang w:val="en-GB"/>
              </w:rPr>
              <w:t>Guidance</w:t>
            </w:r>
          </w:p>
        </w:tc>
      </w:tr>
      <w:tr w:rsidR="00812203" w:rsidRPr="00E4265B" w14:paraId="291715BB" w14:textId="77777777" w:rsidTr="00520DA4">
        <w:tc>
          <w:tcPr>
            <w:tcW w:w="900" w:type="dxa"/>
            <w:gridSpan w:val="3"/>
          </w:tcPr>
          <w:p w14:paraId="799A8BA5" w14:textId="101AA3D5" w:rsidR="00812203" w:rsidRPr="00E4265B" w:rsidRDefault="00812203" w:rsidP="00812203">
            <w:pPr>
              <w:pStyle w:val="UK12Block05"/>
              <w:ind w:left="0"/>
              <w:rPr>
                <w:rFonts w:ascii="Arial" w:hAnsi="Arial" w:cs="Arial"/>
                <w:sz w:val="22"/>
                <w:szCs w:val="22"/>
                <w:lang w:val="en-GB"/>
              </w:rPr>
            </w:pPr>
          </w:p>
        </w:tc>
        <w:tc>
          <w:tcPr>
            <w:tcW w:w="8550" w:type="dxa"/>
            <w:gridSpan w:val="7"/>
          </w:tcPr>
          <w:p w14:paraId="45B4185A" w14:textId="4224E695" w:rsidR="00812203" w:rsidRPr="00E4265B" w:rsidRDefault="00812203" w:rsidP="00812203">
            <w:pPr>
              <w:pStyle w:val="UK12Block05"/>
              <w:ind w:left="0"/>
              <w:rPr>
                <w:rFonts w:ascii="Arial" w:hAnsi="Arial" w:cs="Arial"/>
                <w:sz w:val="22"/>
                <w:szCs w:val="22"/>
                <w:lang w:val="en-GB"/>
              </w:rPr>
            </w:pPr>
            <w:r w:rsidRPr="00E4265B">
              <w:rPr>
                <w:rFonts w:ascii="Arial" w:hAnsi="Arial" w:cs="Arial"/>
                <w:sz w:val="22"/>
                <w:szCs w:val="22"/>
                <w:lang w:val="en-GB"/>
              </w:rPr>
              <w:t>A Category 3B Authorised Person may be authorised to conduct other Regulated Activities, but it is the authorisation for Providing Custody for a Fund or Acting as Trustee of a Fund, and the absence of authorisation for the activities specified in Rules 1.3.1, 1.3.2 and 1.3.3 that are determinative of its belonging to Category 3B.</w:t>
            </w:r>
          </w:p>
        </w:tc>
      </w:tr>
      <w:tr w:rsidR="00812203" w:rsidRPr="00E4265B" w14:paraId="7E48D0F1" w14:textId="77777777" w:rsidTr="00520DA4">
        <w:tc>
          <w:tcPr>
            <w:tcW w:w="900" w:type="dxa"/>
            <w:gridSpan w:val="3"/>
          </w:tcPr>
          <w:p w14:paraId="234A5AEF" w14:textId="14DA59B0" w:rsidR="00812203" w:rsidRPr="00E4265B" w:rsidRDefault="00812203" w:rsidP="00812203">
            <w:pPr>
              <w:pStyle w:val="TitleL5"/>
              <w:ind w:left="0"/>
              <w:rPr>
                <w:rFonts w:ascii="Arial" w:hAnsi="Arial" w:cs="Arial"/>
                <w:sz w:val="22"/>
                <w:szCs w:val="22"/>
                <w:lang w:val="en-GB"/>
              </w:rPr>
            </w:pPr>
          </w:p>
        </w:tc>
        <w:tc>
          <w:tcPr>
            <w:tcW w:w="8550" w:type="dxa"/>
            <w:gridSpan w:val="7"/>
          </w:tcPr>
          <w:p w14:paraId="75A96306" w14:textId="3C5FF3BC" w:rsidR="00812203" w:rsidRPr="00E4265B" w:rsidRDefault="00812203" w:rsidP="00812203">
            <w:pPr>
              <w:pStyle w:val="TitleL5"/>
              <w:ind w:left="0"/>
              <w:rPr>
                <w:rFonts w:ascii="Arial" w:hAnsi="Arial" w:cs="Arial"/>
                <w:sz w:val="22"/>
                <w:szCs w:val="22"/>
                <w:lang w:val="en-GB"/>
              </w:rPr>
            </w:pPr>
            <w:r w:rsidRPr="00E4265B">
              <w:rPr>
                <w:rFonts w:ascii="Arial" w:hAnsi="Arial" w:cs="Arial"/>
                <w:sz w:val="22"/>
                <w:szCs w:val="22"/>
                <w:lang w:val="en-GB"/>
              </w:rPr>
              <w:t>Category 3C</w:t>
            </w:r>
          </w:p>
        </w:tc>
      </w:tr>
      <w:tr w:rsidR="00812203" w:rsidRPr="00E4265B" w14:paraId="5CF3EEEA" w14:textId="77777777" w:rsidTr="00520DA4">
        <w:tc>
          <w:tcPr>
            <w:tcW w:w="9450" w:type="dxa"/>
            <w:gridSpan w:val="10"/>
          </w:tcPr>
          <w:p w14:paraId="4A849FD1" w14:textId="77777777" w:rsidR="00812203" w:rsidRPr="00E4265B" w:rsidRDefault="00812203" w:rsidP="00812203">
            <w:pPr>
              <w:pStyle w:val="Heading4"/>
              <w:rPr>
                <w:rFonts w:ascii="Arial" w:hAnsi="Arial" w:cs="Arial"/>
                <w:sz w:val="22"/>
                <w:szCs w:val="22"/>
              </w:rPr>
            </w:pPr>
            <w:r w:rsidRPr="00E4265B">
              <w:rPr>
                <w:rFonts w:ascii="Arial" w:hAnsi="Arial" w:cs="Arial"/>
                <w:sz w:val="22"/>
                <w:szCs w:val="22"/>
              </w:rPr>
              <w:t>An Authorised Person is in Category 3C if:</w:t>
            </w:r>
          </w:p>
        </w:tc>
      </w:tr>
      <w:tr w:rsidR="00812203" w:rsidRPr="00E4265B" w14:paraId="3D6A8C8C" w14:textId="77777777" w:rsidTr="00520DA4">
        <w:tc>
          <w:tcPr>
            <w:tcW w:w="900" w:type="dxa"/>
            <w:gridSpan w:val="3"/>
          </w:tcPr>
          <w:p w14:paraId="5FCE2B71" w14:textId="3B9636E9" w:rsidR="00812203" w:rsidRPr="00E4265B" w:rsidRDefault="00812203" w:rsidP="00812203">
            <w:pPr>
              <w:pStyle w:val="Heading5"/>
              <w:numPr>
                <w:ilvl w:val="0"/>
                <w:numId w:val="0"/>
              </w:numPr>
              <w:ind w:left="936"/>
              <w:rPr>
                <w:rFonts w:ascii="Arial" w:hAnsi="Arial" w:cs="Arial"/>
                <w:sz w:val="22"/>
                <w:szCs w:val="22"/>
              </w:rPr>
            </w:pPr>
          </w:p>
        </w:tc>
        <w:tc>
          <w:tcPr>
            <w:tcW w:w="8550" w:type="dxa"/>
            <w:gridSpan w:val="7"/>
          </w:tcPr>
          <w:p w14:paraId="1521669F" w14:textId="19158D0E" w:rsidR="00812203" w:rsidRPr="00E4265B" w:rsidRDefault="00812203" w:rsidP="00812203">
            <w:pPr>
              <w:pStyle w:val="Heading5"/>
              <w:tabs>
                <w:tab w:val="clear" w:pos="1656"/>
              </w:tabs>
              <w:ind w:left="702"/>
              <w:rPr>
                <w:rFonts w:ascii="Arial" w:hAnsi="Arial" w:cs="Arial"/>
                <w:sz w:val="22"/>
                <w:szCs w:val="22"/>
              </w:rPr>
            </w:pPr>
            <w:r w:rsidRPr="00E4265B">
              <w:rPr>
                <w:rFonts w:ascii="Arial" w:hAnsi="Arial" w:cs="Arial"/>
                <w:sz w:val="22"/>
                <w:szCs w:val="22"/>
              </w:rPr>
              <w:t>its Financial Services Permission authorises it to carry on one or more of the Regulated Activities of:</w:t>
            </w:r>
          </w:p>
        </w:tc>
      </w:tr>
      <w:tr w:rsidR="00812203" w:rsidRPr="00E4265B" w14:paraId="504CC773" w14:textId="77777777" w:rsidTr="00520DA4">
        <w:tc>
          <w:tcPr>
            <w:tcW w:w="900" w:type="dxa"/>
            <w:gridSpan w:val="3"/>
          </w:tcPr>
          <w:p w14:paraId="3214FF26" w14:textId="6A6557E8" w:rsidR="00812203" w:rsidRPr="00E4265B" w:rsidRDefault="00812203" w:rsidP="00812203">
            <w:pPr>
              <w:pStyle w:val="Heading6"/>
              <w:numPr>
                <w:ilvl w:val="0"/>
                <w:numId w:val="0"/>
              </w:numPr>
              <w:ind w:left="1656"/>
              <w:rPr>
                <w:rFonts w:ascii="Arial" w:hAnsi="Arial" w:cs="Arial"/>
                <w:sz w:val="22"/>
                <w:szCs w:val="22"/>
              </w:rPr>
            </w:pPr>
          </w:p>
        </w:tc>
        <w:tc>
          <w:tcPr>
            <w:tcW w:w="270" w:type="dxa"/>
            <w:gridSpan w:val="3"/>
          </w:tcPr>
          <w:p w14:paraId="6A8D1192" w14:textId="77777777" w:rsidR="00812203" w:rsidRPr="00E4265B" w:rsidRDefault="00812203" w:rsidP="00812203">
            <w:pPr>
              <w:pStyle w:val="Heading6"/>
              <w:numPr>
                <w:ilvl w:val="0"/>
                <w:numId w:val="0"/>
              </w:numPr>
              <w:ind w:left="1656"/>
              <w:rPr>
                <w:rFonts w:ascii="Arial" w:hAnsi="Arial" w:cs="Arial"/>
                <w:sz w:val="22"/>
                <w:szCs w:val="22"/>
              </w:rPr>
            </w:pPr>
          </w:p>
        </w:tc>
        <w:tc>
          <w:tcPr>
            <w:tcW w:w="8280" w:type="dxa"/>
            <w:gridSpan w:val="4"/>
          </w:tcPr>
          <w:p w14:paraId="3B9EA5D6" w14:textId="33EEE55F" w:rsidR="00812203" w:rsidRPr="00E4265B" w:rsidRDefault="00812203" w:rsidP="0019712D">
            <w:pPr>
              <w:pStyle w:val="Heading6"/>
              <w:numPr>
                <w:ilvl w:val="0"/>
                <w:numId w:val="71"/>
              </w:numPr>
              <w:ind w:left="882" w:hanging="450"/>
              <w:rPr>
                <w:rFonts w:ascii="Arial" w:hAnsi="Arial" w:cs="Arial"/>
                <w:sz w:val="22"/>
                <w:szCs w:val="22"/>
              </w:rPr>
            </w:pPr>
            <w:r w:rsidRPr="00E4265B">
              <w:rPr>
                <w:rFonts w:ascii="Arial" w:hAnsi="Arial" w:cs="Arial"/>
                <w:sz w:val="22"/>
                <w:szCs w:val="22"/>
              </w:rPr>
              <w:t>Managing Assets;</w:t>
            </w:r>
          </w:p>
        </w:tc>
      </w:tr>
      <w:tr w:rsidR="00812203" w:rsidRPr="00E4265B" w14:paraId="23A219B2" w14:textId="77777777" w:rsidTr="00520DA4">
        <w:tc>
          <w:tcPr>
            <w:tcW w:w="900" w:type="dxa"/>
            <w:gridSpan w:val="3"/>
          </w:tcPr>
          <w:p w14:paraId="38C5A7A6" w14:textId="4CEA4CC0" w:rsidR="00812203" w:rsidRPr="00E4265B" w:rsidRDefault="00812203" w:rsidP="00812203">
            <w:pPr>
              <w:pStyle w:val="Heading6"/>
              <w:numPr>
                <w:ilvl w:val="0"/>
                <w:numId w:val="0"/>
              </w:numPr>
              <w:ind w:left="1656"/>
              <w:rPr>
                <w:rFonts w:ascii="Arial" w:hAnsi="Arial" w:cs="Arial"/>
                <w:sz w:val="22"/>
                <w:szCs w:val="22"/>
              </w:rPr>
            </w:pPr>
          </w:p>
        </w:tc>
        <w:tc>
          <w:tcPr>
            <w:tcW w:w="270" w:type="dxa"/>
            <w:gridSpan w:val="3"/>
          </w:tcPr>
          <w:p w14:paraId="11BD6765" w14:textId="77777777" w:rsidR="00812203" w:rsidRPr="00E4265B" w:rsidRDefault="00812203" w:rsidP="00812203">
            <w:pPr>
              <w:pStyle w:val="Heading6"/>
              <w:numPr>
                <w:ilvl w:val="0"/>
                <w:numId w:val="0"/>
              </w:numPr>
              <w:ind w:left="1656"/>
              <w:rPr>
                <w:rFonts w:ascii="Arial" w:hAnsi="Arial" w:cs="Arial"/>
                <w:sz w:val="22"/>
                <w:szCs w:val="22"/>
              </w:rPr>
            </w:pPr>
          </w:p>
        </w:tc>
        <w:tc>
          <w:tcPr>
            <w:tcW w:w="8280" w:type="dxa"/>
            <w:gridSpan w:val="4"/>
          </w:tcPr>
          <w:p w14:paraId="2C8C7646" w14:textId="6EE23D28" w:rsidR="00812203" w:rsidRPr="00E4265B" w:rsidRDefault="00812203" w:rsidP="0019712D">
            <w:pPr>
              <w:pStyle w:val="Heading6"/>
              <w:numPr>
                <w:ilvl w:val="0"/>
                <w:numId w:val="71"/>
              </w:numPr>
              <w:ind w:left="882" w:hanging="450"/>
              <w:rPr>
                <w:rFonts w:ascii="Arial" w:hAnsi="Arial" w:cs="Arial"/>
                <w:sz w:val="22"/>
                <w:szCs w:val="22"/>
              </w:rPr>
            </w:pPr>
            <w:r w:rsidRPr="00E4265B">
              <w:rPr>
                <w:rFonts w:ascii="Arial" w:hAnsi="Arial" w:cs="Arial"/>
                <w:sz w:val="22"/>
                <w:szCs w:val="22"/>
              </w:rPr>
              <w:t>Managing a Collective Investment Fund;</w:t>
            </w:r>
          </w:p>
        </w:tc>
      </w:tr>
      <w:tr w:rsidR="00812203" w:rsidRPr="00E4265B" w14:paraId="23C7194A" w14:textId="77777777" w:rsidTr="00520DA4">
        <w:tc>
          <w:tcPr>
            <w:tcW w:w="900" w:type="dxa"/>
            <w:gridSpan w:val="3"/>
          </w:tcPr>
          <w:p w14:paraId="381FBF34" w14:textId="538F4A0D" w:rsidR="00812203" w:rsidRPr="00E4265B" w:rsidRDefault="00812203" w:rsidP="00812203">
            <w:pPr>
              <w:pStyle w:val="Heading6"/>
              <w:numPr>
                <w:ilvl w:val="0"/>
                <w:numId w:val="0"/>
              </w:numPr>
              <w:ind w:left="1656"/>
              <w:rPr>
                <w:rFonts w:ascii="Arial" w:hAnsi="Arial" w:cs="Arial"/>
                <w:sz w:val="22"/>
                <w:szCs w:val="22"/>
              </w:rPr>
            </w:pPr>
          </w:p>
        </w:tc>
        <w:tc>
          <w:tcPr>
            <w:tcW w:w="270" w:type="dxa"/>
            <w:gridSpan w:val="3"/>
          </w:tcPr>
          <w:p w14:paraId="34F70F39" w14:textId="77777777" w:rsidR="00812203" w:rsidRPr="00E4265B" w:rsidRDefault="00812203" w:rsidP="00812203">
            <w:pPr>
              <w:pStyle w:val="Heading6"/>
              <w:numPr>
                <w:ilvl w:val="0"/>
                <w:numId w:val="0"/>
              </w:numPr>
              <w:ind w:left="1656"/>
              <w:rPr>
                <w:rFonts w:ascii="Arial" w:hAnsi="Arial" w:cs="Arial"/>
                <w:sz w:val="22"/>
                <w:szCs w:val="22"/>
              </w:rPr>
            </w:pPr>
          </w:p>
        </w:tc>
        <w:tc>
          <w:tcPr>
            <w:tcW w:w="8280" w:type="dxa"/>
            <w:gridSpan w:val="4"/>
          </w:tcPr>
          <w:p w14:paraId="1CC09955" w14:textId="78512AF4" w:rsidR="00812203" w:rsidRPr="00E4265B" w:rsidRDefault="00812203" w:rsidP="0019712D">
            <w:pPr>
              <w:pStyle w:val="Heading6"/>
              <w:numPr>
                <w:ilvl w:val="0"/>
                <w:numId w:val="71"/>
              </w:numPr>
              <w:ind w:left="882" w:hanging="450"/>
              <w:rPr>
                <w:rFonts w:ascii="Arial" w:hAnsi="Arial" w:cs="Arial"/>
                <w:sz w:val="22"/>
                <w:szCs w:val="22"/>
              </w:rPr>
            </w:pPr>
            <w:r w:rsidRPr="00E4265B">
              <w:rPr>
                <w:rFonts w:ascii="Arial" w:hAnsi="Arial" w:cs="Arial"/>
                <w:sz w:val="22"/>
                <w:szCs w:val="22"/>
              </w:rPr>
              <w:t xml:space="preserve">Providing Custody (where it does so other than for a Fund); </w:t>
            </w:r>
          </w:p>
        </w:tc>
      </w:tr>
      <w:tr w:rsidR="00812203" w:rsidRPr="00E4265B" w14:paraId="371AF73E" w14:textId="77777777" w:rsidTr="00520DA4">
        <w:tc>
          <w:tcPr>
            <w:tcW w:w="900" w:type="dxa"/>
            <w:gridSpan w:val="3"/>
          </w:tcPr>
          <w:p w14:paraId="2383F3F9" w14:textId="3B18A891" w:rsidR="00812203" w:rsidRPr="00E4265B" w:rsidRDefault="00812203" w:rsidP="00812203">
            <w:pPr>
              <w:pStyle w:val="Heading6"/>
              <w:numPr>
                <w:ilvl w:val="0"/>
                <w:numId w:val="0"/>
              </w:numPr>
              <w:ind w:left="1656"/>
              <w:rPr>
                <w:rFonts w:ascii="Arial" w:hAnsi="Arial" w:cs="Arial"/>
                <w:sz w:val="22"/>
                <w:szCs w:val="22"/>
              </w:rPr>
            </w:pPr>
          </w:p>
        </w:tc>
        <w:tc>
          <w:tcPr>
            <w:tcW w:w="270" w:type="dxa"/>
            <w:gridSpan w:val="3"/>
          </w:tcPr>
          <w:p w14:paraId="18336922" w14:textId="77777777" w:rsidR="00812203" w:rsidRPr="00E4265B" w:rsidRDefault="00812203" w:rsidP="00812203">
            <w:pPr>
              <w:pStyle w:val="Heading6"/>
              <w:numPr>
                <w:ilvl w:val="0"/>
                <w:numId w:val="0"/>
              </w:numPr>
              <w:ind w:left="1656"/>
              <w:rPr>
                <w:rFonts w:ascii="Arial" w:hAnsi="Arial" w:cs="Arial"/>
                <w:sz w:val="22"/>
                <w:szCs w:val="22"/>
              </w:rPr>
            </w:pPr>
          </w:p>
        </w:tc>
        <w:tc>
          <w:tcPr>
            <w:tcW w:w="8280" w:type="dxa"/>
            <w:gridSpan w:val="4"/>
          </w:tcPr>
          <w:p w14:paraId="2821E355" w14:textId="5CE9C38E" w:rsidR="00812203" w:rsidRPr="00E4265B" w:rsidRDefault="00812203" w:rsidP="0019712D">
            <w:pPr>
              <w:pStyle w:val="Heading6"/>
              <w:numPr>
                <w:ilvl w:val="0"/>
                <w:numId w:val="71"/>
              </w:numPr>
              <w:ind w:left="882" w:hanging="450"/>
              <w:rPr>
                <w:rFonts w:ascii="Arial" w:hAnsi="Arial" w:cs="Arial"/>
                <w:sz w:val="22"/>
                <w:szCs w:val="22"/>
              </w:rPr>
            </w:pPr>
            <w:r w:rsidRPr="00E4265B">
              <w:rPr>
                <w:rFonts w:ascii="Arial" w:hAnsi="Arial" w:cs="Arial"/>
                <w:sz w:val="22"/>
                <w:szCs w:val="22"/>
              </w:rPr>
              <w:t xml:space="preserve">Managing a Profit Sharing Investment Account which is a PSIAr; </w:t>
            </w:r>
          </w:p>
        </w:tc>
      </w:tr>
      <w:tr w:rsidR="00812203" w:rsidRPr="00E4265B" w14:paraId="2CF71325" w14:textId="77777777" w:rsidTr="00520DA4">
        <w:tc>
          <w:tcPr>
            <w:tcW w:w="900" w:type="dxa"/>
            <w:gridSpan w:val="3"/>
          </w:tcPr>
          <w:p w14:paraId="20682AC0" w14:textId="3C07A655" w:rsidR="00812203" w:rsidRPr="00E4265B" w:rsidRDefault="00812203" w:rsidP="00812203">
            <w:pPr>
              <w:pStyle w:val="Heading6"/>
              <w:numPr>
                <w:ilvl w:val="0"/>
                <w:numId w:val="0"/>
              </w:numPr>
              <w:ind w:left="1656"/>
              <w:rPr>
                <w:rFonts w:ascii="Arial" w:hAnsi="Arial" w:cs="Arial"/>
                <w:sz w:val="22"/>
                <w:szCs w:val="22"/>
              </w:rPr>
            </w:pPr>
          </w:p>
        </w:tc>
        <w:tc>
          <w:tcPr>
            <w:tcW w:w="270" w:type="dxa"/>
            <w:gridSpan w:val="3"/>
          </w:tcPr>
          <w:p w14:paraId="573CCCFC" w14:textId="77777777" w:rsidR="00812203" w:rsidRPr="00E4265B" w:rsidRDefault="00812203" w:rsidP="00812203">
            <w:pPr>
              <w:pStyle w:val="Heading6"/>
              <w:numPr>
                <w:ilvl w:val="0"/>
                <w:numId w:val="0"/>
              </w:numPr>
              <w:ind w:left="1656"/>
              <w:rPr>
                <w:rFonts w:ascii="Arial" w:hAnsi="Arial" w:cs="Arial"/>
                <w:sz w:val="22"/>
                <w:szCs w:val="22"/>
              </w:rPr>
            </w:pPr>
          </w:p>
        </w:tc>
        <w:tc>
          <w:tcPr>
            <w:tcW w:w="8280" w:type="dxa"/>
            <w:gridSpan w:val="4"/>
          </w:tcPr>
          <w:p w14:paraId="208BC451" w14:textId="0F00149A" w:rsidR="00812203" w:rsidRPr="00E4265B" w:rsidRDefault="00812203" w:rsidP="0019712D">
            <w:pPr>
              <w:pStyle w:val="Heading6"/>
              <w:numPr>
                <w:ilvl w:val="0"/>
                <w:numId w:val="71"/>
              </w:numPr>
              <w:ind w:left="882" w:hanging="450"/>
              <w:rPr>
                <w:rFonts w:ascii="Arial" w:hAnsi="Arial" w:cs="Arial"/>
                <w:sz w:val="22"/>
                <w:szCs w:val="22"/>
              </w:rPr>
            </w:pPr>
            <w:r w:rsidRPr="00E4265B">
              <w:rPr>
                <w:rFonts w:ascii="Arial" w:hAnsi="Arial" w:cs="Arial"/>
                <w:sz w:val="22"/>
                <w:szCs w:val="22"/>
              </w:rPr>
              <w:t>Providing Trust Services (where it is acting as trustee in respect of at least one express trust); or</w:t>
            </w:r>
          </w:p>
        </w:tc>
      </w:tr>
      <w:tr w:rsidR="00812203" w:rsidRPr="00E4265B" w14:paraId="0E732739" w14:textId="77777777" w:rsidTr="00520DA4">
        <w:tc>
          <w:tcPr>
            <w:tcW w:w="900" w:type="dxa"/>
            <w:gridSpan w:val="3"/>
          </w:tcPr>
          <w:p w14:paraId="2662BC27" w14:textId="0C84D4B0" w:rsidR="00812203" w:rsidRPr="00E4265B" w:rsidRDefault="00812203" w:rsidP="00812203">
            <w:pPr>
              <w:pStyle w:val="Heading6"/>
              <w:numPr>
                <w:ilvl w:val="0"/>
                <w:numId w:val="0"/>
              </w:numPr>
              <w:ind w:left="1656"/>
              <w:rPr>
                <w:rFonts w:ascii="Arial" w:hAnsi="Arial" w:cs="Arial"/>
                <w:sz w:val="22"/>
                <w:szCs w:val="22"/>
              </w:rPr>
            </w:pPr>
          </w:p>
        </w:tc>
        <w:tc>
          <w:tcPr>
            <w:tcW w:w="270" w:type="dxa"/>
            <w:gridSpan w:val="3"/>
          </w:tcPr>
          <w:p w14:paraId="34D8E62E" w14:textId="77777777" w:rsidR="00812203" w:rsidRPr="00E4265B" w:rsidRDefault="00812203" w:rsidP="00812203">
            <w:pPr>
              <w:pStyle w:val="Heading6"/>
              <w:numPr>
                <w:ilvl w:val="0"/>
                <w:numId w:val="0"/>
              </w:numPr>
              <w:ind w:left="1656"/>
              <w:rPr>
                <w:rFonts w:ascii="Arial" w:hAnsi="Arial" w:cs="Arial"/>
                <w:sz w:val="22"/>
                <w:szCs w:val="22"/>
              </w:rPr>
            </w:pPr>
          </w:p>
        </w:tc>
        <w:tc>
          <w:tcPr>
            <w:tcW w:w="8280" w:type="dxa"/>
            <w:gridSpan w:val="4"/>
          </w:tcPr>
          <w:p w14:paraId="1DA6435E" w14:textId="11230EA5" w:rsidR="00812203" w:rsidRPr="00E4265B" w:rsidRDefault="00812203" w:rsidP="0019712D">
            <w:pPr>
              <w:pStyle w:val="Heading6"/>
              <w:numPr>
                <w:ilvl w:val="0"/>
                <w:numId w:val="71"/>
              </w:numPr>
              <w:ind w:left="882" w:hanging="450"/>
              <w:rPr>
                <w:rFonts w:ascii="Arial" w:hAnsi="Arial" w:cs="Arial"/>
                <w:sz w:val="22"/>
                <w:szCs w:val="22"/>
              </w:rPr>
            </w:pPr>
            <w:r w:rsidRPr="00E4265B">
              <w:rPr>
                <w:rFonts w:ascii="Arial" w:hAnsi="Arial" w:cs="Arial"/>
                <w:sz w:val="22"/>
                <w:szCs w:val="22"/>
              </w:rPr>
              <w:t>Providing Money Services; and</w:t>
            </w:r>
          </w:p>
        </w:tc>
      </w:tr>
      <w:tr w:rsidR="00812203" w:rsidRPr="00E4265B" w14:paraId="0CE3B0E1" w14:textId="77777777" w:rsidTr="00520DA4">
        <w:tc>
          <w:tcPr>
            <w:tcW w:w="900" w:type="dxa"/>
            <w:gridSpan w:val="3"/>
          </w:tcPr>
          <w:p w14:paraId="13D3E1E9" w14:textId="4714AA80" w:rsidR="00812203" w:rsidRPr="00E4265B" w:rsidRDefault="00812203" w:rsidP="00812203">
            <w:pPr>
              <w:pStyle w:val="Heading5"/>
              <w:numPr>
                <w:ilvl w:val="0"/>
                <w:numId w:val="0"/>
              </w:numPr>
              <w:ind w:left="936"/>
              <w:rPr>
                <w:rFonts w:ascii="Arial" w:hAnsi="Arial" w:cs="Arial"/>
                <w:sz w:val="22"/>
                <w:szCs w:val="22"/>
              </w:rPr>
            </w:pPr>
          </w:p>
        </w:tc>
        <w:tc>
          <w:tcPr>
            <w:tcW w:w="8550" w:type="dxa"/>
            <w:gridSpan w:val="7"/>
          </w:tcPr>
          <w:p w14:paraId="72B4606A" w14:textId="02B0FFC0" w:rsidR="00812203" w:rsidRPr="00E4265B" w:rsidRDefault="00812203" w:rsidP="00812203">
            <w:pPr>
              <w:pStyle w:val="Heading5"/>
              <w:tabs>
                <w:tab w:val="clear" w:pos="1656"/>
              </w:tabs>
              <w:ind w:left="702"/>
              <w:rPr>
                <w:rFonts w:ascii="Arial" w:hAnsi="Arial" w:cs="Arial"/>
                <w:sz w:val="22"/>
                <w:szCs w:val="22"/>
              </w:rPr>
            </w:pPr>
            <w:r w:rsidRPr="00E4265B">
              <w:rPr>
                <w:rFonts w:ascii="Arial" w:hAnsi="Arial" w:cs="Arial"/>
                <w:sz w:val="22"/>
                <w:szCs w:val="22"/>
              </w:rPr>
              <w:t>it does not meet the criteria of Categories 1, 2, 3A, 3B or 5.</w:t>
            </w:r>
          </w:p>
        </w:tc>
      </w:tr>
      <w:tr w:rsidR="00812203" w:rsidRPr="00E4265B" w14:paraId="69BF39AA" w14:textId="77777777" w:rsidTr="00520DA4">
        <w:tc>
          <w:tcPr>
            <w:tcW w:w="900" w:type="dxa"/>
            <w:gridSpan w:val="3"/>
          </w:tcPr>
          <w:p w14:paraId="35DA72A6" w14:textId="3BC8E284" w:rsidR="00812203" w:rsidRPr="00E4265B" w:rsidRDefault="00812203" w:rsidP="00812203">
            <w:pPr>
              <w:pStyle w:val="TitleL5"/>
              <w:ind w:left="0"/>
              <w:rPr>
                <w:rFonts w:ascii="Arial" w:hAnsi="Arial" w:cs="Arial"/>
                <w:sz w:val="22"/>
                <w:szCs w:val="22"/>
                <w:lang w:val="en-GB"/>
              </w:rPr>
            </w:pPr>
          </w:p>
        </w:tc>
        <w:tc>
          <w:tcPr>
            <w:tcW w:w="8550" w:type="dxa"/>
            <w:gridSpan w:val="7"/>
          </w:tcPr>
          <w:p w14:paraId="160570A5" w14:textId="762E3381" w:rsidR="00812203" w:rsidRPr="00E4265B" w:rsidRDefault="00812203" w:rsidP="00812203">
            <w:pPr>
              <w:pStyle w:val="TitleL5"/>
              <w:ind w:left="0"/>
              <w:rPr>
                <w:rFonts w:ascii="Arial" w:hAnsi="Arial" w:cs="Arial"/>
                <w:sz w:val="22"/>
                <w:szCs w:val="22"/>
                <w:lang w:val="en-GB"/>
              </w:rPr>
            </w:pPr>
            <w:r w:rsidRPr="00E4265B">
              <w:rPr>
                <w:rFonts w:ascii="Arial" w:hAnsi="Arial" w:cs="Arial"/>
                <w:sz w:val="22"/>
                <w:szCs w:val="22"/>
                <w:lang w:val="en-GB"/>
              </w:rPr>
              <w:t>Guidance</w:t>
            </w:r>
          </w:p>
        </w:tc>
      </w:tr>
      <w:tr w:rsidR="00812203" w:rsidRPr="00E4265B" w14:paraId="652195AA" w14:textId="77777777" w:rsidTr="00520DA4">
        <w:tc>
          <w:tcPr>
            <w:tcW w:w="900" w:type="dxa"/>
            <w:gridSpan w:val="3"/>
          </w:tcPr>
          <w:p w14:paraId="6991B56B" w14:textId="7EB9D9DF" w:rsidR="00812203" w:rsidRPr="00E4265B" w:rsidRDefault="00812203" w:rsidP="00812203">
            <w:pPr>
              <w:pStyle w:val="UK12Block05"/>
              <w:ind w:left="954"/>
              <w:rPr>
                <w:rFonts w:ascii="Arial" w:hAnsi="Arial" w:cs="Arial"/>
                <w:sz w:val="22"/>
                <w:szCs w:val="22"/>
                <w:lang w:val="en-GB"/>
              </w:rPr>
            </w:pPr>
          </w:p>
        </w:tc>
        <w:tc>
          <w:tcPr>
            <w:tcW w:w="8550" w:type="dxa"/>
            <w:gridSpan w:val="7"/>
          </w:tcPr>
          <w:p w14:paraId="681412C9" w14:textId="41EB5033" w:rsidR="00812203" w:rsidRPr="00E4265B" w:rsidRDefault="00812203" w:rsidP="00812203">
            <w:pPr>
              <w:pStyle w:val="UK12Block05"/>
              <w:ind w:left="0"/>
              <w:rPr>
                <w:rFonts w:ascii="Arial" w:hAnsi="Arial" w:cs="Arial"/>
                <w:sz w:val="22"/>
                <w:szCs w:val="22"/>
                <w:lang w:val="en-GB"/>
              </w:rPr>
            </w:pPr>
            <w:r w:rsidRPr="00E4265B">
              <w:rPr>
                <w:rFonts w:ascii="Arial" w:hAnsi="Arial" w:cs="Arial"/>
                <w:sz w:val="22"/>
                <w:szCs w:val="22"/>
                <w:lang w:val="en-GB"/>
              </w:rPr>
              <w:t>A Category 3C Authorised Person may be authorised to conduct other Regulated Activities, but it is the authorisation for Managing Assets, Managing a Collective Investment Fund, Providing Custody other than for a Fund or Managing a Profit Sharing Investment Account which is a PSIAr, Providing Trust Services (where it is acting as a trustee in respect of at least one express trust) or Providing Money Services, and the absence of authorisation for the activities specified in Rules 1.3.1, 1.3.2, 1.3.3 and 1.3.4 that are determinative of its belonging to Category 3C.</w:t>
            </w:r>
          </w:p>
        </w:tc>
      </w:tr>
      <w:tr w:rsidR="00812203" w:rsidRPr="00E4265B" w14:paraId="07EE8A2B" w14:textId="77777777" w:rsidTr="00520DA4">
        <w:tc>
          <w:tcPr>
            <w:tcW w:w="900" w:type="dxa"/>
            <w:gridSpan w:val="3"/>
          </w:tcPr>
          <w:p w14:paraId="588E555E" w14:textId="0C5D6692" w:rsidR="00812203" w:rsidRPr="00E4265B" w:rsidRDefault="00812203" w:rsidP="00812203">
            <w:pPr>
              <w:pStyle w:val="TitleL5"/>
              <w:ind w:left="0"/>
              <w:rPr>
                <w:rFonts w:ascii="Arial" w:hAnsi="Arial" w:cs="Arial"/>
                <w:sz w:val="22"/>
                <w:szCs w:val="22"/>
                <w:lang w:val="en-GB"/>
              </w:rPr>
            </w:pPr>
          </w:p>
        </w:tc>
        <w:tc>
          <w:tcPr>
            <w:tcW w:w="8550" w:type="dxa"/>
            <w:gridSpan w:val="7"/>
          </w:tcPr>
          <w:p w14:paraId="54778322" w14:textId="5DDC65F0" w:rsidR="00812203" w:rsidRPr="00E4265B" w:rsidRDefault="00812203" w:rsidP="00812203">
            <w:pPr>
              <w:pStyle w:val="TitleL5"/>
              <w:ind w:left="0"/>
              <w:rPr>
                <w:rFonts w:ascii="Arial" w:hAnsi="Arial" w:cs="Arial"/>
                <w:sz w:val="22"/>
                <w:szCs w:val="22"/>
                <w:lang w:val="en-GB"/>
              </w:rPr>
            </w:pPr>
            <w:r w:rsidRPr="00E4265B">
              <w:rPr>
                <w:rFonts w:ascii="Arial" w:hAnsi="Arial" w:cs="Arial"/>
                <w:sz w:val="22"/>
                <w:szCs w:val="22"/>
                <w:lang w:val="en-GB"/>
              </w:rPr>
              <w:t>Category 4</w:t>
            </w:r>
          </w:p>
        </w:tc>
      </w:tr>
      <w:tr w:rsidR="00812203" w:rsidRPr="00E4265B" w14:paraId="1589D1EE" w14:textId="77777777" w:rsidTr="00520DA4">
        <w:tc>
          <w:tcPr>
            <w:tcW w:w="9450" w:type="dxa"/>
            <w:gridSpan w:val="10"/>
          </w:tcPr>
          <w:p w14:paraId="65374CCA" w14:textId="77777777" w:rsidR="00812203" w:rsidRPr="00E4265B" w:rsidRDefault="00812203" w:rsidP="00812203">
            <w:pPr>
              <w:pStyle w:val="Heading4"/>
              <w:rPr>
                <w:rFonts w:ascii="Arial" w:hAnsi="Arial" w:cs="Arial"/>
                <w:sz w:val="22"/>
                <w:szCs w:val="22"/>
              </w:rPr>
            </w:pPr>
            <w:r w:rsidRPr="00E4265B">
              <w:rPr>
                <w:rFonts w:ascii="Arial" w:hAnsi="Arial" w:cs="Arial"/>
                <w:sz w:val="22"/>
                <w:szCs w:val="22"/>
              </w:rPr>
              <w:t>An Authorised Person is in Category 4 if:</w:t>
            </w:r>
          </w:p>
        </w:tc>
      </w:tr>
      <w:tr w:rsidR="00B741C9" w:rsidRPr="00E4265B" w14:paraId="400FF680" w14:textId="77777777" w:rsidTr="00520DA4">
        <w:tc>
          <w:tcPr>
            <w:tcW w:w="900" w:type="dxa"/>
            <w:gridSpan w:val="3"/>
          </w:tcPr>
          <w:p w14:paraId="1D247E62" w14:textId="1132F68D" w:rsidR="00B741C9" w:rsidRPr="00E4265B" w:rsidRDefault="00B741C9" w:rsidP="00B741C9">
            <w:pPr>
              <w:pStyle w:val="Heading5"/>
              <w:numPr>
                <w:ilvl w:val="0"/>
                <w:numId w:val="0"/>
              </w:numPr>
              <w:ind w:left="936"/>
              <w:rPr>
                <w:rFonts w:ascii="Arial" w:hAnsi="Arial" w:cs="Arial"/>
                <w:sz w:val="22"/>
                <w:szCs w:val="22"/>
              </w:rPr>
            </w:pPr>
          </w:p>
        </w:tc>
        <w:tc>
          <w:tcPr>
            <w:tcW w:w="8550" w:type="dxa"/>
            <w:gridSpan w:val="7"/>
          </w:tcPr>
          <w:p w14:paraId="63474431" w14:textId="19C5BA45" w:rsidR="00B741C9" w:rsidRPr="00E4265B" w:rsidRDefault="00B741C9" w:rsidP="002879B2">
            <w:pPr>
              <w:pStyle w:val="Heading5"/>
              <w:tabs>
                <w:tab w:val="clear" w:pos="1656"/>
              </w:tabs>
              <w:ind w:left="702"/>
              <w:rPr>
                <w:rFonts w:ascii="Arial" w:hAnsi="Arial" w:cs="Arial"/>
                <w:sz w:val="22"/>
                <w:szCs w:val="22"/>
              </w:rPr>
            </w:pPr>
            <w:r w:rsidRPr="00E4265B">
              <w:rPr>
                <w:rFonts w:ascii="Arial" w:hAnsi="Arial" w:cs="Arial"/>
                <w:sz w:val="22"/>
                <w:szCs w:val="22"/>
              </w:rPr>
              <w:t>its Financial Services Permission authorises it to carry on one or more of the Regulated Activities of Arranging Credit, Arranging Deals in Investments, Advising on Investments or Credit, Arranging Custody, Insurance Intermediation, Providing Trust Services (where it is not acting as trustee in respect of an express trust), Insurance</w:t>
            </w:r>
            <w:r w:rsidRPr="00E4265B">
              <w:rPr>
                <w:rFonts w:ascii="Arial" w:eastAsia="Arial" w:hAnsi="Arial" w:cs="Arial"/>
                <w:sz w:val="22"/>
                <w:szCs w:val="22"/>
              </w:rPr>
              <w:t xml:space="preserve"> </w:t>
            </w:r>
            <w:r w:rsidRPr="00E4265B">
              <w:rPr>
                <w:rFonts w:ascii="Arial" w:hAnsi="Arial" w:cs="Arial"/>
                <w:sz w:val="22"/>
                <w:szCs w:val="22"/>
              </w:rPr>
              <w:t xml:space="preserve">Management, Acting as the Administrator </w:t>
            </w:r>
            <w:r w:rsidR="002879B2" w:rsidRPr="00E4265B">
              <w:rPr>
                <w:rFonts w:ascii="Arial" w:hAnsi="Arial" w:cs="Arial"/>
                <w:sz w:val="22"/>
                <w:szCs w:val="22"/>
              </w:rPr>
              <w:t xml:space="preserve">of a Collective Investment Fund, </w:t>
            </w:r>
            <w:r w:rsidRPr="00E4265B">
              <w:rPr>
                <w:rFonts w:ascii="Arial" w:hAnsi="Arial" w:cs="Arial"/>
                <w:sz w:val="22"/>
                <w:szCs w:val="22"/>
              </w:rPr>
              <w:t>Operating a Multilateral Trading Facility or Organised Trading Facility</w:t>
            </w:r>
            <w:r w:rsidR="00F82016" w:rsidRPr="00E4265B">
              <w:rPr>
                <w:rFonts w:ascii="Arial" w:hAnsi="Arial" w:cs="Arial"/>
                <w:sz w:val="22"/>
                <w:szCs w:val="22"/>
              </w:rPr>
              <w:t>, Operating a Private Financing Platform</w:t>
            </w:r>
            <w:r w:rsidR="002879B2" w:rsidRPr="00E4265B">
              <w:rPr>
                <w:rFonts w:ascii="Arial" w:hAnsi="Arial" w:cs="Arial"/>
                <w:sz w:val="22"/>
                <w:szCs w:val="22"/>
              </w:rPr>
              <w:t xml:space="preserve"> or Providing Third Party Services</w:t>
            </w:r>
            <w:r w:rsidRPr="00E4265B">
              <w:rPr>
                <w:rFonts w:ascii="Arial" w:hAnsi="Arial" w:cs="Arial"/>
                <w:sz w:val="22"/>
                <w:szCs w:val="22"/>
              </w:rPr>
              <w:t>; and</w:t>
            </w:r>
          </w:p>
        </w:tc>
      </w:tr>
      <w:tr w:rsidR="00B741C9" w:rsidRPr="00E4265B" w14:paraId="5419000A" w14:textId="77777777" w:rsidTr="00520DA4">
        <w:tc>
          <w:tcPr>
            <w:tcW w:w="900" w:type="dxa"/>
            <w:gridSpan w:val="3"/>
          </w:tcPr>
          <w:p w14:paraId="5082BB16" w14:textId="6B293E16" w:rsidR="00B741C9" w:rsidRPr="00E4265B" w:rsidRDefault="00B741C9" w:rsidP="00B741C9">
            <w:pPr>
              <w:pStyle w:val="Heading5"/>
              <w:numPr>
                <w:ilvl w:val="0"/>
                <w:numId w:val="0"/>
              </w:numPr>
              <w:ind w:left="936"/>
              <w:rPr>
                <w:rFonts w:ascii="Arial" w:hAnsi="Arial" w:cs="Arial"/>
                <w:sz w:val="22"/>
                <w:szCs w:val="22"/>
              </w:rPr>
            </w:pPr>
          </w:p>
        </w:tc>
        <w:tc>
          <w:tcPr>
            <w:tcW w:w="8550" w:type="dxa"/>
            <w:gridSpan w:val="7"/>
          </w:tcPr>
          <w:p w14:paraId="3F705927" w14:textId="389D31F1" w:rsidR="00B741C9" w:rsidRPr="00E4265B" w:rsidRDefault="00B741C9" w:rsidP="00B741C9">
            <w:pPr>
              <w:pStyle w:val="Heading5"/>
              <w:tabs>
                <w:tab w:val="clear" w:pos="1656"/>
              </w:tabs>
              <w:ind w:left="702"/>
              <w:rPr>
                <w:rFonts w:ascii="Arial" w:hAnsi="Arial" w:cs="Arial"/>
                <w:sz w:val="22"/>
                <w:szCs w:val="22"/>
              </w:rPr>
            </w:pPr>
            <w:r w:rsidRPr="00E4265B">
              <w:rPr>
                <w:rFonts w:ascii="Arial" w:hAnsi="Arial" w:cs="Arial"/>
                <w:sz w:val="22"/>
                <w:szCs w:val="22"/>
              </w:rPr>
              <w:t>it does not meet the criteria of Categories 1, 2, 3A, 3B, 3C or 5.</w:t>
            </w:r>
          </w:p>
        </w:tc>
      </w:tr>
      <w:tr w:rsidR="00B741C9" w:rsidRPr="00E4265B" w14:paraId="0C910F9E" w14:textId="77777777" w:rsidTr="00520DA4">
        <w:tc>
          <w:tcPr>
            <w:tcW w:w="900" w:type="dxa"/>
            <w:gridSpan w:val="3"/>
          </w:tcPr>
          <w:p w14:paraId="3464B7C1" w14:textId="12E5ED99" w:rsidR="00B741C9" w:rsidRPr="00E4265B" w:rsidRDefault="00B741C9" w:rsidP="00B741C9">
            <w:pPr>
              <w:pStyle w:val="TitleL5"/>
              <w:ind w:left="0"/>
              <w:rPr>
                <w:rFonts w:ascii="Arial" w:hAnsi="Arial" w:cs="Arial"/>
                <w:sz w:val="22"/>
                <w:szCs w:val="22"/>
                <w:lang w:val="en-GB"/>
              </w:rPr>
            </w:pPr>
          </w:p>
        </w:tc>
        <w:tc>
          <w:tcPr>
            <w:tcW w:w="8550" w:type="dxa"/>
            <w:gridSpan w:val="7"/>
          </w:tcPr>
          <w:p w14:paraId="5E23556D" w14:textId="6E2E4B64" w:rsidR="00B741C9" w:rsidRPr="00E4265B" w:rsidRDefault="00B741C9" w:rsidP="00B741C9">
            <w:pPr>
              <w:pStyle w:val="TitleL5"/>
              <w:ind w:left="0"/>
              <w:rPr>
                <w:rFonts w:ascii="Arial" w:hAnsi="Arial" w:cs="Arial"/>
                <w:sz w:val="22"/>
                <w:szCs w:val="22"/>
                <w:lang w:val="en-GB"/>
              </w:rPr>
            </w:pPr>
            <w:r w:rsidRPr="00E4265B">
              <w:rPr>
                <w:rFonts w:ascii="Arial" w:hAnsi="Arial" w:cs="Arial"/>
                <w:sz w:val="22"/>
                <w:szCs w:val="22"/>
                <w:lang w:val="en-GB"/>
              </w:rPr>
              <w:t>Guidance</w:t>
            </w:r>
          </w:p>
        </w:tc>
      </w:tr>
      <w:tr w:rsidR="00B741C9" w:rsidRPr="00E4265B" w14:paraId="03669805" w14:textId="77777777" w:rsidTr="00520DA4">
        <w:tc>
          <w:tcPr>
            <w:tcW w:w="900" w:type="dxa"/>
            <w:gridSpan w:val="3"/>
          </w:tcPr>
          <w:p w14:paraId="5AB1D375" w14:textId="39E109BC" w:rsidR="00B741C9" w:rsidRPr="00E4265B" w:rsidRDefault="00B741C9" w:rsidP="00B741C9">
            <w:pPr>
              <w:pStyle w:val="UK12Block05"/>
              <w:ind w:left="0"/>
              <w:rPr>
                <w:rFonts w:ascii="Arial" w:hAnsi="Arial" w:cs="Arial"/>
                <w:sz w:val="22"/>
                <w:szCs w:val="22"/>
                <w:lang w:val="en-GB"/>
              </w:rPr>
            </w:pPr>
          </w:p>
        </w:tc>
        <w:tc>
          <w:tcPr>
            <w:tcW w:w="8550" w:type="dxa"/>
            <w:gridSpan w:val="7"/>
          </w:tcPr>
          <w:p w14:paraId="3410CBC8" w14:textId="6FCE3569" w:rsidR="00B741C9" w:rsidRPr="00E4265B" w:rsidRDefault="00B741C9" w:rsidP="00B741C9">
            <w:pPr>
              <w:pStyle w:val="UK12Block05"/>
              <w:ind w:left="0"/>
              <w:rPr>
                <w:rFonts w:ascii="Arial" w:hAnsi="Arial" w:cs="Arial"/>
                <w:sz w:val="22"/>
                <w:szCs w:val="22"/>
                <w:lang w:val="en-GB"/>
              </w:rPr>
            </w:pPr>
            <w:r w:rsidRPr="00E4265B">
              <w:rPr>
                <w:rFonts w:ascii="Arial" w:hAnsi="Arial" w:cs="Arial"/>
                <w:sz w:val="22"/>
                <w:szCs w:val="22"/>
                <w:lang w:val="en-GB"/>
              </w:rPr>
              <w:t>An Authorised Person in Category 4 may not be authorised to conduct any other Regulated Activity beyond those listed in Rule 1.3.6(a); if it were so authorised it would belong to another Category.</w:t>
            </w:r>
          </w:p>
        </w:tc>
      </w:tr>
      <w:tr w:rsidR="00B741C9" w:rsidRPr="00E4265B" w14:paraId="3D768914" w14:textId="77777777" w:rsidTr="00520DA4">
        <w:tc>
          <w:tcPr>
            <w:tcW w:w="900" w:type="dxa"/>
            <w:gridSpan w:val="3"/>
          </w:tcPr>
          <w:p w14:paraId="17AC39F7" w14:textId="14B34F4B" w:rsidR="00B741C9" w:rsidRPr="00E4265B" w:rsidRDefault="00B741C9" w:rsidP="00B741C9">
            <w:pPr>
              <w:pStyle w:val="TitleL5"/>
              <w:ind w:left="0"/>
              <w:rPr>
                <w:rFonts w:ascii="Arial" w:hAnsi="Arial" w:cs="Arial"/>
                <w:sz w:val="22"/>
                <w:szCs w:val="22"/>
                <w:lang w:val="en-GB"/>
              </w:rPr>
            </w:pPr>
          </w:p>
        </w:tc>
        <w:tc>
          <w:tcPr>
            <w:tcW w:w="8550" w:type="dxa"/>
            <w:gridSpan w:val="7"/>
          </w:tcPr>
          <w:p w14:paraId="11E29B8F" w14:textId="69551EB2" w:rsidR="00B741C9" w:rsidRPr="00E4265B" w:rsidRDefault="00B741C9" w:rsidP="00B741C9">
            <w:pPr>
              <w:pStyle w:val="TitleL5"/>
              <w:ind w:left="0"/>
              <w:rPr>
                <w:rFonts w:ascii="Arial" w:hAnsi="Arial" w:cs="Arial"/>
                <w:sz w:val="22"/>
                <w:szCs w:val="22"/>
                <w:lang w:val="en-GB"/>
              </w:rPr>
            </w:pPr>
            <w:r w:rsidRPr="00E4265B">
              <w:rPr>
                <w:rFonts w:ascii="Arial" w:hAnsi="Arial" w:cs="Arial"/>
                <w:sz w:val="22"/>
                <w:szCs w:val="22"/>
                <w:lang w:val="en-GB"/>
              </w:rPr>
              <w:t>Category 5</w:t>
            </w:r>
          </w:p>
        </w:tc>
      </w:tr>
      <w:tr w:rsidR="00B741C9" w:rsidRPr="00E4265B" w14:paraId="43A4617C" w14:textId="77777777" w:rsidTr="00520DA4">
        <w:tc>
          <w:tcPr>
            <w:tcW w:w="9450" w:type="dxa"/>
            <w:gridSpan w:val="10"/>
          </w:tcPr>
          <w:p w14:paraId="07758CBA" w14:textId="77777777" w:rsidR="00B741C9" w:rsidRPr="00E4265B" w:rsidRDefault="00B741C9" w:rsidP="00B741C9">
            <w:pPr>
              <w:pStyle w:val="Heading4"/>
              <w:rPr>
                <w:rFonts w:ascii="Arial" w:hAnsi="Arial" w:cs="Arial"/>
                <w:sz w:val="22"/>
                <w:szCs w:val="22"/>
              </w:rPr>
            </w:pPr>
            <w:r w:rsidRPr="00E4265B">
              <w:rPr>
                <w:rFonts w:ascii="Arial" w:hAnsi="Arial" w:cs="Arial"/>
                <w:sz w:val="22"/>
                <w:szCs w:val="22"/>
              </w:rPr>
              <w:t>An Authorised Person is in Category 5 if it:</w:t>
            </w:r>
          </w:p>
        </w:tc>
      </w:tr>
      <w:tr w:rsidR="00B741C9" w:rsidRPr="00E4265B" w14:paraId="7616BB15" w14:textId="77777777" w:rsidTr="00520DA4">
        <w:tc>
          <w:tcPr>
            <w:tcW w:w="900" w:type="dxa"/>
            <w:gridSpan w:val="3"/>
          </w:tcPr>
          <w:p w14:paraId="06F2600E" w14:textId="7CECF9A1" w:rsidR="00B741C9" w:rsidRPr="00E4265B" w:rsidRDefault="00B741C9" w:rsidP="00B741C9">
            <w:pPr>
              <w:pStyle w:val="Heading5"/>
              <w:numPr>
                <w:ilvl w:val="0"/>
                <w:numId w:val="0"/>
              </w:numPr>
              <w:ind w:left="936"/>
              <w:rPr>
                <w:rFonts w:ascii="Arial" w:hAnsi="Arial" w:cs="Arial"/>
                <w:sz w:val="22"/>
                <w:szCs w:val="22"/>
              </w:rPr>
            </w:pPr>
          </w:p>
        </w:tc>
        <w:tc>
          <w:tcPr>
            <w:tcW w:w="8550" w:type="dxa"/>
            <w:gridSpan w:val="7"/>
          </w:tcPr>
          <w:p w14:paraId="143CA871" w14:textId="7ADC1240" w:rsidR="00B741C9" w:rsidRPr="00E4265B" w:rsidRDefault="00B741C9" w:rsidP="00B741C9">
            <w:pPr>
              <w:pStyle w:val="Heading5"/>
              <w:tabs>
                <w:tab w:val="clear" w:pos="1656"/>
              </w:tabs>
              <w:ind w:left="702"/>
              <w:rPr>
                <w:rFonts w:ascii="Arial" w:hAnsi="Arial" w:cs="Arial"/>
                <w:sz w:val="22"/>
                <w:szCs w:val="22"/>
              </w:rPr>
            </w:pPr>
            <w:r w:rsidRPr="00E4265B">
              <w:rPr>
                <w:rFonts w:ascii="Arial" w:hAnsi="Arial" w:cs="Arial"/>
                <w:sz w:val="22"/>
                <w:szCs w:val="22"/>
              </w:rPr>
              <w:t>is an Islamic Financial Institution; and</w:t>
            </w:r>
          </w:p>
        </w:tc>
      </w:tr>
      <w:tr w:rsidR="00B741C9" w:rsidRPr="00E4265B" w14:paraId="5A0885C8" w14:textId="77777777" w:rsidTr="00520DA4">
        <w:tc>
          <w:tcPr>
            <w:tcW w:w="900" w:type="dxa"/>
            <w:gridSpan w:val="3"/>
          </w:tcPr>
          <w:p w14:paraId="505D8EAD" w14:textId="2A318343" w:rsidR="00B741C9" w:rsidRPr="00E4265B" w:rsidRDefault="00B741C9" w:rsidP="00B741C9">
            <w:pPr>
              <w:pStyle w:val="Heading5"/>
              <w:numPr>
                <w:ilvl w:val="0"/>
                <w:numId w:val="0"/>
              </w:numPr>
              <w:ind w:left="936"/>
              <w:rPr>
                <w:rFonts w:ascii="Arial" w:hAnsi="Arial" w:cs="Arial"/>
                <w:sz w:val="22"/>
                <w:szCs w:val="22"/>
              </w:rPr>
            </w:pPr>
          </w:p>
        </w:tc>
        <w:tc>
          <w:tcPr>
            <w:tcW w:w="8550" w:type="dxa"/>
            <w:gridSpan w:val="7"/>
          </w:tcPr>
          <w:p w14:paraId="61141222" w14:textId="67B51370" w:rsidR="00B741C9" w:rsidRPr="00E4265B" w:rsidRDefault="00B741C9" w:rsidP="00B741C9">
            <w:pPr>
              <w:pStyle w:val="Heading5"/>
              <w:tabs>
                <w:tab w:val="clear" w:pos="1656"/>
              </w:tabs>
              <w:ind w:left="702"/>
              <w:rPr>
                <w:rFonts w:ascii="Arial" w:hAnsi="Arial" w:cs="Arial"/>
                <w:sz w:val="22"/>
                <w:szCs w:val="22"/>
              </w:rPr>
            </w:pPr>
            <w:r w:rsidRPr="00E4265B">
              <w:rPr>
                <w:rFonts w:ascii="Arial" w:hAnsi="Arial" w:cs="Arial"/>
                <w:sz w:val="22"/>
                <w:szCs w:val="22"/>
              </w:rPr>
              <w:t>Manages a Profit Sharing Investment Account which is a PSIAu.</w:t>
            </w:r>
          </w:p>
        </w:tc>
      </w:tr>
      <w:tr w:rsidR="00B741C9" w:rsidRPr="00E4265B" w14:paraId="0AF22E5B" w14:textId="77777777" w:rsidTr="00520DA4">
        <w:tc>
          <w:tcPr>
            <w:tcW w:w="9450" w:type="dxa"/>
            <w:gridSpan w:val="10"/>
          </w:tcPr>
          <w:p w14:paraId="140124EC" w14:textId="77777777" w:rsidR="00B741C9" w:rsidRPr="00E4265B" w:rsidRDefault="00B741C9" w:rsidP="00B741C9">
            <w:pPr>
              <w:pStyle w:val="Heading4"/>
              <w:rPr>
                <w:rFonts w:ascii="Arial" w:hAnsi="Arial" w:cs="Arial"/>
                <w:sz w:val="22"/>
                <w:szCs w:val="22"/>
              </w:rPr>
            </w:pPr>
            <w:r w:rsidRPr="00E4265B">
              <w:rPr>
                <w:rFonts w:ascii="Arial" w:hAnsi="Arial" w:cs="Arial"/>
                <w:sz w:val="22"/>
                <w:szCs w:val="22"/>
              </w:rPr>
              <w:t xml:space="preserve">Authorised Persons which carry out Regulated Activities other than and in addition to Islamic Financial Business will be required to comply with the relevant capital requirements which apply to those Regulated Activities. </w:t>
            </w:r>
          </w:p>
        </w:tc>
      </w:tr>
      <w:tr w:rsidR="00B741C9" w:rsidRPr="00E4265B" w14:paraId="124518F0" w14:textId="77777777" w:rsidTr="00520DA4">
        <w:tc>
          <w:tcPr>
            <w:tcW w:w="900" w:type="dxa"/>
            <w:gridSpan w:val="3"/>
          </w:tcPr>
          <w:p w14:paraId="44E28CEC" w14:textId="4F0E47A9" w:rsidR="00B741C9" w:rsidRPr="00E4265B" w:rsidRDefault="00B741C9" w:rsidP="00B741C9">
            <w:pPr>
              <w:pStyle w:val="TitleL5"/>
              <w:ind w:left="0"/>
              <w:rPr>
                <w:rFonts w:ascii="Arial" w:hAnsi="Arial" w:cs="Arial"/>
                <w:sz w:val="22"/>
                <w:szCs w:val="22"/>
                <w:lang w:val="en-GB"/>
              </w:rPr>
            </w:pPr>
          </w:p>
        </w:tc>
        <w:tc>
          <w:tcPr>
            <w:tcW w:w="8550" w:type="dxa"/>
            <w:gridSpan w:val="7"/>
          </w:tcPr>
          <w:p w14:paraId="07E90A84" w14:textId="71DFF216" w:rsidR="00B741C9" w:rsidRPr="00E4265B" w:rsidRDefault="00B741C9" w:rsidP="00B741C9">
            <w:pPr>
              <w:pStyle w:val="TitleL5"/>
              <w:ind w:left="0"/>
              <w:rPr>
                <w:rFonts w:ascii="Arial" w:hAnsi="Arial" w:cs="Arial"/>
                <w:sz w:val="22"/>
                <w:szCs w:val="22"/>
                <w:lang w:val="en-GB"/>
              </w:rPr>
            </w:pPr>
            <w:r w:rsidRPr="00E4265B">
              <w:rPr>
                <w:rFonts w:ascii="Arial" w:hAnsi="Arial" w:cs="Arial"/>
                <w:sz w:val="22"/>
                <w:szCs w:val="22"/>
                <w:lang w:val="en-GB"/>
              </w:rPr>
              <w:t>Guidance</w:t>
            </w:r>
          </w:p>
        </w:tc>
      </w:tr>
      <w:tr w:rsidR="00B741C9" w:rsidRPr="00E4265B" w14:paraId="77640CCC" w14:textId="77777777" w:rsidTr="00520DA4">
        <w:tc>
          <w:tcPr>
            <w:tcW w:w="900" w:type="dxa"/>
            <w:gridSpan w:val="3"/>
          </w:tcPr>
          <w:p w14:paraId="6EB673AB" w14:textId="7D693E8D" w:rsidR="00B741C9" w:rsidRPr="00E4265B" w:rsidRDefault="00B741C9" w:rsidP="00B741C9">
            <w:pPr>
              <w:pStyle w:val="UK12Block05"/>
              <w:ind w:left="0"/>
              <w:rPr>
                <w:rFonts w:ascii="Arial" w:hAnsi="Arial" w:cs="Arial"/>
                <w:sz w:val="22"/>
                <w:szCs w:val="22"/>
                <w:lang w:val="en-GB"/>
              </w:rPr>
            </w:pPr>
          </w:p>
        </w:tc>
        <w:tc>
          <w:tcPr>
            <w:tcW w:w="8550" w:type="dxa"/>
            <w:gridSpan w:val="7"/>
          </w:tcPr>
          <w:p w14:paraId="7FDA5E64" w14:textId="55974869" w:rsidR="00B741C9" w:rsidRPr="00E4265B" w:rsidRDefault="00B741C9" w:rsidP="00B741C9">
            <w:pPr>
              <w:pStyle w:val="UK12Block05"/>
              <w:ind w:left="0"/>
              <w:rPr>
                <w:rFonts w:ascii="Arial" w:hAnsi="Arial" w:cs="Arial"/>
                <w:sz w:val="22"/>
                <w:szCs w:val="22"/>
                <w:lang w:val="en-GB"/>
              </w:rPr>
            </w:pPr>
            <w:r w:rsidRPr="00E4265B">
              <w:rPr>
                <w:rFonts w:ascii="Arial" w:hAnsi="Arial" w:cs="Arial"/>
                <w:sz w:val="22"/>
                <w:szCs w:val="22"/>
                <w:lang w:val="en-GB"/>
              </w:rPr>
              <w:t xml:space="preserve">Authorised Persons in Categories 1 to 4 may also carry out Islamic Financial Business, but only those Authorised Persons in Categories 1 or 5 may Manage a Profit Sharing Investment Account which is a PSIAu. They will not fall within Category 5 unless the whole of the business is conducted in accordance with Shari'a and they Manage a Profit Sharing Investment Account which is a PSIAu, carry on Islamic Financial Business or carry out Shari’a-compliant Regulated Activities. </w:t>
            </w:r>
          </w:p>
        </w:tc>
      </w:tr>
      <w:tr w:rsidR="00EC7592" w:rsidRPr="00E4265B" w14:paraId="23FE2226" w14:textId="77777777" w:rsidTr="00520DA4">
        <w:trPr>
          <w:gridAfter w:val="1"/>
          <w:wAfter w:w="72" w:type="dxa"/>
        </w:trPr>
        <w:tc>
          <w:tcPr>
            <w:tcW w:w="9378" w:type="dxa"/>
            <w:gridSpan w:val="9"/>
          </w:tcPr>
          <w:p w14:paraId="22B20F35" w14:textId="77777777" w:rsidR="00EC7592" w:rsidRPr="00E4265B" w:rsidRDefault="00EC7592" w:rsidP="00EC7592">
            <w:pPr>
              <w:pStyle w:val="Heading1"/>
              <w:rPr>
                <w:rFonts w:ascii="Arial" w:hAnsi="Arial" w:cs="Arial"/>
                <w:sz w:val="22"/>
                <w:szCs w:val="22"/>
                <w:lang w:val="en-GB"/>
              </w:rPr>
            </w:pPr>
            <w:bookmarkStart w:id="41" w:name="_Toc403223910"/>
            <w:bookmarkStart w:id="42" w:name="_Toc403253948"/>
            <w:bookmarkStart w:id="43" w:name="_Toc403254095"/>
            <w:bookmarkStart w:id="44" w:name="_Toc403273348"/>
            <w:bookmarkStart w:id="45" w:name="_Toc403273497"/>
            <w:bookmarkStart w:id="46" w:name="_Toc403274456"/>
            <w:bookmarkStart w:id="47" w:name="_Toc403279952"/>
            <w:bookmarkStart w:id="48" w:name="_Toc404285752"/>
            <w:bookmarkStart w:id="49" w:name="_Toc404621701"/>
            <w:bookmarkStart w:id="50" w:name="_Toc404624342"/>
            <w:bookmarkStart w:id="51" w:name="_Toc33622364"/>
            <w:r w:rsidRPr="00E4265B">
              <w:rPr>
                <w:rFonts w:ascii="Arial" w:hAnsi="Arial" w:cs="Arial"/>
                <w:sz w:val="22"/>
                <w:szCs w:val="22"/>
                <w:lang w:val="en-GB"/>
              </w:rPr>
              <w:t>GENERAL REQUIREMENTS</w:t>
            </w:r>
            <w:bookmarkEnd w:id="41"/>
            <w:bookmarkEnd w:id="42"/>
            <w:bookmarkEnd w:id="43"/>
            <w:bookmarkEnd w:id="44"/>
            <w:bookmarkEnd w:id="45"/>
            <w:bookmarkEnd w:id="46"/>
            <w:bookmarkEnd w:id="47"/>
            <w:bookmarkEnd w:id="48"/>
            <w:bookmarkEnd w:id="49"/>
            <w:bookmarkEnd w:id="50"/>
            <w:bookmarkEnd w:id="51"/>
          </w:p>
        </w:tc>
      </w:tr>
      <w:tr w:rsidR="00EC7592" w:rsidRPr="00E4265B" w14:paraId="6B9ABC7F" w14:textId="77777777" w:rsidTr="00520DA4">
        <w:trPr>
          <w:gridAfter w:val="1"/>
          <w:wAfter w:w="72" w:type="dxa"/>
        </w:trPr>
        <w:tc>
          <w:tcPr>
            <w:tcW w:w="990" w:type="dxa"/>
            <w:gridSpan w:val="4"/>
          </w:tcPr>
          <w:p w14:paraId="6DCEF640" w14:textId="21B2DE82" w:rsidR="00EC7592" w:rsidRPr="00E4265B" w:rsidRDefault="00EC7592" w:rsidP="00EC7592">
            <w:pPr>
              <w:pStyle w:val="TitleL5"/>
              <w:ind w:left="0"/>
              <w:rPr>
                <w:rFonts w:ascii="Arial" w:hAnsi="Arial" w:cs="Arial"/>
                <w:sz w:val="22"/>
                <w:szCs w:val="22"/>
                <w:lang w:val="en-GB"/>
              </w:rPr>
            </w:pPr>
          </w:p>
        </w:tc>
        <w:tc>
          <w:tcPr>
            <w:tcW w:w="8388" w:type="dxa"/>
            <w:gridSpan w:val="5"/>
          </w:tcPr>
          <w:p w14:paraId="6770C0A1" w14:textId="7A7BF6F5" w:rsidR="00EC7592" w:rsidRPr="00E4265B" w:rsidRDefault="00EC7592" w:rsidP="00EC7592">
            <w:pPr>
              <w:pStyle w:val="TitleL5"/>
              <w:ind w:left="0"/>
              <w:rPr>
                <w:rFonts w:ascii="Arial" w:hAnsi="Arial" w:cs="Arial"/>
                <w:sz w:val="22"/>
                <w:szCs w:val="22"/>
                <w:lang w:val="en-GB"/>
              </w:rPr>
            </w:pPr>
            <w:r w:rsidRPr="00E4265B">
              <w:rPr>
                <w:rFonts w:ascii="Arial" w:hAnsi="Arial" w:cs="Arial"/>
                <w:sz w:val="22"/>
                <w:szCs w:val="22"/>
                <w:lang w:val="en-GB"/>
              </w:rPr>
              <w:t>Introduction</w:t>
            </w:r>
          </w:p>
        </w:tc>
      </w:tr>
      <w:tr w:rsidR="00EC7592" w:rsidRPr="00E4265B" w14:paraId="3486DBBB" w14:textId="77777777" w:rsidTr="00520DA4">
        <w:trPr>
          <w:gridAfter w:val="1"/>
          <w:wAfter w:w="72" w:type="dxa"/>
        </w:trPr>
        <w:tc>
          <w:tcPr>
            <w:tcW w:w="990" w:type="dxa"/>
            <w:gridSpan w:val="4"/>
          </w:tcPr>
          <w:p w14:paraId="5E2F5DF8" w14:textId="660ED932" w:rsidR="00EC7592" w:rsidRPr="00E4265B" w:rsidRDefault="00EC7592" w:rsidP="00EC7592">
            <w:pPr>
              <w:pStyle w:val="TitleL5"/>
              <w:ind w:left="0"/>
              <w:rPr>
                <w:rFonts w:ascii="Arial" w:hAnsi="Arial" w:cs="Arial"/>
                <w:sz w:val="22"/>
                <w:szCs w:val="22"/>
                <w:lang w:val="en-GB"/>
              </w:rPr>
            </w:pPr>
          </w:p>
        </w:tc>
        <w:tc>
          <w:tcPr>
            <w:tcW w:w="8388" w:type="dxa"/>
            <w:gridSpan w:val="5"/>
          </w:tcPr>
          <w:p w14:paraId="2A3E5670" w14:textId="00BE1D9A" w:rsidR="00EC7592" w:rsidRPr="00E4265B" w:rsidRDefault="00EC7592" w:rsidP="00EC7592">
            <w:pPr>
              <w:pStyle w:val="TitleL5"/>
              <w:ind w:left="0"/>
              <w:rPr>
                <w:rFonts w:ascii="Arial" w:hAnsi="Arial" w:cs="Arial"/>
                <w:sz w:val="22"/>
                <w:szCs w:val="22"/>
                <w:lang w:val="en-GB"/>
              </w:rPr>
            </w:pPr>
            <w:r w:rsidRPr="00E4265B">
              <w:rPr>
                <w:rFonts w:ascii="Arial" w:hAnsi="Arial" w:cs="Arial"/>
                <w:sz w:val="22"/>
                <w:szCs w:val="22"/>
                <w:lang w:val="en-GB"/>
              </w:rPr>
              <w:t>Guidance</w:t>
            </w:r>
          </w:p>
        </w:tc>
      </w:tr>
      <w:tr w:rsidR="00EC7592" w:rsidRPr="00E4265B" w14:paraId="3D9D08DE" w14:textId="77777777" w:rsidTr="00520DA4">
        <w:trPr>
          <w:gridAfter w:val="1"/>
          <w:wAfter w:w="72" w:type="dxa"/>
        </w:trPr>
        <w:tc>
          <w:tcPr>
            <w:tcW w:w="990" w:type="dxa"/>
            <w:gridSpan w:val="4"/>
          </w:tcPr>
          <w:p w14:paraId="20F34C17" w14:textId="62AF474D" w:rsidR="00EC7592" w:rsidRPr="00E4265B" w:rsidRDefault="00EC7592" w:rsidP="00EC7592">
            <w:pPr>
              <w:pStyle w:val="UK12Block05"/>
              <w:ind w:left="0"/>
              <w:rPr>
                <w:rFonts w:ascii="Arial" w:hAnsi="Arial" w:cs="Arial"/>
                <w:sz w:val="22"/>
                <w:szCs w:val="22"/>
                <w:lang w:val="en-GB"/>
              </w:rPr>
            </w:pPr>
          </w:p>
        </w:tc>
        <w:tc>
          <w:tcPr>
            <w:tcW w:w="8388" w:type="dxa"/>
            <w:gridSpan w:val="5"/>
          </w:tcPr>
          <w:p w14:paraId="34A874FE" w14:textId="18825585" w:rsidR="00EC7592" w:rsidRPr="00E4265B" w:rsidRDefault="00EC7592" w:rsidP="00EC7592">
            <w:pPr>
              <w:pStyle w:val="UK12Block05"/>
              <w:ind w:left="0"/>
              <w:rPr>
                <w:rFonts w:ascii="Arial" w:hAnsi="Arial" w:cs="Arial"/>
                <w:sz w:val="22"/>
                <w:szCs w:val="22"/>
                <w:lang w:val="en-GB"/>
              </w:rPr>
            </w:pPr>
            <w:r w:rsidRPr="00E4265B">
              <w:rPr>
                <w:rFonts w:ascii="Arial" w:hAnsi="Arial" w:cs="Arial"/>
                <w:sz w:val="22"/>
                <w:szCs w:val="22"/>
                <w:lang w:val="en-GB"/>
              </w:rPr>
              <w:t>This Chapter details the threshold conditions for the mandatory maintenance of a Trading Book, periodic prudential reporting requirements to the Regulator, and guidance on prudent valuation practices. App2 includes detailed Rules on the positions to be included in the Trading Book, the valuation of such positions, prudent valuation practices and associated issues related to the identification and treatment of Trading Book positions. App2 also specifies the Regulator's expectations with regard to the need for a documented Trading Book policy and risk management systems and controls for the Trading Book. App2 also presents in a tabulated format, detailed specifications on periodic prudential reporting requirements for different categories of Authorised Persons.</w:t>
            </w:r>
          </w:p>
        </w:tc>
      </w:tr>
      <w:tr w:rsidR="00EC7592" w:rsidRPr="00E4265B" w14:paraId="1AF2164D" w14:textId="77777777" w:rsidTr="00520DA4">
        <w:trPr>
          <w:gridAfter w:val="1"/>
          <w:wAfter w:w="72" w:type="dxa"/>
        </w:trPr>
        <w:tc>
          <w:tcPr>
            <w:tcW w:w="9378" w:type="dxa"/>
            <w:gridSpan w:val="9"/>
          </w:tcPr>
          <w:p w14:paraId="4C6A0942" w14:textId="6EC9D560" w:rsidR="00EC7592" w:rsidRPr="00E4265B" w:rsidRDefault="00EC7592" w:rsidP="00EC7592">
            <w:pPr>
              <w:pStyle w:val="Heading3"/>
              <w:rPr>
                <w:rFonts w:ascii="Arial" w:hAnsi="Arial" w:cs="Arial"/>
                <w:sz w:val="22"/>
                <w:szCs w:val="22"/>
              </w:rPr>
            </w:pPr>
            <w:bookmarkStart w:id="52" w:name="_Toc403223911"/>
            <w:bookmarkStart w:id="53" w:name="_Toc403253949"/>
            <w:bookmarkStart w:id="54" w:name="_Toc403273349"/>
            <w:bookmarkStart w:id="55" w:name="_Toc403273498"/>
            <w:bookmarkStart w:id="56" w:name="_Toc403274457"/>
            <w:bookmarkStart w:id="57" w:name="_Toc403279953"/>
            <w:bookmarkStart w:id="58" w:name="_Toc404285753"/>
            <w:bookmarkStart w:id="59" w:name="_Toc404621702"/>
            <w:bookmarkStart w:id="60" w:name="_Toc404624343"/>
            <w:bookmarkStart w:id="61" w:name="_Toc33622365"/>
            <w:r w:rsidRPr="00E4265B">
              <w:rPr>
                <w:rFonts w:ascii="Arial" w:hAnsi="Arial" w:cs="Arial"/>
                <w:sz w:val="22"/>
                <w:szCs w:val="22"/>
              </w:rPr>
              <w:t>Application</w:t>
            </w:r>
            <w:bookmarkEnd w:id="52"/>
            <w:bookmarkEnd w:id="53"/>
            <w:bookmarkEnd w:id="54"/>
            <w:bookmarkEnd w:id="55"/>
            <w:bookmarkEnd w:id="56"/>
            <w:bookmarkEnd w:id="57"/>
            <w:bookmarkEnd w:id="58"/>
            <w:bookmarkEnd w:id="59"/>
            <w:bookmarkEnd w:id="60"/>
            <w:bookmarkEnd w:id="61"/>
          </w:p>
        </w:tc>
      </w:tr>
      <w:tr w:rsidR="00EC7592" w:rsidRPr="00E4265B" w14:paraId="585F9B8B" w14:textId="77777777" w:rsidTr="00520DA4">
        <w:trPr>
          <w:gridAfter w:val="1"/>
          <w:wAfter w:w="72" w:type="dxa"/>
        </w:trPr>
        <w:tc>
          <w:tcPr>
            <w:tcW w:w="9378" w:type="dxa"/>
            <w:gridSpan w:val="9"/>
          </w:tcPr>
          <w:p w14:paraId="544E3BF9" w14:textId="77777777" w:rsidR="00EC7592" w:rsidRPr="00E4265B" w:rsidRDefault="00EC7592" w:rsidP="00EC7592">
            <w:pPr>
              <w:pStyle w:val="Heading4"/>
              <w:rPr>
                <w:rFonts w:ascii="Arial" w:hAnsi="Arial" w:cs="Arial"/>
                <w:sz w:val="22"/>
                <w:szCs w:val="22"/>
              </w:rPr>
            </w:pPr>
            <w:r w:rsidRPr="00E4265B">
              <w:rPr>
                <w:rFonts w:ascii="Arial" w:hAnsi="Arial" w:cs="Arial"/>
                <w:sz w:val="22"/>
                <w:szCs w:val="22"/>
              </w:rPr>
              <w:t>This Chapter applies to an Authorised Person in any Category.</w:t>
            </w:r>
          </w:p>
        </w:tc>
      </w:tr>
      <w:tr w:rsidR="00EC7592" w:rsidRPr="00E4265B" w14:paraId="15056E45" w14:textId="77777777" w:rsidTr="00520DA4">
        <w:trPr>
          <w:gridAfter w:val="1"/>
          <w:wAfter w:w="72" w:type="dxa"/>
        </w:trPr>
        <w:tc>
          <w:tcPr>
            <w:tcW w:w="9378" w:type="dxa"/>
            <w:gridSpan w:val="9"/>
          </w:tcPr>
          <w:p w14:paraId="66DF0666" w14:textId="573BABC1" w:rsidR="00EC7592" w:rsidRPr="00E4265B" w:rsidRDefault="00EC7592" w:rsidP="00EC7592">
            <w:pPr>
              <w:pStyle w:val="Heading3"/>
              <w:rPr>
                <w:rFonts w:ascii="Arial" w:hAnsi="Arial" w:cs="Arial"/>
                <w:sz w:val="22"/>
                <w:szCs w:val="22"/>
              </w:rPr>
            </w:pPr>
            <w:bookmarkStart w:id="62" w:name="_Toc403223912"/>
            <w:bookmarkStart w:id="63" w:name="_Toc403253950"/>
            <w:bookmarkStart w:id="64" w:name="_Toc403273350"/>
            <w:bookmarkStart w:id="65" w:name="_Toc403273499"/>
            <w:bookmarkStart w:id="66" w:name="_Toc403274458"/>
            <w:bookmarkStart w:id="67" w:name="_Toc403279954"/>
            <w:bookmarkStart w:id="68" w:name="_Toc404285754"/>
            <w:bookmarkStart w:id="69" w:name="_Toc404621703"/>
            <w:bookmarkStart w:id="70" w:name="_Toc404624344"/>
            <w:bookmarkStart w:id="71" w:name="_Toc33622366"/>
            <w:r w:rsidRPr="00E4265B">
              <w:rPr>
                <w:rFonts w:ascii="Arial" w:hAnsi="Arial" w:cs="Arial"/>
                <w:sz w:val="22"/>
                <w:szCs w:val="22"/>
              </w:rPr>
              <w:t>Trading Book</w:t>
            </w:r>
            <w:bookmarkEnd w:id="62"/>
            <w:bookmarkEnd w:id="63"/>
            <w:bookmarkEnd w:id="64"/>
            <w:bookmarkEnd w:id="65"/>
            <w:bookmarkEnd w:id="66"/>
            <w:bookmarkEnd w:id="67"/>
            <w:bookmarkEnd w:id="68"/>
            <w:bookmarkEnd w:id="69"/>
            <w:bookmarkEnd w:id="70"/>
            <w:bookmarkEnd w:id="71"/>
          </w:p>
        </w:tc>
      </w:tr>
      <w:tr w:rsidR="00EC7592" w:rsidRPr="00E4265B" w14:paraId="736746D0" w14:textId="77777777" w:rsidTr="00520DA4">
        <w:trPr>
          <w:gridAfter w:val="1"/>
          <w:wAfter w:w="72" w:type="dxa"/>
        </w:trPr>
        <w:tc>
          <w:tcPr>
            <w:tcW w:w="9378" w:type="dxa"/>
            <w:gridSpan w:val="9"/>
          </w:tcPr>
          <w:p w14:paraId="0C64002C" w14:textId="77777777" w:rsidR="00EC7592" w:rsidRPr="00E4265B" w:rsidRDefault="00EC7592" w:rsidP="00EC7592">
            <w:pPr>
              <w:pStyle w:val="Heading4"/>
              <w:rPr>
                <w:rFonts w:ascii="Arial" w:hAnsi="Arial" w:cs="Arial"/>
                <w:sz w:val="22"/>
                <w:szCs w:val="22"/>
              </w:rPr>
            </w:pPr>
            <w:r w:rsidRPr="00E4265B">
              <w:rPr>
                <w:rFonts w:ascii="Arial" w:hAnsi="Arial" w:cs="Arial"/>
                <w:sz w:val="22"/>
                <w:szCs w:val="22"/>
              </w:rPr>
              <w:t>An Authorised Person must have a Trading Book if:</w:t>
            </w:r>
          </w:p>
        </w:tc>
      </w:tr>
      <w:tr w:rsidR="00EC7592" w:rsidRPr="00E4265B" w14:paraId="1AA1454E" w14:textId="77777777" w:rsidTr="00520DA4">
        <w:trPr>
          <w:gridAfter w:val="1"/>
          <w:wAfter w:w="72" w:type="dxa"/>
        </w:trPr>
        <w:tc>
          <w:tcPr>
            <w:tcW w:w="990" w:type="dxa"/>
            <w:gridSpan w:val="4"/>
          </w:tcPr>
          <w:p w14:paraId="69ED04F1" w14:textId="5FBF8BE0" w:rsidR="00EC7592" w:rsidRPr="00E4265B" w:rsidRDefault="00EC7592" w:rsidP="00EC7592">
            <w:pPr>
              <w:pStyle w:val="Heading5"/>
              <w:numPr>
                <w:ilvl w:val="0"/>
                <w:numId w:val="0"/>
              </w:numPr>
              <w:ind w:left="936"/>
              <w:rPr>
                <w:rFonts w:ascii="Arial" w:hAnsi="Arial" w:cs="Arial"/>
                <w:sz w:val="22"/>
                <w:szCs w:val="22"/>
              </w:rPr>
            </w:pPr>
          </w:p>
        </w:tc>
        <w:tc>
          <w:tcPr>
            <w:tcW w:w="8388" w:type="dxa"/>
            <w:gridSpan w:val="5"/>
          </w:tcPr>
          <w:p w14:paraId="5C14878E" w14:textId="35C7F65B" w:rsidR="00EC7592" w:rsidRPr="00E4265B" w:rsidRDefault="00EC7592" w:rsidP="00B572B2">
            <w:pPr>
              <w:pStyle w:val="Heading5"/>
              <w:tabs>
                <w:tab w:val="clear" w:pos="1656"/>
                <w:tab w:val="num" w:pos="1332"/>
              </w:tabs>
              <w:ind w:left="702"/>
              <w:rPr>
                <w:rFonts w:ascii="Arial" w:hAnsi="Arial" w:cs="Arial"/>
                <w:sz w:val="22"/>
                <w:szCs w:val="22"/>
              </w:rPr>
            </w:pPr>
            <w:r w:rsidRPr="00E4265B">
              <w:rPr>
                <w:rFonts w:ascii="Arial" w:hAnsi="Arial" w:cs="Arial"/>
                <w:sz w:val="22"/>
                <w:szCs w:val="22"/>
              </w:rPr>
              <w:t>it has positions that must be included in a Trading Book in accordance with Section A2.1 of App2;</w:t>
            </w:r>
          </w:p>
        </w:tc>
      </w:tr>
      <w:tr w:rsidR="00EC7592" w:rsidRPr="00E4265B" w14:paraId="05D13B29" w14:textId="77777777" w:rsidTr="00520DA4">
        <w:trPr>
          <w:gridAfter w:val="1"/>
          <w:wAfter w:w="72" w:type="dxa"/>
        </w:trPr>
        <w:tc>
          <w:tcPr>
            <w:tcW w:w="990" w:type="dxa"/>
            <w:gridSpan w:val="4"/>
          </w:tcPr>
          <w:p w14:paraId="7A60026B" w14:textId="5265F920" w:rsidR="00EC7592" w:rsidRPr="00E4265B" w:rsidRDefault="00EC7592" w:rsidP="00EC7592">
            <w:pPr>
              <w:pStyle w:val="Heading5"/>
              <w:numPr>
                <w:ilvl w:val="0"/>
                <w:numId w:val="0"/>
              </w:numPr>
              <w:ind w:left="936"/>
              <w:rPr>
                <w:rFonts w:ascii="Arial" w:hAnsi="Arial" w:cs="Arial"/>
                <w:sz w:val="22"/>
                <w:szCs w:val="22"/>
              </w:rPr>
            </w:pPr>
          </w:p>
        </w:tc>
        <w:tc>
          <w:tcPr>
            <w:tcW w:w="8388" w:type="dxa"/>
            <w:gridSpan w:val="5"/>
          </w:tcPr>
          <w:p w14:paraId="37EC7856" w14:textId="5342C89D" w:rsidR="00EC7592" w:rsidRPr="00E4265B" w:rsidRDefault="00EC7592" w:rsidP="00B572B2">
            <w:pPr>
              <w:pStyle w:val="Heading5"/>
              <w:tabs>
                <w:tab w:val="clear" w:pos="1656"/>
                <w:tab w:val="num" w:pos="1332"/>
              </w:tabs>
              <w:ind w:left="702"/>
              <w:rPr>
                <w:rFonts w:ascii="Arial" w:hAnsi="Arial" w:cs="Arial"/>
                <w:sz w:val="22"/>
                <w:szCs w:val="22"/>
              </w:rPr>
            </w:pPr>
            <w:r w:rsidRPr="00E4265B">
              <w:rPr>
                <w:rFonts w:ascii="Arial" w:hAnsi="Arial" w:cs="Arial"/>
                <w:sz w:val="22"/>
                <w:szCs w:val="22"/>
              </w:rPr>
              <w:t>those positions are held with trading intent in accordance with Rule A2.1.5; and</w:t>
            </w:r>
          </w:p>
        </w:tc>
      </w:tr>
      <w:tr w:rsidR="00EC7592" w:rsidRPr="00E4265B" w14:paraId="4B80BD31" w14:textId="77777777" w:rsidTr="00520DA4">
        <w:trPr>
          <w:gridAfter w:val="1"/>
          <w:wAfter w:w="72" w:type="dxa"/>
        </w:trPr>
        <w:tc>
          <w:tcPr>
            <w:tcW w:w="990" w:type="dxa"/>
            <w:gridSpan w:val="4"/>
          </w:tcPr>
          <w:p w14:paraId="3B77187D" w14:textId="2D1317EB" w:rsidR="00EC7592" w:rsidRPr="00E4265B" w:rsidRDefault="00EC7592" w:rsidP="00EC7592">
            <w:pPr>
              <w:pStyle w:val="Heading5"/>
              <w:numPr>
                <w:ilvl w:val="0"/>
                <w:numId w:val="0"/>
              </w:numPr>
              <w:ind w:left="936"/>
              <w:rPr>
                <w:rFonts w:ascii="Arial" w:hAnsi="Arial" w:cs="Arial"/>
                <w:sz w:val="22"/>
                <w:szCs w:val="22"/>
              </w:rPr>
            </w:pPr>
          </w:p>
        </w:tc>
        <w:tc>
          <w:tcPr>
            <w:tcW w:w="8388" w:type="dxa"/>
            <w:gridSpan w:val="5"/>
          </w:tcPr>
          <w:p w14:paraId="46D7450C" w14:textId="44171AC8" w:rsidR="00EC7592" w:rsidRPr="00E4265B" w:rsidRDefault="00EC7592" w:rsidP="00B572B2">
            <w:pPr>
              <w:pStyle w:val="Heading5"/>
              <w:tabs>
                <w:tab w:val="clear" w:pos="1656"/>
                <w:tab w:val="num" w:pos="1332"/>
              </w:tabs>
              <w:ind w:left="702"/>
              <w:rPr>
                <w:rFonts w:ascii="Arial" w:hAnsi="Arial" w:cs="Arial"/>
                <w:sz w:val="22"/>
                <w:szCs w:val="22"/>
              </w:rPr>
            </w:pPr>
            <w:r w:rsidRPr="00E4265B">
              <w:rPr>
                <w:rFonts w:ascii="Arial" w:hAnsi="Arial" w:cs="Arial"/>
                <w:sz w:val="22"/>
                <w:szCs w:val="22"/>
              </w:rPr>
              <w:t>the total value of the positions eligible for inclusion in the Trading Book pursuant to (a) and (b):</w:t>
            </w:r>
          </w:p>
        </w:tc>
      </w:tr>
      <w:tr w:rsidR="00B572B2" w:rsidRPr="00E4265B" w14:paraId="4933222B" w14:textId="77777777" w:rsidTr="00520DA4">
        <w:trPr>
          <w:gridAfter w:val="1"/>
          <w:wAfter w:w="72" w:type="dxa"/>
        </w:trPr>
        <w:tc>
          <w:tcPr>
            <w:tcW w:w="485" w:type="dxa"/>
          </w:tcPr>
          <w:p w14:paraId="747B19CD" w14:textId="4754A584" w:rsidR="00B572B2" w:rsidRPr="00E4265B" w:rsidRDefault="00B572B2" w:rsidP="00B572B2">
            <w:pPr>
              <w:pStyle w:val="Heading6"/>
              <w:numPr>
                <w:ilvl w:val="0"/>
                <w:numId w:val="0"/>
              </w:numPr>
              <w:ind w:left="1710"/>
              <w:rPr>
                <w:rFonts w:ascii="Arial" w:hAnsi="Arial" w:cs="Arial"/>
                <w:sz w:val="22"/>
                <w:szCs w:val="22"/>
              </w:rPr>
            </w:pPr>
          </w:p>
        </w:tc>
        <w:tc>
          <w:tcPr>
            <w:tcW w:w="505" w:type="dxa"/>
            <w:gridSpan w:val="3"/>
          </w:tcPr>
          <w:p w14:paraId="3199CAFB" w14:textId="77777777" w:rsidR="00B572B2" w:rsidRPr="00E4265B" w:rsidRDefault="00B572B2" w:rsidP="00B572B2">
            <w:pPr>
              <w:pStyle w:val="Heading6"/>
              <w:numPr>
                <w:ilvl w:val="0"/>
                <w:numId w:val="0"/>
              </w:numPr>
              <w:ind w:left="1656"/>
              <w:rPr>
                <w:rFonts w:ascii="Arial" w:hAnsi="Arial" w:cs="Arial"/>
                <w:sz w:val="22"/>
                <w:szCs w:val="22"/>
              </w:rPr>
            </w:pPr>
          </w:p>
        </w:tc>
        <w:tc>
          <w:tcPr>
            <w:tcW w:w="8388" w:type="dxa"/>
            <w:gridSpan w:val="5"/>
          </w:tcPr>
          <w:p w14:paraId="24E6E6DB" w14:textId="3577378B" w:rsidR="00B572B2" w:rsidRPr="00E4265B" w:rsidRDefault="00B572B2" w:rsidP="00B572B2">
            <w:pPr>
              <w:pStyle w:val="Heading6"/>
              <w:tabs>
                <w:tab w:val="clear" w:pos="2430"/>
              </w:tabs>
              <w:ind w:left="1371"/>
              <w:rPr>
                <w:rFonts w:ascii="Arial" w:hAnsi="Arial" w:cs="Arial"/>
                <w:sz w:val="22"/>
                <w:szCs w:val="22"/>
              </w:rPr>
            </w:pPr>
            <w:r w:rsidRPr="00E4265B">
              <w:rPr>
                <w:rFonts w:ascii="Arial" w:hAnsi="Arial" w:cs="Arial"/>
                <w:sz w:val="22"/>
                <w:szCs w:val="22"/>
              </w:rPr>
              <w:t>normally exceeds $15 million or 5% of its combined on and off</w:t>
            </w:r>
            <w:r w:rsidRPr="00E4265B">
              <w:rPr>
                <w:rFonts w:ascii="Arial" w:hAnsi="Arial" w:cs="Arial"/>
                <w:sz w:val="22"/>
                <w:szCs w:val="22"/>
              </w:rPr>
              <w:noBreakHyphen/>
              <w:t>balance sheet positions; or</w:t>
            </w:r>
          </w:p>
        </w:tc>
      </w:tr>
      <w:tr w:rsidR="00B572B2" w:rsidRPr="00E4265B" w14:paraId="6842B1DA" w14:textId="77777777" w:rsidTr="00520DA4">
        <w:trPr>
          <w:gridAfter w:val="1"/>
          <w:wAfter w:w="72" w:type="dxa"/>
        </w:trPr>
        <w:tc>
          <w:tcPr>
            <w:tcW w:w="485" w:type="dxa"/>
          </w:tcPr>
          <w:p w14:paraId="3D9D2247" w14:textId="155E9651" w:rsidR="00B572B2" w:rsidRPr="00E4265B" w:rsidRDefault="00B572B2" w:rsidP="00B572B2">
            <w:pPr>
              <w:pStyle w:val="Heading6"/>
              <w:numPr>
                <w:ilvl w:val="0"/>
                <w:numId w:val="0"/>
              </w:numPr>
              <w:ind w:left="1710"/>
              <w:rPr>
                <w:rFonts w:ascii="Arial" w:hAnsi="Arial" w:cs="Arial"/>
                <w:sz w:val="22"/>
                <w:szCs w:val="22"/>
              </w:rPr>
            </w:pPr>
          </w:p>
        </w:tc>
        <w:tc>
          <w:tcPr>
            <w:tcW w:w="505" w:type="dxa"/>
            <w:gridSpan w:val="3"/>
          </w:tcPr>
          <w:p w14:paraId="5038D36F" w14:textId="77777777" w:rsidR="00B572B2" w:rsidRPr="00E4265B" w:rsidRDefault="00B572B2" w:rsidP="00B572B2">
            <w:pPr>
              <w:pStyle w:val="Heading6"/>
              <w:numPr>
                <w:ilvl w:val="0"/>
                <w:numId w:val="0"/>
              </w:numPr>
              <w:ind w:left="1656"/>
              <w:rPr>
                <w:rFonts w:ascii="Arial" w:hAnsi="Arial" w:cs="Arial"/>
                <w:sz w:val="22"/>
                <w:szCs w:val="22"/>
              </w:rPr>
            </w:pPr>
          </w:p>
        </w:tc>
        <w:tc>
          <w:tcPr>
            <w:tcW w:w="8388" w:type="dxa"/>
            <w:gridSpan w:val="5"/>
          </w:tcPr>
          <w:p w14:paraId="49B2B7D1" w14:textId="399A9554" w:rsidR="00B572B2" w:rsidRPr="00E4265B" w:rsidRDefault="00B572B2" w:rsidP="00B572B2">
            <w:pPr>
              <w:pStyle w:val="Heading6"/>
              <w:tabs>
                <w:tab w:val="clear" w:pos="2430"/>
              </w:tabs>
              <w:ind w:left="1371"/>
              <w:rPr>
                <w:rFonts w:ascii="Arial" w:hAnsi="Arial" w:cs="Arial"/>
                <w:sz w:val="22"/>
                <w:szCs w:val="22"/>
              </w:rPr>
            </w:pPr>
            <w:r w:rsidRPr="00E4265B">
              <w:rPr>
                <w:rFonts w:ascii="Arial" w:hAnsi="Arial" w:cs="Arial"/>
                <w:sz w:val="22"/>
                <w:szCs w:val="22"/>
              </w:rPr>
              <w:t>has exceeded $20 million or 6% of its combined on- and off</w:t>
            </w:r>
            <w:r w:rsidRPr="00E4265B">
              <w:rPr>
                <w:rFonts w:ascii="Arial" w:hAnsi="Arial" w:cs="Arial"/>
                <w:sz w:val="22"/>
                <w:szCs w:val="22"/>
              </w:rPr>
              <w:noBreakHyphen/>
              <w:t>balance sheet positions at any time in the preceding 12 month period.</w:t>
            </w:r>
          </w:p>
        </w:tc>
      </w:tr>
      <w:tr w:rsidR="00B572B2" w:rsidRPr="00E4265B" w14:paraId="68396895" w14:textId="77777777" w:rsidTr="00520DA4">
        <w:trPr>
          <w:gridAfter w:val="1"/>
          <w:wAfter w:w="72" w:type="dxa"/>
        </w:trPr>
        <w:tc>
          <w:tcPr>
            <w:tcW w:w="9378" w:type="dxa"/>
            <w:gridSpan w:val="9"/>
          </w:tcPr>
          <w:p w14:paraId="61ADEBBC" w14:textId="77777777" w:rsidR="00B572B2" w:rsidRPr="00E4265B" w:rsidRDefault="00B572B2" w:rsidP="00B572B2">
            <w:pPr>
              <w:pStyle w:val="Heading4"/>
              <w:rPr>
                <w:rFonts w:ascii="Arial" w:hAnsi="Arial" w:cs="Arial"/>
                <w:sz w:val="22"/>
                <w:szCs w:val="22"/>
              </w:rPr>
            </w:pPr>
            <w:r w:rsidRPr="00E4265B">
              <w:rPr>
                <w:rFonts w:ascii="Arial" w:hAnsi="Arial" w:cs="Arial"/>
                <w:sz w:val="22"/>
                <w:szCs w:val="22"/>
              </w:rPr>
              <w:t>An Authorised Person that must have a Trading Book in accordance with Rule 2.2.1 must:</w:t>
            </w:r>
          </w:p>
        </w:tc>
      </w:tr>
      <w:tr w:rsidR="00B572B2" w:rsidRPr="00E4265B" w14:paraId="7F53D352" w14:textId="77777777" w:rsidTr="00520DA4">
        <w:trPr>
          <w:gridAfter w:val="1"/>
          <w:wAfter w:w="72" w:type="dxa"/>
        </w:trPr>
        <w:tc>
          <w:tcPr>
            <w:tcW w:w="990" w:type="dxa"/>
            <w:gridSpan w:val="4"/>
          </w:tcPr>
          <w:p w14:paraId="7B0F7DB6" w14:textId="690DBCEB" w:rsidR="00B572B2" w:rsidRPr="00E4265B" w:rsidRDefault="00B572B2" w:rsidP="00B572B2">
            <w:pPr>
              <w:pStyle w:val="Heading5"/>
              <w:numPr>
                <w:ilvl w:val="0"/>
                <w:numId w:val="0"/>
              </w:numPr>
              <w:ind w:left="936"/>
              <w:rPr>
                <w:rFonts w:ascii="Arial" w:hAnsi="Arial" w:cs="Arial"/>
                <w:sz w:val="22"/>
                <w:szCs w:val="22"/>
              </w:rPr>
            </w:pPr>
          </w:p>
        </w:tc>
        <w:tc>
          <w:tcPr>
            <w:tcW w:w="8388" w:type="dxa"/>
            <w:gridSpan w:val="5"/>
          </w:tcPr>
          <w:p w14:paraId="7D6DFB6F" w14:textId="0B88444F" w:rsidR="00B572B2" w:rsidRPr="00E4265B" w:rsidRDefault="00B572B2" w:rsidP="00B572B2">
            <w:pPr>
              <w:pStyle w:val="Heading5"/>
              <w:tabs>
                <w:tab w:val="clear" w:pos="1656"/>
              </w:tabs>
              <w:ind w:left="702"/>
              <w:rPr>
                <w:rFonts w:ascii="Arial" w:hAnsi="Arial" w:cs="Arial"/>
                <w:sz w:val="22"/>
                <w:szCs w:val="22"/>
              </w:rPr>
            </w:pPr>
            <w:r w:rsidRPr="00E4265B">
              <w:rPr>
                <w:rFonts w:ascii="Arial" w:hAnsi="Arial" w:cs="Arial"/>
                <w:sz w:val="22"/>
                <w:szCs w:val="22"/>
              </w:rPr>
              <w:t>comply with the requirements of Section A2.1 of App2; and</w:t>
            </w:r>
          </w:p>
        </w:tc>
      </w:tr>
      <w:tr w:rsidR="00B572B2" w:rsidRPr="00E4265B" w14:paraId="7DAA8830" w14:textId="77777777" w:rsidTr="00520DA4">
        <w:trPr>
          <w:gridAfter w:val="1"/>
          <w:wAfter w:w="72" w:type="dxa"/>
        </w:trPr>
        <w:tc>
          <w:tcPr>
            <w:tcW w:w="990" w:type="dxa"/>
            <w:gridSpan w:val="4"/>
          </w:tcPr>
          <w:p w14:paraId="6FB613F5" w14:textId="4F157363" w:rsidR="00B572B2" w:rsidRPr="00E4265B" w:rsidRDefault="00B572B2" w:rsidP="00B572B2">
            <w:pPr>
              <w:pStyle w:val="Heading5"/>
              <w:numPr>
                <w:ilvl w:val="0"/>
                <w:numId w:val="0"/>
              </w:numPr>
              <w:ind w:left="936"/>
              <w:rPr>
                <w:rFonts w:ascii="Arial" w:hAnsi="Arial" w:cs="Arial"/>
                <w:sz w:val="22"/>
                <w:szCs w:val="22"/>
              </w:rPr>
            </w:pPr>
          </w:p>
        </w:tc>
        <w:tc>
          <w:tcPr>
            <w:tcW w:w="8388" w:type="dxa"/>
            <w:gridSpan w:val="5"/>
          </w:tcPr>
          <w:p w14:paraId="4DDEF6AF" w14:textId="05B1303E" w:rsidR="00B572B2" w:rsidRPr="00E4265B" w:rsidRDefault="00B572B2" w:rsidP="00B572B2">
            <w:pPr>
              <w:pStyle w:val="Heading5"/>
              <w:tabs>
                <w:tab w:val="clear" w:pos="1656"/>
              </w:tabs>
              <w:ind w:left="702"/>
              <w:rPr>
                <w:rFonts w:ascii="Arial" w:hAnsi="Arial" w:cs="Arial"/>
                <w:sz w:val="22"/>
                <w:szCs w:val="22"/>
              </w:rPr>
            </w:pPr>
            <w:r w:rsidRPr="00E4265B">
              <w:rPr>
                <w:rFonts w:ascii="Arial" w:hAnsi="Arial" w:cs="Arial"/>
                <w:sz w:val="22"/>
                <w:szCs w:val="22"/>
              </w:rPr>
              <w:t>differentiate its business between Trading Book activity and Non</w:t>
            </w:r>
            <w:r w:rsidRPr="00E4265B">
              <w:rPr>
                <w:rFonts w:ascii="Arial" w:hAnsi="Arial" w:cs="Arial"/>
                <w:sz w:val="22"/>
                <w:szCs w:val="22"/>
              </w:rPr>
              <w:noBreakHyphen/>
              <w:t>Trading Book activity on a consistent basis.</w:t>
            </w:r>
          </w:p>
        </w:tc>
      </w:tr>
      <w:tr w:rsidR="00B572B2" w:rsidRPr="00E4265B" w14:paraId="7A169A02" w14:textId="77777777" w:rsidTr="00520DA4">
        <w:trPr>
          <w:gridAfter w:val="1"/>
          <w:wAfter w:w="72" w:type="dxa"/>
        </w:trPr>
        <w:tc>
          <w:tcPr>
            <w:tcW w:w="9378" w:type="dxa"/>
            <w:gridSpan w:val="9"/>
          </w:tcPr>
          <w:p w14:paraId="123799DE" w14:textId="77777777" w:rsidR="00B572B2" w:rsidRPr="00E4265B" w:rsidRDefault="00B572B2" w:rsidP="00B572B2">
            <w:pPr>
              <w:pStyle w:val="Heading4"/>
              <w:rPr>
                <w:rFonts w:ascii="Arial" w:hAnsi="Arial" w:cs="Arial"/>
                <w:sz w:val="22"/>
                <w:szCs w:val="22"/>
              </w:rPr>
            </w:pPr>
            <w:r w:rsidRPr="00E4265B">
              <w:rPr>
                <w:rFonts w:ascii="Arial" w:hAnsi="Arial" w:cs="Arial"/>
                <w:sz w:val="22"/>
                <w:szCs w:val="22"/>
              </w:rPr>
              <w:t>An Authorised Person which has a Trading Book must have adequate systems and controls to:</w:t>
            </w:r>
          </w:p>
        </w:tc>
      </w:tr>
      <w:tr w:rsidR="00B572B2" w:rsidRPr="00E4265B" w14:paraId="59E92057" w14:textId="77777777" w:rsidTr="00520DA4">
        <w:trPr>
          <w:gridAfter w:val="1"/>
          <w:wAfter w:w="72" w:type="dxa"/>
        </w:trPr>
        <w:tc>
          <w:tcPr>
            <w:tcW w:w="990" w:type="dxa"/>
            <w:gridSpan w:val="4"/>
          </w:tcPr>
          <w:p w14:paraId="3190FDE3" w14:textId="345AD320" w:rsidR="00B572B2" w:rsidRPr="00E4265B" w:rsidRDefault="00B572B2" w:rsidP="00B572B2">
            <w:pPr>
              <w:pStyle w:val="Heading5"/>
              <w:numPr>
                <w:ilvl w:val="0"/>
                <w:numId w:val="0"/>
              </w:numPr>
              <w:ind w:left="936"/>
              <w:rPr>
                <w:rFonts w:ascii="Arial" w:hAnsi="Arial" w:cs="Arial"/>
                <w:sz w:val="22"/>
                <w:szCs w:val="22"/>
              </w:rPr>
            </w:pPr>
          </w:p>
        </w:tc>
        <w:tc>
          <w:tcPr>
            <w:tcW w:w="8388" w:type="dxa"/>
            <w:gridSpan w:val="5"/>
          </w:tcPr>
          <w:p w14:paraId="501F400D" w14:textId="30F6DD30" w:rsidR="00B572B2" w:rsidRPr="00E4265B" w:rsidRDefault="00B572B2" w:rsidP="00B572B2">
            <w:pPr>
              <w:pStyle w:val="Heading5"/>
              <w:tabs>
                <w:tab w:val="clear" w:pos="1656"/>
              </w:tabs>
              <w:ind w:left="702"/>
              <w:rPr>
                <w:rFonts w:ascii="Arial" w:hAnsi="Arial" w:cs="Arial"/>
                <w:sz w:val="22"/>
                <w:szCs w:val="22"/>
              </w:rPr>
            </w:pPr>
            <w:r w:rsidRPr="00E4265B">
              <w:rPr>
                <w:rFonts w:ascii="Arial" w:hAnsi="Arial" w:cs="Arial"/>
                <w:sz w:val="22"/>
                <w:szCs w:val="22"/>
              </w:rPr>
              <w:t>monitor the size of its Trading Book; and</w:t>
            </w:r>
          </w:p>
        </w:tc>
      </w:tr>
      <w:tr w:rsidR="00B572B2" w:rsidRPr="00E4265B" w14:paraId="6422ED12" w14:textId="77777777" w:rsidTr="00520DA4">
        <w:trPr>
          <w:gridAfter w:val="1"/>
          <w:wAfter w:w="72" w:type="dxa"/>
        </w:trPr>
        <w:tc>
          <w:tcPr>
            <w:tcW w:w="990" w:type="dxa"/>
            <w:gridSpan w:val="4"/>
          </w:tcPr>
          <w:p w14:paraId="1ADCCC3D" w14:textId="1B625143" w:rsidR="00B572B2" w:rsidRPr="00E4265B" w:rsidRDefault="00B572B2" w:rsidP="00B572B2">
            <w:pPr>
              <w:pStyle w:val="Heading5"/>
              <w:numPr>
                <w:ilvl w:val="0"/>
                <w:numId w:val="0"/>
              </w:numPr>
              <w:ind w:left="936"/>
              <w:rPr>
                <w:rFonts w:ascii="Arial" w:hAnsi="Arial" w:cs="Arial"/>
                <w:sz w:val="22"/>
                <w:szCs w:val="22"/>
              </w:rPr>
            </w:pPr>
          </w:p>
        </w:tc>
        <w:tc>
          <w:tcPr>
            <w:tcW w:w="8388" w:type="dxa"/>
            <w:gridSpan w:val="5"/>
          </w:tcPr>
          <w:p w14:paraId="5F8A9FD7" w14:textId="099039C1" w:rsidR="00B572B2" w:rsidRPr="00E4265B" w:rsidRDefault="00B572B2" w:rsidP="00B572B2">
            <w:pPr>
              <w:pStyle w:val="Heading5"/>
              <w:tabs>
                <w:tab w:val="clear" w:pos="1656"/>
              </w:tabs>
              <w:ind w:left="702"/>
              <w:rPr>
                <w:rFonts w:ascii="Arial" w:hAnsi="Arial" w:cs="Arial"/>
                <w:sz w:val="22"/>
                <w:szCs w:val="22"/>
              </w:rPr>
            </w:pPr>
            <w:r w:rsidRPr="00E4265B">
              <w:rPr>
                <w:rFonts w:ascii="Arial" w:hAnsi="Arial" w:cs="Arial"/>
                <w:sz w:val="22"/>
                <w:szCs w:val="22"/>
              </w:rPr>
              <w:t>ensure that positions are included consistently in its Trading Book and Non</w:t>
            </w:r>
            <w:r w:rsidRPr="00E4265B">
              <w:rPr>
                <w:rFonts w:ascii="Arial" w:hAnsi="Arial" w:cs="Arial"/>
                <w:sz w:val="22"/>
                <w:szCs w:val="22"/>
              </w:rPr>
              <w:noBreakHyphen/>
              <w:t>Trading Book so that:</w:t>
            </w:r>
          </w:p>
        </w:tc>
      </w:tr>
      <w:tr w:rsidR="00B572B2" w:rsidRPr="00E4265B" w14:paraId="7B8399AC" w14:textId="77777777" w:rsidTr="00520DA4">
        <w:trPr>
          <w:gridAfter w:val="1"/>
          <w:wAfter w:w="72" w:type="dxa"/>
        </w:trPr>
        <w:tc>
          <w:tcPr>
            <w:tcW w:w="485" w:type="dxa"/>
          </w:tcPr>
          <w:p w14:paraId="48AA6806" w14:textId="3DE41ACD" w:rsidR="00B572B2" w:rsidRPr="00E4265B" w:rsidRDefault="00B572B2" w:rsidP="00B572B2">
            <w:pPr>
              <w:pStyle w:val="Heading6"/>
              <w:numPr>
                <w:ilvl w:val="0"/>
                <w:numId w:val="0"/>
              </w:numPr>
              <w:ind w:left="1656"/>
              <w:rPr>
                <w:rFonts w:ascii="Arial" w:hAnsi="Arial" w:cs="Arial"/>
                <w:sz w:val="22"/>
                <w:szCs w:val="22"/>
                <w:lang w:val="en-US"/>
              </w:rPr>
            </w:pPr>
          </w:p>
        </w:tc>
        <w:tc>
          <w:tcPr>
            <w:tcW w:w="505" w:type="dxa"/>
            <w:gridSpan w:val="3"/>
          </w:tcPr>
          <w:p w14:paraId="4C6594AE" w14:textId="77777777" w:rsidR="00B572B2" w:rsidRPr="00E4265B" w:rsidRDefault="00B572B2" w:rsidP="00B572B2">
            <w:pPr>
              <w:pStyle w:val="Heading6"/>
              <w:numPr>
                <w:ilvl w:val="0"/>
                <w:numId w:val="0"/>
              </w:numPr>
              <w:ind w:left="1656"/>
              <w:rPr>
                <w:rFonts w:ascii="Arial" w:hAnsi="Arial" w:cs="Arial"/>
                <w:sz w:val="22"/>
                <w:szCs w:val="22"/>
              </w:rPr>
            </w:pPr>
          </w:p>
        </w:tc>
        <w:tc>
          <w:tcPr>
            <w:tcW w:w="8388" w:type="dxa"/>
            <w:gridSpan w:val="5"/>
          </w:tcPr>
          <w:p w14:paraId="2AEDAFF2" w14:textId="32281183" w:rsidR="00B572B2" w:rsidRPr="00E4265B" w:rsidRDefault="00B572B2" w:rsidP="00B572B2">
            <w:pPr>
              <w:pStyle w:val="Heading6"/>
              <w:ind w:left="1371"/>
              <w:rPr>
                <w:rFonts w:ascii="Arial" w:hAnsi="Arial" w:cs="Arial"/>
                <w:sz w:val="22"/>
                <w:szCs w:val="22"/>
              </w:rPr>
            </w:pPr>
            <w:r w:rsidRPr="00E4265B">
              <w:rPr>
                <w:rFonts w:ascii="Arial" w:hAnsi="Arial" w:cs="Arial"/>
                <w:sz w:val="22"/>
                <w:szCs w:val="22"/>
              </w:rPr>
              <w:t>the inclusion of hedging positions in the Trading Book or the Non</w:t>
            </w:r>
            <w:r w:rsidRPr="00E4265B">
              <w:rPr>
                <w:rFonts w:ascii="Arial" w:hAnsi="Arial" w:cs="Arial"/>
                <w:sz w:val="22"/>
                <w:szCs w:val="22"/>
              </w:rPr>
              <w:noBreakHyphen/>
              <w:t>Trading Book at all times reflects the intent of the Authorised Person in holding the position; and</w:t>
            </w:r>
          </w:p>
        </w:tc>
      </w:tr>
      <w:tr w:rsidR="00B572B2" w:rsidRPr="00E4265B" w14:paraId="02006B3D" w14:textId="77777777" w:rsidTr="00520DA4">
        <w:trPr>
          <w:gridAfter w:val="1"/>
          <w:wAfter w:w="72" w:type="dxa"/>
        </w:trPr>
        <w:tc>
          <w:tcPr>
            <w:tcW w:w="485" w:type="dxa"/>
          </w:tcPr>
          <w:p w14:paraId="1C8E604E" w14:textId="72E50CED" w:rsidR="00B572B2" w:rsidRPr="00E4265B" w:rsidRDefault="00B572B2" w:rsidP="00B572B2">
            <w:pPr>
              <w:pStyle w:val="Heading6"/>
              <w:numPr>
                <w:ilvl w:val="0"/>
                <w:numId w:val="0"/>
              </w:numPr>
              <w:ind w:left="1656"/>
              <w:rPr>
                <w:rFonts w:ascii="Arial" w:hAnsi="Arial" w:cs="Arial"/>
                <w:sz w:val="22"/>
                <w:szCs w:val="22"/>
              </w:rPr>
            </w:pPr>
          </w:p>
        </w:tc>
        <w:tc>
          <w:tcPr>
            <w:tcW w:w="505" w:type="dxa"/>
            <w:gridSpan w:val="3"/>
          </w:tcPr>
          <w:p w14:paraId="1D1140AB" w14:textId="77777777" w:rsidR="00B572B2" w:rsidRPr="00E4265B" w:rsidRDefault="00B572B2" w:rsidP="00B572B2">
            <w:pPr>
              <w:pStyle w:val="Heading6"/>
              <w:numPr>
                <w:ilvl w:val="0"/>
                <w:numId w:val="0"/>
              </w:numPr>
              <w:ind w:left="1656"/>
              <w:rPr>
                <w:rFonts w:ascii="Arial" w:hAnsi="Arial" w:cs="Arial"/>
                <w:sz w:val="22"/>
                <w:szCs w:val="22"/>
              </w:rPr>
            </w:pPr>
          </w:p>
        </w:tc>
        <w:tc>
          <w:tcPr>
            <w:tcW w:w="8388" w:type="dxa"/>
            <w:gridSpan w:val="5"/>
          </w:tcPr>
          <w:p w14:paraId="02AB559F" w14:textId="46349D31" w:rsidR="00B572B2" w:rsidRPr="00E4265B" w:rsidRDefault="00B572B2" w:rsidP="00B572B2">
            <w:pPr>
              <w:pStyle w:val="Heading6"/>
              <w:ind w:left="1371"/>
              <w:rPr>
                <w:rFonts w:ascii="Arial" w:hAnsi="Arial" w:cs="Arial"/>
                <w:sz w:val="22"/>
                <w:szCs w:val="22"/>
              </w:rPr>
            </w:pPr>
            <w:r w:rsidRPr="00E4265B">
              <w:rPr>
                <w:rFonts w:ascii="Arial" w:hAnsi="Arial" w:cs="Arial"/>
                <w:sz w:val="22"/>
                <w:szCs w:val="22"/>
              </w:rPr>
              <w:t>adequate records are made if positions are transferred between Trading and Non</w:t>
            </w:r>
            <w:r w:rsidRPr="00E4265B">
              <w:rPr>
                <w:rFonts w:ascii="Arial" w:hAnsi="Arial" w:cs="Arial"/>
                <w:sz w:val="22"/>
                <w:szCs w:val="22"/>
              </w:rPr>
              <w:noBreakHyphen/>
              <w:t>Trading Books so that the transfers may be identified.</w:t>
            </w:r>
          </w:p>
        </w:tc>
      </w:tr>
      <w:tr w:rsidR="00B572B2" w:rsidRPr="00E4265B" w14:paraId="669F1064" w14:textId="77777777" w:rsidTr="00520DA4">
        <w:trPr>
          <w:gridAfter w:val="1"/>
          <w:wAfter w:w="72" w:type="dxa"/>
        </w:trPr>
        <w:tc>
          <w:tcPr>
            <w:tcW w:w="9378" w:type="dxa"/>
            <w:gridSpan w:val="9"/>
          </w:tcPr>
          <w:p w14:paraId="651EB8A9" w14:textId="2E23D96A" w:rsidR="00B572B2" w:rsidRPr="00E4265B" w:rsidRDefault="00B572B2" w:rsidP="00B572B2">
            <w:pPr>
              <w:pStyle w:val="Heading3"/>
              <w:rPr>
                <w:rFonts w:ascii="Arial" w:hAnsi="Arial" w:cs="Arial"/>
                <w:sz w:val="22"/>
                <w:szCs w:val="22"/>
              </w:rPr>
            </w:pPr>
            <w:bookmarkStart w:id="72" w:name="_Toc403223913"/>
            <w:bookmarkStart w:id="73" w:name="_Toc403253951"/>
            <w:bookmarkStart w:id="74" w:name="_Toc403273351"/>
            <w:bookmarkStart w:id="75" w:name="_Toc403273500"/>
            <w:bookmarkStart w:id="76" w:name="_Toc403274459"/>
            <w:bookmarkStart w:id="77" w:name="_Toc403279955"/>
            <w:bookmarkStart w:id="78" w:name="_Toc404285755"/>
            <w:bookmarkStart w:id="79" w:name="_Toc404621704"/>
            <w:bookmarkStart w:id="80" w:name="_Toc404624345"/>
            <w:bookmarkStart w:id="81" w:name="_Toc33622367"/>
            <w:r w:rsidRPr="00E4265B">
              <w:rPr>
                <w:rFonts w:ascii="Arial" w:hAnsi="Arial" w:cs="Arial"/>
                <w:sz w:val="22"/>
                <w:szCs w:val="22"/>
              </w:rPr>
              <w:t>Reporting</w:t>
            </w:r>
            <w:bookmarkEnd w:id="72"/>
            <w:bookmarkEnd w:id="73"/>
            <w:bookmarkEnd w:id="74"/>
            <w:bookmarkEnd w:id="75"/>
            <w:bookmarkEnd w:id="76"/>
            <w:bookmarkEnd w:id="77"/>
            <w:bookmarkEnd w:id="78"/>
            <w:bookmarkEnd w:id="79"/>
            <w:bookmarkEnd w:id="80"/>
            <w:bookmarkEnd w:id="81"/>
          </w:p>
        </w:tc>
      </w:tr>
      <w:tr w:rsidR="00B572B2" w:rsidRPr="00E4265B" w14:paraId="0B67A61A" w14:textId="77777777" w:rsidTr="00520DA4">
        <w:trPr>
          <w:gridAfter w:val="1"/>
          <w:wAfter w:w="72" w:type="dxa"/>
        </w:trPr>
        <w:tc>
          <w:tcPr>
            <w:tcW w:w="9378" w:type="dxa"/>
            <w:gridSpan w:val="9"/>
          </w:tcPr>
          <w:p w14:paraId="7F44BF31" w14:textId="77777777" w:rsidR="00B572B2" w:rsidRPr="00E4265B" w:rsidRDefault="00B572B2" w:rsidP="007B7362">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An Authorised Person must comply with the accounting and prudential reporting requirements set out in this Chapter and PRU which apply to it.</w:t>
            </w:r>
          </w:p>
        </w:tc>
      </w:tr>
      <w:tr w:rsidR="00B572B2" w:rsidRPr="00E4265B" w14:paraId="3B57B62A" w14:textId="77777777" w:rsidTr="00520DA4">
        <w:trPr>
          <w:gridAfter w:val="1"/>
          <w:wAfter w:w="72" w:type="dxa"/>
        </w:trPr>
        <w:tc>
          <w:tcPr>
            <w:tcW w:w="990" w:type="dxa"/>
            <w:gridSpan w:val="4"/>
          </w:tcPr>
          <w:p w14:paraId="61FD962A" w14:textId="390E262E" w:rsidR="00B572B2" w:rsidRPr="00E4265B" w:rsidRDefault="00B572B2" w:rsidP="00B572B2">
            <w:pPr>
              <w:pStyle w:val="1List"/>
              <w:ind w:left="0" w:firstLine="0"/>
              <w:rPr>
                <w:rFonts w:ascii="Arial" w:hAnsi="Arial" w:cs="Arial"/>
                <w:sz w:val="22"/>
                <w:szCs w:val="22"/>
                <w:lang w:val="en-GB"/>
              </w:rPr>
            </w:pPr>
          </w:p>
        </w:tc>
        <w:tc>
          <w:tcPr>
            <w:tcW w:w="8388" w:type="dxa"/>
            <w:gridSpan w:val="5"/>
          </w:tcPr>
          <w:p w14:paraId="225BEB1F" w14:textId="71441592" w:rsidR="00B572B2" w:rsidRPr="00E4265B" w:rsidRDefault="00B572B2" w:rsidP="007B7362">
            <w:pPr>
              <w:pStyle w:val="1List"/>
              <w:ind w:left="702" w:hanging="72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Regulator may impose additional reporting requirements on an Authorised Person.</w:t>
            </w:r>
          </w:p>
        </w:tc>
      </w:tr>
      <w:tr w:rsidR="00B572B2" w:rsidRPr="00E4265B" w14:paraId="6B96A990" w14:textId="77777777" w:rsidTr="00520DA4">
        <w:trPr>
          <w:gridAfter w:val="1"/>
          <w:wAfter w:w="72" w:type="dxa"/>
        </w:trPr>
        <w:tc>
          <w:tcPr>
            <w:tcW w:w="9378" w:type="dxa"/>
            <w:gridSpan w:val="9"/>
          </w:tcPr>
          <w:p w14:paraId="2EF4420D" w14:textId="77777777" w:rsidR="00B572B2" w:rsidRPr="00E4265B" w:rsidRDefault="00B572B2" w:rsidP="00B572B2">
            <w:pPr>
              <w:pStyle w:val="Heading4"/>
              <w:rPr>
                <w:rFonts w:ascii="Arial" w:hAnsi="Arial" w:cs="Arial"/>
                <w:sz w:val="22"/>
                <w:szCs w:val="22"/>
              </w:rPr>
            </w:pPr>
            <w:r w:rsidRPr="00E4265B">
              <w:rPr>
                <w:rFonts w:ascii="Arial" w:hAnsi="Arial" w:cs="Arial"/>
                <w:sz w:val="22"/>
                <w:szCs w:val="22"/>
              </w:rPr>
              <w:t>An Authorised Person must, subject to Rule 2.3.3:</w:t>
            </w:r>
          </w:p>
        </w:tc>
      </w:tr>
      <w:tr w:rsidR="00B572B2" w:rsidRPr="00E4265B" w14:paraId="60CCB053" w14:textId="77777777" w:rsidTr="00520DA4">
        <w:trPr>
          <w:gridAfter w:val="1"/>
          <w:wAfter w:w="72" w:type="dxa"/>
        </w:trPr>
        <w:tc>
          <w:tcPr>
            <w:tcW w:w="990" w:type="dxa"/>
            <w:gridSpan w:val="4"/>
          </w:tcPr>
          <w:p w14:paraId="6008DCC9" w14:textId="02CE5958" w:rsidR="00B572B2" w:rsidRPr="00E4265B" w:rsidRDefault="00B572B2" w:rsidP="00B572B2">
            <w:pPr>
              <w:pStyle w:val="Heading5"/>
              <w:numPr>
                <w:ilvl w:val="0"/>
                <w:numId w:val="0"/>
              </w:numPr>
              <w:ind w:left="936"/>
              <w:rPr>
                <w:rFonts w:ascii="Arial" w:hAnsi="Arial" w:cs="Arial"/>
                <w:sz w:val="22"/>
                <w:szCs w:val="22"/>
              </w:rPr>
            </w:pPr>
          </w:p>
        </w:tc>
        <w:tc>
          <w:tcPr>
            <w:tcW w:w="8388" w:type="dxa"/>
            <w:gridSpan w:val="5"/>
          </w:tcPr>
          <w:p w14:paraId="0DF3E609" w14:textId="621CA52B" w:rsidR="00B572B2" w:rsidRPr="00E4265B" w:rsidRDefault="00B572B2" w:rsidP="00CC6D14">
            <w:pPr>
              <w:pStyle w:val="Heading5"/>
              <w:tabs>
                <w:tab w:val="clear" w:pos="1656"/>
                <w:tab w:val="left" w:pos="2052"/>
              </w:tabs>
              <w:ind w:left="702"/>
              <w:rPr>
                <w:rFonts w:ascii="Arial" w:hAnsi="Arial" w:cs="Arial"/>
                <w:sz w:val="22"/>
                <w:szCs w:val="22"/>
              </w:rPr>
            </w:pPr>
            <w:r w:rsidRPr="00E4265B">
              <w:rPr>
                <w:rFonts w:ascii="Arial" w:hAnsi="Arial" w:cs="Arial"/>
                <w:sz w:val="22"/>
                <w:szCs w:val="22"/>
              </w:rPr>
              <w:t>prepare its returns in accordance with the Rules in this Chapter, the instructional guidelines in PRU and elsewhere, and the requirements of the Electronic Prudential Reporting System (EPRS) of the Regulator</w:t>
            </w:r>
            <w:r w:rsidR="001B065A" w:rsidRPr="00E4265B">
              <w:rPr>
                <w:rFonts w:ascii="Arial" w:hAnsi="Arial" w:cs="Arial"/>
                <w:sz w:val="22"/>
                <w:szCs w:val="22"/>
              </w:rPr>
              <w:t xml:space="preserve"> including the frequency of submission detailed therein</w:t>
            </w:r>
            <w:r w:rsidRPr="00E4265B">
              <w:rPr>
                <w:rFonts w:ascii="Arial" w:hAnsi="Arial" w:cs="Arial"/>
                <w:sz w:val="22"/>
                <w:szCs w:val="22"/>
              </w:rPr>
              <w:t>; and</w:t>
            </w:r>
          </w:p>
        </w:tc>
      </w:tr>
      <w:tr w:rsidR="00B572B2" w:rsidRPr="00E4265B" w14:paraId="2371305A" w14:textId="77777777" w:rsidTr="00520DA4">
        <w:trPr>
          <w:gridAfter w:val="1"/>
          <w:wAfter w:w="72" w:type="dxa"/>
        </w:trPr>
        <w:tc>
          <w:tcPr>
            <w:tcW w:w="990" w:type="dxa"/>
            <w:gridSpan w:val="4"/>
          </w:tcPr>
          <w:p w14:paraId="32A54391" w14:textId="41462D35" w:rsidR="00B572B2" w:rsidRPr="00E4265B" w:rsidRDefault="00B572B2" w:rsidP="00B572B2">
            <w:pPr>
              <w:pStyle w:val="Heading5"/>
              <w:numPr>
                <w:ilvl w:val="0"/>
                <w:numId w:val="0"/>
              </w:numPr>
              <w:ind w:left="936"/>
              <w:rPr>
                <w:rFonts w:ascii="Arial" w:hAnsi="Arial" w:cs="Arial"/>
                <w:sz w:val="22"/>
                <w:szCs w:val="22"/>
              </w:rPr>
            </w:pPr>
          </w:p>
        </w:tc>
        <w:tc>
          <w:tcPr>
            <w:tcW w:w="8388" w:type="dxa"/>
            <w:gridSpan w:val="5"/>
          </w:tcPr>
          <w:p w14:paraId="27953DD1" w14:textId="197EDA92" w:rsidR="00B572B2" w:rsidRPr="00E4265B" w:rsidRDefault="00B572B2" w:rsidP="00CC6D14">
            <w:pPr>
              <w:pStyle w:val="Heading5"/>
              <w:tabs>
                <w:tab w:val="clear" w:pos="1656"/>
                <w:tab w:val="left" w:pos="2052"/>
              </w:tabs>
              <w:ind w:left="702"/>
              <w:rPr>
                <w:rFonts w:ascii="Arial" w:hAnsi="Arial" w:cs="Arial"/>
                <w:sz w:val="22"/>
                <w:szCs w:val="22"/>
              </w:rPr>
            </w:pPr>
            <w:r w:rsidRPr="00E4265B">
              <w:rPr>
                <w:rFonts w:ascii="Arial" w:hAnsi="Arial" w:cs="Arial"/>
                <w:sz w:val="22"/>
                <w:szCs w:val="22"/>
              </w:rPr>
              <w:t>submit the returns to the Regulator using EPRS.</w:t>
            </w:r>
          </w:p>
        </w:tc>
      </w:tr>
      <w:tr w:rsidR="00B572B2" w:rsidRPr="00E4265B" w14:paraId="0DF3C7E8" w14:textId="77777777" w:rsidTr="00520DA4">
        <w:trPr>
          <w:gridAfter w:val="1"/>
          <w:wAfter w:w="72" w:type="dxa"/>
        </w:trPr>
        <w:tc>
          <w:tcPr>
            <w:tcW w:w="990" w:type="dxa"/>
            <w:gridSpan w:val="4"/>
          </w:tcPr>
          <w:p w14:paraId="457EE9D1" w14:textId="6FFA1B05" w:rsidR="00B572B2" w:rsidRPr="00E4265B" w:rsidRDefault="00B572B2" w:rsidP="00B572B2">
            <w:pPr>
              <w:pStyle w:val="TitleL5"/>
              <w:ind w:left="0"/>
              <w:rPr>
                <w:rFonts w:ascii="Arial" w:hAnsi="Arial" w:cs="Arial"/>
                <w:sz w:val="22"/>
                <w:szCs w:val="22"/>
                <w:lang w:val="en-GB"/>
              </w:rPr>
            </w:pPr>
          </w:p>
        </w:tc>
        <w:tc>
          <w:tcPr>
            <w:tcW w:w="8388" w:type="dxa"/>
            <w:gridSpan w:val="5"/>
          </w:tcPr>
          <w:p w14:paraId="4858B3BA" w14:textId="23477261" w:rsidR="00B572B2" w:rsidRPr="00E4265B" w:rsidRDefault="00B572B2" w:rsidP="00B572B2">
            <w:pPr>
              <w:pStyle w:val="TitleL5"/>
              <w:ind w:left="0"/>
              <w:rPr>
                <w:rFonts w:ascii="Arial" w:hAnsi="Arial" w:cs="Arial"/>
                <w:sz w:val="22"/>
                <w:szCs w:val="22"/>
                <w:lang w:val="en-GB"/>
              </w:rPr>
            </w:pPr>
            <w:r w:rsidRPr="00E4265B">
              <w:rPr>
                <w:rFonts w:ascii="Arial" w:hAnsi="Arial" w:cs="Arial"/>
                <w:sz w:val="22"/>
                <w:szCs w:val="22"/>
                <w:lang w:val="en-GB"/>
              </w:rPr>
              <w:t>Guidance</w:t>
            </w:r>
          </w:p>
        </w:tc>
      </w:tr>
      <w:tr w:rsidR="00B572B2" w:rsidRPr="00E4265B" w14:paraId="6E1C8161" w14:textId="77777777" w:rsidTr="00520DA4">
        <w:trPr>
          <w:gridAfter w:val="1"/>
          <w:wAfter w:w="72" w:type="dxa"/>
        </w:trPr>
        <w:tc>
          <w:tcPr>
            <w:tcW w:w="990" w:type="dxa"/>
            <w:gridSpan w:val="4"/>
          </w:tcPr>
          <w:p w14:paraId="785DBF25" w14:textId="68EB7517" w:rsidR="00B572B2" w:rsidRPr="00E4265B" w:rsidRDefault="00B572B2" w:rsidP="00B572B2">
            <w:pPr>
              <w:pStyle w:val="UK12Block05"/>
              <w:ind w:left="0"/>
              <w:rPr>
                <w:rFonts w:ascii="Arial" w:hAnsi="Arial" w:cs="Arial"/>
                <w:sz w:val="22"/>
                <w:szCs w:val="22"/>
                <w:lang w:val="en-GB"/>
              </w:rPr>
            </w:pPr>
          </w:p>
        </w:tc>
        <w:tc>
          <w:tcPr>
            <w:tcW w:w="8388" w:type="dxa"/>
            <w:gridSpan w:val="5"/>
          </w:tcPr>
          <w:p w14:paraId="5C48C0E2" w14:textId="06FBA8D1" w:rsidR="00B572B2" w:rsidRPr="00E4265B" w:rsidRDefault="00B572B2" w:rsidP="00B572B2">
            <w:pPr>
              <w:pStyle w:val="UK12Block05"/>
              <w:ind w:left="0"/>
              <w:rPr>
                <w:rFonts w:ascii="Arial" w:hAnsi="Arial" w:cs="Arial"/>
                <w:sz w:val="22"/>
                <w:szCs w:val="22"/>
                <w:lang w:val="en-GB"/>
              </w:rPr>
            </w:pPr>
            <w:r w:rsidRPr="00E4265B">
              <w:rPr>
                <w:rFonts w:ascii="Arial" w:hAnsi="Arial" w:cs="Arial"/>
                <w:sz w:val="22"/>
                <w:szCs w:val="22"/>
                <w:lang w:val="en-GB"/>
              </w:rPr>
              <w:t>The returns and instructional guidelines are provided in these Rules and EPRS.</w:t>
            </w:r>
          </w:p>
        </w:tc>
      </w:tr>
      <w:tr w:rsidR="00B572B2" w:rsidRPr="00E4265B" w14:paraId="4732C452" w14:textId="77777777" w:rsidTr="00A419E8">
        <w:trPr>
          <w:gridAfter w:val="1"/>
          <w:wAfter w:w="72" w:type="dxa"/>
        </w:trPr>
        <w:tc>
          <w:tcPr>
            <w:tcW w:w="9378" w:type="dxa"/>
            <w:gridSpan w:val="9"/>
          </w:tcPr>
          <w:p w14:paraId="569C59ED" w14:textId="77777777" w:rsidR="00B572B2" w:rsidRPr="00E4265B" w:rsidRDefault="00B572B2" w:rsidP="007B7362">
            <w:pPr>
              <w:pStyle w:val="Heading4"/>
              <w:tabs>
                <w:tab w:val="clear" w:pos="936"/>
                <w:tab w:val="num" w:pos="1062"/>
              </w:tabs>
              <w:ind w:left="972" w:hanging="972"/>
              <w:rPr>
                <w:rFonts w:ascii="Arial" w:hAnsi="Arial" w:cs="Arial"/>
                <w:sz w:val="22"/>
                <w:szCs w:val="22"/>
              </w:rPr>
            </w:pPr>
            <w:r w:rsidRPr="00E4265B">
              <w:rPr>
                <w:rFonts w:ascii="Arial" w:hAnsi="Arial" w:cs="Arial"/>
                <w:sz w:val="22"/>
                <w:szCs w:val="22"/>
              </w:rPr>
              <w:t>The Regulator may by way of a written notice direct an Authorised Person to submit its returns in a form, manner or frequency other than as prescribed in Rule 2.3.2.  An Authorised Person must continue to submit its returns in accordance with this direction until the Regulator by way of written notice directs otherwise.</w:t>
            </w:r>
          </w:p>
        </w:tc>
      </w:tr>
      <w:tr w:rsidR="00B572B2" w:rsidRPr="00E4265B" w14:paraId="4B9E31F2" w14:textId="77777777" w:rsidTr="00A419E8">
        <w:trPr>
          <w:gridAfter w:val="1"/>
          <w:wAfter w:w="72" w:type="dxa"/>
          <w:trHeight w:hRule="exact" w:val="720"/>
        </w:trPr>
        <w:tc>
          <w:tcPr>
            <w:tcW w:w="990" w:type="dxa"/>
            <w:gridSpan w:val="4"/>
          </w:tcPr>
          <w:p w14:paraId="081CD429" w14:textId="501D8F64" w:rsidR="00B572B2" w:rsidRPr="00E4265B" w:rsidRDefault="00A419E8" w:rsidP="00A419E8">
            <w:pPr>
              <w:pStyle w:val="Heading4"/>
              <w:tabs>
                <w:tab w:val="clear" w:pos="936"/>
                <w:tab w:val="num" w:pos="1062"/>
              </w:tabs>
              <w:ind w:left="972" w:hanging="972"/>
              <w:rPr>
                <w:rFonts w:ascii="Arial" w:hAnsi="Arial" w:cs="Arial"/>
                <w:sz w:val="22"/>
                <w:szCs w:val="22"/>
              </w:rPr>
            </w:pPr>
            <w:r w:rsidRPr="00E4265B">
              <w:rPr>
                <w:rFonts w:ascii="Arial" w:hAnsi="Arial" w:cs="Arial"/>
                <w:sz w:val="22"/>
                <w:szCs w:val="22"/>
              </w:rPr>
              <w:t>2.3.4</w:t>
            </w:r>
          </w:p>
        </w:tc>
        <w:tc>
          <w:tcPr>
            <w:tcW w:w="8388" w:type="dxa"/>
            <w:gridSpan w:val="5"/>
          </w:tcPr>
          <w:p w14:paraId="01A254DC" w14:textId="404ED9A6" w:rsidR="00B572B2" w:rsidRPr="00E4265B" w:rsidRDefault="00B572B2" w:rsidP="001B651A">
            <w:pPr>
              <w:pStyle w:val="Heading5"/>
              <w:numPr>
                <w:ilvl w:val="0"/>
                <w:numId w:val="0"/>
              </w:numPr>
              <w:ind w:left="702" w:hanging="702"/>
              <w:rPr>
                <w:rFonts w:ascii="Arial" w:hAnsi="Arial" w:cs="Arial"/>
                <w:sz w:val="22"/>
                <w:szCs w:val="22"/>
              </w:rPr>
            </w:pPr>
            <w:r w:rsidRPr="00E4265B">
              <w:rPr>
                <w:rFonts w:ascii="Arial" w:hAnsi="Arial" w:cs="Arial"/>
                <w:sz w:val="22"/>
                <w:szCs w:val="22"/>
              </w:rPr>
              <w:t>(</w:t>
            </w:r>
            <w:r w:rsidR="00A419E8" w:rsidRPr="00E4265B">
              <w:rPr>
                <w:rFonts w:ascii="Arial" w:hAnsi="Arial" w:cs="Arial"/>
                <w:sz w:val="22"/>
                <w:szCs w:val="22"/>
              </w:rPr>
              <w:t>1</w:t>
            </w:r>
            <w:r w:rsidRPr="00E4265B">
              <w:rPr>
                <w:rFonts w:ascii="Arial" w:hAnsi="Arial" w:cs="Arial"/>
                <w:sz w:val="22"/>
                <w:szCs w:val="22"/>
              </w:rPr>
              <w:t>)</w:t>
            </w:r>
            <w:r w:rsidRPr="00E4265B">
              <w:rPr>
                <w:rFonts w:ascii="Arial" w:hAnsi="Arial" w:cs="Arial"/>
                <w:sz w:val="22"/>
                <w:szCs w:val="22"/>
              </w:rPr>
              <w:tab/>
              <w:t>In relation to an annual return the form must be certified through EPRS by the SEO, a Director or a Partner of the Authorised Person.</w:t>
            </w:r>
          </w:p>
        </w:tc>
      </w:tr>
      <w:tr w:rsidR="00B572B2" w:rsidRPr="00E4265B" w14:paraId="7E7A2DB4" w14:textId="77777777" w:rsidTr="00A419E8">
        <w:trPr>
          <w:gridAfter w:val="1"/>
          <w:wAfter w:w="72" w:type="dxa"/>
        </w:trPr>
        <w:tc>
          <w:tcPr>
            <w:tcW w:w="990" w:type="dxa"/>
            <w:gridSpan w:val="4"/>
          </w:tcPr>
          <w:p w14:paraId="4FC92EF3" w14:textId="5977E498" w:rsidR="00B572B2" w:rsidRPr="00E4265B" w:rsidRDefault="00B572B2" w:rsidP="00B572B2">
            <w:pPr>
              <w:pStyle w:val="Heading8"/>
              <w:numPr>
                <w:ilvl w:val="0"/>
                <w:numId w:val="0"/>
              </w:numPr>
              <w:ind w:left="993"/>
              <w:rPr>
                <w:rFonts w:ascii="Arial" w:hAnsi="Arial" w:cs="Arial"/>
                <w:sz w:val="22"/>
                <w:szCs w:val="22"/>
                <w:lang w:val="en-GB"/>
              </w:rPr>
            </w:pPr>
          </w:p>
        </w:tc>
        <w:tc>
          <w:tcPr>
            <w:tcW w:w="8388" w:type="dxa"/>
            <w:gridSpan w:val="5"/>
          </w:tcPr>
          <w:p w14:paraId="0EEEE955" w14:textId="2B7ABBE2" w:rsidR="00B572B2" w:rsidRPr="00E4265B" w:rsidRDefault="00B572B2" w:rsidP="001B651A">
            <w:pPr>
              <w:pStyle w:val="Heading5"/>
              <w:numPr>
                <w:ilvl w:val="0"/>
                <w:numId w:val="0"/>
              </w:numPr>
              <w:ind w:left="702" w:hanging="702"/>
              <w:rPr>
                <w:rFonts w:ascii="Arial" w:hAnsi="Arial" w:cs="Arial"/>
                <w:sz w:val="22"/>
                <w:szCs w:val="22"/>
              </w:rPr>
            </w:pPr>
            <w:r w:rsidRPr="00E4265B">
              <w:rPr>
                <w:rFonts w:ascii="Arial" w:hAnsi="Arial" w:cs="Arial"/>
                <w:sz w:val="22"/>
                <w:szCs w:val="22"/>
              </w:rPr>
              <w:t>(</w:t>
            </w:r>
            <w:r w:rsidR="00A419E8" w:rsidRPr="00E4265B">
              <w:rPr>
                <w:rFonts w:ascii="Arial" w:hAnsi="Arial" w:cs="Arial"/>
                <w:sz w:val="22"/>
                <w:szCs w:val="22"/>
              </w:rPr>
              <w:t>2</w:t>
            </w:r>
            <w:r w:rsidRPr="00E4265B">
              <w:rPr>
                <w:rFonts w:ascii="Arial" w:hAnsi="Arial" w:cs="Arial"/>
                <w:sz w:val="22"/>
                <w:szCs w:val="22"/>
              </w:rPr>
              <w:t>)</w:t>
            </w:r>
            <w:r w:rsidRPr="00E4265B">
              <w:rPr>
                <w:rFonts w:ascii="Arial" w:hAnsi="Arial" w:cs="Arial"/>
                <w:sz w:val="22"/>
                <w:szCs w:val="22"/>
              </w:rPr>
              <w:tab/>
              <w:t>In relation to a quarterly or a monthly return the form must be certified through EPRS by an Officer of the Authorised Person which has previously been identified by the Authorised Person as having the authority to provide the certification for that purpose.</w:t>
            </w:r>
          </w:p>
        </w:tc>
      </w:tr>
      <w:tr w:rsidR="00B572B2" w:rsidRPr="00E4265B" w14:paraId="7ABCEEDC" w14:textId="77777777" w:rsidTr="00A419E8">
        <w:trPr>
          <w:gridAfter w:val="1"/>
          <w:wAfter w:w="72" w:type="dxa"/>
        </w:trPr>
        <w:tc>
          <w:tcPr>
            <w:tcW w:w="9378" w:type="dxa"/>
            <w:gridSpan w:val="9"/>
          </w:tcPr>
          <w:p w14:paraId="30384BB3" w14:textId="38DF747F" w:rsidR="00B572B2" w:rsidRPr="00E4265B" w:rsidRDefault="00B572B2" w:rsidP="00A419E8">
            <w:pPr>
              <w:pStyle w:val="Heading4"/>
              <w:tabs>
                <w:tab w:val="clear" w:pos="936"/>
                <w:tab w:val="num" w:pos="1062"/>
              </w:tabs>
              <w:ind w:left="972" w:hanging="972"/>
              <w:rPr>
                <w:rFonts w:ascii="Arial" w:hAnsi="Arial" w:cs="Arial"/>
                <w:sz w:val="22"/>
                <w:szCs w:val="22"/>
              </w:rPr>
            </w:pPr>
            <w:r w:rsidRPr="00E4265B">
              <w:rPr>
                <w:rFonts w:ascii="Arial" w:hAnsi="Arial" w:cs="Arial"/>
                <w:sz w:val="22"/>
                <w:szCs w:val="22"/>
              </w:rPr>
              <w:t>If the Regulator notifies an Authorised Person, or the Authorised Person itself forms the view, that a return that has been submitted to the Regulator appears to be inaccurate or incomplete, the Authorised Person must consider the matter and within a reasonable time it must correct any inaccuracies and make good any omissions, and re</w:t>
            </w:r>
            <w:r w:rsidRPr="00E4265B">
              <w:rPr>
                <w:rFonts w:ascii="Arial" w:hAnsi="Arial" w:cs="Arial"/>
                <w:sz w:val="22"/>
                <w:szCs w:val="22"/>
              </w:rPr>
              <w:noBreakHyphen/>
              <w:t>submit the relevant parts of the return.</w:t>
            </w:r>
          </w:p>
        </w:tc>
      </w:tr>
      <w:tr w:rsidR="00B572B2" w:rsidRPr="00E4265B" w14:paraId="39EF2FF5" w14:textId="77777777" w:rsidTr="00520DA4">
        <w:trPr>
          <w:gridAfter w:val="1"/>
          <w:wAfter w:w="72" w:type="dxa"/>
        </w:trPr>
        <w:tc>
          <w:tcPr>
            <w:tcW w:w="9378" w:type="dxa"/>
            <w:gridSpan w:val="9"/>
          </w:tcPr>
          <w:p w14:paraId="3D247026" w14:textId="77777777" w:rsidR="00B572B2" w:rsidRPr="00E4265B" w:rsidRDefault="00B572B2" w:rsidP="00B572B2">
            <w:pPr>
              <w:pStyle w:val="Heading4"/>
              <w:tabs>
                <w:tab w:val="clear" w:pos="936"/>
                <w:tab w:val="num" w:pos="993"/>
              </w:tabs>
              <w:ind w:left="1701" w:hanging="1701"/>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An Authorised Person must use the appropriate forms set out in EPRS for the preparation and submission of returns which are required under these Rules.</w:t>
            </w:r>
          </w:p>
        </w:tc>
      </w:tr>
      <w:tr w:rsidR="00B572B2" w:rsidRPr="00E4265B" w14:paraId="77E5AB7A" w14:textId="77777777" w:rsidTr="00520DA4">
        <w:trPr>
          <w:gridAfter w:val="1"/>
          <w:wAfter w:w="72" w:type="dxa"/>
        </w:trPr>
        <w:tc>
          <w:tcPr>
            <w:tcW w:w="990" w:type="dxa"/>
            <w:gridSpan w:val="4"/>
          </w:tcPr>
          <w:p w14:paraId="49AB9108" w14:textId="240A921C" w:rsidR="00B572B2" w:rsidRPr="00E4265B" w:rsidRDefault="00B572B2" w:rsidP="00B572B2">
            <w:pPr>
              <w:pStyle w:val="1List"/>
              <w:ind w:left="0" w:firstLine="0"/>
              <w:rPr>
                <w:rFonts w:ascii="Arial" w:hAnsi="Arial" w:cs="Arial"/>
                <w:sz w:val="22"/>
                <w:szCs w:val="22"/>
                <w:lang w:val="en-GB"/>
              </w:rPr>
            </w:pPr>
          </w:p>
        </w:tc>
        <w:tc>
          <w:tcPr>
            <w:tcW w:w="8388" w:type="dxa"/>
            <w:gridSpan w:val="5"/>
          </w:tcPr>
          <w:p w14:paraId="280F8ECA" w14:textId="2E959822" w:rsidR="00B572B2" w:rsidRPr="00E4265B" w:rsidRDefault="00B572B2" w:rsidP="00B572B2">
            <w:pPr>
              <w:pStyle w:val="1List"/>
              <w:ind w:left="0" w:firstLine="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All returns must be completed in dollars ($).</w:t>
            </w:r>
          </w:p>
        </w:tc>
      </w:tr>
      <w:tr w:rsidR="00B572B2" w:rsidRPr="00E4265B" w14:paraId="62C025D7" w14:textId="77777777" w:rsidTr="00520DA4">
        <w:trPr>
          <w:gridAfter w:val="1"/>
          <w:wAfter w:w="72" w:type="dxa"/>
        </w:trPr>
        <w:tc>
          <w:tcPr>
            <w:tcW w:w="9378" w:type="dxa"/>
            <w:gridSpan w:val="9"/>
          </w:tcPr>
          <w:p w14:paraId="40F06E31" w14:textId="77777777" w:rsidR="00B572B2" w:rsidRPr="00E4265B" w:rsidRDefault="00B572B2" w:rsidP="00B572B2">
            <w:pPr>
              <w:pStyle w:val="Heading4"/>
              <w:tabs>
                <w:tab w:val="clear" w:pos="936"/>
                <w:tab w:val="num" w:pos="993"/>
              </w:tabs>
              <w:ind w:left="1701" w:hanging="1701"/>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An Authorised Person must submit to the Regulator annual returns, within four months of the end of the financial year of the Authorised Person.</w:t>
            </w:r>
          </w:p>
        </w:tc>
      </w:tr>
      <w:tr w:rsidR="00B572B2" w:rsidRPr="00E4265B" w14:paraId="2CB9D344" w14:textId="77777777" w:rsidTr="00520DA4">
        <w:trPr>
          <w:gridAfter w:val="1"/>
          <w:wAfter w:w="72" w:type="dxa"/>
        </w:trPr>
        <w:tc>
          <w:tcPr>
            <w:tcW w:w="990" w:type="dxa"/>
            <w:gridSpan w:val="4"/>
          </w:tcPr>
          <w:p w14:paraId="62E0F8DF" w14:textId="64E06C4D" w:rsidR="00B572B2" w:rsidRPr="00E4265B" w:rsidRDefault="00B572B2" w:rsidP="00B572B2">
            <w:pPr>
              <w:pStyle w:val="1List"/>
              <w:ind w:left="0" w:firstLine="0"/>
              <w:rPr>
                <w:rFonts w:ascii="Arial" w:hAnsi="Arial" w:cs="Arial"/>
                <w:sz w:val="22"/>
                <w:szCs w:val="22"/>
                <w:lang w:val="en-GB"/>
              </w:rPr>
            </w:pPr>
          </w:p>
        </w:tc>
        <w:tc>
          <w:tcPr>
            <w:tcW w:w="8388" w:type="dxa"/>
            <w:gridSpan w:val="5"/>
          </w:tcPr>
          <w:p w14:paraId="0078935C" w14:textId="6503CA9B" w:rsidR="00B572B2" w:rsidRPr="00E4265B" w:rsidRDefault="00B572B2" w:rsidP="00493183">
            <w:pPr>
              <w:pStyle w:val="1List"/>
              <w:ind w:left="702" w:hanging="702"/>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Authorised Person must submit to the Regulator quarterly returns, in the applicable format prescribed by the Regulator, within one month </w:t>
            </w:r>
            <w:r w:rsidR="00493183" w:rsidRPr="00E4265B">
              <w:rPr>
                <w:rFonts w:ascii="Arial" w:hAnsi="Arial" w:cs="Arial"/>
                <w:sz w:val="22"/>
                <w:szCs w:val="22"/>
                <w:lang w:val="en-GB"/>
              </w:rPr>
              <w:t>of</w:t>
            </w:r>
            <w:r w:rsidRPr="00E4265B">
              <w:rPr>
                <w:rFonts w:ascii="Arial" w:hAnsi="Arial" w:cs="Arial"/>
                <w:sz w:val="22"/>
                <w:szCs w:val="22"/>
                <w:lang w:val="en-GB"/>
              </w:rPr>
              <w:t xml:space="preserve"> the end of the reporting period to which the return relates.</w:t>
            </w:r>
          </w:p>
        </w:tc>
      </w:tr>
      <w:tr w:rsidR="00B572B2" w:rsidRPr="00E4265B" w14:paraId="1693823D" w14:textId="77777777" w:rsidTr="00520DA4">
        <w:trPr>
          <w:gridAfter w:val="1"/>
          <w:wAfter w:w="72" w:type="dxa"/>
        </w:trPr>
        <w:tc>
          <w:tcPr>
            <w:tcW w:w="990" w:type="dxa"/>
            <w:gridSpan w:val="4"/>
          </w:tcPr>
          <w:p w14:paraId="6D28B1D1" w14:textId="10A7BB9D" w:rsidR="00B572B2" w:rsidRPr="00E4265B" w:rsidRDefault="00B572B2" w:rsidP="00B572B2">
            <w:pPr>
              <w:pStyle w:val="1List"/>
              <w:ind w:left="0" w:firstLine="0"/>
              <w:rPr>
                <w:rFonts w:ascii="Arial" w:hAnsi="Arial" w:cs="Arial"/>
                <w:sz w:val="22"/>
                <w:szCs w:val="22"/>
                <w:lang w:val="en-GB"/>
              </w:rPr>
            </w:pPr>
          </w:p>
        </w:tc>
        <w:tc>
          <w:tcPr>
            <w:tcW w:w="8388" w:type="dxa"/>
            <w:gridSpan w:val="5"/>
          </w:tcPr>
          <w:p w14:paraId="6FEA9CEF" w14:textId="242D1CDD" w:rsidR="00B572B2" w:rsidRPr="00E4265B" w:rsidRDefault="00B572B2" w:rsidP="007B7362">
            <w:pPr>
              <w:pStyle w:val="1List"/>
              <w:ind w:left="702" w:hanging="702"/>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An Authorised Person must submit to the Regulator monthly returns, in the applicable format prescribed by the Regulator, within fifteen days of the end of the reporting period to which the return relates.</w:t>
            </w:r>
          </w:p>
        </w:tc>
      </w:tr>
      <w:tr w:rsidR="00B572B2" w:rsidRPr="00E4265B" w14:paraId="4E4AF194" w14:textId="77777777" w:rsidTr="00520DA4">
        <w:trPr>
          <w:gridAfter w:val="1"/>
          <w:wAfter w:w="72" w:type="dxa"/>
        </w:trPr>
        <w:tc>
          <w:tcPr>
            <w:tcW w:w="9378" w:type="dxa"/>
            <w:gridSpan w:val="9"/>
          </w:tcPr>
          <w:p w14:paraId="33F80E57" w14:textId="7E97CD8D" w:rsidR="00B572B2" w:rsidRPr="00E4265B" w:rsidRDefault="00B572B2" w:rsidP="00B572B2">
            <w:pPr>
              <w:pStyle w:val="Heading4"/>
              <w:tabs>
                <w:tab w:val="clear" w:pos="936"/>
                <w:tab w:val="num" w:pos="993"/>
              </w:tabs>
              <w:ind w:left="1701" w:hanging="1701"/>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When a return which is required under these Rules is submitted </w:t>
            </w:r>
            <w:r w:rsidR="004448A1">
              <w:rPr>
                <w:rFonts w:ascii="Arial" w:hAnsi="Arial" w:cs="Arial"/>
                <w:sz w:val="22"/>
                <w:szCs w:val="22"/>
              </w:rPr>
              <w:t xml:space="preserve">after </w:t>
            </w:r>
            <w:r w:rsidRPr="00E4265B">
              <w:rPr>
                <w:rFonts w:ascii="Arial" w:hAnsi="Arial" w:cs="Arial"/>
                <w:sz w:val="22"/>
                <w:szCs w:val="22"/>
              </w:rPr>
              <w:t>the due date, such non</w:t>
            </w:r>
            <w:r w:rsidRPr="00E4265B">
              <w:rPr>
                <w:rFonts w:ascii="Arial" w:hAnsi="Arial" w:cs="Arial"/>
                <w:sz w:val="22"/>
                <w:szCs w:val="22"/>
              </w:rPr>
              <w:noBreakHyphen/>
              <w:t xml:space="preserve">submission incurs an administrative fee </w:t>
            </w:r>
            <w:r w:rsidR="0013029A">
              <w:rPr>
                <w:rFonts w:ascii="Arial" w:hAnsi="Arial" w:cs="Arial"/>
                <w:sz w:val="22"/>
                <w:szCs w:val="22"/>
              </w:rPr>
              <w:t>as</w:t>
            </w:r>
            <w:r w:rsidR="00604053">
              <w:rPr>
                <w:rFonts w:ascii="Arial" w:hAnsi="Arial" w:cs="Arial"/>
                <w:sz w:val="22"/>
                <w:szCs w:val="22"/>
              </w:rPr>
              <w:t xml:space="preserve"> prescribed in the </w:t>
            </w:r>
            <w:r w:rsidR="004448A1">
              <w:rPr>
                <w:rFonts w:ascii="Arial" w:hAnsi="Arial" w:cs="Arial"/>
                <w:sz w:val="22"/>
                <w:szCs w:val="22"/>
              </w:rPr>
              <w:t>FEES Rule</w:t>
            </w:r>
            <w:r w:rsidR="00604053">
              <w:rPr>
                <w:rFonts w:ascii="Arial" w:hAnsi="Arial" w:cs="Arial"/>
                <w:sz w:val="22"/>
                <w:szCs w:val="22"/>
              </w:rPr>
              <w:t>book</w:t>
            </w:r>
            <w:r w:rsidR="004448A1">
              <w:rPr>
                <w:rFonts w:ascii="Arial" w:hAnsi="Arial" w:cs="Arial"/>
                <w:sz w:val="22"/>
                <w:szCs w:val="22"/>
              </w:rPr>
              <w:t>.</w:t>
            </w:r>
          </w:p>
        </w:tc>
      </w:tr>
      <w:tr w:rsidR="00B572B2" w:rsidRPr="00E4265B" w14:paraId="440822DD" w14:textId="77777777" w:rsidTr="00520DA4">
        <w:trPr>
          <w:gridAfter w:val="1"/>
          <w:wAfter w:w="72" w:type="dxa"/>
        </w:trPr>
        <w:tc>
          <w:tcPr>
            <w:tcW w:w="990" w:type="dxa"/>
            <w:gridSpan w:val="4"/>
          </w:tcPr>
          <w:p w14:paraId="6591544C" w14:textId="7CDA4A48" w:rsidR="00B572B2" w:rsidRPr="00E4265B" w:rsidRDefault="00B572B2" w:rsidP="00B572B2">
            <w:pPr>
              <w:pStyle w:val="1List"/>
              <w:ind w:left="0" w:firstLine="0"/>
              <w:rPr>
                <w:rFonts w:ascii="Arial" w:hAnsi="Arial" w:cs="Arial"/>
                <w:sz w:val="22"/>
                <w:szCs w:val="22"/>
                <w:lang w:val="en-GB"/>
              </w:rPr>
            </w:pPr>
          </w:p>
        </w:tc>
        <w:tc>
          <w:tcPr>
            <w:tcW w:w="8388" w:type="dxa"/>
            <w:gridSpan w:val="5"/>
          </w:tcPr>
          <w:p w14:paraId="2C2289AB" w14:textId="050098EA" w:rsidR="00B572B2" w:rsidRPr="00E4265B" w:rsidRDefault="00B572B2" w:rsidP="007B7362">
            <w:pPr>
              <w:pStyle w:val="1List"/>
              <w:ind w:left="702" w:hanging="702"/>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Nothing in this Rule limits the right of the Regulator to take any other action.</w:t>
            </w:r>
          </w:p>
        </w:tc>
      </w:tr>
      <w:tr w:rsidR="00B572B2" w:rsidRPr="00E4265B" w14:paraId="152E7D07" w14:textId="77777777" w:rsidTr="00520DA4">
        <w:trPr>
          <w:gridAfter w:val="1"/>
          <w:wAfter w:w="72" w:type="dxa"/>
        </w:trPr>
        <w:tc>
          <w:tcPr>
            <w:tcW w:w="990" w:type="dxa"/>
            <w:gridSpan w:val="4"/>
          </w:tcPr>
          <w:p w14:paraId="18DBA169" w14:textId="5D609488" w:rsidR="00B572B2" w:rsidRPr="00E4265B" w:rsidRDefault="00B572B2" w:rsidP="00B572B2">
            <w:pPr>
              <w:pStyle w:val="TitleL5"/>
              <w:ind w:left="0"/>
              <w:rPr>
                <w:rFonts w:ascii="Arial" w:hAnsi="Arial" w:cs="Arial"/>
                <w:sz w:val="22"/>
                <w:szCs w:val="22"/>
                <w:lang w:val="en-GB"/>
              </w:rPr>
            </w:pPr>
          </w:p>
        </w:tc>
        <w:tc>
          <w:tcPr>
            <w:tcW w:w="8388" w:type="dxa"/>
            <w:gridSpan w:val="5"/>
          </w:tcPr>
          <w:p w14:paraId="072E458A" w14:textId="02F6F7C4" w:rsidR="00B572B2" w:rsidRPr="00E4265B" w:rsidRDefault="00B572B2" w:rsidP="00B572B2">
            <w:pPr>
              <w:pStyle w:val="TitleL5"/>
              <w:ind w:left="0"/>
              <w:rPr>
                <w:rFonts w:ascii="Arial" w:hAnsi="Arial" w:cs="Arial"/>
                <w:sz w:val="22"/>
                <w:szCs w:val="22"/>
                <w:lang w:val="en-GB"/>
              </w:rPr>
            </w:pPr>
            <w:r w:rsidRPr="00E4265B">
              <w:rPr>
                <w:rFonts w:ascii="Arial" w:hAnsi="Arial" w:cs="Arial"/>
                <w:sz w:val="22"/>
                <w:szCs w:val="22"/>
                <w:lang w:val="en-GB"/>
              </w:rPr>
              <w:t>Guidance</w:t>
            </w:r>
          </w:p>
        </w:tc>
      </w:tr>
      <w:tr w:rsidR="00B572B2" w:rsidRPr="00E4265B" w14:paraId="30893429" w14:textId="77777777" w:rsidTr="00520DA4">
        <w:trPr>
          <w:gridAfter w:val="1"/>
          <w:wAfter w:w="72" w:type="dxa"/>
        </w:trPr>
        <w:tc>
          <w:tcPr>
            <w:tcW w:w="990" w:type="dxa"/>
            <w:gridSpan w:val="4"/>
          </w:tcPr>
          <w:p w14:paraId="2B08EC80" w14:textId="5D2F004B" w:rsidR="00B572B2" w:rsidRPr="00E4265B" w:rsidRDefault="00B572B2" w:rsidP="00B572B2">
            <w:pPr>
              <w:pStyle w:val="UK12Block05"/>
              <w:ind w:left="0"/>
              <w:rPr>
                <w:rFonts w:ascii="Arial" w:hAnsi="Arial" w:cs="Arial"/>
                <w:sz w:val="22"/>
                <w:szCs w:val="22"/>
                <w:lang w:val="en-GB"/>
              </w:rPr>
            </w:pPr>
          </w:p>
        </w:tc>
        <w:tc>
          <w:tcPr>
            <w:tcW w:w="8388" w:type="dxa"/>
            <w:gridSpan w:val="5"/>
          </w:tcPr>
          <w:p w14:paraId="337F2A5E" w14:textId="578BDADD" w:rsidR="00B572B2" w:rsidRPr="00E4265B" w:rsidRDefault="00B572B2" w:rsidP="00B572B2">
            <w:pPr>
              <w:pStyle w:val="UK12Block05"/>
              <w:ind w:left="0"/>
              <w:rPr>
                <w:rFonts w:ascii="Arial" w:hAnsi="Arial" w:cs="Arial"/>
                <w:sz w:val="22"/>
                <w:szCs w:val="22"/>
                <w:lang w:val="en-GB"/>
              </w:rPr>
            </w:pPr>
            <w:r w:rsidRPr="00E4265B">
              <w:rPr>
                <w:rFonts w:ascii="Arial" w:hAnsi="Arial" w:cs="Arial"/>
                <w:sz w:val="22"/>
                <w:szCs w:val="22"/>
                <w:lang w:val="en-GB"/>
              </w:rPr>
              <w:t>If a return is not submitted by the date on which it becomes due, the Person is in breach of a Rule and the Regulator is entitled to take action including, but not limited to, taking steps to withdraw authorisation to conduct Regulated Activities.</w:t>
            </w:r>
          </w:p>
        </w:tc>
      </w:tr>
      <w:tr w:rsidR="00B572B2" w:rsidRPr="00E4265B" w14:paraId="76319458" w14:textId="77777777" w:rsidTr="00520DA4">
        <w:trPr>
          <w:gridAfter w:val="1"/>
          <w:wAfter w:w="72" w:type="dxa"/>
        </w:trPr>
        <w:tc>
          <w:tcPr>
            <w:tcW w:w="9378" w:type="dxa"/>
            <w:gridSpan w:val="9"/>
          </w:tcPr>
          <w:p w14:paraId="1AA2E4D6" w14:textId="56F91978" w:rsidR="00B572B2" w:rsidRPr="00E4265B" w:rsidRDefault="00B572B2" w:rsidP="00B572B2">
            <w:pPr>
              <w:pStyle w:val="Heading3"/>
              <w:rPr>
                <w:rFonts w:ascii="Arial" w:hAnsi="Arial" w:cs="Arial"/>
                <w:sz w:val="22"/>
                <w:szCs w:val="22"/>
              </w:rPr>
            </w:pPr>
            <w:bookmarkStart w:id="82" w:name="_Toc403223914"/>
            <w:bookmarkStart w:id="83" w:name="_Toc403253952"/>
            <w:bookmarkStart w:id="84" w:name="_Toc403273352"/>
            <w:bookmarkStart w:id="85" w:name="_Toc403273501"/>
            <w:bookmarkStart w:id="86" w:name="_Toc403274460"/>
            <w:bookmarkStart w:id="87" w:name="_Toc403279956"/>
            <w:bookmarkStart w:id="88" w:name="_Toc404285756"/>
            <w:bookmarkStart w:id="89" w:name="_Toc404621705"/>
            <w:bookmarkStart w:id="90" w:name="_Toc404624346"/>
            <w:bookmarkStart w:id="91" w:name="_Toc33622368"/>
            <w:r w:rsidRPr="00E4265B">
              <w:rPr>
                <w:rFonts w:ascii="Arial" w:hAnsi="Arial" w:cs="Arial"/>
                <w:sz w:val="22"/>
                <w:szCs w:val="22"/>
              </w:rPr>
              <w:t>Prudent valuation practices</w:t>
            </w:r>
            <w:bookmarkEnd w:id="82"/>
            <w:bookmarkEnd w:id="83"/>
            <w:bookmarkEnd w:id="84"/>
            <w:bookmarkEnd w:id="85"/>
            <w:bookmarkEnd w:id="86"/>
            <w:bookmarkEnd w:id="87"/>
            <w:bookmarkEnd w:id="88"/>
            <w:bookmarkEnd w:id="89"/>
            <w:bookmarkEnd w:id="90"/>
            <w:bookmarkEnd w:id="91"/>
          </w:p>
        </w:tc>
      </w:tr>
      <w:tr w:rsidR="00B572B2" w:rsidRPr="00E4265B" w14:paraId="29CB4F07" w14:textId="77777777" w:rsidTr="00520DA4">
        <w:trPr>
          <w:gridAfter w:val="1"/>
          <w:wAfter w:w="72" w:type="dxa"/>
        </w:trPr>
        <w:tc>
          <w:tcPr>
            <w:tcW w:w="990" w:type="dxa"/>
            <w:gridSpan w:val="4"/>
          </w:tcPr>
          <w:p w14:paraId="2BE8E346" w14:textId="49AAA650" w:rsidR="00B572B2" w:rsidRPr="00E4265B" w:rsidRDefault="00B572B2" w:rsidP="00B572B2">
            <w:pPr>
              <w:pStyle w:val="TitleL5"/>
              <w:ind w:left="0"/>
              <w:rPr>
                <w:rFonts w:ascii="Arial" w:hAnsi="Arial" w:cs="Arial"/>
                <w:sz w:val="22"/>
                <w:szCs w:val="22"/>
                <w:lang w:val="en-GB"/>
              </w:rPr>
            </w:pPr>
          </w:p>
        </w:tc>
        <w:tc>
          <w:tcPr>
            <w:tcW w:w="8388" w:type="dxa"/>
            <w:gridSpan w:val="5"/>
          </w:tcPr>
          <w:p w14:paraId="6714F36B" w14:textId="5BA2078A" w:rsidR="00B572B2" w:rsidRPr="00E4265B" w:rsidRDefault="00B572B2" w:rsidP="00B572B2">
            <w:pPr>
              <w:pStyle w:val="TitleL5"/>
              <w:ind w:left="0"/>
              <w:rPr>
                <w:rFonts w:ascii="Arial" w:hAnsi="Arial" w:cs="Arial"/>
                <w:sz w:val="22"/>
                <w:szCs w:val="22"/>
                <w:lang w:val="en-GB"/>
              </w:rPr>
            </w:pPr>
            <w:r w:rsidRPr="00E4265B">
              <w:rPr>
                <w:rFonts w:ascii="Arial" w:hAnsi="Arial" w:cs="Arial"/>
                <w:sz w:val="22"/>
                <w:szCs w:val="22"/>
                <w:lang w:val="en-GB"/>
              </w:rPr>
              <w:t>Guidance</w:t>
            </w:r>
          </w:p>
        </w:tc>
      </w:tr>
      <w:tr w:rsidR="00B572B2" w:rsidRPr="00E4265B" w14:paraId="55E7A852" w14:textId="77777777" w:rsidTr="00520DA4">
        <w:trPr>
          <w:gridAfter w:val="1"/>
          <w:wAfter w:w="72" w:type="dxa"/>
        </w:trPr>
        <w:tc>
          <w:tcPr>
            <w:tcW w:w="990" w:type="dxa"/>
            <w:gridSpan w:val="4"/>
          </w:tcPr>
          <w:p w14:paraId="002638B7" w14:textId="1F842B2E" w:rsidR="00B572B2" w:rsidRPr="00E4265B" w:rsidRDefault="00B572B2" w:rsidP="00B572B2">
            <w:pPr>
              <w:pStyle w:val="1List0"/>
              <w:ind w:left="0" w:firstLine="0"/>
              <w:rPr>
                <w:rFonts w:ascii="Arial" w:hAnsi="Arial" w:cs="Arial"/>
                <w:sz w:val="22"/>
                <w:szCs w:val="22"/>
                <w:lang w:val="en-GB"/>
              </w:rPr>
            </w:pPr>
          </w:p>
        </w:tc>
        <w:tc>
          <w:tcPr>
            <w:tcW w:w="8388" w:type="dxa"/>
            <w:gridSpan w:val="5"/>
          </w:tcPr>
          <w:p w14:paraId="77A37C62" w14:textId="4A0732B4" w:rsidR="00B572B2" w:rsidRPr="00E4265B" w:rsidRDefault="00B572B2" w:rsidP="007B7362">
            <w:pPr>
              <w:pStyle w:val="1List0"/>
              <w:ind w:left="702" w:hanging="702"/>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This Section and related Section A2.5 in App2 provide Authorised Persons with Guidance on prudent valuation for positions that are accounted for at fair value, whether they are in the Trading Book or in the Non</w:t>
            </w:r>
            <w:r w:rsidRPr="00E4265B">
              <w:rPr>
                <w:rFonts w:ascii="Arial" w:hAnsi="Arial" w:cs="Arial"/>
                <w:sz w:val="22"/>
                <w:szCs w:val="22"/>
                <w:lang w:val="en-GB"/>
              </w:rPr>
              <w:noBreakHyphen/>
              <w:t>Trading Book (also known as the banking book).</w:t>
            </w:r>
          </w:p>
        </w:tc>
      </w:tr>
      <w:tr w:rsidR="00B572B2" w:rsidRPr="00E4265B" w14:paraId="039F6BEB" w14:textId="77777777" w:rsidTr="00520DA4">
        <w:trPr>
          <w:gridAfter w:val="1"/>
          <w:wAfter w:w="72" w:type="dxa"/>
        </w:trPr>
        <w:tc>
          <w:tcPr>
            <w:tcW w:w="990" w:type="dxa"/>
            <w:gridSpan w:val="4"/>
          </w:tcPr>
          <w:p w14:paraId="5F774C4B" w14:textId="2C7945A6" w:rsidR="00B572B2" w:rsidRPr="00E4265B" w:rsidRDefault="00B572B2" w:rsidP="00B572B2">
            <w:pPr>
              <w:pStyle w:val="1List0"/>
              <w:ind w:left="0" w:firstLine="0"/>
              <w:rPr>
                <w:rFonts w:ascii="Arial" w:hAnsi="Arial" w:cs="Arial"/>
                <w:sz w:val="22"/>
                <w:szCs w:val="22"/>
                <w:lang w:val="en-GB"/>
              </w:rPr>
            </w:pPr>
          </w:p>
        </w:tc>
        <w:tc>
          <w:tcPr>
            <w:tcW w:w="8388" w:type="dxa"/>
            <w:gridSpan w:val="5"/>
          </w:tcPr>
          <w:p w14:paraId="33314135" w14:textId="5758BA77" w:rsidR="00B572B2" w:rsidRPr="00E4265B" w:rsidRDefault="00B572B2" w:rsidP="007B7362">
            <w:pPr>
              <w:pStyle w:val="1List0"/>
              <w:ind w:left="702" w:hanging="702"/>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A framework for prudent valuation practices should at a minimum include adequate systems and controls and valuation methodologies. The Regulator's expectations in this regard are set out in Section A2.5 </w:t>
            </w:r>
            <w:r w:rsidR="007B7362" w:rsidRPr="00E4265B">
              <w:rPr>
                <w:rFonts w:ascii="Arial" w:hAnsi="Arial" w:cs="Arial"/>
                <w:sz w:val="22"/>
                <w:szCs w:val="22"/>
                <w:lang w:val="en-GB"/>
              </w:rPr>
              <w:t xml:space="preserve">in </w:t>
            </w:r>
            <w:r w:rsidRPr="00E4265B">
              <w:rPr>
                <w:rFonts w:ascii="Arial" w:hAnsi="Arial" w:cs="Arial"/>
                <w:sz w:val="22"/>
                <w:szCs w:val="22"/>
                <w:lang w:val="en-GB"/>
              </w:rPr>
              <w:t>App2.</w:t>
            </w:r>
          </w:p>
        </w:tc>
      </w:tr>
      <w:tr w:rsidR="00B572B2" w:rsidRPr="00E4265B" w14:paraId="77C61823" w14:textId="77777777" w:rsidTr="00520DA4">
        <w:trPr>
          <w:gridAfter w:val="1"/>
          <w:wAfter w:w="72" w:type="dxa"/>
        </w:trPr>
        <w:tc>
          <w:tcPr>
            <w:tcW w:w="990" w:type="dxa"/>
            <w:gridSpan w:val="4"/>
          </w:tcPr>
          <w:p w14:paraId="5D80392E" w14:textId="4371C526" w:rsidR="00B572B2" w:rsidRPr="00E4265B" w:rsidRDefault="00B572B2" w:rsidP="00B572B2">
            <w:pPr>
              <w:pStyle w:val="1List0"/>
              <w:ind w:left="0" w:firstLine="0"/>
              <w:rPr>
                <w:rFonts w:ascii="Arial" w:hAnsi="Arial" w:cs="Arial"/>
                <w:sz w:val="22"/>
                <w:szCs w:val="22"/>
                <w:lang w:val="en-GB"/>
              </w:rPr>
            </w:pPr>
          </w:p>
        </w:tc>
        <w:tc>
          <w:tcPr>
            <w:tcW w:w="8388" w:type="dxa"/>
            <w:gridSpan w:val="5"/>
          </w:tcPr>
          <w:p w14:paraId="15FBCBCC" w14:textId="223E31C7" w:rsidR="00B572B2" w:rsidRPr="00E4265B" w:rsidRDefault="00B572B2" w:rsidP="007B7362">
            <w:pPr>
              <w:pStyle w:val="1List0"/>
              <w:ind w:left="702" w:hanging="702"/>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The Guidance is especially important for positions without actual market prices or observable inputs to valuation, as well as less liquid positions which raise supervisory concerns about prudent valuation. The Guidance is not intended to require Authorised Persons to change valuation procedures for financial reporting purposes.</w:t>
            </w:r>
          </w:p>
        </w:tc>
      </w:tr>
      <w:tr w:rsidR="00B572B2" w:rsidRPr="00E4265B" w14:paraId="5964DA2F" w14:textId="77777777" w:rsidTr="00520DA4">
        <w:trPr>
          <w:gridAfter w:val="1"/>
          <w:wAfter w:w="72" w:type="dxa"/>
        </w:trPr>
        <w:tc>
          <w:tcPr>
            <w:tcW w:w="990" w:type="dxa"/>
            <w:gridSpan w:val="4"/>
          </w:tcPr>
          <w:p w14:paraId="278AD4D5" w14:textId="7EA52675" w:rsidR="00B572B2" w:rsidRPr="00E4265B" w:rsidRDefault="00B572B2" w:rsidP="00B572B2">
            <w:pPr>
              <w:pStyle w:val="1List0"/>
              <w:ind w:left="0" w:firstLine="0"/>
              <w:rPr>
                <w:rFonts w:ascii="Arial" w:hAnsi="Arial" w:cs="Arial"/>
                <w:sz w:val="22"/>
                <w:szCs w:val="22"/>
                <w:lang w:val="en-GB"/>
              </w:rPr>
            </w:pPr>
          </w:p>
        </w:tc>
        <w:tc>
          <w:tcPr>
            <w:tcW w:w="8388" w:type="dxa"/>
            <w:gridSpan w:val="5"/>
          </w:tcPr>
          <w:p w14:paraId="0598FE6A" w14:textId="40845F41" w:rsidR="003733A6" w:rsidRPr="00E4265B" w:rsidRDefault="00B572B2" w:rsidP="003733A6">
            <w:pPr>
              <w:pStyle w:val="1List0"/>
              <w:ind w:left="702" w:hanging="702"/>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The Regulator will assess an Authorised Person's valuation procedures for consistency with the Guidance. The Regulator may impose a valuation adjustment if there is a material degree of inconsistency between the Authorised Person's valuation procedures and the Guidance.</w:t>
            </w:r>
          </w:p>
        </w:tc>
      </w:tr>
    </w:tbl>
    <w:p w14:paraId="30257360" w14:textId="77777777" w:rsidR="003733A6" w:rsidRPr="00E4265B" w:rsidRDefault="003733A6">
      <w:pPr>
        <w:rPr>
          <w:rFonts w:ascii="Arial" w:hAnsi="Arial" w:cs="Arial"/>
          <w:sz w:val="22"/>
          <w:szCs w:val="22"/>
          <w:lang w:val="en-GB"/>
        </w:rPr>
      </w:pPr>
      <w:r w:rsidRPr="00E4265B">
        <w:rPr>
          <w:rFonts w:ascii="Arial" w:hAnsi="Arial" w:cs="Arial"/>
          <w:sz w:val="22"/>
          <w:szCs w:val="22"/>
          <w:lang w:val="en-GB"/>
        </w:rPr>
        <w:br w:type="page"/>
      </w:r>
    </w:p>
    <w:p w14:paraId="38F72222" w14:textId="77777777" w:rsidR="00E22FF2" w:rsidRPr="00E4265B" w:rsidRDefault="00E22FF2" w:rsidP="00B20A20">
      <w:pPr>
        <w:pStyle w:val="Heading1"/>
        <w:rPr>
          <w:rFonts w:ascii="Arial" w:hAnsi="Arial" w:cs="Arial"/>
          <w:sz w:val="22"/>
          <w:szCs w:val="22"/>
          <w:lang w:val="en-GB"/>
        </w:rPr>
      </w:pPr>
      <w:bookmarkStart w:id="92" w:name="_Toc403273353"/>
      <w:bookmarkStart w:id="93" w:name="_Toc403273502"/>
      <w:bookmarkStart w:id="94" w:name="_Toc403274461"/>
      <w:bookmarkStart w:id="95" w:name="_Toc403279957"/>
      <w:bookmarkStart w:id="96" w:name="_Toc404285757"/>
      <w:bookmarkStart w:id="97" w:name="_Toc404621706"/>
      <w:bookmarkStart w:id="98" w:name="_Toc404624347"/>
      <w:bookmarkStart w:id="99" w:name="_Toc33622369"/>
      <w:bookmarkStart w:id="100" w:name="_Toc403223915"/>
      <w:bookmarkStart w:id="101" w:name="_Toc403253953"/>
      <w:bookmarkStart w:id="102" w:name="_Toc403254096"/>
      <w:r w:rsidRPr="00E4265B">
        <w:rPr>
          <w:rFonts w:ascii="Arial" w:hAnsi="Arial" w:cs="Arial"/>
          <w:sz w:val="22"/>
          <w:szCs w:val="22"/>
          <w:lang w:val="en-GB"/>
        </w:rPr>
        <w:lastRenderedPageBreak/>
        <w:t>CAPITAL</w:t>
      </w:r>
      <w:bookmarkEnd w:id="92"/>
      <w:bookmarkEnd w:id="93"/>
      <w:bookmarkEnd w:id="94"/>
      <w:bookmarkEnd w:id="95"/>
      <w:bookmarkEnd w:id="96"/>
      <w:bookmarkEnd w:id="97"/>
      <w:bookmarkEnd w:id="98"/>
      <w:r w:rsidR="006E5B87" w:rsidRPr="00E4265B">
        <w:rPr>
          <w:rFonts w:ascii="Arial" w:hAnsi="Arial" w:cs="Arial"/>
          <w:sz w:val="22"/>
          <w:szCs w:val="22"/>
          <w:lang w:val="en-GB"/>
        </w:rPr>
        <w:t xml:space="preserve"> AND </w:t>
      </w:r>
      <w:r w:rsidR="00076271" w:rsidRPr="00E4265B">
        <w:rPr>
          <w:rFonts w:ascii="Arial" w:hAnsi="Arial" w:cs="Arial"/>
          <w:sz w:val="22"/>
          <w:szCs w:val="22"/>
          <w:lang w:val="en-GB"/>
        </w:rPr>
        <w:t>LEVERAGE</w:t>
      </w:r>
      <w:bookmarkEnd w:id="99"/>
    </w:p>
    <w:bookmarkEnd w:id="100"/>
    <w:bookmarkEnd w:id="101"/>
    <w:bookmarkEnd w:id="102"/>
    <w:p w14:paraId="7BE54FEF"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27387F02" w14:textId="21C8B06B" w:rsidR="00E22FF2" w:rsidRPr="00E4265B" w:rsidRDefault="00E22FF2" w:rsidP="001B065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r>
      <w:r w:rsidR="006E5B87" w:rsidRPr="00E4265B">
        <w:rPr>
          <w:rFonts w:ascii="Arial" w:hAnsi="Arial" w:cs="Arial"/>
          <w:sz w:val="22"/>
          <w:szCs w:val="22"/>
          <w:lang w:val="en-GB"/>
        </w:rPr>
        <w:t xml:space="preserve">This Chapter deals with all aspects of prudential requirements relating to the capital adequacy of Authorised Persons, in terms of both quantity and quality, and, where appropriate, the maintenance of liquid assets. (Chapter 9 covers more generally the related prudential topic of liquidity, the ability of an Authorised Person to meet its financial obligations as they fall due.)  The Chapter outlines the minimum capital requirements that an Authorised Person should </w:t>
      </w:r>
      <w:r w:rsidR="001B065A" w:rsidRPr="00E4265B">
        <w:rPr>
          <w:rFonts w:ascii="Arial" w:hAnsi="Arial" w:cs="Arial"/>
          <w:sz w:val="22"/>
          <w:szCs w:val="22"/>
          <w:lang w:val="en-GB"/>
        </w:rPr>
        <w:t>meet</w:t>
      </w:r>
      <w:r w:rsidR="006E5B87" w:rsidRPr="00E4265B">
        <w:rPr>
          <w:rFonts w:ascii="Arial" w:hAnsi="Arial" w:cs="Arial"/>
          <w:sz w:val="22"/>
          <w:szCs w:val="22"/>
          <w:lang w:val="en-GB"/>
        </w:rPr>
        <w:t xml:space="preserve">, </w:t>
      </w:r>
      <w:r w:rsidR="001B065A" w:rsidRPr="00E4265B">
        <w:rPr>
          <w:rFonts w:ascii="Arial" w:hAnsi="Arial" w:cs="Arial"/>
          <w:sz w:val="22"/>
          <w:szCs w:val="22"/>
          <w:lang w:val="en-GB"/>
        </w:rPr>
        <w:t>consistent with</w:t>
      </w:r>
      <w:r w:rsidR="006E5B87" w:rsidRPr="00E4265B">
        <w:rPr>
          <w:rFonts w:ascii="Arial" w:hAnsi="Arial" w:cs="Arial"/>
          <w:sz w:val="22"/>
          <w:szCs w:val="22"/>
          <w:lang w:val="en-GB"/>
        </w:rPr>
        <w:t xml:space="preserve"> Pillar 1 of the Basel Accord, and aims to ensure that an Authorised Person maintains adequate capital resources to support the risks associated with its activities and that it can fully absorb unexpected losses at any time.</w:t>
      </w:r>
      <w:r w:rsidR="00F22B53" w:rsidRPr="00E4265B">
        <w:rPr>
          <w:rFonts w:ascii="Arial" w:hAnsi="Arial" w:cs="Arial"/>
          <w:sz w:val="22"/>
          <w:szCs w:val="22"/>
          <w:lang w:val="en-GB"/>
        </w:rPr>
        <w:t xml:space="preserve"> A summary of the minimum capital requirements is given in App 3.2. </w:t>
      </w:r>
    </w:p>
    <w:p w14:paraId="3D6D3AE1" w14:textId="50B6320C" w:rsidR="00E22FF2" w:rsidRPr="00E4265B" w:rsidRDefault="00E22FF2" w:rsidP="00187811">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r>
      <w:r w:rsidR="006E5B87" w:rsidRPr="00E4265B">
        <w:rPr>
          <w:rFonts w:ascii="Arial" w:hAnsi="Arial" w:cs="Arial"/>
          <w:sz w:val="22"/>
          <w:szCs w:val="22"/>
          <w:lang w:val="en-GB"/>
        </w:rPr>
        <w:t>This Chapter also includes provisions forming part of the framework for the assessment</w:t>
      </w:r>
      <w:r w:rsidR="00187811" w:rsidRPr="00E4265B">
        <w:rPr>
          <w:rFonts w:ascii="Arial" w:hAnsi="Arial" w:cs="Arial"/>
          <w:sz w:val="22"/>
          <w:szCs w:val="22"/>
          <w:lang w:val="en-GB"/>
        </w:rPr>
        <w:t xml:space="preserve"> by the Regulator</w:t>
      </w:r>
      <w:r w:rsidR="00861219" w:rsidRPr="00E4265B">
        <w:rPr>
          <w:rFonts w:ascii="Arial" w:hAnsi="Arial" w:cs="Arial"/>
          <w:sz w:val="22"/>
          <w:szCs w:val="22"/>
          <w:lang w:val="en-GB"/>
        </w:rPr>
        <w:t>, under Pillar 2 of the Basel Accord,</w:t>
      </w:r>
      <w:r w:rsidR="006E5B87" w:rsidRPr="00E4265B">
        <w:rPr>
          <w:rFonts w:ascii="Arial" w:hAnsi="Arial" w:cs="Arial"/>
          <w:sz w:val="22"/>
          <w:szCs w:val="22"/>
          <w:lang w:val="en-GB"/>
        </w:rPr>
        <w:t xml:space="preserve"> of the capital adequacy of an Au</w:t>
      </w:r>
      <w:r w:rsidR="00861219" w:rsidRPr="00E4265B">
        <w:rPr>
          <w:rFonts w:ascii="Arial" w:hAnsi="Arial" w:cs="Arial"/>
          <w:sz w:val="22"/>
          <w:szCs w:val="22"/>
          <w:lang w:val="en-GB"/>
        </w:rPr>
        <w:t>thorised Person</w:t>
      </w:r>
      <w:r w:rsidR="006E5B87" w:rsidRPr="00E4265B">
        <w:rPr>
          <w:rFonts w:ascii="Arial" w:hAnsi="Arial" w:cs="Arial"/>
          <w:sz w:val="22"/>
          <w:szCs w:val="22"/>
          <w:lang w:val="en-GB"/>
        </w:rPr>
        <w:t>, with further detail given in Chapter 10.  The disclosure requirements placed upon an Au</w:t>
      </w:r>
      <w:r w:rsidR="00187811" w:rsidRPr="00E4265B">
        <w:rPr>
          <w:rFonts w:ascii="Arial" w:hAnsi="Arial" w:cs="Arial"/>
          <w:sz w:val="22"/>
          <w:szCs w:val="22"/>
          <w:lang w:val="en-GB"/>
        </w:rPr>
        <w:t>thorised Person under Pillar 3 of the Basel Accord</w:t>
      </w:r>
      <w:r w:rsidR="006E5B87" w:rsidRPr="00E4265B">
        <w:rPr>
          <w:rFonts w:ascii="Arial" w:hAnsi="Arial" w:cs="Arial"/>
          <w:sz w:val="22"/>
          <w:szCs w:val="22"/>
          <w:lang w:val="en-GB"/>
        </w:rPr>
        <w:t xml:space="preserve"> are covered in Chapter 11.</w:t>
      </w:r>
    </w:p>
    <w:p w14:paraId="2278AAB3" w14:textId="77777777" w:rsidR="006E5B87"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r>
      <w:r w:rsidR="006E5B87" w:rsidRPr="00E4265B">
        <w:rPr>
          <w:rFonts w:ascii="Arial" w:hAnsi="Arial" w:cs="Arial"/>
          <w:sz w:val="22"/>
          <w:szCs w:val="22"/>
          <w:lang w:val="en-GB"/>
        </w:rPr>
        <w:t>Part 1 of this Chapter sets out the application provisions.  Part 2 of this Chapter outlines the fundamental capital adequacy obligations and the systems and controls requirements to ensure compliance with this critical regulatory obligation.  Part 3 of this Chapter and the related App4 include the Rules and associated guidance for the calculation of minimum Capital Requirement for different Categories of Authorised Persons.  Additionally, this Part also includes requirements for the maintenance of liquid assets by firms subject to the Expenditure Based Capital Minimum. Part 4 of this Chapter specifies detailed Rules on the calculation of Capital Resources of an Authorised Person, including detailed Rules on the eligibility criteria for different components of Capital Resources which correspond to varying levels of quality.  This part also specifies the requirements in respect of the Capital Conservation Buffer and associated obligations.</w:t>
      </w:r>
    </w:p>
    <w:p w14:paraId="0A394A28" w14:textId="77777777" w:rsidR="00E22FF2" w:rsidRPr="00E4265B" w:rsidRDefault="006E5B87" w:rsidP="0023775A">
      <w:pPr>
        <w:pStyle w:val="1List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App3 provides guidance on various aspects of stress and scenario testing which are to be considered by an Authorised Person to assist it in complying effectively with the Rules in this Chapter.</w:t>
      </w:r>
    </w:p>
    <w:p w14:paraId="52DE8BB0" w14:textId="77777777" w:rsidR="00E22FF2" w:rsidRPr="00E4265B" w:rsidRDefault="00E22FF2" w:rsidP="00207963">
      <w:pPr>
        <w:pStyle w:val="Heading2"/>
        <w:ind w:left="900"/>
        <w:rPr>
          <w:rFonts w:ascii="Arial" w:hAnsi="Arial" w:cs="Arial"/>
          <w:sz w:val="22"/>
          <w:szCs w:val="22"/>
          <w:lang w:val="en-GB"/>
        </w:rPr>
      </w:pPr>
      <w:bookmarkStart w:id="103" w:name="_Toc403223916"/>
      <w:bookmarkStart w:id="104" w:name="_Toc403253954"/>
      <w:bookmarkStart w:id="105" w:name="_Toc403254097"/>
      <w:bookmarkStart w:id="106" w:name="_Toc403273354"/>
      <w:bookmarkStart w:id="107" w:name="_Toc403273503"/>
      <w:bookmarkStart w:id="108" w:name="_Toc403274462"/>
      <w:bookmarkStart w:id="109" w:name="_Toc403279958"/>
      <w:bookmarkStart w:id="110" w:name="_Toc404285758"/>
      <w:bookmarkStart w:id="111" w:name="_Toc404621707"/>
      <w:bookmarkStart w:id="112" w:name="_Toc404624348"/>
      <w:bookmarkStart w:id="113" w:name="_Toc33622370"/>
      <w:r w:rsidRPr="00E4265B">
        <w:rPr>
          <w:rFonts w:ascii="Arial" w:hAnsi="Arial" w:cs="Arial"/>
          <w:sz w:val="22"/>
          <w:szCs w:val="22"/>
          <w:lang w:val="en-GB"/>
        </w:rPr>
        <w:t>– Application</w:t>
      </w:r>
      <w:bookmarkEnd w:id="103"/>
      <w:bookmarkEnd w:id="104"/>
      <w:bookmarkEnd w:id="105"/>
      <w:bookmarkEnd w:id="106"/>
      <w:bookmarkEnd w:id="107"/>
      <w:bookmarkEnd w:id="108"/>
      <w:bookmarkEnd w:id="109"/>
      <w:bookmarkEnd w:id="110"/>
      <w:bookmarkEnd w:id="111"/>
      <w:bookmarkEnd w:id="112"/>
      <w:bookmarkEnd w:id="113"/>
    </w:p>
    <w:p w14:paraId="3EA1D0C1" w14:textId="77777777" w:rsidR="00E22FF2" w:rsidRPr="00E4265B" w:rsidRDefault="00E22FF2" w:rsidP="00246497">
      <w:pPr>
        <w:pStyle w:val="Heading3"/>
        <w:rPr>
          <w:rFonts w:ascii="Arial" w:hAnsi="Arial" w:cs="Arial"/>
          <w:sz w:val="22"/>
          <w:szCs w:val="22"/>
        </w:rPr>
      </w:pPr>
      <w:bookmarkStart w:id="114" w:name="_Toc403223917"/>
      <w:bookmarkStart w:id="115" w:name="_Toc403253955"/>
      <w:bookmarkStart w:id="116" w:name="_Toc403273355"/>
      <w:bookmarkStart w:id="117" w:name="_Toc403273504"/>
      <w:bookmarkStart w:id="118" w:name="_Toc403274463"/>
      <w:bookmarkStart w:id="119" w:name="_Toc403279959"/>
      <w:bookmarkStart w:id="120" w:name="_Toc404285759"/>
      <w:bookmarkStart w:id="121" w:name="_Toc404621708"/>
      <w:bookmarkStart w:id="122" w:name="_Toc404624349"/>
      <w:bookmarkStart w:id="123" w:name="_Toc33622371"/>
      <w:r w:rsidRPr="00E4265B">
        <w:rPr>
          <w:rFonts w:ascii="Arial" w:hAnsi="Arial" w:cs="Arial"/>
          <w:sz w:val="22"/>
          <w:szCs w:val="22"/>
        </w:rPr>
        <w:t>Application</w:t>
      </w:r>
      <w:bookmarkEnd w:id="114"/>
      <w:bookmarkEnd w:id="115"/>
      <w:bookmarkEnd w:id="116"/>
      <w:bookmarkEnd w:id="117"/>
      <w:bookmarkEnd w:id="118"/>
      <w:bookmarkEnd w:id="119"/>
      <w:bookmarkEnd w:id="120"/>
      <w:bookmarkEnd w:id="121"/>
      <w:bookmarkEnd w:id="122"/>
      <w:bookmarkEnd w:id="123"/>
    </w:p>
    <w:p w14:paraId="60D2529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The Parts, Sections and Rules in this Chapter apply to an </w:t>
      </w:r>
      <w:r w:rsidR="000D1A90" w:rsidRPr="00E4265B">
        <w:rPr>
          <w:rFonts w:ascii="Arial" w:hAnsi="Arial" w:cs="Arial"/>
          <w:sz w:val="22"/>
          <w:szCs w:val="22"/>
        </w:rPr>
        <w:t>Authorised Person</w:t>
      </w:r>
      <w:r w:rsidRPr="00E4265B">
        <w:rPr>
          <w:rFonts w:ascii="Arial" w:hAnsi="Arial" w:cs="Arial"/>
          <w:sz w:val="22"/>
          <w:szCs w:val="22"/>
        </w:rPr>
        <w:t xml:space="preserve"> as stated in those provisions.</w:t>
      </w:r>
    </w:p>
    <w:p w14:paraId="7FB6E921"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271A9060" w14:textId="136290CE"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r>
      <w:r w:rsidR="006E5B87" w:rsidRPr="00E4265B">
        <w:rPr>
          <w:rFonts w:ascii="Arial" w:hAnsi="Arial" w:cs="Arial"/>
          <w:sz w:val="22"/>
          <w:szCs w:val="22"/>
          <w:lang w:val="en-GB"/>
        </w:rPr>
        <w:t>Part 2</w:t>
      </w:r>
      <w:r w:rsidR="001B065A" w:rsidRPr="00E4265B">
        <w:rPr>
          <w:rFonts w:ascii="Arial" w:hAnsi="Arial" w:cs="Arial"/>
          <w:sz w:val="22"/>
          <w:szCs w:val="22"/>
          <w:lang w:val="en-GB"/>
        </w:rPr>
        <w:t xml:space="preserve"> (Basic Requirements)</w:t>
      </w:r>
      <w:r w:rsidR="006E5B87" w:rsidRPr="00E4265B">
        <w:rPr>
          <w:rFonts w:ascii="Arial" w:hAnsi="Arial" w:cs="Arial"/>
          <w:sz w:val="22"/>
          <w:szCs w:val="22"/>
          <w:lang w:val="en-GB"/>
        </w:rPr>
        <w:t xml:space="preserve"> of this Chapter imposes a number of basic requirements, including the following core requirements:</w:t>
      </w:r>
    </w:p>
    <w:p w14:paraId="4121703E" w14:textId="77777777" w:rsidR="006E5B87" w:rsidRPr="00E4265B" w:rsidRDefault="006E5B87" w:rsidP="006E5B87">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for an Authorised Person in Category 1, 2, 3A or 5, the components of its Capital Resources should at all times equal or exceed the thresholds specified in Section 3.16; and</w:t>
      </w:r>
    </w:p>
    <w:p w14:paraId="3ADBCB4C" w14:textId="77777777" w:rsidR="006E5B87" w:rsidRPr="00E4265B" w:rsidRDefault="006E5B87" w:rsidP="006E5B87">
      <w:pPr>
        <w:pStyle w:val="aList"/>
        <w:rPr>
          <w:rFonts w:ascii="Arial" w:hAnsi="Arial" w:cs="Arial"/>
          <w:sz w:val="22"/>
          <w:szCs w:val="22"/>
          <w:lang w:val="en-GB"/>
        </w:rPr>
      </w:pPr>
      <w:r w:rsidRPr="00E4265B">
        <w:rPr>
          <w:rFonts w:ascii="Arial" w:hAnsi="Arial" w:cs="Arial"/>
          <w:sz w:val="22"/>
          <w:szCs w:val="22"/>
          <w:lang w:val="en-GB"/>
        </w:rPr>
        <w:lastRenderedPageBreak/>
        <w:t>b.</w:t>
      </w:r>
      <w:r w:rsidRPr="00E4265B">
        <w:rPr>
          <w:rFonts w:ascii="Arial" w:hAnsi="Arial" w:cs="Arial"/>
          <w:sz w:val="22"/>
          <w:szCs w:val="22"/>
          <w:lang w:val="en-GB"/>
        </w:rPr>
        <w:tab/>
        <w:t>for an Authorised Person in Category 3B, 3C or 4, its Capital Resources should at all times equal or exceed the amount of its Capital Requirement.</w:t>
      </w:r>
    </w:p>
    <w:p w14:paraId="1D12F51C"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In particular, note that:</w:t>
      </w:r>
    </w:p>
    <w:p w14:paraId="7B51E61F" w14:textId="0F63B015" w:rsidR="006E5B87" w:rsidRPr="00E4265B" w:rsidRDefault="00E22FF2" w:rsidP="006E5B87">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r>
      <w:r w:rsidR="006E5B87" w:rsidRPr="00E4265B">
        <w:rPr>
          <w:rFonts w:ascii="Arial" w:hAnsi="Arial" w:cs="Arial"/>
          <w:sz w:val="22"/>
          <w:szCs w:val="22"/>
          <w:lang w:val="en-GB"/>
        </w:rPr>
        <w:t>Part 3</w:t>
      </w:r>
      <w:r w:rsidR="001B065A" w:rsidRPr="00E4265B">
        <w:rPr>
          <w:rFonts w:ascii="Arial" w:hAnsi="Arial" w:cs="Arial"/>
          <w:sz w:val="22"/>
          <w:szCs w:val="22"/>
          <w:lang w:val="en-GB"/>
        </w:rPr>
        <w:t xml:space="preserve"> (Calculating Capital Requirements)</w:t>
      </w:r>
      <w:r w:rsidR="006E5B87" w:rsidRPr="00E4265B">
        <w:rPr>
          <w:rFonts w:ascii="Arial" w:hAnsi="Arial" w:cs="Arial"/>
          <w:sz w:val="22"/>
          <w:szCs w:val="22"/>
          <w:lang w:val="en-GB"/>
        </w:rPr>
        <w:t xml:space="preserve"> applies to all firms, but with differentiated calculations for the Capital Requirement for the various Categories of Authorised Persons, as prescribed in Sections 3.4 and 3.6;</w:t>
      </w:r>
    </w:p>
    <w:p w14:paraId="0FEDC207" w14:textId="77777777" w:rsidR="009A095E" w:rsidRPr="00E4265B" w:rsidRDefault="006E5B87" w:rsidP="009A095E">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r>
      <w:r w:rsidR="009A095E" w:rsidRPr="00E4265B">
        <w:rPr>
          <w:rFonts w:ascii="Arial" w:hAnsi="Arial" w:cs="Arial"/>
          <w:sz w:val="22"/>
          <w:szCs w:val="22"/>
          <w:lang w:val="en-GB"/>
        </w:rPr>
        <w:t>Part 4 (Calculating Capital Resources) applies to all firms; and</w:t>
      </w:r>
    </w:p>
    <w:p w14:paraId="0FF620E3" w14:textId="41D8A929" w:rsidR="006E5B87" w:rsidRPr="00E4265B" w:rsidRDefault="009A095E" w:rsidP="009A095E">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r>
      <w:r w:rsidR="006E5B87" w:rsidRPr="00E4265B">
        <w:rPr>
          <w:rFonts w:ascii="Arial" w:hAnsi="Arial" w:cs="Arial"/>
          <w:sz w:val="22"/>
          <w:szCs w:val="22"/>
          <w:lang w:val="en-GB"/>
        </w:rPr>
        <w:t xml:space="preserve">within Part </w:t>
      </w:r>
      <w:r w:rsidRPr="00E4265B">
        <w:rPr>
          <w:rFonts w:ascii="Arial" w:hAnsi="Arial" w:cs="Arial"/>
          <w:sz w:val="22"/>
          <w:szCs w:val="22"/>
          <w:lang w:val="en-GB"/>
        </w:rPr>
        <w:t>4</w:t>
      </w:r>
      <w:r w:rsidR="006E5B87" w:rsidRPr="00E4265B">
        <w:rPr>
          <w:rFonts w:ascii="Arial" w:hAnsi="Arial" w:cs="Arial"/>
          <w:sz w:val="22"/>
          <w:szCs w:val="22"/>
          <w:lang w:val="en-GB"/>
        </w:rPr>
        <w:t xml:space="preserve">, an exemption from the calculation of T2 Capital in relation to firms authorised to Manage a Profit Sharing Investment Account which is a PSIAu is prescribed in Rule </w:t>
      </w:r>
      <w:r w:rsidR="00187811" w:rsidRPr="00E4265B">
        <w:rPr>
          <w:rFonts w:ascii="Arial" w:hAnsi="Arial" w:cs="Arial"/>
          <w:sz w:val="22"/>
          <w:szCs w:val="22"/>
          <w:lang w:val="en-GB"/>
        </w:rPr>
        <w:t>3.12.</w:t>
      </w:r>
      <w:r w:rsidR="006E5B87" w:rsidRPr="00E4265B">
        <w:rPr>
          <w:rFonts w:ascii="Arial" w:hAnsi="Arial" w:cs="Arial"/>
          <w:sz w:val="22"/>
          <w:szCs w:val="22"/>
          <w:lang w:val="en-GB"/>
        </w:rPr>
        <w:t>9</w:t>
      </w:r>
      <w:r w:rsidRPr="00E4265B">
        <w:rPr>
          <w:rFonts w:ascii="Arial" w:hAnsi="Arial" w:cs="Arial"/>
          <w:sz w:val="22"/>
          <w:szCs w:val="22"/>
          <w:lang w:val="en-GB"/>
        </w:rPr>
        <w:t>.</w:t>
      </w:r>
    </w:p>
    <w:p w14:paraId="06B71B4C" w14:textId="77777777" w:rsidR="00E22FF2" w:rsidRPr="00E4265B" w:rsidRDefault="00E22FF2" w:rsidP="00207963">
      <w:pPr>
        <w:pStyle w:val="Heading2"/>
        <w:ind w:left="900"/>
        <w:rPr>
          <w:rFonts w:ascii="Arial" w:hAnsi="Arial" w:cs="Arial"/>
          <w:sz w:val="22"/>
          <w:szCs w:val="22"/>
          <w:lang w:val="en-GB"/>
        </w:rPr>
      </w:pPr>
      <w:bookmarkStart w:id="124" w:name="_Toc403223918"/>
      <w:bookmarkStart w:id="125" w:name="_Toc403253956"/>
      <w:bookmarkStart w:id="126" w:name="_Toc403254098"/>
      <w:bookmarkStart w:id="127" w:name="_Toc403273356"/>
      <w:bookmarkStart w:id="128" w:name="_Toc403273505"/>
      <w:bookmarkStart w:id="129" w:name="_Toc403274464"/>
      <w:bookmarkStart w:id="130" w:name="_Toc403279960"/>
      <w:bookmarkStart w:id="131" w:name="_Toc404285760"/>
      <w:bookmarkStart w:id="132" w:name="_Toc404621709"/>
      <w:bookmarkStart w:id="133" w:name="_Toc404624350"/>
      <w:bookmarkStart w:id="134" w:name="_Toc33622372"/>
      <w:r w:rsidRPr="00E4265B">
        <w:rPr>
          <w:rFonts w:ascii="Arial" w:hAnsi="Arial" w:cs="Arial"/>
          <w:sz w:val="22"/>
          <w:szCs w:val="22"/>
          <w:lang w:val="en-GB"/>
        </w:rPr>
        <w:t>– Basic Requirements</w:t>
      </w:r>
      <w:bookmarkEnd w:id="124"/>
      <w:bookmarkEnd w:id="125"/>
      <w:bookmarkEnd w:id="126"/>
      <w:bookmarkEnd w:id="127"/>
      <w:bookmarkEnd w:id="128"/>
      <w:bookmarkEnd w:id="129"/>
      <w:bookmarkEnd w:id="130"/>
      <w:bookmarkEnd w:id="131"/>
      <w:bookmarkEnd w:id="132"/>
      <w:bookmarkEnd w:id="133"/>
      <w:bookmarkEnd w:id="134"/>
    </w:p>
    <w:p w14:paraId="399EECAE" w14:textId="77777777" w:rsidR="00E22FF2" w:rsidRPr="00E4265B" w:rsidRDefault="00E22FF2" w:rsidP="00246497">
      <w:pPr>
        <w:pStyle w:val="Heading3"/>
        <w:rPr>
          <w:rFonts w:ascii="Arial" w:hAnsi="Arial" w:cs="Arial"/>
          <w:sz w:val="22"/>
          <w:szCs w:val="22"/>
        </w:rPr>
      </w:pPr>
      <w:bookmarkStart w:id="135" w:name="_Toc404285762"/>
      <w:bookmarkStart w:id="136" w:name="_Toc404621711"/>
      <w:bookmarkStart w:id="137" w:name="_Toc404624352"/>
      <w:bookmarkStart w:id="138" w:name="_Toc33622373"/>
      <w:r w:rsidRPr="00E4265B">
        <w:rPr>
          <w:rFonts w:ascii="Arial" w:hAnsi="Arial" w:cs="Arial"/>
          <w:sz w:val="22"/>
          <w:szCs w:val="22"/>
        </w:rPr>
        <w:t>Application</w:t>
      </w:r>
      <w:bookmarkEnd w:id="135"/>
      <w:bookmarkEnd w:id="136"/>
      <w:bookmarkEnd w:id="137"/>
      <w:bookmarkEnd w:id="138"/>
    </w:p>
    <w:p w14:paraId="20EAA049" w14:textId="77777777" w:rsidR="00E22FF2" w:rsidRPr="00E4265B" w:rsidRDefault="006E5B87" w:rsidP="00246497">
      <w:pPr>
        <w:pStyle w:val="Heading4"/>
        <w:rPr>
          <w:rFonts w:ascii="Arial" w:hAnsi="Arial" w:cs="Arial"/>
          <w:sz w:val="22"/>
          <w:szCs w:val="22"/>
        </w:rPr>
      </w:pPr>
      <w:r w:rsidRPr="00E4265B">
        <w:rPr>
          <w:rFonts w:ascii="Arial" w:hAnsi="Arial" w:cs="Arial"/>
          <w:sz w:val="22"/>
          <w:szCs w:val="22"/>
        </w:rPr>
        <w:t>In this Section the Rules apply to an Authorised Person in any Category as follows:</w:t>
      </w:r>
    </w:p>
    <w:p w14:paraId="6413D886" w14:textId="77777777" w:rsidR="006E5B87" w:rsidRPr="00E4265B" w:rsidRDefault="006E5B87" w:rsidP="008432F8">
      <w:pPr>
        <w:pStyle w:val="Heading5"/>
        <w:rPr>
          <w:rFonts w:ascii="Arial" w:hAnsi="Arial" w:cs="Arial"/>
          <w:sz w:val="22"/>
          <w:szCs w:val="22"/>
        </w:rPr>
      </w:pPr>
      <w:r w:rsidRPr="00E4265B">
        <w:rPr>
          <w:rFonts w:ascii="Arial" w:hAnsi="Arial" w:cs="Arial"/>
          <w:sz w:val="22"/>
          <w:szCs w:val="22"/>
        </w:rPr>
        <w:t>Rule 3.2.2 applies to an Authorised Person operating as a Branch; and</w:t>
      </w:r>
    </w:p>
    <w:p w14:paraId="68667BDF" w14:textId="77777777" w:rsidR="00E22FF2" w:rsidRPr="00E4265B" w:rsidRDefault="006E5B87" w:rsidP="008432F8">
      <w:pPr>
        <w:pStyle w:val="Heading5"/>
        <w:rPr>
          <w:rFonts w:ascii="Arial" w:hAnsi="Arial" w:cs="Arial"/>
          <w:sz w:val="22"/>
          <w:szCs w:val="22"/>
        </w:rPr>
      </w:pPr>
      <w:r w:rsidRPr="00E4265B">
        <w:rPr>
          <w:rFonts w:ascii="Arial" w:hAnsi="Arial" w:cs="Arial"/>
          <w:sz w:val="22"/>
          <w:szCs w:val="22"/>
        </w:rPr>
        <w:t>Rules 3.2.3 to 3.2.5 apply to an Authorised Person operating as a Domestic Firm.</w:t>
      </w:r>
    </w:p>
    <w:p w14:paraId="3EAB0921" w14:textId="77777777" w:rsidR="00E209BF" w:rsidRPr="00E4265B" w:rsidRDefault="00E209BF" w:rsidP="00E209BF">
      <w:pPr>
        <w:pStyle w:val="TitleL5"/>
        <w:rPr>
          <w:rFonts w:ascii="Arial" w:hAnsi="Arial" w:cs="Arial"/>
          <w:sz w:val="22"/>
          <w:szCs w:val="22"/>
          <w:lang w:val="en-GB"/>
        </w:rPr>
      </w:pPr>
      <w:r w:rsidRPr="00E4265B">
        <w:rPr>
          <w:rFonts w:ascii="Arial" w:hAnsi="Arial" w:cs="Arial"/>
          <w:sz w:val="22"/>
          <w:szCs w:val="22"/>
          <w:lang w:val="en-GB"/>
        </w:rPr>
        <w:t>Branches – general requirements</w:t>
      </w:r>
    </w:p>
    <w:p w14:paraId="428A1F24" w14:textId="77777777" w:rsidR="00E209BF" w:rsidRPr="00E4265B" w:rsidRDefault="00E209BF" w:rsidP="00246497">
      <w:pPr>
        <w:pStyle w:val="Heading4"/>
        <w:rPr>
          <w:rFonts w:ascii="Arial" w:hAnsi="Arial" w:cs="Arial"/>
          <w:sz w:val="22"/>
          <w:szCs w:val="22"/>
        </w:rPr>
      </w:pPr>
      <w:r w:rsidRPr="00E4265B">
        <w:rPr>
          <w:rFonts w:ascii="Arial" w:hAnsi="Arial" w:cs="Arial"/>
          <w:sz w:val="22"/>
          <w:szCs w:val="22"/>
        </w:rPr>
        <w:t>An Authorised Person that is a Branch must:</w:t>
      </w:r>
    </w:p>
    <w:p w14:paraId="47D96DFC" w14:textId="77777777" w:rsidR="00E209BF" w:rsidRPr="00E4265B" w:rsidRDefault="00E209BF" w:rsidP="008432F8">
      <w:pPr>
        <w:pStyle w:val="Heading5"/>
        <w:rPr>
          <w:rFonts w:ascii="Arial" w:hAnsi="Arial" w:cs="Arial"/>
          <w:sz w:val="22"/>
          <w:szCs w:val="22"/>
        </w:rPr>
      </w:pPr>
      <w:r w:rsidRPr="00E4265B">
        <w:rPr>
          <w:rFonts w:ascii="Arial" w:hAnsi="Arial" w:cs="Arial"/>
          <w:sz w:val="22"/>
          <w:szCs w:val="22"/>
        </w:rPr>
        <w:t>ensure that it has and maintains, at all times, liquid assets and access to financial resources which are adequate in relation to the nature, size and complexity of its business both as to amount and quality to ensure that there is no significant risk that liabilities cannot be met as they fall due;</w:t>
      </w:r>
    </w:p>
    <w:p w14:paraId="7B5D4871" w14:textId="77777777" w:rsidR="00E209BF" w:rsidRPr="00E4265B" w:rsidRDefault="00E209BF" w:rsidP="008432F8">
      <w:pPr>
        <w:pStyle w:val="Heading5"/>
        <w:rPr>
          <w:rFonts w:ascii="Arial" w:hAnsi="Arial" w:cs="Arial"/>
          <w:sz w:val="22"/>
          <w:szCs w:val="22"/>
        </w:rPr>
      </w:pPr>
      <w:r w:rsidRPr="00E4265B">
        <w:rPr>
          <w:rFonts w:ascii="Arial" w:hAnsi="Arial" w:cs="Arial"/>
          <w:sz w:val="22"/>
          <w:szCs w:val="22"/>
        </w:rPr>
        <w:t>ensure that it complies at all times with its Home State Regulator's prudential requirements;</w:t>
      </w:r>
    </w:p>
    <w:p w14:paraId="44B10678" w14:textId="0D48CCCC" w:rsidR="00E209BF" w:rsidRPr="00E4265B" w:rsidRDefault="00E209BF" w:rsidP="00744616">
      <w:pPr>
        <w:pStyle w:val="Heading5"/>
        <w:rPr>
          <w:rFonts w:ascii="Arial" w:hAnsi="Arial" w:cs="Arial"/>
          <w:sz w:val="22"/>
          <w:szCs w:val="22"/>
        </w:rPr>
      </w:pPr>
      <w:r w:rsidRPr="00E4265B">
        <w:rPr>
          <w:rFonts w:ascii="Arial" w:hAnsi="Arial" w:cs="Arial"/>
          <w:sz w:val="22"/>
          <w:szCs w:val="22"/>
        </w:rPr>
        <w:t xml:space="preserve">submit to the Regulator a copy of every capital adequacy summary report and Leverage Ratio report submitted to its Home State Regulator within </w:t>
      </w:r>
      <w:r w:rsidR="00744616" w:rsidRPr="00E4265B">
        <w:rPr>
          <w:rFonts w:ascii="Arial" w:hAnsi="Arial" w:cs="Arial"/>
          <w:sz w:val="22"/>
          <w:szCs w:val="22"/>
        </w:rPr>
        <w:t>ten</w:t>
      </w:r>
      <w:r w:rsidRPr="00E4265B">
        <w:rPr>
          <w:rFonts w:ascii="Arial" w:hAnsi="Arial" w:cs="Arial"/>
          <w:sz w:val="22"/>
          <w:szCs w:val="22"/>
        </w:rPr>
        <w:t xml:space="preserve"> business days of the due date for submission to that regulator; and</w:t>
      </w:r>
    </w:p>
    <w:p w14:paraId="56520754" w14:textId="77777777" w:rsidR="00E209BF" w:rsidRPr="00E4265B" w:rsidRDefault="00E209BF" w:rsidP="008432F8">
      <w:pPr>
        <w:pStyle w:val="Heading5"/>
        <w:rPr>
          <w:rFonts w:ascii="Arial" w:hAnsi="Arial" w:cs="Arial"/>
          <w:sz w:val="22"/>
          <w:szCs w:val="22"/>
        </w:rPr>
      </w:pPr>
      <w:r w:rsidRPr="00E4265B">
        <w:rPr>
          <w:rFonts w:ascii="Arial" w:hAnsi="Arial" w:cs="Arial"/>
          <w:sz w:val="22"/>
          <w:szCs w:val="22"/>
        </w:rPr>
        <w:t>in the event of any anticipated or actual breach of any prudential requirements set by its Home State Regulator, notify the Regulator immediately with any relevant documents.</w:t>
      </w:r>
    </w:p>
    <w:p w14:paraId="23F00446" w14:textId="77777777" w:rsidR="00E209BF" w:rsidRPr="00E4265B" w:rsidRDefault="00E209BF" w:rsidP="00E209BF">
      <w:pPr>
        <w:pStyle w:val="TitleL5"/>
        <w:rPr>
          <w:rFonts w:ascii="Arial" w:hAnsi="Arial" w:cs="Arial"/>
          <w:sz w:val="22"/>
          <w:szCs w:val="22"/>
          <w:lang w:val="en-GB"/>
        </w:rPr>
      </w:pPr>
      <w:r w:rsidRPr="00E4265B">
        <w:rPr>
          <w:rFonts w:ascii="Arial" w:hAnsi="Arial" w:cs="Arial"/>
          <w:sz w:val="22"/>
          <w:szCs w:val="22"/>
          <w:lang w:val="en-GB"/>
        </w:rPr>
        <w:t>Domestic Firms – adequate capital resources</w:t>
      </w:r>
    </w:p>
    <w:p w14:paraId="49E0B457" w14:textId="4B4962BB" w:rsidR="00E209BF" w:rsidRPr="00E4265B" w:rsidRDefault="00E209BF" w:rsidP="00246497">
      <w:pPr>
        <w:pStyle w:val="Heading4"/>
        <w:rPr>
          <w:rFonts w:ascii="Arial" w:hAnsi="Arial" w:cs="Arial"/>
          <w:sz w:val="22"/>
          <w:szCs w:val="22"/>
        </w:rPr>
      </w:pPr>
      <w:r w:rsidRPr="00E4265B">
        <w:rPr>
          <w:rFonts w:ascii="Arial" w:hAnsi="Arial" w:cs="Arial"/>
          <w:sz w:val="22"/>
          <w:szCs w:val="22"/>
        </w:rPr>
        <w:t xml:space="preserve">An Authorised Person </w:t>
      </w:r>
      <w:r w:rsidR="00F43532" w:rsidRPr="00E4265B">
        <w:rPr>
          <w:rFonts w:ascii="Arial" w:hAnsi="Arial" w:cs="Arial"/>
          <w:sz w:val="22"/>
          <w:szCs w:val="22"/>
        </w:rPr>
        <w:t xml:space="preserve">that is a Domestic Firm </w:t>
      </w:r>
      <w:r w:rsidRPr="00E4265B">
        <w:rPr>
          <w:rFonts w:ascii="Arial" w:hAnsi="Arial" w:cs="Arial"/>
          <w:sz w:val="22"/>
          <w:szCs w:val="22"/>
        </w:rPr>
        <w:t xml:space="preserve">must have, at all times, Capital Resources which </w:t>
      </w:r>
      <w:r w:rsidR="00BF6338" w:rsidRPr="00E4265B">
        <w:rPr>
          <w:rFonts w:ascii="Arial" w:hAnsi="Arial" w:cs="Arial"/>
          <w:sz w:val="22"/>
          <w:szCs w:val="22"/>
        </w:rPr>
        <w:t xml:space="preserve">equal or </w:t>
      </w:r>
      <w:r w:rsidRPr="00E4265B">
        <w:rPr>
          <w:rFonts w:ascii="Arial" w:hAnsi="Arial" w:cs="Arial"/>
          <w:sz w:val="22"/>
          <w:szCs w:val="22"/>
        </w:rPr>
        <w:t>exceed the amount of its Capital Requirement.</w:t>
      </w:r>
    </w:p>
    <w:p w14:paraId="4C734F50" w14:textId="77777777" w:rsidR="00E209BF" w:rsidRPr="00E4265B" w:rsidRDefault="00E209BF" w:rsidP="00E209BF">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7EB68481" w14:textId="77777777" w:rsidR="00E209BF" w:rsidRPr="00E4265B" w:rsidRDefault="00E209BF" w:rsidP="00E209BF">
      <w:pPr>
        <w:pStyle w:val="1List0"/>
        <w:ind w:left="936" w:firstLine="0"/>
        <w:rPr>
          <w:rFonts w:ascii="Arial" w:hAnsi="Arial" w:cs="Arial"/>
          <w:sz w:val="22"/>
          <w:szCs w:val="22"/>
          <w:lang w:val="en-GB"/>
        </w:rPr>
      </w:pPr>
      <w:r w:rsidRPr="00E4265B">
        <w:rPr>
          <w:rFonts w:ascii="Arial" w:hAnsi="Arial" w:cs="Arial"/>
          <w:sz w:val="22"/>
          <w:szCs w:val="22"/>
          <w:lang w:val="en-GB"/>
        </w:rPr>
        <w:t>The specific Capital Requirements for the various Categories of Authorised Persons that are Domestic Firms are dealt with in Sections 3.4 and 3.6.</w:t>
      </w:r>
    </w:p>
    <w:p w14:paraId="3B063DE7" w14:textId="77777777" w:rsidR="00E209BF" w:rsidRPr="00E4265B" w:rsidRDefault="00E209BF" w:rsidP="00E209BF">
      <w:pPr>
        <w:pStyle w:val="TitleL5"/>
        <w:rPr>
          <w:rFonts w:ascii="Arial" w:hAnsi="Arial" w:cs="Arial"/>
          <w:sz w:val="22"/>
          <w:szCs w:val="22"/>
          <w:lang w:val="en-GB"/>
        </w:rPr>
      </w:pPr>
      <w:r w:rsidRPr="00E4265B">
        <w:rPr>
          <w:rFonts w:ascii="Arial" w:hAnsi="Arial" w:cs="Arial"/>
          <w:sz w:val="22"/>
          <w:szCs w:val="22"/>
          <w:lang w:val="en-GB"/>
        </w:rPr>
        <w:t>Domestic Firms – maintaining capital resources</w:t>
      </w:r>
    </w:p>
    <w:p w14:paraId="7981964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that is a Domestic Firm must:</w:t>
      </w:r>
    </w:p>
    <w:p w14:paraId="7B6E964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have and maintain, at all times, Capital Resources of the </w:t>
      </w:r>
      <w:r w:rsidR="00E209BF" w:rsidRPr="00E4265B">
        <w:rPr>
          <w:rFonts w:ascii="Arial" w:hAnsi="Arial" w:cs="Arial"/>
          <w:sz w:val="22"/>
          <w:szCs w:val="22"/>
        </w:rPr>
        <w:t>types</w:t>
      </w:r>
      <w:r w:rsidRPr="00E4265B">
        <w:rPr>
          <w:rFonts w:ascii="Arial" w:hAnsi="Arial" w:cs="Arial"/>
          <w:sz w:val="22"/>
          <w:szCs w:val="22"/>
        </w:rPr>
        <w:t xml:space="preserve"> and amounts specified in, and calculated in accordance with, these Rules; </w:t>
      </w:r>
    </w:p>
    <w:p w14:paraId="5C8716A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ensure that it maintains capital and liquid assets in addition to the requirement in (a) which are adequate in relation to the nature, size and complexity of its business to ensure that there is no significant risk that liabilities cannot be met as they fall due</w:t>
      </w:r>
      <w:r w:rsidR="00E209BF" w:rsidRPr="00E4265B">
        <w:rPr>
          <w:rFonts w:ascii="Arial" w:hAnsi="Arial" w:cs="Arial"/>
          <w:sz w:val="22"/>
          <w:szCs w:val="22"/>
        </w:rPr>
        <w:t>.</w:t>
      </w:r>
    </w:p>
    <w:p w14:paraId="457CD2D1"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60B08712" w14:textId="77777777" w:rsidR="00E209BF" w:rsidRPr="00E4265B" w:rsidRDefault="00E209BF" w:rsidP="008F5C01">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These Rules do not prevent Authorised Persons from holding Capital Resources in excess of or applying stricter measures than required by these Rules.</w:t>
      </w:r>
    </w:p>
    <w:p w14:paraId="6F3AB400" w14:textId="7E98CA7D" w:rsidR="00E22FF2" w:rsidRPr="00E4265B" w:rsidRDefault="00E209BF" w:rsidP="00DB11DA">
      <w:pPr>
        <w:pStyle w:val="1List0"/>
        <w:rPr>
          <w:rFonts w:ascii="Arial" w:hAnsi="Arial" w:cs="Arial"/>
          <w:sz w:val="22"/>
          <w:szCs w:val="22"/>
          <w:lang w:val="en-GB"/>
        </w:rPr>
      </w:pPr>
      <w:r w:rsidRPr="00E4265B">
        <w:rPr>
          <w:rFonts w:ascii="Arial" w:hAnsi="Arial" w:cs="Arial"/>
          <w:sz w:val="22"/>
          <w:szCs w:val="22"/>
          <w:lang w:val="en-GB"/>
        </w:rPr>
        <w:t>2</w:t>
      </w:r>
      <w:r w:rsidR="00E22FF2" w:rsidRPr="00E4265B">
        <w:rPr>
          <w:rFonts w:ascii="Arial" w:hAnsi="Arial" w:cs="Arial"/>
          <w:sz w:val="22"/>
          <w:szCs w:val="22"/>
          <w:lang w:val="en-GB"/>
        </w:rPr>
        <w:t>.</w:t>
      </w:r>
      <w:r w:rsidR="00E22FF2" w:rsidRPr="00E4265B">
        <w:rPr>
          <w:rFonts w:ascii="Arial" w:hAnsi="Arial" w:cs="Arial"/>
          <w:sz w:val="22"/>
          <w:szCs w:val="22"/>
          <w:lang w:val="en-GB"/>
        </w:rPr>
        <w:tab/>
        <w:t>For the purposes of Rule 3.2.</w:t>
      </w:r>
      <w:r w:rsidR="00DB11DA" w:rsidRPr="00E4265B">
        <w:rPr>
          <w:rFonts w:ascii="Arial" w:hAnsi="Arial" w:cs="Arial"/>
          <w:sz w:val="22"/>
          <w:szCs w:val="22"/>
          <w:lang w:val="en-GB"/>
        </w:rPr>
        <w:t>4</w:t>
      </w:r>
      <w:r w:rsidR="00E22FF2" w:rsidRPr="00E4265B">
        <w:rPr>
          <w:rFonts w:ascii="Arial" w:hAnsi="Arial" w:cs="Arial"/>
          <w:sz w:val="22"/>
          <w:szCs w:val="22"/>
          <w:lang w:val="en-GB"/>
        </w:rPr>
        <w:t xml:space="preserve">,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's Governing Body should assess whether the Capital Resources which are required by the Regulator as set out in these Rules are adequate in relation to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's specific business model and risk profile. Additional resources should be maintained by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where its Governing Body has considered that the required Capital Resources do not adequately reflect the nature and risks of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's business.</w:t>
      </w:r>
    </w:p>
    <w:p w14:paraId="3A184482" w14:textId="073643DD" w:rsidR="00E22FF2" w:rsidRPr="00E4265B" w:rsidRDefault="00E209BF" w:rsidP="00DB11DA">
      <w:pPr>
        <w:pStyle w:val="1List0"/>
        <w:rPr>
          <w:rFonts w:ascii="Arial" w:hAnsi="Arial" w:cs="Arial"/>
          <w:sz w:val="22"/>
          <w:szCs w:val="22"/>
          <w:lang w:val="en-GB"/>
        </w:rPr>
      </w:pPr>
      <w:r w:rsidRPr="00E4265B">
        <w:rPr>
          <w:rFonts w:ascii="Arial" w:hAnsi="Arial" w:cs="Arial"/>
          <w:sz w:val="22"/>
          <w:szCs w:val="22"/>
          <w:lang w:val="en-GB"/>
        </w:rPr>
        <w:t>3</w:t>
      </w:r>
      <w:r w:rsidR="00E22FF2" w:rsidRPr="00E4265B">
        <w:rPr>
          <w:rFonts w:ascii="Arial" w:hAnsi="Arial" w:cs="Arial"/>
          <w:sz w:val="22"/>
          <w:szCs w:val="22"/>
          <w:lang w:val="en-GB"/>
        </w:rPr>
        <w:t>.</w:t>
      </w:r>
      <w:r w:rsidR="00E22FF2" w:rsidRPr="00E4265B">
        <w:rPr>
          <w:rFonts w:ascii="Arial" w:hAnsi="Arial" w:cs="Arial"/>
          <w:sz w:val="22"/>
          <w:szCs w:val="22"/>
          <w:lang w:val="en-GB"/>
        </w:rPr>
        <w:tab/>
        <w:t>The liabilities referred to in Rule 3.2.</w:t>
      </w:r>
      <w:r w:rsidR="00DB11DA" w:rsidRPr="00E4265B">
        <w:rPr>
          <w:rFonts w:ascii="Arial" w:hAnsi="Arial" w:cs="Arial"/>
          <w:sz w:val="22"/>
          <w:szCs w:val="22"/>
          <w:lang w:val="en-GB"/>
        </w:rPr>
        <w:t>4</w:t>
      </w:r>
      <w:r w:rsidR="00E22FF2" w:rsidRPr="00E4265B">
        <w:rPr>
          <w:rFonts w:ascii="Arial" w:hAnsi="Arial" w:cs="Arial"/>
          <w:sz w:val="22"/>
          <w:szCs w:val="22"/>
          <w:lang w:val="en-GB"/>
        </w:rPr>
        <w:t xml:space="preserve">(b) include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's contingent and prospective liabilities, such as liabilities arising from a change in business strategy or claims made against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but not liabilities that might arise from prospective transactions which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could avoid, for example by ceasing its operations. Liabilities from prospective transactions refers to the potential liabilities which can be avoided by adequate risk management, risk transfer or avoiding the transaction completely. This refers to any prospective tra</w:t>
      </w:r>
      <w:r w:rsidR="005D344E" w:rsidRPr="00E4265B">
        <w:rPr>
          <w:rFonts w:ascii="Arial" w:hAnsi="Arial" w:cs="Arial"/>
          <w:sz w:val="22"/>
          <w:szCs w:val="22"/>
          <w:lang w:val="en-GB"/>
        </w:rPr>
        <w:t>nsaction, for example, lending M</w:t>
      </w:r>
      <w:r w:rsidR="00E22FF2" w:rsidRPr="00E4265B">
        <w:rPr>
          <w:rFonts w:ascii="Arial" w:hAnsi="Arial" w:cs="Arial"/>
          <w:sz w:val="22"/>
          <w:szCs w:val="22"/>
          <w:lang w:val="en-GB"/>
        </w:rPr>
        <w:t>oney to a borrower or entering into a contract for the provision of services by a service provider.</w:t>
      </w:r>
    </w:p>
    <w:p w14:paraId="50090744" w14:textId="469D2A33" w:rsidR="00E22FF2" w:rsidRPr="00E4265B" w:rsidRDefault="00E209BF" w:rsidP="0023775A">
      <w:pPr>
        <w:pStyle w:val="1List0"/>
        <w:rPr>
          <w:rFonts w:ascii="Arial" w:hAnsi="Arial" w:cs="Arial"/>
          <w:sz w:val="22"/>
          <w:szCs w:val="22"/>
          <w:lang w:val="en-GB"/>
        </w:rPr>
      </w:pPr>
      <w:r w:rsidRPr="00E4265B">
        <w:rPr>
          <w:rFonts w:ascii="Arial" w:hAnsi="Arial" w:cs="Arial"/>
          <w:sz w:val="22"/>
          <w:szCs w:val="22"/>
          <w:lang w:val="en-GB"/>
        </w:rPr>
        <w:t>4</w:t>
      </w:r>
      <w:r w:rsidR="00E22FF2" w:rsidRPr="00E4265B">
        <w:rPr>
          <w:rFonts w:ascii="Arial" w:hAnsi="Arial" w:cs="Arial"/>
          <w:sz w:val="22"/>
          <w:szCs w:val="22"/>
          <w:lang w:val="en-GB"/>
        </w:rPr>
        <w:t>.</w:t>
      </w:r>
      <w:r w:rsidR="00E22FF2"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subject to the requirements in Chapter 10 may be required to meet </w:t>
      </w:r>
      <w:r w:rsidRPr="00E4265B">
        <w:rPr>
          <w:rFonts w:ascii="Arial" w:hAnsi="Arial" w:cs="Arial"/>
          <w:sz w:val="22"/>
          <w:szCs w:val="22"/>
          <w:lang w:val="en-GB"/>
        </w:rPr>
        <w:t xml:space="preserve">an </w:t>
      </w:r>
      <w:r w:rsidR="00E22FF2" w:rsidRPr="00E4265B">
        <w:rPr>
          <w:rFonts w:ascii="Arial" w:hAnsi="Arial" w:cs="Arial"/>
          <w:sz w:val="22"/>
          <w:szCs w:val="22"/>
          <w:lang w:val="en-GB"/>
        </w:rPr>
        <w:t xml:space="preserve">Individual Capital Requirement </w:t>
      </w:r>
      <w:r w:rsidRPr="00E4265B">
        <w:rPr>
          <w:rFonts w:ascii="Arial" w:hAnsi="Arial" w:cs="Arial"/>
          <w:sz w:val="22"/>
          <w:szCs w:val="22"/>
          <w:lang w:val="en-GB"/>
        </w:rPr>
        <w:t xml:space="preserve">imposed </w:t>
      </w:r>
      <w:r w:rsidR="00E22FF2" w:rsidRPr="00E4265B">
        <w:rPr>
          <w:rFonts w:ascii="Arial" w:hAnsi="Arial" w:cs="Arial"/>
          <w:sz w:val="22"/>
          <w:szCs w:val="22"/>
          <w:lang w:val="en-GB"/>
        </w:rPr>
        <w:t>under those Rules</w:t>
      </w:r>
      <w:r w:rsidRPr="00E4265B">
        <w:rPr>
          <w:rFonts w:ascii="Arial" w:hAnsi="Arial" w:cs="Arial"/>
          <w:sz w:val="22"/>
          <w:szCs w:val="22"/>
          <w:lang w:val="en-GB"/>
        </w:rPr>
        <w:t xml:space="preserve"> following the Pillar 2 review process, in addition to the Capital Requirement calculated under Pillar 1.</w:t>
      </w:r>
    </w:p>
    <w:p w14:paraId="0568A5F5" w14:textId="77777777" w:rsidR="00E22FF2" w:rsidRPr="00E4265B" w:rsidRDefault="00E209BF" w:rsidP="0097615D">
      <w:pPr>
        <w:pStyle w:val="TitleL5"/>
        <w:rPr>
          <w:rFonts w:ascii="Arial" w:hAnsi="Arial" w:cs="Arial"/>
          <w:sz w:val="22"/>
          <w:szCs w:val="22"/>
          <w:lang w:val="en-GB"/>
        </w:rPr>
      </w:pPr>
      <w:r w:rsidRPr="00E4265B">
        <w:rPr>
          <w:rFonts w:ascii="Arial" w:hAnsi="Arial" w:cs="Arial"/>
          <w:sz w:val="22"/>
          <w:szCs w:val="22"/>
          <w:lang w:val="en-GB"/>
        </w:rPr>
        <w:t xml:space="preserve">Domestic Firms – systems </w:t>
      </w:r>
      <w:r w:rsidR="00E22FF2" w:rsidRPr="00E4265B">
        <w:rPr>
          <w:rFonts w:ascii="Arial" w:hAnsi="Arial" w:cs="Arial"/>
          <w:sz w:val="22"/>
          <w:szCs w:val="22"/>
          <w:lang w:val="en-GB"/>
        </w:rPr>
        <w:t>and controls</w:t>
      </w:r>
    </w:p>
    <w:p w14:paraId="1AB34AD9"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6B4B2C10" w14:textId="26D8D7B5" w:rsidR="00E22FF2" w:rsidRPr="00E4265B" w:rsidRDefault="00E209BF" w:rsidP="00DB11DA">
      <w:pPr>
        <w:pStyle w:val="UK12Block05"/>
        <w:rPr>
          <w:rFonts w:ascii="Arial" w:hAnsi="Arial" w:cs="Arial"/>
          <w:sz w:val="22"/>
          <w:szCs w:val="22"/>
          <w:lang w:val="en-GB"/>
        </w:rPr>
      </w:pPr>
      <w:r w:rsidRPr="00E4265B">
        <w:rPr>
          <w:rFonts w:ascii="Arial" w:hAnsi="Arial" w:cs="Arial"/>
          <w:sz w:val="22"/>
          <w:szCs w:val="22"/>
          <w:lang w:val="en-GB"/>
        </w:rPr>
        <w:t>For the purposes of Part 2, an Authorised Person is required to have appropriate systems and controls in place to enable it to be certain that it has adequate Capital Resources to meet the requirements in Part 4 on capital adequacy at all times and to allow it to demonstrate that at any particular time if requi</w:t>
      </w:r>
      <w:r w:rsidR="009A095E" w:rsidRPr="00E4265B">
        <w:rPr>
          <w:rFonts w:ascii="Arial" w:hAnsi="Arial" w:cs="Arial"/>
          <w:sz w:val="22"/>
          <w:szCs w:val="22"/>
          <w:lang w:val="en-GB"/>
        </w:rPr>
        <w:t xml:space="preserve">red to do so by the Regulator. </w:t>
      </w:r>
      <w:r w:rsidRPr="00E4265B">
        <w:rPr>
          <w:rFonts w:ascii="Arial" w:hAnsi="Arial" w:cs="Arial"/>
          <w:sz w:val="22"/>
          <w:szCs w:val="22"/>
          <w:lang w:val="en-GB"/>
        </w:rPr>
        <w:t xml:space="preserve">Where through the operation of those systems and controls an </w:t>
      </w:r>
      <w:r w:rsidRPr="00E4265B">
        <w:rPr>
          <w:rFonts w:ascii="Arial" w:hAnsi="Arial" w:cs="Arial"/>
          <w:sz w:val="22"/>
          <w:szCs w:val="22"/>
          <w:lang w:val="en-GB"/>
        </w:rPr>
        <w:lastRenderedPageBreak/>
        <w:t>Authorised Person forms the view that it does not currently or is not likely to be able to satisfy the requirements of Rule 3.2.</w:t>
      </w:r>
      <w:r w:rsidR="00DB11DA" w:rsidRPr="00E4265B">
        <w:rPr>
          <w:rFonts w:ascii="Arial" w:hAnsi="Arial" w:cs="Arial"/>
          <w:sz w:val="22"/>
          <w:szCs w:val="22"/>
          <w:lang w:val="en-GB"/>
        </w:rPr>
        <w:t>3</w:t>
      </w:r>
      <w:r w:rsidRPr="00E4265B">
        <w:rPr>
          <w:rFonts w:ascii="Arial" w:hAnsi="Arial" w:cs="Arial"/>
          <w:sz w:val="22"/>
          <w:szCs w:val="22"/>
          <w:lang w:val="en-GB"/>
        </w:rPr>
        <w:t xml:space="preserve"> in future, that Authorised Person is required to immediately inform the Regulator in accordance with Rule 3.2.</w:t>
      </w:r>
      <w:r w:rsidR="00DB11DA" w:rsidRPr="00E4265B">
        <w:rPr>
          <w:rFonts w:ascii="Arial" w:hAnsi="Arial" w:cs="Arial"/>
          <w:sz w:val="22"/>
          <w:szCs w:val="22"/>
          <w:lang w:val="en-GB"/>
        </w:rPr>
        <w:t>5</w:t>
      </w:r>
      <w:r w:rsidRPr="00E4265B">
        <w:rPr>
          <w:rFonts w:ascii="Arial" w:hAnsi="Arial" w:cs="Arial"/>
          <w:sz w:val="22"/>
          <w:szCs w:val="22"/>
          <w:lang w:val="en-GB"/>
        </w:rPr>
        <w:t>.</w:t>
      </w:r>
    </w:p>
    <w:p w14:paraId="3DE65BB9" w14:textId="77777777" w:rsidR="00E22FF2" w:rsidRPr="00E4265B" w:rsidRDefault="00E22FF2" w:rsidP="009330F5">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have systems and controls to enable it to determine and monitor:</w:t>
      </w:r>
    </w:p>
    <w:p w14:paraId="49599010" w14:textId="0FE07493" w:rsidR="00E22FF2" w:rsidRPr="00E4265B" w:rsidRDefault="00E22FF2" w:rsidP="006F297B">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r>
      <w:r w:rsidR="006C105B" w:rsidRPr="00E4265B">
        <w:rPr>
          <w:rFonts w:ascii="Arial" w:hAnsi="Arial" w:cs="Arial"/>
          <w:sz w:val="22"/>
          <w:szCs w:val="22"/>
          <w:lang w:val="en-GB"/>
        </w:rPr>
        <w:t>i</w:t>
      </w:r>
      <w:r w:rsidR="006F297B" w:rsidRPr="00E4265B">
        <w:rPr>
          <w:rFonts w:ascii="Arial" w:hAnsi="Arial" w:cs="Arial"/>
          <w:sz w:val="22"/>
          <w:szCs w:val="22"/>
          <w:lang w:val="en-GB"/>
        </w:rPr>
        <w:t>t</w:t>
      </w:r>
      <w:r w:rsidR="006C105B" w:rsidRPr="00E4265B">
        <w:rPr>
          <w:rFonts w:ascii="Arial" w:hAnsi="Arial" w:cs="Arial"/>
          <w:sz w:val="22"/>
          <w:szCs w:val="22"/>
          <w:lang w:val="en-GB"/>
        </w:rPr>
        <w:t xml:space="preserve">s </w:t>
      </w:r>
      <w:r w:rsidRPr="00E4265B">
        <w:rPr>
          <w:rFonts w:ascii="Arial" w:hAnsi="Arial" w:cs="Arial"/>
          <w:sz w:val="22"/>
          <w:szCs w:val="22"/>
          <w:lang w:val="en-GB"/>
        </w:rPr>
        <w:t>Capital Requirement; and</w:t>
      </w:r>
    </w:p>
    <w:p w14:paraId="0BF89713"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r>
      <w:r w:rsidR="006C105B" w:rsidRPr="00E4265B">
        <w:rPr>
          <w:rFonts w:ascii="Arial" w:hAnsi="Arial" w:cs="Arial"/>
          <w:sz w:val="22"/>
          <w:szCs w:val="22"/>
          <w:lang w:val="en-GB"/>
        </w:rPr>
        <w:t>whether the amount of its Capital Resources is, and is likely to remain, adequate at all times to ensure compliance with the applicable capital adequacy requirements.</w:t>
      </w:r>
    </w:p>
    <w:p w14:paraId="5AC85E89"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r>
      <w:r w:rsidR="006C105B" w:rsidRPr="00E4265B">
        <w:rPr>
          <w:rFonts w:ascii="Arial" w:hAnsi="Arial" w:cs="Arial"/>
          <w:sz w:val="22"/>
          <w:szCs w:val="22"/>
          <w:lang w:val="en-GB"/>
        </w:rPr>
        <w:t>Such systems and controls must be capable of contributing to an analysis of:</w:t>
      </w:r>
    </w:p>
    <w:p w14:paraId="53DF952B"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realistic scenarios which are relevant to the circumstances of the </w:t>
      </w:r>
      <w:r w:rsidR="000D1A90" w:rsidRPr="00E4265B">
        <w:rPr>
          <w:rFonts w:ascii="Arial" w:hAnsi="Arial" w:cs="Arial"/>
          <w:sz w:val="22"/>
          <w:szCs w:val="22"/>
          <w:lang w:val="en-GB"/>
        </w:rPr>
        <w:t>Authorised Person</w:t>
      </w:r>
      <w:r w:rsidRPr="00E4265B">
        <w:rPr>
          <w:rFonts w:ascii="Arial" w:hAnsi="Arial" w:cs="Arial"/>
          <w:sz w:val="22"/>
          <w:szCs w:val="22"/>
          <w:lang w:val="en-GB"/>
        </w:rPr>
        <w:t>; and</w:t>
      </w:r>
    </w:p>
    <w:p w14:paraId="436A85F0"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effects on the Capital Requirement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on its Capital Resources if those scenarios occurred.</w:t>
      </w:r>
    </w:p>
    <w:p w14:paraId="68A11091" w14:textId="77777777" w:rsidR="00E22FF2" w:rsidRPr="00E4265B" w:rsidRDefault="00E22FF2" w:rsidP="008F5C01">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notify the Regulator immediately and confirm in writing any breach, or expected breach, of any of the provisions of this Chapter by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0605765A" w14:textId="77777777" w:rsidR="00D57963" w:rsidRPr="00E4265B" w:rsidRDefault="00D57963" w:rsidP="00D57963">
      <w:pPr>
        <w:pStyle w:val="TitleL5"/>
        <w:rPr>
          <w:rFonts w:ascii="Arial" w:hAnsi="Arial" w:cs="Arial"/>
          <w:sz w:val="22"/>
          <w:szCs w:val="22"/>
          <w:lang w:val="en-GB"/>
        </w:rPr>
      </w:pPr>
      <w:r w:rsidRPr="00E4265B">
        <w:rPr>
          <w:rFonts w:ascii="Arial" w:hAnsi="Arial" w:cs="Arial"/>
          <w:sz w:val="22"/>
          <w:szCs w:val="22"/>
          <w:lang w:val="en-GB"/>
        </w:rPr>
        <w:t>Guidance</w:t>
      </w:r>
    </w:p>
    <w:p w14:paraId="1A9A0ED9" w14:textId="45CFD96F" w:rsidR="00D57963" w:rsidRPr="00E4265B" w:rsidRDefault="00D57963" w:rsidP="00DB11D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App3 provides </w:t>
      </w:r>
      <w:r w:rsidR="00DB11DA" w:rsidRPr="00E4265B">
        <w:rPr>
          <w:rFonts w:ascii="Arial" w:hAnsi="Arial" w:cs="Arial"/>
          <w:sz w:val="22"/>
          <w:szCs w:val="22"/>
          <w:lang w:val="en-GB"/>
        </w:rPr>
        <w:t>g</w:t>
      </w:r>
      <w:r w:rsidRPr="00E4265B">
        <w:rPr>
          <w:rFonts w:ascii="Arial" w:hAnsi="Arial" w:cs="Arial"/>
          <w:sz w:val="22"/>
          <w:szCs w:val="22"/>
          <w:lang w:val="en-GB"/>
        </w:rPr>
        <w:t xml:space="preserve">uidance on the nature and type of stress and scenario testing that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should be undertaking </w:t>
      </w:r>
      <w:r w:rsidR="006C105B" w:rsidRPr="00E4265B">
        <w:rPr>
          <w:rFonts w:ascii="Arial" w:hAnsi="Arial" w:cs="Arial"/>
          <w:sz w:val="22"/>
          <w:szCs w:val="22"/>
          <w:lang w:val="en-GB"/>
        </w:rPr>
        <w:t xml:space="preserve">frequently </w:t>
      </w:r>
      <w:r w:rsidRPr="00E4265B">
        <w:rPr>
          <w:rFonts w:ascii="Arial" w:hAnsi="Arial" w:cs="Arial"/>
          <w:sz w:val="22"/>
          <w:szCs w:val="22"/>
          <w:lang w:val="en-GB"/>
        </w:rPr>
        <w:t>to support their view that they have adequate financial resources to meet their obligations.</w:t>
      </w:r>
    </w:p>
    <w:p w14:paraId="23385E7F" w14:textId="77777777" w:rsidR="00D57963" w:rsidRPr="00E4265B" w:rsidRDefault="00D57963" w:rsidP="00D57963">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requirements in this Chapter apply to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on a solo basis.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also be subject to Capital Resources requirements at a Group level. Group requirements are addressed in Chapter 8 of these Rules.</w:t>
      </w:r>
    </w:p>
    <w:p w14:paraId="448DE270" w14:textId="77777777" w:rsidR="00421FF8" w:rsidRPr="00E4265B" w:rsidRDefault="00F22B53" w:rsidP="00207963">
      <w:pPr>
        <w:pStyle w:val="Heading2"/>
        <w:ind w:left="900"/>
        <w:rPr>
          <w:rFonts w:ascii="Arial" w:hAnsi="Arial" w:cs="Arial"/>
          <w:sz w:val="22"/>
          <w:szCs w:val="22"/>
          <w:lang w:val="en-GB"/>
        </w:rPr>
      </w:pPr>
      <w:bookmarkStart w:id="139" w:name="_Toc33622374"/>
      <w:r w:rsidRPr="00E4265B">
        <w:rPr>
          <w:rFonts w:ascii="Arial" w:hAnsi="Arial" w:cs="Arial"/>
          <w:sz w:val="22"/>
          <w:szCs w:val="22"/>
          <w:lang w:val="en-GB"/>
        </w:rPr>
        <w:t xml:space="preserve">– Calculating </w:t>
      </w:r>
      <w:r w:rsidR="00421FF8" w:rsidRPr="00E4265B">
        <w:rPr>
          <w:rFonts w:ascii="Arial" w:hAnsi="Arial" w:cs="Arial"/>
          <w:sz w:val="22"/>
          <w:szCs w:val="22"/>
          <w:lang w:val="en-GB"/>
        </w:rPr>
        <w:t>Capital Requirement</w:t>
      </w:r>
      <w:r w:rsidRPr="00E4265B">
        <w:rPr>
          <w:rFonts w:ascii="Arial" w:hAnsi="Arial" w:cs="Arial"/>
          <w:sz w:val="22"/>
          <w:szCs w:val="22"/>
          <w:lang w:val="en-GB"/>
        </w:rPr>
        <w:t>s</w:t>
      </w:r>
      <w:bookmarkEnd w:id="139"/>
    </w:p>
    <w:p w14:paraId="1234B44A" w14:textId="77777777" w:rsidR="00421FF8" w:rsidRPr="00E4265B" w:rsidRDefault="00421FF8" w:rsidP="00246497">
      <w:pPr>
        <w:pStyle w:val="Heading3"/>
        <w:rPr>
          <w:rFonts w:ascii="Arial" w:hAnsi="Arial" w:cs="Arial"/>
          <w:sz w:val="22"/>
          <w:szCs w:val="22"/>
        </w:rPr>
      </w:pPr>
      <w:bookmarkStart w:id="140" w:name="_Toc33622375"/>
      <w:r w:rsidRPr="00E4265B">
        <w:rPr>
          <w:rFonts w:ascii="Arial" w:hAnsi="Arial" w:cs="Arial"/>
          <w:sz w:val="22"/>
          <w:szCs w:val="22"/>
        </w:rPr>
        <w:t>Base Capital Requirement</w:t>
      </w:r>
      <w:bookmarkEnd w:id="140"/>
    </w:p>
    <w:p w14:paraId="0AF526F2" w14:textId="77777777" w:rsidR="00421FF8" w:rsidRPr="00E4265B" w:rsidRDefault="00421FF8" w:rsidP="00246497">
      <w:pPr>
        <w:pStyle w:val="Heading4"/>
        <w:rPr>
          <w:rFonts w:ascii="Arial" w:hAnsi="Arial" w:cs="Arial"/>
          <w:sz w:val="22"/>
          <w:szCs w:val="22"/>
        </w:rPr>
      </w:pPr>
      <w:r w:rsidRPr="00E4265B">
        <w:rPr>
          <w:rFonts w:ascii="Arial" w:hAnsi="Arial" w:cs="Arial"/>
          <w:sz w:val="22"/>
          <w:szCs w:val="22"/>
        </w:rPr>
        <w:t>This Section applies to an Authorised Person in any Category.</w:t>
      </w:r>
    </w:p>
    <w:p w14:paraId="79E3BDE5" w14:textId="77777777" w:rsidR="00421FF8" w:rsidRPr="00E4265B" w:rsidRDefault="00421FF8" w:rsidP="00421FF8">
      <w:pPr>
        <w:pStyle w:val="TitleL5"/>
        <w:rPr>
          <w:rFonts w:ascii="Arial" w:hAnsi="Arial" w:cs="Arial"/>
          <w:sz w:val="22"/>
          <w:szCs w:val="22"/>
          <w:lang w:val="en-GB"/>
        </w:rPr>
      </w:pPr>
      <w:r w:rsidRPr="00E4265B">
        <w:rPr>
          <w:rFonts w:ascii="Arial" w:hAnsi="Arial" w:cs="Arial"/>
          <w:sz w:val="22"/>
          <w:szCs w:val="22"/>
          <w:lang w:val="en-GB"/>
        </w:rPr>
        <w:t>Guidance</w:t>
      </w:r>
    </w:p>
    <w:p w14:paraId="30F8EBEF" w14:textId="77777777" w:rsidR="00421FF8" w:rsidRPr="00E4265B" w:rsidRDefault="00421FF8" w:rsidP="00421FF8">
      <w:pPr>
        <w:pStyle w:val="1List0"/>
        <w:ind w:left="936" w:firstLine="0"/>
        <w:rPr>
          <w:rFonts w:ascii="Arial" w:hAnsi="Arial" w:cs="Arial"/>
          <w:sz w:val="22"/>
          <w:szCs w:val="22"/>
          <w:lang w:val="en-GB"/>
        </w:rPr>
      </w:pPr>
      <w:r w:rsidRPr="00E4265B">
        <w:rPr>
          <w:rFonts w:ascii="Arial" w:hAnsi="Arial" w:cs="Arial"/>
          <w:sz w:val="22"/>
          <w:szCs w:val="22"/>
          <w:lang w:val="en-GB"/>
        </w:rPr>
        <w:t>The Base Capital Requirement is a component of the calculation of the Capital Requirement under Sections 3.4 and 3.6.</w:t>
      </w:r>
    </w:p>
    <w:p w14:paraId="587FFF79" w14:textId="365FF0BB" w:rsidR="006F763B" w:rsidRPr="00E4265B" w:rsidRDefault="00421FF8" w:rsidP="00246497">
      <w:pPr>
        <w:pStyle w:val="Heading4"/>
        <w:rPr>
          <w:rFonts w:ascii="Arial" w:hAnsi="Arial" w:cs="Arial"/>
          <w:sz w:val="22"/>
          <w:szCs w:val="22"/>
        </w:rPr>
      </w:pPr>
      <w:r w:rsidRPr="00E4265B">
        <w:rPr>
          <w:rFonts w:ascii="Arial" w:hAnsi="Arial" w:cs="Arial"/>
          <w:sz w:val="22"/>
          <w:szCs w:val="22"/>
        </w:rPr>
        <w:t>The table below sets out the Base Capital Requirement for each Category of Authorised Persons.</w:t>
      </w:r>
    </w:p>
    <w:p w14:paraId="19A30596" w14:textId="27C7EA04" w:rsidR="006F763B" w:rsidRPr="00E4265B" w:rsidRDefault="006F763B">
      <w:pPr>
        <w:rPr>
          <w:rFonts w:ascii="Arial" w:eastAsiaTheme="majorEastAsia" w:hAnsi="Arial" w:cs="Arial"/>
          <w:bCs/>
          <w:iCs/>
          <w:sz w:val="22"/>
          <w:szCs w:val="22"/>
          <w:lang w:val="en-GB"/>
        </w:rPr>
      </w:pPr>
    </w:p>
    <w:tbl>
      <w:tblPr>
        <w:tblStyle w:val="TableGrid"/>
        <w:tblW w:w="0" w:type="auto"/>
        <w:tblInd w:w="985" w:type="dxa"/>
        <w:tblLook w:val="04A0" w:firstRow="1" w:lastRow="0" w:firstColumn="1" w:lastColumn="0" w:noHBand="0" w:noVBand="1"/>
      </w:tblPr>
      <w:tblGrid>
        <w:gridCol w:w="1773"/>
        <w:gridCol w:w="6259"/>
      </w:tblGrid>
      <w:tr w:rsidR="00421FF8" w:rsidRPr="00E4265B" w14:paraId="46CDA058" w14:textId="77777777" w:rsidTr="006F763B">
        <w:trPr>
          <w:tblHeader/>
        </w:trPr>
        <w:tc>
          <w:tcPr>
            <w:tcW w:w="1823" w:type="dxa"/>
            <w:shd w:val="clear" w:color="auto" w:fill="D9D9D9" w:themeFill="background1" w:themeFillShade="D9"/>
            <w:vAlign w:val="center"/>
          </w:tcPr>
          <w:p w14:paraId="4178A205" w14:textId="77777777" w:rsidR="00421FF8" w:rsidRPr="00E4265B" w:rsidRDefault="00421FF8" w:rsidP="006F763B">
            <w:pPr>
              <w:spacing w:line="360" w:lineRule="auto"/>
              <w:jc w:val="center"/>
              <w:rPr>
                <w:rFonts w:ascii="Arial" w:eastAsia="Arial" w:hAnsi="Arial" w:cs="Arial"/>
                <w:position w:val="6"/>
                <w:sz w:val="22"/>
                <w:szCs w:val="22"/>
                <w:lang w:val="en-GB"/>
              </w:rPr>
            </w:pPr>
            <w:r w:rsidRPr="00E4265B">
              <w:rPr>
                <w:rFonts w:ascii="Arial" w:hAnsi="Arial" w:cs="Arial"/>
                <w:b/>
                <w:bCs/>
                <w:position w:val="6"/>
                <w:sz w:val="22"/>
                <w:szCs w:val="22"/>
                <w:lang w:val="en-GB"/>
              </w:rPr>
              <w:t>Category</w:t>
            </w:r>
          </w:p>
        </w:tc>
        <w:tc>
          <w:tcPr>
            <w:tcW w:w="6588" w:type="dxa"/>
            <w:shd w:val="clear" w:color="auto" w:fill="D9D9D9" w:themeFill="background1" w:themeFillShade="D9"/>
            <w:vAlign w:val="center"/>
          </w:tcPr>
          <w:p w14:paraId="4BEC6438" w14:textId="77777777" w:rsidR="00421FF8" w:rsidRPr="00E4265B" w:rsidRDefault="00421FF8" w:rsidP="006F763B">
            <w:pPr>
              <w:spacing w:line="360" w:lineRule="auto"/>
              <w:jc w:val="center"/>
              <w:rPr>
                <w:rFonts w:ascii="Arial" w:hAnsi="Arial" w:cs="Arial"/>
                <w:position w:val="6"/>
                <w:sz w:val="22"/>
                <w:szCs w:val="22"/>
                <w:lang w:val="en-GB"/>
              </w:rPr>
            </w:pPr>
            <w:r w:rsidRPr="00E4265B">
              <w:rPr>
                <w:rFonts w:ascii="Arial" w:hAnsi="Arial" w:cs="Arial"/>
                <w:b/>
                <w:bCs/>
                <w:position w:val="6"/>
                <w:sz w:val="22"/>
                <w:szCs w:val="22"/>
                <w:lang w:val="en-GB"/>
              </w:rPr>
              <w:t>Base Capital Requirement (US $)</w:t>
            </w:r>
          </w:p>
        </w:tc>
      </w:tr>
      <w:tr w:rsidR="00421FF8" w:rsidRPr="00E4265B" w14:paraId="727A04D7" w14:textId="77777777" w:rsidTr="006F763B">
        <w:tc>
          <w:tcPr>
            <w:tcW w:w="1823" w:type="dxa"/>
            <w:vAlign w:val="center"/>
          </w:tcPr>
          <w:p w14:paraId="598D2E4D" w14:textId="77777777" w:rsidR="00421FF8" w:rsidRPr="00E4265B" w:rsidRDefault="00421FF8" w:rsidP="006F763B">
            <w:pPr>
              <w:spacing w:line="360" w:lineRule="auto"/>
              <w:jc w:val="center"/>
              <w:rPr>
                <w:rFonts w:ascii="Arial" w:hAnsi="Arial" w:cs="Arial"/>
                <w:position w:val="6"/>
                <w:sz w:val="22"/>
                <w:szCs w:val="22"/>
                <w:lang w:val="en-GB"/>
              </w:rPr>
            </w:pPr>
            <w:r w:rsidRPr="00E4265B">
              <w:rPr>
                <w:rFonts w:ascii="Arial" w:hAnsi="Arial" w:cs="Arial"/>
                <w:position w:val="6"/>
                <w:sz w:val="22"/>
                <w:szCs w:val="22"/>
                <w:lang w:val="en-GB"/>
              </w:rPr>
              <w:t>1</w:t>
            </w:r>
          </w:p>
        </w:tc>
        <w:tc>
          <w:tcPr>
            <w:tcW w:w="6588" w:type="dxa"/>
            <w:vAlign w:val="center"/>
          </w:tcPr>
          <w:p w14:paraId="1836341D" w14:textId="77777777" w:rsidR="00421FF8" w:rsidRPr="00E4265B" w:rsidRDefault="00421FF8" w:rsidP="006F763B">
            <w:pPr>
              <w:spacing w:line="360" w:lineRule="auto"/>
              <w:jc w:val="center"/>
              <w:rPr>
                <w:rFonts w:ascii="Arial" w:hAnsi="Arial" w:cs="Arial"/>
                <w:position w:val="6"/>
                <w:sz w:val="22"/>
                <w:szCs w:val="22"/>
                <w:lang w:val="en-GB"/>
              </w:rPr>
            </w:pPr>
            <w:r w:rsidRPr="00E4265B">
              <w:rPr>
                <w:rFonts w:ascii="Arial" w:hAnsi="Arial" w:cs="Arial"/>
                <w:position w:val="6"/>
                <w:sz w:val="22"/>
                <w:szCs w:val="22"/>
                <w:lang w:val="en-GB"/>
              </w:rPr>
              <w:t>10 million</w:t>
            </w:r>
          </w:p>
        </w:tc>
      </w:tr>
      <w:tr w:rsidR="00421FF8" w:rsidRPr="00E4265B" w14:paraId="61695C07" w14:textId="77777777" w:rsidTr="006F763B">
        <w:tc>
          <w:tcPr>
            <w:tcW w:w="1823" w:type="dxa"/>
            <w:vAlign w:val="center"/>
          </w:tcPr>
          <w:p w14:paraId="4E1890CF" w14:textId="77777777" w:rsidR="00421FF8" w:rsidRPr="00E4265B" w:rsidRDefault="00421FF8" w:rsidP="006F763B">
            <w:pPr>
              <w:spacing w:line="360" w:lineRule="auto"/>
              <w:jc w:val="center"/>
              <w:rPr>
                <w:rFonts w:ascii="Arial" w:hAnsi="Arial" w:cs="Arial"/>
                <w:position w:val="6"/>
                <w:sz w:val="22"/>
                <w:szCs w:val="22"/>
                <w:lang w:val="en-GB"/>
              </w:rPr>
            </w:pPr>
            <w:r w:rsidRPr="00E4265B">
              <w:rPr>
                <w:rFonts w:ascii="Arial" w:hAnsi="Arial" w:cs="Arial"/>
                <w:position w:val="6"/>
                <w:sz w:val="22"/>
                <w:szCs w:val="22"/>
                <w:lang w:val="en-GB"/>
              </w:rPr>
              <w:lastRenderedPageBreak/>
              <w:t>2</w:t>
            </w:r>
          </w:p>
        </w:tc>
        <w:tc>
          <w:tcPr>
            <w:tcW w:w="6588" w:type="dxa"/>
            <w:vAlign w:val="center"/>
          </w:tcPr>
          <w:p w14:paraId="1F7833D6" w14:textId="77777777" w:rsidR="00421FF8" w:rsidRPr="00E4265B" w:rsidRDefault="00421FF8" w:rsidP="006F763B">
            <w:pPr>
              <w:spacing w:line="360" w:lineRule="auto"/>
              <w:jc w:val="center"/>
              <w:rPr>
                <w:rFonts w:ascii="Arial" w:hAnsi="Arial" w:cs="Arial"/>
                <w:position w:val="6"/>
                <w:sz w:val="22"/>
                <w:szCs w:val="22"/>
                <w:lang w:val="en-GB"/>
              </w:rPr>
            </w:pPr>
            <w:r w:rsidRPr="00E4265B">
              <w:rPr>
                <w:rFonts w:ascii="Arial" w:hAnsi="Arial" w:cs="Arial"/>
                <w:position w:val="6"/>
                <w:sz w:val="22"/>
                <w:szCs w:val="22"/>
                <w:lang w:val="en-GB"/>
              </w:rPr>
              <w:t>2 million</w:t>
            </w:r>
          </w:p>
        </w:tc>
      </w:tr>
      <w:tr w:rsidR="00421FF8" w:rsidRPr="00E4265B" w14:paraId="2AD5937B" w14:textId="77777777" w:rsidTr="006F763B">
        <w:tc>
          <w:tcPr>
            <w:tcW w:w="1823" w:type="dxa"/>
            <w:vAlign w:val="center"/>
          </w:tcPr>
          <w:p w14:paraId="21FC56BB" w14:textId="77777777" w:rsidR="00421FF8" w:rsidRPr="00E4265B" w:rsidRDefault="00421FF8" w:rsidP="006F763B">
            <w:pPr>
              <w:spacing w:line="360" w:lineRule="auto"/>
              <w:jc w:val="center"/>
              <w:rPr>
                <w:rFonts w:ascii="Arial" w:hAnsi="Arial" w:cs="Arial"/>
                <w:position w:val="6"/>
                <w:sz w:val="22"/>
                <w:szCs w:val="22"/>
                <w:lang w:val="en-GB"/>
              </w:rPr>
            </w:pPr>
            <w:r w:rsidRPr="00E4265B">
              <w:rPr>
                <w:rFonts w:ascii="Arial" w:hAnsi="Arial" w:cs="Arial"/>
                <w:position w:val="6"/>
                <w:sz w:val="22"/>
                <w:szCs w:val="22"/>
                <w:lang w:val="en-GB"/>
              </w:rPr>
              <w:t>3A</w:t>
            </w:r>
          </w:p>
        </w:tc>
        <w:tc>
          <w:tcPr>
            <w:tcW w:w="6588" w:type="dxa"/>
            <w:vAlign w:val="center"/>
          </w:tcPr>
          <w:p w14:paraId="689803C5" w14:textId="74DBB26A" w:rsidR="00421FF8" w:rsidRPr="00E4265B" w:rsidRDefault="001A5940" w:rsidP="001A5940">
            <w:pPr>
              <w:spacing w:line="360" w:lineRule="auto"/>
              <w:rPr>
                <w:rFonts w:ascii="Arial" w:hAnsi="Arial" w:cs="Arial"/>
                <w:position w:val="6"/>
                <w:sz w:val="22"/>
                <w:szCs w:val="22"/>
                <w:lang w:val="en-GB"/>
              </w:rPr>
            </w:pPr>
            <w:r w:rsidRPr="001A5940">
              <w:rPr>
                <w:rFonts w:ascii="Arial" w:hAnsi="Arial" w:cs="Arial"/>
                <w:position w:val="6"/>
                <w:sz w:val="22"/>
                <w:szCs w:val="22"/>
                <w:lang w:val="en-GB"/>
              </w:rPr>
              <w:t>500,000, except where an Authorised Person is conducting the Regulated Activity of Dealing in Investments as Principal (only as Matched Principal) in relation to OTC Leveraged Products with Retail Clients in which case the Base Capital Requirement is 2 million.</w:t>
            </w:r>
          </w:p>
        </w:tc>
      </w:tr>
      <w:tr w:rsidR="00421FF8" w:rsidRPr="00E4265B" w14:paraId="683B5A4D" w14:textId="77777777" w:rsidTr="006F763B">
        <w:tc>
          <w:tcPr>
            <w:tcW w:w="1823" w:type="dxa"/>
            <w:vAlign w:val="center"/>
          </w:tcPr>
          <w:p w14:paraId="5E879346" w14:textId="77777777" w:rsidR="00421FF8" w:rsidRPr="00E4265B" w:rsidRDefault="00421FF8" w:rsidP="006F763B">
            <w:pPr>
              <w:spacing w:line="360" w:lineRule="auto"/>
              <w:jc w:val="center"/>
              <w:rPr>
                <w:rFonts w:ascii="Arial" w:hAnsi="Arial" w:cs="Arial"/>
                <w:position w:val="6"/>
                <w:sz w:val="22"/>
                <w:szCs w:val="22"/>
                <w:lang w:val="en-GB"/>
              </w:rPr>
            </w:pPr>
            <w:r w:rsidRPr="00E4265B">
              <w:rPr>
                <w:rFonts w:ascii="Arial" w:hAnsi="Arial" w:cs="Arial"/>
                <w:position w:val="6"/>
                <w:sz w:val="22"/>
                <w:szCs w:val="22"/>
                <w:lang w:val="en-GB"/>
              </w:rPr>
              <w:t>3B</w:t>
            </w:r>
          </w:p>
        </w:tc>
        <w:tc>
          <w:tcPr>
            <w:tcW w:w="6588" w:type="dxa"/>
            <w:vAlign w:val="center"/>
          </w:tcPr>
          <w:p w14:paraId="1229CA1C" w14:textId="77777777" w:rsidR="00421FF8" w:rsidRPr="00E4265B" w:rsidRDefault="00421FF8" w:rsidP="006F763B">
            <w:pPr>
              <w:spacing w:line="360" w:lineRule="auto"/>
              <w:jc w:val="center"/>
              <w:rPr>
                <w:rFonts w:ascii="Arial" w:hAnsi="Arial" w:cs="Arial"/>
                <w:position w:val="6"/>
                <w:sz w:val="22"/>
                <w:szCs w:val="22"/>
                <w:lang w:val="en-GB"/>
              </w:rPr>
            </w:pPr>
            <w:r w:rsidRPr="00E4265B">
              <w:rPr>
                <w:rFonts w:ascii="Arial" w:hAnsi="Arial" w:cs="Arial"/>
                <w:position w:val="6"/>
                <w:sz w:val="22"/>
                <w:szCs w:val="22"/>
                <w:lang w:val="en-GB"/>
              </w:rPr>
              <w:t>4 million</w:t>
            </w:r>
          </w:p>
        </w:tc>
      </w:tr>
      <w:tr w:rsidR="00421FF8" w:rsidRPr="00E4265B" w14:paraId="29264564" w14:textId="77777777" w:rsidTr="006F763B">
        <w:tc>
          <w:tcPr>
            <w:tcW w:w="1823" w:type="dxa"/>
            <w:vAlign w:val="center"/>
          </w:tcPr>
          <w:p w14:paraId="48043CC6" w14:textId="77777777" w:rsidR="00421FF8" w:rsidRPr="00E4265B" w:rsidRDefault="00421FF8" w:rsidP="006F763B">
            <w:pPr>
              <w:spacing w:line="360" w:lineRule="auto"/>
              <w:jc w:val="center"/>
              <w:rPr>
                <w:rFonts w:ascii="Arial" w:hAnsi="Arial" w:cs="Arial"/>
                <w:position w:val="6"/>
                <w:sz w:val="22"/>
                <w:szCs w:val="22"/>
                <w:lang w:val="en-GB"/>
              </w:rPr>
            </w:pPr>
            <w:r w:rsidRPr="00E4265B">
              <w:rPr>
                <w:rFonts w:ascii="Arial" w:hAnsi="Arial" w:cs="Arial"/>
                <w:position w:val="6"/>
                <w:sz w:val="22"/>
                <w:szCs w:val="22"/>
                <w:lang w:val="en-GB"/>
              </w:rPr>
              <w:t>3C</w:t>
            </w:r>
          </w:p>
        </w:tc>
        <w:tc>
          <w:tcPr>
            <w:tcW w:w="6588" w:type="dxa"/>
            <w:vAlign w:val="center"/>
          </w:tcPr>
          <w:p w14:paraId="659C5AFC" w14:textId="77777777" w:rsidR="00421FF8" w:rsidRPr="00E4265B" w:rsidRDefault="00421FF8" w:rsidP="006F763B">
            <w:pPr>
              <w:spacing w:line="360" w:lineRule="auto"/>
              <w:jc w:val="both"/>
              <w:rPr>
                <w:rFonts w:ascii="Arial" w:hAnsi="Arial" w:cs="Arial"/>
                <w:position w:val="6"/>
                <w:sz w:val="22"/>
                <w:szCs w:val="22"/>
                <w:lang w:val="en-GB"/>
              </w:rPr>
            </w:pPr>
            <w:r w:rsidRPr="00E4265B">
              <w:rPr>
                <w:rFonts w:ascii="Arial" w:hAnsi="Arial" w:cs="Arial"/>
                <w:position w:val="6"/>
                <w:sz w:val="22"/>
                <w:szCs w:val="22"/>
                <w:lang w:val="en-GB"/>
              </w:rPr>
              <w:t>250,000, except where an Authorised Person has a Financial Services Permission only to carry out the Regulated Activity of Managing a Collective Investment Fund, in which case the Base Capital Requirement is the higher of:</w:t>
            </w:r>
          </w:p>
          <w:p w14:paraId="3A5B5455" w14:textId="6FC0A8C6" w:rsidR="00421FF8" w:rsidRPr="00E4265B" w:rsidRDefault="00D07862" w:rsidP="006F763B">
            <w:pPr>
              <w:spacing w:line="360" w:lineRule="auto"/>
              <w:ind w:left="729" w:hanging="711"/>
              <w:jc w:val="both"/>
              <w:rPr>
                <w:rFonts w:ascii="Arial" w:hAnsi="Arial" w:cs="Arial"/>
                <w:position w:val="6"/>
                <w:sz w:val="22"/>
                <w:szCs w:val="22"/>
                <w:lang w:val="en-GB"/>
              </w:rPr>
            </w:pPr>
            <w:r w:rsidRPr="00E4265B">
              <w:rPr>
                <w:rFonts w:ascii="Arial" w:hAnsi="Arial" w:cs="Arial"/>
                <w:position w:val="6"/>
                <w:sz w:val="22"/>
                <w:szCs w:val="22"/>
                <w:lang w:val="en-GB"/>
              </w:rPr>
              <w:t>a)</w:t>
            </w:r>
            <w:r w:rsidRPr="00E4265B">
              <w:rPr>
                <w:rFonts w:ascii="Arial" w:hAnsi="Arial" w:cs="Arial"/>
                <w:position w:val="6"/>
                <w:sz w:val="22"/>
                <w:szCs w:val="22"/>
                <w:lang w:val="en-GB"/>
              </w:rPr>
              <w:tab/>
            </w:r>
            <w:r w:rsidR="00421FF8" w:rsidRPr="00E4265B">
              <w:rPr>
                <w:rFonts w:ascii="Arial" w:hAnsi="Arial" w:cs="Arial"/>
                <w:position w:val="6"/>
                <w:sz w:val="22"/>
                <w:szCs w:val="22"/>
                <w:lang w:val="en-GB"/>
              </w:rPr>
              <w:t>150,000 if the Authorised Person manages a Public Fund or any other type of fund that is available to retail customers; or</w:t>
            </w:r>
          </w:p>
          <w:p w14:paraId="5CBF121A" w14:textId="37CB1C30" w:rsidR="00421FF8" w:rsidRPr="00E4265B" w:rsidRDefault="00D07862" w:rsidP="006F763B">
            <w:pPr>
              <w:spacing w:line="360" w:lineRule="auto"/>
              <w:ind w:left="729" w:hanging="711"/>
              <w:jc w:val="both"/>
              <w:rPr>
                <w:rFonts w:ascii="Arial" w:hAnsi="Arial" w:cs="Arial"/>
                <w:position w:val="6"/>
                <w:sz w:val="22"/>
                <w:szCs w:val="22"/>
                <w:lang w:val="en-GB"/>
              </w:rPr>
            </w:pPr>
            <w:r w:rsidRPr="00E4265B">
              <w:rPr>
                <w:rFonts w:ascii="Arial" w:hAnsi="Arial" w:cs="Arial"/>
                <w:position w:val="6"/>
                <w:sz w:val="22"/>
                <w:szCs w:val="22"/>
                <w:lang w:val="en-GB"/>
              </w:rPr>
              <w:t>b)</w:t>
            </w:r>
            <w:r w:rsidRPr="00E4265B">
              <w:rPr>
                <w:rFonts w:ascii="Arial" w:hAnsi="Arial" w:cs="Arial"/>
                <w:position w:val="6"/>
                <w:sz w:val="22"/>
                <w:szCs w:val="22"/>
                <w:lang w:val="en-GB"/>
              </w:rPr>
              <w:tab/>
            </w:r>
            <w:r w:rsidR="00421FF8" w:rsidRPr="00E4265B">
              <w:rPr>
                <w:rFonts w:ascii="Arial" w:hAnsi="Arial" w:cs="Arial"/>
                <w:position w:val="6"/>
                <w:sz w:val="22"/>
                <w:szCs w:val="22"/>
                <w:lang w:val="en-GB"/>
              </w:rPr>
              <w:t>50,000 otherwise.</w:t>
            </w:r>
          </w:p>
        </w:tc>
      </w:tr>
      <w:tr w:rsidR="00421FF8" w:rsidRPr="00E4265B" w14:paraId="34D8677C" w14:textId="77777777" w:rsidTr="006F763B">
        <w:tc>
          <w:tcPr>
            <w:tcW w:w="1823" w:type="dxa"/>
            <w:vAlign w:val="center"/>
          </w:tcPr>
          <w:p w14:paraId="3C40CDEB" w14:textId="77777777" w:rsidR="00421FF8" w:rsidRPr="00E4265B" w:rsidRDefault="00421FF8" w:rsidP="006F763B">
            <w:pPr>
              <w:spacing w:line="360" w:lineRule="auto"/>
              <w:jc w:val="center"/>
              <w:rPr>
                <w:rFonts w:ascii="Arial" w:hAnsi="Arial" w:cs="Arial"/>
                <w:position w:val="6"/>
                <w:sz w:val="22"/>
                <w:szCs w:val="22"/>
                <w:lang w:val="en-GB"/>
              </w:rPr>
            </w:pPr>
            <w:r w:rsidRPr="00E4265B">
              <w:rPr>
                <w:rFonts w:ascii="Arial" w:hAnsi="Arial" w:cs="Arial"/>
                <w:position w:val="6"/>
                <w:sz w:val="22"/>
                <w:szCs w:val="22"/>
                <w:lang w:val="en-GB"/>
              </w:rPr>
              <w:t>4</w:t>
            </w:r>
          </w:p>
        </w:tc>
        <w:tc>
          <w:tcPr>
            <w:tcW w:w="6588" w:type="dxa"/>
            <w:vAlign w:val="center"/>
          </w:tcPr>
          <w:p w14:paraId="151726E1" w14:textId="77777777" w:rsidR="003E731C" w:rsidRPr="00E4265B" w:rsidRDefault="00421FF8" w:rsidP="001C2BD8">
            <w:pPr>
              <w:spacing w:line="360" w:lineRule="auto"/>
              <w:jc w:val="both"/>
              <w:rPr>
                <w:rFonts w:ascii="Arial" w:hAnsi="Arial" w:cs="Arial"/>
                <w:position w:val="6"/>
                <w:sz w:val="22"/>
                <w:szCs w:val="22"/>
                <w:lang w:val="en-GB"/>
              </w:rPr>
            </w:pPr>
            <w:r w:rsidRPr="00E4265B">
              <w:rPr>
                <w:rFonts w:ascii="Arial" w:hAnsi="Arial" w:cs="Arial"/>
                <w:position w:val="6"/>
                <w:sz w:val="22"/>
                <w:szCs w:val="22"/>
                <w:lang w:val="en-GB"/>
              </w:rPr>
              <w:t>10,000</w:t>
            </w:r>
            <w:r w:rsidR="001C2BD8" w:rsidRPr="00E4265B">
              <w:rPr>
                <w:rFonts w:ascii="Arial" w:hAnsi="Arial" w:cs="Arial"/>
                <w:position w:val="6"/>
                <w:sz w:val="22"/>
                <w:szCs w:val="22"/>
                <w:lang w:val="en-GB"/>
              </w:rPr>
              <w:t>, except where an Authorised Person has a Financial Services Permission</w:t>
            </w:r>
            <w:r w:rsidR="003E731C" w:rsidRPr="00E4265B">
              <w:rPr>
                <w:rFonts w:ascii="Arial" w:hAnsi="Arial" w:cs="Arial"/>
                <w:position w:val="6"/>
                <w:sz w:val="22"/>
                <w:szCs w:val="22"/>
                <w:lang w:val="en-GB"/>
              </w:rPr>
              <w:t>:</w:t>
            </w:r>
          </w:p>
          <w:p w14:paraId="348709C4" w14:textId="797654B5" w:rsidR="003E731C" w:rsidRPr="00E4265B" w:rsidRDefault="001C2BD8" w:rsidP="00C41049">
            <w:pPr>
              <w:pStyle w:val="ListParagraph"/>
              <w:numPr>
                <w:ilvl w:val="0"/>
                <w:numId w:val="105"/>
              </w:numPr>
              <w:spacing w:line="360" w:lineRule="auto"/>
              <w:ind w:left="677" w:hanging="677"/>
              <w:jc w:val="both"/>
              <w:rPr>
                <w:rFonts w:ascii="Arial" w:hAnsi="Arial" w:cs="Arial"/>
                <w:position w:val="6"/>
                <w:sz w:val="22"/>
                <w:szCs w:val="22"/>
                <w:lang w:val="en-GB"/>
              </w:rPr>
            </w:pPr>
            <w:r w:rsidRPr="00E4265B">
              <w:rPr>
                <w:rFonts w:ascii="Arial" w:hAnsi="Arial" w:cs="Arial"/>
                <w:position w:val="6"/>
                <w:sz w:val="22"/>
                <w:szCs w:val="22"/>
                <w:lang w:val="en-GB"/>
              </w:rPr>
              <w:t>to carry out the Regulated Activity of Operating a Private Financing Platform and holds Client Assets, in which case the Base Capital Requirement is 150,000</w:t>
            </w:r>
            <w:r w:rsidR="003E731C" w:rsidRPr="00E4265B">
              <w:rPr>
                <w:rFonts w:ascii="Arial" w:hAnsi="Arial" w:cs="Arial"/>
                <w:position w:val="6"/>
                <w:sz w:val="22"/>
                <w:szCs w:val="22"/>
                <w:lang w:val="en-GB"/>
              </w:rPr>
              <w:t>; or</w:t>
            </w:r>
          </w:p>
          <w:p w14:paraId="1D2879E1" w14:textId="7BCEAD01" w:rsidR="00421FF8" w:rsidRPr="00E4265B" w:rsidRDefault="00B24EE7" w:rsidP="00B24EE7">
            <w:pPr>
              <w:spacing w:line="360" w:lineRule="auto"/>
              <w:ind w:left="677" w:hanging="677"/>
              <w:jc w:val="both"/>
              <w:rPr>
                <w:rFonts w:ascii="Arial" w:hAnsi="Arial" w:cs="Arial"/>
                <w:position w:val="6"/>
                <w:sz w:val="22"/>
                <w:szCs w:val="22"/>
                <w:lang w:val="en-GB"/>
              </w:rPr>
            </w:pPr>
            <w:r w:rsidRPr="00E4265B">
              <w:rPr>
                <w:rFonts w:ascii="Arial" w:hAnsi="Arial" w:cs="Arial"/>
                <w:position w:val="6"/>
                <w:sz w:val="22"/>
                <w:szCs w:val="22"/>
                <w:lang w:val="en-GB"/>
              </w:rPr>
              <w:t xml:space="preserve">b) </w:t>
            </w:r>
            <w:r w:rsidRPr="00E4265B">
              <w:rPr>
                <w:rFonts w:ascii="Arial" w:hAnsi="Arial" w:cs="Arial"/>
                <w:position w:val="6"/>
                <w:sz w:val="22"/>
                <w:szCs w:val="22"/>
                <w:lang w:val="en-GB"/>
              </w:rPr>
              <w:tab/>
            </w:r>
            <w:r w:rsidR="003E731C" w:rsidRPr="00E4265B">
              <w:rPr>
                <w:rFonts w:ascii="Arial" w:hAnsi="Arial" w:cs="Arial"/>
                <w:position w:val="6"/>
                <w:sz w:val="22"/>
                <w:szCs w:val="22"/>
                <w:lang w:val="en-GB"/>
              </w:rPr>
              <w:t>to carry out the Regulated Activity of Providing Third Party Services, in which case the Base Capital Requirement will be 50,000</w:t>
            </w:r>
            <w:r w:rsidR="001C2BD8" w:rsidRPr="00E4265B">
              <w:rPr>
                <w:rFonts w:ascii="Arial" w:hAnsi="Arial" w:cs="Arial"/>
                <w:position w:val="6"/>
                <w:sz w:val="22"/>
                <w:szCs w:val="22"/>
                <w:lang w:val="en-GB"/>
              </w:rPr>
              <w:t>.</w:t>
            </w:r>
          </w:p>
        </w:tc>
      </w:tr>
      <w:tr w:rsidR="00421FF8" w:rsidRPr="00E4265B" w14:paraId="0AD1787F" w14:textId="77777777" w:rsidTr="006F763B">
        <w:tc>
          <w:tcPr>
            <w:tcW w:w="1823" w:type="dxa"/>
            <w:vAlign w:val="center"/>
          </w:tcPr>
          <w:p w14:paraId="6D06C31B" w14:textId="77777777" w:rsidR="00421FF8" w:rsidRPr="00E4265B" w:rsidRDefault="00421FF8" w:rsidP="006F763B">
            <w:pPr>
              <w:spacing w:line="360" w:lineRule="auto"/>
              <w:jc w:val="center"/>
              <w:rPr>
                <w:rFonts w:ascii="Arial" w:hAnsi="Arial" w:cs="Arial"/>
                <w:position w:val="6"/>
                <w:sz w:val="22"/>
                <w:szCs w:val="22"/>
                <w:lang w:val="en-GB"/>
              </w:rPr>
            </w:pPr>
            <w:r w:rsidRPr="00E4265B">
              <w:rPr>
                <w:rFonts w:ascii="Arial" w:hAnsi="Arial" w:cs="Arial"/>
                <w:position w:val="6"/>
                <w:sz w:val="22"/>
                <w:szCs w:val="22"/>
                <w:lang w:val="en-GB"/>
              </w:rPr>
              <w:t>5</w:t>
            </w:r>
          </w:p>
        </w:tc>
        <w:tc>
          <w:tcPr>
            <w:tcW w:w="6588" w:type="dxa"/>
            <w:vAlign w:val="center"/>
          </w:tcPr>
          <w:p w14:paraId="3777D274" w14:textId="77777777" w:rsidR="00421FF8" w:rsidRPr="00E4265B" w:rsidRDefault="00421FF8" w:rsidP="006F763B">
            <w:pPr>
              <w:spacing w:line="360" w:lineRule="auto"/>
              <w:jc w:val="center"/>
              <w:rPr>
                <w:rFonts w:ascii="Arial" w:hAnsi="Arial" w:cs="Arial"/>
                <w:position w:val="6"/>
                <w:sz w:val="22"/>
                <w:szCs w:val="22"/>
                <w:lang w:val="en-GB"/>
              </w:rPr>
            </w:pPr>
            <w:r w:rsidRPr="00E4265B">
              <w:rPr>
                <w:rFonts w:ascii="Arial" w:hAnsi="Arial" w:cs="Arial"/>
                <w:position w:val="6"/>
                <w:sz w:val="22"/>
                <w:szCs w:val="22"/>
                <w:lang w:val="en-GB"/>
              </w:rPr>
              <w:t>10 million</w:t>
            </w:r>
          </w:p>
        </w:tc>
      </w:tr>
    </w:tbl>
    <w:p w14:paraId="21085723" w14:textId="77777777" w:rsidR="00421FF8" w:rsidRPr="00E4265B" w:rsidRDefault="00421FF8" w:rsidP="00421FF8">
      <w:pPr>
        <w:rPr>
          <w:rFonts w:ascii="Arial" w:hAnsi="Arial" w:cs="Arial"/>
          <w:sz w:val="22"/>
          <w:szCs w:val="22"/>
          <w:lang w:val="en-GB"/>
        </w:rPr>
      </w:pPr>
    </w:p>
    <w:p w14:paraId="580399A1" w14:textId="77777777" w:rsidR="00421FF8" w:rsidRPr="00E4265B" w:rsidRDefault="00421FF8" w:rsidP="00246497">
      <w:pPr>
        <w:pStyle w:val="Heading4"/>
        <w:rPr>
          <w:rFonts w:ascii="Arial" w:hAnsi="Arial" w:cs="Arial"/>
          <w:sz w:val="22"/>
          <w:szCs w:val="22"/>
        </w:rPr>
      </w:pPr>
      <w:r w:rsidRPr="00E4265B">
        <w:rPr>
          <w:rFonts w:ascii="Arial" w:hAnsi="Arial" w:cs="Arial"/>
          <w:sz w:val="22"/>
          <w:szCs w:val="22"/>
        </w:rPr>
        <w:t>An Authorised Person must have Common Equity Tier 1 Capital (CET1 Capital), as defined in Section 3.10, of not less than its relevant Base Capital Requirement at the time that it obtains authorisation and at all times thereafter.</w:t>
      </w:r>
    </w:p>
    <w:p w14:paraId="1D298D02" w14:textId="77777777" w:rsidR="00E22FF2" w:rsidRPr="00E4265B" w:rsidRDefault="00E22FF2" w:rsidP="00246497">
      <w:pPr>
        <w:pStyle w:val="Heading3"/>
        <w:rPr>
          <w:rFonts w:ascii="Arial" w:hAnsi="Arial" w:cs="Arial"/>
          <w:sz w:val="22"/>
          <w:szCs w:val="22"/>
        </w:rPr>
      </w:pPr>
      <w:bookmarkStart w:id="141" w:name="_Toc403223921"/>
      <w:bookmarkStart w:id="142" w:name="_Toc403253959"/>
      <w:bookmarkStart w:id="143" w:name="_Toc403273359"/>
      <w:bookmarkStart w:id="144" w:name="_Toc403273508"/>
      <w:bookmarkStart w:id="145" w:name="_Toc403274467"/>
      <w:bookmarkStart w:id="146" w:name="_Toc403279963"/>
      <w:bookmarkStart w:id="147" w:name="_Toc404285764"/>
      <w:bookmarkStart w:id="148" w:name="_Toc404621713"/>
      <w:bookmarkStart w:id="149" w:name="_Toc404624354"/>
      <w:bookmarkStart w:id="150" w:name="_Toc33622376"/>
      <w:r w:rsidRPr="00E4265B">
        <w:rPr>
          <w:rFonts w:ascii="Arial" w:hAnsi="Arial" w:cs="Arial"/>
          <w:sz w:val="22"/>
          <w:szCs w:val="22"/>
        </w:rPr>
        <w:t>Capital Requirements for Categories 1</w:t>
      </w:r>
      <w:r w:rsidR="00421FF8" w:rsidRPr="00E4265B">
        <w:rPr>
          <w:rFonts w:ascii="Arial" w:hAnsi="Arial" w:cs="Arial"/>
          <w:sz w:val="22"/>
          <w:szCs w:val="22"/>
        </w:rPr>
        <w:t>, 2, 3A</w:t>
      </w:r>
      <w:r w:rsidRPr="00E4265B">
        <w:rPr>
          <w:rFonts w:ascii="Arial" w:hAnsi="Arial" w:cs="Arial"/>
          <w:sz w:val="22"/>
          <w:szCs w:val="22"/>
        </w:rPr>
        <w:t> and 5</w:t>
      </w:r>
      <w:bookmarkEnd w:id="141"/>
      <w:bookmarkEnd w:id="142"/>
      <w:bookmarkEnd w:id="143"/>
      <w:bookmarkEnd w:id="144"/>
      <w:bookmarkEnd w:id="145"/>
      <w:bookmarkEnd w:id="146"/>
      <w:bookmarkEnd w:id="147"/>
      <w:bookmarkEnd w:id="148"/>
      <w:bookmarkEnd w:id="149"/>
      <w:bookmarkEnd w:id="150"/>
    </w:p>
    <w:p w14:paraId="5E133F32"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This Section applies to an </w:t>
      </w:r>
      <w:r w:rsidR="000D1A90" w:rsidRPr="00E4265B">
        <w:rPr>
          <w:rFonts w:ascii="Arial" w:hAnsi="Arial" w:cs="Arial"/>
          <w:sz w:val="22"/>
          <w:szCs w:val="22"/>
        </w:rPr>
        <w:t>Authorised Person</w:t>
      </w:r>
      <w:r w:rsidRPr="00E4265B">
        <w:rPr>
          <w:rFonts w:ascii="Arial" w:hAnsi="Arial" w:cs="Arial"/>
          <w:sz w:val="22"/>
          <w:szCs w:val="22"/>
        </w:rPr>
        <w:t xml:space="preserve"> in Category 1</w:t>
      </w:r>
      <w:r w:rsidR="00421FF8" w:rsidRPr="00E4265B">
        <w:rPr>
          <w:rFonts w:ascii="Arial" w:hAnsi="Arial" w:cs="Arial"/>
          <w:sz w:val="22"/>
          <w:szCs w:val="22"/>
        </w:rPr>
        <w:t>, 2, 3A</w:t>
      </w:r>
      <w:r w:rsidRPr="00E4265B">
        <w:rPr>
          <w:rFonts w:ascii="Arial" w:hAnsi="Arial" w:cs="Arial"/>
          <w:sz w:val="22"/>
          <w:szCs w:val="22"/>
        </w:rPr>
        <w:t> or 5.</w:t>
      </w:r>
    </w:p>
    <w:p w14:paraId="236C4738" w14:textId="77777777" w:rsidR="00E22FF2" w:rsidRPr="00E4265B" w:rsidRDefault="00E22FF2" w:rsidP="00CE1D2C">
      <w:pPr>
        <w:pStyle w:val="Heading4"/>
        <w:tabs>
          <w:tab w:val="clear" w:pos="936"/>
          <w:tab w:val="left" w:pos="990"/>
        </w:tabs>
        <w:ind w:left="1800" w:hanging="180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The Capital Requirement for an </w:t>
      </w:r>
      <w:r w:rsidR="000D1A90" w:rsidRPr="00E4265B">
        <w:rPr>
          <w:rFonts w:ascii="Arial" w:hAnsi="Arial" w:cs="Arial"/>
          <w:sz w:val="22"/>
          <w:szCs w:val="22"/>
        </w:rPr>
        <w:t>Authorised Person</w:t>
      </w:r>
      <w:r w:rsidRPr="00E4265B">
        <w:rPr>
          <w:rFonts w:ascii="Arial" w:hAnsi="Arial" w:cs="Arial"/>
          <w:sz w:val="22"/>
          <w:szCs w:val="22"/>
        </w:rPr>
        <w:t xml:space="preserve"> is calculated, subject to (2), as the higher of:</w:t>
      </w:r>
    </w:p>
    <w:p w14:paraId="0BF4F1F5"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applicable Base Capital Requirement as set out in Section 3.</w:t>
      </w:r>
      <w:r w:rsidR="00421FF8" w:rsidRPr="00E4265B">
        <w:rPr>
          <w:rFonts w:ascii="Arial" w:hAnsi="Arial" w:cs="Arial"/>
          <w:sz w:val="22"/>
          <w:szCs w:val="22"/>
          <w:lang w:val="en-GB"/>
        </w:rPr>
        <w:t>3</w:t>
      </w:r>
      <w:r w:rsidRPr="00E4265B">
        <w:rPr>
          <w:rFonts w:ascii="Arial" w:hAnsi="Arial" w:cs="Arial"/>
          <w:sz w:val="22"/>
          <w:szCs w:val="22"/>
          <w:lang w:val="en-GB"/>
        </w:rPr>
        <w:t>; or</w:t>
      </w:r>
    </w:p>
    <w:p w14:paraId="4EF309D6" w14:textId="5FA6A225" w:rsidR="00E22FF2" w:rsidRPr="00E4265B" w:rsidRDefault="00E22FF2" w:rsidP="00D07862">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r>
      <w:r w:rsidR="00D07862" w:rsidRPr="00E4265B">
        <w:rPr>
          <w:rFonts w:ascii="Arial" w:hAnsi="Arial" w:cs="Arial"/>
          <w:sz w:val="22"/>
          <w:szCs w:val="22"/>
          <w:lang w:val="en-GB"/>
        </w:rPr>
        <w:t>its</w:t>
      </w:r>
      <w:r w:rsidR="00421FF8" w:rsidRPr="00E4265B">
        <w:rPr>
          <w:rFonts w:ascii="Arial" w:hAnsi="Arial" w:cs="Arial"/>
          <w:sz w:val="22"/>
          <w:szCs w:val="22"/>
          <w:lang w:val="en-GB"/>
        </w:rPr>
        <w:t xml:space="preserve"> </w:t>
      </w:r>
      <w:r w:rsidRPr="00E4265B">
        <w:rPr>
          <w:rFonts w:ascii="Arial" w:hAnsi="Arial" w:cs="Arial"/>
          <w:sz w:val="22"/>
          <w:szCs w:val="22"/>
          <w:lang w:val="en-GB"/>
        </w:rPr>
        <w:t>Risk Capital Requirement as set out in Section 3.</w:t>
      </w:r>
      <w:r w:rsidR="00421FF8" w:rsidRPr="00E4265B">
        <w:rPr>
          <w:rFonts w:ascii="Arial" w:hAnsi="Arial" w:cs="Arial"/>
          <w:sz w:val="22"/>
          <w:szCs w:val="22"/>
          <w:lang w:val="en-GB"/>
        </w:rPr>
        <w:t>5</w:t>
      </w:r>
      <w:r w:rsidRPr="00E4265B">
        <w:rPr>
          <w:rFonts w:ascii="Arial" w:hAnsi="Arial" w:cs="Arial"/>
          <w:sz w:val="22"/>
          <w:szCs w:val="22"/>
          <w:lang w:val="en-GB"/>
        </w:rPr>
        <w:t>.</w:t>
      </w:r>
    </w:p>
    <w:p w14:paraId="5CCD3BAB"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lastRenderedPageBreak/>
        <w:t>(2)</w:t>
      </w:r>
      <w:r w:rsidRPr="00E4265B">
        <w:rPr>
          <w:rFonts w:ascii="Arial" w:hAnsi="Arial" w:cs="Arial"/>
          <w:sz w:val="22"/>
          <w:szCs w:val="22"/>
          <w:lang w:val="en-GB"/>
        </w:rPr>
        <w:tab/>
        <w:t xml:space="preserve">Where 1(b) is the higher and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an ICR imposed on it then the Capital Requirement is its ICR plus Risk Capital Requirement.</w:t>
      </w:r>
    </w:p>
    <w:p w14:paraId="487702A9" w14:textId="77777777" w:rsidR="00421FF8" w:rsidRPr="00E4265B" w:rsidRDefault="00421FF8" w:rsidP="00246497">
      <w:pPr>
        <w:pStyle w:val="Heading3"/>
        <w:rPr>
          <w:rFonts w:ascii="Arial" w:hAnsi="Arial" w:cs="Arial"/>
          <w:sz w:val="22"/>
          <w:szCs w:val="22"/>
        </w:rPr>
      </w:pPr>
      <w:bookmarkStart w:id="151" w:name="_Toc33622377"/>
      <w:r w:rsidRPr="00E4265B">
        <w:rPr>
          <w:rFonts w:ascii="Arial" w:hAnsi="Arial" w:cs="Arial"/>
          <w:sz w:val="22"/>
          <w:szCs w:val="22"/>
        </w:rPr>
        <w:t>Risk Capital Requirement</w:t>
      </w:r>
      <w:bookmarkEnd w:id="151"/>
    </w:p>
    <w:p w14:paraId="18ADEAAF" w14:textId="77777777" w:rsidR="00421FF8" w:rsidRPr="00E4265B" w:rsidRDefault="00421FF8" w:rsidP="00246497">
      <w:pPr>
        <w:pStyle w:val="Heading4"/>
        <w:rPr>
          <w:rFonts w:ascii="Arial" w:hAnsi="Arial" w:cs="Arial"/>
          <w:sz w:val="22"/>
          <w:szCs w:val="22"/>
        </w:rPr>
      </w:pPr>
      <w:r w:rsidRPr="00E4265B">
        <w:rPr>
          <w:rFonts w:ascii="Arial" w:hAnsi="Arial" w:cs="Arial"/>
          <w:sz w:val="22"/>
          <w:szCs w:val="22"/>
        </w:rPr>
        <w:t>An Authorised Person must calculate its Risk Capital Requirement as the sum of the following:</w:t>
      </w:r>
    </w:p>
    <w:p w14:paraId="6310F485" w14:textId="75A208EA" w:rsidR="00421FF8" w:rsidRPr="00E4265B" w:rsidRDefault="00421FF8" w:rsidP="008432F8">
      <w:pPr>
        <w:pStyle w:val="Heading5"/>
        <w:rPr>
          <w:rFonts w:ascii="Arial" w:hAnsi="Arial" w:cs="Arial"/>
          <w:sz w:val="22"/>
          <w:szCs w:val="22"/>
        </w:rPr>
      </w:pPr>
      <w:r w:rsidRPr="00E4265B">
        <w:rPr>
          <w:rFonts w:ascii="Arial" w:hAnsi="Arial" w:cs="Arial"/>
          <w:sz w:val="22"/>
          <w:szCs w:val="22"/>
        </w:rPr>
        <w:t xml:space="preserve">the </w:t>
      </w:r>
      <w:r w:rsidR="00B23C3A" w:rsidRPr="00E4265B">
        <w:rPr>
          <w:rFonts w:ascii="Arial" w:hAnsi="Arial" w:cs="Arial"/>
          <w:sz w:val="22"/>
          <w:szCs w:val="22"/>
        </w:rPr>
        <w:t>Credit Risk Capital Requirement (</w:t>
      </w:r>
      <w:r w:rsidRPr="00E4265B">
        <w:rPr>
          <w:rFonts w:ascii="Arial" w:hAnsi="Arial" w:cs="Arial"/>
          <w:sz w:val="22"/>
          <w:szCs w:val="22"/>
        </w:rPr>
        <w:t>CRCOM</w:t>
      </w:r>
      <w:r w:rsidR="00B23C3A" w:rsidRPr="00E4265B">
        <w:rPr>
          <w:rFonts w:ascii="Arial" w:hAnsi="Arial" w:cs="Arial"/>
          <w:sz w:val="22"/>
          <w:szCs w:val="22"/>
        </w:rPr>
        <w:t>)</w:t>
      </w:r>
      <w:r w:rsidRPr="00E4265B">
        <w:rPr>
          <w:rFonts w:ascii="Arial" w:hAnsi="Arial" w:cs="Arial"/>
          <w:sz w:val="22"/>
          <w:szCs w:val="22"/>
        </w:rPr>
        <w:t>;</w:t>
      </w:r>
    </w:p>
    <w:p w14:paraId="1C816DF5" w14:textId="77777777" w:rsidR="00421FF8" w:rsidRPr="00E4265B" w:rsidRDefault="00421FF8" w:rsidP="008432F8">
      <w:pPr>
        <w:pStyle w:val="Heading5"/>
        <w:rPr>
          <w:rFonts w:ascii="Arial" w:hAnsi="Arial" w:cs="Arial"/>
          <w:sz w:val="22"/>
          <w:szCs w:val="22"/>
        </w:rPr>
      </w:pPr>
      <w:r w:rsidRPr="00E4265B">
        <w:rPr>
          <w:rFonts w:ascii="Arial" w:hAnsi="Arial" w:cs="Arial"/>
          <w:sz w:val="22"/>
          <w:szCs w:val="22"/>
        </w:rPr>
        <w:t>the Market Risk Capital Requirement;</w:t>
      </w:r>
    </w:p>
    <w:p w14:paraId="2C64091A" w14:textId="77777777" w:rsidR="00421FF8" w:rsidRPr="00E4265B" w:rsidRDefault="00421FF8" w:rsidP="008432F8">
      <w:pPr>
        <w:pStyle w:val="Heading5"/>
        <w:rPr>
          <w:rFonts w:ascii="Arial" w:hAnsi="Arial" w:cs="Arial"/>
          <w:sz w:val="22"/>
          <w:szCs w:val="22"/>
        </w:rPr>
      </w:pPr>
      <w:r w:rsidRPr="00E4265B">
        <w:rPr>
          <w:rFonts w:ascii="Arial" w:hAnsi="Arial" w:cs="Arial"/>
          <w:sz w:val="22"/>
          <w:szCs w:val="22"/>
        </w:rPr>
        <w:t>the Operational Risk Capital Requirement;</w:t>
      </w:r>
    </w:p>
    <w:p w14:paraId="14BDEDA9" w14:textId="77777777" w:rsidR="00421FF8" w:rsidRPr="00E4265B" w:rsidRDefault="00421FF8" w:rsidP="008432F8">
      <w:pPr>
        <w:pStyle w:val="Heading5"/>
        <w:rPr>
          <w:rFonts w:ascii="Arial" w:hAnsi="Arial" w:cs="Arial"/>
          <w:sz w:val="22"/>
          <w:szCs w:val="22"/>
        </w:rPr>
      </w:pPr>
      <w:r w:rsidRPr="00E4265B">
        <w:rPr>
          <w:rFonts w:ascii="Arial" w:hAnsi="Arial" w:cs="Arial"/>
          <w:sz w:val="22"/>
          <w:szCs w:val="22"/>
        </w:rPr>
        <w:t>the Displaced Commercial Risk Capital Requirement, where applicable; and</w:t>
      </w:r>
    </w:p>
    <w:p w14:paraId="55531D3F" w14:textId="77777777" w:rsidR="00421FF8" w:rsidRPr="00E4265B" w:rsidRDefault="00421FF8" w:rsidP="008432F8">
      <w:pPr>
        <w:pStyle w:val="Heading5"/>
        <w:rPr>
          <w:rFonts w:ascii="Arial" w:hAnsi="Arial" w:cs="Arial"/>
          <w:sz w:val="22"/>
          <w:szCs w:val="22"/>
        </w:rPr>
      </w:pPr>
      <w:r w:rsidRPr="00E4265B">
        <w:rPr>
          <w:rFonts w:ascii="Arial" w:hAnsi="Arial" w:cs="Arial"/>
          <w:sz w:val="22"/>
          <w:szCs w:val="22"/>
        </w:rPr>
        <w:t>the CVA Risk Capital Requirement.</w:t>
      </w:r>
    </w:p>
    <w:p w14:paraId="7095E435" w14:textId="77777777" w:rsidR="00A00F8B" w:rsidRPr="00E4265B" w:rsidRDefault="00A00F8B" w:rsidP="00A00F8B">
      <w:pPr>
        <w:pStyle w:val="TitleL5"/>
        <w:rPr>
          <w:rFonts w:ascii="Arial" w:hAnsi="Arial" w:cs="Arial"/>
          <w:sz w:val="22"/>
          <w:szCs w:val="22"/>
          <w:lang w:val="en-GB"/>
        </w:rPr>
      </w:pPr>
      <w:r w:rsidRPr="00E4265B">
        <w:rPr>
          <w:rFonts w:ascii="Arial" w:hAnsi="Arial" w:cs="Arial"/>
          <w:sz w:val="22"/>
          <w:szCs w:val="22"/>
          <w:lang w:val="en-GB"/>
        </w:rPr>
        <w:t>CRCOM</w:t>
      </w:r>
    </w:p>
    <w:p w14:paraId="4160BBCA" w14:textId="77777777" w:rsidR="00A00F8B" w:rsidRPr="00E4265B" w:rsidRDefault="00A00F8B" w:rsidP="00246497">
      <w:pPr>
        <w:pStyle w:val="Heading4"/>
        <w:rPr>
          <w:rFonts w:ascii="Arial" w:hAnsi="Arial" w:cs="Arial"/>
          <w:sz w:val="22"/>
          <w:szCs w:val="22"/>
        </w:rPr>
      </w:pPr>
      <w:r w:rsidRPr="00E4265B">
        <w:rPr>
          <w:rFonts w:ascii="Arial" w:hAnsi="Arial" w:cs="Arial"/>
          <w:sz w:val="22"/>
          <w:szCs w:val="22"/>
        </w:rPr>
        <w:t>An Authorised Person must calculate its Credit Risk Capital Requirement in accordance with the applicable Rules in Chapter 4.</w:t>
      </w:r>
    </w:p>
    <w:p w14:paraId="37111C02" w14:textId="77777777" w:rsidR="00A00F8B" w:rsidRPr="00E4265B" w:rsidRDefault="00A00F8B" w:rsidP="00A00F8B">
      <w:pPr>
        <w:pStyle w:val="TitleL5"/>
        <w:rPr>
          <w:rFonts w:ascii="Arial" w:hAnsi="Arial" w:cs="Arial"/>
          <w:sz w:val="22"/>
          <w:szCs w:val="22"/>
          <w:lang w:val="en-GB"/>
        </w:rPr>
      </w:pPr>
      <w:r w:rsidRPr="00E4265B">
        <w:rPr>
          <w:rFonts w:ascii="Arial" w:hAnsi="Arial" w:cs="Arial"/>
          <w:sz w:val="22"/>
          <w:szCs w:val="22"/>
          <w:lang w:val="en-GB"/>
        </w:rPr>
        <w:t>Guidance</w:t>
      </w:r>
    </w:p>
    <w:p w14:paraId="266C5A96" w14:textId="192FC53B" w:rsidR="00A00F8B" w:rsidRPr="00E4265B" w:rsidRDefault="00A00F8B" w:rsidP="00AD10FB">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Detailed Rules and Guidance in respect of the CRC</w:t>
      </w:r>
      <w:r w:rsidR="009A095E" w:rsidRPr="00E4265B">
        <w:rPr>
          <w:rFonts w:ascii="Arial" w:hAnsi="Arial" w:cs="Arial"/>
          <w:sz w:val="22"/>
          <w:szCs w:val="22"/>
          <w:lang w:val="en-GB"/>
        </w:rPr>
        <w:t xml:space="preserve">OM are specified in Chapter 4. </w:t>
      </w:r>
      <w:r w:rsidRPr="00E4265B">
        <w:rPr>
          <w:rFonts w:ascii="Arial" w:hAnsi="Arial" w:cs="Arial"/>
          <w:sz w:val="22"/>
          <w:szCs w:val="22"/>
          <w:lang w:val="en-GB"/>
        </w:rPr>
        <w:t xml:space="preserve">The CRCOM </w:t>
      </w:r>
      <w:r w:rsidR="00AD10FB" w:rsidRPr="00E4265B">
        <w:rPr>
          <w:rFonts w:ascii="Arial" w:hAnsi="Arial" w:cs="Arial"/>
          <w:sz w:val="22"/>
          <w:szCs w:val="22"/>
          <w:lang w:val="en-GB"/>
        </w:rPr>
        <w:t>is based on</w:t>
      </w:r>
      <w:r w:rsidRPr="00E4265B">
        <w:rPr>
          <w:rFonts w:ascii="Arial" w:hAnsi="Arial" w:cs="Arial"/>
          <w:sz w:val="22"/>
          <w:szCs w:val="22"/>
          <w:lang w:val="en-GB"/>
        </w:rPr>
        <w:t xml:space="preserve"> the risk weighted assets (RWA) for all Credit Risk Exposures, securitisation Exposures and Counterparty Risk Exposures.</w:t>
      </w:r>
    </w:p>
    <w:p w14:paraId="25DBE883" w14:textId="77777777" w:rsidR="00A00F8B" w:rsidRPr="00E4265B" w:rsidRDefault="00A00F8B" w:rsidP="00A00F8B">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Rules and Guidance in respect of calculating the CRCOM for Islamic Contracts are contained in the IFR Rules.</w:t>
      </w:r>
    </w:p>
    <w:p w14:paraId="0073B007" w14:textId="77777777" w:rsidR="00A00F8B" w:rsidRPr="00E4265B" w:rsidRDefault="00A00F8B" w:rsidP="00A00F8B">
      <w:pPr>
        <w:pStyle w:val="TitleL5"/>
        <w:rPr>
          <w:rFonts w:ascii="Arial" w:hAnsi="Arial" w:cs="Arial"/>
          <w:sz w:val="22"/>
          <w:szCs w:val="22"/>
          <w:lang w:val="en-GB"/>
        </w:rPr>
      </w:pPr>
      <w:r w:rsidRPr="00E4265B">
        <w:rPr>
          <w:rFonts w:ascii="Arial" w:hAnsi="Arial" w:cs="Arial"/>
          <w:sz w:val="22"/>
          <w:szCs w:val="22"/>
          <w:lang w:val="en-GB"/>
        </w:rPr>
        <w:t>Market Risk Capital Requirement</w:t>
      </w:r>
    </w:p>
    <w:p w14:paraId="7134A620" w14:textId="77777777" w:rsidR="00A00F8B" w:rsidRPr="00E4265B" w:rsidRDefault="00A00F8B" w:rsidP="00246497">
      <w:pPr>
        <w:pStyle w:val="Heading4"/>
        <w:rPr>
          <w:rFonts w:ascii="Arial" w:hAnsi="Arial" w:cs="Arial"/>
          <w:sz w:val="22"/>
          <w:szCs w:val="22"/>
        </w:rPr>
      </w:pPr>
      <w:r w:rsidRPr="00E4265B">
        <w:rPr>
          <w:rFonts w:ascii="Arial" w:hAnsi="Arial" w:cs="Arial"/>
          <w:sz w:val="22"/>
          <w:szCs w:val="22"/>
        </w:rPr>
        <w:t>An Authorised Person must calculate its Market Risk Capital Requirement in accordance with the applicable Rules in Chapter 5.</w:t>
      </w:r>
    </w:p>
    <w:p w14:paraId="0BD61290" w14:textId="77777777" w:rsidR="00A00F8B" w:rsidRPr="00E4265B" w:rsidRDefault="00A00F8B" w:rsidP="00A00F8B">
      <w:pPr>
        <w:pStyle w:val="TitleL5"/>
        <w:rPr>
          <w:rFonts w:ascii="Arial" w:hAnsi="Arial" w:cs="Arial"/>
          <w:sz w:val="22"/>
          <w:szCs w:val="22"/>
          <w:lang w:val="en-GB"/>
        </w:rPr>
      </w:pPr>
      <w:r w:rsidRPr="00E4265B">
        <w:rPr>
          <w:rFonts w:ascii="Arial" w:hAnsi="Arial" w:cs="Arial"/>
          <w:sz w:val="22"/>
          <w:szCs w:val="22"/>
          <w:lang w:val="en-GB"/>
        </w:rPr>
        <w:t>Guidance</w:t>
      </w:r>
    </w:p>
    <w:p w14:paraId="2E92E3C6" w14:textId="77777777" w:rsidR="00A00F8B" w:rsidRPr="00E4265B" w:rsidRDefault="00A00F8B" w:rsidP="00A00F8B">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Detailed Rules and Guidance in respect of the Market Risk Capital Requirement and each of its components are contained in Chapter 5.</w:t>
      </w:r>
    </w:p>
    <w:p w14:paraId="5438E504" w14:textId="77777777" w:rsidR="00A00F8B" w:rsidRPr="00E4265B" w:rsidRDefault="00A00F8B" w:rsidP="00A00F8B">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Rules and Guidance in respect of calculating Market Risk for Islamic Contracts are contained in the IFR rules.</w:t>
      </w:r>
    </w:p>
    <w:p w14:paraId="25B6AC3D" w14:textId="77777777" w:rsidR="00A00F8B" w:rsidRPr="00E4265B" w:rsidRDefault="00A00F8B" w:rsidP="00A00F8B">
      <w:pPr>
        <w:pStyle w:val="TitleL5"/>
        <w:rPr>
          <w:rFonts w:ascii="Arial" w:hAnsi="Arial" w:cs="Arial"/>
          <w:sz w:val="22"/>
          <w:szCs w:val="22"/>
          <w:lang w:val="en-GB"/>
        </w:rPr>
      </w:pPr>
      <w:r w:rsidRPr="00E4265B">
        <w:rPr>
          <w:rFonts w:ascii="Arial" w:hAnsi="Arial" w:cs="Arial"/>
          <w:sz w:val="22"/>
          <w:szCs w:val="22"/>
          <w:lang w:val="en-GB"/>
        </w:rPr>
        <w:t>Operational Risk Capital Requirement</w:t>
      </w:r>
    </w:p>
    <w:p w14:paraId="6BFA5535" w14:textId="77777777" w:rsidR="00A00F8B" w:rsidRPr="00E4265B" w:rsidRDefault="00A00F8B" w:rsidP="00246497">
      <w:pPr>
        <w:pStyle w:val="Heading4"/>
        <w:rPr>
          <w:rFonts w:ascii="Arial" w:hAnsi="Arial" w:cs="Arial"/>
          <w:sz w:val="22"/>
          <w:szCs w:val="22"/>
        </w:rPr>
      </w:pPr>
      <w:r w:rsidRPr="00E4265B">
        <w:rPr>
          <w:rFonts w:ascii="Arial" w:hAnsi="Arial" w:cs="Arial"/>
          <w:sz w:val="22"/>
          <w:szCs w:val="22"/>
        </w:rPr>
        <w:t>An Authorised Person must calculate its Operational Risk Capital Requirement in accordance with the applicable Rules in Chapter 6.</w:t>
      </w:r>
    </w:p>
    <w:p w14:paraId="7DA3C32B" w14:textId="77777777" w:rsidR="00A00F8B" w:rsidRPr="00E4265B" w:rsidRDefault="00A00F8B" w:rsidP="00A00F8B">
      <w:pPr>
        <w:pStyle w:val="TitleL5"/>
        <w:rPr>
          <w:rFonts w:ascii="Arial" w:hAnsi="Arial" w:cs="Arial"/>
          <w:sz w:val="22"/>
          <w:szCs w:val="22"/>
          <w:lang w:val="en-GB"/>
        </w:rPr>
      </w:pPr>
      <w:r w:rsidRPr="00E4265B">
        <w:rPr>
          <w:rFonts w:ascii="Arial" w:hAnsi="Arial" w:cs="Arial"/>
          <w:sz w:val="22"/>
          <w:szCs w:val="22"/>
          <w:lang w:val="en-GB"/>
        </w:rPr>
        <w:t>Displaced Commercial Risk Capital Requirement</w:t>
      </w:r>
    </w:p>
    <w:p w14:paraId="0E833EA3" w14:textId="77777777" w:rsidR="00A00F8B" w:rsidRPr="00E4265B" w:rsidRDefault="00A00F8B" w:rsidP="00246497">
      <w:pPr>
        <w:pStyle w:val="Heading4"/>
        <w:rPr>
          <w:rFonts w:ascii="Arial" w:hAnsi="Arial" w:cs="Arial"/>
          <w:sz w:val="22"/>
          <w:szCs w:val="22"/>
        </w:rPr>
      </w:pPr>
      <w:r w:rsidRPr="00E4265B">
        <w:rPr>
          <w:rFonts w:ascii="Arial" w:hAnsi="Arial" w:cs="Arial"/>
          <w:sz w:val="22"/>
          <w:szCs w:val="22"/>
        </w:rPr>
        <w:t>An Authorised Person Managing a Profit Sharing Investment Account which is a PSIAu must calculate its Displaced Commercial Risk Capital Requirement in accordance with the IFR rules.</w:t>
      </w:r>
    </w:p>
    <w:p w14:paraId="5C06A9FC" w14:textId="77777777" w:rsidR="00A00F8B" w:rsidRPr="00E4265B" w:rsidRDefault="00A00F8B" w:rsidP="00A00F8B">
      <w:pPr>
        <w:pStyle w:val="TitleL5"/>
        <w:rPr>
          <w:rFonts w:ascii="Arial" w:hAnsi="Arial" w:cs="Arial"/>
          <w:sz w:val="22"/>
          <w:szCs w:val="22"/>
          <w:lang w:val="en-GB"/>
        </w:rPr>
      </w:pPr>
      <w:r w:rsidRPr="00E4265B">
        <w:rPr>
          <w:rFonts w:ascii="Arial" w:hAnsi="Arial" w:cs="Arial"/>
          <w:sz w:val="22"/>
          <w:szCs w:val="22"/>
          <w:lang w:val="en-GB"/>
        </w:rPr>
        <w:lastRenderedPageBreak/>
        <w:t>CVA Risk Capital Requirement</w:t>
      </w:r>
    </w:p>
    <w:p w14:paraId="06B42049" w14:textId="77777777" w:rsidR="00A00F8B" w:rsidRPr="00E4265B" w:rsidRDefault="00A00F8B" w:rsidP="00246497">
      <w:pPr>
        <w:pStyle w:val="Heading4"/>
        <w:rPr>
          <w:rFonts w:ascii="Arial" w:hAnsi="Arial" w:cs="Arial"/>
          <w:sz w:val="22"/>
          <w:szCs w:val="22"/>
        </w:rPr>
      </w:pPr>
      <w:r w:rsidRPr="00E4265B">
        <w:rPr>
          <w:rFonts w:ascii="Arial" w:hAnsi="Arial" w:cs="Arial"/>
          <w:sz w:val="22"/>
          <w:szCs w:val="22"/>
        </w:rPr>
        <w:t>An Authorised Person must calculate its CVA Risk Capital Requirement in accordance with the applicable Rules in App5.</w:t>
      </w:r>
    </w:p>
    <w:p w14:paraId="47474E09"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15898DFB"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refer to Chapters 4, 5 and 6 to determine whether it is required to calculate a Credit Risk Capital Requirement (also referred to in these Rules as CRCOM), a Market Risk Capital Requirement or an Operational Risk Capital Requirement, respectively.</w:t>
      </w:r>
    </w:p>
    <w:p w14:paraId="5918A070"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Displaced Commercial Risk Capital Requirement will only apply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Managing a </w:t>
      </w:r>
      <w:r w:rsidR="00C51AC9" w:rsidRPr="00E4265B">
        <w:rPr>
          <w:rFonts w:ascii="Arial" w:hAnsi="Arial" w:cs="Arial"/>
          <w:sz w:val="22"/>
          <w:szCs w:val="22"/>
          <w:lang w:val="en-GB"/>
        </w:rPr>
        <w:t xml:space="preserve">Profit Sharing Investment Account which is a </w:t>
      </w:r>
      <w:r w:rsidRPr="00E4265B">
        <w:rPr>
          <w:rFonts w:ascii="Arial" w:hAnsi="Arial" w:cs="Arial"/>
          <w:sz w:val="22"/>
          <w:szCs w:val="22"/>
          <w:lang w:val="en-GB"/>
        </w:rPr>
        <w:t>PSIAu.</w:t>
      </w:r>
    </w:p>
    <w:p w14:paraId="20CFC2C1" w14:textId="77777777" w:rsidR="00A00F8B" w:rsidRPr="00E4265B" w:rsidRDefault="00E22FF2" w:rsidP="00A00F8B">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r>
      <w:r w:rsidR="00A00F8B" w:rsidRPr="00E4265B">
        <w:rPr>
          <w:rFonts w:ascii="Arial" w:hAnsi="Arial" w:cs="Arial"/>
          <w:sz w:val="22"/>
          <w:szCs w:val="22"/>
          <w:lang w:val="en-GB"/>
        </w:rPr>
        <w:t>An Authorised Person will also need to consider the relevant provisions in the IFR rules relating to Credit Risk and Market Risk for Islamic Contracts when calculating its CRCOM and Market Risk Capital Requirement.</w:t>
      </w:r>
    </w:p>
    <w:p w14:paraId="5D6F2653" w14:textId="77777777" w:rsidR="00E22FF2" w:rsidRPr="00E4265B" w:rsidRDefault="00A00F8B" w:rsidP="00A00F8B">
      <w:pPr>
        <w:pStyle w:val="1List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Where the Risk Capital Requirement is the binding Capital Requirement calculated using the provisions in Section 3.4 the Regulator may impose an Individual Capital Requirement (see Chapter 10) on an Authorised Person.  Such a requirement is additional to the Risk Capital Requirement and is, therefore, a component of the Capital Requirement for the Authorised Person.</w:t>
      </w:r>
    </w:p>
    <w:p w14:paraId="0C1E318C" w14:textId="77777777" w:rsidR="00A00F8B" w:rsidRPr="00E4265B" w:rsidRDefault="00A00F8B" w:rsidP="00A00F8B">
      <w:pPr>
        <w:pStyle w:val="TitleL5"/>
        <w:rPr>
          <w:rFonts w:ascii="Arial" w:hAnsi="Arial" w:cs="Arial"/>
          <w:sz w:val="22"/>
          <w:szCs w:val="22"/>
          <w:lang w:val="en-GB"/>
        </w:rPr>
      </w:pPr>
      <w:r w:rsidRPr="00E4265B">
        <w:rPr>
          <w:rFonts w:ascii="Arial" w:hAnsi="Arial" w:cs="Arial"/>
          <w:sz w:val="22"/>
          <w:szCs w:val="22"/>
          <w:lang w:val="en-GB"/>
        </w:rPr>
        <w:t>Total Risk Exposure Amount</w:t>
      </w:r>
    </w:p>
    <w:p w14:paraId="7D5F70D7" w14:textId="77777777" w:rsidR="00A00F8B" w:rsidRPr="00E4265B" w:rsidRDefault="00A00F8B" w:rsidP="00246497">
      <w:pPr>
        <w:pStyle w:val="Heading4"/>
        <w:rPr>
          <w:rFonts w:ascii="Arial" w:hAnsi="Arial" w:cs="Arial"/>
          <w:sz w:val="22"/>
          <w:szCs w:val="22"/>
        </w:rPr>
      </w:pPr>
      <w:bookmarkStart w:id="152" w:name="_Toc403223922"/>
      <w:bookmarkStart w:id="153" w:name="_Toc403253960"/>
      <w:bookmarkStart w:id="154" w:name="_Toc403273360"/>
      <w:bookmarkStart w:id="155" w:name="_Toc403273509"/>
      <w:bookmarkStart w:id="156" w:name="_Toc403274468"/>
      <w:bookmarkStart w:id="157" w:name="_Toc403279964"/>
      <w:bookmarkStart w:id="158" w:name="_Toc404285765"/>
      <w:bookmarkStart w:id="159" w:name="_Toc404621714"/>
      <w:bookmarkStart w:id="160" w:name="_Toc404624355"/>
      <w:r w:rsidRPr="00E4265B">
        <w:rPr>
          <w:rFonts w:ascii="Arial" w:hAnsi="Arial" w:cs="Arial"/>
          <w:sz w:val="22"/>
          <w:szCs w:val="22"/>
        </w:rPr>
        <w:t>An Authorised Person must calculate its Total Risk Exposure Amount, after taking into account the provisions of Rule 3.5.8, as the sum of:</w:t>
      </w:r>
    </w:p>
    <w:p w14:paraId="5178F605" w14:textId="77777777" w:rsidR="00A00F8B" w:rsidRPr="00E4265B" w:rsidRDefault="00A00F8B" w:rsidP="008432F8">
      <w:pPr>
        <w:pStyle w:val="Heading5"/>
        <w:rPr>
          <w:rFonts w:ascii="Arial" w:hAnsi="Arial" w:cs="Arial"/>
          <w:sz w:val="22"/>
          <w:szCs w:val="22"/>
        </w:rPr>
      </w:pPr>
      <w:r w:rsidRPr="00E4265B">
        <w:rPr>
          <w:rFonts w:ascii="Arial" w:hAnsi="Arial" w:cs="Arial"/>
          <w:sz w:val="22"/>
          <w:szCs w:val="22"/>
        </w:rPr>
        <w:t>the Credit RWA as calculated using Rule 4.8.1(2);</w:t>
      </w:r>
    </w:p>
    <w:p w14:paraId="2882F8DB" w14:textId="17747A85" w:rsidR="00A00F8B" w:rsidRPr="00E4265B" w:rsidRDefault="00A00F8B" w:rsidP="006F297B">
      <w:pPr>
        <w:pStyle w:val="Heading5"/>
        <w:rPr>
          <w:rFonts w:ascii="Arial" w:hAnsi="Arial" w:cs="Arial"/>
          <w:sz w:val="22"/>
          <w:szCs w:val="22"/>
        </w:rPr>
      </w:pPr>
      <w:r w:rsidRPr="00E4265B">
        <w:rPr>
          <w:rFonts w:ascii="Arial" w:hAnsi="Arial" w:cs="Arial"/>
          <w:sz w:val="22"/>
          <w:szCs w:val="22"/>
        </w:rPr>
        <w:t xml:space="preserve">the </w:t>
      </w:r>
      <w:r w:rsidR="006F297B" w:rsidRPr="00E4265B">
        <w:rPr>
          <w:rFonts w:ascii="Arial" w:hAnsi="Arial" w:cs="Arial"/>
          <w:sz w:val="22"/>
          <w:szCs w:val="22"/>
        </w:rPr>
        <w:t xml:space="preserve">Risk Exposure Amount associated with the </w:t>
      </w:r>
      <w:r w:rsidRPr="00E4265B">
        <w:rPr>
          <w:rFonts w:ascii="Arial" w:hAnsi="Arial" w:cs="Arial"/>
          <w:sz w:val="22"/>
          <w:szCs w:val="22"/>
        </w:rPr>
        <w:t>Market Risk Capital Requirement;</w:t>
      </w:r>
    </w:p>
    <w:p w14:paraId="4391B7A2" w14:textId="546A7806" w:rsidR="00A00F8B" w:rsidRPr="00E4265B" w:rsidRDefault="006F297B" w:rsidP="008432F8">
      <w:pPr>
        <w:pStyle w:val="Heading5"/>
        <w:rPr>
          <w:rFonts w:ascii="Arial" w:hAnsi="Arial" w:cs="Arial"/>
          <w:sz w:val="22"/>
          <w:szCs w:val="22"/>
        </w:rPr>
      </w:pPr>
      <w:r w:rsidRPr="00E4265B">
        <w:rPr>
          <w:rFonts w:ascii="Arial" w:hAnsi="Arial" w:cs="Arial"/>
          <w:sz w:val="22"/>
          <w:szCs w:val="22"/>
        </w:rPr>
        <w:t xml:space="preserve">the Risk Exposure Amount associated with </w:t>
      </w:r>
      <w:r w:rsidR="00A00F8B" w:rsidRPr="00E4265B">
        <w:rPr>
          <w:rFonts w:ascii="Arial" w:hAnsi="Arial" w:cs="Arial"/>
          <w:sz w:val="22"/>
          <w:szCs w:val="22"/>
        </w:rPr>
        <w:t>the Operational Risk Capital Requirement;</w:t>
      </w:r>
    </w:p>
    <w:p w14:paraId="483EA608" w14:textId="138B582C" w:rsidR="00A00F8B" w:rsidRPr="00E4265B" w:rsidRDefault="006F297B" w:rsidP="008432F8">
      <w:pPr>
        <w:pStyle w:val="Heading5"/>
        <w:rPr>
          <w:rFonts w:ascii="Arial" w:hAnsi="Arial" w:cs="Arial"/>
          <w:sz w:val="22"/>
          <w:szCs w:val="22"/>
        </w:rPr>
      </w:pPr>
      <w:r w:rsidRPr="00E4265B">
        <w:rPr>
          <w:rFonts w:ascii="Arial" w:hAnsi="Arial" w:cs="Arial"/>
          <w:sz w:val="22"/>
          <w:szCs w:val="22"/>
        </w:rPr>
        <w:t xml:space="preserve">the Risk Exposure Amount associated with </w:t>
      </w:r>
      <w:r w:rsidR="00A00F8B" w:rsidRPr="00E4265B">
        <w:rPr>
          <w:rFonts w:ascii="Arial" w:hAnsi="Arial" w:cs="Arial"/>
          <w:sz w:val="22"/>
          <w:szCs w:val="22"/>
        </w:rPr>
        <w:t>the CVA Risk Capital Requirement; and</w:t>
      </w:r>
    </w:p>
    <w:p w14:paraId="26745521" w14:textId="5A0E7E76" w:rsidR="00A00F8B" w:rsidRPr="00E4265B" w:rsidRDefault="00A00F8B" w:rsidP="00AD10FB">
      <w:pPr>
        <w:pStyle w:val="Heading5"/>
        <w:rPr>
          <w:rFonts w:ascii="Arial" w:hAnsi="Arial" w:cs="Arial"/>
          <w:sz w:val="22"/>
          <w:szCs w:val="22"/>
        </w:rPr>
      </w:pPr>
      <w:r w:rsidRPr="00E4265B">
        <w:rPr>
          <w:rFonts w:ascii="Arial" w:hAnsi="Arial" w:cs="Arial"/>
          <w:sz w:val="22"/>
          <w:szCs w:val="22"/>
        </w:rPr>
        <w:t xml:space="preserve">the </w:t>
      </w:r>
      <w:r w:rsidR="00AD10FB" w:rsidRPr="00E4265B">
        <w:rPr>
          <w:rFonts w:ascii="Arial" w:hAnsi="Arial" w:cs="Arial"/>
          <w:sz w:val="22"/>
          <w:szCs w:val="22"/>
        </w:rPr>
        <w:t xml:space="preserve">Risk Exposure Amount </w:t>
      </w:r>
      <w:r w:rsidRPr="00E4265B">
        <w:rPr>
          <w:rFonts w:ascii="Arial" w:hAnsi="Arial" w:cs="Arial"/>
          <w:sz w:val="22"/>
          <w:szCs w:val="22"/>
        </w:rPr>
        <w:t>associated with Displaced Commercial Risk Capital Requirement, where applicable, calculated in a</w:t>
      </w:r>
      <w:r w:rsidR="00AD10FB" w:rsidRPr="00E4265B">
        <w:rPr>
          <w:rFonts w:ascii="Arial" w:hAnsi="Arial" w:cs="Arial"/>
          <w:sz w:val="22"/>
          <w:szCs w:val="22"/>
        </w:rPr>
        <w:t>ccordance with IFR Rule 5.4.5</w:t>
      </w:r>
      <w:r w:rsidRPr="00E4265B">
        <w:rPr>
          <w:rFonts w:ascii="Arial" w:hAnsi="Arial" w:cs="Arial"/>
          <w:sz w:val="22"/>
          <w:szCs w:val="22"/>
        </w:rPr>
        <w:t>.</w:t>
      </w:r>
    </w:p>
    <w:p w14:paraId="57F28CC2" w14:textId="477BB306" w:rsidR="00A00F8B" w:rsidRPr="00E4265B" w:rsidRDefault="00A00F8B" w:rsidP="006F297B">
      <w:pPr>
        <w:pStyle w:val="Heading4"/>
        <w:rPr>
          <w:rFonts w:ascii="Arial" w:hAnsi="Arial" w:cs="Arial"/>
          <w:sz w:val="22"/>
          <w:szCs w:val="22"/>
        </w:rPr>
      </w:pPr>
      <w:r w:rsidRPr="00E4265B">
        <w:rPr>
          <w:rFonts w:ascii="Arial" w:hAnsi="Arial" w:cs="Arial"/>
          <w:sz w:val="22"/>
          <w:szCs w:val="22"/>
        </w:rPr>
        <w:t xml:space="preserve">An Authorised Person must multiply the individual capital requirements </w:t>
      </w:r>
      <w:r w:rsidR="006F297B" w:rsidRPr="00E4265B">
        <w:rPr>
          <w:rFonts w:ascii="Arial" w:hAnsi="Arial" w:cs="Arial"/>
          <w:sz w:val="22"/>
          <w:szCs w:val="22"/>
        </w:rPr>
        <w:t>referr</w:t>
      </w:r>
      <w:r w:rsidRPr="00E4265B">
        <w:rPr>
          <w:rFonts w:ascii="Arial" w:hAnsi="Arial" w:cs="Arial"/>
          <w:sz w:val="22"/>
          <w:szCs w:val="22"/>
        </w:rPr>
        <w:t xml:space="preserve">ed </w:t>
      </w:r>
      <w:r w:rsidR="006F297B" w:rsidRPr="00E4265B">
        <w:rPr>
          <w:rFonts w:ascii="Arial" w:hAnsi="Arial" w:cs="Arial"/>
          <w:sz w:val="22"/>
          <w:szCs w:val="22"/>
        </w:rPr>
        <w:t xml:space="preserve">to </w:t>
      </w:r>
      <w:r w:rsidR="00AD10FB" w:rsidRPr="00E4265B">
        <w:rPr>
          <w:rFonts w:ascii="Arial" w:hAnsi="Arial" w:cs="Arial"/>
          <w:sz w:val="22"/>
          <w:szCs w:val="22"/>
        </w:rPr>
        <w:t>under points 3.5.7(b) to 3.5.7(e</w:t>
      </w:r>
      <w:r w:rsidRPr="00E4265B">
        <w:rPr>
          <w:rFonts w:ascii="Arial" w:hAnsi="Arial" w:cs="Arial"/>
          <w:sz w:val="22"/>
          <w:szCs w:val="22"/>
        </w:rPr>
        <w:t xml:space="preserve">) by a factor of 12.5 in order to determine </w:t>
      </w:r>
      <w:r w:rsidR="00DF0111" w:rsidRPr="00E4265B">
        <w:rPr>
          <w:rFonts w:ascii="Arial" w:hAnsi="Arial" w:cs="Arial"/>
          <w:sz w:val="22"/>
          <w:szCs w:val="22"/>
        </w:rPr>
        <w:t xml:space="preserve">the Risk Exposure Amounts associated with </w:t>
      </w:r>
      <w:r w:rsidRPr="00E4265B">
        <w:rPr>
          <w:rFonts w:ascii="Arial" w:hAnsi="Arial" w:cs="Arial"/>
          <w:sz w:val="22"/>
          <w:szCs w:val="22"/>
        </w:rPr>
        <w:t>those elements of the Total Risk Exposure Amount.</w:t>
      </w:r>
    </w:p>
    <w:p w14:paraId="0F0ECA0B" w14:textId="77777777" w:rsidR="00A00F8B" w:rsidRPr="00E4265B" w:rsidRDefault="00A00F8B" w:rsidP="00A00F8B">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4569BA20" w14:textId="026009F9" w:rsidR="00A00F8B" w:rsidRPr="00E4265B" w:rsidRDefault="00A00F8B" w:rsidP="009A095E">
      <w:pPr>
        <w:pStyle w:val="1List0"/>
        <w:ind w:left="993" w:firstLine="0"/>
        <w:rPr>
          <w:rFonts w:ascii="Arial" w:hAnsi="Arial" w:cs="Arial"/>
          <w:sz w:val="22"/>
          <w:szCs w:val="22"/>
          <w:lang w:val="en-GB"/>
        </w:rPr>
      </w:pPr>
      <w:r w:rsidRPr="00E4265B">
        <w:rPr>
          <w:rFonts w:ascii="Arial" w:hAnsi="Arial" w:cs="Arial"/>
          <w:sz w:val="22"/>
          <w:szCs w:val="22"/>
          <w:lang w:val="en-GB"/>
        </w:rPr>
        <w:t xml:space="preserve">The Total </w:t>
      </w:r>
      <w:r w:rsidR="00F22B53" w:rsidRPr="00E4265B">
        <w:rPr>
          <w:rFonts w:ascii="Arial" w:hAnsi="Arial" w:cs="Arial"/>
          <w:sz w:val="22"/>
          <w:szCs w:val="22"/>
          <w:lang w:val="en-GB"/>
        </w:rPr>
        <w:t>Risk Exposure Amount must be calculated by Authorised Perso</w:t>
      </w:r>
      <w:r w:rsidR="00AD10FB" w:rsidRPr="00E4265B">
        <w:rPr>
          <w:rFonts w:ascii="Arial" w:hAnsi="Arial" w:cs="Arial"/>
          <w:sz w:val="22"/>
          <w:szCs w:val="22"/>
          <w:lang w:val="en-GB"/>
        </w:rPr>
        <w:t>ns in Categories 1, 2, 3A and 5</w:t>
      </w:r>
      <w:r w:rsidRPr="00E4265B">
        <w:rPr>
          <w:rFonts w:ascii="Arial" w:hAnsi="Arial" w:cs="Arial"/>
          <w:sz w:val="22"/>
          <w:szCs w:val="22"/>
          <w:lang w:val="en-GB"/>
        </w:rPr>
        <w:t xml:space="preserve"> for</w:t>
      </w:r>
      <w:r w:rsidR="00F22B53" w:rsidRPr="00E4265B">
        <w:rPr>
          <w:rFonts w:ascii="Arial" w:hAnsi="Arial" w:cs="Arial"/>
          <w:sz w:val="22"/>
          <w:szCs w:val="22"/>
          <w:lang w:val="en-GB"/>
        </w:rPr>
        <w:t xml:space="preserve"> the determ</w:t>
      </w:r>
      <w:r w:rsidR="009A095E" w:rsidRPr="00E4265B">
        <w:rPr>
          <w:rFonts w:ascii="Arial" w:hAnsi="Arial" w:cs="Arial"/>
          <w:sz w:val="22"/>
          <w:szCs w:val="22"/>
          <w:lang w:val="en-GB"/>
        </w:rPr>
        <w:t>ination of appropriate minimum Capital R</w:t>
      </w:r>
      <w:r w:rsidR="00F22B53" w:rsidRPr="00E4265B">
        <w:rPr>
          <w:rFonts w:ascii="Arial" w:hAnsi="Arial" w:cs="Arial"/>
          <w:sz w:val="22"/>
          <w:szCs w:val="22"/>
          <w:lang w:val="en-GB"/>
        </w:rPr>
        <w:t>esources and for</w:t>
      </w:r>
      <w:r w:rsidRPr="00E4265B">
        <w:rPr>
          <w:rFonts w:ascii="Arial" w:hAnsi="Arial" w:cs="Arial"/>
          <w:sz w:val="22"/>
          <w:szCs w:val="22"/>
          <w:lang w:val="en-GB"/>
        </w:rPr>
        <w:t xml:space="preserve"> reporting purposes.</w:t>
      </w:r>
    </w:p>
    <w:p w14:paraId="6264E6D7" w14:textId="77777777" w:rsidR="00E22FF2" w:rsidRPr="00E4265B" w:rsidRDefault="00E22FF2" w:rsidP="00246497">
      <w:pPr>
        <w:pStyle w:val="Heading3"/>
        <w:rPr>
          <w:rFonts w:ascii="Arial" w:hAnsi="Arial" w:cs="Arial"/>
          <w:sz w:val="22"/>
          <w:szCs w:val="22"/>
        </w:rPr>
      </w:pPr>
      <w:bookmarkStart w:id="161" w:name="_Toc403223923"/>
      <w:bookmarkStart w:id="162" w:name="_Toc403253961"/>
      <w:bookmarkStart w:id="163" w:name="_Toc403273361"/>
      <w:bookmarkStart w:id="164" w:name="_Toc403273510"/>
      <w:bookmarkStart w:id="165" w:name="_Toc403274469"/>
      <w:bookmarkStart w:id="166" w:name="_Toc403279965"/>
      <w:bookmarkStart w:id="167" w:name="_Toc404285766"/>
      <w:bookmarkStart w:id="168" w:name="_Toc404621715"/>
      <w:bookmarkStart w:id="169" w:name="_Toc404624356"/>
      <w:bookmarkStart w:id="170" w:name="_Toc33622378"/>
      <w:bookmarkEnd w:id="152"/>
      <w:bookmarkEnd w:id="153"/>
      <w:bookmarkEnd w:id="154"/>
      <w:bookmarkEnd w:id="155"/>
      <w:bookmarkEnd w:id="156"/>
      <w:bookmarkEnd w:id="157"/>
      <w:bookmarkEnd w:id="158"/>
      <w:bookmarkEnd w:id="159"/>
      <w:bookmarkEnd w:id="160"/>
      <w:r w:rsidRPr="00E4265B">
        <w:rPr>
          <w:rFonts w:ascii="Arial" w:hAnsi="Arial" w:cs="Arial"/>
          <w:sz w:val="22"/>
          <w:szCs w:val="22"/>
        </w:rPr>
        <w:t>Capital Requirements for Categories 3B, 3C and 4</w:t>
      </w:r>
      <w:bookmarkEnd w:id="161"/>
      <w:bookmarkEnd w:id="162"/>
      <w:bookmarkEnd w:id="163"/>
      <w:bookmarkEnd w:id="164"/>
      <w:bookmarkEnd w:id="165"/>
      <w:bookmarkEnd w:id="166"/>
      <w:bookmarkEnd w:id="167"/>
      <w:bookmarkEnd w:id="168"/>
      <w:bookmarkEnd w:id="169"/>
      <w:bookmarkEnd w:id="170"/>
    </w:p>
    <w:p w14:paraId="53F8ABB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This Section applies to an </w:t>
      </w:r>
      <w:r w:rsidR="000D1A90" w:rsidRPr="00E4265B">
        <w:rPr>
          <w:rFonts w:ascii="Arial" w:hAnsi="Arial" w:cs="Arial"/>
          <w:sz w:val="22"/>
          <w:szCs w:val="22"/>
        </w:rPr>
        <w:t>Authorised Person</w:t>
      </w:r>
      <w:r w:rsidRPr="00E4265B">
        <w:rPr>
          <w:rFonts w:ascii="Arial" w:hAnsi="Arial" w:cs="Arial"/>
          <w:sz w:val="22"/>
          <w:szCs w:val="22"/>
        </w:rPr>
        <w:t xml:space="preserve"> in Category 3B, 3C or 4.</w:t>
      </w:r>
    </w:p>
    <w:p w14:paraId="05E02449" w14:textId="585E1706" w:rsidR="00E22FF2" w:rsidRPr="00E4265B" w:rsidRDefault="00F9412D" w:rsidP="00F9412D">
      <w:pPr>
        <w:pStyle w:val="Heading4"/>
        <w:rPr>
          <w:rFonts w:ascii="Arial" w:hAnsi="Arial" w:cs="Arial"/>
          <w:sz w:val="22"/>
          <w:szCs w:val="22"/>
        </w:rPr>
      </w:pPr>
      <w:r w:rsidRPr="00E4265B">
        <w:rPr>
          <w:rFonts w:ascii="Arial" w:hAnsi="Arial" w:cs="Arial"/>
          <w:sz w:val="22"/>
          <w:szCs w:val="22"/>
          <w:lang w:val="en-US"/>
        </w:rPr>
        <w:t xml:space="preserve">Subject to Section 3.6A, </w:t>
      </w:r>
      <w:r w:rsidRPr="00E4265B">
        <w:rPr>
          <w:rFonts w:ascii="Arial" w:hAnsi="Arial" w:cs="Arial"/>
          <w:sz w:val="22"/>
          <w:szCs w:val="22"/>
        </w:rPr>
        <w:t>t</w:t>
      </w:r>
      <w:r w:rsidR="00E22FF2" w:rsidRPr="00E4265B">
        <w:rPr>
          <w:rFonts w:ascii="Arial" w:hAnsi="Arial" w:cs="Arial"/>
          <w:sz w:val="22"/>
          <w:szCs w:val="22"/>
        </w:rPr>
        <w:t xml:space="preserve">he Capital Requirement for such an </w:t>
      </w:r>
      <w:r w:rsidR="000D1A90" w:rsidRPr="00E4265B">
        <w:rPr>
          <w:rFonts w:ascii="Arial" w:hAnsi="Arial" w:cs="Arial"/>
          <w:sz w:val="22"/>
          <w:szCs w:val="22"/>
        </w:rPr>
        <w:t>Authorised Person</w:t>
      </w:r>
      <w:r w:rsidR="00E22FF2" w:rsidRPr="00E4265B">
        <w:rPr>
          <w:rFonts w:ascii="Arial" w:hAnsi="Arial" w:cs="Arial"/>
          <w:sz w:val="22"/>
          <w:szCs w:val="22"/>
        </w:rPr>
        <w:t xml:space="preserve"> is calculated as the higher of:</w:t>
      </w:r>
    </w:p>
    <w:p w14:paraId="02DCBCB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applicable Base Capital Requirement as set out in Section 3.</w:t>
      </w:r>
      <w:r w:rsidR="00954714" w:rsidRPr="00E4265B">
        <w:rPr>
          <w:rFonts w:ascii="Arial" w:hAnsi="Arial" w:cs="Arial"/>
          <w:sz w:val="22"/>
          <w:szCs w:val="22"/>
        </w:rPr>
        <w:t>3</w:t>
      </w:r>
      <w:r w:rsidRPr="00E4265B">
        <w:rPr>
          <w:rFonts w:ascii="Arial" w:hAnsi="Arial" w:cs="Arial"/>
          <w:sz w:val="22"/>
          <w:szCs w:val="22"/>
        </w:rPr>
        <w:t>; or</w:t>
      </w:r>
    </w:p>
    <w:p w14:paraId="69409B29" w14:textId="539AA22A" w:rsidR="00E22FF2" w:rsidRPr="00E4265B" w:rsidRDefault="00E22FF2" w:rsidP="008432F8">
      <w:pPr>
        <w:pStyle w:val="Heading5"/>
        <w:rPr>
          <w:rFonts w:ascii="Arial" w:hAnsi="Arial" w:cs="Arial"/>
          <w:sz w:val="22"/>
          <w:szCs w:val="22"/>
        </w:rPr>
      </w:pPr>
      <w:r w:rsidRPr="00E4265B">
        <w:rPr>
          <w:rFonts w:ascii="Arial" w:hAnsi="Arial" w:cs="Arial"/>
          <w:sz w:val="22"/>
          <w:szCs w:val="22"/>
        </w:rPr>
        <w:t>the Expenditure Based Capital Minimum as set out in Section 3.7.</w:t>
      </w:r>
    </w:p>
    <w:p w14:paraId="4D30EC54" w14:textId="77777777" w:rsidR="00740FFD" w:rsidRPr="00E4265B" w:rsidRDefault="00740FFD" w:rsidP="008B2530">
      <w:pPr>
        <w:pStyle w:val="Heading3"/>
        <w:numPr>
          <w:ilvl w:val="0"/>
          <w:numId w:val="0"/>
        </w:numPr>
        <w:ind w:left="936"/>
        <w:rPr>
          <w:rFonts w:ascii="Arial" w:hAnsi="Arial" w:cs="Arial"/>
          <w:sz w:val="22"/>
          <w:szCs w:val="22"/>
        </w:rPr>
      </w:pPr>
      <w:r w:rsidRPr="00E4265B">
        <w:rPr>
          <w:rFonts w:ascii="Arial" w:hAnsi="Arial" w:cs="Arial"/>
          <w:sz w:val="22"/>
          <w:szCs w:val="22"/>
        </w:rPr>
        <w:t>Guidance</w:t>
      </w:r>
    </w:p>
    <w:p w14:paraId="68E729E1" w14:textId="77BCFEBB" w:rsidR="00740FFD" w:rsidRPr="00E4265B" w:rsidRDefault="008B2530" w:rsidP="008B2530">
      <w:pPr>
        <w:tabs>
          <w:tab w:val="left" w:pos="993"/>
        </w:tabs>
        <w:spacing w:before="120" w:after="120" w:line="276" w:lineRule="auto"/>
        <w:ind w:left="1701" w:hanging="708"/>
        <w:jc w:val="both"/>
        <w:rPr>
          <w:rFonts w:ascii="Arial" w:hAnsi="Arial" w:cs="Arial"/>
          <w:sz w:val="22"/>
          <w:szCs w:val="22"/>
        </w:rPr>
      </w:pPr>
      <w:r w:rsidRPr="00E4265B">
        <w:rPr>
          <w:rFonts w:ascii="Arial" w:hAnsi="Arial" w:cs="Arial"/>
          <w:color w:val="0D0D0D" w:themeColor="text1" w:themeTint="F2"/>
          <w:sz w:val="22"/>
          <w:szCs w:val="22"/>
          <w:lang w:val="en-GB"/>
        </w:rPr>
        <w:t>1.</w:t>
      </w:r>
      <w:r w:rsidRPr="00E4265B">
        <w:rPr>
          <w:rFonts w:ascii="Arial" w:hAnsi="Arial" w:cs="Arial"/>
          <w:color w:val="0D0D0D" w:themeColor="text1" w:themeTint="F2"/>
          <w:sz w:val="22"/>
          <w:szCs w:val="22"/>
          <w:lang w:val="en-GB"/>
        </w:rPr>
        <w:tab/>
      </w:r>
      <w:r w:rsidR="00740FFD" w:rsidRPr="00E4265B">
        <w:rPr>
          <w:rFonts w:ascii="Arial" w:hAnsi="Arial" w:cs="Arial"/>
          <w:sz w:val="22"/>
          <w:szCs w:val="22"/>
        </w:rPr>
        <w:t>Section 3.6A specifies the Capital Requirements for Authorised Persons undertaking the Regulated Activity of Providing Money Services.</w:t>
      </w:r>
    </w:p>
    <w:p w14:paraId="073E9501" w14:textId="3CEC1936" w:rsidR="00740FFD" w:rsidRPr="00E4265B" w:rsidRDefault="008B2530" w:rsidP="008B2530">
      <w:pPr>
        <w:spacing w:before="120" w:after="120" w:line="276" w:lineRule="auto"/>
        <w:ind w:left="1701" w:hanging="708"/>
        <w:jc w:val="both"/>
        <w:rPr>
          <w:rFonts w:ascii="Arial" w:hAnsi="Arial" w:cs="Arial"/>
          <w:sz w:val="22"/>
          <w:szCs w:val="22"/>
          <w:u w:val="single"/>
        </w:rPr>
      </w:pPr>
      <w:r w:rsidRPr="00E4265B">
        <w:rPr>
          <w:rFonts w:ascii="Arial" w:hAnsi="Arial" w:cs="Arial"/>
          <w:sz w:val="22"/>
          <w:szCs w:val="22"/>
        </w:rPr>
        <w:t>2.</w:t>
      </w:r>
      <w:r w:rsidRPr="00E4265B">
        <w:rPr>
          <w:rFonts w:ascii="Arial" w:hAnsi="Arial" w:cs="Arial"/>
          <w:sz w:val="22"/>
          <w:szCs w:val="22"/>
        </w:rPr>
        <w:tab/>
      </w:r>
      <w:r w:rsidR="00740FFD" w:rsidRPr="00E4265B">
        <w:rPr>
          <w:rFonts w:ascii="Arial" w:hAnsi="Arial" w:cs="Arial"/>
          <w:sz w:val="22"/>
          <w:szCs w:val="22"/>
        </w:rPr>
        <w:t>The Expenditure Based Capital Minimum is a component of the calculation of the Capital Requirement under Section 3.6 and is relevant in determining whether the Regulator has to be notified under Rule 3.20.2.</w:t>
      </w:r>
    </w:p>
    <w:p w14:paraId="06E6E8EF" w14:textId="73DE7831" w:rsidR="00740FFD" w:rsidRPr="00E4265B" w:rsidRDefault="00740FFD" w:rsidP="00EE785B">
      <w:pPr>
        <w:tabs>
          <w:tab w:val="left" w:pos="851"/>
          <w:tab w:val="left" w:pos="993"/>
        </w:tabs>
        <w:spacing w:after="240" w:line="246" w:lineRule="atLeast"/>
        <w:jc w:val="both"/>
        <w:outlineLvl w:val="2"/>
        <w:rPr>
          <w:rFonts w:ascii="Arial" w:eastAsiaTheme="majorEastAsia" w:hAnsi="Arial" w:cs="Arial"/>
          <w:b/>
          <w:bCs/>
          <w:sz w:val="22"/>
          <w:szCs w:val="22"/>
        </w:rPr>
      </w:pPr>
      <w:r w:rsidRPr="00E4265B">
        <w:rPr>
          <w:rFonts w:ascii="Arial" w:eastAsiaTheme="majorEastAsia" w:hAnsi="Arial" w:cs="Arial"/>
          <w:b/>
          <w:bCs/>
          <w:sz w:val="22"/>
          <w:szCs w:val="22"/>
        </w:rPr>
        <w:t>3.6.A</w:t>
      </w:r>
      <w:r w:rsidRPr="00E4265B">
        <w:rPr>
          <w:rFonts w:ascii="Arial" w:eastAsiaTheme="majorEastAsia" w:hAnsi="Arial" w:cs="Arial"/>
          <w:b/>
          <w:bCs/>
          <w:sz w:val="22"/>
          <w:szCs w:val="22"/>
        </w:rPr>
        <w:tab/>
      </w:r>
      <w:r w:rsidR="00EE785B" w:rsidRPr="00E4265B">
        <w:rPr>
          <w:rFonts w:ascii="Arial" w:eastAsiaTheme="majorEastAsia" w:hAnsi="Arial" w:cs="Arial"/>
          <w:b/>
          <w:bCs/>
          <w:sz w:val="22"/>
          <w:szCs w:val="22"/>
        </w:rPr>
        <w:tab/>
      </w:r>
      <w:r w:rsidRPr="00E4265B">
        <w:rPr>
          <w:rFonts w:ascii="Arial" w:eastAsiaTheme="majorEastAsia" w:hAnsi="Arial" w:cs="Arial"/>
          <w:b/>
          <w:bCs/>
          <w:sz w:val="22"/>
          <w:szCs w:val="22"/>
        </w:rPr>
        <w:t>Capital Requirement for Providing Money Services</w:t>
      </w:r>
    </w:p>
    <w:p w14:paraId="6382DAAF" w14:textId="77777777" w:rsidR="00740FFD" w:rsidRPr="00E4265B" w:rsidRDefault="00740FFD" w:rsidP="00EE785B">
      <w:pPr>
        <w:spacing w:before="120" w:after="120" w:line="276" w:lineRule="auto"/>
        <w:ind w:left="993" w:hanging="993"/>
        <w:jc w:val="both"/>
        <w:rPr>
          <w:rFonts w:ascii="Arial" w:hAnsi="Arial" w:cs="Arial"/>
          <w:sz w:val="22"/>
          <w:szCs w:val="22"/>
        </w:rPr>
      </w:pPr>
      <w:r w:rsidRPr="00E4265B">
        <w:rPr>
          <w:rFonts w:ascii="Arial" w:hAnsi="Arial" w:cs="Arial"/>
          <w:b/>
          <w:sz w:val="22"/>
          <w:szCs w:val="22"/>
        </w:rPr>
        <w:t>3.6A.1</w:t>
      </w:r>
      <w:r w:rsidRPr="00E4265B">
        <w:rPr>
          <w:rFonts w:ascii="Arial" w:hAnsi="Arial" w:cs="Arial"/>
          <w:sz w:val="22"/>
          <w:szCs w:val="22"/>
        </w:rPr>
        <w:tab/>
        <w:t>Subject to Rule 3.6A.7, an Authorised Person with a Financial Services Permission enabling it to carry on the Regulated Activity of Providing Money Services must calculate the Capital Requirement for each activity it undertakes as the highest of:</w:t>
      </w:r>
    </w:p>
    <w:p w14:paraId="2E0C5ED1" w14:textId="77777777" w:rsidR="00740FFD" w:rsidRPr="00E4265B" w:rsidRDefault="00740FFD" w:rsidP="00EE785B">
      <w:pPr>
        <w:tabs>
          <w:tab w:val="left" w:pos="1701"/>
        </w:tabs>
        <w:spacing w:before="120" w:after="120" w:line="276" w:lineRule="auto"/>
        <w:ind w:left="1560" w:hanging="567"/>
        <w:jc w:val="both"/>
        <w:rPr>
          <w:rFonts w:ascii="Arial" w:hAnsi="Arial" w:cs="Arial"/>
          <w:sz w:val="22"/>
          <w:szCs w:val="22"/>
        </w:rPr>
      </w:pPr>
      <w:r w:rsidRPr="00E4265B">
        <w:rPr>
          <w:rFonts w:ascii="Arial" w:hAnsi="Arial" w:cs="Arial"/>
          <w:sz w:val="22"/>
          <w:szCs w:val="22"/>
        </w:rPr>
        <w:t>(a)</w:t>
      </w:r>
      <w:r w:rsidRPr="00E4265B">
        <w:rPr>
          <w:rFonts w:ascii="Arial" w:hAnsi="Arial" w:cs="Arial"/>
          <w:sz w:val="22"/>
          <w:szCs w:val="22"/>
        </w:rPr>
        <w:tab/>
        <w:t>the applicable Base Capital Requirement as set out in Section 3.3; and</w:t>
      </w:r>
    </w:p>
    <w:p w14:paraId="2B9E3957" w14:textId="6A8A6537" w:rsidR="00740FFD" w:rsidRPr="00E4265B" w:rsidRDefault="00740FFD" w:rsidP="00EE785B">
      <w:pPr>
        <w:tabs>
          <w:tab w:val="left" w:pos="1560"/>
          <w:tab w:val="left" w:pos="1701"/>
        </w:tabs>
        <w:spacing w:before="120" w:after="120" w:line="276" w:lineRule="auto"/>
        <w:ind w:left="2127" w:hanging="1134"/>
        <w:jc w:val="both"/>
        <w:rPr>
          <w:rFonts w:ascii="Arial" w:hAnsi="Arial" w:cs="Arial"/>
          <w:sz w:val="22"/>
          <w:szCs w:val="22"/>
        </w:rPr>
      </w:pPr>
      <w:r w:rsidRPr="00E4265B">
        <w:rPr>
          <w:rFonts w:ascii="Arial" w:hAnsi="Arial" w:cs="Arial"/>
          <w:sz w:val="22"/>
          <w:szCs w:val="22"/>
        </w:rPr>
        <w:t>(b)</w:t>
      </w:r>
      <w:r w:rsidR="00EE785B" w:rsidRPr="00E4265B">
        <w:rPr>
          <w:rFonts w:ascii="Arial" w:hAnsi="Arial" w:cs="Arial"/>
          <w:sz w:val="22"/>
          <w:szCs w:val="22"/>
        </w:rPr>
        <w:tab/>
      </w:r>
      <w:r w:rsidRPr="00E4265B">
        <w:rPr>
          <w:rFonts w:ascii="Arial" w:hAnsi="Arial" w:cs="Arial"/>
          <w:sz w:val="22"/>
          <w:szCs w:val="22"/>
        </w:rPr>
        <w:t>(i</w:t>
      </w:r>
      <w:r w:rsidR="00EB195F" w:rsidRPr="00E4265B">
        <w:rPr>
          <w:rFonts w:ascii="Arial" w:hAnsi="Arial" w:cs="Arial"/>
          <w:sz w:val="22"/>
          <w:szCs w:val="22"/>
        </w:rPr>
        <w:t>)</w:t>
      </w:r>
      <w:r w:rsidR="00EE785B" w:rsidRPr="00E4265B">
        <w:rPr>
          <w:rFonts w:ascii="Arial" w:hAnsi="Arial" w:cs="Arial"/>
          <w:sz w:val="22"/>
          <w:szCs w:val="22"/>
        </w:rPr>
        <w:tab/>
      </w:r>
      <w:r w:rsidRPr="00E4265B">
        <w:rPr>
          <w:rFonts w:ascii="Arial" w:hAnsi="Arial" w:cs="Arial"/>
          <w:sz w:val="22"/>
          <w:szCs w:val="22"/>
        </w:rPr>
        <w:t>where it undertakes currency exchange the Expenditure Based Capital Minimum as set out in Section 3.7;</w:t>
      </w:r>
    </w:p>
    <w:p w14:paraId="700A8808" w14:textId="77777777" w:rsidR="00740FFD" w:rsidRPr="00E4265B" w:rsidRDefault="00740FFD" w:rsidP="00EE785B">
      <w:pPr>
        <w:spacing w:before="120" w:after="120" w:line="276" w:lineRule="auto"/>
        <w:ind w:left="2127" w:hanging="567"/>
        <w:jc w:val="both"/>
        <w:rPr>
          <w:rFonts w:ascii="Arial" w:hAnsi="Arial" w:cs="Arial"/>
          <w:sz w:val="22"/>
          <w:szCs w:val="22"/>
        </w:rPr>
      </w:pPr>
      <w:r w:rsidRPr="00E4265B">
        <w:rPr>
          <w:rFonts w:ascii="Arial" w:hAnsi="Arial" w:cs="Arial"/>
          <w:sz w:val="22"/>
          <w:szCs w:val="22"/>
        </w:rPr>
        <w:t>(ii)</w:t>
      </w:r>
      <w:r w:rsidRPr="00E4265B">
        <w:rPr>
          <w:rFonts w:ascii="Arial" w:hAnsi="Arial" w:cs="Arial"/>
          <w:sz w:val="22"/>
          <w:szCs w:val="22"/>
        </w:rPr>
        <w:tab/>
        <w:t>for a Money Remitter:</w:t>
      </w:r>
    </w:p>
    <w:p w14:paraId="5F119B68" w14:textId="362683FA" w:rsidR="00740FFD" w:rsidRPr="00E4265B" w:rsidRDefault="00740FFD" w:rsidP="00EE785B">
      <w:pPr>
        <w:spacing w:before="120" w:after="120" w:line="276" w:lineRule="auto"/>
        <w:ind w:left="2835" w:hanging="708"/>
        <w:jc w:val="both"/>
        <w:rPr>
          <w:rFonts w:ascii="Arial" w:hAnsi="Arial" w:cs="Arial"/>
          <w:sz w:val="22"/>
          <w:szCs w:val="22"/>
        </w:rPr>
      </w:pPr>
      <w:r w:rsidRPr="00E4265B">
        <w:rPr>
          <w:rFonts w:ascii="Arial" w:hAnsi="Arial" w:cs="Arial"/>
          <w:sz w:val="22"/>
          <w:szCs w:val="22"/>
        </w:rPr>
        <w:t>(A)</w:t>
      </w:r>
      <w:r w:rsidRPr="00E4265B">
        <w:rPr>
          <w:rFonts w:ascii="Arial" w:hAnsi="Arial" w:cs="Arial"/>
          <w:sz w:val="22"/>
          <w:szCs w:val="22"/>
        </w:rPr>
        <w:tab/>
        <w:t>the Expenditure Based Capita</w:t>
      </w:r>
      <w:r w:rsidR="00EB195F" w:rsidRPr="00E4265B">
        <w:rPr>
          <w:rFonts w:ascii="Arial" w:hAnsi="Arial" w:cs="Arial"/>
          <w:sz w:val="22"/>
          <w:szCs w:val="22"/>
        </w:rPr>
        <w:t>l Minimum as set out in Section </w:t>
      </w:r>
      <w:r w:rsidRPr="00E4265B">
        <w:rPr>
          <w:rFonts w:ascii="Arial" w:hAnsi="Arial" w:cs="Arial"/>
          <w:sz w:val="22"/>
          <w:szCs w:val="22"/>
        </w:rPr>
        <w:t>3.7; and</w:t>
      </w:r>
    </w:p>
    <w:p w14:paraId="4183D267" w14:textId="77777777" w:rsidR="00740FFD" w:rsidRPr="00E4265B" w:rsidRDefault="00740FFD" w:rsidP="00EE785B">
      <w:pPr>
        <w:spacing w:before="120" w:after="120" w:line="276" w:lineRule="auto"/>
        <w:ind w:left="2835" w:hanging="708"/>
        <w:jc w:val="both"/>
        <w:rPr>
          <w:rFonts w:ascii="Arial" w:hAnsi="Arial" w:cs="Arial"/>
          <w:sz w:val="22"/>
          <w:szCs w:val="22"/>
        </w:rPr>
      </w:pPr>
      <w:r w:rsidRPr="00E4265B">
        <w:rPr>
          <w:rFonts w:ascii="Arial" w:hAnsi="Arial" w:cs="Arial"/>
          <w:sz w:val="22"/>
          <w:szCs w:val="22"/>
        </w:rPr>
        <w:t>(B)</w:t>
      </w:r>
      <w:r w:rsidRPr="00E4265B">
        <w:rPr>
          <w:rFonts w:ascii="Arial" w:hAnsi="Arial" w:cs="Arial"/>
          <w:sz w:val="22"/>
          <w:szCs w:val="22"/>
        </w:rPr>
        <w:tab/>
        <w:t>the Variable Capital Requirement calculated in accordance with Rule 3.6A.2;</w:t>
      </w:r>
    </w:p>
    <w:p w14:paraId="792B894A" w14:textId="4CAF09FA" w:rsidR="00740FFD" w:rsidRPr="00E4265B" w:rsidRDefault="00740FFD" w:rsidP="002C07D4">
      <w:pPr>
        <w:spacing w:before="120" w:after="120" w:line="276" w:lineRule="auto"/>
        <w:ind w:left="2127" w:hanging="567"/>
        <w:jc w:val="both"/>
        <w:rPr>
          <w:rFonts w:ascii="Arial" w:hAnsi="Arial" w:cs="Arial"/>
          <w:sz w:val="22"/>
          <w:szCs w:val="22"/>
        </w:rPr>
      </w:pPr>
      <w:r w:rsidRPr="00E4265B">
        <w:rPr>
          <w:rFonts w:ascii="Arial" w:hAnsi="Arial" w:cs="Arial"/>
          <w:sz w:val="22"/>
          <w:szCs w:val="22"/>
        </w:rPr>
        <w:t>(iii)</w:t>
      </w:r>
      <w:r w:rsidRPr="00E4265B">
        <w:rPr>
          <w:rFonts w:ascii="Arial" w:hAnsi="Arial" w:cs="Arial"/>
          <w:sz w:val="22"/>
          <w:szCs w:val="22"/>
        </w:rPr>
        <w:tab/>
        <w:t>for a Payment Account Provider the Variable Capital Requirement calculated</w:t>
      </w:r>
      <w:r w:rsidR="00EB195F" w:rsidRPr="00E4265B">
        <w:rPr>
          <w:rFonts w:ascii="Arial" w:hAnsi="Arial" w:cs="Arial"/>
          <w:sz w:val="22"/>
          <w:szCs w:val="22"/>
        </w:rPr>
        <w:t xml:space="preserve"> in accordance with Rule 3.6A.</w:t>
      </w:r>
      <w:r w:rsidR="002C07D4" w:rsidRPr="00E4265B">
        <w:rPr>
          <w:rFonts w:ascii="Arial" w:hAnsi="Arial" w:cs="Arial"/>
          <w:sz w:val="22"/>
          <w:szCs w:val="22"/>
        </w:rPr>
        <w:t>4</w:t>
      </w:r>
      <w:r w:rsidRPr="00E4265B">
        <w:rPr>
          <w:rFonts w:ascii="Arial" w:hAnsi="Arial" w:cs="Arial"/>
          <w:sz w:val="22"/>
          <w:szCs w:val="22"/>
        </w:rPr>
        <w:t>; or</w:t>
      </w:r>
    </w:p>
    <w:p w14:paraId="163ECDDA" w14:textId="5215CC95" w:rsidR="00740FFD" w:rsidRPr="00E4265B" w:rsidRDefault="00740FFD" w:rsidP="002C07D4">
      <w:pPr>
        <w:spacing w:before="120" w:after="120" w:line="276" w:lineRule="auto"/>
        <w:ind w:left="2127" w:hanging="567"/>
        <w:jc w:val="both"/>
        <w:rPr>
          <w:rFonts w:ascii="Arial" w:hAnsi="Arial" w:cs="Arial"/>
          <w:sz w:val="22"/>
          <w:szCs w:val="22"/>
        </w:rPr>
      </w:pPr>
      <w:r w:rsidRPr="00E4265B">
        <w:rPr>
          <w:rFonts w:ascii="Arial" w:hAnsi="Arial" w:cs="Arial"/>
          <w:sz w:val="22"/>
          <w:szCs w:val="22"/>
        </w:rPr>
        <w:t>(iv)</w:t>
      </w:r>
      <w:r w:rsidRPr="00E4265B">
        <w:rPr>
          <w:rFonts w:ascii="Arial" w:hAnsi="Arial" w:cs="Arial"/>
          <w:sz w:val="22"/>
          <w:szCs w:val="22"/>
        </w:rPr>
        <w:tab/>
        <w:t>for a Stored Value Provider the Variable Capital Requirement calculated in accordance with Rule 3.6A.</w:t>
      </w:r>
      <w:r w:rsidR="002C07D4" w:rsidRPr="00E4265B">
        <w:rPr>
          <w:rFonts w:ascii="Arial" w:hAnsi="Arial" w:cs="Arial"/>
          <w:sz w:val="22"/>
          <w:szCs w:val="22"/>
        </w:rPr>
        <w:t>6</w:t>
      </w:r>
      <w:r w:rsidRPr="00E4265B">
        <w:rPr>
          <w:rFonts w:ascii="Arial" w:hAnsi="Arial" w:cs="Arial"/>
          <w:sz w:val="22"/>
          <w:szCs w:val="22"/>
        </w:rPr>
        <w:t>.</w:t>
      </w:r>
    </w:p>
    <w:p w14:paraId="026BE251" w14:textId="77777777" w:rsidR="00740FFD" w:rsidRPr="00E4265B" w:rsidRDefault="00740FFD" w:rsidP="00EE785B">
      <w:pPr>
        <w:spacing w:before="120" w:after="120" w:line="276" w:lineRule="auto"/>
        <w:ind w:left="993"/>
        <w:jc w:val="both"/>
        <w:rPr>
          <w:rFonts w:ascii="Arial" w:hAnsi="Arial" w:cs="Arial"/>
          <w:sz w:val="22"/>
          <w:szCs w:val="22"/>
        </w:rPr>
      </w:pPr>
      <w:r w:rsidRPr="00E4265B">
        <w:rPr>
          <w:rFonts w:ascii="Arial" w:hAnsi="Arial" w:cs="Arial"/>
          <w:b/>
          <w:sz w:val="22"/>
          <w:szCs w:val="22"/>
        </w:rPr>
        <w:t>Guidance</w:t>
      </w:r>
    </w:p>
    <w:p w14:paraId="7FD5E0CA" w14:textId="48A90AD6" w:rsidR="00740FFD" w:rsidRPr="00E4265B" w:rsidRDefault="00740FFD" w:rsidP="00EE785B">
      <w:pPr>
        <w:spacing w:before="120" w:after="120" w:line="276" w:lineRule="auto"/>
        <w:ind w:left="993"/>
        <w:jc w:val="both"/>
        <w:rPr>
          <w:rFonts w:ascii="Arial" w:hAnsi="Arial" w:cs="Arial"/>
          <w:sz w:val="22"/>
          <w:szCs w:val="22"/>
        </w:rPr>
      </w:pPr>
      <w:r w:rsidRPr="00E4265B">
        <w:rPr>
          <w:rFonts w:ascii="Arial" w:hAnsi="Arial" w:cs="Arial"/>
          <w:sz w:val="22"/>
          <w:szCs w:val="22"/>
        </w:rPr>
        <w:t xml:space="preserve">Where an Authorised Person undertakes two or more of the activities under the Regulated Activity of Providing Money Services at the same time, Rule 3.6A.6 specifies how the </w:t>
      </w:r>
      <w:r w:rsidR="00EB195F" w:rsidRPr="00E4265B">
        <w:rPr>
          <w:rFonts w:ascii="Arial" w:hAnsi="Arial" w:cs="Arial"/>
          <w:sz w:val="22"/>
          <w:szCs w:val="22"/>
        </w:rPr>
        <w:t>overall</w:t>
      </w:r>
      <w:r w:rsidRPr="00E4265B">
        <w:rPr>
          <w:rFonts w:ascii="Arial" w:hAnsi="Arial" w:cs="Arial"/>
          <w:sz w:val="22"/>
          <w:szCs w:val="22"/>
        </w:rPr>
        <w:t xml:space="preserve"> </w:t>
      </w:r>
      <w:r w:rsidR="00EB195F" w:rsidRPr="00E4265B">
        <w:rPr>
          <w:rFonts w:ascii="Arial" w:hAnsi="Arial" w:cs="Arial"/>
          <w:sz w:val="22"/>
          <w:szCs w:val="22"/>
        </w:rPr>
        <w:t>C</w:t>
      </w:r>
      <w:r w:rsidRPr="00E4265B">
        <w:rPr>
          <w:rFonts w:ascii="Arial" w:hAnsi="Arial" w:cs="Arial"/>
          <w:sz w:val="22"/>
          <w:szCs w:val="22"/>
        </w:rPr>
        <w:t xml:space="preserve">apital </w:t>
      </w:r>
      <w:r w:rsidR="00EB195F" w:rsidRPr="00E4265B">
        <w:rPr>
          <w:rFonts w:ascii="Arial" w:hAnsi="Arial" w:cs="Arial"/>
          <w:sz w:val="22"/>
          <w:szCs w:val="22"/>
        </w:rPr>
        <w:t>R</w:t>
      </w:r>
      <w:r w:rsidRPr="00E4265B">
        <w:rPr>
          <w:rFonts w:ascii="Arial" w:hAnsi="Arial" w:cs="Arial"/>
          <w:sz w:val="22"/>
          <w:szCs w:val="22"/>
        </w:rPr>
        <w:t xml:space="preserve">equirement </w:t>
      </w:r>
      <w:r w:rsidR="00EB195F" w:rsidRPr="00E4265B">
        <w:rPr>
          <w:rFonts w:ascii="Arial" w:hAnsi="Arial" w:cs="Arial"/>
          <w:sz w:val="22"/>
          <w:szCs w:val="22"/>
        </w:rPr>
        <w:t>for</w:t>
      </w:r>
      <w:r w:rsidRPr="00E4265B">
        <w:rPr>
          <w:rFonts w:ascii="Arial" w:hAnsi="Arial" w:cs="Arial"/>
          <w:sz w:val="22"/>
          <w:szCs w:val="22"/>
        </w:rPr>
        <w:t xml:space="preserve"> those activities should be calculated.</w:t>
      </w:r>
    </w:p>
    <w:p w14:paraId="4B1D9B66" w14:textId="77777777" w:rsidR="00740FFD" w:rsidRPr="00E4265B" w:rsidRDefault="00740FFD" w:rsidP="00A27FCD">
      <w:pPr>
        <w:spacing w:before="120" w:after="120" w:line="276" w:lineRule="auto"/>
        <w:ind w:left="982" w:firstLine="11"/>
        <w:jc w:val="both"/>
        <w:rPr>
          <w:rFonts w:ascii="Arial" w:hAnsi="Arial" w:cs="Arial"/>
          <w:b/>
          <w:sz w:val="22"/>
          <w:szCs w:val="22"/>
        </w:rPr>
      </w:pPr>
      <w:r w:rsidRPr="00E4265B">
        <w:rPr>
          <w:rFonts w:ascii="Arial" w:eastAsiaTheme="majorEastAsia" w:hAnsi="Arial" w:cs="Arial"/>
          <w:b/>
          <w:bCs/>
          <w:sz w:val="22"/>
          <w:szCs w:val="22"/>
        </w:rPr>
        <w:lastRenderedPageBreak/>
        <w:t>Money Remitters</w:t>
      </w:r>
    </w:p>
    <w:p w14:paraId="49DF65C1" w14:textId="15663EE0" w:rsidR="00740FFD" w:rsidRPr="00E4265B" w:rsidRDefault="00740FFD" w:rsidP="00A27FCD">
      <w:pPr>
        <w:tabs>
          <w:tab w:val="left" w:pos="993"/>
          <w:tab w:val="left" w:pos="1276"/>
        </w:tabs>
        <w:spacing w:before="120" w:after="120" w:line="276" w:lineRule="auto"/>
        <w:ind w:left="993" w:hanging="993"/>
        <w:jc w:val="both"/>
        <w:rPr>
          <w:rFonts w:ascii="Arial" w:hAnsi="Arial" w:cs="Arial"/>
          <w:sz w:val="22"/>
          <w:szCs w:val="22"/>
        </w:rPr>
      </w:pPr>
      <w:r w:rsidRPr="00E4265B">
        <w:rPr>
          <w:rFonts w:ascii="Arial" w:hAnsi="Arial" w:cs="Arial"/>
          <w:b/>
          <w:sz w:val="22"/>
          <w:szCs w:val="22"/>
        </w:rPr>
        <w:t>3.6A.2</w:t>
      </w:r>
      <w:r w:rsidR="00A27FCD" w:rsidRPr="00E4265B">
        <w:rPr>
          <w:rFonts w:ascii="Arial" w:hAnsi="Arial" w:cs="Arial"/>
          <w:b/>
          <w:sz w:val="22"/>
          <w:szCs w:val="22"/>
        </w:rPr>
        <w:tab/>
      </w:r>
      <w:r w:rsidRPr="00E4265B">
        <w:rPr>
          <w:rFonts w:ascii="Arial" w:hAnsi="Arial" w:cs="Arial"/>
          <w:sz w:val="22"/>
          <w:szCs w:val="22"/>
        </w:rPr>
        <w:t>A Money Remitter must calculate its Variable Capital Requirement as the sum of the following:</w:t>
      </w:r>
    </w:p>
    <w:p w14:paraId="1A4F84D1" w14:textId="77777777" w:rsidR="00740FFD" w:rsidRPr="00E4265B" w:rsidRDefault="00740FFD" w:rsidP="00A27FCD">
      <w:pPr>
        <w:spacing w:before="120" w:after="120" w:line="276" w:lineRule="auto"/>
        <w:ind w:left="1560" w:hanging="567"/>
        <w:jc w:val="both"/>
        <w:rPr>
          <w:rFonts w:ascii="Arial" w:hAnsi="Arial" w:cs="Arial"/>
          <w:sz w:val="22"/>
          <w:szCs w:val="22"/>
        </w:rPr>
      </w:pPr>
      <w:r w:rsidRPr="00E4265B">
        <w:rPr>
          <w:rFonts w:ascii="Arial" w:hAnsi="Arial" w:cs="Arial"/>
          <w:sz w:val="22"/>
          <w:szCs w:val="22"/>
        </w:rPr>
        <w:t>(a)</w:t>
      </w:r>
      <w:r w:rsidRPr="00E4265B">
        <w:rPr>
          <w:rFonts w:ascii="Arial" w:hAnsi="Arial" w:cs="Arial"/>
          <w:sz w:val="22"/>
          <w:szCs w:val="22"/>
        </w:rPr>
        <w:tab/>
        <w:t>1.25% of the first $10 million of monthly payment volume;</w:t>
      </w:r>
    </w:p>
    <w:p w14:paraId="77A70862" w14:textId="77777777" w:rsidR="00740FFD" w:rsidRPr="00E4265B" w:rsidRDefault="00740FFD" w:rsidP="00A27FCD">
      <w:pPr>
        <w:spacing w:before="120" w:after="120" w:line="276" w:lineRule="auto"/>
        <w:ind w:left="1560" w:hanging="567"/>
        <w:jc w:val="both"/>
        <w:rPr>
          <w:rFonts w:ascii="Arial" w:hAnsi="Arial" w:cs="Arial"/>
          <w:sz w:val="22"/>
          <w:szCs w:val="22"/>
        </w:rPr>
      </w:pPr>
      <w:r w:rsidRPr="00E4265B">
        <w:rPr>
          <w:rFonts w:ascii="Arial" w:hAnsi="Arial" w:cs="Arial"/>
          <w:sz w:val="22"/>
          <w:szCs w:val="22"/>
        </w:rPr>
        <w:t>(b)</w:t>
      </w:r>
      <w:r w:rsidRPr="00E4265B">
        <w:rPr>
          <w:rFonts w:ascii="Arial" w:hAnsi="Arial" w:cs="Arial"/>
          <w:sz w:val="22"/>
          <w:szCs w:val="22"/>
        </w:rPr>
        <w:tab/>
        <w:t>0.5% of the next $90 million of monthly payment volume;</w:t>
      </w:r>
    </w:p>
    <w:p w14:paraId="5DF99C39" w14:textId="77777777" w:rsidR="00740FFD" w:rsidRPr="00E4265B" w:rsidRDefault="00740FFD" w:rsidP="00A27FCD">
      <w:pPr>
        <w:spacing w:before="120" w:after="120" w:line="276" w:lineRule="auto"/>
        <w:ind w:left="1560" w:hanging="567"/>
        <w:jc w:val="both"/>
        <w:rPr>
          <w:rFonts w:ascii="Arial" w:hAnsi="Arial" w:cs="Arial"/>
          <w:sz w:val="22"/>
          <w:szCs w:val="22"/>
        </w:rPr>
      </w:pPr>
      <w:r w:rsidRPr="00E4265B">
        <w:rPr>
          <w:rFonts w:ascii="Arial" w:hAnsi="Arial" w:cs="Arial"/>
          <w:sz w:val="22"/>
          <w:szCs w:val="22"/>
        </w:rPr>
        <w:t>(c)</w:t>
      </w:r>
      <w:r w:rsidRPr="00E4265B">
        <w:rPr>
          <w:rFonts w:ascii="Arial" w:hAnsi="Arial" w:cs="Arial"/>
          <w:sz w:val="22"/>
          <w:szCs w:val="22"/>
        </w:rPr>
        <w:tab/>
        <w:t>0.25% of the next $150 million of monthly payment volume; and</w:t>
      </w:r>
    </w:p>
    <w:p w14:paraId="4BEB2407" w14:textId="77777777" w:rsidR="00740FFD" w:rsidRPr="00E4265B" w:rsidRDefault="00740FFD" w:rsidP="00A27FCD">
      <w:pPr>
        <w:spacing w:before="120" w:after="120" w:line="276" w:lineRule="auto"/>
        <w:ind w:left="1560" w:hanging="567"/>
        <w:jc w:val="both"/>
        <w:rPr>
          <w:rFonts w:ascii="Arial" w:hAnsi="Arial" w:cs="Arial"/>
          <w:sz w:val="22"/>
          <w:szCs w:val="22"/>
        </w:rPr>
      </w:pPr>
      <w:r w:rsidRPr="00E4265B">
        <w:rPr>
          <w:rFonts w:ascii="Arial" w:hAnsi="Arial" w:cs="Arial"/>
          <w:sz w:val="22"/>
          <w:szCs w:val="22"/>
        </w:rPr>
        <w:t>(d)</w:t>
      </w:r>
      <w:r w:rsidRPr="00E4265B">
        <w:rPr>
          <w:rFonts w:ascii="Arial" w:hAnsi="Arial" w:cs="Arial"/>
          <w:sz w:val="22"/>
          <w:szCs w:val="22"/>
        </w:rPr>
        <w:tab/>
        <w:t>0.125% of any remaining monthly payment volume.</w:t>
      </w:r>
    </w:p>
    <w:p w14:paraId="532B7C75" w14:textId="77777777" w:rsidR="00EA4269" w:rsidRPr="00E4265B" w:rsidRDefault="00EA4269" w:rsidP="002C07D4">
      <w:pPr>
        <w:tabs>
          <w:tab w:val="left" w:pos="993"/>
        </w:tabs>
        <w:spacing w:before="120" w:after="120" w:line="276" w:lineRule="auto"/>
        <w:ind w:left="1560" w:hanging="1560"/>
        <w:jc w:val="both"/>
        <w:rPr>
          <w:rFonts w:ascii="Arial" w:hAnsi="Arial" w:cs="Arial"/>
          <w:b/>
          <w:sz w:val="22"/>
          <w:szCs w:val="22"/>
        </w:rPr>
      </w:pPr>
      <w:r w:rsidRPr="00E4265B">
        <w:rPr>
          <w:rFonts w:ascii="Arial" w:hAnsi="Arial" w:cs="Arial"/>
          <w:b/>
          <w:sz w:val="22"/>
          <w:szCs w:val="22"/>
        </w:rPr>
        <w:t>3.6A.3</w:t>
      </w:r>
      <w:r w:rsidRPr="00E4265B">
        <w:rPr>
          <w:rFonts w:ascii="Arial" w:hAnsi="Arial" w:cs="Arial"/>
          <w:bCs/>
          <w:sz w:val="22"/>
          <w:szCs w:val="22"/>
        </w:rPr>
        <w:tab/>
        <w:t>(1)</w:t>
      </w:r>
      <w:r w:rsidRPr="00E4265B">
        <w:rPr>
          <w:rFonts w:ascii="Arial" w:hAnsi="Arial" w:cs="Arial"/>
          <w:bCs/>
          <w:sz w:val="22"/>
          <w:szCs w:val="22"/>
        </w:rPr>
        <w:tab/>
        <w:t>Subject to (2), monthly payment volume for a Money Remitter must be calculated as the total value of funds remitted by the Authorised Person in its preceding financial year divided by twelve.</w:t>
      </w:r>
    </w:p>
    <w:p w14:paraId="2EE2357D" w14:textId="77777777" w:rsidR="00EA4269" w:rsidRPr="00E4265B" w:rsidRDefault="00EA4269" w:rsidP="002C07D4">
      <w:pPr>
        <w:spacing w:before="120" w:after="120" w:line="276" w:lineRule="auto"/>
        <w:ind w:left="1560" w:hanging="567"/>
        <w:jc w:val="both"/>
        <w:rPr>
          <w:rFonts w:ascii="Arial" w:hAnsi="Arial" w:cs="Arial"/>
          <w:sz w:val="22"/>
          <w:szCs w:val="22"/>
        </w:rPr>
      </w:pPr>
      <w:r w:rsidRPr="00E4265B">
        <w:rPr>
          <w:rFonts w:ascii="Arial" w:hAnsi="Arial" w:cs="Arial"/>
          <w:sz w:val="22"/>
          <w:szCs w:val="22"/>
        </w:rPr>
        <w:t>(2)</w:t>
      </w:r>
      <w:r w:rsidRPr="00E4265B">
        <w:rPr>
          <w:rFonts w:ascii="Arial" w:hAnsi="Arial" w:cs="Arial"/>
          <w:sz w:val="22"/>
          <w:szCs w:val="22"/>
        </w:rPr>
        <w:tab/>
        <w:t>Where the Authorised Person has not completed a full financial year following its authorisation, the monthly payment volume must be calculated using the value of realised funds remitted since its authorisation and the projections contained in its business plan for the remainder of the financial year, subject to any adjustments required by the Regulator.</w:t>
      </w:r>
    </w:p>
    <w:p w14:paraId="7DDFD1BF" w14:textId="77777777" w:rsidR="002C07D4" w:rsidRPr="00E4265B" w:rsidRDefault="002C07D4" w:rsidP="002C07D4">
      <w:pPr>
        <w:spacing w:before="120" w:after="120" w:line="276" w:lineRule="auto"/>
        <w:ind w:left="982" w:firstLine="11"/>
        <w:jc w:val="both"/>
        <w:rPr>
          <w:rFonts w:ascii="Arial" w:hAnsi="Arial" w:cs="Arial"/>
          <w:b/>
          <w:sz w:val="22"/>
          <w:szCs w:val="22"/>
        </w:rPr>
      </w:pPr>
      <w:r w:rsidRPr="00E4265B">
        <w:rPr>
          <w:rFonts w:ascii="Arial" w:eastAsiaTheme="majorEastAsia" w:hAnsi="Arial" w:cs="Arial"/>
          <w:b/>
          <w:bCs/>
          <w:sz w:val="22"/>
          <w:szCs w:val="22"/>
        </w:rPr>
        <w:t>Payment Account Providers</w:t>
      </w:r>
    </w:p>
    <w:p w14:paraId="1093725F" w14:textId="224BE9D3" w:rsidR="00740FFD" w:rsidRPr="00E4265B" w:rsidRDefault="00EA4269" w:rsidP="00EA4269">
      <w:pPr>
        <w:spacing w:before="120" w:after="120" w:line="276" w:lineRule="auto"/>
        <w:ind w:left="993" w:hanging="993"/>
        <w:jc w:val="both"/>
        <w:rPr>
          <w:rFonts w:ascii="Arial" w:hAnsi="Arial" w:cs="Arial"/>
          <w:sz w:val="22"/>
          <w:szCs w:val="22"/>
        </w:rPr>
      </w:pPr>
      <w:r w:rsidRPr="00E4265B">
        <w:rPr>
          <w:rFonts w:ascii="Arial" w:hAnsi="Arial" w:cs="Arial"/>
          <w:b/>
          <w:sz w:val="22"/>
          <w:szCs w:val="22"/>
        </w:rPr>
        <w:t>3.6A.4</w:t>
      </w:r>
      <w:r w:rsidR="00A27FCD" w:rsidRPr="00E4265B">
        <w:rPr>
          <w:rFonts w:ascii="Arial" w:hAnsi="Arial" w:cs="Arial"/>
          <w:sz w:val="22"/>
          <w:szCs w:val="22"/>
        </w:rPr>
        <w:tab/>
      </w:r>
      <w:r w:rsidR="00740FFD" w:rsidRPr="00E4265B">
        <w:rPr>
          <w:rFonts w:ascii="Arial" w:hAnsi="Arial" w:cs="Arial"/>
          <w:sz w:val="22"/>
          <w:szCs w:val="22"/>
        </w:rPr>
        <w:t>A Payment Account Provider must calculate its Variable Capital Requirement as the sum of the following:</w:t>
      </w:r>
    </w:p>
    <w:p w14:paraId="0397630F" w14:textId="77777777" w:rsidR="00740FFD" w:rsidRPr="00E4265B" w:rsidRDefault="00740FFD" w:rsidP="00A27FCD">
      <w:pPr>
        <w:spacing w:before="120" w:after="120" w:line="276" w:lineRule="auto"/>
        <w:ind w:left="1560" w:hanging="567"/>
        <w:jc w:val="both"/>
        <w:rPr>
          <w:rFonts w:ascii="Arial" w:hAnsi="Arial" w:cs="Arial"/>
          <w:sz w:val="22"/>
          <w:szCs w:val="22"/>
        </w:rPr>
      </w:pPr>
      <w:r w:rsidRPr="00E4265B">
        <w:rPr>
          <w:rFonts w:ascii="Arial" w:hAnsi="Arial" w:cs="Arial"/>
          <w:sz w:val="22"/>
          <w:szCs w:val="22"/>
        </w:rPr>
        <w:t>(a)</w:t>
      </w:r>
      <w:r w:rsidRPr="00E4265B">
        <w:rPr>
          <w:rFonts w:ascii="Arial" w:hAnsi="Arial" w:cs="Arial"/>
          <w:sz w:val="22"/>
          <w:szCs w:val="22"/>
        </w:rPr>
        <w:tab/>
        <w:t>2.5% of the first $10 million of monthly payment volume;</w:t>
      </w:r>
    </w:p>
    <w:p w14:paraId="61BFE0EF" w14:textId="77777777" w:rsidR="00740FFD" w:rsidRPr="00E4265B" w:rsidRDefault="00740FFD" w:rsidP="00A27FCD">
      <w:pPr>
        <w:spacing w:before="120" w:after="120" w:line="276" w:lineRule="auto"/>
        <w:ind w:left="1560" w:hanging="567"/>
        <w:jc w:val="both"/>
        <w:rPr>
          <w:rFonts w:ascii="Arial" w:hAnsi="Arial" w:cs="Arial"/>
          <w:sz w:val="22"/>
          <w:szCs w:val="22"/>
        </w:rPr>
      </w:pPr>
      <w:r w:rsidRPr="00E4265B">
        <w:rPr>
          <w:rFonts w:ascii="Arial" w:hAnsi="Arial" w:cs="Arial"/>
          <w:sz w:val="22"/>
          <w:szCs w:val="22"/>
        </w:rPr>
        <w:t>(b)</w:t>
      </w:r>
      <w:r w:rsidRPr="00E4265B">
        <w:rPr>
          <w:rFonts w:ascii="Arial" w:hAnsi="Arial" w:cs="Arial"/>
          <w:sz w:val="22"/>
          <w:szCs w:val="22"/>
        </w:rPr>
        <w:tab/>
        <w:t>1% of the next $90 million of monthly payment volume;</w:t>
      </w:r>
    </w:p>
    <w:p w14:paraId="19250A4B" w14:textId="77777777" w:rsidR="00740FFD" w:rsidRPr="00E4265B" w:rsidRDefault="00740FFD" w:rsidP="00A27FCD">
      <w:pPr>
        <w:spacing w:before="120" w:after="120" w:line="276" w:lineRule="auto"/>
        <w:ind w:left="1560" w:hanging="567"/>
        <w:jc w:val="both"/>
        <w:rPr>
          <w:rFonts w:ascii="Arial" w:hAnsi="Arial" w:cs="Arial"/>
          <w:sz w:val="22"/>
          <w:szCs w:val="22"/>
        </w:rPr>
      </w:pPr>
      <w:r w:rsidRPr="00E4265B">
        <w:rPr>
          <w:rFonts w:ascii="Arial" w:hAnsi="Arial" w:cs="Arial"/>
          <w:sz w:val="22"/>
          <w:szCs w:val="22"/>
        </w:rPr>
        <w:t>(c)</w:t>
      </w:r>
      <w:r w:rsidRPr="00E4265B">
        <w:rPr>
          <w:rFonts w:ascii="Arial" w:hAnsi="Arial" w:cs="Arial"/>
          <w:sz w:val="22"/>
          <w:szCs w:val="22"/>
        </w:rPr>
        <w:tab/>
        <w:t>0.5% of the next $150 million of monthly payment volume; and</w:t>
      </w:r>
    </w:p>
    <w:p w14:paraId="3D088E14" w14:textId="77777777" w:rsidR="00740FFD" w:rsidRPr="00E4265B" w:rsidRDefault="00740FFD" w:rsidP="00A27FCD">
      <w:pPr>
        <w:spacing w:before="120" w:after="120" w:line="276" w:lineRule="auto"/>
        <w:ind w:left="1560" w:hanging="567"/>
        <w:jc w:val="both"/>
        <w:rPr>
          <w:rFonts w:ascii="Arial" w:hAnsi="Arial" w:cs="Arial"/>
          <w:sz w:val="22"/>
          <w:szCs w:val="22"/>
          <w:u w:val="single"/>
        </w:rPr>
      </w:pPr>
      <w:r w:rsidRPr="00E4265B">
        <w:rPr>
          <w:rFonts w:ascii="Arial" w:hAnsi="Arial" w:cs="Arial"/>
          <w:sz w:val="22"/>
          <w:szCs w:val="22"/>
        </w:rPr>
        <w:t>(d)</w:t>
      </w:r>
      <w:r w:rsidRPr="00E4265B">
        <w:rPr>
          <w:rFonts w:ascii="Arial" w:hAnsi="Arial" w:cs="Arial"/>
          <w:sz w:val="22"/>
          <w:szCs w:val="22"/>
        </w:rPr>
        <w:tab/>
        <w:t>0.25% of any remaining monthly payment volume</w:t>
      </w:r>
      <w:r w:rsidRPr="00E4265B">
        <w:rPr>
          <w:rFonts w:ascii="Arial" w:hAnsi="Arial" w:cs="Arial"/>
          <w:sz w:val="22"/>
          <w:szCs w:val="22"/>
          <w:u w:val="single"/>
        </w:rPr>
        <w:t>.</w:t>
      </w:r>
    </w:p>
    <w:p w14:paraId="0C3F5CE7" w14:textId="65EB0D67" w:rsidR="00740FFD" w:rsidRPr="00E4265B" w:rsidRDefault="00EA4269" w:rsidP="002C07D4">
      <w:pPr>
        <w:tabs>
          <w:tab w:val="left" w:pos="993"/>
        </w:tabs>
        <w:spacing w:before="120" w:after="120" w:line="276" w:lineRule="auto"/>
        <w:ind w:left="1560" w:hanging="1560"/>
        <w:jc w:val="both"/>
        <w:rPr>
          <w:rFonts w:ascii="Arial" w:hAnsi="Arial" w:cs="Arial"/>
          <w:sz w:val="22"/>
          <w:szCs w:val="22"/>
        </w:rPr>
      </w:pPr>
      <w:r w:rsidRPr="00E4265B">
        <w:rPr>
          <w:rFonts w:ascii="Arial" w:hAnsi="Arial" w:cs="Arial"/>
          <w:b/>
          <w:sz w:val="22"/>
          <w:szCs w:val="22"/>
        </w:rPr>
        <w:t>3.6A.5</w:t>
      </w:r>
      <w:r w:rsidR="00740FFD" w:rsidRPr="00E4265B">
        <w:rPr>
          <w:rFonts w:ascii="Arial" w:hAnsi="Arial" w:cs="Arial"/>
          <w:sz w:val="22"/>
          <w:szCs w:val="22"/>
        </w:rPr>
        <w:tab/>
        <w:t>(1)</w:t>
      </w:r>
      <w:r w:rsidR="00A27FCD" w:rsidRPr="00E4265B">
        <w:rPr>
          <w:rFonts w:ascii="Arial" w:hAnsi="Arial" w:cs="Arial"/>
          <w:sz w:val="22"/>
          <w:szCs w:val="22"/>
        </w:rPr>
        <w:tab/>
      </w:r>
      <w:r w:rsidR="00740FFD" w:rsidRPr="00E4265B">
        <w:rPr>
          <w:rFonts w:ascii="Arial" w:hAnsi="Arial" w:cs="Arial"/>
          <w:sz w:val="22"/>
          <w:szCs w:val="22"/>
        </w:rPr>
        <w:t>Subject to (2), monthly payment volume for a Payment Account Provider must be calculated as the total value of Payment Transactions executed by the Authorised Person in its preceding financial year divided by twelve.</w:t>
      </w:r>
    </w:p>
    <w:p w14:paraId="75DBAFE7" w14:textId="12B8D839" w:rsidR="00740FFD" w:rsidRPr="00E4265B" w:rsidRDefault="00740FFD" w:rsidP="002C07D4">
      <w:pPr>
        <w:spacing w:before="120" w:after="120" w:line="276" w:lineRule="auto"/>
        <w:ind w:left="1560" w:hanging="567"/>
        <w:jc w:val="both"/>
        <w:rPr>
          <w:rFonts w:ascii="Arial" w:hAnsi="Arial" w:cs="Arial"/>
          <w:b/>
          <w:sz w:val="22"/>
          <w:szCs w:val="22"/>
        </w:rPr>
      </w:pPr>
      <w:r w:rsidRPr="00E4265B">
        <w:rPr>
          <w:rFonts w:ascii="Arial" w:hAnsi="Arial" w:cs="Arial"/>
          <w:sz w:val="22"/>
          <w:szCs w:val="22"/>
        </w:rPr>
        <w:t>(2)</w:t>
      </w:r>
      <w:r w:rsidRPr="00E4265B">
        <w:rPr>
          <w:rFonts w:ascii="Arial" w:hAnsi="Arial" w:cs="Arial"/>
          <w:sz w:val="22"/>
          <w:szCs w:val="22"/>
        </w:rPr>
        <w:tab/>
        <w:t>Where the Authorised Person has not completed a full financial year following its authorisation, the monthly payment volume must be calculated using the value of realised Payment Transactions since its authorisation and the projections contained in its business plan for the remainder of the financial year, subject to any adjustments required by the Regulator.</w:t>
      </w:r>
    </w:p>
    <w:p w14:paraId="07F834A5" w14:textId="77777777" w:rsidR="00740FFD" w:rsidRPr="00E4265B" w:rsidRDefault="00740FFD" w:rsidP="00A27FCD">
      <w:pPr>
        <w:spacing w:before="120" w:after="120" w:line="276" w:lineRule="auto"/>
        <w:ind w:left="993"/>
        <w:jc w:val="both"/>
        <w:rPr>
          <w:rFonts w:ascii="Arial" w:hAnsi="Arial" w:cs="Arial"/>
          <w:b/>
          <w:sz w:val="22"/>
          <w:szCs w:val="22"/>
        </w:rPr>
      </w:pPr>
      <w:r w:rsidRPr="00E4265B">
        <w:rPr>
          <w:rFonts w:ascii="Arial" w:hAnsi="Arial" w:cs="Arial"/>
          <w:b/>
          <w:sz w:val="22"/>
          <w:szCs w:val="22"/>
        </w:rPr>
        <w:t>Guidance</w:t>
      </w:r>
    </w:p>
    <w:p w14:paraId="5565A142" w14:textId="58298659" w:rsidR="00A16DB3" w:rsidRPr="00E4265B" w:rsidRDefault="00740FFD" w:rsidP="00A16DB3">
      <w:pPr>
        <w:spacing w:before="120" w:after="120" w:line="276" w:lineRule="auto"/>
        <w:ind w:left="1560" w:hanging="567"/>
        <w:jc w:val="both"/>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r>
      <w:r w:rsidR="00A16DB3" w:rsidRPr="00E4265B">
        <w:rPr>
          <w:rFonts w:ascii="Arial" w:hAnsi="Arial" w:cs="Arial"/>
          <w:sz w:val="22"/>
          <w:szCs w:val="22"/>
        </w:rPr>
        <w:t xml:space="preserve">Under </w:t>
      </w:r>
      <w:r w:rsidR="00EA4269" w:rsidRPr="00E4265B">
        <w:rPr>
          <w:rFonts w:ascii="Arial" w:hAnsi="Arial" w:cs="Arial"/>
          <w:sz w:val="22"/>
          <w:szCs w:val="22"/>
        </w:rPr>
        <w:t>Rules 3.6A.3(2) and 3.6A.5</w:t>
      </w:r>
      <w:r w:rsidR="00A16DB3" w:rsidRPr="00E4265B">
        <w:rPr>
          <w:rFonts w:ascii="Arial" w:hAnsi="Arial" w:cs="Arial"/>
          <w:sz w:val="22"/>
          <w:szCs w:val="22"/>
        </w:rPr>
        <w:t xml:space="preserve">(2), the projections for the remainder of the year should be informed by the value of realised </w:t>
      </w:r>
      <w:r w:rsidR="00EA4269" w:rsidRPr="00E4265B">
        <w:rPr>
          <w:rFonts w:ascii="Arial" w:hAnsi="Arial" w:cs="Arial"/>
          <w:sz w:val="22"/>
          <w:szCs w:val="22"/>
        </w:rPr>
        <w:t xml:space="preserve">funds remitted or </w:t>
      </w:r>
      <w:r w:rsidR="00A16DB3" w:rsidRPr="00E4265B">
        <w:rPr>
          <w:rFonts w:ascii="Arial" w:hAnsi="Arial" w:cs="Arial"/>
          <w:sz w:val="22"/>
          <w:szCs w:val="22"/>
        </w:rPr>
        <w:t>Payment Transactions</w:t>
      </w:r>
      <w:r w:rsidR="002C07D4" w:rsidRPr="00E4265B">
        <w:rPr>
          <w:rFonts w:ascii="Arial" w:hAnsi="Arial" w:cs="Arial"/>
          <w:sz w:val="22"/>
          <w:szCs w:val="22"/>
        </w:rPr>
        <w:t>, as appropriate,</w:t>
      </w:r>
      <w:r w:rsidR="00A16DB3" w:rsidRPr="00E4265B">
        <w:rPr>
          <w:rFonts w:ascii="Arial" w:hAnsi="Arial" w:cs="Arial"/>
          <w:sz w:val="22"/>
          <w:szCs w:val="22"/>
        </w:rPr>
        <w:t xml:space="preserve"> following the authorisation of the Authorised Person.</w:t>
      </w:r>
    </w:p>
    <w:p w14:paraId="58085E01" w14:textId="121A7B74" w:rsidR="00740FFD" w:rsidRPr="00E4265B" w:rsidRDefault="00A16DB3" w:rsidP="00A27FCD">
      <w:pPr>
        <w:spacing w:before="120" w:after="120" w:line="276" w:lineRule="auto"/>
        <w:ind w:left="1560" w:hanging="567"/>
        <w:jc w:val="both"/>
        <w:rPr>
          <w:rFonts w:ascii="Arial" w:hAnsi="Arial" w:cs="Arial"/>
          <w:sz w:val="22"/>
          <w:szCs w:val="22"/>
        </w:rPr>
      </w:pPr>
      <w:r w:rsidRPr="00E4265B">
        <w:rPr>
          <w:rFonts w:ascii="Arial" w:hAnsi="Arial" w:cs="Arial"/>
          <w:sz w:val="22"/>
          <w:szCs w:val="22"/>
        </w:rPr>
        <w:t>2.</w:t>
      </w:r>
      <w:r w:rsidRPr="00E4265B">
        <w:rPr>
          <w:rFonts w:ascii="Arial" w:hAnsi="Arial" w:cs="Arial"/>
          <w:sz w:val="22"/>
          <w:szCs w:val="22"/>
        </w:rPr>
        <w:tab/>
      </w:r>
      <w:r w:rsidR="00740FFD" w:rsidRPr="00E4265B">
        <w:rPr>
          <w:rFonts w:ascii="Arial" w:hAnsi="Arial" w:cs="Arial"/>
          <w:sz w:val="22"/>
          <w:szCs w:val="22"/>
        </w:rPr>
        <w:t>The monthly payment volume should be split into tranches, with the first $10mn being assigned to the first tranche, the next $90mn to the second tranche and so on.</w:t>
      </w:r>
    </w:p>
    <w:p w14:paraId="540B31D1" w14:textId="2BD9B64B" w:rsidR="00740FFD" w:rsidRPr="00E4265B" w:rsidRDefault="00A16DB3" w:rsidP="00A27FCD">
      <w:pPr>
        <w:spacing w:before="120" w:after="120" w:line="276" w:lineRule="auto"/>
        <w:ind w:left="1560" w:hanging="567"/>
        <w:jc w:val="both"/>
        <w:rPr>
          <w:rFonts w:ascii="Arial" w:hAnsi="Arial" w:cs="Arial"/>
          <w:sz w:val="22"/>
          <w:szCs w:val="22"/>
        </w:rPr>
      </w:pPr>
      <w:r w:rsidRPr="00E4265B">
        <w:rPr>
          <w:rFonts w:ascii="Arial" w:hAnsi="Arial" w:cs="Arial"/>
          <w:sz w:val="22"/>
          <w:szCs w:val="22"/>
        </w:rPr>
        <w:t>3</w:t>
      </w:r>
      <w:r w:rsidR="00740FFD" w:rsidRPr="00E4265B">
        <w:rPr>
          <w:rFonts w:ascii="Arial" w:hAnsi="Arial" w:cs="Arial"/>
          <w:sz w:val="22"/>
          <w:szCs w:val="22"/>
        </w:rPr>
        <w:t>.</w:t>
      </w:r>
      <w:r w:rsidR="00740FFD" w:rsidRPr="00E4265B">
        <w:rPr>
          <w:rFonts w:ascii="Arial" w:hAnsi="Arial" w:cs="Arial"/>
          <w:sz w:val="22"/>
          <w:szCs w:val="22"/>
        </w:rPr>
        <w:tab/>
        <w:t xml:space="preserve">The portion of the Variable Capital Requirement for each tranche is then calculated by multiplying the monthly payment volume in each tranche by the </w:t>
      </w:r>
      <w:r w:rsidR="00740FFD" w:rsidRPr="00E4265B">
        <w:rPr>
          <w:rFonts w:ascii="Arial" w:hAnsi="Arial" w:cs="Arial"/>
          <w:sz w:val="22"/>
          <w:szCs w:val="22"/>
        </w:rPr>
        <w:lastRenderedPageBreak/>
        <w:t>percentage factor associated with that tranche and then summing those portions to derive the overall Variable Capital Requirement.</w:t>
      </w:r>
    </w:p>
    <w:p w14:paraId="4C82F684" w14:textId="57C8B0AA" w:rsidR="002C07D4" w:rsidRPr="00E4265B" w:rsidRDefault="00A16DB3" w:rsidP="00A27FCD">
      <w:pPr>
        <w:spacing w:before="120" w:after="120" w:line="276" w:lineRule="auto"/>
        <w:ind w:left="1560" w:hanging="567"/>
        <w:jc w:val="both"/>
        <w:rPr>
          <w:rFonts w:ascii="Arial" w:hAnsi="Arial" w:cs="Arial"/>
          <w:sz w:val="22"/>
          <w:szCs w:val="22"/>
        </w:rPr>
      </w:pPr>
      <w:r w:rsidRPr="00E4265B">
        <w:rPr>
          <w:rFonts w:ascii="Arial" w:hAnsi="Arial" w:cs="Arial"/>
          <w:sz w:val="22"/>
          <w:szCs w:val="22"/>
        </w:rPr>
        <w:t>4</w:t>
      </w:r>
      <w:r w:rsidR="00740FFD" w:rsidRPr="00E4265B">
        <w:rPr>
          <w:rFonts w:ascii="Arial" w:hAnsi="Arial" w:cs="Arial"/>
          <w:sz w:val="22"/>
          <w:szCs w:val="22"/>
        </w:rPr>
        <w:t>.</w:t>
      </w:r>
      <w:r w:rsidR="00740FFD" w:rsidRPr="00E4265B">
        <w:rPr>
          <w:rFonts w:ascii="Arial" w:hAnsi="Arial" w:cs="Arial"/>
          <w:sz w:val="22"/>
          <w:szCs w:val="22"/>
        </w:rPr>
        <w:tab/>
        <w:t>Examples of the calculation of the Variable Capital Requirement follow for an Authorised Person acting as solely a Money Remitter or a Payment Account Provider, in both cases with a monthly payment volume of $120mn.</w:t>
      </w:r>
    </w:p>
    <w:p w14:paraId="492E4BD7" w14:textId="12B8BBAB" w:rsidR="00312EFD" w:rsidRDefault="00312EFD">
      <w:pPr>
        <w:rPr>
          <w:rFonts w:ascii="Arial" w:hAnsi="Arial" w:cs="Arial"/>
          <w:sz w:val="22"/>
          <w:szCs w:val="22"/>
        </w:rPr>
      </w:pPr>
      <w:r>
        <w:rPr>
          <w:rFonts w:ascii="Arial" w:hAnsi="Arial" w:cs="Arial"/>
          <w:sz w:val="22"/>
          <w:szCs w:val="22"/>
        </w:rPr>
        <w:br w:type="page"/>
      </w:r>
    </w:p>
    <w:p w14:paraId="5404521B" w14:textId="77777777" w:rsidR="002C07D4" w:rsidRPr="00E4265B" w:rsidRDefault="002C07D4">
      <w:pPr>
        <w:rPr>
          <w:rFonts w:ascii="Arial" w:hAnsi="Arial" w:cs="Arial"/>
          <w:sz w:val="22"/>
          <w:szCs w:val="22"/>
        </w:rPr>
      </w:pPr>
    </w:p>
    <w:tbl>
      <w:tblPr>
        <w:tblStyle w:val="TableGrid"/>
        <w:tblW w:w="8079" w:type="dxa"/>
        <w:tblInd w:w="988" w:type="dxa"/>
        <w:tblLayout w:type="fixed"/>
        <w:tblLook w:val="04A0" w:firstRow="1" w:lastRow="0" w:firstColumn="1" w:lastColumn="0" w:noHBand="0" w:noVBand="1"/>
      </w:tblPr>
      <w:tblGrid>
        <w:gridCol w:w="1417"/>
        <w:gridCol w:w="1843"/>
        <w:gridCol w:w="2268"/>
        <w:gridCol w:w="2551"/>
      </w:tblGrid>
      <w:tr w:rsidR="00740FFD" w:rsidRPr="00E4265B" w14:paraId="3E885B57" w14:textId="77777777" w:rsidTr="00395B2F">
        <w:tc>
          <w:tcPr>
            <w:tcW w:w="1417" w:type="dxa"/>
            <w:vMerge w:val="restart"/>
            <w:shd w:val="clear" w:color="auto" w:fill="BFBFBF" w:themeFill="background1" w:themeFillShade="BF"/>
            <w:vAlign w:val="center"/>
          </w:tcPr>
          <w:p w14:paraId="1C4E2A0C" w14:textId="77777777" w:rsidR="00740FFD" w:rsidRPr="00E4265B" w:rsidRDefault="00740FFD" w:rsidP="008B2530">
            <w:pPr>
              <w:spacing w:before="40" w:after="40" w:line="276" w:lineRule="auto"/>
              <w:contextualSpacing/>
              <w:jc w:val="both"/>
              <w:rPr>
                <w:rFonts w:ascii="Arial" w:hAnsi="Arial" w:cs="Arial"/>
                <w:b/>
                <w:sz w:val="22"/>
                <w:szCs w:val="22"/>
                <w:lang w:eastAsia="en-GB"/>
              </w:rPr>
            </w:pPr>
            <w:r w:rsidRPr="00E4265B">
              <w:rPr>
                <w:rFonts w:ascii="Arial" w:hAnsi="Arial" w:cs="Arial"/>
                <w:b/>
                <w:sz w:val="22"/>
                <w:szCs w:val="22"/>
                <w:lang w:eastAsia="en-GB"/>
              </w:rPr>
              <w:t>Tranche</w:t>
            </w:r>
          </w:p>
        </w:tc>
        <w:tc>
          <w:tcPr>
            <w:tcW w:w="1843" w:type="dxa"/>
            <w:vMerge w:val="restart"/>
            <w:shd w:val="clear" w:color="auto" w:fill="BFBFBF" w:themeFill="background1" w:themeFillShade="BF"/>
            <w:vAlign w:val="center"/>
          </w:tcPr>
          <w:p w14:paraId="7DAFD158" w14:textId="77777777" w:rsidR="00740FFD" w:rsidRPr="00E4265B" w:rsidRDefault="00740FFD" w:rsidP="008B2530">
            <w:pPr>
              <w:spacing w:before="40" w:after="40" w:line="276" w:lineRule="auto"/>
              <w:contextualSpacing/>
              <w:jc w:val="both"/>
              <w:rPr>
                <w:rFonts w:ascii="Arial" w:hAnsi="Arial" w:cs="Arial"/>
                <w:b/>
                <w:sz w:val="22"/>
                <w:szCs w:val="22"/>
                <w:lang w:eastAsia="en-GB"/>
              </w:rPr>
            </w:pPr>
            <w:r w:rsidRPr="00E4265B">
              <w:rPr>
                <w:rFonts w:ascii="Arial" w:hAnsi="Arial" w:cs="Arial"/>
                <w:b/>
                <w:sz w:val="22"/>
                <w:szCs w:val="22"/>
                <w:lang w:eastAsia="en-GB"/>
              </w:rPr>
              <w:t>Monthly payment volume ($mn)</w:t>
            </w:r>
          </w:p>
        </w:tc>
        <w:tc>
          <w:tcPr>
            <w:tcW w:w="4819" w:type="dxa"/>
            <w:gridSpan w:val="2"/>
            <w:tcBorders>
              <w:bottom w:val="dotted" w:sz="4" w:space="0" w:color="auto"/>
            </w:tcBorders>
            <w:shd w:val="clear" w:color="auto" w:fill="BFBFBF" w:themeFill="background1" w:themeFillShade="BF"/>
            <w:vAlign w:val="center"/>
          </w:tcPr>
          <w:p w14:paraId="5CFF05A4" w14:textId="77777777" w:rsidR="00740FFD" w:rsidRPr="00E4265B" w:rsidRDefault="00740FFD" w:rsidP="00BB443A">
            <w:pPr>
              <w:spacing w:before="40" w:after="40" w:line="276" w:lineRule="auto"/>
              <w:contextualSpacing/>
              <w:jc w:val="center"/>
              <w:rPr>
                <w:rFonts w:ascii="Arial" w:hAnsi="Arial" w:cs="Arial"/>
                <w:sz w:val="22"/>
                <w:szCs w:val="22"/>
                <w:lang w:eastAsia="en-GB"/>
              </w:rPr>
            </w:pPr>
            <w:r w:rsidRPr="00E4265B">
              <w:rPr>
                <w:rFonts w:ascii="Arial" w:hAnsi="Arial" w:cs="Arial"/>
                <w:b/>
                <w:sz w:val="22"/>
                <w:szCs w:val="22"/>
                <w:lang w:eastAsia="en-GB"/>
              </w:rPr>
              <w:t>Activity</w:t>
            </w:r>
          </w:p>
        </w:tc>
      </w:tr>
      <w:tr w:rsidR="00740FFD" w:rsidRPr="00E4265B" w14:paraId="1144F3C5" w14:textId="77777777" w:rsidTr="00395B2F">
        <w:trPr>
          <w:trHeight w:val="927"/>
        </w:trPr>
        <w:tc>
          <w:tcPr>
            <w:tcW w:w="1417" w:type="dxa"/>
            <w:vMerge/>
            <w:tcBorders>
              <w:bottom w:val="single" w:sz="4" w:space="0" w:color="auto"/>
            </w:tcBorders>
            <w:shd w:val="clear" w:color="auto" w:fill="BFBFBF" w:themeFill="background1" w:themeFillShade="BF"/>
            <w:vAlign w:val="center"/>
          </w:tcPr>
          <w:p w14:paraId="1024EEA0" w14:textId="77777777" w:rsidR="00740FFD" w:rsidRPr="00E4265B" w:rsidRDefault="00740FFD" w:rsidP="008B2530">
            <w:pPr>
              <w:spacing w:before="40" w:after="40" w:line="276" w:lineRule="auto"/>
              <w:contextualSpacing/>
              <w:jc w:val="both"/>
              <w:rPr>
                <w:rFonts w:ascii="Arial" w:hAnsi="Arial" w:cs="Arial"/>
                <w:sz w:val="22"/>
                <w:szCs w:val="22"/>
                <w:lang w:eastAsia="en-GB"/>
              </w:rPr>
            </w:pPr>
          </w:p>
        </w:tc>
        <w:tc>
          <w:tcPr>
            <w:tcW w:w="1843" w:type="dxa"/>
            <w:vMerge/>
            <w:tcBorders>
              <w:bottom w:val="single" w:sz="4" w:space="0" w:color="auto"/>
            </w:tcBorders>
            <w:shd w:val="clear" w:color="auto" w:fill="BFBFBF" w:themeFill="background1" w:themeFillShade="BF"/>
          </w:tcPr>
          <w:p w14:paraId="73E337AE" w14:textId="77777777" w:rsidR="00740FFD" w:rsidRPr="00E4265B" w:rsidRDefault="00740FFD" w:rsidP="008B2530">
            <w:pPr>
              <w:spacing w:before="40" w:after="40" w:line="276" w:lineRule="auto"/>
              <w:contextualSpacing/>
              <w:jc w:val="both"/>
              <w:rPr>
                <w:rFonts w:ascii="Arial" w:hAnsi="Arial" w:cs="Arial"/>
                <w:b/>
                <w:sz w:val="22"/>
                <w:szCs w:val="22"/>
                <w:lang w:eastAsia="en-GB"/>
              </w:rPr>
            </w:pPr>
          </w:p>
        </w:tc>
        <w:tc>
          <w:tcPr>
            <w:tcW w:w="2268" w:type="dxa"/>
            <w:tcBorders>
              <w:top w:val="dotted" w:sz="4" w:space="0" w:color="auto"/>
              <w:bottom w:val="single" w:sz="4" w:space="0" w:color="auto"/>
            </w:tcBorders>
            <w:shd w:val="clear" w:color="auto" w:fill="BFBFBF" w:themeFill="background1" w:themeFillShade="BF"/>
            <w:vAlign w:val="center"/>
          </w:tcPr>
          <w:p w14:paraId="6EDBF9F5" w14:textId="77777777" w:rsidR="00740FFD" w:rsidRPr="00E4265B" w:rsidRDefault="00740FFD" w:rsidP="00395B2F">
            <w:pPr>
              <w:spacing w:before="40" w:after="40" w:line="276" w:lineRule="auto"/>
              <w:contextualSpacing/>
              <w:jc w:val="center"/>
              <w:rPr>
                <w:rFonts w:ascii="Arial" w:hAnsi="Arial" w:cs="Arial"/>
                <w:b/>
                <w:sz w:val="22"/>
                <w:szCs w:val="22"/>
                <w:lang w:eastAsia="en-GB"/>
              </w:rPr>
            </w:pPr>
            <w:r w:rsidRPr="00E4265B">
              <w:rPr>
                <w:rFonts w:ascii="Arial" w:hAnsi="Arial" w:cs="Arial"/>
                <w:b/>
                <w:sz w:val="22"/>
                <w:szCs w:val="22"/>
                <w:lang w:eastAsia="en-GB"/>
              </w:rPr>
              <w:t>Money Remitter</w:t>
            </w:r>
          </w:p>
        </w:tc>
        <w:tc>
          <w:tcPr>
            <w:tcW w:w="2551" w:type="dxa"/>
            <w:tcBorders>
              <w:top w:val="dotted" w:sz="4" w:space="0" w:color="auto"/>
              <w:bottom w:val="single" w:sz="4" w:space="0" w:color="auto"/>
            </w:tcBorders>
            <w:shd w:val="clear" w:color="auto" w:fill="BFBFBF" w:themeFill="background1" w:themeFillShade="BF"/>
            <w:vAlign w:val="center"/>
          </w:tcPr>
          <w:p w14:paraId="08110DA4" w14:textId="77777777" w:rsidR="00740FFD" w:rsidRPr="00E4265B" w:rsidRDefault="00740FFD" w:rsidP="00395B2F">
            <w:pPr>
              <w:spacing w:before="40" w:after="40" w:line="276" w:lineRule="auto"/>
              <w:contextualSpacing/>
              <w:jc w:val="center"/>
              <w:rPr>
                <w:rFonts w:ascii="Arial" w:hAnsi="Arial" w:cs="Arial"/>
                <w:sz w:val="22"/>
                <w:szCs w:val="22"/>
                <w:lang w:eastAsia="en-GB"/>
              </w:rPr>
            </w:pPr>
            <w:r w:rsidRPr="00E4265B">
              <w:rPr>
                <w:rFonts w:ascii="Arial" w:hAnsi="Arial" w:cs="Arial"/>
                <w:b/>
                <w:sz w:val="22"/>
                <w:szCs w:val="22"/>
                <w:lang w:eastAsia="en-GB"/>
              </w:rPr>
              <w:t>Payment Account Provider</w:t>
            </w:r>
          </w:p>
        </w:tc>
      </w:tr>
      <w:tr w:rsidR="00740FFD" w:rsidRPr="00E4265B" w14:paraId="3C4878D0" w14:textId="77777777" w:rsidTr="00395B2F">
        <w:tc>
          <w:tcPr>
            <w:tcW w:w="1417" w:type="dxa"/>
            <w:tcBorders>
              <w:top w:val="single" w:sz="4" w:space="0" w:color="auto"/>
            </w:tcBorders>
            <w:vAlign w:val="center"/>
          </w:tcPr>
          <w:p w14:paraId="1D487FF8" w14:textId="77777777" w:rsidR="00740FFD" w:rsidRPr="00E4265B" w:rsidRDefault="00740FFD" w:rsidP="008B2530">
            <w:pPr>
              <w:spacing w:before="40" w:after="40" w:line="276" w:lineRule="auto"/>
              <w:contextualSpacing/>
              <w:jc w:val="both"/>
              <w:rPr>
                <w:rFonts w:ascii="Arial" w:hAnsi="Arial" w:cs="Arial"/>
                <w:sz w:val="22"/>
                <w:szCs w:val="22"/>
                <w:lang w:eastAsia="en-GB"/>
              </w:rPr>
            </w:pPr>
            <w:r w:rsidRPr="00E4265B">
              <w:rPr>
                <w:rFonts w:ascii="Arial" w:hAnsi="Arial" w:cs="Arial"/>
                <w:sz w:val="22"/>
                <w:szCs w:val="22"/>
                <w:lang w:eastAsia="en-GB"/>
              </w:rPr>
              <w:t>0 &lt; … ≤ 10</w:t>
            </w:r>
          </w:p>
        </w:tc>
        <w:tc>
          <w:tcPr>
            <w:tcW w:w="1843" w:type="dxa"/>
            <w:tcBorders>
              <w:top w:val="single" w:sz="4" w:space="0" w:color="auto"/>
            </w:tcBorders>
          </w:tcPr>
          <w:p w14:paraId="016217CD" w14:textId="77777777" w:rsidR="00740FFD" w:rsidRPr="00E4265B" w:rsidRDefault="00740FFD" w:rsidP="00BB443A">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10</w:t>
            </w:r>
          </w:p>
        </w:tc>
        <w:tc>
          <w:tcPr>
            <w:tcW w:w="2268" w:type="dxa"/>
            <w:tcBorders>
              <w:top w:val="single" w:sz="4" w:space="0" w:color="auto"/>
            </w:tcBorders>
            <w:vAlign w:val="center"/>
          </w:tcPr>
          <w:p w14:paraId="2B37CA9F" w14:textId="77777777" w:rsidR="00740FFD" w:rsidRPr="00E4265B" w:rsidRDefault="00740FFD" w:rsidP="00FB65C8">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1.25% * 10 = 0.125</w:t>
            </w:r>
          </w:p>
        </w:tc>
        <w:tc>
          <w:tcPr>
            <w:tcW w:w="2551" w:type="dxa"/>
            <w:tcBorders>
              <w:top w:val="single" w:sz="4" w:space="0" w:color="auto"/>
            </w:tcBorders>
            <w:vAlign w:val="center"/>
          </w:tcPr>
          <w:p w14:paraId="1665039E" w14:textId="77777777" w:rsidR="00740FFD" w:rsidRPr="00E4265B" w:rsidRDefault="00740FFD" w:rsidP="00FB65C8">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2.5% * 10 = 0.250</w:t>
            </w:r>
          </w:p>
        </w:tc>
      </w:tr>
      <w:tr w:rsidR="00740FFD" w:rsidRPr="00E4265B" w14:paraId="095FDBD1" w14:textId="77777777" w:rsidTr="00395B2F">
        <w:tc>
          <w:tcPr>
            <w:tcW w:w="1417" w:type="dxa"/>
            <w:vAlign w:val="center"/>
          </w:tcPr>
          <w:p w14:paraId="434F8C6E" w14:textId="77777777" w:rsidR="00740FFD" w:rsidRPr="00E4265B" w:rsidRDefault="00740FFD" w:rsidP="008B2530">
            <w:pPr>
              <w:spacing w:before="40" w:after="40" w:line="276" w:lineRule="auto"/>
              <w:contextualSpacing/>
              <w:jc w:val="both"/>
              <w:rPr>
                <w:rFonts w:ascii="Arial" w:hAnsi="Arial" w:cs="Arial"/>
                <w:sz w:val="22"/>
                <w:szCs w:val="22"/>
                <w:lang w:eastAsia="en-GB"/>
              </w:rPr>
            </w:pPr>
            <w:r w:rsidRPr="00E4265B">
              <w:rPr>
                <w:rFonts w:ascii="Arial" w:hAnsi="Arial" w:cs="Arial"/>
                <w:sz w:val="22"/>
                <w:szCs w:val="22"/>
                <w:lang w:eastAsia="en-GB"/>
              </w:rPr>
              <w:t>10 &lt; … ≤ 100</w:t>
            </w:r>
          </w:p>
        </w:tc>
        <w:tc>
          <w:tcPr>
            <w:tcW w:w="1843" w:type="dxa"/>
          </w:tcPr>
          <w:p w14:paraId="5DCB376B" w14:textId="77777777" w:rsidR="00740FFD" w:rsidRPr="00E4265B" w:rsidRDefault="00740FFD" w:rsidP="00BB443A">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90</w:t>
            </w:r>
          </w:p>
        </w:tc>
        <w:tc>
          <w:tcPr>
            <w:tcW w:w="2268" w:type="dxa"/>
            <w:vAlign w:val="center"/>
          </w:tcPr>
          <w:p w14:paraId="5819ED72" w14:textId="77777777" w:rsidR="00740FFD" w:rsidRPr="00E4265B" w:rsidRDefault="00740FFD" w:rsidP="00FB65C8">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0.5% * 90 = 0.450</w:t>
            </w:r>
          </w:p>
        </w:tc>
        <w:tc>
          <w:tcPr>
            <w:tcW w:w="2551" w:type="dxa"/>
            <w:vAlign w:val="center"/>
          </w:tcPr>
          <w:p w14:paraId="75B705A1" w14:textId="77777777" w:rsidR="00740FFD" w:rsidRPr="00E4265B" w:rsidRDefault="00740FFD" w:rsidP="00FB65C8">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1% * 90 = 0.900</w:t>
            </w:r>
          </w:p>
        </w:tc>
      </w:tr>
      <w:tr w:rsidR="00740FFD" w:rsidRPr="00E4265B" w14:paraId="29F7388F" w14:textId="77777777" w:rsidTr="00395B2F">
        <w:tc>
          <w:tcPr>
            <w:tcW w:w="1417" w:type="dxa"/>
            <w:vAlign w:val="center"/>
          </w:tcPr>
          <w:p w14:paraId="3D808AD0" w14:textId="77777777" w:rsidR="00740FFD" w:rsidRPr="00E4265B" w:rsidRDefault="00740FFD" w:rsidP="00BB443A">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100 &lt; … ≤ 250</w:t>
            </w:r>
          </w:p>
        </w:tc>
        <w:tc>
          <w:tcPr>
            <w:tcW w:w="1843" w:type="dxa"/>
          </w:tcPr>
          <w:p w14:paraId="075A15A6" w14:textId="77777777" w:rsidR="00740FFD" w:rsidRPr="00E4265B" w:rsidRDefault="00740FFD" w:rsidP="00BB443A">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20</w:t>
            </w:r>
          </w:p>
        </w:tc>
        <w:tc>
          <w:tcPr>
            <w:tcW w:w="2268" w:type="dxa"/>
            <w:vAlign w:val="center"/>
          </w:tcPr>
          <w:p w14:paraId="25FD2ABE" w14:textId="77777777" w:rsidR="00740FFD" w:rsidRPr="00E4265B" w:rsidRDefault="00740FFD" w:rsidP="00FB65C8">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0.25% * 20 = 0.050</w:t>
            </w:r>
          </w:p>
        </w:tc>
        <w:tc>
          <w:tcPr>
            <w:tcW w:w="2551" w:type="dxa"/>
            <w:vAlign w:val="center"/>
          </w:tcPr>
          <w:p w14:paraId="7C5D7FA8" w14:textId="77777777" w:rsidR="00740FFD" w:rsidRPr="00E4265B" w:rsidRDefault="00740FFD" w:rsidP="00FB65C8">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0.5% * 20 = 0.100</w:t>
            </w:r>
          </w:p>
        </w:tc>
      </w:tr>
      <w:tr w:rsidR="00740FFD" w:rsidRPr="00E4265B" w14:paraId="436B8D7C" w14:textId="77777777" w:rsidTr="00395B2F">
        <w:tc>
          <w:tcPr>
            <w:tcW w:w="1417" w:type="dxa"/>
            <w:tcBorders>
              <w:bottom w:val="single" w:sz="4" w:space="0" w:color="auto"/>
            </w:tcBorders>
            <w:vAlign w:val="center"/>
          </w:tcPr>
          <w:p w14:paraId="0C41886A" w14:textId="77777777" w:rsidR="00740FFD" w:rsidRPr="00E4265B" w:rsidRDefault="00740FFD" w:rsidP="008B2530">
            <w:pPr>
              <w:spacing w:before="40" w:after="40" w:line="276" w:lineRule="auto"/>
              <w:contextualSpacing/>
              <w:jc w:val="both"/>
              <w:rPr>
                <w:rFonts w:ascii="Arial" w:hAnsi="Arial" w:cs="Arial"/>
                <w:sz w:val="22"/>
                <w:szCs w:val="22"/>
                <w:lang w:eastAsia="en-GB"/>
              </w:rPr>
            </w:pPr>
            <w:r w:rsidRPr="00E4265B">
              <w:rPr>
                <w:rFonts w:ascii="Arial" w:hAnsi="Arial" w:cs="Arial"/>
                <w:sz w:val="22"/>
                <w:szCs w:val="22"/>
                <w:lang w:eastAsia="en-GB"/>
              </w:rPr>
              <w:t>… &gt; 250</w:t>
            </w:r>
          </w:p>
        </w:tc>
        <w:tc>
          <w:tcPr>
            <w:tcW w:w="1843" w:type="dxa"/>
            <w:tcBorders>
              <w:bottom w:val="single" w:sz="4" w:space="0" w:color="auto"/>
            </w:tcBorders>
          </w:tcPr>
          <w:p w14:paraId="491B0267" w14:textId="77777777" w:rsidR="00740FFD" w:rsidRPr="00E4265B" w:rsidRDefault="00740FFD" w:rsidP="00BB443A">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w:t>
            </w:r>
          </w:p>
        </w:tc>
        <w:tc>
          <w:tcPr>
            <w:tcW w:w="2268" w:type="dxa"/>
          </w:tcPr>
          <w:p w14:paraId="2C381697" w14:textId="77777777" w:rsidR="00740FFD" w:rsidRPr="00E4265B" w:rsidRDefault="00740FFD" w:rsidP="00BB443A">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w:t>
            </w:r>
          </w:p>
        </w:tc>
        <w:tc>
          <w:tcPr>
            <w:tcW w:w="2551" w:type="dxa"/>
          </w:tcPr>
          <w:p w14:paraId="7EC76B47" w14:textId="77777777" w:rsidR="00740FFD" w:rsidRPr="00E4265B" w:rsidRDefault="00740FFD" w:rsidP="00BB443A">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w:t>
            </w:r>
          </w:p>
        </w:tc>
      </w:tr>
      <w:tr w:rsidR="00740FFD" w:rsidRPr="00E4265B" w14:paraId="5770F1BE" w14:textId="77777777" w:rsidTr="00395B2F">
        <w:tc>
          <w:tcPr>
            <w:tcW w:w="1417" w:type="dxa"/>
            <w:tcBorders>
              <w:right w:val="nil"/>
            </w:tcBorders>
            <w:shd w:val="clear" w:color="auto" w:fill="D9D9D9" w:themeFill="background1" w:themeFillShade="D9"/>
            <w:vAlign w:val="center"/>
          </w:tcPr>
          <w:p w14:paraId="101FB048" w14:textId="77777777" w:rsidR="00740FFD" w:rsidRPr="00E4265B" w:rsidRDefault="00740FFD" w:rsidP="00BB443A">
            <w:pPr>
              <w:spacing w:before="40" w:after="40" w:line="276" w:lineRule="auto"/>
              <w:contextualSpacing/>
              <w:jc w:val="center"/>
              <w:rPr>
                <w:rFonts w:ascii="Arial" w:hAnsi="Arial" w:cs="Arial"/>
                <w:sz w:val="22"/>
                <w:szCs w:val="22"/>
                <w:lang w:eastAsia="en-GB"/>
              </w:rPr>
            </w:pPr>
            <w:r w:rsidRPr="00E4265B">
              <w:rPr>
                <w:rFonts w:ascii="Arial" w:hAnsi="Arial" w:cs="Arial"/>
                <w:b/>
                <w:sz w:val="22"/>
                <w:szCs w:val="22"/>
                <w:lang w:eastAsia="en-GB"/>
              </w:rPr>
              <w:t>Total</w:t>
            </w:r>
          </w:p>
        </w:tc>
        <w:tc>
          <w:tcPr>
            <w:tcW w:w="1843" w:type="dxa"/>
            <w:tcBorders>
              <w:left w:val="nil"/>
            </w:tcBorders>
            <w:shd w:val="clear" w:color="auto" w:fill="D9D9D9" w:themeFill="background1" w:themeFillShade="D9"/>
            <w:vAlign w:val="center"/>
          </w:tcPr>
          <w:p w14:paraId="2ABA72A7" w14:textId="77777777" w:rsidR="00740FFD" w:rsidRPr="00E4265B" w:rsidRDefault="00740FFD" w:rsidP="00BB443A">
            <w:pPr>
              <w:spacing w:before="40" w:after="40" w:line="276" w:lineRule="auto"/>
              <w:contextualSpacing/>
              <w:jc w:val="center"/>
              <w:rPr>
                <w:rFonts w:ascii="Arial" w:hAnsi="Arial" w:cs="Arial"/>
                <w:b/>
                <w:sz w:val="22"/>
                <w:szCs w:val="22"/>
                <w:lang w:eastAsia="en-GB"/>
              </w:rPr>
            </w:pPr>
            <w:r w:rsidRPr="00E4265B">
              <w:rPr>
                <w:rFonts w:ascii="Arial" w:hAnsi="Arial" w:cs="Arial"/>
                <w:b/>
                <w:sz w:val="22"/>
                <w:szCs w:val="22"/>
                <w:lang w:eastAsia="en-GB"/>
              </w:rPr>
              <w:t>120</w:t>
            </w:r>
          </w:p>
        </w:tc>
        <w:tc>
          <w:tcPr>
            <w:tcW w:w="4819" w:type="dxa"/>
            <w:gridSpan w:val="2"/>
            <w:shd w:val="clear" w:color="auto" w:fill="D9D9D9" w:themeFill="background1" w:themeFillShade="D9"/>
            <w:vAlign w:val="center"/>
          </w:tcPr>
          <w:p w14:paraId="4DCD48DC" w14:textId="77777777" w:rsidR="00740FFD" w:rsidRPr="00E4265B" w:rsidRDefault="00740FFD" w:rsidP="008B2530">
            <w:pPr>
              <w:spacing w:before="40" w:after="40" w:line="276" w:lineRule="auto"/>
              <w:contextualSpacing/>
              <w:jc w:val="both"/>
              <w:rPr>
                <w:rFonts w:ascii="Arial" w:hAnsi="Arial" w:cs="Arial"/>
                <w:sz w:val="22"/>
                <w:szCs w:val="22"/>
                <w:lang w:eastAsia="en-GB"/>
              </w:rPr>
            </w:pPr>
          </w:p>
        </w:tc>
      </w:tr>
      <w:tr w:rsidR="00740FFD" w:rsidRPr="00E4265B" w14:paraId="14B3A77E" w14:textId="77777777" w:rsidTr="00395B2F">
        <w:tc>
          <w:tcPr>
            <w:tcW w:w="3260" w:type="dxa"/>
            <w:gridSpan w:val="2"/>
            <w:shd w:val="clear" w:color="auto" w:fill="D9D9D9" w:themeFill="background1" w:themeFillShade="D9"/>
            <w:vAlign w:val="center"/>
          </w:tcPr>
          <w:p w14:paraId="22F6ED5A" w14:textId="77777777" w:rsidR="00740FFD" w:rsidRPr="00E4265B" w:rsidRDefault="00740FFD" w:rsidP="00BB443A">
            <w:pPr>
              <w:spacing w:before="40" w:after="40" w:line="276" w:lineRule="auto"/>
              <w:contextualSpacing/>
              <w:rPr>
                <w:rFonts w:ascii="Arial" w:hAnsi="Arial" w:cs="Arial"/>
                <w:b/>
                <w:sz w:val="22"/>
                <w:szCs w:val="22"/>
                <w:lang w:eastAsia="en-GB"/>
              </w:rPr>
            </w:pPr>
            <w:r w:rsidRPr="00E4265B">
              <w:rPr>
                <w:rFonts w:ascii="Arial" w:hAnsi="Arial" w:cs="Arial"/>
                <w:b/>
                <w:sz w:val="22"/>
                <w:szCs w:val="22"/>
                <w:lang w:eastAsia="en-GB"/>
              </w:rPr>
              <w:t>Variable Capital Requirement ($mn)</w:t>
            </w:r>
          </w:p>
        </w:tc>
        <w:tc>
          <w:tcPr>
            <w:tcW w:w="2268" w:type="dxa"/>
            <w:shd w:val="clear" w:color="auto" w:fill="D9D9D9" w:themeFill="background1" w:themeFillShade="D9"/>
            <w:vAlign w:val="center"/>
          </w:tcPr>
          <w:p w14:paraId="75FC5BAD" w14:textId="77777777" w:rsidR="00740FFD" w:rsidRPr="00E4265B" w:rsidRDefault="00740FFD" w:rsidP="00BB443A">
            <w:pPr>
              <w:spacing w:before="40" w:after="40" w:line="276" w:lineRule="auto"/>
              <w:contextualSpacing/>
              <w:jc w:val="center"/>
              <w:rPr>
                <w:rFonts w:ascii="Arial" w:hAnsi="Arial" w:cs="Arial"/>
                <w:b/>
                <w:sz w:val="22"/>
                <w:szCs w:val="22"/>
                <w:lang w:eastAsia="en-GB"/>
              </w:rPr>
            </w:pPr>
            <w:r w:rsidRPr="00E4265B">
              <w:rPr>
                <w:rFonts w:ascii="Arial" w:hAnsi="Arial" w:cs="Arial"/>
                <w:b/>
                <w:sz w:val="22"/>
                <w:szCs w:val="22"/>
                <w:lang w:eastAsia="en-GB"/>
              </w:rPr>
              <w:t>0.625</w:t>
            </w:r>
          </w:p>
        </w:tc>
        <w:tc>
          <w:tcPr>
            <w:tcW w:w="2551" w:type="dxa"/>
            <w:shd w:val="clear" w:color="auto" w:fill="D9D9D9" w:themeFill="background1" w:themeFillShade="D9"/>
            <w:vAlign w:val="center"/>
          </w:tcPr>
          <w:p w14:paraId="6D55EEB6" w14:textId="77777777" w:rsidR="00740FFD" w:rsidRPr="00E4265B" w:rsidRDefault="00740FFD" w:rsidP="00BB443A">
            <w:pPr>
              <w:spacing w:before="40" w:after="40" w:line="276" w:lineRule="auto"/>
              <w:contextualSpacing/>
              <w:jc w:val="center"/>
              <w:rPr>
                <w:rFonts w:ascii="Arial" w:hAnsi="Arial" w:cs="Arial"/>
                <w:b/>
                <w:sz w:val="22"/>
                <w:szCs w:val="22"/>
                <w:lang w:eastAsia="en-GB"/>
              </w:rPr>
            </w:pPr>
            <w:r w:rsidRPr="00E4265B">
              <w:rPr>
                <w:rFonts w:ascii="Arial" w:hAnsi="Arial" w:cs="Arial"/>
                <w:b/>
                <w:sz w:val="22"/>
                <w:szCs w:val="22"/>
                <w:lang w:eastAsia="en-GB"/>
              </w:rPr>
              <w:t>1.250</w:t>
            </w:r>
          </w:p>
        </w:tc>
      </w:tr>
    </w:tbl>
    <w:p w14:paraId="30C5213A" w14:textId="0D7B6A79" w:rsidR="008B2530" w:rsidRPr="00E4265B" w:rsidRDefault="008B2530" w:rsidP="00EE785B">
      <w:pPr>
        <w:spacing w:before="120" w:after="120" w:line="276" w:lineRule="auto"/>
        <w:jc w:val="both"/>
        <w:rPr>
          <w:rFonts w:ascii="Arial" w:hAnsi="Arial" w:cs="Arial"/>
          <w:b/>
          <w:sz w:val="22"/>
          <w:szCs w:val="22"/>
          <w:u w:val="single"/>
        </w:rPr>
      </w:pPr>
    </w:p>
    <w:p w14:paraId="23B5D586" w14:textId="4CC80719" w:rsidR="00740FFD" w:rsidRPr="00E4265B" w:rsidRDefault="00740FFD" w:rsidP="00A27FCD">
      <w:pPr>
        <w:spacing w:before="120" w:after="120" w:line="276" w:lineRule="auto"/>
        <w:ind w:left="1134" w:hanging="141"/>
        <w:jc w:val="both"/>
        <w:rPr>
          <w:rFonts w:ascii="Arial" w:hAnsi="Arial" w:cs="Arial"/>
          <w:b/>
          <w:sz w:val="22"/>
          <w:szCs w:val="22"/>
        </w:rPr>
      </w:pPr>
      <w:r w:rsidRPr="00E4265B">
        <w:rPr>
          <w:rFonts w:ascii="Arial" w:hAnsi="Arial" w:cs="Arial"/>
          <w:b/>
          <w:sz w:val="22"/>
          <w:szCs w:val="22"/>
        </w:rPr>
        <w:t>Stored Value Providers</w:t>
      </w:r>
    </w:p>
    <w:p w14:paraId="11CD4ABA" w14:textId="34965480" w:rsidR="00740FFD" w:rsidRPr="00E4265B" w:rsidRDefault="00740FFD" w:rsidP="002C07D4">
      <w:pPr>
        <w:tabs>
          <w:tab w:val="left" w:pos="993"/>
        </w:tabs>
        <w:spacing w:before="120" w:after="120" w:line="276" w:lineRule="auto"/>
        <w:ind w:left="1843" w:hanging="1843"/>
        <w:jc w:val="both"/>
        <w:rPr>
          <w:rFonts w:ascii="Arial" w:hAnsi="Arial" w:cs="Arial"/>
          <w:b/>
          <w:sz w:val="22"/>
          <w:szCs w:val="22"/>
        </w:rPr>
      </w:pPr>
      <w:r w:rsidRPr="00E4265B">
        <w:rPr>
          <w:rFonts w:ascii="Arial" w:hAnsi="Arial" w:cs="Arial"/>
          <w:b/>
          <w:sz w:val="22"/>
          <w:szCs w:val="22"/>
        </w:rPr>
        <w:t>3.6A.</w:t>
      </w:r>
      <w:r w:rsidR="002C07D4" w:rsidRPr="00E4265B">
        <w:rPr>
          <w:rFonts w:ascii="Arial" w:hAnsi="Arial" w:cs="Arial"/>
          <w:b/>
          <w:sz w:val="22"/>
          <w:szCs w:val="22"/>
        </w:rPr>
        <w:t>6</w:t>
      </w:r>
      <w:r w:rsidRPr="00E4265B">
        <w:rPr>
          <w:rFonts w:ascii="Arial" w:hAnsi="Arial" w:cs="Arial"/>
          <w:sz w:val="22"/>
          <w:szCs w:val="22"/>
        </w:rPr>
        <w:tab/>
        <w:t>(1)</w:t>
      </w:r>
      <w:r w:rsidRPr="00E4265B">
        <w:rPr>
          <w:rFonts w:ascii="Arial" w:hAnsi="Arial" w:cs="Arial"/>
          <w:sz w:val="22"/>
          <w:szCs w:val="22"/>
        </w:rPr>
        <w:tab/>
        <w:t>Subject to (2), a Stored Value Provider must calculate its Variable Capital Requirement as 2.5% of the average daily outstanding Stored Value, calculated on the first Business Day of each calendar month and using the outstanding Stored Value at the end of each calendar day over the preceding six calendar months.</w:t>
      </w:r>
    </w:p>
    <w:p w14:paraId="0BB87B45" w14:textId="026A38D9" w:rsidR="00740FFD" w:rsidRPr="00E4265B" w:rsidRDefault="00740FFD" w:rsidP="00A27FCD">
      <w:pPr>
        <w:spacing w:before="120" w:after="120" w:line="276" w:lineRule="auto"/>
        <w:ind w:left="1843" w:hanging="850"/>
        <w:jc w:val="both"/>
        <w:rPr>
          <w:rFonts w:ascii="Arial" w:hAnsi="Arial" w:cs="Arial"/>
          <w:sz w:val="22"/>
          <w:szCs w:val="22"/>
        </w:rPr>
      </w:pPr>
      <w:r w:rsidRPr="00E4265B">
        <w:rPr>
          <w:rFonts w:ascii="Arial" w:hAnsi="Arial" w:cs="Arial"/>
          <w:sz w:val="22"/>
          <w:szCs w:val="22"/>
        </w:rPr>
        <w:t>(2)</w:t>
      </w:r>
      <w:r w:rsidRPr="00E4265B">
        <w:rPr>
          <w:rFonts w:ascii="Arial" w:hAnsi="Arial" w:cs="Arial"/>
          <w:sz w:val="22"/>
          <w:szCs w:val="22"/>
        </w:rPr>
        <w:tab/>
        <w:t xml:space="preserve">Where the Authorised Person has not completed six months of operations following its authorisation, the average </w:t>
      </w:r>
      <w:r w:rsidR="002C07D4" w:rsidRPr="00E4265B">
        <w:rPr>
          <w:rFonts w:ascii="Arial" w:hAnsi="Arial" w:cs="Arial"/>
          <w:sz w:val="22"/>
          <w:szCs w:val="22"/>
        </w:rPr>
        <w:t xml:space="preserve">daily </w:t>
      </w:r>
      <w:r w:rsidRPr="00E4265B">
        <w:rPr>
          <w:rFonts w:ascii="Arial" w:hAnsi="Arial" w:cs="Arial"/>
          <w:sz w:val="22"/>
          <w:szCs w:val="22"/>
        </w:rPr>
        <w:t>outstanding Stored Value must be calculated using the daily outstanding Stored Value since its authorisation and the projections contained in its business plan for the remainder of the six-month period, subject to any adjustments required by the Regulator.</w:t>
      </w:r>
    </w:p>
    <w:p w14:paraId="3F5DB44C" w14:textId="77777777" w:rsidR="00740FFD" w:rsidRPr="00E4265B" w:rsidRDefault="00740FFD" w:rsidP="00A27FCD">
      <w:pPr>
        <w:spacing w:before="120" w:after="120" w:line="276" w:lineRule="auto"/>
        <w:ind w:left="993"/>
        <w:jc w:val="both"/>
        <w:rPr>
          <w:rFonts w:ascii="Arial" w:hAnsi="Arial" w:cs="Arial"/>
          <w:b/>
          <w:sz w:val="22"/>
          <w:szCs w:val="22"/>
        </w:rPr>
      </w:pPr>
      <w:r w:rsidRPr="00E4265B">
        <w:rPr>
          <w:rFonts w:ascii="Arial" w:hAnsi="Arial" w:cs="Arial"/>
          <w:b/>
          <w:sz w:val="22"/>
          <w:szCs w:val="22"/>
        </w:rPr>
        <w:t>Guidance</w:t>
      </w:r>
    </w:p>
    <w:p w14:paraId="08DAA439" w14:textId="0E7CADB6" w:rsidR="00740FFD" w:rsidRPr="00E4265B" w:rsidRDefault="00740FFD" w:rsidP="00A27FCD">
      <w:pPr>
        <w:spacing w:before="120" w:after="120" w:line="276" w:lineRule="auto"/>
        <w:ind w:left="993"/>
        <w:jc w:val="both"/>
        <w:rPr>
          <w:rFonts w:ascii="Arial" w:hAnsi="Arial" w:cs="Arial"/>
          <w:sz w:val="22"/>
          <w:szCs w:val="22"/>
        </w:rPr>
      </w:pPr>
      <w:r w:rsidRPr="00E4265B">
        <w:rPr>
          <w:rFonts w:ascii="Arial" w:hAnsi="Arial" w:cs="Arial"/>
          <w:sz w:val="22"/>
          <w:szCs w:val="22"/>
        </w:rPr>
        <w:t xml:space="preserve">Under (2), the projections for the remainder of the six-month period should be informed by the value of realised </w:t>
      </w:r>
      <w:r w:rsidR="0026458D" w:rsidRPr="00E4265B">
        <w:rPr>
          <w:rFonts w:ascii="Arial" w:hAnsi="Arial" w:cs="Arial"/>
          <w:sz w:val="22"/>
          <w:szCs w:val="22"/>
        </w:rPr>
        <w:t xml:space="preserve">daily </w:t>
      </w:r>
      <w:r w:rsidRPr="00E4265B">
        <w:rPr>
          <w:rFonts w:ascii="Arial" w:hAnsi="Arial" w:cs="Arial"/>
          <w:sz w:val="22"/>
          <w:szCs w:val="22"/>
        </w:rPr>
        <w:t>outstanding Stored Values following the authorisation of the Authorised Person.</w:t>
      </w:r>
    </w:p>
    <w:p w14:paraId="46DAE5AA" w14:textId="77777777" w:rsidR="00740FFD" w:rsidRPr="00E4265B" w:rsidRDefault="00740FFD" w:rsidP="00A27FCD">
      <w:pPr>
        <w:spacing w:before="120" w:after="120" w:line="276" w:lineRule="auto"/>
        <w:ind w:left="709" w:firstLine="284"/>
        <w:jc w:val="both"/>
        <w:rPr>
          <w:rFonts w:ascii="Arial" w:hAnsi="Arial" w:cs="Arial"/>
          <w:b/>
          <w:sz w:val="22"/>
          <w:szCs w:val="22"/>
        </w:rPr>
      </w:pPr>
      <w:r w:rsidRPr="00E4265B">
        <w:rPr>
          <w:rFonts w:ascii="Arial" w:eastAsiaTheme="majorEastAsia" w:hAnsi="Arial" w:cs="Arial"/>
          <w:b/>
          <w:bCs/>
          <w:sz w:val="22"/>
          <w:szCs w:val="22"/>
        </w:rPr>
        <w:t>Multiple activities under Providing Money Services</w:t>
      </w:r>
    </w:p>
    <w:p w14:paraId="56A9851F" w14:textId="396C0728" w:rsidR="00740FFD" w:rsidRPr="00E4265B" w:rsidRDefault="00740FFD" w:rsidP="002C07D4">
      <w:pPr>
        <w:tabs>
          <w:tab w:val="left" w:pos="993"/>
        </w:tabs>
        <w:spacing w:before="120" w:after="120" w:line="276" w:lineRule="auto"/>
        <w:ind w:left="1843" w:hanging="1843"/>
        <w:jc w:val="both"/>
        <w:rPr>
          <w:rFonts w:ascii="Arial" w:hAnsi="Arial" w:cs="Arial"/>
          <w:sz w:val="22"/>
          <w:szCs w:val="22"/>
        </w:rPr>
      </w:pPr>
      <w:r w:rsidRPr="00E4265B">
        <w:rPr>
          <w:rFonts w:ascii="Arial" w:hAnsi="Arial" w:cs="Arial"/>
          <w:b/>
          <w:sz w:val="22"/>
          <w:szCs w:val="22"/>
        </w:rPr>
        <w:t>3.6A.</w:t>
      </w:r>
      <w:r w:rsidR="002C07D4" w:rsidRPr="00E4265B">
        <w:rPr>
          <w:rFonts w:ascii="Arial" w:hAnsi="Arial" w:cs="Arial"/>
          <w:b/>
          <w:sz w:val="22"/>
          <w:szCs w:val="22"/>
        </w:rPr>
        <w:t>7</w:t>
      </w:r>
      <w:r w:rsidRPr="00E4265B">
        <w:rPr>
          <w:rFonts w:ascii="Arial" w:hAnsi="Arial" w:cs="Arial"/>
          <w:sz w:val="22"/>
          <w:szCs w:val="22"/>
        </w:rPr>
        <w:tab/>
        <w:t>(1)</w:t>
      </w:r>
      <w:r w:rsidRPr="00E4265B">
        <w:rPr>
          <w:rFonts w:ascii="Arial" w:hAnsi="Arial" w:cs="Arial"/>
          <w:sz w:val="22"/>
          <w:szCs w:val="22"/>
        </w:rPr>
        <w:tab/>
        <w:t xml:space="preserve">Subject to (2), an Authorised Person undertaking more than one of the activities of being a Money Remitter, a Payment Account Provider and a Stored Value Issuer must calculate its Total </w:t>
      </w:r>
      <w:r w:rsidRPr="00E4265B">
        <w:rPr>
          <w:rFonts w:ascii="Arial" w:eastAsiaTheme="majorEastAsia" w:hAnsi="Arial" w:cs="Arial"/>
          <w:bCs/>
          <w:iCs/>
          <w:sz w:val="22"/>
          <w:szCs w:val="22"/>
        </w:rPr>
        <w:t>Variable Capital Requirement by summing the Variable Capital Requirements calculated under Rules 3.6A.2, 3.6A.</w:t>
      </w:r>
      <w:r w:rsidR="002C07D4" w:rsidRPr="00E4265B">
        <w:rPr>
          <w:rFonts w:ascii="Arial" w:eastAsiaTheme="majorEastAsia" w:hAnsi="Arial" w:cs="Arial"/>
          <w:bCs/>
          <w:iCs/>
          <w:sz w:val="22"/>
          <w:szCs w:val="22"/>
        </w:rPr>
        <w:t>4</w:t>
      </w:r>
      <w:r w:rsidRPr="00E4265B">
        <w:rPr>
          <w:rFonts w:ascii="Arial" w:eastAsiaTheme="majorEastAsia" w:hAnsi="Arial" w:cs="Arial"/>
          <w:bCs/>
          <w:iCs/>
          <w:sz w:val="22"/>
          <w:szCs w:val="22"/>
        </w:rPr>
        <w:t xml:space="preserve"> and 3.6A.</w:t>
      </w:r>
      <w:r w:rsidR="002C07D4" w:rsidRPr="00E4265B">
        <w:rPr>
          <w:rFonts w:ascii="Arial" w:eastAsiaTheme="majorEastAsia" w:hAnsi="Arial" w:cs="Arial"/>
          <w:bCs/>
          <w:iCs/>
          <w:sz w:val="22"/>
          <w:szCs w:val="22"/>
        </w:rPr>
        <w:t>6</w:t>
      </w:r>
      <w:r w:rsidRPr="00E4265B">
        <w:rPr>
          <w:rFonts w:ascii="Arial" w:eastAsiaTheme="majorEastAsia" w:hAnsi="Arial" w:cs="Arial"/>
          <w:bCs/>
          <w:iCs/>
          <w:sz w:val="22"/>
          <w:szCs w:val="22"/>
        </w:rPr>
        <w:t xml:space="preserve"> as appropriate</w:t>
      </w:r>
      <w:r w:rsidRPr="00E4265B">
        <w:rPr>
          <w:rFonts w:ascii="Arial" w:hAnsi="Arial" w:cs="Arial"/>
          <w:sz w:val="22"/>
          <w:szCs w:val="22"/>
        </w:rPr>
        <w:t>.</w:t>
      </w:r>
    </w:p>
    <w:p w14:paraId="4064D259" w14:textId="30BDC1FF" w:rsidR="00BD00E4" w:rsidRPr="00E4265B" w:rsidRDefault="00B17DCF" w:rsidP="002C07D4">
      <w:pPr>
        <w:tabs>
          <w:tab w:val="left" w:pos="993"/>
        </w:tabs>
        <w:spacing w:before="120" w:after="120" w:line="276" w:lineRule="auto"/>
        <w:ind w:left="1843" w:hanging="1843"/>
        <w:jc w:val="both"/>
        <w:rPr>
          <w:rFonts w:ascii="Arial" w:hAnsi="Arial" w:cs="Arial"/>
          <w:sz w:val="22"/>
          <w:szCs w:val="22"/>
        </w:rPr>
      </w:pPr>
      <w:r w:rsidRPr="00E4265B">
        <w:rPr>
          <w:rFonts w:ascii="Arial" w:hAnsi="Arial" w:cs="Arial"/>
          <w:sz w:val="22"/>
          <w:szCs w:val="22"/>
        </w:rPr>
        <w:tab/>
      </w:r>
      <w:r w:rsidR="00740FFD" w:rsidRPr="00E4265B">
        <w:rPr>
          <w:rFonts w:ascii="Arial" w:hAnsi="Arial" w:cs="Arial"/>
          <w:sz w:val="22"/>
          <w:szCs w:val="22"/>
        </w:rPr>
        <w:t>(2)</w:t>
      </w:r>
      <w:r w:rsidR="00740FFD" w:rsidRPr="00E4265B">
        <w:rPr>
          <w:rFonts w:ascii="Arial" w:hAnsi="Arial" w:cs="Arial"/>
          <w:sz w:val="22"/>
          <w:szCs w:val="22"/>
        </w:rPr>
        <w:tab/>
        <w:t xml:space="preserve">An Authorised Person acting as both a Money Remitter and a Payment Account Provider must calculate its </w:t>
      </w:r>
      <w:r w:rsidR="00EB195F" w:rsidRPr="00E4265B">
        <w:rPr>
          <w:rFonts w:ascii="Arial" w:eastAsiaTheme="majorEastAsia" w:hAnsi="Arial" w:cs="Arial"/>
          <w:bCs/>
          <w:iCs/>
          <w:sz w:val="22"/>
          <w:szCs w:val="22"/>
        </w:rPr>
        <w:t>overall Variable Capital Requirement for the related activities by adding together the monthly payment volumes for those activities and undertaking the calculation in Rule 3.6A.</w:t>
      </w:r>
      <w:r w:rsidR="002C07D4" w:rsidRPr="00E4265B">
        <w:rPr>
          <w:rFonts w:ascii="Arial" w:eastAsiaTheme="majorEastAsia" w:hAnsi="Arial" w:cs="Arial"/>
          <w:bCs/>
          <w:iCs/>
          <w:sz w:val="22"/>
          <w:szCs w:val="22"/>
        </w:rPr>
        <w:t>4</w:t>
      </w:r>
      <w:r w:rsidR="00740FFD" w:rsidRPr="00E4265B">
        <w:rPr>
          <w:rFonts w:ascii="Arial" w:hAnsi="Arial" w:cs="Arial"/>
          <w:sz w:val="22"/>
          <w:szCs w:val="22"/>
        </w:rPr>
        <w:t>.</w:t>
      </w:r>
    </w:p>
    <w:p w14:paraId="786D877F" w14:textId="77777777" w:rsidR="00312EFD" w:rsidRDefault="00312EFD">
      <w:pPr>
        <w:rPr>
          <w:rFonts w:ascii="Arial" w:hAnsi="Arial" w:cs="Arial"/>
          <w:b/>
          <w:sz w:val="22"/>
          <w:szCs w:val="22"/>
        </w:rPr>
      </w:pPr>
      <w:r>
        <w:rPr>
          <w:rFonts w:ascii="Arial" w:hAnsi="Arial" w:cs="Arial"/>
          <w:b/>
          <w:sz w:val="22"/>
          <w:szCs w:val="22"/>
        </w:rPr>
        <w:br w:type="page"/>
      </w:r>
    </w:p>
    <w:p w14:paraId="1C611185" w14:textId="6608BDFD" w:rsidR="00EB195F" w:rsidRPr="00E4265B" w:rsidRDefault="00EB195F" w:rsidP="00EB195F">
      <w:pPr>
        <w:spacing w:before="120" w:after="120" w:line="276" w:lineRule="auto"/>
        <w:ind w:left="709"/>
        <w:rPr>
          <w:rFonts w:ascii="Arial" w:hAnsi="Arial" w:cs="Arial"/>
          <w:b/>
          <w:sz w:val="22"/>
          <w:szCs w:val="22"/>
        </w:rPr>
      </w:pPr>
      <w:r w:rsidRPr="00E4265B">
        <w:rPr>
          <w:rFonts w:ascii="Arial" w:hAnsi="Arial" w:cs="Arial"/>
          <w:b/>
          <w:sz w:val="22"/>
          <w:szCs w:val="22"/>
        </w:rPr>
        <w:lastRenderedPageBreak/>
        <w:t>Guidance</w:t>
      </w:r>
    </w:p>
    <w:p w14:paraId="52E9EAD1" w14:textId="3230697C" w:rsidR="00EB195F" w:rsidRPr="00E4265B" w:rsidRDefault="00EB195F" w:rsidP="00EB195F">
      <w:pPr>
        <w:spacing w:before="120" w:after="120" w:line="276" w:lineRule="auto"/>
        <w:ind w:left="709"/>
        <w:jc w:val="both"/>
        <w:rPr>
          <w:rFonts w:ascii="Arial" w:hAnsi="Arial" w:cs="Arial"/>
          <w:sz w:val="22"/>
          <w:szCs w:val="22"/>
        </w:rPr>
      </w:pPr>
      <w:r w:rsidRPr="00E4265B">
        <w:rPr>
          <w:rFonts w:ascii="Arial" w:hAnsi="Arial" w:cs="Arial"/>
          <w:sz w:val="22"/>
          <w:szCs w:val="22"/>
        </w:rPr>
        <w:t>An example of the calculation of the Variable Capital Requirement follows for an Authorised Person acting at the same time as a Money Remitter and a Payment Account Provider, with monthly payment volumes of $90mn and $120mn respectively for these activities, i.e. a total monthly payment volume of $210mn.</w:t>
      </w:r>
    </w:p>
    <w:tbl>
      <w:tblPr>
        <w:tblStyle w:val="TableGrid"/>
        <w:tblW w:w="8222" w:type="dxa"/>
        <w:tblInd w:w="704" w:type="dxa"/>
        <w:tblLayout w:type="fixed"/>
        <w:tblLook w:val="04A0" w:firstRow="1" w:lastRow="0" w:firstColumn="1" w:lastColumn="0" w:noHBand="0" w:noVBand="1"/>
      </w:tblPr>
      <w:tblGrid>
        <w:gridCol w:w="1559"/>
        <w:gridCol w:w="3119"/>
        <w:gridCol w:w="3544"/>
      </w:tblGrid>
      <w:tr w:rsidR="00EB195F" w:rsidRPr="00E4265B" w14:paraId="2053A3D7" w14:textId="77777777" w:rsidTr="00EA4269">
        <w:trPr>
          <w:trHeight w:val="1218"/>
        </w:trPr>
        <w:tc>
          <w:tcPr>
            <w:tcW w:w="1559" w:type="dxa"/>
            <w:shd w:val="clear" w:color="auto" w:fill="BFBFBF" w:themeFill="background1" w:themeFillShade="BF"/>
            <w:vAlign w:val="center"/>
          </w:tcPr>
          <w:p w14:paraId="68677C5E" w14:textId="77777777" w:rsidR="00EB195F" w:rsidRPr="00E4265B" w:rsidRDefault="00EB195F" w:rsidP="00EA4269">
            <w:pPr>
              <w:spacing w:before="40" w:after="40" w:line="276" w:lineRule="auto"/>
              <w:contextualSpacing/>
              <w:jc w:val="center"/>
              <w:rPr>
                <w:rFonts w:ascii="Arial" w:hAnsi="Arial" w:cs="Arial"/>
                <w:b/>
                <w:sz w:val="22"/>
                <w:szCs w:val="22"/>
                <w:lang w:eastAsia="en-GB"/>
              </w:rPr>
            </w:pPr>
            <w:r w:rsidRPr="00E4265B">
              <w:rPr>
                <w:rFonts w:ascii="Arial" w:hAnsi="Arial" w:cs="Arial"/>
                <w:b/>
                <w:sz w:val="22"/>
                <w:szCs w:val="22"/>
                <w:lang w:eastAsia="en-GB"/>
              </w:rPr>
              <w:t>Tranche</w:t>
            </w:r>
          </w:p>
        </w:tc>
        <w:tc>
          <w:tcPr>
            <w:tcW w:w="3119" w:type="dxa"/>
            <w:shd w:val="clear" w:color="auto" w:fill="BFBFBF" w:themeFill="background1" w:themeFillShade="BF"/>
            <w:vAlign w:val="center"/>
          </w:tcPr>
          <w:p w14:paraId="651B0979" w14:textId="77777777" w:rsidR="00EB195F" w:rsidRPr="00E4265B" w:rsidRDefault="00EB195F" w:rsidP="00EA4269">
            <w:pPr>
              <w:spacing w:before="40" w:after="40" w:line="276" w:lineRule="auto"/>
              <w:contextualSpacing/>
              <w:jc w:val="center"/>
              <w:rPr>
                <w:rFonts w:ascii="Arial" w:hAnsi="Arial" w:cs="Arial"/>
                <w:b/>
                <w:sz w:val="22"/>
                <w:szCs w:val="22"/>
                <w:lang w:eastAsia="en-GB"/>
              </w:rPr>
            </w:pPr>
            <w:r w:rsidRPr="00E4265B">
              <w:rPr>
                <w:rFonts w:ascii="Arial" w:hAnsi="Arial" w:cs="Arial"/>
                <w:b/>
                <w:sz w:val="22"/>
                <w:szCs w:val="22"/>
                <w:lang w:eastAsia="en-GB"/>
              </w:rPr>
              <w:t>Monthly payment volume ($mn)</w:t>
            </w:r>
          </w:p>
        </w:tc>
        <w:tc>
          <w:tcPr>
            <w:tcW w:w="3544" w:type="dxa"/>
            <w:shd w:val="clear" w:color="auto" w:fill="BFBFBF" w:themeFill="background1" w:themeFillShade="BF"/>
            <w:vAlign w:val="center"/>
          </w:tcPr>
          <w:p w14:paraId="5947534D" w14:textId="77777777" w:rsidR="00EB195F" w:rsidRPr="00E4265B" w:rsidRDefault="00EB195F" w:rsidP="00EA4269">
            <w:pPr>
              <w:spacing w:before="40" w:after="40" w:line="276" w:lineRule="auto"/>
              <w:contextualSpacing/>
              <w:jc w:val="center"/>
              <w:rPr>
                <w:rFonts w:ascii="Arial" w:hAnsi="Arial" w:cs="Arial"/>
                <w:sz w:val="22"/>
                <w:szCs w:val="22"/>
                <w:lang w:eastAsia="en-GB"/>
              </w:rPr>
            </w:pPr>
            <w:r w:rsidRPr="00E4265B">
              <w:rPr>
                <w:rFonts w:ascii="Arial" w:hAnsi="Arial" w:cs="Arial"/>
                <w:b/>
                <w:sz w:val="22"/>
                <w:szCs w:val="22"/>
                <w:lang w:eastAsia="en-GB"/>
              </w:rPr>
              <w:t>Money Remitter and</w:t>
            </w:r>
            <w:r w:rsidRPr="00E4265B">
              <w:rPr>
                <w:rFonts w:ascii="Arial" w:hAnsi="Arial" w:cs="Arial"/>
                <w:b/>
                <w:sz w:val="22"/>
                <w:szCs w:val="22"/>
                <w:lang w:eastAsia="en-GB"/>
              </w:rPr>
              <w:br/>
              <w:t>Payment Account Provider</w:t>
            </w:r>
          </w:p>
        </w:tc>
      </w:tr>
      <w:tr w:rsidR="00EB195F" w:rsidRPr="00E4265B" w14:paraId="093B4FC2" w14:textId="77777777" w:rsidTr="00EA4269">
        <w:tc>
          <w:tcPr>
            <w:tcW w:w="1559" w:type="dxa"/>
            <w:tcBorders>
              <w:top w:val="single" w:sz="4" w:space="0" w:color="auto"/>
            </w:tcBorders>
            <w:vAlign w:val="center"/>
          </w:tcPr>
          <w:p w14:paraId="43C1340A" w14:textId="77777777" w:rsidR="00EB195F" w:rsidRPr="00E4265B" w:rsidRDefault="00EB195F" w:rsidP="00EA4269">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0 &lt; … ≤ 10</w:t>
            </w:r>
          </w:p>
        </w:tc>
        <w:tc>
          <w:tcPr>
            <w:tcW w:w="3119" w:type="dxa"/>
            <w:tcBorders>
              <w:top w:val="single" w:sz="4" w:space="0" w:color="auto"/>
            </w:tcBorders>
          </w:tcPr>
          <w:p w14:paraId="65F641AA" w14:textId="77777777" w:rsidR="00EB195F" w:rsidRPr="00E4265B" w:rsidRDefault="00EB195F" w:rsidP="00EA4269">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10</w:t>
            </w:r>
          </w:p>
        </w:tc>
        <w:tc>
          <w:tcPr>
            <w:tcW w:w="3544" w:type="dxa"/>
            <w:tcBorders>
              <w:top w:val="single" w:sz="4" w:space="0" w:color="auto"/>
            </w:tcBorders>
            <w:vAlign w:val="center"/>
          </w:tcPr>
          <w:p w14:paraId="33421563" w14:textId="77777777" w:rsidR="00EB195F" w:rsidRPr="00E4265B" w:rsidRDefault="00EB195F" w:rsidP="00EA4269">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2.5% * 10 = 0.250</w:t>
            </w:r>
          </w:p>
        </w:tc>
      </w:tr>
      <w:tr w:rsidR="00EB195F" w:rsidRPr="00E4265B" w14:paraId="7B3861B5" w14:textId="77777777" w:rsidTr="00EA4269">
        <w:tc>
          <w:tcPr>
            <w:tcW w:w="1559" w:type="dxa"/>
            <w:vAlign w:val="center"/>
          </w:tcPr>
          <w:p w14:paraId="436F8252" w14:textId="77777777" w:rsidR="00EB195F" w:rsidRPr="00E4265B" w:rsidRDefault="00EB195F" w:rsidP="00EA4269">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10 &lt; … ≤ 100</w:t>
            </w:r>
          </w:p>
        </w:tc>
        <w:tc>
          <w:tcPr>
            <w:tcW w:w="3119" w:type="dxa"/>
          </w:tcPr>
          <w:p w14:paraId="27E74A26" w14:textId="77777777" w:rsidR="00EB195F" w:rsidRPr="00E4265B" w:rsidRDefault="00EB195F" w:rsidP="00EA4269">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90</w:t>
            </w:r>
          </w:p>
        </w:tc>
        <w:tc>
          <w:tcPr>
            <w:tcW w:w="3544" w:type="dxa"/>
            <w:vAlign w:val="center"/>
          </w:tcPr>
          <w:p w14:paraId="6F145CC8" w14:textId="77777777" w:rsidR="00EB195F" w:rsidRPr="00E4265B" w:rsidRDefault="00EB195F" w:rsidP="00EA4269">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1% * 90 = 0.900</w:t>
            </w:r>
          </w:p>
        </w:tc>
      </w:tr>
      <w:tr w:rsidR="00EB195F" w:rsidRPr="00E4265B" w14:paraId="6EA28EE6" w14:textId="77777777" w:rsidTr="00EA4269">
        <w:tc>
          <w:tcPr>
            <w:tcW w:w="1559" w:type="dxa"/>
            <w:vAlign w:val="center"/>
          </w:tcPr>
          <w:p w14:paraId="3D09631A" w14:textId="77777777" w:rsidR="00EB195F" w:rsidRPr="00E4265B" w:rsidRDefault="00EB195F" w:rsidP="00EA4269">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100 &lt; … ≤ 250</w:t>
            </w:r>
          </w:p>
        </w:tc>
        <w:tc>
          <w:tcPr>
            <w:tcW w:w="3119" w:type="dxa"/>
          </w:tcPr>
          <w:p w14:paraId="2C2BAA26" w14:textId="77777777" w:rsidR="00EB195F" w:rsidRPr="00E4265B" w:rsidRDefault="00EB195F" w:rsidP="00EA4269">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110</w:t>
            </w:r>
          </w:p>
        </w:tc>
        <w:tc>
          <w:tcPr>
            <w:tcW w:w="3544" w:type="dxa"/>
            <w:vAlign w:val="center"/>
          </w:tcPr>
          <w:p w14:paraId="222B3525" w14:textId="77777777" w:rsidR="00EB195F" w:rsidRPr="00E4265B" w:rsidRDefault="00EB195F" w:rsidP="00EA4269">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0.5% * 110 = 0.550</w:t>
            </w:r>
          </w:p>
        </w:tc>
      </w:tr>
      <w:tr w:rsidR="00EB195F" w:rsidRPr="00E4265B" w14:paraId="598E4001" w14:textId="77777777" w:rsidTr="00EA4269">
        <w:tc>
          <w:tcPr>
            <w:tcW w:w="1559" w:type="dxa"/>
            <w:tcBorders>
              <w:bottom w:val="single" w:sz="4" w:space="0" w:color="auto"/>
            </w:tcBorders>
            <w:vAlign w:val="center"/>
          </w:tcPr>
          <w:p w14:paraId="6D51122D" w14:textId="77777777" w:rsidR="00EB195F" w:rsidRPr="00E4265B" w:rsidRDefault="00EB195F" w:rsidP="00EA4269">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 &gt; 250</w:t>
            </w:r>
          </w:p>
        </w:tc>
        <w:tc>
          <w:tcPr>
            <w:tcW w:w="3119" w:type="dxa"/>
            <w:tcBorders>
              <w:bottom w:val="single" w:sz="4" w:space="0" w:color="auto"/>
            </w:tcBorders>
          </w:tcPr>
          <w:p w14:paraId="5A3335AB" w14:textId="77777777" w:rsidR="00EB195F" w:rsidRPr="00E4265B" w:rsidRDefault="00EB195F" w:rsidP="00EA4269">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w:t>
            </w:r>
          </w:p>
        </w:tc>
        <w:tc>
          <w:tcPr>
            <w:tcW w:w="3544" w:type="dxa"/>
          </w:tcPr>
          <w:p w14:paraId="799EBB8E" w14:textId="77777777" w:rsidR="00EB195F" w:rsidRPr="00E4265B" w:rsidRDefault="00EB195F" w:rsidP="00EA4269">
            <w:pPr>
              <w:spacing w:before="40" w:after="40" w:line="276" w:lineRule="auto"/>
              <w:contextualSpacing/>
              <w:jc w:val="center"/>
              <w:rPr>
                <w:rFonts w:ascii="Arial" w:hAnsi="Arial" w:cs="Arial"/>
                <w:sz w:val="22"/>
                <w:szCs w:val="22"/>
                <w:lang w:eastAsia="en-GB"/>
              </w:rPr>
            </w:pPr>
            <w:r w:rsidRPr="00E4265B">
              <w:rPr>
                <w:rFonts w:ascii="Arial" w:hAnsi="Arial" w:cs="Arial"/>
                <w:sz w:val="22"/>
                <w:szCs w:val="22"/>
                <w:lang w:eastAsia="en-GB"/>
              </w:rPr>
              <w:t>-</w:t>
            </w:r>
          </w:p>
        </w:tc>
      </w:tr>
      <w:tr w:rsidR="00EB195F" w:rsidRPr="00E4265B" w14:paraId="599A6A7A" w14:textId="77777777" w:rsidTr="00EA4269">
        <w:tc>
          <w:tcPr>
            <w:tcW w:w="1559" w:type="dxa"/>
            <w:tcBorders>
              <w:right w:val="nil"/>
            </w:tcBorders>
            <w:shd w:val="clear" w:color="auto" w:fill="D9D9D9" w:themeFill="background1" w:themeFillShade="D9"/>
            <w:vAlign w:val="center"/>
          </w:tcPr>
          <w:p w14:paraId="413A454C" w14:textId="77777777" w:rsidR="00EB195F" w:rsidRPr="00E4265B" w:rsidRDefault="00EB195F" w:rsidP="00EA4269">
            <w:pPr>
              <w:spacing w:before="40" w:after="40" w:line="276" w:lineRule="auto"/>
              <w:contextualSpacing/>
              <w:rPr>
                <w:rFonts w:ascii="Arial" w:hAnsi="Arial" w:cs="Arial"/>
                <w:b/>
                <w:sz w:val="22"/>
                <w:szCs w:val="22"/>
                <w:lang w:eastAsia="en-GB"/>
              </w:rPr>
            </w:pPr>
            <w:r w:rsidRPr="00E4265B">
              <w:rPr>
                <w:rFonts w:ascii="Arial" w:hAnsi="Arial" w:cs="Arial"/>
                <w:b/>
                <w:sz w:val="22"/>
                <w:szCs w:val="22"/>
                <w:lang w:eastAsia="en-GB"/>
              </w:rPr>
              <w:t>Total</w:t>
            </w:r>
          </w:p>
        </w:tc>
        <w:tc>
          <w:tcPr>
            <w:tcW w:w="3119" w:type="dxa"/>
            <w:tcBorders>
              <w:left w:val="nil"/>
            </w:tcBorders>
            <w:shd w:val="clear" w:color="auto" w:fill="D9D9D9" w:themeFill="background1" w:themeFillShade="D9"/>
            <w:vAlign w:val="center"/>
          </w:tcPr>
          <w:p w14:paraId="738153C4" w14:textId="77777777" w:rsidR="00EB195F" w:rsidRPr="00E4265B" w:rsidRDefault="00EB195F" w:rsidP="00EA4269">
            <w:pPr>
              <w:spacing w:before="40" w:after="40" w:line="276" w:lineRule="auto"/>
              <w:contextualSpacing/>
              <w:jc w:val="center"/>
              <w:rPr>
                <w:rFonts w:ascii="Arial" w:hAnsi="Arial" w:cs="Arial"/>
                <w:b/>
                <w:sz w:val="22"/>
                <w:szCs w:val="22"/>
                <w:lang w:eastAsia="en-GB"/>
              </w:rPr>
            </w:pPr>
            <w:r w:rsidRPr="00E4265B">
              <w:rPr>
                <w:rFonts w:ascii="Arial" w:hAnsi="Arial" w:cs="Arial"/>
                <w:b/>
                <w:sz w:val="22"/>
                <w:szCs w:val="22"/>
                <w:lang w:eastAsia="en-GB"/>
              </w:rPr>
              <w:t>210</w:t>
            </w:r>
          </w:p>
        </w:tc>
        <w:tc>
          <w:tcPr>
            <w:tcW w:w="3544" w:type="dxa"/>
            <w:shd w:val="clear" w:color="auto" w:fill="D9D9D9" w:themeFill="background1" w:themeFillShade="D9"/>
            <w:vAlign w:val="center"/>
          </w:tcPr>
          <w:p w14:paraId="43777A44" w14:textId="77777777" w:rsidR="00EB195F" w:rsidRPr="00E4265B" w:rsidRDefault="00EB195F" w:rsidP="00EA4269">
            <w:pPr>
              <w:spacing w:before="40" w:after="40" w:line="276" w:lineRule="auto"/>
              <w:contextualSpacing/>
              <w:jc w:val="center"/>
              <w:rPr>
                <w:rFonts w:ascii="Arial" w:hAnsi="Arial" w:cs="Arial"/>
                <w:sz w:val="22"/>
                <w:szCs w:val="22"/>
                <w:lang w:eastAsia="en-GB"/>
              </w:rPr>
            </w:pPr>
          </w:p>
        </w:tc>
      </w:tr>
      <w:tr w:rsidR="00EB195F" w:rsidRPr="00E4265B" w14:paraId="5E80E807" w14:textId="77777777" w:rsidTr="00EA4269">
        <w:tc>
          <w:tcPr>
            <w:tcW w:w="4678" w:type="dxa"/>
            <w:gridSpan w:val="2"/>
            <w:shd w:val="clear" w:color="auto" w:fill="D9D9D9" w:themeFill="background1" w:themeFillShade="D9"/>
            <w:vAlign w:val="center"/>
          </w:tcPr>
          <w:p w14:paraId="13F3BA1E" w14:textId="02C9D172" w:rsidR="00EB195F" w:rsidRPr="00E4265B" w:rsidRDefault="00EB195F" w:rsidP="00EA4269">
            <w:pPr>
              <w:spacing w:before="40" w:after="40" w:line="276" w:lineRule="auto"/>
              <w:contextualSpacing/>
              <w:rPr>
                <w:rFonts w:ascii="Arial" w:hAnsi="Arial" w:cs="Arial"/>
                <w:b/>
                <w:sz w:val="22"/>
                <w:szCs w:val="22"/>
                <w:lang w:eastAsia="en-GB"/>
              </w:rPr>
            </w:pPr>
            <w:r w:rsidRPr="00E4265B">
              <w:rPr>
                <w:rFonts w:ascii="Arial" w:hAnsi="Arial" w:cs="Arial"/>
                <w:b/>
                <w:sz w:val="22"/>
                <w:szCs w:val="22"/>
                <w:lang w:eastAsia="en-GB"/>
              </w:rPr>
              <w:t>Variable Capital Requirement ($mn)</w:t>
            </w:r>
          </w:p>
        </w:tc>
        <w:tc>
          <w:tcPr>
            <w:tcW w:w="3544" w:type="dxa"/>
            <w:shd w:val="clear" w:color="auto" w:fill="D9D9D9" w:themeFill="background1" w:themeFillShade="D9"/>
            <w:vAlign w:val="center"/>
          </w:tcPr>
          <w:p w14:paraId="0837C4AD" w14:textId="77777777" w:rsidR="00EB195F" w:rsidRPr="00E4265B" w:rsidRDefault="00EB195F" w:rsidP="00EA4269">
            <w:pPr>
              <w:spacing w:before="40" w:after="40" w:line="276" w:lineRule="auto"/>
              <w:contextualSpacing/>
              <w:jc w:val="center"/>
              <w:rPr>
                <w:rFonts w:ascii="Arial" w:hAnsi="Arial" w:cs="Arial"/>
                <w:b/>
                <w:sz w:val="22"/>
                <w:szCs w:val="22"/>
                <w:lang w:eastAsia="en-GB"/>
              </w:rPr>
            </w:pPr>
            <w:r w:rsidRPr="00E4265B">
              <w:rPr>
                <w:rFonts w:ascii="Arial" w:hAnsi="Arial" w:cs="Arial"/>
                <w:b/>
                <w:sz w:val="22"/>
                <w:szCs w:val="22"/>
                <w:lang w:eastAsia="en-GB"/>
              </w:rPr>
              <w:t>1.700</w:t>
            </w:r>
          </w:p>
        </w:tc>
      </w:tr>
    </w:tbl>
    <w:p w14:paraId="3E5E6FB5" w14:textId="77777777" w:rsidR="00EB195F" w:rsidRPr="00E4265B" w:rsidRDefault="00EB195F" w:rsidP="00A27FCD">
      <w:pPr>
        <w:spacing w:before="120" w:after="120" w:line="276" w:lineRule="auto"/>
        <w:ind w:left="993" w:hanging="993"/>
        <w:jc w:val="both"/>
        <w:rPr>
          <w:rFonts w:ascii="Arial" w:hAnsi="Arial" w:cs="Arial"/>
          <w:b/>
          <w:sz w:val="22"/>
          <w:szCs w:val="22"/>
        </w:rPr>
      </w:pPr>
    </w:p>
    <w:p w14:paraId="76E6833C" w14:textId="7C2FDAA8" w:rsidR="00740FFD" w:rsidRPr="00E4265B" w:rsidRDefault="00740FFD" w:rsidP="002C07D4">
      <w:pPr>
        <w:spacing w:before="120" w:after="120" w:line="276" w:lineRule="auto"/>
        <w:ind w:left="993" w:hanging="993"/>
        <w:jc w:val="both"/>
        <w:rPr>
          <w:rFonts w:ascii="Arial" w:hAnsi="Arial" w:cs="Arial"/>
          <w:sz w:val="22"/>
          <w:szCs w:val="22"/>
        </w:rPr>
      </w:pPr>
      <w:r w:rsidRPr="00E4265B">
        <w:rPr>
          <w:rFonts w:ascii="Arial" w:hAnsi="Arial" w:cs="Arial"/>
          <w:b/>
          <w:sz w:val="22"/>
          <w:szCs w:val="22"/>
        </w:rPr>
        <w:t>3.6A.</w:t>
      </w:r>
      <w:r w:rsidR="002C07D4" w:rsidRPr="00E4265B">
        <w:rPr>
          <w:rFonts w:ascii="Arial" w:hAnsi="Arial" w:cs="Arial"/>
          <w:b/>
          <w:sz w:val="22"/>
          <w:szCs w:val="22"/>
        </w:rPr>
        <w:t>8</w:t>
      </w:r>
      <w:r w:rsidRPr="00E4265B">
        <w:rPr>
          <w:rFonts w:ascii="Arial" w:hAnsi="Arial" w:cs="Arial"/>
          <w:b/>
          <w:sz w:val="22"/>
          <w:szCs w:val="22"/>
        </w:rPr>
        <w:tab/>
      </w:r>
      <w:r w:rsidRPr="00E4265B">
        <w:rPr>
          <w:rFonts w:ascii="Arial" w:hAnsi="Arial" w:cs="Arial"/>
          <w:sz w:val="22"/>
          <w:szCs w:val="22"/>
        </w:rPr>
        <w:t>An Authorised Person undertaking more than one of the activities under Providing Money Services must calculate its Capital Requirement as the highest of, where applicable;</w:t>
      </w:r>
    </w:p>
    <w:p w14:paraId="04458C03" w14:textId="4EEA3C2C" w:rsidR="00740FFD" w:rsidRPr="00E4265B" w:rsidRDefault="00740FFD" w:rsidP="00A27FCD">
      <w:pPr>
        <w:spacing w:before="120" w:after="120" w:line="276" w:lineRule="auto"/>
        <w:ind w:left="1560" w:hanging="567"/>
        <w:jc w:val="both"/>
        <w:rPr>
          <w:rFonts w:ascii="Arial" w:hAnsi="Arial" w:cs="Arial"/>
          <w:sz w:val="22"/>
          <w:szCs w:val="22"/>
        </w:rPr>
      </w:pPr>
      <w:r w:rsidRPr="00E4265B">
        <w:rPr>
          <w:rFonts w:ascii="Arial" w:hAnsi="Arial" w:cs="Arial"/>
          <w:sz w:val="22"/>
          <w:szCs w:val="22"/>
        </w:rPr>
        <w:t>(i)</w:t>
      </w:r>
      <w:r w:rsidRPr="00E4265B">
        <w:rPr>
          <w:rFonts w:ascii="Arial" w:hAnsi="Arial" w:cs="Arial"/>
          <w:sz w:val="22"/>
          <w:szCs w:val="22"/>
        </w:rPr>
        <w:tab/>
        <w:t>the Base Capital Requirement as set out in Section 3.3;</w:t>
      </w:r>
    </w:p>
    <w:p w14:paraId="7B190243" w14:textId="77777777" w:rsidR="00740FFD" w:rsidRPr="00E4265B" w:rsidRDefault="00740FFD" w:rsidP="00A27FCD">
      <w:pPr>
        <w:spacing w:before="120" w:after="120" w:line="276" w:lineRule="auto"/>
        <w:ind w:left="1560" w:hanging="567"/>
        <w:jc w:val="both"/>
        <w:rPr>
          <w:rFonts w:ascii="Arial" w:hAnsi="Arial" w:cs="Arial"/>
          <w:sz w:val="22"/>
          <w:szCs w:val="22"/>
        </w:rPr>
      </w:pPr>
      <w:r w:rsidRPr="00E4265B">
        <w:rPr>
          <w:rFonts w:ascii="Arial" w:hAnsi="Arial" w:cs="Arial"/>
          <w:sz w:val="22"/>
          <w:szCs w:val="22"/>
        </w:rPr>
        <w:t>(ii)</w:t>
      </w:r>
      <w:r w:rsidRPr="00E4265B">
        <w:rPr>
          <w:rFonts w:ascii="Arial" w:hAnsi="Arial" w:cs="Arial"/>
          <w:sz w:val="22"/>
          <w:szCs w:val="22"/>
        </w:rPr>
        <w:tab/>
        <w:t>the Expenditure Based Capital Minimum calculated in accordance with Rule 3.7.1; and</w:t>
      </w:r>
    </w:p>
    <w:p w14:paraId="6E4C1858" w14:textId="6770FD71" w:rsidR="00740FFD" w:rsidRPr="00E4265B" w:rsidRDefault="00740FFD" w:rsidP="00A27FCD">
      <w:pPr>
        <w:pStyle w:val="Heading5"/>
        <w:numPr>
          <w:ilvl w:val="0"/>
          <w:numId w:val="0"/>
        </w:numPr>
        <w:ind w:left="1560" w:hanging="567"/>
        <w:rPr>
          <w:rFonts w:ascii="Arial" w:hAnsi="Arial" w:cs="Arial"/>
          <w:sz w:val="22"/>
          <w:szCs w:val="22"/>
        </w:rPr>
      </w:pPr>
      <w:r w:rsidRPr="00E4265B">
        <w:rPr>
          <w:rFonts w:ascii="Arial" w:hAnsi="Arial" w:cs="Arial"/>
          <w:sz w:val="22"/>
          <w:szCs w:val="22"/>
        </w:rPr>
        <w:t>(iii)</w:t>
      </w:r>
      <w:r w:rsidRPr="00E4265B">
        <w:rPr>
          <w:rFonts w:ascii="Arial" w:hAnsi="Arial" w:cs="Arial"/>
          <w:sz w:val="22"/>
          <w:szCs w:val="22"/>
        </w:rPr>
        <w:tab/>
        <w:t>the Total Variable Capital Requirement</w:t>
      </w:r>
      <w:r w:rsidR="00BB443A" w:rsidRPr="00E4265B">
        <w:rPr>
          <w:rFonts w:ascii="Arial" w:hAnsi="Arial" w:cs="Arial"/>
          <w:sz w:val="22"/>
          <w:szCs w:val="22"/>
        </w:rPr>
        <w:t>.</w:t>
      </w:r>
    </w:p>
    <w:p w14:paraId="0ECE51B4" w14:textId="77777777" w:rsidR="002C07D4" w:rsidRPr="00E4265B" w:rsidRDefault="002C07D4" w:rsidP="002C07D4">
      <w:pPr>
        <w:spacing w:before="120" w:after="120" w:line="276" w:lineRule="auto"/>
        <w:ind w:left="993"/>
        <w:rPr>
          <w:rFonts w:ascii="Arial" w:hAnsi="Arial" w:cs="Arial"/>
          <w:b/>
          <w:sz w:val="22"/>
          <w:szCs w:val="22"/>
        </w:rPr>
      </w:pPr>
      <w:bookmarkStart w:id="171" w:name="_Toc33622379"/>
      <w:r w:rsidRPr="00E4265B">
        <w:rPr>
          <w:rFonts w:ascii="Arial" w:hAnsi="Arial" w:cs="Arial"/>
          <w:b/>
          <w:sz w:val="22"/>
          <w:szCs w:val="22"/>
        </w:rPr>
        <w:t>Guidance</w:t>
      </w:r>
    </w:p>
    <w:p w14:paraId="1C212CD3" w14:textId="77777777" w:rsidR="002C07D4" w:rsidRPr="00E4265B" w:rsidRDefault="002C07D4" w:rsidP="002C07D4">
      <w:pPr>
        <w:spacing w:before="120" w:after="120" w:line="276" w:lineRule="auto"/>
        <w:ind w:left="993"/>
        <w:jc w:val="both"/>
        <w:rPr>
          <w:rFonts w:ascii="Arial" w:hAnsi="Arial" w:cs="Arial"/>
          <w:sz w:val="22"/>
          <w:szCs w:val="22"/>
        </w:rPr>
      </w:pPr>
      <w:r w:rsidRPr="00E4265B">
        <w:rPr>
          <w:rFonts w:ascii="Arial" w:hAnsi="Arial" w:cs="Arial"/>
          <w:sz w:val="22"/>
          <w:szCs w:val="22"/>
        </w:rPr>
        <w:t xml:space="preserve">The Total Variable Capital Requirement for an Authorised Person is the aggregate of the Variable Capital Requirements calculated in accordance with Rules </w:t>
      </w:r>
      <w:r w:rsidRPr="00E4265B">
        <w:rPr>
          <w:rFonts w:ascii="Arial" w:eastAsiaTheme="majorEastAsia" w:hAnsi="Arial" w:cs="Arial"/>
          <w:bCs/>
          <w:iCs/>
          <w:sz w:val="22"/>
          <w:szCs w:val="22"/>
        </w:rPr>
        <w:t>3.6A.2, 3.6A.4, 3.6A.6 and 3.6A.7 as appropriate</w:t>
      </w:r>
      <w:r w:rsidRPr="00E4265B">
        <w:rPr>
          <w:rFonts w:ascii="Arial" w:hAnsi="Arial" w:cs="Arial"/>
          <w:sz w:val="22"/>
          <w:szCs w:val="22"/>
        </w:rPr>
        <w:t>.</w:t>
      </w:r>
    </w:p>
    <w:p w14:paraId="50F59793" w14:textId="77777777" w:rsidR="00954714" w:rsidRPr="00E4265B" w:rsidRDefault="00954714" w:rsidP="00246497">
      <w:pPr>
        <w:pStyle w:val="Heading3"/>
        <w:rPr>
          <w:rFonts w:ascii="Arial" w:hAnsi="Arial" w:cs="Arial"/>
          <w:sz w:val="22"/>
          <w:szCs w:val="22"/>
        </w:rPr>
      </w:pPr>
      <w:r w:rsidRPr="00E4265B">
        <w:rPr>
          <w:rFonts w:ascii="Arial" w:hAnsi="Arial" w:cs="Arial"/>
          <w:sz w:val="22"/>
          <w:szCs w:val="22"/>
        </w:rPr>
        <w:t>Expenditure Based Capital Minimum</w:t>
      </w:r>
      <w:bookmarkEnd w:id="171"/>
    </w:p>
    <w:p w14:paraId="78C4C35B" w14:textId="127C65BD"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00D453B7" w:rsidRPr="00E4265B">
        <w:rPr>
          <w:rFonts w:ascii="Arial" w:hAnsi="Arial" w:cs="Arial"/>
          <w:sz w:val="22"/>
          <w:szCs w:val="22"/>
        </w:rPr>
        <w:t>, other than one that has a Financial Services Permission to carry out the Regulated Activity of Providing Third Party Services,</w:t>
      </w:r>
      <w:r w:rsidRPr="00E4265B">
        <w:rPr>
          <w:rFonts w:ascii="Arial" w:hAnsi="Arial" w:cs="Arial"/>
          <w:sz w:val="22"/>
          <w:szCs w:val="22"/>
        </w:rPr>
        <w:t xml:space="preserve"> must calculate its Expenditure Based Capital Minimum as:</w:t>
      </w:r>
    </w:p>
    <w:p w14:paraId="2F877BE9" w14:textId="655922A0"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in the case of an </w:t>
      </w:r>
      <w:r w:rsidR="000D1A90" w:rsidRPr="00E4265B">
        <w:rPr>
          <w:rFonts w:ascii="Arial" w:hAnsi="Arial" w:cs="Arial"/>
          <w:sz w:val="22"/>
          <w:szCs w:val="22"/>
        </w:rPr>
        <w:t>Authorised Person</w:t>
      </w:r>
      <w:r w:rsidRPr="00E4265B">
        <w:rPr>
          <w:rFonts w:ascii="Arial" w:hAnsi="Arial" w:cs="Arial"/>
          <w:sz w:val="22"/>
          <w:szCs w:val="22"/>
        </w:rPr>
        <w:t xml:space="preserve"> which holds Client Assets or </w:t>
      </w:r>
      <w:r w:rsidR="00740FFD" w:rsidRPr="00E4265B">
        <w:rPr>
          <w:rFonts w:ascii="Arial" w:hAnsi="Arial" w:cs="Arial"/>
          <w:sz w:val="22"/>
          <w:szCs w:val="22"/>
        </w:rPr>
        <w:t xml:space="preserve">Relevant Money or </w:t>
      </w:r>
      <w:r w:rsidRPr="00E4265B">
        <w:rPr>
          <w:rFonts w:ascii="Arial" w:hAnsi="Arial" w:cs="Arial"/>
          <w:sz w:val="22"/>
          <w:szCs w:val="22"/>
        </w:rPr>
        <w:t>Insurance Money, 18/52</w:t>
      </w:r>
      <w:r w:rsidR="00954714" w:rsidRPr="00E4265B">
        <w:rPr>
          <w:rFonts w:ascii="Arial" w:hAnsi="Arial" w:cs="Arial"/>
          <w:sz w:val="22"/>
          <w:szCs w:val="22"/>
        </w:rPr>
        <w:t>nds</w:t>
      </w:r>
      <w:r w:rsidRPr="00E4265B">
        <w:rPr>
          <w:rFonts w:ascii="Arial" w:hAnsi="Arial" w:cs="Arial"/>
          <w:sz w:val="22"/>
          <w:szCs w:val="22"/>
        </w:rPr>
        <w:t>;</w:t>
      </w:r>
    </w:p>
    <w:p w14:paraId="7BA96B3D" w14:textId="3F960DCE" w:rsidR="00954714" w:rsidRPr="00E4265B" w:rsidRDefault="00954714" w:rsidP="00363CED">
      <w:pPr>
        <w:pStyle w:val="Heading5"/>
        <w:rPr>
          <w:rFonts w:ascii="Arial" w:hAnsi="Arial" w:cs="Arial"/>
          <w:sz w:val="22"/>
          <w:szCs w:val="22"/>
        </w:rPr>
      </w:pPr>
      <w:r w:rsidRPr="00E4265B">
        <w:rPr>
          <w:rFonts w:ascii="Arial" w:hAnsi="Arial" w:cs="Arial"/>
          <w:sz w:val="22"/>
          <w:szCs w:val="22"/>
        </w:rPr>
        <w:t>in the case of an Authorised Person in Category 3B or 3C wh</w:t>
      </w:r>
      <w:r w:rsidR="00363CED" w:rsidRPr="00E4265B">
        <w:rPr>
          <w:rFonts w:ascii="Arial" w:hAnsi="Arial" w:cs="Arial"/>
          <w:sz w:val="22"/>
          <w:szCs w:val="22"/>
        </w:rPr>
        <w:t>ich</w:t>
      </w:r>
      <w:r w:rsidRPr="00E4265B">
        <w:rPr>
          <w:rFonts w:ascii="Arial" w:hAnsi="Arial" w:cs="Arial"/>
          <w:sz w:val="22"/>
          <w:szCs w:val="22"/>
        </w:rPr>
        <w:t xml:space="preserve"> does not hold Client Assets or </w:t>
      </w:r>
      <w:r w:rsidR="00740FFD" w:rsidRPr="00E4265B">
        <w:rPr>
          <w:rFonts w:ascii="Arial" w:hAnsi="Arial" w:cs="Arial"/>
          <w:sz w:val="22"/>
          <w:szCs w:val="22"/>
        </w:rPr>
        <w:t>Relevant Money or</w:t>
      </w:r>
      <w:r w:rsidR="00B17DCF" w:rsidRPr="00E4265B">
        <w:rPr>
          <w:rFonts w:ascii="Arial" w:hAnsi="Arial" w:cs="Arial"/>
          <w:sz w:val="22"/>
          <w:szCs w:val="22"/>
        </w:rPr>
        <w:t xml:space="preserve"> </w:t>
      </w:r>
      <w:r w:rsidRPr="00E4265B">
        <w:rPr>
          <w:rFonts w:ascii="Arial" w:hAnsi="Arial" w:cs="Arial"/>
          <w:sz w:val="22"/>
          <w:szCs w:val="22"/>
        </w:rPr>
        <w:t>Insurance Money, 13/52nds; or</w:t>
      </w:r>
    </w:p>
    <w:p w14:paraId="2D83FBF2" w14:textId="587FFD08" w:rsidR="00E22FF2" w:rsidRPr="00E4265B" w:rsidRDefault="00954714" w:rsidP="00363CED">
      <w:pPr>
        <w:pStyle w:val="Heading5"/>
        <w:rPr>
          <w:rFonts w:ascii="Arial" w:hAnsi="Arial" w:cs="Arial"/>
          <w:sz w:val="22"/>
          <w:szCs w:val="22"/>
        </w:rPr>
      </w:pPr>
      <w:r w:rsidRPr="00E4265B">
        <w:rPr>
          <w:rFonts w:ascii="Arial" w:hAnsi="Arial" w:cs="Arial"/>
          <w:sz w:val="22"/>
          <w:szCs w:val="22"/>
        </w:rPr>
        <w:t>in the case of an Authorised Person in Category 4, wh</w:t>
      </w:r>
      <w:r w:rsidR="00363CED" w:rsidRPr="00E4265B">
        <w:rPr>
          <w:rFonts w:ascii="Arial" w:hAnsi="Arial" w:cs="Arial"/>
          <w:sz w:val="22"/>
          <w:szCs w:val="22"/>
        </w:rPr>
        <w:t>ich</w:t>
      </w:r>
      <w:r w:rsidRPr="00E4265B">
        <w:rPr>
          <w:rFonts w:ascii="Arial" w:hAnsi="Arial" w:cs="Arial"/>
          <w:sz w:val="22"/>
          <w:szCs w:val="22"/>
        </w:rPr>
        <w:t xml:space="preserve"> does not hold Insurance Money, 6/52nds;</w:t>
      </w:r>
    </w:p>
    <w:p w14:paraId="3B654543" w14:textId="3798B6AB" w:rsidR="00ED388A" w:rsidRPr="00E4265B" w:rsidRDefault="00ED388A" w:rsidP="00ED388A">
      <w:pPr>
        <w:pStyle w:val="UK12Block05"/>
        <w:rPr>
          <w:rFonts w:ascii="Arial" w:hAnsi="Arial" w:cs="Arial"/>
          <w:sz w:val="22"/>
          <w:szCs w:val="22"/>
          <w:lang w:val="en-GB"/>
        </w:rPr>
      </w:pPr>
      <w:r w:rsidRPr="00E4265B">
        <w:rPr>
          <w:rFonts w:ascii="Arial" w:hAnsi="Arial" w:cs="Arial"/>
          <w:sz w:val="22"/>
          <w:szCs w:val="22"/>
          <w:lang w:val="en-GB"/>
        </w:rPr>
        <w:t>of the Annual Audited Expenditure, calculated in accordance with Rule 3.7.2.</w:t>
      </w:r>
    </w:p>
    <w:p w14:paraId="353EB2C8" w14:textId="77777777" w:rsidR="00740FFD" w:rsidRPr="00E4265B" w:rsidRDefault="00740FFD" w:rsidP="00FB65C8">
      <w:pPr>
        <w:keepNext/>
        <w:spacing w:after="240" w:line="246" w:lineRule="atLeast"/>
        <w:ind w:left="993"/>
        <w:rPr>
          <w:rFonts w:ascii="Arial" w:hAnsi="Arial" w:cs="Arial"/>
          <w:b/>
          <w:bCs/>
          <w:sz w:val="22"/>
          <w:szCs w:val="22"/>
        </w:rPr>
      </w:pPr>
      <w:r w:rsidRPr="00E4265B">
        <w:rPr>
          <w:rFonts w:ascii="Arial" w:hAnsi="Arial" w:cs="Arial"/>
          <w:b/>
          <w:bCs/>
          <w:sz w:val="22"/>
          <w:szCs w:val="22"/>
        </w:rPr>
        <w:lastRenderedPageBreak/>
        <w:t>Guidance</w:t>
      </w:r>
    </w:p>
    <w:p w14:paraId="415D7886" w14:textId="34EC4650" w:rsidR="00740FFD" w:rsidRPr="00E4265B" w:rsidRDefault="00740FFD" w:rsidP="00C07D07">
      <w:pPr>
        <w:pStyle w:val="ListParagraph"/>
        <w:numPr>
          <w:ilvl w:val="0"/>
          <w:numId w:val="101"/>
        </w:numPr>
        <w:spacing w:after="240" w:line="246" w:lineRule="atLeast"/>
        <w:ind w:left="1701" w:hanging="708"/>
        <w:jc w:val="both"/>
        <w:rPr>
          <w:rFonts w:ascii="Arial" w:eastAsia="Times New Roman" w:hAnsi="Arial" w:cs="Arial"/>
          <w:sz w:val="22"/>
          <w:szCs w:val="22"/>
        </w:rPr>
      </w:pPr>
      <w:r w:rsidRPr="00E4265B">
        <w:rPr>
          <w:rFonts w:ascii="Arial" w:hAnsi="Arial" w:cs="Arial"/>
          <w:sz w:val="22"/>
          <w:szCs w:val="22"/>
        </w:rPr>
        <w:t>An Authorised Person is considered to be holding Relevant Money and subject to (a) where it offers Payment Services alongside currency exchange or Money Remittance.</w:t>
      </w:r>
    </w:p>
    <w:p w14:paraId="675241D4" w14:textId="77777777" w:rsidR="00740FFD" w:rsidRPr="00E4265B" w:rsidRDefault="00740FFD" w:rsidP="00C07D07">
      <w:pPr>
        <w:pStyle w:val="ListParagraph"/>
        <w:spacing w:after="240" w:line="246" w:lineRule="atLeast"/>
        <w:ind w:left="1701" w:hanging="708"/>
        <w:jc w:val="both"/>
        <w:rPr>
          <w:rFonts w:ascii="Arial" w:eastAsia="Times New Roman" w:hAnsi="Arial" w:cs="Arial"/>
          <w:sz w:val="22"/>
          <w:szCs w:val="22"/>
        </w:rPr>
      </w:pPr>
    </w:p>
    <w:p w14:paraId="78A4A020" w14:textId="2D935AE8" w:rsidR="00740FFD" w:rsidRPr="00E4265B" w:rsidRDefault="00740FFD" w:rsidP="00C07D07">
      <w:pPr>
        <w:pStyle w:val="ListParagraph"/>
        <w:numPr>
          <w:ilvl w:val="0"/>
          <w:numId w:val="101"/>
        </w:numPr>
        <w:spacing w:after="240" w:line="246" w:lineRule="atLeast"/>
        <w:ind w:left="1701" w:hanging="708"/>
        <w:jc w:val="both"/>
        <w:rPr>
          <w:rFonts w:ascii="Arial" w:eastAsia="Times New Roman" w:hAnsi="Arial" w:cs="Arial"/>
          <w:sz w:val="22"/>
          <w:szCs w:val="22"/>
        </w:rPr>
      </w:pPr>
      <w:r w:rsidRPr="00E4265B">
        <w:rPr>
          <w:rFonts w:ascii="Arial" w:hAnsi="Arial" w:cs="Arial"/>
          <w:sz w:val="22"/>
          <w:szCs w:val="22"/>
        </w:rPr>
        <w:t>An Authorised Person undertaking only one or both of currency exchange and Money Remittance to its customers, but not Payment Services, is considered not to hold Client Assets, in the form of Client Money, or Relevant Money and (b) applies.</w:t>
      </w:r>
    </w:p>
    <w:p w14:paraId="371EE6B8"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Annual Audited Expenditure</w:t>
      </w:r>
    </w:p>
    <w:p w14:paraId="3785F058" w14:textId="77777777" w:rsidR="00E22FF2" w:rsidRPr="00E4265B" w:rsidRDefault="00E22FF2" w:rsidP="009330F5">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Subject to Rule 3.7.</w:t>
      </w:r>
      <w:r w:rsidR="00954714" w:rsidRPr="00E4265B">
        <w:rPr>
          <w:rFonts w:ascii="Arial" w:hAnsi="Arial" w:cs="Arial"/>
          <w:sz w:val="22"/>
          <w:szCs w:val="22"/>
        </w:rPr>
        <w:t>3</w:t>
      </w:r>
      <w:r w:rsidRPr="00E4265B">
        <w:rPr>
          <w:rFonts w:ascii="Arial" w:hAnsi="Arial" w:cs="Arial"/>
          <w:sz w:val="22"/>
          <w:szCs w:val="22"/>
        </w:rPr>
        <w:t xml:space="preserve">, Annual Audited Expenditure constitutes all expenses and losses that arise in the </w:t>
      </w:r>
      <w:r w:rsidR="000D1A90" w:rsidRPr="00E4265B">
        <w:rPr>
          <w:rFonts w:ascii="Arial" w:hAnsi="Arial" w:cs="Arial"/>
          <w:sz w:val="22"/>
          <w:szCs w:val="22"/>
        </w:rPr>
        <w:t>Authorised Person</w:t>
      </w:r>
      <w:r w:rsidRPr="00E4265B">
        <w:rPr>
          <w:rFonts w:ascii="Arial" w:hAnsi="Arial" w:cs="Arial"/>
          <w:sz w:val="22"/>
          <w:szCs w:val="22"/>
        </w:rPr>
        <w:t xml:space="preserve">'s normal course of business in a </w:t>
      </w:r>
      <w:r w:rsidR="00954714" w:rsidRPr="00E4265B">
        <w:rPr>
          <w:rFonts w:ascii="Arial" w:hAnsi="Arial" w:cs="Arial"/>
          <w:sz w:val="22"/>
          <w:szCs w:val="22"/>
        </w:rPr>
        <w:t>twelve-</w:t>
      </w:r>
      <w:r w:rsidRPr="00E4265B">
        <w:rPr>
          <w:rFonts w:ascii="Arial" w:hAnsi="Arial" w:cs="Arial"/>
          <w:sz w:val="22"/>
          <w:szCs w:val="22"/>
        </w:rPr>
        <w:t xml:space="preserve">month accounting period (excluding exceptional items) which are recorded in the </w:t>
      </w:r>
      <w:r w:rsidR="000D1A90" w:rsidRPr="00E4265B">
        <w:rPr>
          <w:rFonts w:ascii="Arial" w:hAnsi="Arial" w:cs="Arial"/>
          <w:sz w:val="22"/>
          <w:szCs w:val="22"/>
        </w:rPr>
        <w:t>Authorised Person</w:t>
      </w:r>
      <w:r w:rsidRPr="00E4265B">
        <w:rPr>
          <w:rFonts w:ascii="Arial" w:hAnsi="Arial" w:cs="Arial"/>
          <w:sz w:val="22"/>
          <w:szCs w:val="22"/>
        </w:rPr>
        <w:t xml:space="preserve">'s audited profit and loss account, less the following items (if they are included in the </w:t>
      </w:r>
      <w:r w:rsidR="000D1A90" w:rsidRPr="00E4265B">
        <w:rPr>
          <w:rFonts w:ascii="Arial" w:hAnsi="Arial" w:cs="Arial"/>
          <w:sz w:val="22"/>
          <w:szCs w:val="22"/>
        </w:rPr>
        <w:t>Authorised Person</w:t>
      </w:r>
      <w:r w:rsidRPr="00E4265B">
        <w:rPr>
          <w:rFonts w:ascii="Arial" w:hAnsi="Arial" w:cs="Arial"/>
          <w:sz w:val="22"/>
          <w:szCs w:val="22"/>
        </w:rPr>
        <w:t>'s audited profit and loss account):</w:t>
      </w:r>
    </w:p>
    <w:p w14:paraId="28622F18"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staff bonuses, except to the extent that they are non</w:t>
      </w:r>
      <w:r w:rsidRPr="00E4265B">
        <w:rPr>
          <w:rFonts w:ascii="Arial" w:hAnsi="Arial" w:cs="Arial"/>
          <w:sz w:val="22"/>
          <w:szCs w:val="22"/>
          <w:lang w:val="en-GB"/>
        </w:rPr>
        <w:noBreakHyphen/>
        <w:t>discretionary;</w:t>
      </w:r>
    </w:p>
    <w:p w14:paraId="59B57E5D"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r>
      <w:r w:rsidR="00954714" w:rsidRPr="00E4265B">
        <w:rPr>
          <w:rFonts w:ascii="Arial" w:hAnsi="Arial" w:cs="Arial"/>
          <w:sz w:val="22"/>
          <w:szCs w:val="22"/>
          <w:lang w:val="en-GB"/>
        </w:rPr>
        <w:t xml:space="preserve">the shares of </w:t>
      </w:r>
      <w:r w:rsidR="005F3B3B" w:rsidRPr="00E4265B">
        <w:rPr>
          <w:rFonts w:ascii="Arial" w:hAnsi="Arial" w:cs="Arial"/>
          <w:sz w:val="22"/>
          <w:szCs w:val="22"/>
          <w:lang w:val="en-GB"/>
        </w:rPr>
        <w:t>Employee</w:t>
      </w:r>
      <w:r w:rsidRPr="00E4265B">
        <w:rPr>
          <w:rFonts w:ascii="Arial" w:hAnsi="Arial" w:cs="Arial"/>
          <w:sz w:val="22"/>
          <w:szCs w:val="22"/>
          <w:lang w:val="en-GB"/>
        </w:rPr>
        <w:t xml:space="preserve">s and </w:t>
      </w:r>
      <w:r w:rsidR="005F3B3B" w:rsidRPr="00E4265B">
        <w:rPr>
          <w:rFonts w:ascii="Arial" w:hAnsi="Arial" w:cs="Arial"/>
          <w:sz w:val="22"/>
          <w:szCs w:val="22"/>
          <w:lang w:val="en-GB"/>
        </w:rPr>
        <w:t>D</w:t>
      </w:r>
      <w:r w:rsidRPr="00E4265B">
        <w:rPr>
          <w:rFonts w:ascii="Arial" w:hAnsi="Arial" w:cs="Arial"/>
          <w:sz w:val="22"/>
          <w:szCs w:val="22"/>
          <w:lang w:val="en-GB"/>
        </w:rPr>
        <w:t xml:space="preserve">irectors in profits, including </w:t>
      </w:r>
      <w:r w:rsidR="00202EF6" w:rsidRPr="00E4265B">
        <w:rPr>
          <w:rFonts w:ascii="Arial" w:hAnsi="Arial" w:cs="Arial"/>
          <w:sz w:val="22"/>
          <w:szCs w:val="22"/>
          <w:lang w:val="en-GB"/>
        </w:rPr>
        <w:t>Share</w:t>
      </w:r>
      <w:r w:rsidRPr="00E4265B">
        <w:rPr>
          <w:rFonts w:ascii="Arial" w:hAnsi="Arial" w:cs="Arial"/>
          <w:sz w:val="22"/>
          <w:szCs w:val="22"/>
          <w:lang w:val="en-GB"/>
        </w:rPr>
        <w:t xml:space="preserve"> </w:t>
      </w:r>
      <w:r w:rsidR="00BC49E0" w:rsidRPr="00E4265B">
        <w:rPr>
          <w:rFonts w:ascii="Arial" w:hAnsi="Arial" w:cs="Arial"/>
          <w:sz w:val="22"/>
          <w:szCs w:val="22"/>
          <w:lang w:val="en-GB"/>
        </w:rPr>
        <w:t>Option</w:t>
      </w:r>
      <w:r w:rsidRPr="00E4265B">
        <w:rPr>
          <w:rFonts w:ascii="Arial" w:hAnsi="Arial" w:cs="Arial"/>
          <w:sz w:val="22"/>
          <w:szCs w:val="22"/>
          <w:lang w:val="en-GB"/>
        </w:rPr>
        <w:t>s, except to the extent that they are non</w:t>
      </w:r>
      <w:r w:rsidRPr="00E4265B">
        <w:rPr>
          <w:rFonts w:ascii="Arial" w:hAnsi="Arial" w:cs="Arial"/>
          <w:sz w:val="22"/>
          <w:szCs w:val="22"/>
          <w:lang w:val="en-GB"/>
        </w:rPr>
        <w:noBreakHyphen/>
        <w:t>discretionary;</w:t>
      </w:r>
    </w:p>
    <w:p w14:paraId="22BD9D0A"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other appropriations of profits, except to the extent that they are automatic;</w:t>
      </w:r>
    </w:p>
    <w:p w14:paraId="5F3E47A5"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shared commissions and fees payable that are directly related to commissions and fees receivable, which are included with total revenue;</w:t>
      </w:r>
    </w:p>
    <w:p w14:paraId="734F7BED"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fees, brokerage and other charges paid to clearing houses, exchanges and intermediate brokers for the purposes of executing, registering or clearing transactions;</w:t>
      </w:r>
    </w:p>
    <w:p w14:paraId="4B521E05"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any expenses for which pre</w:t>
      </w:r>
      <w:r w:rsidRPr="00E4265B">
        <w:rPr>
          <w:rFonts w:ascii="Arial" w:hAnsi="Arial" w:cs="Arial"/>
          <w:sz w:val="22"/>
          <w:szCs w:val="22"/>
          <w:lang w:val="en-GB"/>
        </w:rPr>
        <w:noBreakHyphen/>
        <w:t>payments or advances have already been made to the respective claimant (e.g. pre</w:t>
      </w:r>
      <w:r w:rsidRPr="00E4265B">
        <w:rPr>
          <w:rFonts w:ascii="Arial" w:hAnsi="Arial" w:cs="Arial"/>
          <w:sz w:val="22"/>
          <w:szCs w:val="22"/>
          <w:lang w:val="en-GB"/>
        </w:rPr>
        <w:noBreakHyphen/>
        <w:t>paid rent, pre</w:t>
      </w:r>
      <w:r w:rsidRPr="00E4265B">
        <w:rPr>
          <w:rFonts w:ascii="Arial" w:hAnsi="Arial" w:cs="Arial"/>
          <w:sz w:val="22"/>
          <w:szCs w:val="22"/>
          <w:lang w:val="en-GB"/>
        </w:rPr>
        <w:noBreakHyphen/>
        <w:t>paid communication charges etc.) and deducted from Capital Resources as illiquid assets;</w:t>
      </w:r>
    </w:p>
    <w:p w14:paraId="28568773"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foreign exchange losses; and</w:t>
      </w:r>
    </w:p>
    <w:p w14:paraId="1A971441"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(h)</w:t>
      </w:r>
      <w:r w:rsidRPr="00E4265B">
        <w:rPr>
          <w:rFonts w:ascii="Arial" w:hAnsi="Arial" w:cs="Arial"/>
          <w:sz w:val="22"/>
          <w:szCs w:val="22"/>
          <w:lang w:val="en-GB"/>
        </w:rPr>
        <w:tab/>
        <w:t>contributions to charities.</w:t>
      </w:r>
    </w:p>
    <w:p w14:paraId="30F0D469"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For the purposes of (1)(c), a management charge must not be treated as an appropriation of profits.</w:t>
      </w:r>
    </w:p>
    <w:p w14:paraId="22118EF9" w14:textId="77777777" w:rsidR="00E22FF2" w:rsidRPr="00E4265B" w:rsidRDefault="00E22FF2" w:rsidP="009A095E">
      <w:pPr>
        <w:pStyle w:val="Heading4"/>
        <w:tabs>
          <w:tab w:val="clear" w:pos="936"/>
          <w:tab w:val="num" w:pos="993"/>
        </w:tabs>
        <w:ind w:left="1843" w:hanging="1843"/>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For the purposes of Rule 3.7.</w:t>
      </w:r>
      <w:r w:rsidR="00954714" w:rsidRPr="00E4265B">
        <w:rPr>
          <w:rFonts w:ascii="Arial" w:hAnsi="Arial" w:cs="Arial"/>
          <w:sz w:val="22"/>
          <w:szCs w:val="22"/>
        </w:rPr>
        <w:t>2</w:t>
      </w:r>
      <w:r w:rsidRPr="00E4265B">
        <w:rPr>
          <w:rFonts w:ascii="Arial" w:hAnsi="Arial" w:cs="Arial"/>
          <w:sz w:val="22"/>
          <w:szCs w:val="22"/>
        </w:rPr>
        <w:t xml:space="preserve">, an </w:t>
      </w:r>
      <w:r w:rsidR="000D1A90" w:rsidRPr="00E4265B">
        <w:rPr>
          <w:rFonts w:ascii="Arial" w:hAnsi="Arial" w:cs="Arial"/>
          <w:sz w:val="22"/>
          <w:szCs w:val="22"/>
        </w:rPr>
        <w:t>Authorised Person</w:t>
      </w:r>
      <w:r w:rsidRPr="00E4265B">
        <w:rPr>
          <w:rFonts w:ascii="Arial" w:hAnsi="Arial" w:cs="Arial"/>
          <w:sz w:val="22"/>
          <w:szCs w:val="22"/>
        </w:rPr>
        <w:t xml:space="preserve"> must calculate its relevant Annual Audited Expenditure with reference to the </w:t>
      </w:r>
      <w:r w:rsidR="000D1A90" w:rsidRPr="00E4265B">
        <w:rPr>
          <w:rFonts w:ascii="Arial" w:hAnsi="Arial" w:cs="Arial"/>
          <w:sz w:val="22"/>
          <w:szCs w:val="22"/>
        </w:rPr>
        <w:t>Authorised Person</w:t>
      </w:r>
      <w:r w:rsidRPr="00E4265B">
        <w:rPr>
          <w:rFonts w:ascii="Arial" w:hAnsi="Arial" w:cs="Arial"/>
          <w:sz w:val="22"/>
          <w:szCs w:val="22"/>
        </w:rPr>
        <w:t>'s most recent audited financial statements.</w:t>
      </w:r>
    </w:p>
    <w:p w14:paraId="16A69D3C"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most recent audited financial statements do not represent a </w:t>
      </w:r>
      <w:r w:rsidR="00954714" w:rsidRPr="00E4265B">
        <w:rPr>
          <w:rFonts w:ascii="Arial" w:hAnsi="Arial" w:cs="Arial"/>
          <w:sz w:val="22"/>
          <w:szCs w:val="22"/>
          <w:lang w:val="en-GB"/>
        </w:rPr>
        <w:t>twelve-</w:t>
      </w:r>
      <w:r w:rsidRPr="00E4265B">
        <w:rPr>
          <w:rFonts w:ascii="Arial" w:hAnsi="Arial" w:cs="Arial"/>
          <w:sz w:val="22"/>
          <w:szCs w:val="22"/>
          <w:lang w:val="en-GB"/>
        </w:rPr>
        <w:t>month accounting period, it must calculate its Annual Audited Expenditure on a pro rata basis so as to produce an equivalent annual amount.</w:t>
      </w:r>
    </w:p>
    <w:p w14:paraId="10EAB1CF"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lastRenderedPageBreak/>
        <w:t>(3)</w:t>
      </w:r>
      <w:r w:rsidRPr="00E4265B">
        <w:rPr>
          <w:rFonts w:ascii="Arial" w:hAnsi="Arial" w:cs="Arial"/>
          <w:sz w:val="22"/>
          <w:szCs w:val="22"/>
          <w:lang w:val="en-GB"/>
        </w:rPr>
        <w:tab/>
        <w:t xml:space="preserve">If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not completed its first </w:t>
      </w:r>
      <w:r w:rsidR="00954714" w:rsidRPr="00E4265B">
        <w:rPr>
          <w:rFonts w:ascii="Arial" w:hAnsi="Arial" w:cs="Arial"/>
          <w:sz w:val="22"/>
          <w:szCs w:val="22"/>
          <w:lang w:val="en-GB"/>
        </w:rPr>
        <w:t xml:space="preserve">twelve </w:t>
      </w:r>
      <w:r w:rsidRPr="00E4265B">
        <w:rPr>
          <w:rFonts w:ascii="Arial" w:hAnsi="Arial" w:cs="Arial"/>
          <w:sz w:val="22"/>
          <w:szCs w:val="22"/>
          <w:lang w:val="en-GB"/>
        </w:rPr>
        <w:t xml:space="preserve">months of business operations, it must calculate its Annual Audited Expenditure based on forecast expenditure as reflected in the budget for the first </w:t>
      </w:r>
      <w:r w:rsidR="00954714" w:rsidRPr="00E4265B">
        <w:rPr>
          <w:rFonts w:ascii="Arial" w:hAnsi="Arial" w:cs="Arial"/>
          <w:sz w:val="22"/>
          <w:szCs w:val="22"/>
          <w:lang w:val="en-GB"/>
        </w:rPr>
        <w:t xml:space="preserve">twelve </w:t>
      </w:r>
      <w:r w:rsidRPr="00E4265B">
        <w:rPr>
          <w:rFonts w:ascii="Arial" w:hAnsi="Arial" w:cs="Arial"/>
          <w:sz w:val="22"/>
          <w:szCs w:val="22"/>
          <w:lang w:val="en-GB"/>
        </w:rPr>
        <w:t>months of business operations, as submitted with its application for authorisation.</w:t>
      </w:r>
    </w:p>
    <w:p w14:paraId="16B40FB8" w14:textId="77777777" w:rsidR="00E22FF2" w:rsidRPr="00E4265B" w:rsidRDefault="00E22FF2" w:rsidP="008276C8">
      <w:pPr>
        <w:pStyle w:val="1List"/>
        <w:tabs>
          <w:tab w:val="left" w:pos="2520"/>
        </w:tabs>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(a)</w:t>
      </w:r>
      <w:r w:rsidRPr="00E4265B">
        <w:rPr>
          <w:rFonts w:ascii="Arial" w:hAnsi="Arial" w:cs="Arial"/>
          <w:sz w:val="22"/>
          <w:szCs w:val="22"/>
          <w:lang w:val="en-GB"/>
        </w:rPr>
        <w:tab/>
        <w:t xml:space="preserve">If an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14CBBE31"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has a material change in its expenditure (</w:t>
      </w:r>
      <w:r w:rsidR="00954714" w:rsidRPr="00E4265B">
        <w:rPr>
          <w:rFonts w:ascii="Arial" w:hAnsi="Arial" w:cs="Arial"/>
          <w:sz w:val="22"/>
          <w:szCs w:val="22"/>
          <w:lang w:val="en-GB"/>
        </w:rPr>
        <w:t>whether</w:t>
      </w:r>
      <w:r w:rsidRPr="00E4265B">
        <w:rPr>
          <w:rFonts w:ascii="Arial" w:hAnsi="Arial" w:cs="Arial"/>
          <w:sz w:val="22"/>
          <w:szCs w:val="22"/>
          <w:lang w:val="en-GB"/>
        </w:rPr>
        <w:t xml:space="preserve"> up or down); or</w:t>
      </w:r>
    </w:p>
    <w:p w14:paraId="674C280D" w14:textId="77777777" w:rsidR="00E22FF2" w:rsidRPr="00E4265B" w:rsidRDefault="00E22FF2" w:rsidP="005722BB">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has varied its authorised activities</w:t>
      </w:r>
      <w:r w:rsidR="00C42923" w:rsidRPr="00E4265B">
        <w:rPr>
          <w:rFonts w:ascii="Arial" w:hAnsi="Arial" w:cs="Arial"/>
          <w:sz w:val="22"/>
          <w:szCs w:val="22"/>
          <w:lang w:val="en-GB"/>
        </w:rPr>
        <w:t>,</w:t>
      </w:r>
      <w:r w:rsidRPr="00E4265B">
        <w:rPr>
          <w:rFonts w:ascii="Arial" w:hAnsi="Arial" w:cs="Arial"/>
          <w:sz w:val="22"/>
          <w:szCs w:val="22"/>
          <w:lang w:val="en-GB"/>
        </w:rPr>
        <w:t xml:space="preserve"> </w:t>
      </w:r>
    </w:p>
    <w:p w14:paraId="6FA97B26" w14:textId="77777777" w:rsidR="00E22FF2" w:rsidRPr="00E4265B" w:rsidRDefault="00E22FF2" w:rsidP="00883266">
      <w:pPr>
        <w:pStyle w:val="UK12Block15"/>
        <w:ind w:left="2520"/>
        <w:rPr>
          <w:rFonts w:ascii="Arial" w:hAnsi="Arial" w:cs="Arial"/>
          <w:sz w:val="22"/>
          <w:szCs w:val="22"/>
          <w:lang w:val="en-GB"/>
        </w:rPr>
      </w:pPr>
      <w:r w:rsidRPr="00E4265B">
        <w:rPr>
          <w:rFonts w:ascii="Arial" w:hAnsi="Arial" w:cs="Arial"/>
          <w:sz w:val="22"/>
          <w:szCs w:val="22"/>
          <w:lang w:val="en-GB"/>
        </w:rPr>
        <w:t>it must recalculate its Annual Audited Expenditure and Expenditure Based Capital Minimum accordingly.</w:t>
      </w:r>
    </w:p>
    <w:p w14:paraId="53E64761" w14:textId="77777777" w:rsidR="00E22FF2" w:rsidRPr="00E4265B" w:rsidRDefault="00E22FF2" w:rsidP="008F5C0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recalculated its Annual Audited Expenditure and Expenditure Based Capital Minimum in accordance with (a), it must submit this recalculation to the Regulator within seven days of its completion and seek agreement/approval from the Regulator. The Regulator may within </w:t>
      </w:r>
      <w:r w:rsidR="00954714" w:rsidRPr="00E4265B">
        <w:rPr>
          <w:rFonts w:ascii="Arial" w:hAnsi="Arial" w:cs="Arial"/>
          <w:sz w:val="22"/>
          <w:szCs w:val="22"/>
          <w:lang w:val="en-GB"/>
        </w:rPr>
        <w:t>thirty</w:t>
      </w:r>
      <w:r w:rsidRPr="00E4265B">
        <w:rPr>
          <w:rFonts w:ascii="Arial" w:hAnsi="Arial" w:cs="Arial"/>
          <w:sz w:val="22"/>
          <w:szCs w:val="22"/>
          <w:lang w:val="en-GB"/>
        </w:rPr>
        <w:t xml:space="preserve"> days of receiving the recalculation object to the recalculation and require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revise its Expenditure Based Capital Minimum.</w:t>
      </w:r>
    </w:p>
    <w:p w14:paraId="444D47B4" w14:textId="77777777" w:rsidR="00E22FF2" w:rsidRPr="00E4265B" w:rsidRDefault="00954714" w:rsidP="0097615D">
      <w:pPr>
        <w:pStyle w:val="TitleL5"/>
        <w:rPr>
          <w:rFonts w:ascii="Arial" w:hAnsi="Arial" w:cs="Arial"/>
          <w:sz w:val="22"/>
          <w:szCs w:val="22"/>
          <w:lang w:val="en-GB"/>
        </w:rPr>
      </w:pPr>
      <w:r w:rsidRPr="00E4265B">
        <w:rPr>
          <w:rFonts w:ascii="Arial" w:hAnsi="Arial" w:cs="Arial"/>
          <w:sz w:val="22"/>
          <w:szCs w:val="22"/>
          <w:lang w:val="en-GB"/>
        </w:rPr>
        <w:t>Liquid assets</w:t>
      </w:r>
    </w:p>
    <w:p w14:paraId="63C49AB5" w14:textId="48EED790" w:rsidR="00E22FF2" w:rsidRPr="00E4265B" w:rsidRDefault="00E22FF2" w:rsidP="00AF6EE8">
      <w:pPr>
        <w:pStyle w:val="Heading4"/>
        <w:tabs>
          <w:tab w:val="clear" w:pos="936"/>
          <w:tab w:val="num" w:pos="900"/>
        </w:tabs>
        <w:ind w:left="1800" w:hanging="180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r>
      <w:r w:rsidR="00954714" w:rsidRPr="00E4265B">
        <w:rPr>
          <w:rFonts w:ascii="Arial" w:hAnsi="Arial" w:cs="Arial"/>
          <w:sz w:val="22"/>
          <w:szCs w:val="22"/>
        </w:rPr>
        <w:t>An Authorised Person to which this Section applies must</w:t>
      </w:r>
      <w:r w:rsidR="00CA36B0" w:rsidRPr="00E4265B">
        <w:rPr>
          <w:rFonts w:ascii="Arial" w:hAnsi="Arial" w:cs="Arial"/>
          <w:sz w:val="22"/>
          <w:szCs w:val="22"/>
        </w:rPr>
        <w:t xml:space="preserve"> maintain</w:t>
      </w:r>
      <w:r w:rsidR="00954714" w:rsidRPr="00E4265B">
        <w:rPr>
          <w:rFonts w:ascii="Arial" w:hAnsi="Arial" w:cs="Arial"/>
          <w:sz w:val="22"/>
          <w:szCs w:val="22"/>
        </w:rPr>
        <w:t>, at all times, an amount of assets which exceeds its Expenditure Based Capital Minimum in the form of liquid assets</w:t>
      </w:r>
      <w:r w:rsidRPr="00E4265B">
        <w:rPr>
          <w:rFonts w:ascii="Arial" w:hAnsi="Arial" w:cs="Arial"/>
          <w:sz w:val="22"/>
          <w:szCs w:val="22"/>
        </w:rPr>
        <w:t>.</w:t>
      </w:r>
    </w:p>
    <w:p w14:paraId="086FF530"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r>
      <w:r w:rsidR="00954714" w:rsidRPr="00E4265B">
        <w:rPr>
          <w:rFonts w:ascii="Arial" w:hAnsi="Arial" w:cs="Arial"/>
          <w:sz w:val="22"/>
          <w:szCs w:val="22"/>
          <w:lang w:val="en-GB"/>
        </w:rPr>
        <w:t>For the purpose of this Rule, and subject to (3), liquid assets comprise any of the following:</w:t>
      </w:r>
    </w:p>
    <w:p w14:paraId="4A1DE756" w14:textId="77777777" w:rsidR="00954714" w:rsidRPr="00E4265B" w:rsidRDefault="00954714" w:rsidP="00954714">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cash in hand;</w:t>
      </w:r>
    </w:p>
    <w:p w14:paraId="7840B138" w14:textId="77777777" w:rsidR="00954714" w:rsidRPr="00E4265B" w:rsidRDefault="00954714" w:rsidP="00954714">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Money deposited with a regulated bank or Deposit-taker which has a short-term credit rating of A1 or P1 (or equivalent) and above from an ECAI;</w:t>
      </w:r>
    </w:p>
    <w:p w14:paraId="64DBAF85" w14:textId="77777777" w:rsidR="00954714" w:rsidRPr="00E4265B" w:rsidRDefault="00954714" w:rsidP="00954714">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demand Deposits with a tenor of one year or less with a bank or Deposit-taker in (b);</w:t>
      </w:r>
    </w:p>
    <w:p w14:paraId="5AE97D06" w14:textId="77777777" w:rsidR="00954714" w:rsidRPr="00E4265B" w:rsidRDefault="00954714" w:rsidP="00954714">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time Deposits with a tenor of one year or less which have an option to redeem the Deposit at any time.  In such cases, the Deposit amount eligible to be included as liquid assets must be calculated as net of any costs associated with such early redemption;</w:t>
      </w:r>
    </w:p>
    <w:p w14:paraId="4A6E24BF" w14:textId="77777777" w:rsidR="00954714" w:rsidRPr="00E4265B" w:rsidRDefault="00954714" w:rsidP="00954714">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cash receivable from a regulated clearing house and cash Deposits with such clearing houses, other than any fees or contributions to guarantee or reserve funds of such clearing houses; or</w:t>
      </w:r>
    </w:p>
    <w:p w14:paraId="7E849DDB" w14:textId="77777777" w:rsidR="00954714" w:rsidRPr="00E4265B" w:rsidRDefault="00954714" w:rsidP="00954714">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any other asset which may be approved by the Regulator as comprising a liquid asset for the purpose of this Rule.</w:t>
      </w:r>
    </w:p>
    <w:p w14:paraId="40A8DF08" w14:textId="77777777" w:rsidR="00954714" w:rsidRPr="00E4265B" w:rsidRDefault="00954714" w:rsidP="00954714">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For the purpose of this Rule, liquid assets do not include:</w:t>
      </w:r>
    </w:p>
    <w:p w14:paraId="29811524" w14:textId="77777777" w:rsidR="00954714" w:rsidRPr="00E4265B" w:rsidRDefault="00954714" w:rsidP="00954714">
      <w:pPr>
        <w:pStyle w:val="a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t>any Investment, asset or Deposit which has been pledged as security or Collateral for any obligations or liabilities assumed by it or by any other third party; or</w:t>
      </w:r>
    </w:p>
    <w:p w14:paraId="5814DABF" w14:textId="77777777" w:rsidR="00954714" w:rsidRPr="00E4265B" w:rsidRDefault="00954714" w:rsidP="00954714">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cash held in Client Money or Insurance Money accounts.</w:t>
      </w:r>
    </w:p>
    <w:p w14:paraId="3318B4F8" w14:textId="77777777" w:rsidR="00E22FF2" w:rsidRPr="00E4265B" w:rsidRDefault="00954714" w:rsidP="00422D52">
      <w:pPr>
        <w:pStyle w:val="Heading2"/>
        <w:rPr>
          <w:rFonts w:ascii="Arial" w:hAnsi="Arial" w:cs="Arial"/>
          <w:sz w:val="22"/>
          <w:szCs w:val="22"/>
          <w:lang w:val="en-GB"/>
        </w:rPr>
      </w:pPr>
      <w:bookmarkStart w:id="172" w:name="_Toc403223928"/>
      <w:bookmarkStart w:id="173" w:name="_Toc403253966"/>
      <w:bookmarkStart w:id="174" w:name="_Toc403254100"/>
      <w:bookmarkStart w:id="175" w:name="_Toc403273366"/>
      <w:bookmarkStart w:id="176" w:name="_Toc403273515"/>
      <w:bookmarkStart w:id="177" w:name="_Toc403274474"/>
      <w:bookmarkStart w:id="178" w:name="_Toc403279970"/>
      <w:bookmarkStart w:id="179" w:name="_Toc404285771"/>
      <w:bookmarkStart w:id="180" w:name="_Toc404621720"/>
      <w:bookmarkStart w:id="181" w:name="_Toc404624361"/>
      <w:r w:rsidRPr="00E4265B">
        <w:rPr>
          <w:rFonts w:ascii="Arial" w:hAnsi="Arial" w:cs="Arial"/>
          <w:sz w:val="22"/>
          <w:szCs w:val="22"/>
          <w:lang w:val="en-GB"/>
        </w:rPr>
        <w:t xml:space="preserve"> </w:t>
      </w:r>
      <w:bookmarkStart w:id="182" w:name="_Toc33622380"/>
      <w:r w:rsidR="00E22FF2" w:rsidRPr="00E4265B">
        <w:rPr>
          <w:rFonts w:ascii="Arial" w:hAnsi="Arial" w:cs="Arial"/>
          <w:sz w:val="22"/>
          <w:szCs w:val="22"/>
          <w:lang w:val="en-GB"/>
        </w:rPr>
        <w:t>– Calculating Capital Resources</w:t>
      </w:r>
      <w:bookmarkEnd w:id="172"/>
      <w:bookmarkEnd w:id="173"/>
      <w:bookmarkEnd w:id="174"/>
      <w:bookmarkEnd w:id="175"/>
      <w:bookmarkEnd w:id="176"/>
      <w:bookmarkEnd w:id="177"/>
      <w:bookmarkEnd w:id="178"/>
      <w:bookmarkEnd w:id="179"/>
      <w:bookmarkEnd w:id="180"/>
      <w:bookmarkEnd w:id="181"/>
      <w:bookmarkEnd w:id="182"/>
    </w:p>
    <w:p w14:paraId="55E350EE" w14:textId="77777777" w:rsidR="00E22FF2" w:rsidRPr="00E4265B" w:rsidRDefault="00E22FF2" w:rsidP="00246497">
      <w:pPr>
        <w:pStyle w:val="Heading3"/>
        <w:rPr>
          <w:rFonts w:ascii="Arial" w:hAnsi="Arial" w:cs="Arial"/>
          <w:sz w:val="22"/>
          <w:szCs w:val="22"/>
        </w:rPr>
      </w:pPr>
      <w:bookmarkStart w:id="183" w:name="_Toc403223929"/>
      <w:bookmarkStart w:id="184" w:name="_Toc403253967"/>
      <w:bookmarkStart w:id="185" w:name="_Toc403273367"/>
      <w:bookmarkStart w:id="186" w:name="_Toc403273516"/>
      <w:bookmarkStart w:id="187" w:name="_Toc403274475"/>
      <w:bookmarkStart w:id="188" w:name="_Toc403279971"/>
      <w:bookmarkStart w:id="189" w:name="_Toc404285772"/>
      <w:bookmarkStart w:id="190" w:name="_Toc404621721"/>
      <w:bookmarkStart w:id="191" w:name="_Toc404624362"/>
      <w:bookmarkStart w:id="192" w:name="_Toc33622381"/>
      <w:r w:rsidRPr="00E4265B">
        <w:rPr>
          <w:rFonts w:ascii="Arial" w:hAnsi="Arial" w:cs="Arial"/>
          <w:sz w:val="22"/>
          <w:szCs w:val="22"/>
        </w:rPr>
        <w:t>Application</w:t>
      </w:r>
      <w:bookmarkEnd w:id="183"/>
      <w:bookmarkEnd w:id="184"/>
      <w:bookmarkEnd w:id="185"/>
      <w:bookmarkEnd w:id="186"/>
      <w:bookmarkEnd w:id="187"/>
      <w:bookmarkEnd w:id="188"/>
      <w:bookmarkEnd w:id="189"/>
      <w:bookmarkEnd w:id="190"/>
      <w:bookmarkEnd w:id="191"/>
      <w:bookmarkEnd w:id="192"/>
    </w:p>
    <w:p w14:paraId="0CA4953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This </w:t>
      </w:r>
      <w:r w:rsidR="00954714" w:rsidRPr="00E4265B">
        <w:rPr>
          <w:rFonts w:ascii="Arial" w:hAnsi="Arial" w:cs="Arial"/>
          <w:sz w:val="22"/>
          <w:szCs w:val="22"/>
        </w:rPr>
        <w:t>Part </w:t>
      </w:r>
      <w:r w:rsidRPr="00E4265B">
        <w:rPr>
          <w:rFonts w:ascii="Arial" w:hAnsi="Arial" w:cs="Arial"/>
          <w:sz w:val="22"/>
          <w:szCs w:val="22"/>
        </w:rPr>
        <w:t xml:space="preserve">applies to an </w:t>
      </w:r>
      <w:r w:rsidR="000D1A90" w:rsidRPr="00E4265B">
        <w:rPr>
          <w:rFonts w:ascii="Arial" w:hAnsi="Arial" w:cs="Arial"/>
          <w:sz w:val="22"/>
          <w:szCs w:val="22"/>
        </w:rPr>
        <w:t>Authorised Person</w:t>
      </w:r>
      <w:r w:rsidRPr="00E4265B">
        <w:rPr>
          <w:rFonts w:ascii="Arial" w:hAnsi="Arial" w:cs="Arial"/>
          <w:sz w:val="22"/>
          <w:szCs w:val="22"/>
        </w:rPr>
        <w:t xml:space="preserve"> in any Category.</w:t>
      </w:r>
    </w:p>
    <w:p w14:paraId="20FC9E18"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1649CD06" w14:textId="0C2C04D3" w:rsidR="00D84350" w:rsidRPr="00E4265B" w:rsidRDefault="00690FB1" w:rsidP="00B61E82">
      <w:pPr>
        <w:pStyle w:val="UK12Block05"/>
        <w:rPr>
          <w:rFonts w:ascii="Arial" w:hAnsi="Arial" w:cs="Arial"/>
          <w:sz w:val="22"/>
          <w:szCs w:val="22"/>
          <w:lang w:val="en-GB"/>
        </w:rPr>
      </w:pPr>
      <w:r w:rsidRPr="00E4265B">
        <w:rPr>
          <w:rFonts w:ascii="Arial" w:hAnsi="Arial" w:cs="Arial"/>
          <w:sz w:val="22"/>
          <w:szCs w:val="22"/>
          <w:lang w:val="en-GB"/>
        </w:rPr>
        <w:t>The earlier Section 3.2 imposes a number of basic requirements on an Authorised Person, including requirements to have and maintain a quantity and quality of Capital Resources which would enable it to meet its capital adequacy requirements specified in Chapter 3 of these Rules.</w:t>
      </w:r>
    </w:p>
    <w:p w14:paraId="284B0B8A" w14:textId="77777777" w:rsidR="00E22FF2" w:rsidRPr="00E4265B" w:rsidRDefault="00E22FF2" w:rsidP="00246497">
      <w:pPr>
        <w:pStyle w:val="Heading3"/>
        <w:rPr>
          <w:rFonts w:ascii="Arial" w:hAnsi="Arial" w:cs="Arial"/>
          <w:sz w:val="22"/>
          <w:szCs w:val="22"/>
        </w:rPr>
      </w:pPr>
      <w:bookmarkStart w:id="193" w:name="_Toc403223931"/>
      <w:bookmarkStart w:id="194" w:name="_Toc403253969"/>
      <w:bookmarkStart w:id="195" w:name="_Toc403273369"/>
      <w:bookmarkStart w:id="196" w:name="_Toc403273518"/>
      <w:bookmarkStart w:id="197" w:name="_Toc403274477"/>
      <w:bookmarkStart w:id="198" w:name="_Toc403279973"/>
      <w:bookmarkStart w:id="199" w:name="_Toc404285774"/>
      <w:bookmarkStart w:id="200" w:name="_Toc404621723"/>
      <w:bookmarkStart w:id="201" w:name="_Toc404624364"/>
      <w:bookmarkStart w:id="202" w:name="_Toc33622382"/>
      <w:r w:rsidRPr="00E4265B">
        <w:rPr>
          <w:rFonts w:ascii="Arial" w:hAnsi="Arial" w:cs="Arial"/>
          <w:sz w:val="22"/>
          <w:szCs w:val="22"/>
        </w:rPr>
        <w:t>Tier 1 capital</w:t>
      </w:r>
      <w:bookmarkEnd w:id="193"/>
      <w:bookmarkEnd w:id="194"/>
      <w:bookmarkEnd w:id="195"/>
      <w:bookmarkEnd w:id="196"/>
      <w:bookmarkEnd w:id="197"/>
      <w:bookmarkEnd w:id="198"/>
      <w:bookmarkEnd w:id="199"/>
      <w:bookmarkEnd w:id="200"/>
      <w:bookmarkEnd w:id="201"/>
      <w:bookmarkEnd w:id="202"/>
    </w:p>
    <w:p w14:paraId="620674FD" w14:textId="77777777" w:rsidR="00E22FF2" w:rsidRPr="00E4265B" w:rsidRDefault="00690FB1" w:rsidP="00246497">
      <w:pPr>
        <w:pStyle w:val="Heading4"/>
        <w:rPr>
          <w:rFonts w:ascii="Arial" w:hAnsi="Arial" w:cs="Arial"/>
          <w:sz w:val="22"/>
          <w:szCs w:val="22"/>
        </w:rPr>
      </w:pPr>
      <w:r w:rsidRPr="00E4265B">
        <w:rPr>
          <w:rFonts w:ascii="Arial" w:hAnsi="Arial" w:cs="Arial"/>
          <w:sz w:val="22"/>
          <w:szCs w:val="22"/>
        </w:rPr>
        <w:t>Tier 1 capital must be calculated as the total of its Common Equity Tier 1 capital (referred to in these Rules as CET1 Capital) and its Additional Tier 1 capital (referred to in these Rules as AT1 Capital).</w:t>
      </w:r>
    </w:p>
    <w:p w14:paraId="2CC2EF2B" w14:textId="77777777" w:rsidR="00690FB1" w:rsidRPr="00E4265B" w:rsidRDefault="00690FB1" w:rsidP="00690FB1">
      <w:pPr>
        <w:pStyle w:val="TitleL5"/>
        <w:rPr>
          <w:rFonts w:ascii="Arial" w:hAnsi="Arial" w:cs="Arial"/>
          <w:sz w:val="22"/>
          <w:szCs w:val="22"/>
          <w:lang w:val="en-GB"/>
        </w:rPr>
      </w:pPr>
      <w:r w:rsidRPr="00E4265B">
        <w:rPr>
          <w:rFonts w:ascii="Arial" w:hAnsi="Arial" w:cs="Arial"/>
          <w:sz w:val="22"/>
          <w:szCs w:val="22"/>
          <w:lang w:val="en-GB"/>
        </w:rPr>
        <w:t>Guidance</w:t>
      </w:r>
    </w:p>
    <w:p w14:paraId="4D5E159E" w14:textId="77777777" w:rsidR="00690FB1" w:rsidRPr="00E4265B" w:rsidRDefault="00690FB1" w:rsidP="00690FB1">
      <w:pPr>
        <w:pStyle w:val="UK12Block05"/>
        <w:rPr>
          <w:rFonts w:ascii="Arial" w:hAnsi="Arial" w:cs="Arial"/>
          <w:sz w:val="22"/>
          <w:szCs w:val="22"/>
          <w:lang w:val="en-GB"/>
        </w:rPr>
      </w:pPr>
      <w:r w:rsidRPr="00E4265B">
        <w:rPr>
          <w:rFonts w:ascii="Arial" w:hAnsi="Arial" w:cs="Arial"/>
          <w:sz w:val="22"/>
          <w:szCs w:val="22"/>
          <w:lang w:val="en-GB"/>
        </w:rPr>
        <w:t>The Tier 1 capital (referred to in these Rules as T1 Capital) of an Authorised Person refers to "going concern" capital which allows an Authorised Person to continue its activities and prevent insolvency of the Authorised Person.</w:t>
      </w:r>
    </w:p>
    <w:p w14:paraId="2D7035CD" w14:textId="77777777" w:rsidR="00E22FF2" w:rsidRPr="00E4265B" w:rsidRDefault="00E22FF2" w:rsidP="00246497">
      <w:pPr>
        <w:pStyle w:val="Heading3"/>
        <w:rPr>
          <w:rFonts w:ascii="Arial" w:hAnsi="Arial" w:cs="Arial"/>
          <w:sz w:val="22"/>
          <w:szCs w:val="22"/>
        </w:rPr>
      </w:pPr>
      <w:bookmarkStart w:id="203" w:name="_Toc403223932"/>
      <w:bookmarkStart w:id="204" w:name="_Toc403253970"/>
      <w:bookmarkStart w:id="205" w:name="_Toc403273370"/>
      <w:bookmarkStart w:id="206" w:name="_Toc403273519"/>
      <w:bookmarkStart w:id="207" w:name="_Toc403274478"/>
      <w:bookmarkStart w:id="208" w:name="_Toc403279974"/>
      <w:bookmarkStart w:id="209" w:name="_Toc404285775"/>
      <w:bookmarkStart w:id="210" w:name="_Toc404621724"/>
      <w:bookmarkStart w:id="211" w:name="_Toc404624365"/>
      <w:bookmarkStart w:id="212" w:name="_Toc33622383"/>
      <w:r w:rsidRPr="00E4265B">
        <w:rPr>
          <w:rFonts w:ascii="Arial" w:hAnsi="Arial" w:cs="Arial"/>
          <w:sz w:val="22"/>
          <w:szCs w:val="22"/>
        </w:rPr>
        <w:t>Common Equity Tier 1 capital (CET1 Capital)</w:t>
      </w:r>
      <w:bookmarkEnd w:id="203"/>
      <w:bookmarkEnd w:id="204"/>
      <w:bookmarkEnd w:id="205"/>
      <w:bookmarkEnd w:id="206"/>
      <w:bookmarkEnd w:id="207"/>
      <w:bookmarkEnd w:id="208"/>
      <w:bookmarkEnd w:id="209"/>
      <w:bookmarkEnd w:id="210"/>
      <w:bookmarkEnd w:id="211"/>
      <w:bookmarkEnd w:id="212"/>
    </w:p>
    <w:p w14:paraId="44CCC66D"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CET1 Capital constitutes the sum of CET1 capital elements in Rule 3.1</w:t>
      </w:r>
      <w:r w:rsidR="00690FB1" w:rsidRPr="00E4265B">
        <w:rPr>
          <w:rFonts w:ascii="Arial" w:hAnsi="Arial" w:cs="Arial"/>
          <w:sz w:val="22"/>
          <w:szCs w:val="22"/>
        </w:rPr>
        <w:t>0</w:t>
      </w:r>
      <w:r w:rsidRPr="00E4265B">
        <w:rPr>
          <w:rFonts w:ascii="Arial" w:hAnsi="Arial" w:cs="Arial"/>
          <w:sz w:val="22"/>
          <w:szCs w:val="22"/>
        </w:rPr>
        <w:t xml:space="preserve">.2, subject to the adjustments, deductions and exemptions stipulated later in this </w:t>
      </w:r>
      <w:r w:rsidR="00690FB1" w:rsidRPr="00E4265B">
        <w:rPr>
          <w:rFonts w:ascii="Arial" w:hAnsi="Arial" w:cs="Arial"/>
          <w:sz w:val="22"/>
          <w:szCs w:val="22"/>
        </w:rPr>
        <w:t>Part</w:t>
      </w:r>
      <w:r w:rsidRPr="00E4265B">
        <w:rPr>
          <w:rFonts w:ascii="Arial" w:hAnsi="Arial" w:cs="Arial"/>
          <w:sz w:val="22"/>
          <w:szCs w:val="22"/>
        </w:rPr>
        <w:t>.</w:t>
      </w:r>
    </w:p>
    <w:p w14:paraId="7EE50BFA"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CET1 Capital consists of the sum of the following capital elements: </w:t>
      </w:r>
    </w:p>
    <w:p w14:paraId="3409617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capital instruments, provided the conditions laid down in Rule 3.1</w:t>
      </w:r>
      <w:r w:rsidR="00690FB1" w:rsidRPr="00E4265B">
        <w:rPr>
          <w:rFonts w:ascii="Arial" w:hAnsi="Arial" w:cs="Arial"/>
          <w:sz w:val="22"/>
          <w:szCs w:val="22"/>
        </w:rPr>
        <w:t>0</w:t>
      </w:r>
      <w:r w:rsidRPr="00E4265B">
        <w:rPr>
          <w:rFonts w:ascii="Arial" w:hAnsi="Arial" w:cs="Arial"/>
          <w:sz w:val="22"/>
          <w:szCs w:val="22"/>
        </w:rPr>
        <w:t>.3 are fully met;</w:t>
      </w:r>
    </w:p>
    <w:p w14:paraId="66EDF95C" w14:textId="77777777" w:rsidR="00E22FF2" w:rsidRPr="00E4265B" w:rsidRDefault="00202EF6" w:rsidP="008432F8">
      <w:pPr>
        <w:pStyle w:val="Heading5"/>
        <w:rPr>
          <w:rFonts w:ascii="Arial" w:hAnsi="Arial" w:cs="Arial"/>
          <w:sz w:val="22"/>
          <w:szCs w:val="22"/>
        </w:rPr>
      </w:pPr>
      <w:r w:rsidRPr="00E4265B">
        <w:rPr>
          <w:rFonts w:ascii="Arial" w:hAnsi="Arial" w:cs="Arial"/>
          <w:sz w:val="22"/>
          <w:szCs w:val="22"/>
        </w:rPr>
        <w:t>Share</w:t>
      </w:r>
      <w:r w:rsidR="00E22FF2" w:rsidRPr="00E4265B">
        <w:rPr>
          <w:rFonts w:ascii="Arial" w:hAnsi="Arial" w:cs="Arial"/>
          <w:sz w:val="22"/>
          <w:szCs w:val="22"/>
        </w:rPr>
        <w:t xml:space="preserve"> premium accounts related to the instruments referred to in (a); </w:t>
      </w:r>
    </w:p>
    <w:p w14:paraId="52842F6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retained earnings;</w:t>
      </w:r>
    </w:p>
    <w:p w14:paraId="341BCC0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accumulated other comprehensive income, as defined in the International Financial Reporting Standards; and</w:t>
      </w:r>
    </w:p>
    <w:p w14:paraId="296FE0B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other reserves which are required to be disclosed under International Financial Reporting Standards, excluding any amounts already included in accumulated other comprehensive income or retained earnings.</w:t>
      </w:r>
    </w:p>
    <w:p w14:paraId="440BDB90" w14:textId="77777777" w:rsidR="00E22FF2" w:rsidRPr="00E4265B" w:rsidRDefault="00E22FF2" w:rsidP="00AF6EE8">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For the purposes of Rule 3.1</w:t>
      </w:r>
      <w:r w:rsidR="00690FB1" w:rsidRPr="00E4265B">
        <w:rPr>
          <w:rFonts w:ascii="Arial" w:hAnsi="Arial" w:cs="Arial"/>
          <w:sz w:val="22"/>
          <w:szCs w:val="22"/>
        </w:rPr>
        <w:t>0</w:t>
      </w:r>
      <w:r w:rsidRPr="00E4265B">
        <w:rPr>
          <w:rFonts w:ascii="Arial" w:hAnsi="Arial" w:cs="Arial"/>
          <w:sz w:val="22"/>
          <w:szCs w:val="22"/>
        </w:rPr>
        <w:t>.2(a), a capital instrument is eligible for inclusion in CET1 Capital where all the following conditions are met:</w:t>
      </w:r>
    </w:p>
    <w:p w14:paraId="15F3076B"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t xml:space="preserve">the instruments are issued directly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with the prior written approval of the shareholders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27706120"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instruments are fully paid up and their purchase is not funded directly or indirectly by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1D4AC685"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instruments meet all the following conditions as regards their classification:</w:t>
      </w:r>
    </w:p>
    <w:p w14:paraId="58AE9124"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they qualify as equity capital within the meaning of the Companies Regulations;</w:t>
      </w:r>
    </w:p>
    <w:p w14:paraId="3C02EE17"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they are classified as equity within the meaning of the International Financial Reporting Standards; and</w:t>
      </w:r>
    </w:p>
    <w:p w14:paraId="5774C44B"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they are classified as equity capital for the purposes of determining balance sheet insolvency, under the Insolvency Regulations;</w:t>
      </w:r>
    </w:p>
    <w:p w14:paraId="359B4637"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the instruments are clearly and separately disclosed on the balance sheet in the financial statements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20E18513"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the instruments are perpetual;</w:t>
      </w:r>
    </w:p>
    <w:p w14:paraId="06BADC42"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the principal amount of the instruments may not be reduced or repaid, except in either of the following cases:</w:t>
      </w:r>
    </w:p>
    <w:p w14:paraId="49A085DA"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liquidation of the </w:t>
      </w:r>
      <w:r w:rsidR="000D1A90" w:rsidRPr="00E4265B">
        <w:rPr>
          <w:rFonts w:ascii="Arial" w:hAnsi="Arial" w:cs="Arial"/>
          <w:sz w:val="22"/>
          <w:szCs w:val="22"/>
          <w:lang w:val="en-GB"/>
        </w:rPr>
        <w:t>Authorised Person</w:t>
      </w:r>
      <w:r w:rsidRPr="00E4265B">
        <w:rPr>
          <w:rFonts w:ascii="Arial" w:hAnsi="Arial" w:cs="Arial"/>
          <w:sz w:val="22"/>
          <w:szCs w:val="22"/>
          <w:lang w:val="en-GB"/>
        </w:rPr>
        <w:t>; or</w:t>
      </w:r>
    </w:p>
    <w:p w14:paraId="2E3BC6AD" w14:textId="77777777" w:rsidR="00E22FF2" w:rsidRPr="00E4265B" w:rsidRDefault="00E22FF2" w:rsidP="008F5C01">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discretionary repurchases of the instruments or other discretionary means of reducing capital, where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notified the Regulator of its intention to do so, in writing, at least </w:t>
      </w:r>
      <w:r w:rsidR="00690FB1" w:rsidRPr="00E4265B">
        <w:rPr>
          <w:rFonts w:ascii="Arial" w:hAnsi="Arial" w:cs="Arial"/>
          <w:sz w:val="22"/>
          <w:szCs w:val="22"/>
          <w:lang w:val="en-GB"/>
        </w:rPr>
        <w:t>thirty</w:t>
      </w:r>
      <w:r w:rsidRPr="00E4265B">
        <w:rPr>
          <w:rFonts w:ascii="Arial" w:hAnsi="Arial" w:cs="Arial"/>
          <w:sz w:val="22"/>
          <w:szCs w:val="22"/>
          <w:lang w:val="en-GB"/>
        </w:rPr>
        <w:t xml:space="preserve"> days prior to taking such steps;</w:t>
      </w:r>
    </w:p>
    <w:p w14:paraId="4641A374"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 xml:space="preserve">the provisions governing the instruments do not indicate expressly or implicitly that the principal amount of the instruments would or might be reduced or repaid other than in the liquidation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does not otherwise provide such an indication prior to or at issuance of the instruments;</w:t>
      </w:r>
    </w:p>
    <w:p w14:paraId="5F28735A"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(h)</w:t>
      </w:r>
      <w:r w:rsidRPr="00E4265B">
        <w:rPr>
          <w:rFonts w:ascii="Arial" w:hAnsi="Arial" w:cs="Arial"/>
          <w:sz w:val="22"/>
          <w:szCs w:val="22"/>
          <w:lang w:val="en-GB"/>
        </w:rPr>
        <w:tab/>
        <w:t>the instruments meet the following conditions as regards distributions:</w:t>
      </w:r>
    </w:p>
    <w:p w14:paraId="2DDE3836"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there are no preferential distributions, including in relation to other CET1 Capital instruments, and the terms governing the instruments do not provide preferential rights to payment of distributions;</w:t>
      </w:r>
    </w:p>
    <w:p w14:paraId="411F3467"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distributions to holders of the instruments may be paid only out of distributable items;</w:t>
      </w:r>
    </w:p>
    <w:p w14:paraId="652A2384"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the conditions governing the instruments do not include a cap or other restriction on the maximum level of distributions;</w:t>
      </w:r>
    </w:p>
    <w:p w14:paraId="1CA15F77"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lastRenderedPageBreak/>
        <w:t>(iv)</w:t>
      </w:r>
      <w:r w:rsidRPr="00E4265B">
        <w:rPr>
          <w:rFonts w:ascii="Arial" w:hAnsi="Arial" w:cs="Arial"/>
          <w:sz w:val="22"/>
          <w:szCs w:val="22"/>
          <w:lang w:val="en-GB"/>
        </w:rPr>
        <w:tab/>
        <w:t>the level of distributions is not determined on the basis of the amount for which the instruments were purchased at issuance;</w:t>
      </w:r>
    </w:p>
    <w:p w14:paraId="75D809E8"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(v)</w:t>
      </w:r>
      <w:r w:rsidRPr="00E4265B">
        <w:rPr>
          <w:rFonts w:ascii="Arial" w:hAnsi="Arial" w:cs="Arial"/>
          <w:sz w:val="22"/>
          <w:szCs w:val="22"/>
          <w:lang w:val="en-GB"/>
        </w:rPr>
        <w:tab/>
        <w:t xml:space="preserve">the conditions governing the instruments do not include any obligation for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make distributions to </w:t>
      </w:r>
      <w:r w:rsidR="00690FB1" w:rsidRPr="00E4265B">
        <w:rPr>
          <w:rFonts w:ascii="Arial" w:hAnsi="Arial" w:cs="Arial"/>
          <w:sz w:val="22"/>
          <w:szCs w:val="22"/>
          <w:lang w:val="en-GB"/>
        </w:rPr>
        <w:t>its</w:t>
      </w:r>
      <w:r w:rsidRPr="00E4265B">
        <w:rPr>
          <w:rFonts w:ascii="Arial" w:hAnsi="Arial" w:cs="Arial"/>
          <w:sz w:val="22"/>
          <w:szCs w:val="22"/>
          <w:lang w:val="en-GB"/>
        </w:rPr>
        <w:t xml:space="preserve"> holders and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not otherwise subject to such an obligation; </w:t>
      </w:r>
    </w:p>
    <w:p w14:paraId="7C00F387"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(vi)</w:t>
      </w:r>
      <w:r w:rsidRPr="00E4265B">
        <w:rPr>
          <w:rFonts w:ascii="Arial" w:hAnsi="Arial" w:cs="Arial"/>
          <w:sz w:val="22"/>
          <w:szCs w:val="22"/>
          <w:lang w:val="en-GB"/>
        </w:rPr>
        <w:tab/>
        <w:t>non</w:t>
      </w:r>
      <w:r w:rsidRPr="00E4265B">
        <w:rPr>
          <w:rFonts w:ascii="Arial" w:hAnsi="Arial" w:cs="Arial"/>
          <w:sz w:val="22"/>
          <w:szCs w:val="22"/>
          <w:lang w:val="en-GB"/>
        </w:rPr>
        <w:noBreakHyphen/>
        <w:t xml:space="preserve">payment of distributions does not constitute an event of default of the </w:t>
      </w:r>
      <w:r w:rsidR="000D1A90" w:rsidRPr="00E4265B">
        <w:rPr>
          <w:rFonts w:ascii="Arial" w:hAnsi="Arial" w:cs="Arial"/>
          <w:sz w:val="22"/>
          <w:szCs w:val="22"/>
          <w:lang w:val="en-GB"/>
        </w:rPr>
        <w:t>Authorised Person</w:t>
      </w:r>
      <w:r w:rsidRPr="00E4265B">
        <w:rPr>
          <w:rFonts w:ascii="Arial" w:hAnsi="Arial" w:cs="Arial"/>
          <w:sz w:val="22"/>
          <w:szCs w:val="22"/>
          <w:lang w:val="en-GB"/>
        </w:rPr>
        <w:t>; and</w:t>
      </w:r>
    </w:p>
    <w:p w14:paraId="4B8B71C3"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(vii)</w:t>
      </w:r>
      <w:r w:rsidRPr="00E4265B">
        <w:rPr>
          <w:rFonts w:ascii="Arial" w:hAnsi="Arial" w:cs="Arial"/>
          <w:sz w:val="22"/>
          <w:szCs w:val="22"/>
          <w:lang w:val="en-GB"/>
        </w:rPr>
        <w:tab/>
        <w:t>the cancellation of distributions imposes no restrictions on the institution</w:t>
      </w:r>
      <w:r w:rsidR="00F01474" w:rsidRPr="00E4265B">
        <w:rPr>
          <w:rFonts w:ascii="Arial" w:hAnsi="Arial" w:cs="Arial"/>
          <w:sz w:val="22"/>
          <w:szCs w:val="22"/>
          <w:lang w:val="en-GB"/>
        </w:rPr>
        <w:t>;</w:t>
      </w:r>
    </w:p>
    <w:p w14:paraId="3F981916"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compared to all the capital instruments issued by the </w:t>
      </w:r>
      <w:r w:rsidR="000D1A90" w:rsidRPr="00E4265B">
        <w:rPr>
          <w:rFonts w:ascii="Arial" w:hAnsi="Arial" w:cs="Arial"/>
          <w:sz w:val="22"/>
          <w:szCs w:val="22"/>
          <w:lang w:val="en-GB"/>
        </w:rPr>
        <w:t>Authorised Person</w:t>
      </w:r>
      <w:r w:rsidRPr="00E4265B">
        <w:rPr>
          <w:rFonts w:ascii="Arial" w:hAnsi="Arial" w:cs="Arial"/>
          <w:sz w:val="22"/>
          <w:szCs w:val="22"/>
          <w:lang w:val="en-GB"/>
        </w:rPr>
        <w:t>, the instruments absorb the first and proportionately greatest share of losses as they occur, and each instrument absorbs losses to the same degree as all other CET1 Capital instruments;</w:t>
      </w:r>
    </w:p>
    <w:p w14:paraId="49073343"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(j)</w:t>
      </w:r>
      <w:r w:rsidRPr="00E4265B">
        <w:rPr>
          <w:rFonts w:ascii="Arial" w:hAnsi="Arial" w:cs="Arial"/>
          <w:sz w:val="22"/>
          <w:szCs w:val="22"/>
          <w:lang w:val="en-GB"/>
        </w:rPr>
        <w:tab/>
        <w:t xml:space="preserve">the instruments rank below all other claims in the event of insolvency or liquidation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34467C1D"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(k)</w:t>
      </w:r>
      <w:r w:rsidRPr="00E4265B">
        <w:rPr>
          <w:rFonts w:ascii="Arial" w:hAnsi="Arial" w:cs="Arial"/>
          <w:sz w:val="22"/>
          <w:szCs w:val="22"/>
          <w:lang w:val="en-GB"/>
        </w:rPr>
        <w:tab/>
        <w:t xml:space="preserve">the instruments entitle their owners to a claim on the residual assets of the </w:t>
      </w:r>
      <w:r w:rsidR="000D1A90" w:rsidRPr="00E4265B">
        <w:rPr>
          <w:rFonts w:ascii="Arial" w:hAnsi="Arial" w:cs="Arial"/>
          <w:sz w:val="22"/>
          <w:szCs w:val="22"/>
          <w:lang w:val="en-GB"/>
        </w:rPr>
        <w:t>Authorised Person</w:t>
      </w:r>
      <w:r w:rsidRPr="00E4265B">
        <w:rPr>
          <w:rFonts w:ascii="Arial" w:hAnsi="Arial" w:cs="Arial"/>
          <w:sz w:val="22"/>
          <w:szCs w:val="22"/>
          <w:lang w:val="en-GB"/>
        </w:rPr>
        <w:t>, which, in the event of its liquidation and after the payment of all senior claims, is proportionate to the amount of such instruments issued and is not fixed or subject to a cap;</w:t>
      </w:r>
    </w:p>
    <w:p w14:paraId="0F143829"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(l)</w:t>
      </w:r>
      <w:r w:rsidRPr="00E4265B">
        <w:rPr>
          <w:rFonts w:ascii="Arial" w:hAnsi="Arial" w:cs="Arial"/>
          <w:sz w:val="22"/>
          <w:szCs w:val="22"/>
          <w:lang w:val="en-GB"/>
        </w:rPr>
        <w:tab/>
        <w:t>the instruments are not secured, or guaranteed by any of the following:</w:t>
      </w:r>
    </w:p>
    <w:p w14:paraId="15BB2549"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its Subsidiaries;</w:t>
      </w:r>
    </w:p>
    <w:p w14:paraId="47921153"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any Parent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its Subsidiaries; or</w:t>
      </w:r>
    </w:p>
    <w:p w14:paraId="49AF72A5"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any member of its Financial Group; and</w:t>
      </w:r>
    </w:p>
    <w:p w14:paraId="6ACE0772"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(m)</w:t>
      </w:r>
      <w:r w:rsidRPr="00E4265B">
        <w:rPr>
          <w:rFonts w:ascii="Arial" w:hAnsi="Arial" w:cs="Arial"/>
          <w:sz w:val="22"/>
          <w:szCs w:val="22"/>
          <w:lang w:val="en-GB"/>
        </w:rPr>
        <w:tab/>
        <w:t>the instruments are not subject to any arrangement, contractual or otherwise,</w:t>
      </w:r>
      <w:r w:rsidR="00690FB1" w:rsidRPr="00E4265B">
        <w:rPr>
          <w:rFonts w:ascii="Arial" w:hAnsi="Arial" w:cs="Arial"/>
          <w:sz w:val="22"/>
          <w:szCs w:val="22"/>
          <w:lang w:val="en-GB"/>
        </w:rPr>
        <w:t xml:space="preserve"> </w:t>
      </w:r>
      <w:r w:rsidRPr="00E4265B">
        <w:rPr>
          <w:rFonts w:ascii="Arial" w:hAnsi="Arial" w:cs="Arial"/>
          <w:sz w:val="22"/>
          <w:szCs w:val="22"/>
          <w:lang w:val="en-GB"/>
        </w:rPr>
        <w:t>that enhances the seniority of claims under the instruments in insolvency or liquidation.</w:t>
      </w:r>
    </w:p>
    <w:p w14:paraId="7D0082A4"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conditions in (1)(i) must be complied with notwithstanding a write</w:t>
      </w:r>
      <w:r w:rsidR="00690FB1" w:rsidRPr="00E4265B">
        <w:rPr>
          <w:rFonts w:ascii="Arial" w:hAnsi="Arial" w:cs="Arial"/>
          <w:sz w:val="22"/>
          <w:szCs w:val="22"/>
          <w:lang w:val="en-GB"/>
        </w:rPr>
        <w:t>-</w:t>
      </w:r>
      <w:r w:rsidRPr="00E4265B">
        <w:rPr>
          <w:rFonts w:ascii="Arial" w:hAnsi="Arial" w:cs="Arial"/>
          <w:sz w:val="22"/>
          <w:szCs w:val="22"/>
          <w:lang w:val="en-GB"/>
        </w:rPr>
        <w:t>down on a permanent basis of the principal amount of AT1 Capital instruments.</w:t>
      </w:r>
    </w:p>
    <w:p w14:paraId="17A0D2E1"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Where any of the conditions in (1) cease to be met:</w:t>
      </w:r>
    </w:p>
    <w:p w14:paraId="0FC6BA9D"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instrument must cease to qualify as a CET1 Capital instrument; and</w:t>
      </w:r>
    </w:p>
    <w:p w14:paraId="55F1C757" w14:textId="2091B5EC"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w:t>
      </w:r>
      <w:r w:rsidR="009A095E" w:rsidRPr="00E4265B">
        <w:rPr>
          <w:rFonts w:ascii="Arial" w:hAnsi="Arial" w:cs="Arial"/>
          <w:sz w:val="22"/>
          <w:szCs w:val="22"/>
          <w:lang w:val="en-GB"/>
        </w:rPr>
        <w:t>s</w:t>
      </w:r>
      <w:r w:rsidR="00202EF6" w:rsidRPr="00E4265B">
        <w:rPr>
          <w:rFonts w:ascii="Arial" w:hAnsi="Arial" w:cs="Arial"/>
          <w:sz w:val="22"/>
          <w:szCs w:val="22"/>
          <w:lang w:val="en-GB"/>
        </w:rPr>
        <w:t>hare</w:t>
      </w:r>
      <w:r w:rsidRPr="00E4265B">
        <w:rPr>
          <w:rFonts w:ascii="Arial" w:hAnsi="Arial" w:cs="Arial"/>
          <w:sz w:val="22"/>
          <w:szCs w:val="22"/>
          <w:lang w:val="en-GB"/>
        </w:rPr>
        <w:t xml:space="preserve"> premium accounts that relate to that instrument must cease to qualify as a CET1 element.</w:t>
      </w:r>
    </w:p>
    <w:p w14:paraId="37793830"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For the purposes of Rule 3.1</w:t>
      </w:r>
      <w:r w:rsidR="00690FB1" w:rsidRPr="00E4265B">
        <w:rPr>
          <w:rFonts w:ascii="Arial" w:hAnsi="Arial" w:cs="Arial"/>
          <w:sz w:val="22"/>
          <w:szCs w:val="22"/>
        </w:rPr>
        <w:t>0</w:t>
      </w:r>
      <w:r w:rsidRPr="00E4265B">
        <w:rPr>
          <w:rFonts w:ascii="Arial" w:hAnsi="Arial" w:cs="Arial"/>
          <w:sz w:val="22"/>
          <w:szCs w:val="22"/>
        </w:rPr>
        <w:t xml:space="preserve">.2(c), an </w:t>
      </w:r>
      <w:r w:rsidR="000D1A90" w:rsidRPr="00E4265B">
        <w:rPr>
          <w:rFonts w:ascii="Arial" w:hAnsi="Arial" w:cs="Arial"/>
          <w:sz w:val="22"/>
          <w:szCs w:val="22"/>
        </w:rPr>
        <w:t>Authorised Person</w:t>
      </w:r>
      <w:r w:rsidRPr="00E4265B">
        <w:rPr>
          <w:rFonts w:ascii="Arial" w:hAnsi="Arial" w:cs="Arial"/>
          <w:sz w:val="22"/>
          <w:szCs w:val="22"/>
        </w:rPr>
        <w:t xml:space="preserve"> may include interim or year</w:t>
      </w:r>
      <w:r w:rsidRPr="00E4265B">
        <w:rPr>
          <w:rFonts w:ascii="Arial" w:hAnsi="Arial" w:cs="Arial"/>
          <w:sz w:val="22"/>
          <w:szCs w:val="22"/>
        </w:rPr>
        <w:noBreakHyphen/>
        <w:t xml:space="preserve">end net profits in CET1 Capital before the </w:t>
      </w:r>
      <w:r w:rsidR="000D1A90" w:rsidRPr="00E4265B">
        <w:rPr>
          <w:rFonts w:ascii="Arial" w:hAnsi="Arial" w:cs="Arial"/>
          <w:sz w:val="22"/>
          <w:szCs w:val="22"/>
        </w:rPr>
        <w:t>Authorised Person</w:t>
      </w:r>
      <w:r w:rsidRPr="00E4265B">
        <w:rPr>
          <w:rFonts w:ascii="Arial" w:hAnsi="Arial" w:cs="Arial"/>
          <w:sz w:val="22"/>
          <w:szCs w:val="22"/>
        </w:rPr>
        <w:t xml:space="preserve"> has approved </w:t>
      </w:r>
      <w:r w:rsidRPr="00E4265B">
        <w:rPr>
          <w:rFonts w:ascii="Arial" w:hAnsi="Arial" w:cs="Arial"/>
          <w:sz w:val="22"/>
          <w:szCs w:val="22"/>
        </w:rPr>
        <w:lastRenderedPageBreak/>
        <w:t>its annual audited accounts confirming its final profit or loss for the year, but only where:</w:t>
      </w:r>
    </w:p>
    <w:p w14:paraId="406D4C46" w14:textId="41906AC0"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those profits have been reviewed by the external Auditor of the </w:t>
      </w:r>
      <w:r w:rsidR="00363CED" w:rsidRPr="00E4265B">
        <w:rPr>
          <w:rFonts w:ascii="Arial" w:hAnsi="Arial" w:cs="Arial"/>
          <w:sz w:val="22"/>
          <w:szCs w:val="22"/>
        </w:rPr>
        <w:t>Authorised Person, which</w:t>
      </w:r>
      <w:r w:rsidRPr="00E4265B">
        <w:rPr>
          <w:rFonts w:ascii="Arial" w:hAnsi="Arial" w:cs="Arial"/>
          <w:sz w:val="22"/>
          <w:szCs w:val="22"/>
        </w:rPr>
        <w:t xml:space="preserve"> is responsible for auditing its accounts; and</w:t>
      </w:r>
    </w:p>
    <w:p w14:paraId="3C13F42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is fully satisfied that any foreseeable charge or dividend has been deducted from the amount of those net profits.</w:t>
      </w:r>
    </w:p>
    <w:p w14:paraId="648AEE2F"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40E075BD" w14:textId="2EB5EEF6" w:rsidR="00E22FF2" w:rsidRPr="00E4265B" w:rsidRDefault="00E22FF2" w:rsidP="008F5C01">
      <w:pPr>
        <w:pStyle w:val="UK12Block05"/>
        <w:rPr>
          <w:rFonts w:ascii="Arial" w:hAnsi="Arial" w:cs="Arial"/>
          <w:sz w:val="22"/>
          <w:szCs w:val="22"/>
          <w:lang w:val="en-GB"/>
        </w:rPr>
      </w:pPr>
      <w:r w:rsidRPr="00E4265B">
        <w:rPr>
          <w:rFonts w:ascii="Arial" w:hAnsi="Arial" w:cs="Arial"/>
          <w:sz w:val="22"/>
          <w:szCs w:val="22"/>
          <w:lang w:val="en-GB"/>
        </w:rPr>
        <w:t>The review of the interim or year</w:t>
      </w:r>
      <w:r w:rsidRPr="00E4265B">
        <w:rPr>
          <w:rFonts w:ascii="Arial" w:hAnsi="Arial" w:cs="Arial"/>
          <w:sz w:val="22"/>
          <w:szCs w:val="22"/>
          <w:lang w:val="en-GB"/>
        </w:rPr>
        <w:noBreakHyphen/>
        <w:t xml:space="preserve">end profits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referred to in Rule 3.1</w:t>
      </w:r>
      <w:r w:rsidR="00690FB1" w:rsidRPr="00E4265B">
        <w:rPr>
          <w:rFonts w:ascii="Arial" w:hAnsi="Arial" w:cs="Arial"/>
          <w:sz w:val="22"/>
          <w:szCs w:val="22"/>
          <w:lang w:val="en-GB"/>
        </w:rPr>
        <w:t>0</w:t>
      </w:r>
      <w:r w:rsidRPr="00E4265B">
        <w:rPr>
          <w:rFonts w:ascii="Arial" w:hAnsi="Arial" w:cs="Arial"/>
          <w:sz w:val="22"/>
          <w:szCs w:val="22"/>
          <w:lang w:val="en-GB"/>
        </w:rPr>
        <w:t xml:space="preserve">.4 should </w:t>
      </w:r>
      <w:r w:rsidR="009A095E" w:rsidRPr="00E4265B">
        <w:rPr>
          <w:rFonts w:ascii="Arial" w:hAnsi="Arial" w:cs="Arial"/>
          <w:sz w:val="22"/>
          <w:szCs w:val="22"/>
          <w:lang w:val="en-GB"/>
        </w:rPr>
        <w:t xml:space="preserve">be undertaken in accordance with the requirements of GEN 6 and </w:t>
      </w:r>
      <w:r w:rsidRPr="00E4265B">
        <w:rPr>
          <w:rFonts w:ascii="Arial" w:hAnsi="Arial" w:cs="Arial"/>
          <w:sz w:val="22"/>
          <w:szCs w:val="22"/>
          <w:lang w:val="en-GB"/>
        </w:rPr>
        <w:t xml:space="preserve">provide an adequate level of assurance that those profits have been evaluated in accordance with the principles set out in the International Financial Reporting Standards. The Regulator may request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provide </w:t>
      </w:r>
      <w:r w:rsidR="00D77FC6" w:rsidRPr="00E4265B">
        <w:rPr>
          <w:rFonts w:ascii="Arial" w:hAnsi="Arial" w:cs="Arial"/>
          <w:sz w:val="22"/>
          <w:szCs w:val="22"/>
          <w:lang w:val="en-GB"/>
        </w:rPr>
        <w:t>it with a copy of its external A</w:t>
      </w:r>
      <w:r w:rsidRPr="00E4265B">
        <w:rPr>
          <w:rFonts w:ascii="Arial" w:hAnsi="Arial" w:cs="Arial"/>
          <w:sz w:val="22"/>
          <w:szCs w:val="22"/>
          <w:lang w:val="en-GB"/>
        </w:rPr>
        <w:t>uditor's opinion on whether the interim profits are reasonably stated.</w:t>
      </w:r>
    </w:p>
    <w:p w14:paraId="7E11A661"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CET1 Adjustments</w:t>
      </w:r>
    </w:p>
    <w:p w14:paraId="0628C576"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in the calculation of CET1 Capital, exclude the following: </w:t>
      </w:r>
    </w:p>
    <w:p w14:paraId="652BFAD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any increase in its equity under the International Financial Reporting Standards</w:t>
      </w:r>
      <w:r w:rsidR="00F01474" w:rsidRPr="00E4265B">
        <w:rPr>
          <w:rFonts w:ascii="Arial" w:hAnsi="Arial" w:cs="Arial"/>
          <w:sz w:val="22"/>
          <w:szCs w:val="22"/>
        </w:rPr>
        <w:t>,</w:t>
      </w:r>
      <w:r w:rsidRPr="00E4265B">
        <w:rPr>
          <w:rFonts w:ascii="Arial" w:hAnsi="Arial" w:cs="Arial"/>
          <w:sz w:val="22"/>
          <w:szCs w:val="22"/>
        </w:rPr>
        <w:t xml:space="preserve"> including:</w:t>
      </w:r>
    </w:p>
    <w:p w14:paraId="6342BBB5"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 xml:space="preserve">where such an increase is associated with future margin income that results in a gain on sale for the </w:t>
      </w:r>
      <w:r w:rsidR="000D1A90" w:rsidRPr="00E4265B">
        <w:rPr>
          <w:rFonts w:ascii="Arial" w:hAnsi="Arial" w:cs="Arial"/>
          <w:sz w:val="22"/>
          <w:szCs w:val="22"/>
        </w:rPr>
        <w:t>Authorised Person</w:t>
      </w:r>
      <w:r w:rsidRPr="00E4265B">
        <w:rPr>
          <w:rFonts w:ascii="Arial" w:hAnsi="Arial" w:cs="Arial"/>
          <w:sz w:val="22"/>
          <w:szCs w:val="22"/>
        </w:rPr>
        <w:t>; and</w:t>
      </w:r>
    </w:p>
    <w:p w14:paraId="1227F209"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 xml:space="preserve">where the </w:t>
      </w:r>
      <w:r w:rsidR="000D1A90" w:rsidRPr="00E4265B">
        <w:rPr>
          <w:rFonts w:ascii="Arial" w:hAnsi="Arial" w:cs="Arial"/>
          <w:sz w:val="22"/>
          <w:szCs w:val="22"/>
        </w:rPr>
        <w:t>Authorised Person</w:t>
      </w:r>
      <w:r w:rsidRPr="00E4265B">
        <w:rPr>
          <w:rFonts w:ascii="Arial" w:hAnsi="Arial" w:cs="Arial"/>
          <w:sz w:val="22"/>
          <w:szCs w:val="22"/>
        </w:rPr>
        <w:t xml:space="preserve"> is the Originator of a securitisation, net gains that arise from the capitalisation of future income from the securitised assets that provide Credit Enhancement to positions in the securitisation;</w:t>
      </w:r>
    </w:p>
    <w:p w14:paraId="217D109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amount of cash flow hedge reserve related to gains or losses on cash flow hedges of </w:t>
      </w:r>
      <w:r w:rsidR="00690BF6" w:rsidRPr="00E4265B">
        <w:rPr>
          <w:rFonts w:ascii="Arial" w:hAnsi="Arial" w:cs="Arial"/>
          <w:sz w:val="22"/>
          <w:szCs w:val="22"/>
        </w:rPr>
        <w:t>Financial Instruments</w:t>
      </w:r>
      <w:r w:rsidRPr="00E4265B">
        <w:rPr>
          <w:rFonts w:ascii="Arial" w:hAnsi="Arial" w:cs="Arial"/>
          <w:sz w:val="22"/>
          <w:szCs w:val="22"/>
        </w:rPr>
        <w:t xml:space="preserve"> that are not valued at fair value, including projected cash flows; and</w:t>
      </w:r>
    </w:p>
    <w:p w14:paraId="55F2827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all unrealised gains or losses on liabilities of the </w:t>
      </w:r>
      <w:r w:rsidR="000D1A90" w:rsidRPr="00E4265B">
        <w:rPr>
          <w:rFonts w:ascii="Arial" w:hAnsi="Arial" w:cs="Arial"/>
          <w:sz w:val="22"/>
          <w:szCs w:val="22"/>
        </w:rPr>
        <w:t>Authorised Person</w:t>
      </w:r>
      <w:r w:rsidRPr="00E4265B">
        <w:rPr>
          <w:rFonts w:ascii="Arial" w:hAnsi="Arial" w:cs="Arial"/>
          <w:sz w:val="22"/>
          <w:szCs w:val="22"/>
        </w:rPr>
        <w:t xml:space="preserve"> that are valued at fair value, and which result from changes in the </w:t>
      </w:r>
      <w:r w:rsidR="000D1A90" w:rsidRPr="00E4265B">
        <w:rPr>
          <w:rFonts w:ascii="Arial" w:hAnsi="Arial" w:cs="Arial"/>
          <w:sz w:val="22"/>
          <w:szCs w:val="22"/>
        </w:rPr>
        <w:t>Authorised Person</w:t>
      </w:r>
      <w:r w:rsidRPr="00E4265B">
        <w:rPr>
          <w:rFonts w:ascii="Arial" w:hAnsi="Arial" w:cs="Arial"/>
          <w:sz w:val="22"/>
          <w:szCs w:val="22"/>
        </w:rPr>
        <w:t xml:space="preserve">'s own credit quality, except when such gains or losses are offset by a change in the fair value of another </w:t>
      </w:r>
      <w:r w:rsidR="00690BF6" w:rsidRPr="00E4265B">
        <w:rPr>
          <w:rFonts w:ascii="Arial" w:hAnsi="Arial" w:cs="Arial"/>
          <w:sz w:val="22"/>
          <w:szCs w:val="22"/>
        </w:rPr>
        <w:t>Financial Instrument</w:t>
      </w:r>
      <w:r w:rsidRPr="00E4265B">
        <w:rPr>
          <w:rFonts w:ascii="Arial" w:hAnsi="Arial" w:cs="Arial"/>
          <w:sz w:val="22"/>
          <w:szCs w:val="22"/>
        </w:rPr>
        <w:t xml:space="preserve"> which is measured at fair value and resulting from changes in the </w:t>
      </w:r>
      <w:r w:rsidR="000D1A90" w:rsidRPr="00E4265B">
        <w:rPr>
          <w:rFonts w:ascii="Arial" w:hAnsi="Arial" w:cs="Arial"/>
          <w:sz w:val="22"/>
          <w:szCs w:val="22"/>
        </w:rPr>
        <w:t>Authorised Person</w:t>
      </w:r>
      <w:r w:rsidRPr="00E4265B">
        <w:rPr>
          <w:rFonts w:ascii="Arial" w:hAnsi="Arial" w:cs="Arial"/>
          <w:sz w:val="22"/>
          <w:szCs w:val="22"/>
        </w:rPr>
        <w:t>'s own credit quality.</w:t>
      </w:r>
    </w:p>
    <w:p w14:paraId="5383001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Except for the items referred to in Rule 3.1</w:t>
      </w:r>
      <w:r w:rsidR="00690FB1" w:rsidRPr="00E4265B">
        <w:rPr>
          <w:rFonts w:ascii="Arial" w:hAnsi="Arial" w:cs="Arial"/>
          <w:sz w:val="22"/>
          <w:szCs w:val="22"/>
        </w:rPr>
        <w:t>0</w:t>
      </w:r>
      <w:r w:rsidRPr="00E4265B">
        <w:rPr>
          <w:rFonts w:ascii="Arial" w:hAnsi="Arial" w:cs="Arial"/>
          <w:sz w:val="22"/>
          <w:szCs w:val="22"/>
        </w:rPr>
        <w:t xml:space="preserve">.5, an </w:t>
      </w:r>
      <w:r w:rsidR="000D1A90" w:rsidRPr="00E4265B">
        <w:rPr>
          <w:rFonts w:ascii="Arial" w:hAnsi="Arial" w:cs="Arial"/>
          <w:sz w:val="22"/>
          <w:szCs w:val="22"/>
        </w:rPr>
        <w:t>Authorised Person</w:t>
      </w:r>
      <w:r w:rsidRPr="00E4265B">
        <w:rPr>
          <w:rFonts w:ascii="Arial" w:hAnsi="Arial" w:cs="Arial"/>
          <w:sz w:val="22"/>
          <w:szCs w:val="22"/>
        </w:rPr>
        <w:t xml:space="preserve"> must not make any adjustments to remove from its Capital Resources unrealised gains or losses on </w:t>
      </w:r>
      <w:r w:rsidR="00690FB1" w:rsidRPr="00E4265B">
        <w:rPr>
          <w:rFonts w:ascii="Arial" w:hAnsi="Arial" w:cs="Arial"/>
          <w:sz w:val="22"/>
          <w:szCs w:val="22"/>
        </w:rPr>
        <w:t>its</w:t>
      </w:r>
      <w:r w:rsidRPr="00E4265B">
        <w:rPr>
          <w:rFonts w:ascii="Arial" w:hAnsi="Arial" w:cs="Arial"/>
          <w:sz w:val="22"/>
          <w:szCs w:val="22"/>
        </w:rPr>
        <w:t xml:space="preserve"> assets or liabilities measured at fair value.</w:t>
      </w:r>
    </w:p>
    <w:p w14:paraId="63A85B48"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4CC2D7EF"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expected to follow the guidance provided in respect of prudent valuation in Section 2.4 and in App2, in valuing all its assets measured at fair value while calculating its Capital Resources.</w:t>
      </w:r>
    </w:p>
    <w:p w14:paraId="69E2D28C" w14:textId="0655002A" w:rsidR="00E22FF2" w:rsidRPr="00E4265B" w:rsidRDefault="00E22FF2" w:rsidP="00361579">
      <w:pPr>
        <w:pStyle w:val="TitleL5"/>
        <w:rPr>
          <w:rFonts w:ascii="Arial" w:hAnsi="Arial" w:cs="Arial"/>
          <w:sz w:val="22"/>
          <w:szCs w:val="22"/>
          <w:lang w:val="en-GB"/>
        </w:rPr>
      </w:pPr>
      <w:r w:rsidRPr="00E4265B">
        <w:rPr>
          <w:rFonts w:ascii="Arial" w:hAnsi="Arial" w:cs="Arial"/>
          <w:sz w:val="22"/>
          <w:szCs w:val="22"/>
          <w:lang w:val="en-GB"/>
        </w:rPr>
        <w:lastRenderedPageBreak/>
        <w:t>CET1 </w:t>
      </w:r>
      <w:r w:rsidR="00361579" w:rsidRPr="00E4265B">
        <w:rPr>
          <w:rFonts w:ascii="Arial" w:hAnsi="Arial" w:cs="Arial"/>
          <w:sz w:val="22"/>
          <w:szCs w:val="22"/>
          <w:lang w:val="en-GB"/>
        </w:rPr>
        <w:t>D</w:t>
      </w:r>
      <w:r w:rsidR="00690FB1" w:rsidRPr="00E4265B">
        <w:rPr>
          <w:rFonts w:ascii="Arial" w:hAnsi="Arial" w:cs="Arial"/>
          <w:sz w:val="22"/>
          <w:szCs w:val="22"/>
          <w:lang w:val="en-GB"/>
        </w:rPr>
        <w:t>eductions</w:t>
      </w:r>
    </w:p>
    <w:p w14:paraId="3DB44630"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Subject to the following Rules in this Section, an </w:t>
      </w:r>
      <w:r w:rsidR="000D1A90" w:rsidRPr="00E4265B">
        <w:rPr>
          <w:rFonts w:ascii="Arial" w:hAnsi="Arial" w:cs="Arial"/>
          <w:sz w:val="22"/>
          <w:szCs w:val="22"/>
        </w:rPr>
        <w:t>Authorised Person</w:t>
      </w:r>
      <w:r w:rsidRPr="00E4265B">
        <w:rPr>
          <w:rFonts w:ascii="Arial" w:hAnsi="Arial" w:cs="Arial"/>
          <w:sz w:val="22"/>
          <w:szCs w:val="22"/>
        </w:rPr>
        <w:t xml:space="preserve"> must deduct the following from the calculation of its CET1 Capital:</w:t>
      </w:r>
    </w:p>
    <w:p w14:paraId="47F5668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losses for the current financial year;</w:t>
      </w:r>
    </w:p>
    <w:p w14:paraId="2C6BCAC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goodwill and other intangible assets as defined in the International Financial Reporting Standards;</w:t>
      </w:r>
    </w:p>
    <w:p w14:paraId="3E4FC7F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deferred tax assets that rely on future profitability;</w:t>
      </w:r>
    </w:p>
    <w:p w14:paraId="15B6BF4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defined benefit pension fund assets of the </w:t>
      </w:r>
      <w:r w:rsidR="000D1A90" w:rsidRPr="00E4265B">
        <w:rPr>
          <w:rFonts w:ascii="Arial" w:hAnsi="Arial" w:cs="Arial"/>
          <w:sz w:val="22"/>
          <w:szCs w:val="22"/>
        </w:rPr>
        <w:t>Authorised Person</w:t>
      </w:r>
      <w:r w:rsidRPr="00E4265B">
        <w:rPr>
          <w:rFonts w:ascii="Arial" w:hAnsi="Arial" w:cs="Arial"/>
          <w:sz w:val="22"/>
          <w:szCs w:val="22"/>
        </w:rPr>
        <w:t>;</w:t>
      </w:r>
    </w:p>
    <w:p w14:paraId="1ED5906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applicable amount, by reference to Rule 3.1</w:t>
      </w:r>
      <w:r w:rsidR="00690FB1" w:rsidRPr="00E4265B">
        <w:rPr>
          <w:rFonts w:ascii="Arial" w:hAnsi="Arial" w:cs="Arial"/>
          <w:sz w:val="22"/>
          <w:szCs w:val="22"/>
        </w:rPr>
        <w:t>0</w:t>
      </w:r>
      <w:r w:rsidRPr="00E4265B">
        <w:rPr>
          <w:rFonts w:ascii="Arial" w:hAnsi="Arial" w:cs="Arial"/>
          <w:sz w:val="22"/>
          <w:szCs w:val="22"/>
        </w:rPr>
        <w:t xml:space="preserve">.12, of direct and indirect holdings by an </w:t>
      </w:r>
      <w:r w:rsidR="000D1A90" w:rsidRPr="00E4265B">
        <w:rPr>
          <w:rFonts w:ascii="Arial" w:hAnsi="Arial" w:cs="Arial"/>
          <w:sz w:val="22"/>
          <w:szCs w:val="22"/>
        </w:rPr>
        <w:t>Authorised Person</w:t>
      </w:r>
      <w:r w:rsidRPr="00E4265B">
        <w:rPr>
          <w:rFonts w:ascii="Arial" w:hAnsi="Arial" w:cs="Arial"/>
          <w:sz w:val="22"/>
          <w:szCs w:val="22"/>
        </w:rPr>
        <w:t xml:space="preserve"> of its own CET1 Capital instruments including instruments under which an </w:t>
      </w:r>
      <w:r w:rsidR="000D1A90" w:rsidRPr="00E4265B">
        <w:rPr>
          <w:rFonts w:ascii="Arial" w:hAnsi="Arial" w:cs="Arial"/>
          <w:sz w:val="22"/>
          <w:szCs w:val="22"/>
        </w:rPr>
        <w:t>Authorised Person</w:t>
      </w:r>
      <w:r w:rsidRPr="00E4265B">
        <w:rPr>
          <w:rFonts w:ascii="Arial" w:hAnsi="Arial" w:cs="Arial"/>
          <w:sz w:val="22"/>
          <w:szCs w:val="22"/>
        </w:rPr>
        <w:t xml:space="preserve"> is under an actual or contingent obligation to effect a purchase by virtue of an existing contractual obligation;</w:t>
      </w:r>
    </w:p>
    <w:p w14:paraId="0212092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holdings of the CET1 Capital instruments of Relevant Entities where those entities have a reciprocal cross holding with the </w:t>
      </w:r>
      <w:r w:rsidR="000D1A90" w:rsidRPr="00E4265B">
        <w:rPr>
          <w:rFonts w:ascii="Arial" w:hAnsi="Arial" w:cs="Arial"/>
          <w:sz w:val="22"/>
          <w:szCs w:val="22"/>
        </w:rPr>
        <w:t>Authorised Person</w:t>
      </w:r>
      <w:r w:rsidRPr="00E4265B">
        <w:rPr>
          <w:rFonts w:ascii="Arial" w:hAnsi="Arial" w:cs="Arial"/>
          <w:sz w:val="22"/>
          <w:szCs w:val="22"/>
        </w:rPr>
        <w:t xml:space="preserve"> which have the effect of artificially inflating the Capital Resources of the </w:t>
      </w:r>
      <w:r w:rsidR="000D1A90" w:rsidRPr="00E4265B">
        <w:rPr>
          <w:rFonts w:ascii="Arial" w:hAnsi="Arial" w:cs="Arial"/>
          <w:sz w:val="22"/>
          <w:szCs w:val="22"/>
        </w:rPr>
        <w:t>Authorised Person</w:t>
      </w:r>
      <w:r w:rsidRPr="00E4265B">
        <w:rPr>
          <w:rFonts w:ascii="Arial" w:hAnsi="Arial" w:cs="Arial"/>
          <w:sz w:val="22"/>
          <w:szCs w:val="22"/>
        </w:rPr>
        <w:t>;</w:t>
      </w:r>
    </w:p>
    <w:p w14:paraId="08F4E99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applicable amount, by reference to Rule 3.1</w:t>
      </w:r>
      <w:r w:rsidR="00690FB1" w:rsidRPr="00E4265B">
        <w:rPr>
          <w:rFonts w:ascii="Arial" w:hAnsi="Arial" w:cs="Arial"/>
          <w:sz w:val="22"/>
          <w:szCs w:val="22"/>
        </w:rPr>
        <w:t>0</w:t>
      </w:r>
      <w:r w:rsidRPr="00E4265B">
        <w:rPr>
          <w:rFonts w:ascii="Arial" w:hAnsi="Arial" w:cs="Arial"/>
          <w:sz w:val="22"/>
          <w:szCs w:val="22"/>
        </w:rPr>
        <w:t xml:space="preserve">.13, of direct and indirect holdings by the </w:t>
      </w:r>
      <w:r w:rsidR="000D1A90" w:rsidRPr="00E4265B">
        <w:rPr>
          <w:rFonts w:ascii="Arial" w:hAnsi="Arial" w:cs="Arial"/>
          <w:sz w:val="22"/>
          <w:szCs w:val="22"/>
        </w:rPr>
        <w:t>Authorised Person</w:t>
      </w:r>
      <w:r w:rsidRPr="00E4265B">
        <w:rPr>
          <w:rFonts w:ascii="Arial" w:hAnsi="Arial" w:cs="Arial"/>
          <w:sz w:val="22"/>
          <w:szCs w:val="22"/>
        </w:rPr>
        <w:t xml:space="preserve"> of CET1 Capital instruments of Relevant Entities where the </w:t>
      </w:r>
      <w:r w:rsidR="000D1A90" w:rsidRPr="00E4265B">
        <w:rPr>
          <w:rFonts w:ascii="Arial" w:hAnsi="Arial" w:cs="Arial"/>
          <w:sz w:val="22"/>
          <w:szCs w:val="22"/>
        </w:rPr>
        <w:t>Authorised Person</w:t>
      </w:r>
      <w:r w:rsidRPr="00E4265B">
        <w:rPr>
          <w:rFonts w:ascii="Arial" w:hAnsi="Arial" w:cs="Arial"/>
          <w:sz w:val="22"/>
          <w:szCs w:val="22"/>
        </w:rPr>
        <w:t xml:space="preserve"> does not have a significant investment in those entities;</w:t>
      </w:r>
    </w:p>
    <w:p w14:paraId="36B12A7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applicable amount, by reference to Rules 3.1</w:t>
      </w:r>
      <w:r w:rsidR="00690FB1" w:rsidRPr="00E4265B">
        <w:rPr>
          <w:rFonts w:ascii="Arial" w:hAnsi="Arial" w:cs="Arial"/>
          <w:sz w:val="22"/>
          <w:szCs w:val="22"/>
        </w:rPr>
        <w:t>0</w:t>
      </w:r>
      <w:r w:rsidRPr="00E4265B">
        <w:rPr>
          <w:rFonts w:ascii="Arial" w:hAnsi="Arial" w:cs="Arial"/>
          <w:sz w:val="22"/>
          <w:szCs w:val="22"/>
        </w:rPr>
        <w:t>.13 and 3.1</w:t>
      </w:r>
      <w:r w:rsidR="00690FB1" w:rsidRPr="00E4265B">
        <w:rPr>
          <w:rFonts w:ascii="Arial" w:hAnsi="Arial" w:cs="Arial"/>
          <w:sz w:val="22"/>
          <w:szCs w:val="22"/>
        </w:rPr>
        <w:t>0</w:t>
      </w:r>
      <w:r w:rsidRPr="00E4265B">
        <w:rPr>
          <w:rFonts w:ascii="Arial" w:hAnsi="Arial" w:cs="Arial"/>
          <w:sz w:val="22"/>
          <w:szCs w:val="22"/>
        </w:rPr>
        <w:t xml:space="preserve">.18, of direct and indirect holdings by the </w:t>
      </w:r>
      <w:r w:rsidR="000D1A90" w:rsidRPr="00E4265B">
        <w:rPr>
          <w:rFonts w:ascii="Arial" w:hAnsi="Arial" w:cs="Arial"/>
          <w:sz w:val="22"/>
          <w:szCs w:val="22"/>
        </w:rPr>
        <w:t>Authorised Person</w:t>
      </w:r>
      <w:r w:rsidRPr="00E4265B">
        <w:rPr>
          <w:rFonts w:ascii="Arial" w:hAnsi="Arial" w:cs="Arial"/>
          <w:sz w:val="22"/>
          <w:szCs w:val="22"/>
        </w:rPr>
        <w:t xml:space="preserve"> of the CET1 Capital instruments of Relevant Entities where the </w:t>
      </w:r>
      <w:r w:rsidR="000D1A90" w:rsidRPr="00E4265B">
        <w:rPr>
          <w:rFonts w:ascii="Arial" w:hAnsi="Arial" w:cs="Arial"/>
          <w:sz w:val="22"/>
          <w:szCs w:val="22"/>
        </w:rPr>
        <w:t>Authorised Person</w:t>
      </w:r>
      <w:r w:rsidRPr="00E4265B">
        <w:rPr>
          <w:rFonts w:ascii="Arial" w:hAnsi="Arial" w:cs="Arial"/>
          <w:sz w:val="22"/>
          <w:szCs w:val="22"/>
        </w:rPr>
        <w:t xml:space="preserve"> has a significant investment in those entities;</w:t>
      </w:r>
    </w:p>
    <w:p w14:paraId="45B69F9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amount of items required to be deducted from the calculation of AT1 Capital in accordance with the relevant Rules under Section 3.1</w:t>
      </w:r>
      <w:r w:rsidR="00690FB1" w:rsidRPr="00E4265B">
        <w:rPr>
          <w:rFonts w:ascii="Arial" w:hAnsi="Arial" w:cs="Arial"/>
          <w:sz w:val="22"/>
          <w:szCs w:val="22"/>
        </w:rPr>
        <w:t>1</w:t>
      </w:r>
      <w:r w:rsidRPr="00E4265B">
        <w:rPr>
          <w:rFonts w:ascii="Arial" w:hAnsi="Arial" w:cs="Arial"/>
          <w:sz w:val="22"/>
          <w:szCs w:val="22"/>
        </w:rPr>
        <w:t xml:space="preserve">, that exceeds the AT1 Capital of the </w:t>
      </w:r>
      <w:r w:rsidR="000D1A90" w:rsidRPr="00E4265B">
        <w:rPr>
          <w:rFonts w:ascii="Arial" w:hAnsi="Arial" w:cs="Arial"/>
          <w:sz w:val="22"/>
          <w:szCs w:val="22"/>
        </w:rPr>
        <w:t>Authorised Person</w:t>
      </w:r>
      <w:r w:rsidRPr="00E4265B">
        <w:rPr>
          <w:rFonts w:ascii="Arial" w:hAnsi="Arial" w:cs="Arial"/>
          <w:sz w:val="22"/>
          <w:szCs w:val="22"/>
        </w:rPr>
        <w:t xml:space="preserve">; </w:t>
      </w:r>
    </w:p>
    <w:p w14:paraId="0A1621C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Exposure amount of the following items which qualify for a risk weight of 1000%, where the </w:t>
      </w:r>
      <w:r w:rsidR="000D1A90" w:rsidRPr="00E4265B">
        <w:rPr>
          <w:rFonts w:ascii="Arial" w:hAnsi="Arial" w:cs="Arial"/>
          <w:sz w:val="22"/>
          <w:szCs w:val="22"/>
        </w:rPr>
        <w:t>Authorised Person</w:t>
      </w:r>
      <w:r w:rsidRPr="00E4265B">
        <w:rPr>
          <w:rFonts w:ascii="Arial" w:hAnsi="Arial" w:cs="Arial"/>
          <w:sz w:val="22"/>
          <w:szCs w:val="22"/>
        </w:rPr>
        <w:t xml:space="preserve"> deducts that Exposure amount from CET1 Capital as an alternative to applying a risk weight of 1000%</w:t>
      </w:r>
      <w:r w:rsidR="00690FB1" w:rsidRPr="00E4265B">
        <w:rPr>
          <w:rFonts w:ascii="Arial" w:hAnsi="Arial" w:cs="Arial"/>
          <w:sz w:val="22"/>
          <w:szCs w:val="22"/>
        </w:rPr>
        <w:t>:</w:t>
      </w:r>
    </w:p>
    <w:p w14:paraId="0E1A9DAC"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Qualifying Holdings;</w:t>
      </w:r>
    </w:p>
    <w:p w14:paraId="2E1F82D0"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securitisation positions, in accordance with relevant Rules in Chapter 4; and</w:t>
      </w:r>
    </w:p>
    <w:p w14:paraId="09EA294D"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free deliveries, in accordance with the Rules in Section A4.6; and</w:t>
      </w:r>
    </w:p>
    <w:p w14:paraId="773F2A3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for an </w:t>
      </w:r>
      <w:r w:rsidR="000D1A90" w:rsidRPr="00E4265B">
        <w:rPr>
          <w:rFonts w:ascii="Arial" w:hAnsi="Arial" w:cs="Arial"/>
          <w:sz w:val="22"/>
          <w:szCs w:val="22"/>
        </w:rPr>
        <w:t>Authorised Person</w:t>
      </w:r>
      <w:r w:rsidRPr="00E4265B">
        <w:rPr>
          <w:rFonts w:ascii="Arial" w:hAnsi="Arial" w:cs="Arial"/>
          <w:sz w:val="22"/>
          <w:szCs w:val="22"/>
        </w:rPr>
        <w:t xml:space="preserve"> which is a Partnership, the amount by which the aggregate of the amounts withdrawn by its </w:t>
      </w:r>
      <w:r w:rsidR="00BC49E0" w:rsidRPr="00E4265B">
        <w:rPr>
          <w:rFonts w:ascii="Arial" w:hAnsi="Arial" w:cs="Arial"/>
          <w:sz w:val="22"/>
          <w:szCs w:val="22"/>
        </w:rPr>
        <w:t>Partner</w:t>
      </w:r>
      <w:r w:rsidRPr="00E4265B">
        <w:rPr>
          <w:rFonts w:ascii="Arial" w:hAnsi="Arial" w:cs="Arial"/>
          <w:sz w:val="22"/>
          <w:szCs w:val="22"/>
        </w:rPr>
        <w:t>s or members exceeds the profits of that firm.</w:t>
      </w:r>
    </w:p>
    <w:p w14:paraId="4D445A00" w14:textId="33AEA6D7" w:rsidR="00E22FF2" w:rsidRPr="00E4265B" w:rsidRDefault="00E22FF2" w:rsidP="00361579">
      <w:pPr>
        <w:pStyle w:val="TitleL5"/>
        <w:rPr>
          <w:rFonts w:ascii="Arial" w:hAnsi="Arial" w:cs="Arial"/>
          <w:sz w:val="22"/>
          <w:szCs w:val="22"/>
          <w:lang w:val="en-GB"/>
        </w:rPr>
      </w:pPr>
      <w:r w:rsidRPr="00E4265B">
        <w:rPr>
          <w:rFonts w:ascii="Arial" w:hAnsi="Arial" w:cs="Arial"/>
          <w:sz w:val="22"/>
          <w:szCs w:val="22"/>
          <w:lang w:val="en-GB"/>
        </w:rPr>
        <w:lastRenderedPageBreak/>
        <w:t>CET1 </w:t>
      </w:r>
      <w:r w:rsidR="00361579" w:rsidRPr="00E4265B">
        <w:rPr>
          <w:rFonts w:ascii="Arial" w:hAnsi="Arial" w:cs="Arial"/>
          <w:sz w:val="22"/>
          <w:szCs w:val="22"/>
          <w:lang w:val="en-GB"/>
        </w:rPr>
        <w:t>D</w:t>
      </w:r>
      <w:r w:rsidR="00690FB1" w:rsidRPr="00E4265B">
        <w:rPr>
          <w:rFonts w:ascii="Arial" w:hAnsi="Arial" w:cs="Arial"/>
          <w:sz w:val="22"/>
          <w:szCs w:val="22"/>
          <w:lang w:val="en-GB"/>
        </w:rPr>
        <w:t xml:space="preserve">eductions - </w:t>
      </w:r>
      <w:r w:rsidRPr="00E4265B">
        <w:rPr>
          <w:rFonts w:ascii="Arial" w:hAnsi="Arial" w:cs="Arial"/>
          <w:sz w:val="22"/>
          <w:szCs w:val="22"/>
          <w:lang w:val="en-GB"/>
        </w:rPr>
        <w:t>intangible assets</w:t>
      </w:r>
    </w:p>
    <w:p w14:paraId="523D84F2"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For the purposes of Rule 3.1</w:t>
      </w:r>
      <w:r w:rsidR="00690FB1" w:rsidRPr="00E4265B">
        <w:rPr>
          <w:rFonts w:ascii="Arial" w:hAnsi="Arial" w:cs="Arial"/>
          <w:sz w:val="22"/>
          <w:szCs w:val="22"/>
        </w:rPr>
        <w:t>0</w:t>
      </w:r>
      <w:r w:rsidRPr="00E4265B">
        <w:rPr>
          <w:rFonts w:ascii="Arial" w:hAnsi="Arial" w:cs="Arial"/>
          <w:sz w:val="22"/>
          <w:szCs w:val="22"/>
        </w:rPr>
        <w:t xml:space="preserve">.7(b), an </w:t>
      </w:r>
      <w:r w:rsidR="000D1A90" w:rsidRPr="00E4265B">
        <w:rPr>
          <w:rFonts w:ascii="Arial" w:hAnsi="Arial" w:cs="Arial"/>
          <w:sz w:val="22"/>
          <w:szCs w:val="22"/>
        </w:rPr>
        <w:t>Authorised Person</w:t>
      </w:r>
      <w:r w:rsidRPr="00E4265B">
        <w:rPr>
          <w:rFonts w:ascii="Arial" w:hAnsi="Arial" w:cs="Arial"/>
          <w:sz w:val="22"/>
          <w:szCs w:val="22"/>
        </w:rPr>
        <w:t xml:space="preserve"> must determine the intangible assets to be deducted in accordance with the following:</w:t>
      </w:r>
    </w:p>
    <w:p w14:paraId="1D2214A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amount to be deducted must be reduced by the amount of associated deferred tax liabilities that would be extinguished if the intangible assets became impaired or were derecognised under the International Financial Reporting Standards; and</w:t>
      </w:r>
    </w:p>
    <w:p w14:paraId="3F8005B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amount to be deducted must include goodwill included i</w:t>
      </w:r>
      <w:r w:rsidR="00E0751B" w:rsidRPr="00E4265B">
        <w:rPr>
          <w:rFonts w:ascii="Arial" w:hAnsi="Arial" w:cs="Arial"/>
          <w:sz w:val="22"/>
          <w:szCs w:val="22"/>
        </w:rPr>
        <w:t>n the valuation of significant I</w:t>
      </w:r>
      <w:r w:rsidRPr="00E4265B">
        <w:rPr>
          <w:rFonts w:ascii="Arial" w:hAnsi="Arial" w:cs="Arial"/>
          <w:sz w:val="22"/>
          <w:szCs w:val="22"/>
        </w:rPr>
        <w:t xml:space="preserve">nvestments of the </w:t>
      </w:r>
      <w:r w:rsidR="000D1A90" w:rsidRPr="00E4265B">
        <w:rPr>
          <w:rFonts w:ascii="Arial" w:hAnsi="Arial" w:cs="Arial"/>
          <w:sz w:val="22"/>
          <w:szCs w:val="22"/>
        </w:rPr>
        <w:t>Authorised Person</w:t>
      </w:r>
      <w:r w:rsidRPr="00E4265B">
        <w:rPr>
          <w:rFonts w:ascii="Arial" w:hAnsi="Arial" w:cs="Arial"/>
          <w:sz w:val="22"/>
          <w:szCs w:val="22"/>
        </w:rPr>
        <w:t>.</w:t>
      </w:r>
    </w:p>
    <w:p w14:paraId="2D691C25" w14:textId="2D638901" w:rsidR="00E22FF2" w:rsidRPr="00E4265B" w:rsidRDefault="00E22FF2" w:rsidP="00361579">
      <w:pPr>
        <w:pStyle w:val="TitleL5"/>
        <w:rPr>
          <w:rFonts w:ascii="Arial" w:hAnsi="Arial" w:cs="Arial"/>
          <w:sz w:val="22"/>
          <w:szCs w:val="22"/>
          <w:lang w:val="en-GB"/>
        </w:rPr>
      </w:pPr>
      <w:r w:rsidRPr="00E4265B">
        <w:rPr>
          <w:rFonts w:ascii="Arial" w:hAnsi="Arial" w:cs="Arial"/>
          <w:sz w:val="22"/>
          <w:szCs w:val="22"/>
          <w:lang w:val="en-GB"/>
        </w:rPr>
        <w:t>CET1 </w:t>
      </w:r>
      <w:r w:rsidR="00361579" w:rsidRPr="00E4265B">
        <w:rPr>
          <w:rFonts w:ascii="Arial" w:hAnsi="Arial" w:cs="Arial"/>
          <w:sz w:val="22"/>
          <w:szCs w:val="22"/>
          <w:lang w:val="en-GB"/>
        </w:rPr>
        <w:t>D</w:t>
      </w:r>
      <w:r w:rsidR="00690FB1" w:rsidRPr="00E4265B">
        <w:rPr>
          <w:rFonts w:ascii="Arial" w:hAnsi="Arial" w:cs="Arial"/>
          <w:sz w:val="22"/>
          <w:szCs w:val="22"/>
          <w:lang w:val="en-GB"/>
        </w:rPr>
        <w:t xml:space="preserve">eductions - </w:t>
      </w:r>
      <w:r w:rsidRPr="00E4265B">
        <w:rPr>
          <w:rFonts w:ascii="Arial" w:hAnsi="Arial" w:cs="Arial"/>
          <w:sz w:val="22"/>
          <w:szCs w:val="22"/>
          <w:lang w:val="en-GB"/>
        </w:rPr>
        <w:t>deferred tax assets</w:t>
      </w:r>
    </w:p>
    <w:p w14:paraId="34699447" w14:textId="77777777" w:rsidR="00E22FF2" w:rsidRPr="00E4265B" w:rsidRDefault="00E22FF2" w:rsidP="00AF6EE8">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For the purposes of Rule 3.1</w:t>
      </w:r>
      <w:r w:rsidR="00690FB1" w:rsidRPr="00E4265B">
        <w:rPr>
          <w:rFonts w:ascii="Arial" w:hAnsi="Arial" w:cs="Arial"/>
          <w:sz w:val="22"/>
          <w:szCs w:val="22"/>
        </w:rPr>
        <w:t>0</w:t>
      </w:r>
      <w:r w:rsidRPr="00E4265B">
        <w:rPr>
          <w:rFonts w:ascii="Arial" w:hAnsi="Arial" w:cs="Arial"/>
          <w:sz w:val="22"/>
          <w:szCs w:val="22"/>
        </w:rPr>
        <w:t xml:space="preserve">.7(c), and subject to (2), the amount of deferred tax assets that rely on future profitability must be calculated without reducing it by the amount of the associated deferred tax liabilities of the </w:t>
      </w:r>
      <w:r w:rsidR="000D1A90" w:rsidRPr="00E4265B">
        <w:rPr>
          <w:rFonts w:ascii="Arial" w:hAnsi="Arial" w:cs="Arial"/>
          <w:sz w:val="22"/>
          <w:szCs w:val="22"/>
        </w:rPr>
        <w:t>Authorised Person</w:t>
      </w:r>
      <w:r w:rsidRPr="00E4265B">
        <w:rPr>
          <w:rFonts w:ascii="Arial" w:hAnsi="Arial" w:cs="Arial"/>
          <w:sz w:val="22"/>
          <w:szCs w:val="22"/>
        </w:rPr>
        <w:t>.</w:t>
      </w:r>
    </w:p>
    <w:p w14:paraId="516A43A8"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amount of deferred tax assets that rely on future profitability may be reduced by the amount of the associated deferred tax liabilities of the </w:t>
      </w:r>
      <w:r w:rsidR="000D1A90" w:rsidRPr="00E4265B">
        <w:rPr>
          <w:rFonts w:ascii="Arial" w:hAnsi="Arial" w:cs="Arial"/>
          <w:sz w:val="22"/>
          <w:szCs w:val="22"/>
          <w:lang w:val="en-GB"/>
        </w:rPr>
        <w:t>Authorised Person</w:t>
      </w:r>
      <w:r w:rsidRPr="00E4265B">
        <w:rPr>
          <w:rFonts w:ascii="Arial" w:hAnsi="Arial" w:cs="Arial"/>
          <w:sz w:val="22"/>
          <w:szCs w:val="22"/>
          <w:lang w:val="en-GB"/>
        </w:rPr>
        <w:t>, provided the following conditions are met:</w:t>
      </w:r>
    </w:p>
    <w:p w14:paraId="74B25207"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those deferred tax assets and associated deferred tax liabilities both arise from the tax law of the same tax jurisdiction; and</w:t>
      </w:r>
    </w:p>
    <w:p w14:paraId="7801DA1D"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taxation authority of that tax jurisdiction permits the offsetting of deferred tax assets and the associated deferred tax liabilities.</w:t>
      </w:r>
    </w:p>
    <w:p w14:paraId="7A19893C"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40B2C8FE"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Deferred tax assets are assets that may be used to reduce the amount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future tax obligations. Associated deferred tax liabilities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used for the purposes of Rule 3.1</w:t>
      </w:r>
      <w:r w:rsidR="00690FB1" w:rsidRPr="00E4265B">
        <w:rPr>
          <w:rFonts w:ascii="Arial" w:hAnsi="Arial" w:cs="Arial"/>
          <w:sz w:val="22"/>
          <w:szCs w:val="22"/>
          <w:lang w:val="en-GB"/>
        </w:rPr>
        <w:t>0</w:t>
      </w:r>
      <w:r w:rsidRPr="00E4265B">
        <w:rPr>
          <w:rFonts w:ascii="Arial" w:hAnsi="Arial" w:cs="Arial"/>
          <w:sz w:val="22"/>
          <w:szCs w:val="22"/>
          <w:lang w:val="en-GB"/>
        </w:rPr>
        <w:t>.9 may not include deferred tax liabilities that reduce the amount of intangible assets or defined benefit pension fund assets required to be deducted. The amount of associated deferred tax liabilities referred to in this guidance should be allocated between the following:</w:t>
      </w:r>
    </w:p>
    <w:p w14:paraId="25D59E67"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deferred tax assets that rely on future profitability and arise from temporary differences that are not deducted as part of a threshold exemption for deductions from CET 1 Capital; and</w:t>
      </w:r>
    </w:p>
    <w:p w14:paraId="0F2A9F00"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all other deferred tax assets that rely on future profitability.</w:t>
      </w:r>
    </w:p>
    <w:p w14:paraId="712284B6" w14:textId="7967BB88" w:rsidR="00E22FF2" w:rsidRPr="00E4265B" w:rsidRDefault="00E22FF2" w:rsidP="00873D18">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allocate the associated deferred tax liabilities according to the proportion of deferred tax assets that rely on future profitability that the items referred to in Guidance note 1.a. and b. represent.</w:t>
      </w:r>
    </w:p>
    <w:p w14:paraId="544A1F6B" w14:textId="77777777" w:rsidR="00E22FF2" w:rsidRPr="00E4265B" w:rsidRDefault="00E22FF2" w:rsidP="00AF6EE8">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apply a risk weight in accordance with Chapter 4</w:t>
      </w:r>
      <w:r w:rsidR="00F01474" w:rsidRPr="00E4265B">
        <w:rPr>
          <w:rFonts w:ascii="Arial" w:hAnsi="Arial" w:cs="Arial"/>
          <w:sz w:val="22"/>
          <w:szCs w:val="22"/>
        </w:rPr>
        <w:t>,</w:t>
      </w:r>
      <w:r w:rsidRPr="00E4265B">
        <w:rPr>
          <w:rFonts w:ascii="Arial" w:hAnsi="Arial" w:cs="Arial"/>
          <w:sz w:val="22"/>
          <w:szCs w:val="22"/>
        </w:rPr>
        <w:t> as applicable, to deferred tax assets that do not rely on future profitability.</w:t>
      </w:r>
    </w:p>
    <w:p w14:paraId="3AA43BE4"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For the purpose of (1), deferred tax assets that do not rely on future profitability comprise the following:</w:t>
      </w:r>
    </w:p>
    <w:p w14:paraId="499A6282"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t xml:space="preserve">overpayments of tax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for the current year;</w:t>
      </w:r>
    </w:p>
    <w:p w14:paraId="42C1F669"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current year tax losses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carried back to previous years that give rise to a claim on, or a receivable from, a central government, regional government or local tax authority; and</w:t>
      </w:r>
    </w:p>
    <w:p w14:paraId="2616E42D"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deferred tax assets arising from temporary differences which, in the event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incurs a loss, becomes insolvent or enters liquidation, are replaced, on a mandatory and automatic basis in accordance with the applicable national law, with a claim on the central government of the jurisdiction in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incorporated which must absorb losses to the same degree as CET1 Capital instruments on a going concern basis and in the event of insolvency or liquidation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573C5781" w14:textId="77777777" w:rsidR="00E22FF2" w:rsidRPr="00E4265B" w:rsidRDefault="00690FB1" w:rsidP="0097615D">
      <w:pPr>
        <w:pStyle w:val="TitleL5"/>
        <w:rPr>
          <w:rFonts w:ascii="Arial" w:hAnsi="Arial" w:cs="Arial"/>
          <w:sz w:val="22"/>
          <w:szCs w:val="22"/>
          <w:lang w:val="en-GB"/>
        </w:rPr>
      </w:pPr>
      <w:r w:rsidRPr="00E4265B">
        <w:rPr>
          <w:rFonts w:ascii="Arial" w:hAnsi="Arial" w:cs="Arial"/>
          <w:sz w:val="22"/>
          <w:szCs w:val="22"/>
          <w:lang w:val="en-GB"/>
        </w:rPr>
        <w:t xml:space="preserve">CET1 </w:t>
      </w:r>
      <w:r w:rsidR="00E22FF2" w:rsidRPr="00E4265B">
        <w:rPr>
          <w:rFonts w:ascii="Arial" w:hAnsi="Arial" w:cs="Arial"/>
          <w:sz w:val="22"/>
          <w:szCs w:val="22"/>
          <w:lang w:val="en-GB"/>
        </w:rPr>
        <w:t xml:space="preserve">Deductions </w:t>
      </w:r>
      <w:r w:rsidRPr="00E4265B">
        <w:rPr>
          <w:rFonts w:ascii="Arial" w:hAnsi="Arial" w:cs="Arial"/>
          <w:sz w:val="22"/>
          <w:szCs w:val="22"/>
          <w:lang w:val="en-GB"/>
        </w:rPr>
        <w:t xml:space="preserve">- </w:t>
      </w:r>
      <w:r w:rsidR="00E22FF2" w:rsidRPr="00E4265B">
        <w:rPr>
          <w:rFonts w:ascii="Arial" w:hAnsi="Arial" w:cs="Arial"/>
          <w:sz w:val="22"/>
          <w:szCs w:val="22"/>
          <w:lang w:val="en-GB"/>
        </w:rPr>
        <w:t>defined benefit pension fund assets</w:t>
      </w:r>
    </w:p>
    <w:p w14:paraId="40F5E2C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For the purposes of Rule 3.1</w:t>
      </w:r>
      <w:r w:rsidR="00690FB1" w:rsidRPr="00E4265B">
        <w:rPr>
          <w:rFonts w:ascii="Arial" w:hAnsi="Arial" w:cs="Arial"/>
          <w:sz w:val="22"/>
          <w:szCs w:val="22"/>
        </w:rPr>
        <w:t>0</w:t>
      </w:r>
      <w:r w:rsidRPr="00E4265B">
        <w:rPr>
          <w:rFonts w:ascii="Arial" w:hAnsi="Arial" w:cs="Arial"/>
          <w:sz w:val="22"/>
          <w:szCs w:val="22"/>
        </w:rPr>
        <w:t>.7(d), the amount of defined benefit pension fund assets to be deducted from CET1 Capital must be reduced by the following:</w:t>
      </w:r>
    </w:p>
    <w:p w14:paraId="340AC4B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amount of any associated deferred tax liability which could be extinguished if the assets became impaired or were derecognised under the International Financial Reporting Standards; and</w:t>
      </w:r>
    </w:p>
    <w:p w14:paraId="1C2A609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amount of assets in the defined benefit pension fund which the </w:t>
      </w:r>
      <w:r w:rsidR="000D1A90" w:rsidRPr="00E4265B">
        <w:rPr>
          <w:rFonts w:ascii="Arial" w:hAnsi="Arial" w:cs="Arial"/>
          <w:sz w:val="22"/>
          <w:szCs w:val="22"/>
        </w:rPr>
        <w:t>Authorised Person</w:t>
      </w:r>
      <w:r w:rsidRPr="00E4265B">
        <w:rPr>
          <w:rFonts w:ascii="Arial" w:hAnsi="Arial" w:cs="Arial"/>
          <w:sz w:val="22"/>
          <w:szCs w:val="22"/>
        </w:rPr>
        <w:t xml:space="preserve"> has an unrestricted ability to use where the </w:t>
      </w:r>
      <w:r w:rsidR="000D1A90" w:rsidRPr="00E4265B">
        <w:rPr>
          <w:rFonts w:ascii="Arial" w:hAnsi="Arial" w:cs="Arial"/>
          <w:sz w:val="22"/>
          <w:szCs w:val="22"/>
        </w:rPr>
        <w:t>Authorised Person</w:t>
      </w:r>
      <w:r w:rsidRPr="00E4265B">
        <w:rPr>
          <w:rFonts w:ascii="Arial" w:hAnsi="Arial" w:cs="Arial"/>
          <w:sz w:val="22"/>
          <w:szCs w:val="22"/>
        </w:rPr>
        <w:t xml:space="preserve"> has provided adequate advance notification of its intention to use those assets to the Regulator. Those assets used to reduce the amount to be deducted must receive a risk weight in accordance with Chapter 4 of these Rules.</w:t>
      </w:r>
    </w:p>
    <w:p w14:paraId="20C7C00B" w14:textId="77777777" w:rsidR="00E22FF2" w:rsidRPr="00E4265B" w:rsidRDefault="00690FB1" w:rsidP="0097615D">
      <w:pPr>
        <w:pStyle w:val="TitleL5"/>
        <w:rPr>
          <w:rFonts w:ascii="Arial" w:hAnsi="Arial" w:cs="Arial"/>
          <w:sz w:val="22"/>
          <w:szCs w:val="22"/>
          <w:lang w:val="en-GB"/>
        </w:rPr>
      </w:pPr>
      <w:r w:rsidRPr="00E4265B">
        <w:rPr>
          <w:rFonts w:ascii="Arial" w:hAnsi="Arial" w:cs="Arial"/>
          <w:sz w:val="22"/>
          <w:szCs w:val="22"/>
          <w:lang w:val="en-GB"/>
        </w:rPr>
        <w:t xml:space="preserve">CET1 </w:t>
      </w:r>
      <w:r w:rsidR="00E22FF2" w:rsidRPr="00E4265B">
        <w:rPr>
          <w:rFonts w:ascii="Arial" w:hAnsi="Arial" w:cs="Arial"/>
          <w:sz w:val="22"/>
          <w:szCs w:val="22"/>
          <w:lang w:val="en-GB"/>
        </w:rPr>
        <w:t xml:space="preserve">Deductions </w:t>
      </w:r>
      <w:r w:rsidRPr="00E4265B">
        <w:rPr>
          <w:rFonts w:ascii="Arial" w:hAnsi="Arial" w:cs="Arial"/>
          <w:sz w:val="22"/>
          <w:szCs w:val="22"/>
          <w:lang w:val="en-GB"/>
        </w:rPr>
        <w:t xml:space="preserve">- </w:t>
      </w:r>
      <w:r w:rsidR="00E22FF2" w:rsidRPr="00E4265B">
        <w:rPr>
          <w:rFonts w:ascii="Arial" w:hAnsi="Arial" w:cs="Arial"/>
          <w:sz w:val="22"/>
          <w:szCs w:val="22"/>
          <w:lang w:val="en-GB"/>
        </w:rPr>
        <w:t>holdings of own CET1 Capital instruments</w:t>
      </w:r>
    </w:p>
    <w:p w14:paraId="2A1F3B4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For the purposes of Rule 3.1</w:t>
      </w:r>
      <w:r w:rsidR="00690FB1" w:rsidRPr="00E4265B">
        <w:rPr>
          <w:rFonts w:ascii="Arial" w:hAnsi="Arial" w:cs="Arial"/>
          <w:sz w:val="22"/>
          <w:szCs w:val="22"/>
        </w:rPr>
        <w:t>0</w:t>
      </w:r>
      <w:r w:rsidRPr="00E4265B">
        <w:rPr>
          <w:rFonts w:ascii="Arial" w:hAnsi="Arial" w:cs="Arial"/>
          <w:sz w:val="22"/>
          <w:szCs w:val="22"/>
        </w:rPr>
        <w:t xml:space="preserve">.7(e), an </w:t>
      </w:r>
      <w:r w:rsidR="000D1A90" w:rsidRPr="00E4265B">
        <w:rPr>
          <w:rFonts w:ascii="Arial" w:hAnsi="Arial" w:cs="Arial"/>
          <w:sz w:val="22"/>
          <w:szCs w:val="22"/>
        </w:rPr>
        <w:t>Authorised Person</w:t>
      </w:r>
      <w:r w:rsidRPr="00E4265B">
        <w:rPr>
          <w:rFonts w:ascii="Arial" w:hAnsi="Arial" w:cs="Arial"/>
          <w:sz w:val="22"/>
          <w:szCs w:val="22"/>
        </w:rPr>
        <w:t xml:space="preserve"> must calculate holdings of its own CET1 Capital instruments on the basis of gross long positions subject to the following exceptions:</w:t>
      </w:r>
    </w:p>
    <w:p w14:paraId="0B316E4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calculate the amount of holdings of own CET1 Capital instruments in the Trading Book on the basis of the net long position, provided the long and short positions are in the same underlying Exposure and the short positions involve no Counterparty Credit Risk;</w:t>
      </w:r>
    </w:p>
    <w:p w14:paraId="02616E9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determine the amount to be deducted for indirect holdings in the Trading Book that take the form of holdings of index </w:t>
      </w:r>
      <w:r w:rsidR="00877CEA" w:rsidRPr="00E4265B">
        <w:rPr>
          <w:rFonts w:ascii="Arial" w:hAnsi="Arial" w:cs="Arial"/>
          <w:sz w:val="22"/>
          <w:szCs w:val="22"/>
        </w:rPr>
        <w:t>Securities</w:t>
      </w:r>
      <w:r w:rsidRPr="00E4265B">
        <w:rPr>
          <w:rFonts w:ascii="Arial" w:hAnsi="Arial" w:cs="Arial"/>
          <w:sz w:val="22"/>
          <w:szCs w:val="22"/>
        </w:rPr>
        <w:t xml:space="preserve"> by calculating the underlying Exposure to own CET1 Capital instruments included in the indices; and</w:t>
      </w:r>
    </w:p>
    <w:p w14:paraId="6EDB8E6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net gross long positions in own CET1 Capital instruments in its Trading Book resulting from holdings of index </w:t>
      </w:r>
      <w:r w:rsidR="00877CEA" w:rsidRPr="00E4265B">
        <w:rPr>
          <w:rFonts w:ascii="Arial" w:hAnsi="Arial" w:cs="Arial"/>
          <w:sz w:val="22"/>
          <w:szCs w:val="22"/>
        </w:rPr>
        <w:t>Securities</w:t>
      </w:r>
      <w:r w:rsidRPr="00E4265B">
        <w:rPr>
          <w:rFonts w:ascii="Arial" w:hAnsi="Arial" w:cs="Arial"/>
          <w:sz w:val="22"/>
          <w:szCs w:val="22"/>
        </w:rPr>
        <w:t xml:space="preserve"> against short positions in own CET1 Capital instruments resulting from short positions in the underlying indices, including where those short positions involve Counterparty Credit Risk.</w:t>
      </w:r>
    </w:p>
    <w:p w14:paraId="77F334E6"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lastRenderedPageBreak/>
        <w:t>CET1 </w:t>
      </w:r>
      <w:r w:rsidR="00690FB1" w:rsidRPr="00E4265B">
        <w:rPr>
          <w:rFonts w:ascii="Arial" w:hAnsi="Arial" w:cs="Arial"/>
          <w:sz w:val="22"/>
          <w:szCs w:val="22"/>
          <w:lang w:val="en-GB"/>
        </w:rPr>
        <w:t>Deductions -</w:t>
      </w:r>
      <w:r w:rsidRPr="00E4265B">
        <w:rPr>
          <w:rFonts w:ascii="Arial" w:hAnsi="Arial" w:cs="Arial"/>
          <w:sz w:val="22"/>
          <w:szCs w:val="22"/>
          <w:lang w:val="en-GB"/>
        </w:rPr>
        <w:t xml:space="preserve"> significant investment in a Relevant Entity</w:t>
      </w:r>
    </w:p>
    <w:p w14:paraId="48415BE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For the purposes of Rules 3.1</w:t>
      </w:r>
      <w:r w:rsidR="00690FB1" w:rsidRPr="00E4265B">
        <w:rPr>
          <w:rFonts w:ascii="Arial" w:hAnsi="Arial" w:cs="Arial"/>
          <w:sz w:val="22"/>
          <w:szCs w:val="22"/>
        </w:rPr>
        <w:t>0</w:t>
      </w:r>
      <w:r w:rsidRPr="00E4265B">
        <w:rPr>
          <w:rFonts w:ascii="Arial" w:hAnsi="Arial" w:cs="Arial"/>
          <w:sz w:val="22"/>
          <w:szCs w:val="22"/>
        </w:rPr>
        <w:t xml:space="preserve">.7(g) and (h), an investment by an </w:t>
      </w:r>
      <w:r w:rsidR="000D1A90" w:rsidRPr="00E4265B">
        <w:rPr>
          <w:rFonts w:ascii="Arial" w:hAnsi="Arial" w:cs="Arial"/>
          <w:sz w:val="22"/>
          <w:szCs w:val="22"/>
        </w:rPr>
        <w:t>Authorised Person</w:t>
      </w:r>
      <w:r w:rsidRPr="00E4265B">
        <w:rPr>
          <w:rFonts w:ascii="Arial" w:hAnsi="Arial" w:cs="Arial"/>
          <w:sz w:val="22"/>
          <w:szCs w:val="22"/>
        </w:rPr>
        <w:t xml:space="preserve"> in a Relevant Entity must be considered as a significant investment if it meets any of the following conditions:</w:t>
      </w:r>
    </w:p>
    <w:p w14:paraId="0E6FB2F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owns more than 10% of the CET1 Capital instruments issued by that entity;</w:t>
      </w:r>
    </w:p>
    <w:p w14:paraId="6E3185D8" w14:textId="7F24910D" w:rsidR="00E22FF2" w:rsidRPr="00E4265B" w:rsidRDefault="00E22FF2" w:rsidP="003115EF">
      <w:pPr>
        <w:pStyle w:val="Heading5"/>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has Close Links with that entity and owns CET1 Capital instruments issued by that entity; </w:t>
      </w:r>
      <w:r w:rsidR="003115EF" w:rsidRPr="00E4265B">
        <w:rPr>
          <w:rFonts w:ascii="Arial" w:hAnsi="Arial" w:cs="Arial"/>
          <w:sz w:val="22"/>
          <w:szCs w:val="22"/>
        </w:rPr>
        <w:t>or</w:t>
      </w:r>
    </w:p>
    <w:p w14:paraId="7CE8A0A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owns CET1 Capital instruments issued by that entity and the entity is not included in consolidation pursuant to Chapter 8 of these Rules but is included in the same accounting consolidation as the </w:t>
      </w:r>
      <w:r w:rsidR="000D1A90" w:rsidRPr="00E4265B">
        <w:rPr>
          <w:rFonts w:ascii="Arial" w:hAnsi="Arial" w:cs="Arial"/>
          <w:sz w:val="22"/>
          <w:szCs w:val="22"/>
        </w:rPr>
        <w:t>Authorised Person</w:t>
      </w:r>
      <w:r w:rsidRPr="00E4265B">
        <w:rPr>
          <w:rFonts w:ascii="Arial" w:hAnsi="Arial" w:cs="Arial"/>
          <w:sz w:val="22"/>
          <w:szCs w:val="22"/>
        </w:rPr>
        <w:t xml:space="preserve"> for the purposes of financial reporting under the International Financial Reporting Standards.</w:t>
      </w:r>
    </w:p>
    <w:p w14:paraId="0369451A" w14:textId="77777777" w:rsidR="00E22FF2" w:rsidRPr="00E4265B" w:rsidRDefault="00690FB1" w:rsidP="0097615D">
      <w:pPr>
        <w:pStyle w:val="TitleL5"/>
        <w:rPr>
          <w:rFonts w:ascii="Arial" w:hAnsi="Arial" w:cs="Arial"/>
          <w:sz w:val="22"/>
          <w:szCs w:val="22"/>
          <w:lang w:val="en-GB"/>
        </w:rPr>
      </w:pPr>
      <w:r w:rsidRPr="00E4265B">
        <w:rPr>
          <w:rFonts w:ascii="Arial" w:hAnsi="Arial" w:cs="Arial"/>
          <w:sz w:val="22"/>
          <w:szCs w:val="22"/>
          <w:lang w:val="en-GB"/>
        </w:rPr>
        <w:t xml:space="preserve">CET1 </w:t>
      </w:r>
      <w:r w:rsidR="00E22FF2" w:rsidRPr="00E4265B">
        <w:rPr>
          <w:rFonts w:ascii="Arial" w:hAnsi="Arial" w:cs="Arial"/>
          <w:sz w:val="22"/>
          <w:szCs w:val="22"/>
          <w:lang w:val="en-GB"/>
        </w:rPr>
        <w:t xml:space="preserve">Deductions </w:t>
      </w:r>
      <w:r w:rsidRPr="00E4265B">
        <w:rPr>
          <w:rFonts w:ascii="Arial" w:hAnsi="Arial" w:cs="Arial"/>
          <w:sz w:val="22"/>
          <w:szCs w:val="22"/>
          <w:lang w:val="en-GB"/>
        </w:rPr>
        <w:t xml:space="preserve">- investments in </w:t>
      </w:r>
      <w:r w:rsidR="00E22FF2" w:rsidRPr="00E4265B">
        <w:rPr>
          <w:rFonts w:ascii="Arial" w:hAnsi="Arial" w:cs="Arial"/>
          <w:sz w:val="22"/>
          <w:szCs w:val="22"/>
          <w:lang w:val="en-GB"/>
        </w:rPr>
        <w:t xml:space="preserve">CET1 Capital instruments </w:t>
      </w:r>
      <w:r w:rsidRPr="00E4265B">
        <w:rPr>
          <w:rFonts w:ascii="Arial" w:hAnsi="Arial" w:cs="Arial"/>
          <w:sz w:val="22"/>
          <w:szCs w:val="22"/>
          <w:lang w:val="en-GB"/>
        </w:rPr>
        <w:t xml:space="preserve">of </w:t>
      </w:r>
      <w:r w:rsidR="00E22FF2" w:rsidRPr="00E4265B">
        <w:rPr>
          <w:rFonts w:ascii="Arial" w:hAnsi="Arial" w:cs="Arial"/>
          <w:sz w:val="22"/>
          <w:szCs w:val="22"/>
          <w:lang w:val="en-GB"/>
        </w:rPr>
        <w:t>Relevant Entities</w:t>
      </w:r>
    </w:p>
    <w:p w14:paraId="788C9CBB" w14:textId="29B74B5D" w:rsidR="00E22FF2" w:rsidRPr="00E4265B" w:rsidRDefault="00E22FF2" w:rsidP="00A34570">
      <w:pPr>
        <w:pStyle w:val="Heading4"/>
        <w:rPr>
          <w:rFonts w:ascii="Arial" w:hAnsi="Arial" w:cs="Arial"/>
          <w:sz w:val="22"/>
          <w:szCs w:val="22"/>
        </w:rPr>
      </w:pPr>
      <w:r w:rsidRPr="00E4265B">
        <w:rPr>
          <w:rFonts w:ascii="Arial" w:hAnsi="Arial" w:cs="Arial"/>
          <w:sz w:val="22"/>
          <w:szCs w:val="22"/>
        </w:rPr>
        <w:t>For the purposes of Rule 3.1</w:t>
      </w:r>
      <w:r w:rsidR="00690FB1" w:rsidRPr="00E4265B">
        <w:rPr>
          <w:rFonts w:ascii="Arial" w:hAnsi="Arial" w:cs="Arial"/>
          <w:sz w:val="22"/>
          <w:szCs w:val="22"/>
        </w:rPr>
        <w:t>0</w:t>
      </w:r>
      <w:r w:rsidRPr="00E4265B">
        <w:rPr>
          <w:rFonts w:ascii="Arial" w:hAnsi="Arial" w:cs="Arial"/>
          <w:sz w:val="22"/>
          <w:szCs w:val="22"/>
        </w:rPr>
        <w:t>.7(f), (g) and (h), the amount of holdings of CET1 Capital instruments and other capital instruments of Relevant Entities to be deducted, must be calculated, subject to Rule 3.1</w:t>
      </w:r>
      <w:r w:rsidR="00690FB1" w:rsidRPr="00E4265B">
        <w:rPr>
          <w:rFonts w:ascii="Arial" w:hAnsi="Arial" w:cs="Arial"/>
          <w:sz w:val="22"/>
          <w:szCs w:val="22"/>
        </w:rPr>
        <w:t>0</w:t>
      </w:r>
      <w:r w:rsidRPr="00E4265B">
        <w:rPr>
          <w:rFonts w:ascii="Arial" w:hAnsi="Arial" w:cs="Arial"/>
          <w:sz w:val="22"/>
          <w:szCs w:val="22"/>
        </w:rPr>
        <w:t>.15, on the basis of the gross long positions.</w:t>
      </w:r>
    </w:p>
    <w:p w14:paraId="4565AB2B" w14:textId="77D30806" w:rsidR="00E22FF2" w:rsidRPr="00E4265B" w:rsidRDefault="00E22FF2" w:rsidP="00A34570">
      <w:pPr>
        <w:pStyle w:val="Heading4"/>
        <w:rPr>
          <w:rFonts w:ascii="Arial" w:hAnsi="Arial" w:cs="Arial"/>
          <w:sz w:val="22"/>
          <w:szCs w:val="22"/>
        </w:rPr>
      </w:pPr>
      <w:r w:rsidRPr="00E4265B">
        <w:rPr>
          <w:rFonts w:ascii="Arial" w:hAnsi="Arial" w:cs="Arial"/>
          <w:sz w:val="22"/>
          <w:szCs w:val="22"/>
        </w:rPr>
        <w:t>For the purposes of Rule 3.1</w:t>
      </w:r>
      <w:r w:rsidR="00690FB1" w:rsidRPr="00E4265B">
        <w:rPr>
          <w:rFonts w:ascii="Arial" w:hAnsi="Arial" w:cs="Arial"/>
          <w:sz w:val="22"/>
          <w:szCs w:val="22"/>
        </w:rPr>
        <w:t>0</w:t>
      </w:r>
      <w:r w:rsidRPr="00E4265B">
        <w:rPr>
          <w:rFonts w:ascii="Arial" w:hAnsi="Arial" w:cs="Arial"/>
          <w:sz w:val="22"/>
          <w:szCs w:val="22"/>
        </w:rPr>
        <w:t xml:space="preserve">.7(g) and (h), an </w:t>
      </w:r>
      <w:r w:rsidR="000D1A90" w:rsidRPr="00E4265B">
        <w:rPr>
          <w:rFonts w:ascii="Arial" w:hAnsi="Arial" w:cs="Arial"/>
          <w:sz w:val="22"/>
          <w:szCs w:val="22"/>
        </w:rPr>
        <w:t>Authorised Person</w:t>
      </w:r>
      <w:r w:rsidRPr="00E4265B">
        <w:rPr>
          <w:rFonts w:ascii="Arial" w:hAnsi="Arial" w:cs="Arial"/>
          <w:sz w:val="22"/>
          <w:szCs w:val="22"/>
        </w:rPr>
        <w:t xml:space="preserve"> must make the deductions in accordance with the following:</w:t>
      </w:r>
    </w:p>
    <w:p w14:paraId="6864669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holdings in the Trading Book of the capital instruments of Relevant Entities must be calculated on the basis of the net long position in the same underlying Exposure provided the maturity of the short position matches the maturity of the long position or has a residual maturity of at least one year; and</w:t>
      </w:r>
    </w:p>
    <w:p w14:paraId="6EBF894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amount to be deducted for indirect holdings in the Trading Book of the capital instruments of Relevant Entities that take the form of holdings of index </w:t>
      </w:r>
      <w:r w:rsidR="00877CEA" w:rsidRPr="00E4265B">
        <w:rPr>
          <w:rFonts w:ascii="Arial" w:hAnsi="Arial" w:cs="Arial"/>
          <w:sz w:val="22"/>
          <w:szCs w:val="22"/>
        </w:rPr>
        <w:t>Securities</w:t>
      </w:r>
      <w:r w:rsidRPr="00E4265B">
        <w:rPr>
          <w:rFonts w:ascii="Arial" w:hAnsi="Arial" w:cs="Arial"/>
          <w:sz w:val="22"/>
          <w:szCs w:val="22"/>
        </w:rPr>
        <w:t xml:space="preserve"> must be determined by calculating the underlying Exposure to the capital instruments of the Relevant Entities in the indices.</w:t>
      </w:r>
    </w:p>
    <w:p w14:paraId="4501BF35" w14:textId="77777777" w:rsidR="00E22FF2" w:rsidRPr="00E4265B" w:rsidRDefault="00E22FF2" w:rsidP="00B23C3A">
      <w:pPr>
        <w:pStyle w:val="Heading4"/>
        <w:tabs>
          <w:tab w:val="clear" w:pos="936"/>
          <w:tab w:val="left" w:pos="990"/>
        </w:tabs>
        <w:ind w:left="1620" w:hanging="171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For the purposes of Rule 3.1</w:t>
      </w:r>
      <w:r w:rsidR="00690FB1" w:rsidRPr="00E4265B">
        <w:rPr>
          <w:rFonts w:ascii="Arial" w:hAnsi="Arial" w:cs="Arial"/>
          <w:sz w:val="22"/>
          <w:szCs w:val="22"/>
        </w:rPr>
        <w:t>0</w:t>
      </w:r>
      <w:r w:rsidRPr="00E4265B">
        <w:rPr>
          <w:rFonts w:ascii="Arial" w:hAnsi="Arial" w:cs="Arial"/>
          <w:sz w:val="22"/>
          <w:szCs w:val="22"/>
        </w:rPr>
        <w:t>.7(g), the amount to be deducted is calculated by multiplying the amount referred to in (a) by the factor derived from the calculation referred to in (b):</w:t>
      </w:r>
    </w:p>
    <w:p w14:paraId="6F11356F"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aggregate amount by which the direct, indirect and synthetic holdings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of the CET1, AT1 and T2 Capital instruments of Relevant Entities, in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does not have a significant investment, exceeds 10% of the CET1 items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calculated after applying the following to CET1 items:</w:t>
      </w:r>
    </w:p>
    <w:p w14:paraId="023BD3B9" w14:textId="1985F0E2"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all of the adjustments referred to in Rule</w:t>
      </w:r>
      <w:r w:rsidR="00EE1F70" w:rsidRPr="00E4265B">
        <w:rPr>
          <w:rFonts w:ascii="Arial" w:hAnsi="Arial" w:cs="Arial"/>
          <w:sz w:val="22"/>
          <w:szCs w:val="22"/>
          <w:lang w:val="en-GB"/>
        </w:rPr>
        <w:t>s</w:t>
      </w:r>
      <w:r w:rsidR="00690FB1" w:rsidRPr="00E4265B">
        <w:rPr>
          <w:rFonts w:ascii="Arial" w:hAnsi="Arial" w:cs="Arial"/>
          <w:sz w:val="22"/>
          <w:szCs w:val="22"/>
          <w:lang w:val="en-GB"/>
        </w:rPr>
        <w:t xml:space="preserve"> 3.10.5</w:t>
      </w:r>
      <w:r w:rsidR="00EE1F70" w:rsidRPr="00E4265B">
        <w:rPr>
          <w:rFonts w:ascii="Arial" w:hAnsi="Arial" w:cs="Arial"/>
          <w:sz w:val="22"/>
          <w:szCs w:val="22"/>
          <w:lang w:val="en-GB"/>
        </w:rPr>
        <w:t xml:space="preserve"> and 3.10.6</w:t>
      </w:r>
      <w:r w:rsidRPr="00E4265B">
        <w:rPr>
          <w:rFonts w:ascii="Arial" w:hAnsi="Arial" w:cs="Arial"/>
          <w:sz w:val="22"/>
          <w:szCs w:val="22"/>
          <w:lang w:val="en-GB"/>
        </w:rPr>
        <w:t>;</w:t>
      </w:r>
    </w:p>
    <w:p w14:paraId="4C35FF01"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the deductions referred to in Rules 3.1</w:t>
      </w:r>
      <w:r w:rsidR="00690FB1" w:rsidRPr="00E4265B">
        <w:rPr>
          <w:rFonts w:ascii="Arial" w:hAnsi="Arial" w:cs="Arial"/>
          <w:sz w:val="22"/>
          <w:szCs w:val="22"/>
          <w:lang w:val="en-GB"/>
        </w:rPr>
        <w:t>0</w:t>
      </w:r>
      <w:r w:rsidRPr="00E4265B">
        <w:rPr>
          <w:rFonts w:ascii="Arial" w:hAnsi="Arial" w:cs="Arial"/>
          <w:sz w:val="22"/>
          <w:szCs w:val="22"/>
          <w:lang w:val="en-GB"/>
        </w:rPr>
        <w:t xml:space="preserve">.7(a) to (f) and (h) to (j), excluding the amount to be deducted for deferred tax </w:t>
      </w:r>
      <w:r w:rsidRPr="00E4265B">
        <w:rPr>
          <w:rFonts w:ascii="Arial" w:hAnsi="Arial" w:cs="Arial"/>
          <w:sz w:val="22"/>
          <w:szCs w:val="22"/>
          <w:lang w:val="en-GB"/>
        </w:rPr>
        <w:lastRenderedPageBreak/>
        <w:t>assets that rely on future profitability and arise from temporary differences; and</w:t>
      </w:r>
    </w:p>
    <w:p w14:paraId="4E8495F1"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the deductions referred to in Rules 3.1</w:t>
      </w:r>
      <w:r w:rsidR="00690FB1" w:rsidRPr="00E4265B">
        <w:rPr>
          <w:rFonts w:ascii="Arial" w:hAnsi="Arial" w:cs="Arial"/>
          <w:sz w:val="22"/>
          <w:szCs w:val="22"/>
          <w:lang w:val="en-GB"/>
        </w:rPr>
        <w:t>0</w:t>
      </w:r>
      <w:r w:rsidRPr="00E4265B">
        <w:rPr>
          <w:rFonts w:ascii="Arial" w:hAnsi="Arial" w:cs="Arial"/>
          <w:sz w:val="22"/>
          <w:szCs w:val="22"/>
          <w:lang w:val="en-GB"/>
        </w:rPr>
        <w:t>.14 and 3.1</w:t>
      </w:r>
      <w:r w:rsidR="00690FB1" w:rsidRPr="00E4265B">
        <w:rPr>
          <w:rFonts w:ascii="Arial" w:hAnsi="Arial" w:cs="Arial"/>
          <w:sz w:val="22"/>
          <w:szCs w:val="22"/>
          <w:lang w:val="en-GB"/>
        </w:rPr>
        <w:t>0</w:t>
      </w:r>
      <w:r w:rsidRPr="00E4265B">
        <w:rPr>
          <w:rFonts w:ascii="Arial" w:hAnsi="Arial" w:cs="Arial"/>
          <w:sz w:val="22"/>
          <w:szCs w:val="22"/>
          <w:lang w:val="en-GB"/>
        </w:rPr>
        <w:t>.15;</w:t>
      </w:r>
    </w:p>
    <w:p w14:paraId="4F792175"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amount of direct and indirect holdings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of the CET1 Capital instruments of Relevant Entities divided by the aggregate amount of direct and indirect holdings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of the CET1, AT1 and T2 Capital instruments issued by those Relevant Entities.</w:t>
      </w:r>
    </w:p>
    <w:p w14:paraId="75055659"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exclude Underwriting positions held for five working days or fewer from the amount referred to in (1)(a) and from the calculation of the factor referred to in (1)(b).</w:t>
      </w:r>
    </w:p>
    <w:p w14:paraId="68CE9428"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The amount to be deducted pursuant to (1) must be apportioned across each CET1 Capital instrument held.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determine the portion of holdings of CET1 Capital instruments that is to be deducted pursuant to (1) by dividing the amount specified in (a) by the amount specified in (b):</w:t>
      </w:r>
    </w:p>
    <w:p w14:paraId="5816BE3D"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amount of holdings required to be deducted pursuant to (1)(a);</w:t>
      </w:r>
    </w:p>
    <w:p w14:paraId="7B8CFFBA"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aggregate amount of direct and indirect holdings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of all the capital instruments of Relevant Entities in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does not have a significant investment.</w:t>
      </w:r>
    </w:p>
    <w:p w14:paraId="6B3B6D0B" w14:textId="3CFB37DC" w:rsidR="00E22FF2" w:rsidRPr="00E4265B" w:rsidRDefault="00E22FF2" w:rsidP="00EE1F70">
      <w:pPr>
        <w:pStyle w:val="Heading4"/>
        <w:tabs>
          <w:tab w:val="clear" w:pos="936"/>
          <w:tab w:val="left" w:pos="990"/>
        </w:tabs>
        <w:ind w:left="1620" w:hanging="171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The amount of holdings referred to in Rule 3.1</w:t>
      </w:r>
      <w:r w:rsidR="00690FB1" w:rsidRPr="00E4265B">
        <w:rPr>
          <w:rFonts w:ascii="Arial" w:hAnsi="Arial" w:cs="Arial"/>
          <w:sz w:val="22"/>
          <w:szCs w:val="22"/>
        </w:rPr>
        <w:t>0</w:t>
      </w:r>
      <w:r w:rsidRPr="00E4265B">
        <w:rPr>
          <w:rFonts w:ascii="Arial" w:hAnsi="Arial" w:cs="Arial"/>
          <w:sz w:val="22"/>
          <w:szCs w:val="22"/>
        </w:rPr>
        <w:t xml:space="preserve">.7(g) that is equal to or less than 10% of the CET1 items of the </w:t>
      </w:r>
      <w:r w:rsidR="000D1A90" w:rsidRPr="00E4265B">
        <w:rPr>
          <w:rFonts w:ascii="Arial" w:hAnsi="Arial" w:cs="Arial"/>
          <w:sz w:val="22"/>
          <w:szCs w:val="22"/>
        </w:rPr>
        <w:t>Authorised Person</w:t>
      </w:r>
      <w:r w:rsidRPr="00E4265B">
        <w:rPr>
          <w:rFonts w:ascii="Arial" w:hAnsi="Arial" w:cs="Arial"/>
          <w:sz w:val="22"/>
          <w:szCs w:val="22"/>
        </w:rPr>
        <w:t xml:space="preserve"> after applying the provisions laid down in </w:t>
      </w:r>
      <w:r w:rsidR="00690FB1" w:rsidRPr="00E4265B">
        <w:rPr>
          <w:rFonts w:ascii="Arial" w:hAnsi="Arial" w:cs="Arial"/>
          <w:sz w:val="22"/>
          <w:szCs w:val="22"/>
        </w:rPr>
        <w:t xml:space="preserve">Rule </w:t>
      </w:r>
      <w:r w:rsidR="00F01474" w:rsidRPr="00E4265B">
        <w:rPr>
          <w:rFonts w:ascii="Arial" w:hAnsi="Arial" w:cs="Arial"/>
          <w:sz w:val="22"/>
          <w:szCs w:val="22"/>
        </w:rPr>
        <w:t>3.1</w:t>
      </w:r>
      <w:r w:rsidR="00690FB1" w:rsidRPr="00E4265B">
        <w:rPr>
          <w:rFonts w:ascii="Arial" w:hAnsi="Arial" w:cs="Arial"/>
          <w:sz w:val="22"/>
          <w:szCs w:val="22"/>
        </w:rPr>
        <w:t>0</w:t>
      </w:r>
      <w:r w:rsidR="00F01474" w:rsidRPr="00E4265B">
        <w:rPr>
          <w:rFonts w:ascii="Arial" w:hAnsi="Arial" w:cs="Arial"/>
          <w:sz w:val="22"/>
          <w:szCs w:val="22"/>
        </w:rPr>
        <w:t>.</w:t>
      </w:r>
      <w:r w:rsidR="00EE1F70" w:rsidRPr="00E4265B">
        <w:rPr>
          <w:rFonts w:ascii="Arial" w:hAnsi="Arial" w:cs="Arial"/>
          <w:sz w:val="22"/>
          <w:szCs w:val="22"/>
        </w:rPr>
        <w:t>1</w:t>
      </w:r>
      <w:r w:rsidR="00F01474" w:rsidRPr="00E4265B">
        <w:rPr>
          <w:rFonts w:ascii="Arial" w:hAnsi="Arial" w:cs="Arial"/>
          <w:sz w:val="22"/>
          <w:szCs w:val="22"/>
        </w:rPr>
        <w:t>6</w:t>
      </w:r>
      <w:r w:rsidRPr="00E4265B">
        <w:rPr>
          <w:rFonts w:ascii="Arial" w:hAnsi="Arial" w:cs="Arial"/>
          <w:sz w:val="22"/>
          <w:szCs w:val="22"/>
        </w:rPr>
        <w:t>(1)(a)</w:t>
      </w:r>
      <w:r w:rsidR="00EE1F70" w:rsidRPr="00E4265B">
        <w:rPr>
          <w:rFonts w:ascii="Arial" w:hAnsi="Arial" w:cs="Arial"/>
          <w:sz w:val="22"/>
          <w:szCs w:val="22"/>
        </w:rPr>
        <w:t xml:space="preserve"> </w:t>
      </w:r>
      <w:r w:rsidRPr="00E4265B">
        <w:rPr>
          <w:rFonts w:ascii="Arial" w:hAnsi="Arial" w:cs="Arial"/>
          <w:sz w:val="22"/>
          <w:szCs w:val="22"/>
        </w:rPr>
        <w:t>must not be deducted and must be subject to the applicable risk weights in accordance with Chapter 4.</w:t>
      </w:r>
    </w:p>
    <w:p w14:paraId="61D31D2E"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determine the portion of holdings of all the capital instruments that is risk weighted by dividing the amount specified in (a) by the amount specified in (b):</w:t>
      </w:r>
    </w:p>
    <w:p w14:paraId="7B1353FC"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amount of holdings required to be risk weighted pursuant to Rule 3.1</w:t>
      </w:r>
      <w:r w:rsidR="00690FB1" w:rsidRPr="00E4265B">
        <w:rPr>
          <w:rFonts w:ascii="Arial" w:hAnsi="Arial" w:cs="Arial"/>
          <w:sz w:val="22"/>
          <w:szCs w:val="22"/>
          <w:lang w:val="en-GB"/>
        </w:rPr>
        <w:t>0</w:t>
      </w:r>
      <w:r w:rsidRPr="00E4265B">
        <w:rPr>
          <w:rFonts w:ascii="Arial" w:hAnsi="Arial" w:cs="Arial"/>
          <w:sz w:val="22"/>
          <w:szCs w:val="22"/>
          <w:lang w:val="en-GB"/>
        </w:rPr>
        <w:t>.17(1);</w:t>
      </w:r>
    </w:p>
    <w:p w14:paraId="2F89E86D"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aggregate amount of direct and indirect holdings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of all the capital instruments of Relevant Entities in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does not have a significant investment.</w:t>
      </w:r>
    </w:p>
    <w:p w14:paraId="58A67D6E" w14:textId="07CB12A1" w:rsidR="00E22FF2" w:rsidRPr="00E4265B" w:rsidRDefault="00E22FF2" w:rsidP="00B23C3A">
      <w:pPr>
        <w:pStyle w:val="Heading4"/>
        <w:tabs>
          <w:tab w:val="clear" w:pos="936"/>
          <w:tab w:val="left" w:pos="990"/>
        </w:tabs>
        <w:ind w:left="990" w:hanging="1080"/>
        <w:rPr>
          <w:rFonts w:ascii="Arial" w:hAnsi="Arial" w:cs="Arial"/>
          <w:sz w:val="22"/>
          <w:szCs w:val="22"/>
        </w:rPr>
      </w:pPr>
      <w:r w:rsidRPr="00E4265B">
        <w:rPr>
          <w:rFonts w:ascii="Arial" w:hAnsi="Arial" w:cs="Arial"/>
          <w:sz w:val="22"/>
          <w:szCs w:val="22"/>
        </w:rPr>
        <w:t>For the purposes of Rule 3.1</w:t>
      </w:r>
      <w:r w:rsidR="00690FB1" w:rsidRPr="00E4265B">
        <w:rPr>
          <w:rFonts w:ascii="Arial" w:hAnsi="Arial" w:cs="Arial"/>
          <w:sz w:val="22"/>
          <w:szCs w:val="22"/>
        </w:rPr>
        <w:t>0</w:t>
      </w:r>
      <w:r w:rsidRPr="00E4265B">
        <w:rPr>
          <w:rFonts w:ascii="Arial" w:hAnsi="Arial" w:cs="Arial"/>
          <w:sz w:val="22"/>
          <w:szCs w:val="22"/>
        </w:rPr>
        <w:t>.7(h), the amount to be deducted from CET1 elements must exclude Underwriting positions held for five working days or fewer and must be determined in accordance with Rule</w:t>
      </w:r>
      <w:r w:rsidR="00A508B4" w:rsidRPr="00E4265B">
        <w:rPr>
          <w:rFonts w:ascii="Arial" w:hAnsi="Arial" w:cs="Arial"/>
          <w:sz w:val="22"/>
          <w:szCs w:val="22"/>
        </w:rPr>
        <w:t>s</w:t>
      </w:r>
      <w:r w:rsidRPr="00E4265B">
        <w:rPr>
          <w:rFonts w:ascii="Arial" w:hAnsi="Arial" w:cs="Arial"/>
          <w:sz w:val="22"/>
          <w:szCs w:val="22"/>
        </w:rPr>
        <w:t> 3.1</w:t>
      </w:r>
      <w:r w:rsidR="00690FB1" w:rsidRPr="00E4265B">
        <w:rPr>
          <w:rFonts w:ascii="Arial" w:hAnsi="Arial" w:cs="Arial"/>
          <w:sz w:val="22"/>
          <w:szCs w:val="22"/>
        </w:rPr>
        <w:t>0</w:t>
      </w:r>
      <w:r w:rsidRPr="00E4265B">
        <w:rPr>
          <w:rFonts w:ascii="Arial" w:hAnsi="Arial" w:cs="Arial"/>
          <w:sz w:val="22"/>
          <w:szCs w:val="22"/>
        </w:rPr>
        <w:t>.14 and 3.1</w:t>
      </w:r>
      <w:r w:rsidR="00690FB1" w:rsidRPr="00E4265B">
        <w:rPr>
          <w:rFonts w:ascii="Arial" w:hAnsi="Arial" w:cs="Arial"/>
          <w:sz w:val="22"/>
          <w:szCs w:val="22"/>
        </w:rPr>
        <w:t>0</w:t>
      </w:r>
      <w:r w:rsidRPr="00E4265B">
        <w:rPr>
          <w:rFonts w:ascii="Arial" w:hAnsi="Arial" w:cs="Arial"/>
          <w:sz w:val="22"/>
          <w:szCs w:val="22"/>
        </w:rPr>
        <w:t>.15.</w:t>
      </w:r>
    </w:p>
    <w:p w14:paraId="0626CB04"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CET1 </w:t>
      </w:r>
      <w:r w:rsidR="00690FB1" w:rsidRPr="00E4265B">
        <w:rPr>
          <w:rFonts w:ascii="Arial" w:hAnsi="Arial" w:cs="Arial"/>
          <w:sz w:val="22"/>
          <w:szCs w:val="22"/>
          <w:lang w:val="en-GB"/>
        </w:rPr>
        <w:t xml:space="preserve">Deductions - </w:t>
      </w:r>
      <w:r w:rsidRPr="00E4265B">
        <w:rPr>
          <w:rFonts w:ascii="Arial" w:hAnsi="Arial" w:cs="Arial"/>
          <w:sz w:val="22"/>
          <w:szCs w:val="22"/>
          <w:lang w:val="en-GB"/>
        </w:rPr>
        <w:t xml:space="preserve">exemptions </w:t>
      </w:r>
    </w:p>
    <w:p w14:paraId="19471B11" w14:textId="2A982D14" w:rsidR="00E22FF2" w:rsidRPr="00E4265B" w:rsidRDefault="00E22FF2" w:rsidP="00EE1F70">
      <w:pPr>
        <w:pStyle w:val="Heading4"/>
        <w:tabs>
          <w:tab w:val="clear" w:pos="936"/>
          <w:tab w:val="left" w:pos="990"/>
        </w:tabs>
        <w:ind w:left="1620" w:hanging="171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In making the deductions required pursuant to Rules 3.1</w:t>
      </w:r>
      <w:r w:rsidR="00690FB1" w:rsidRPr="00E4265B">
        <w:rPr>
          <w:rFonts w:ascii="Arial" w:hAnsi="Arial" w:cs="Arial"/>
          <w:sz w:val="22"/>
          <w:szCs w:val="22"/>
        </w:rPr>
        <w:t>0</w:t>
      </w:r>
      <w:r w:rsidRPr="00E4265B">
        <w:rPr>
          <w:rFonts w:ascii="Arial" w:hAnsi="Arial" w:cs="Arial"/>
          <w:sz w:val="22"/>
          <w:szCs w:val="22"/>
        </w:rPr>
        <w:t xml:space="preserve">.7(c) and (h), an </w:t>
      </w:r>
      <w:r w:rsidR="000D1A90" w:rsidRPr="00E4265B">
        <w:rPr>
          <w:rFonts w:ascii="Arial" w:hAnsi="Arial" w:cs="Arial"/>
          <w:sz w:val="22"/>
          <w:szCs w:val="22"/>
        </w:rPr>
        <w:t>Authorised Person</w:t>
      </w:r>
      <w:r w:rsidRPr="00E4265B">
        <w:rPr>
          <w:rFonts w:ascii="Arial" w:hAnsi="Arial" w:cs="Arial"/>
          <w:sz w:val="22"/>
          <w:szCs w:val="22"/>
        </w:rPr>
        <w:t xml:space="preserve"> must not deduct the items listed in (a) and (b), where in aggregate they are equal to or less than 15% of CET1 Capital</w:t>
      </w:r>
      <w:r w:rsidR="00EE1F70" w:rsidRPr="00E4265B">
        <w:rPr>
          <w:rFonts w:ascii="Arial" w:hAnsi="Arial" w:cs="Arial"/>
          <w:sz w:val="22"/>
          <w:szCs w:val="22"/>
        </w:rPr>
        <w:t>.</w:t>
      </w:r>
    </w:p>
    <w:p w14:paraId="57E62102" w14:textId="695FE14E" w:rsidR="00E22FF2" w:rsidRPr="00E4265B" w:rsidRDefault="00E22FF2" w:rsidP="00EE1F70">
      <w:pPr>
        <w:pStyle w:val="a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r>
      <w:r w:rsidR="00EE1F70" w:rsidRPr="00E4265B">
        <w:rPr>
          <w:rFonts w:ascii="Arial" w:hAnsi="Arial" w:cs="Arial"/>
          <w:sz w:val="22"/>
          <w:szCs w:val="22"/>
          <w:lang w:val="en-GB"/>
        </w:rPr>
        <w:t>D</w:t>
      </w:r>
      <w:r w:rsidRPr="00E4265B">
        <w:rPr>
          <w:rFonts w:ascii="Arial" w:hAnsi="Arial" w:cs="Arial"/>
          <w:sz w:val="22"/>
          <w:szCs w:val="22"/>
          <w:lang w:val="en-GB"/>
        </w:rPr>
        <w:t xml:space="preserve">eferred tax assets that are dependent on future profitability and arise from temporary differences, and in aggregate are equal to or less than 10% of the CET1 items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calculated after applying the following:</w:t>
      </w:r>
    </w:p>
    <w:p w14:paraId="328D2EA8" w14:textId="2C10DEA2"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adjustments referred in Rule</w:t>
      </w:r>
      <w:r w:rsidR="00EE1F70" w:rsidRPr="00E4265B">
        <w:rPr>
          <w:rFonts w:ascii="Arial" w:hAnsi="Arial" w:cs="Arial"/>
          <w:sz w:val="22"/>
          <w:szCs w:val="22"/>
          <w:lang w:val="en-GB"/>
        </w:rPr>
        <w:t>s</w:t>
      </w:r>
      <w:r w:rsidRPr="00E4265B">
        <w:rPr>
          <w:rFonts w:ascii="Arial" w:hAnsi="Arial" w:cs="Arial"/>
          <w:sz w:val="22"/>
          <w:szCs w:val="22"/>
          <w:lang w:val="en-GB"/>
        </w:rPr>
        <w:t> 3.1</w:t>
      </w:r>
      <w:r w:rsidR="00690FB1" w:rsidRPr="00E4265B">
        <w:rPr>
          <w:rFonts w:ascii="Arial" w:hAnsi="Arial" w:cs="Arial"/>
          <w:sz w:val="22"/>
          <w:szCs w:val="22"/>
          <w:lang w:val="en-GB"/>
        </w:rPr>
        <w:t>0</w:t>
      </w:r>
      <w:r w:rsidRPr="00E4265B">
        <w:rPr>
          <w:rFonts w:ascii="Arial" w:hAnsi="Arial" w:cs="Arial"/>
          <w:sz w:val="22"/>
          <w:szCs w:val="22"/>
          <w:lang w:val="en-GB"/>
        </w:rPr>
        <w:t>.5</w:t>
      </w:r>
      <w:r w:rsidR="00EE1F70" w:rsidRPr="00E4265B">
        <w:rPr>
          <w:rFonts w:ascii="Arial" w:hAnsi="Arial" w:cs="Arial"/>
          <w:sz w:val="22"/>
          <w:szCs w:val="22"/>
          <w:lang w:val="en-GB"/>
        </w:rPr>
        <w:t xml:space="preserve"> and 3.10.6</w:t>
      </w:r>
      <w:r w:rsidRPr="00E4265B">
        <w:rPr>
          <w:rFonts w:ascii="Arial" w:hAnsi="Arial" w:cs="Arial"/>
          <w:sz w:val="22"/>
          <w:szCs w:val="22"/>
          <w:lang w:val="en-GB"/>
        </w:rPr>
        <w:t>; and</w:t>
      </w:r>
    </w:p>
    <w:p w14:paraId="6D43B034"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deductions referred to in (a) to (g) and (i) to (j) of Rule 3.1</w:t>
      </w:r>
      <w:r w:rsidR="00690FB1" w:rsidRPr="00E4265B">
        <w:rPr>
          <w:rFonts w:ascii="Arial" w:hAnsi="Arial" w:cs="Arial"/>
          <w:sz w:val="22"/>
          <w:szCs w:val="22"/>
          <w:lang w:val="en-GB"/>
        </w:rPr>
        <w:t>0</w:t>
      </w:r>
      <w:r w:rsidRPr="00E4265B">
        <w:rPr>
          <w:rFonts w:ascii="Arial" w:hAnsi="Arial" w:cs="Arial"/>
          <w:sz w:val="22"/>
          <w:szCs w:val="22"/>
          <w:lang w:val="en-GB"/>
        </w:rPr>
        <w:t>.7, excluding deferred tax assets that rely on future profitability and arise from temporary differences.</w:t>
      </w:r>
    </w:p>
    <w:p w14:paraId="58CBBE8A" w14:textId="32B18FC4" w:rsidR="00E22FF2" w:rsidRPr="00E4265B" w:rsidRDefault="00EE1F70"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W</w:t>
      </w:r>
      <w:r w:rsidR="00E22FF2" w:rsidRPr="00E4265B">
        <w:rPr>
          <w:rFonts w:ascii="Arial" w:hAnsi="Arial" w:cs="Arial"/>
          <w:sz w:val="22"/>
          <w:szCs w:val="22"/>
          <w:lang w:val="en-GB"/>
        </w:rPr>
        <w:t xml:space="preserve">here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has a significant investment in a Relevant Entity, the direct and indirect holdings of that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of the CET1 Capital instruments of those entities that in aggregate are equal to or less than 10% of the CET1 items of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calculated after applying the following:</w:t>
      </w:r>
    </w:p>
    <w:p w14:paraId="1B599385" w14:textId="5885D21C"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adjustments referred in Rule</w:t>
      </w:r>
      <w:r w:rsidR="00EE1F70" w:rsidRPr="00E4265B">
        <w:rPr>
          <w:rFonts w:ascii="Arial" w:hAnsi="Arial" w:cs="Arial"/>
          <w:sz w:val="22"/>
          <w:szCs w:val="22"/>
          <w:lang w:val="en-GB"/>
        </w:rPr>
        <w:t>s</w:t>
      </w:r>
      <w:r w:rsidRPr="00E4265B">
        <w:rPr>
          <w:rFonts w:ascii="Arial" w:hAnsi="Arial" w:cs="Arial"/>
          <w:sz w:val="22"/>
          <w:szCs w:val="22"/>
          <w:lang w:val="en-GB"/>
        </w:rPr>
        <w:t> 3.1</w:t>
      </w:r>
      <w:r w:rsidR="00690FB1" w:rsidRPr="00E4265B">
        <w:rPr>
          <w:rFonts w:ascii="Arial" w:hAnsi="Arial" w:cs="Arial"/>
          <w:sz w:val="22"/>
          <w:szCs w:val="22"/>
          <w:lang w:val="en-GB"/>
        </w:rPr>
        <w:t>0</w:t>
      </w:r>
      <w:r w:rsidRPr="00E4265B">
        <w:rPr>
          <w:rFonts w:ascii="Arial" w:hAnsi="Arial" w:cs="Arial"/>
          <w:sz w:val="22"/>
          <w:szCs w:val="22"/>
          <w:lang w:val="en-GB"/>
        </w:rPr>
        <w:t>.5</w:t>
      </w:r>
      <w:r w:rsidR="00EE1F70" w:rsidRPr="00E4265B">
        <w:rPr>
          <w:rFonts w:ascii="Arial" w:hAnsi="Arial" w:cs="Arial"/>
          <w:sz w:val="22"/>
          <w:szCs w:val="22"/>
          <w:lang w:val="en-GB"/>
        </w:rPr>
        <w:t xml:space="preserve"> and 3.10.6</w:t>
      </w:r>
      <w:r w:rsidRPr="00E4265B">
        <w:rPr>
          <w:rFonts w:ascii="Arial" w:hAnsi="Arial" w:cs="Arial"/>
          <w:sz w:val="22"/>
          <w:szCs w:val="22"/>
          <w:lang w:val="en-GB"/>
        </w:rPr>
        <w:t>; and</w:t>
      </w:r>
    </w:p>
    <w:p w14:paraId="567D118F"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deductions referred to in (a) to (h) and (i) to (j) of Rule 3.1</w:t>
      </w:r>
      <w:r w:rsidR="006B4B6B" w:rsidRPr="00E4265B">
        <w:rPr>
          <w:rFonts w:ascii="Arial" w:hAnsi="Arial" w:cs="Arial"/>
          <w:sz w:val="22"/>
          <w:szCs w:val="22"/>
          <w:lang w:val="en-GB"/>
        </w:rPr>
        <w:t>0</w:t>
      </w:r>
      <w:r w:rsidRPr="00E4265B">
        <w:rPr>
          <w:rFonts w:ascii="Arial" w:hAnsi="Arial" w:cs="Arial"/>
          <w:sz w:val="22"/>
          <w:szCs w:val="22"/>
          <w:lang w:val="en-GB"/>
        </w:rPr>
        <w:t>.7 excluding deferred tax assets that rely on future profitability and arise from temporary differences.</w:t>
      </w:r>
    </w:p>
    <w:p w14:paraId="1717764A"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Items that are not deducted pursuant to (1) must be risk weighted at 200% and subject to the requirements of Chapter 4, as applicable.</w:t>
      </w:r>
    </w:p>
    <w:p w14:paraId="7A21B877" w14:textId="77777777" w:rsidR="00E22FF2" w:rsidRPr="00E4265B" w:rsidRDefault="00E22FF2" w:rsidP="00246497">
      <w:pPr>
        <w:pStyle w:val="Heading3"/>
        <w:rPr>
          <w:rFonts w:ascii="Arial" w:hAnsi="Arial" w:cs="Arial"/>
          <w:sz w:val="22"/>
          <w:szCs w:val="22"/>
        </w:rPr>
      </w:pPr>
      <w:bookmarkStart w:id="213" w:name="_Toc33622384"/>
      <w:bookmarkStart w:id="214" w:name="_Toc403223933"/>
      <w:bookmarkStart w:id="215" w:name="_Toc403253971"/>
      <w:bookmarkStart w:id="216" w:name="_Toc403273371"/>
      <w:bookmarkStart w:id="217" w:name="_Toc403273520"/>
      <w:bookmarkStart w:id="218" w:name="_Toc403274479"/>
      <w:bookmarkStart w:id="219" w:name="_Toc403279975"/>
      <w:bookmarkStart w:id="220" w:name="_Toc404285776"/>
      <w:bookmarkStart w:id="221" w:name="_Toc404621725"/>
      <w:bookmarkStart w:id="222" w:name="_Toc404624366"/>
      <w:r w:rsidRPr="00E4265B">
        <w:rPr>
          <w:rFonts w:ascii="Arial" w:hAnsi="Arial" w:cs="Arial"/>
          <w:sz w:val="22"/>
          <w:szCs w:val="22"/>
        </w:rPr>
        <w:t>Additional Tier 1 capital</w:t>
      </w:r>
      <w:bookmarkEnd w:id="213"/>
      <w:r w:rsidRPr="00E4265B">
        <w:rPr>
          <w:rFonts w:ascii="Arial" w:hAnsi="Arial" w:cs="Arial"/>
          <w:sz w:val="22"/>
          <w:szCs w:val="22"/>
        </w:rPr>
        <w:t xml:space="preserve"> </w:t>
      </w:r>
      <w:bookmarkEnd w:id="214"/>
      <w:bookmarkEnd w:id="215"/>
      <w:bookmarkEnd w:id="216"/>
      <w:bookmarkEnd w:id="217"/>
      <w:bookmarkEnd w:id="218"/>
      <w:bookmarkEnd w:id="219"/>
      <w:bookmarkEnd w:id="220"/>
      <w:bookmarkEnd w:id="221"/>
      <w:bookmarkEnd w:id="222"/>
    </w:p>
    <w:p w14:paraId="7AAEA749" w14:textId="77777777" w:rsidR="00E22FF2" w:rsidRPr="00E4265B" w:rsidRDefault="006B4B6B" w:rsidP="00246497">
      <w:pPr>
        <w:pStyle w:val="Heading4"/>
        <w:rPr>
          <w:rFonts w:ascii="Arial" w:hAnsi="Arial" w:cs="Arial"/>
          <w:sz w:val="22"/>
          <w:szCs w:val="22"/>
        </w:rPr>
      </w:pPr>
      <w:r w:rsidRPr="00E4265B">
        <w:rPr>
          <w:rFonts w:ascii="Arial" w:hAnsi="Arial" w:cs="Arial"/>
          <w:sz w:val="22"/>
          <w:szCs w:val="22"/>
        </w:rPr>
        <w:t>Additional Tier 1Capital (referred to in these Rules as AT1 Capital) constitutes the sum of AT1 Capital elements in Rule 3.11.2, subject to the deductions stipulated later in this Section.</w:t>
      </w:r>
    </w:p>
    <w:p w14:paraId="195497A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AT1 Capital consists of the sum of the following capital elements:</w:t>
      </w:r>
    </w:p>
    <w:p w14:paraId="5D4BA0F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capital instruments which meet the eligibility criteria laid down in Rule 3.1</w:t>
      </w:r>
      <w:r w:rsidR="006B4B6B" w:rsidRPr="00E4265B">
        <w:rPr>
          <w:rFonts w:ascii="Arial" w:hAnsi="Arial" w:cs="Arial"/>
          <w:sz w:val="22"/>
          <w:szCs w:val="22"/>
        </w:rPr>
        <w:t>1</w:t>
      </w:r>
      <w:r w:rsidRPr="00E4265B">
        <w:rPr>
          <w:rFonts w:ascii="Arial" w:hAnsi="Arial" w:cs="Arial"/>
          <w:sz w:val="22"/>
          <w:szCs w:val="22"/>
        </w:rPr>
        <w:t>.3; and</w:t>
      </w:r>
    </w:p>
    <w:p w14:paraId="3969EFE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w:t>
      </w:r>
      <w:r w:rsidR="00202EF6" w:rsidRPr="00E4265B">
        <w:rPr>
          <w:rFonts w:ascii="Arial" w:hAnsi="Arial" w:cs="Arial"/>
          <w:sz w:val="22"/>
          <w:szCs w:val="22"/>
        </w:rPr>
        <w:t>Share</w:t>
      </w:r>
      <w:r w:rsidRPr="00E4265B">
        <w:rPr>
          <w:rFonts w:ascii="Arial" w:hAnsi="Arial" w:cs="Arial"/>
          <w:sz w:val="22"/>
          <w:szCs w:val="22"/>
        </w:rPr>
        <w:t xml:space="preserve"> premium accounts related to the instruments referred to in (a).</w:t>
      </w:r>
    </w:p>
    <w:p w14:paraId="30254D28" w14:textId="77777777" w:rsidR="00E22FF2" w:rsidRPr="00E4265B" w:rsidRDefault="00E22FF2" w:rsidP="00B23C3A">
      <w:pPr>
        <w:pStyle w:val="Heading4"/>
        <w:tabs>
          <w:tab w:val="clear" w:pos="936"/>
          <w:tab w:val="left" w:pos="990"/>
        </w:tabs>
        <w:ind w:left="1620" w:hanging="171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For the purposes of Rule 3.1</w:t>
      </w:r>
      <w:r w:rsidR="006B4B6B" w:rsidRPr="00E4265B">
        <w:rPr>
          <w:rFonts w:ascii="Arial" w:hAnsi="Arial" w:cs="Arial"/>
          <w:sz w:val="22"/>
          <w:szCs w:val="22"/>
        </w:rPr>
        <w:t>1</w:t>
      </w:r>
      <w:r w:rsidRPr="00E4265B">
        <w:rPr>
          <w:rFonts w:ascii="Arial" w:hAnsi="Arial" w:cs="Arial"/>
          <w:sz w:val="22"/>
          <w:szCs w:val="22"/>
        </w:rPr>
        <w:t>.2(a), a capital instrument is eligible for inclusion in AT1 Capital where all of the following conditions are met:</w:t>
      </w:r>
    </w:p>
    <w:p w14:paraId="220DC203"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instruments are issued and paid up;</w:t>
      </w:r>
    </w:p>
    <w:p w14:paraId="04D8B5B3"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instruments are not purchased by any of the following:</w:t>
      </w:r>
    </w:p>
    <w:p w14:paraId="08BF47E2"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its Subsidiaries; or</w:t>
      </w:r>
    </w:p>
    <w:p w14:paraId="2D3550E4"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an Undertaking in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participation in the form of ownership, direct or by way of control, of 20% or more of the voting rights or capital of that Undertaking;</w:t>
      </w:r>
    </w:p>
    <w:p w14:paraId="716CFF9C"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the purchase of the instruments is not funded directly or indirectly by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7D96FA21"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lastRenderedPageBreak/>
        <w:t>(d)</w:t>
      </w:r>
      <w:r w:rsidRPr="00E4265B">
        <w:rPr>
          <w:rFonts w:ascii="Arial" w:hAnsi="Arial" w:cs="Arial"/>
          <w:sz w:val="22"/>
          <w:szCs w:val="22"/>
          <w:lang w:val="en-GB"/>
        </w:rPr>
        <w:tab/>
        <w:t xml:space="preserve">the instruments rank below T2 Capital instruments in the event of the insolvency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2406CAF0"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the instruments are not secured, or guaranteed by any of the following:</w:t>
      </w:r>
    </w:p>
    <w:p w14:paraId="33A411E9"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its Subsidiaries;</w:t>
      </w:r>
    </w:p>
    <w:p w14:paraId="384FDE61"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any Parent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their Subsidiaries;</w:t>
      </w:r>
    </w:p>
    <w:p w14:paraId="6B12F4B2"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any member of its Financial Group in accordance with Chapter 8; or</w:t>
      </w:r>
    </w:p>
    <w:p w14:paraId="5142391D"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any Undertaking that has Close Links with entities referred to in (i) to (iii);</w:t>
      </w:r>
    </w:p>
    <w:p w14:paraId="7495EF77"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the instruments are not subject to any arrangement, contractual or otherwise that enhances the seniority of the claim under the instruments in insolvency or liquidation;</w:t>
      </w:r>
    </w:p>
    <w:p w14:paraId="37109195"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 xml:space="preserve">the instruments are perpetual and the provisions governing them include no incentive for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redeem them;</w:t>
      </w:r>
    </w:p>
    <w:p w14:paraId="11ADC398"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(h)</w:t>
      </w:r>
      <w:r w:rsidRPr="00E4265B">
        <w:rPr>
          <w:rFonts w:ascii="Arial" w:hAnsi="Arial" w:cs="Arial"/>
          <w:sz w:val="22"/>
          <w:szCs w:val="22"/>
          <w:lang w:val="en-GB"/>
        </w:rPr>
        <w:tab/>
        <w:t xml:space="preserve">where the provisions governing the instruments include one or more call </w:t>
      </w:r>
      <w:r w:rsidR="00BC49E0" w:rsidRPr="00E4265B">
        <w:rPr>
          <w:rFonts w:ascii="Arial" w:hAnsi="Arial" w:cs="Arial"/>
          <w:sz w:val="22"/>
          <w:szCs w:val="22"/>
          <w:lang w:val="en-GB"/>
        </w:rPr>
        <w:t>Option</w:t>
      </w:r>
      <w:r w:rsidRPr="00E4265B">
        <w:rPr>
          <w:rFonts w:ascii="Arial" w:hAnsi="Arial" w:cs="Arial"/>
          <w:sz w:val="22"/>
          <w:szCs w:val="22"/>
          <w:lang w:val="en-GB"/>
        </w:rPr>
        <w:t xml:space="preserve">s, the option to call may be exercised at the sole discretion of the </w:t>
      </w:r>
      <w:r w:rsidR="00B830F4" w:rsidRPr="00E4265B">
        <w:rPr>
          <w:rFonts w:ascii="Arial" w:hAnsi="Arial" w:cs="Arial"/>
          <w:sz w:val="22"/>
          <w:szCs w:val="22"/>
          <w:lang w:val="en-GB"/>
        </w:rPr>
        <w:t>Issuer</w:t>
      </w:r>
      <w:r w:rsidRPr="00E4265B">
        <w:rPr>
          <w:rFonts w:ascii="Arial" w:hAnsi="Arial" w:cs="Arial"/>
          <w:sz w:val="22"/>
          <w:szCs w:val="22"/>
          <w:lang w:val="en-GB"/>
        </w:rPr>
        <w:t>;</w:t>
      </w:r>
    </w:p>
    <w:p w14:paraId="5235561D" w14:textId="77777777" w:rsidR="00E22FF2" w:rsidRPr="00E4265B" w:rsidRDefault="00E22FF2" w:rsidP="008F5C01">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instruments may be called, redeemed or repurchased only where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notified the Regulator of its intention to call, redeem or repurchase the instruments in writing and well in advance, and not before five years after the date of issuance of the respective instruments;</w:t>
      </w:r>
    </w:p>
    <w:p w14:paraId="633583B4"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(j)</w:t>
      </w:r>
      <w:r w:rsidRPr="00E4265B">
        <w:rPr>
          <w:rFonts w:ascii="Arial" w:hAnsi="Arial" w:cs="Arial"/>
          <w:sz w:val="22"/>
          <w:szCs w:val="22"/>
          <w:lang w:val="en-GB"/>
        </w:rPr>
        <w:tab/>
        <w:t xml:space="preserve">the provisions governing the instruments do not indicate explicitly or implicitly that the instruments would or might be called, redeemed or repurchased and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does not otherwise provide such an indication;</w:t>
      </w:r>
    </w:p>
    <w:p w14:paraId="170A832F" w14:textId="77777777" w:rsidR="00E22FF2" w:rsidRPr="00E4265B" w:rsidRDefault="00E22FF2" w:rsidP="008F5C01">
      <w:pPr>
        <w:pStyle w:val="aList"/>
        <w:rPr>
          <w:rFonts w:ascii="Arial" w:hAnsi="Arial" w:cs="Arial"/>
          <w:sz w:val="22"/>
          <w:szCs w:val="22"/>
          <w:lang w:val="en-GB"/>
        </w:rPr>
      </w:pPr>
      <w:r w:rsidRPr="00E4265B">
        <w:rPr>
          <w:rFonts w:ascii="Arial" w:hAnsi="Arial" w:cs="Arial"/>
          <w:sz w:val="22"/>
          <w:szCs w:val="22"/>
          <w:lang w:val="en-GB"/>
        </w:rPr>
        <w:t>(k)</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does not indicate explicitly or implicitly that the Regulator would not object to a plan to call, redeem or repurchase the instruments;</w:t>
      </w:r>
    </w:p>
    <w:p w14:paraId="0957600B"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(l)</w:t>
      </w:r>
      <w:r w:rsidRPr="00E4265B">
        <w:rPr>
          <w:rFonts w:ascii="Arial" w:hAnsi="Arial" w:cs="Arial"/>
          <w:sz w:val="22"/>
          <w:szCs w:val="22"/>
          <w:lang w:val="en-GB"/>
        </w:rPr>
        <w:tab/>
        <w:t>distributions under the instruments meet the following conditions:</w:t>
      </w:r>
    </w:p>
    <w:p w14:paraId="780C41C9"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they are paid out of distributable items;</w:t>
      </w:r>
    </w:p>
    <w:p w14:paraId="0944BA47"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the level of distributions made on the instruments will not be modified based on the credit standing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any of its Parents or any entities in its Financial Group;</w:t>
      </w:r>
    </w:p>
    <w:p w14:paraId="2CAAEBD1"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the provisions governing the instruments give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full discretion at all times to cancel the distributions on the instruments for an unlimited period and on a non</w:t>
      </w:r>
      <w:r w:rsidRPr="00E4265B">
        <w:rPr>
          <w:rFonts w:ascii="Arial" w:hAnsi="Arial" w:cs="Arial"/>
          <w:sz w:val="22"/>
          <w:szCs w:val="22"/>
          <w:lang w:val="en-GB"/>
        </w:rPr>
        <w:noBreakHyphen/>
        <w:t xml:space="preserve">cumulative basis, and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w:t>
      </w:r>
      <w:r w:rsidRPr="00E4265B">
        <w:rPr>
          <w:rFonts w:ascii="Arial" w:hAnsi="Arial" w:cs="Arial"/>
          <w:sz w:val="22"/>
          <w:szCs w:val="22"/>
          <w:lang w:val="en-GB"/>
        </w:rPr>
        <w:lastRenderedPageBreak/>
        <w:t>use such cancelled payments without restriction to meet its obligations as they fall due;</w:t>
      </w:r>
    </w:p>
    <w:p w14:paraId="34258958"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 xml:space="preserve">cancellation of distributions does not constitute an event of default of the </w:t>
      </w:r>
      <w:r w:rsidR="000D1A90" w:rsidRPr="00E4265B">
        <w:rPr>
          <w:rFonts w:ascii="Arial" w:hAnsi="Arial" w:cs="Arial"/>
          <w:sz w:val="22"/>
          <w:szCs w:val="22"/>
          <w:lang w:val="en-GB"/>
        </w:rPr>
        <w:t>Authorised Person</w:t>
      </w:r>
      <w:r w:rsidRPr="00E4265B">
        <w:rPr>
          <w:rFonts w:ascii="Arial" w:hAnsi="Arial" w:cs="Arial"/>
          <w:sz w:val="22"/>
          <w:szCs w:val="22"/>
          <w:lang w:val="en-GB"/>
        </w:rPr>
        <w:t>; and</w:t>
      </w:r>
    </w:p>
    <w:p w14:paraId="1F12B556"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(v)</w:t>
      </w:r>
      <w:r w:rsidRPr="00E4265B">
        <w:rPr>
          <w:rFonts w:ascii="Arial" w:hAnsi="Arial" w:cs="Arial"/>
          <w:sz w:val="22"/>
          <w:szCs w:val="22"/>
          <w:lang w:val="en-GB"/>
        </w:rPr>
        <w:tab/>
        <w:t xml:space="preserve">the cancellation of distributions imposes no restrictions on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2BC358D8"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(m)</w:t>
      </w:r>
      <w:r w:rsidRPr="00E4265B">
        <w:rPr>
          <w:rFonts w:ascii="Arial" w:hAnsi="Arial" w:cs="Arial"/>
          <w:sz w:val="22"/>
          <w:szCs w:val="22"/>
          <w:lang w:val="en-GB"/>
        </w:rPr>
        <w:tab/>
        <w:t xml:space="preserve">the instruments do not contribute to a determination that the liabilities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exceed its assets, where such a determination constitutes a test of insolvency under the Insolvency Regulations;</w:t>
      </w:r>
    </w:p>
    <w:p w14:paraId="00341D94"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(n)</w:t>
      </w:r>
      <w:r w:rsidRPr="00E4265B">
        <w:rPr>
          <w:rFonts w:ascii="Arial" w:hAnsi="Arial" w:cs="Arial"/>
          <w:sz w:val="22"/>
          <w:szCs w:val="22"/>
          <w:lang w:val="en-GB"/>
        </w:rPr>
        <w:tab/>
        <w:t>the provisions governing the instruments require the principal amount of the instruments to be written down, or the instruments to be converted to CET1 Capital instruments, upon the occurrence of a trigger event;</w:t>
      </w:r>
    </w:p>
    <w:p w14:paraId="6A5F78B3" w14:textId="2C169928" w:rsidR="00643202" w:rsidRPr="00E4265B" w:rsidRDefault="00643202" w:rsidP="00CC70EC">
      <w:pPr>
        <w:pStyle w:val="aList"/>
        <w:rPr>
          <w:rFonts w:ascii="Arial" w:hAnsi="Arial" w:cs="Arial"/>
          <w:sz w:val="22"/>
          <w:szCs w:val="22"/>
          <w:lang w:val="en-GB"/>
        </w:rPr>
      </w:pPr>
      <w:r w:rsidRPr="00E4265B">
        <w:rPr>
          <w:rFonts w:ascii="Arial" w:hAnsi="Arial" w:cs="Arial"/>
          <w:sz w:val="22"/>
          <w:szCs w:val="22"/>
          <w:lang w:val="en-GB"/>
        </w:rPr>
        <w:t>(o)</w:t>
      </w:r>
      <w:r w:rsidRPr="00E4265B">
        <w:rPr>
          <w:rFonts w:ascii="Arial" w:hAnsi="Arial" w:cs="Arial"/>
          <w:sz w:val="22"/>
          <w:szCs w:val="22"/>
          <w:lang w:val="en-GB"/>
        </w:rPr>
        <w:tab/>
        <w:t xml:space="preserve">the instruments are capable of absorbing losses at the point of non-viability </w:t>
      </w:r>
      <w:r w:rsidR="007573BA" w:rsidRPr="00E4265B">
        <w:rPr>
          <w:rFonts w:ascii="Arial" w:hAnsi="Arial" w:cs="Arial"/>
          <w:sz w:val="22"/>
          <w:szCs w:val="22"/>
          <w:lang w:val="en-GB"/>
        </w:rPr>
        <w:t>through the contractual provisions governing the instruments meeting the requirements set out in Rule 3.11.3(4)</w:t>
      </w:r>
      <w:r w:rsidR="00CC70EC" w:rsidRPr="00E4265B">
        <w:rPr>
          <w:rFonts w:ascii="Arial" w:hAnsi="Arial" w:cs="Arial"/>
          <w:sz w:val="22"/>
          <w:szCs w:val="22"/>
          <w:lang w:val="en-GB"/>
        </w:rPr>
        <w:t>;</w:t>
      </w:r>
    </w:p>
    <w:p w14:paraId="6CD51D43" w14:textId="4300CC41"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w:t>
      </w:r>
      <w:r w:rsidR="00643202" w:rsidRPr="00E4265B">
        <w:rPr>
          <w:rFonts w:ascii="Arial" w:hAnsi="Arial" w:cs="Arial"/>
          <w:sz w:val="22"/>
          <w:szCs w:val="22"/>
          <w:lang w:val="en-GB"/>
        </w:rPr>
        <w:t>p</w:t>
      </w:r>
      <w:r w:rsidRPr="00E4265B">
        <w:rPr>
          <w:rFonts w:ascii="Arial" w:hAnsi="Arial" w:cs="Arial"/>
          <w:sz w:val="22"/>
          <w:szCs w:val="22"/>
          <w:lang w:val="en-GB"/>
        </w:rPr>
        <w:t>)</w:t>
      </w:r>
      <w:r w:rsidRPr="00E4265B">
        <w:rPr>
          <w:rFonts w:ascii="Arial" w:hAnsi="Arial" w:cs="Arial"/>
          <w:sz w:val="22"/>
          <w:szCs w:val="22"/>
          <w:lang w:val="en-GB"/>
        </w:rPr>
        <w:tab/>
        <w:t xml:space="preserve">the provisions governing the instruments include no feature that could hinder the recapitalisation of the </w:t>
      </w:r>
      <w:r w:rsidR="000D1A90" w:rsidRPr="00E4265B">
        <w:rPr>
          <w:rFonts w:ascii="Arial" w:hAnsi="Arial" w:cs="Arial"/>
          <w:sz w:val="22"/>
          <w:szCs w:val="22"/>
          <w:lang w:val="en-GB"/>
        </w:rPr>
        <w:t>Authorised Person</w:t>
      </w:r>
      <w:r w:rsidRPr="00E4265B">
        <w:rPr>
          <w:rFonts w:ascii="Arial" w:hAnsi="Arial" w:cs="Arial"/>
          <w:sz w:val="22"/>
          <w:szCs w:val="22"/>
          <w:lang w:val="en-GB"/>
        </w:rPr>
        <w:t>; and</w:t>
      </w:r>
    </w:p>
    <w:p w14:paraId="46D08648"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w:t>
      </w:r>
      <w:r w:rsidR="00643202" w:rsidRPr="00E4265B">
        <w:rPr>
          <w:rFonts w:ascii="Arial" w:hAnsi="Arial" w:cs="Arial"/>
          <w:sz w:val="22"/>
          <w:szCs w:val="22"/>
          <w:lang w:val="en-GB"/>
        </w:rPr>
        <w:t>q</w:t>
      </w:r>
      <w:r w:rsidRPr="00E4265B">
        <w:rPr>
          <w:rFonts w:ascii="Arial" w:hAnsi="Arial" w:cs="Arial"/>
          <w:sz w:val="22"/>
          <w:szCs w:val="22"/>
          <w:lang w:val="en-GB"/>
        </w:rPr>
        <w:t>)</w:t>
      </w:r>
      <w:r w:rsidRPr="00E4265B">
        <w:rPr>
          <w:rFonts w:ascii="Arial" w:hAnsi="Arial" w:cs="Arial"/>
          <w:sz w:val="22"/>
          <w:szCs w:val="22"/>
          <w:lang w:val="en-GB"/>
        </w:rPr>
        <w:tab/>
        <w:t xml:space="preserve">where the instruments are not issued directly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by an operating entity within the Financial Group to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belongs, or by the Parent of the </w:t>
      </w:r>
      <w:r w:rsidR="000D1A90" w:rsidRPr="00E4265B">
        <w:rPr>
          <w:rFonts w:ascii="Arial" w:hAnsi="Arial" w:cs="Arial"/>
          <w:sz w:val="22"/>
          <w:szCs w:val="22"/>
          <w:lang w:val="en-GB"/>
        </w:rPr>
        <w:t>Authorised Person</w:t>
      </w:r>
      <w:r w:rsidRPr="00E4265B">
        <w:rPr>
          <w:rFonts w:ascii="Arial" w:hAnsi="Arial" w:cs="Arial"/>
          <w:sz w:val="22"/>
          <w:szCs w:val="22"/>
          <w:lang w:val="en-GB"/>
        </w:rPr>
        <w:t>, the proceeds are immediately available without limitation in a form that satisfies the conditions laid down in this Rule to any of the following:</w:t>
      </w:r>
    </w:p>
    <w:p w14:paraId="48BC4435"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79918D1A"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an operating entity within the Financial Group to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belongs; or</w:t>
      </w:r>
    </w:p>
    <w:p w14:paraId="5FDF1534"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any Parent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0C3D685A"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For the purposes of (1)(l)(v) and (1)(</w:t>
      </w:r>
      <w:r w:rsidR="006B4B6B" w:rsidRPr="00E4265B">
        <w:rPr>
          <w:rFonts w:ascii="Arial" w:hAnsi="Arial" w:cs="Arial"/>
          <w:sz w:val="22"/>
          <w:szCs w:val="22"/>
          <w:lang w:val="en-GB"/>
        </w:rPr>
        <w:t>p</w:t>
      </w:r>
      <w:r w:rsidRPr="00E4265B">
        <w:rPr>
          <w:rFonts w:ascii="Arial" w:hAnsi="Arial" w:cs="Arial"/>
          <w:sz w:val="22"/>
          <w:szCs w:val="22"/>
          <w:lang w:val="en-GB"/>
        </w:rPr>
        <w:t>), the provisions governing AT1 Capital instruments must not include the following:</w:t>
      </w:r>
    </w:p>
    <w:p w14:paraId="2AD8ECDC"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 requirement for distributions on the instruments to be made in the event of a distribution being made on an instrument issued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that ranks to the same degree as, or more junior than, an AT1 Capital instrument;</w:t>
      </w:r>
    </w:p>
    <w:p w14:paraId="5F03752F"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 requirement for the payment of distributions on CET1, AT1 or T2 Capital instruments to be cancelled in the event that distributions are not made on those AT1 Capital instruments; or</w:t>
      </w:r>
    </w:p>
    <w:p w14:paraId="22B36DEF"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an obligation to substitute the payment of interest or dividend by a payment in any other form.</w:t>
      </w:r>
    </w:p>
    <w:p w14:paraId="588D25D7"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lastRenderedPageBreak/>
        <w:t>(3)</w:t>
      </w:r>
      <w:r w:rsidRPr="00E4265B">
        <w:rPr>
          <w:rFonts w:ascii="Arial" w:hAnsi="Arial" w:cs="Arial"/>
          <w:sz w:val="22"/>
          <w:szCs w:val="22"/>
          <w:lang w:val="en-GB"/>
        </w:rPr>
        <w:tab/>
        <w:t>For the purposes of (1)(n), the following provisions apply to AT1 Capital instruments:</w:t>
      </w:r>
    </w:p>
    <w:p w14:paraId="39F195E7"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 trigger event occurs when the CET1 Capital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falls below either of the following:</w:t>
      </w:r>
    </w:p>
    <w:p w14:paraId="04108EDF"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r>
      <w:r w:rsidR="00CB24AF" w:rsidRPr="00E4265B">
        <w:rPr>
          <w:rFonts w:ascii="Arial" w:hAnsi="Arial" w:cs="Arial"/>
          <w:sz w:val="22"/>
          <w:szCs w:val="22"/>
          <w:lang w:val="en-GB"/>
        </w:rPr>
        <w:t>6.625</w:t>
      </w:r>
      <w:r w:rsidRPr="00E4265B">
        <w:rPr>
          <w:rFonts w:ascii="Arial" w:hAnsi="Arial" w:cs="Arial"/>
          <w:sz w:val="22"/>
          <w:szCs w:val="22"/>
          <w:lang w:val="en-GB"/>
        </w:rPr>
        <w:t xml:space="preserve">% of its </w:t>
      </w:r>
      <w:r w:rsidR="006B4B6B" w:rsidRPr="00E4265B">
        <w:rPr>
          <w:rFonts w:ascii="Arial" w:hAnsi="Arial" w:cs="Arial"/>
          <w:sz w:val="22"/>
          <w:szCs w:val="22"/>
          <w:lang w:val="en-GB"/>
        </w:rPr>
        <w:t>Total Risk Exposure Amount;</w:t>
      </w:r>
      <w:r w:rsidRPr="00E4265B">
        <w:rPr>
          <w:rFonts w:ascii="Arial" w:hAnsi="Arial" w:cs="Arial"/>
          <w:sz w:val="22"/>
          <w:szCs w:val="22"/>
          <w:lang w:val="en-GB"/>
        </w:rPr>
        <w:t xml:space="preserve"> or</w:t>
      </w:r>
    </w:p>
    <w:p w14:paraId="0A45AD39"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a level higher than </w:t>
      </w:r>
      <w:r w:rsidR="00CB24AF" w:rsidRPr="00E4265B">
        <w:rPr>
          <w:rFonts w:ascii="Arial" w:hAnsi="Arial" w:cs="Arial"/>
          <w:sz w:val="22"/>
          <w:szCs w:val="22"/>
          <w:lang w:val="en-GB"/>
        </w:rPr>
        <w:t>6.625</w:t>
      </w:r>
      <w:r w:rsidRPr="00E4265B">
        <w:rPr>
          <w:rFonts w:ascii="Arial" w:hAnsi="Arial" w:cs="Arial"/>
          <w:sz w:val="22"/>
          <w:szCs w:val="22"/>
          <w:lang w:val="en-GB"/>
        </w:rPr>
        <w:t xml:space="preserve">%, where determined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specified in the provisions governing the instrument;</w:t>
      </w:r>
    </w:p>
    <w:p w14:paraId="2E131DA1"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where the provisions governing the instruments require them to be converted into CET1 Capital instruments upon the occurrence of a trigger event, those provisions must specify either of the following:</w:t>
      </w:r>
    </w:p>
    <w:p w14:paraId="2E646CA0"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 rate of such conversion and a limit on the permitted amount of conversion; or</w:t>
      </w:r>
    </w:p>
    <w:p w14:paraId="5DA8065F"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a range within which the instruments will convert into CET1 Capital instruments;</w:t>
      </w:r>
    </w:p>
    <w:p w14:paraId="120958F6"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where the provisions governing the instruments require their principal amount to be written down upon the occurrence of a trigger event, the write down must reduce all the following:</w:t>
      </w:r>
    </w:p>
    <w:p w14:paraId="0BA67ECE"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claim of the holder of the instrument in the liquidation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0D5B6979"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the amount required to be paid in the event of the call of the instrument; and</w:t>
      </w:r>
    </w:p>
    <w:p w14:paraId="06EA091F"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the distributions made on the instrument.</w:t>
      </w:r>
    </w:p>
    <w:p w14:paraId="5B6CACA6" w14:textId="6D2FB649" w:rsidR="00643202" w:rsidRPr="00E4265B" w:rsidRDefault="00E22FF2" w:rsidP="00643202">
      <w:pPr>
        <w:pStyle w:val="1List"/>
        <w:rPr>
          <w:rFonts w:ascii="Arial" w:hAnsi="Arial" w:cs="Arial"/>
          <w:sz w:val="22"/>
          <w:szCs w:val="22"/>
          <w:lang w:val="en-GB"/>
        </w:rPr>
      </w:pPr>
      <w:r w:rsidRPr="00E4265B">
        <w:rPr>
          <w:rFonts w:ascii="Arial" w:hAnsi="Arial" w:cs="Arial"/>
          <w:sz w:val="22"/>
          <w:szCs w:val="22"/>
          <w:lang w:val="en-GB"/>
        </w:rPr>
        <w:t>(4)</w:t>
      </w:r>
      <w:r w:rsidR="00643202" w:rsidRPr="00E4265B">
        <w:rPr>
          <w:rFonts w:ascii="Arial" w:hAnsi="Arial" w:cs="Arial"/>
          <w:sz w:val="22"/>
          <w:szCs w:val="22"/>
          <w:lang w:val="en-GB"/>
        </w:rPr>
        <w:tab/>
        <w:t>For the purposes of (1)(</w:t>
      </w:r>
      <w:r w:rsidR="00144C9B" w:rsidRPr="00E4265B">
        <w:rPr>
          <w:rFonts w:ascii="Arial" w:hAnsi="Arial" w:cs="Arial"/>
          <w:sz w:val="22"/>
          <w:szCs w:val="22"/>
          <w:lang w:val="en-GB"/>
        </w:rPr>
        <w:t>o</w:t>
      </w:r>
      <w:r w:rsidR="00977EE6" w:rsidRPr="00E4265B">
        <w:rPr>
          <w:rFonts w:ascii="Arial" w:hAnsi="Arial" w:cs="Arial"/>
          <w:sz w:val="22"/>
          <w:szCs w:val="22"/>
          <w:lang w:val="en-GB"/>
        </w:rPr>
        <w:t>)</w:t>
      </w:r>
      <w:r w:rsidR="00CC70EC" w:rsidRPr="00E4265B">
        <w:rPr>
          <w:rFonts w:ascii="Arial" w:hAnsi="Arial" w:cs="Arial"/>
          <w:sz w:val="22"/>
          <w:szCs w:val="22"/>
          <w:lang w:val="en-GB"/>
        </w:rPr>
        <w:t>, the following provisions apply to AT1 Capital instruments.</w:t>
      </w:r>
    </w:p>
    <w:p w14:paraId="73283398" w14:textId="77777777" w:rsidR="00643202" w:rsidRPr="00E4265B" w:rsidRDefault="00643202" w:rsidP="00643202">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r>
      <w:r w:rsidR="00167B57" w:rsidRPr="00E4265B">
        <w:rPr>
          <w:rFonts w:ascii="Arial" w:hAnsi="Arial" w:cs="Arial"/>
          <w:sz w:val="22"/>
          <w:szCs w:val="22"/>
          <w:lang w:val="en-GB"/>
        </w:rPr>
        <w:t xml:space="preserve">The provisions governing </w:t>
      </w:r>
      <w:r w:rsidR="00144C9B" w:rsidRPr="00E4265B">
        <w:rPr>
          <w:rFonts w:ascii="Arial" w:hAnsi="Arial" w:cs="Arial"/>
          <w:sz w:val="22"/>
          <w:szCs w:val="22"/>
          <w:lang w:val="en-GB"/>
        </w:rPr>
        <w:t>AT1</w:t>
      </w:r>
      <w:r w:rsidR="00167B57" w:rsidRPr="00E4265B">
        <w:rPr>
          <w:rFonts w:ascii="Arial" w:hAnsi="Arial" w:cs="Arial"/>
          <w:sz w:val="22"/>
          <w:szCs w:val="22"/>
          <w:lang w:val="en-GB"/>
        </w:rPr>
        <w:t xml:space="preserve"> Capital instruments must require such instruments to, at the option of the Regulator, either be partially or fully written down or converted into ordinary shares upon the occurrence of a trigger event.</w:t>
      </w:r>
    </w:p>
    <w:p w14:paraId="68503F82" w14:textId="40CA4066" w:rsidR="00167B57" w:rsidRPr="00E4265B" w:rsidRDefault="00167B57" w:rsidP="005933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For the purpose of this provision, a "trigger event" shall refer to a notification by the Regulator notifying the Authorised Person in writing, in accordance with any </w:t>
      </w:r>
      <w:r w:rsidR="005933B5" w:rsidRPr="00E4265B">
        <w:rPr>
          <w:rFonts w:ascii="Arial" w:hAnsi="Arial" w:cs="Arial"/>
          <w:sz w:val="22"/>
          <w:szCs w:val="22"/>
          <w:lang w:val="en-GB"/>
        </w:rPr>
        <w:t>regulations</w:t>
      </w:r>
      <w:r w:rsidRPr="00E4265B">
        <w:rPr>
          <w:rFonts w:ascii="Arial" w:hAnsi="Arial" w:cs="Arial"/>
          <w:sz w:val="22"/>
          <w:szCs w:val="22"/>
          <w:lang w:val="en-GB"/>
        </w:rPr>
        <w:t xml:space="preserve"> of ADGM relating to recovery and resolution, that the Regulator has determined that unless a write down or conversion is conducted, the Authorised Person will no longer be viable.</w:t>
      </w:r>
    </w:p>
    <w:p w14:paraId="69A150A4" w14:textId="77777777" w:rsidR="00167B57" w:rsidRPr="00E4265B" w:rsidRDefault="00167B57" w:rsidP="00643202">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Any compensation paid to the instrument holders as a result of a write down shall be paid immediately and in the form of ordinary shares of the Authorised Person, or the holding company of the Authorised Person if approved by the Regulator.</w:t>
      </w:r>
    </w:p>
    <w:p w14:paraId="6C9F8B6D" w14:textId="30EDE71A" w:rsidR="00167B57" w:rsidRPr="00E4265B" w:rsidRDefault="00167B57" w:rsidP="00030214">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The Authorised Person shall maintain at all times all prior authorisation necessary to issue </w:t>
      </w:r>
      <w:r w:rsidR="00030214" w:rsidRPr="00E4265B">
        <w:rPr>
          <w:rFonts w:ascii="Arial" w:hAnsi="Arial" w:cs="Arial"/>
          <w:sz w:val="22"/>
          <w:szCs w:val="22"/>
          <w:lang w:val="en-GB"/>
        </w:rPr>
        <w:t xml:space="preserve">immediately </w:t>
      </w:r>
      <w:r w:rsidRPr="00E4265B">
        <w:rPr>
          <w:rFonts w:ascii="Arial" w:hAnsi="Arial" w:cs="Arial"/>
          <w:sz w:val="22"/>
          <w:szCs w:val="22"/>
          <w:lang w:val="en-GB"/>
        </w:rPr>
        <w:t xml:space="preserve">the relevant number </w:t>
      </w:r>
      <w:r w:rsidRPr="00E4265B">
        <w:rPr>
          <w:rFonts w:ascii="Arial" w:hAnsi="Arial" w:cs="Arial"/>
          <w:sz w:val="22"/>
          <w:szCs w:val="22"/>
          <w:lang w:val="en-GB"/>
        </w:rPr>
        <w:lastRenderedPageBreak/>
        <w:t>of ordinary shares should the trigger event occur</w:t>
      </w:r>
      <w:r w:rsidR="003B1C48" w:rsidRPr="00E4265B">
        <w:rPr>
          <w:rFonts w:ascii="Arial" w:hAnsi="Arial" w:cs="Arial"/>
          <w:sz w:val="22"/>
          <w:szCs w:val="22"/>
          <w:lang w:val="en-GB"/>
        </w:rPr>
        <w:t xml:space="preserve"> and the AT1 Capital instruments be converted into ordinary shares</w:t>
      </w:r>
      <w:r w:rsidRPr="00E4265B">
        <w:rPr>
          <w:rFonts w:ascii="Arial" w:hAnsi="Arial" w:cs="Arial"/>
          <w:sz w:val="22"/>
          <w:szCs w:val="22"/>
          <w:lang w:val="en-GB"/>
        </w:rPr>
        <w:t xml:space="preserve">. </w:t>
      </w:r>
    </w:p>
    <w:p w14:paraId="3FB4CB5C" w14:textId="14CA9DF0" w:rsidR="00167B57" w:rsidRPr="00E4265B" w:rsidRDefault="00167B57" w:rsidP="00BF2CE1">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Where an Authorised Person intends to include the </w:t>
      </w:r>
      <w:r w:rsidR="00144C9B" w:rsidRPr="00E4265B">
        <w:rPr>
          <w:rFonts w:ascii="Arial" w:hAnsi="Arial" w:cs="Arial"/>
          <w:sz w:val="22"/>
          <w:szCs w:val="22"/>
          <w:lang w:val="en-GB"/>
        </w:rPr>
        <w:t>A</w:t>
      </w:r>
      <w:r w:rsidRPr="00E4265B">
        <w:rPr>
          <w:rFonts w:ascii="Arial" w:hAnsi="Arial" w:cs="Arial"/>
          <w:sz w:val="22"/>
          <w:szCs w:val="22"/>
          <w:lang w:val="en-GB"/>
        </w:rPr>
        <w:t>T</w:t>
      </w:r>
      <w:r w:rsidR="00144C9B" w:rsidRPr="00E4265B">
        <w:rPr>
          <w:rFonts w:ascii="Arial" w:hAnsi="Arial" w:cs="Arial"/>
          <w:sz w:val="22"/>
          <w:szCs w:val="22"/>
          <w:lang w:val="en-GB"/>
        </w:rPr>
        <w:t>1</w:t>
      </w:r>
      <w:r w:rsidRPr="00E4265B">
        <w:rPr>
          <w:rFonts w:ascii="Arial" w:hAnsi="Arial" w:cs="Arial"/>
          <w:sz w:val="22"/>
          <w:szCs w:val="22"/>
          <w:lang w:val="en-GB"/>
        </w:rPr>
        <w:t xml:space="preserve"> Capital instruments issued by a Subsidiary in a non-ADGM jurisdiction in the consolidated </w:t>
      </w:r>
      <w:r w:rsidR="00144C9B" w:rsidRPr="00E4265B">
        <w:rPr>
          <w:rFonts w:ascii="Arial" w:hAnsi="Arial" w:cs="Arial"/>
          <w:sz w:val="22"/>
          <w:szCs w:val="22"/>
          <w:lang w:val="en-GB"/>
        </w:rPr>
        <w:t>AT1</w:t>
      </w:r>
      <w:r w:rsidRPr="00E4265B">
        <w:rPr>
          <w:rFonts w:ascii="Arial" w:hAnsi="Arial" w:cs="Arial"/>
          <w:sz w:val="22"/>
          <w:szCs w:val="22"/>
          <w:lang w:val="en-GB"/>
        </w:rPr>
        <w:t xml:space="preserve"> Capital, the Authorised Person may do so, to the extent permitted under these Rules, if the provisions governing the instrument specify a trigger event equivalent to the trigger specified in paragraph (b) above, or where the trigger event relates to the supervisor </w:t>
      </w:r>
      <w:r w:rsidR="00BF2CE1" w:rsidRPr="00E4265B">
        <w:rPr>
          <w:rFonts w:ascii="Arial" w:hAnsi="Arial" w:cs="Arial"/>
          <w:sz w:val="22"/>
          <w:szCs w:val="22"/>
          <w:lang w:val="en-GB"/>
        </w:rPr>
        <w:t xml:space="preserve">of the Subsidiary </w:t>
      </w:r>
      <w:r w:rsidRPr="00E4265B">
        <w:rPr>
          <w:rFonts w:ascii="Arial" w:hAnsi="Arial" w:cs="Arial"/>
          <w:sz w:val="22"/>
          <w:szCs w:val="22"/>
          <w:lang w:val="en-GB"/>
        </w:rPr>
        <w:t>deciding to make a public sector injection of capital or equivalent support, without which the Authorised Person would no longer be viable. The Regulator will only activate such triggers in respect of such Subsidiary</w:t>
      </w:r>
      <w:r w:rsidR="00BF2CE1" w:rsidRPr="00E4265B">
        <w:rPr>
          <w:rFonts w:ascii="Arial" w:hAnsi="Arial" w:cs="Arial"/>
          <w:sz w:val="22"/>
          <w:szCs w:val="22"/>
          <w:lang w:val="en-GB"/>
        </w:rPr>
        <w:t>,</w:t>
      </w:r>
      <w:r w:rsidRPr="00E4265B">
        <w:rPr>
          <w:rFonts w:ascii="Arial" w:hAnsi="Arial" w:cs="Arial"/>
          <w:sz w:val="22"/>
          <w:szCs w:val="22"/>
          <w:lang w:val="en-GB"/>
        </w:rPr>
        <w:t xml:space="preserve"> after consultation with the supervisor</w:t>
      </w:r>
      <w:r w:rsidR="00BF2CE1" w:rsidRPr="00E4265B">
        <w:rPr>
          <w:rFonts w:ascii="Arial" w:hAnsi="Arial" w:cs="Arial"/>
          <w:sz w:val="22"/>
          <w:szCs w:val="22"/>
          <w:lang w:val="en-GB"/>
        </w:rPr>
        <w:t xml:space="preserve"> of the Subsidiary, </w:t>
      </w:r>
      <w:r w:rsidRPr="00E4265B">
        <w:rPr>
          <w:rFonts w:ascii="Arial" w:hAnsi="Arial" w:cs="Arial"/>
          <w:sz w:val="22"/>
          <w:szCs w:val="22"/>
          <w:lang w:val="en-GB"/>
        </w:rPr>
        <w:t>where:</w:t>
      </w:r>
    </w:p>
    <w:p w14:paraId="15EA5E84" w14:textId="700DB9B6" w:rsidR="00167B57" w:rsidRPr="00E4265B" w:rsidRDefault="00167B57" w:rsidP="00BF2CE1">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if applicable, the Subsidiary is </w:t>
      </w:r>
      <w:r w:rsidR="00BF2CE1" w:rsidRPr="00E4265B">
        <w:rPr>
          <w:rFonts w:ascii="Arial" w:hAnsi="Arial" w:cs="Arial"/>
          <w:sz w:val="22"/>
          <w:szCs w:val="22"/>
          <w:lang w:val="en-GB"/>
        </w:rPr>
        <w:t xml:space="preserve">non-viable as determined by the </w:t>
      </w:r>
      <w:r w:rsidRPr="00E4265B">
        <w:rPr>
          <w:rFonts w:ascii="Arial" w:hAnsi="Arial" w:cs="Arial"/>
          <w:sz w:val="22"/>
          <w:szCs w:val="22"/>
          <w:lang w:val="en-GB"/>
        </w:rPr>
        <w:t xml:space="preserve">supervisor </w:t>
      </w:r>
      <w:r w:rsidR="00BF2CE1" w:rsidRPr="00E4265B">
        <w:rPr>
          <w:rFonts w:ascii="Arial" w:hAnsi="Arial" w:cs="Arial"/>
          <w:sz w:val="22"/>
          <w:szCs w:val="22"/>
          <w:lang w:val="en-GB"/>
        </w:rPr>
        <w:t xml:space="preserve">of the Subsidiary </w:t>
      </w:r>
      <w:r w:rsidRPr="00E4265B">
        <w:rPr>
          <w:rFonts w:ascii="Arial" w:hAnsi="Arial" w:cs="Arial"/>
          <w:sz w:val="22"/>
          <w:szCs w:val="22"/>
          <w:lang w:val="en-GB"/>
        </w:rPr>
        <w:t>in accordance with applicable laws of that jurisdiction on insolvency, resolution or recovery of financial institutions; and</w:t>
      </w:r>
    </w:p>
    <w:p w14:paraId="5B38BC7A" w14:textId="1BD64C71" w:rsidR="00167B57" w:rsidRPr="00E4265B" w:rsidRDefault="00167B57" w:rsidP="00167B57">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the Authorised Person is, or would be, non-viable, as determined by the Regulator, as a result of providing, or committing to provide, a capital injection or sim</w:t>
      </w:r>
      <w:r w:rsidR="00CC70EC" w:rsidRPr="00E4265B">
        <w:rPr>
          <w:rFonts w:ascii="Arial" w:hAnsi="Arial" w:cs="Arial"/>
          <w:sz w:val="22"/>
          <w:szCs w:val="22"/>
          <w:lang w:val="en-GB"/>
        </w:rPr>
        <w:t>ilar support to the Subsidiary.</w:t>
      </w:r>
    </w:p>
    <w:p w14:paraId="2AA37BF3" w14:textId="77777777" w:rsidR="00167B57" w:rsidRPr="00E4265B" w:rsidRDefault="00167B57" w:rsidP="00643202">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For the purposes of paragraph (e) above, any ordinary shares paid as compensation to the holders of the capital instrument shall be ordinary shares of either the Subsidiary or of the Authorised Person.</w:t>
      </w:r>
    </w:p>
    <w:p w14:paraId="5CD6D4C5" w14:textId="1DF086B1" w:rsidR="00E22FF2" w:rsidRPr="00E4265B" w:rsidRDefault="00643202" w:rsidP="00036C5A">
      <w:pPr>
        <w:pStyle w:val="1List"/>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r>
      <w:r w:rsidR="00E22FF2" w:rsidRPr="00E4265B">
        <w:rPr>
          <w:rFonts w:ascii="Arial" w:hAnsi="Arial" w:cs="Arial"/>
          <w:sz w:val="22"/>
          <w:szCs w:val="22"/>
          <w:lang w:val="en-GB"/>
        </w:rPr>
        <w:t>The following must apply where, in the case of an AT1 Capital instrument, the conditions laid down in this Rule cease to be met:</w:t>
      </w:r>
    </w:p>
    <w:p w14:paraId="38AD6BF3"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that instrument must cease to qualify as an AT1 Capital instrument; and</w:t>
      </w:r>
    </w:p>
    <w:p w14:paraId="70130FB5"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part of the </w:t>
      </w:r>
      <w:r w:rsidR="00202EF6" w:rsidRPr="00E4265B">
        <w:rPr>
          <w:rFonts w:ascii="Arial" w:hAnsi="Arial" w:cs="Arial"/>
          <w:sz w:val="22"/>
          <w:szCs w:val="22"/>
          <w:lang w:val="en-GB"/>
        </w:rPr>
        <w:t>Share</w:t>
      </w:r>
      <w:r w:rsidRPr="00E4265B">
        <w:rPr>
          <w:rFonts w:ascii="Arial" w:hAnsi="Arial" w:cs="Arial"/>
          <w:sz w:val="22"/>
          <w:szCs w:val="22"/>
          <w:lang w:val="en-GB"/>
        </w:rPr>
        <w:t xml:space="preserve"> premium accounts that relates to that instrument must cease to qualify as an AT1 Capital element.</w:t>
      </w:r>
    </w:p>
    <w:p w14:paraId="38A48132" w14:textId="77777777" w:rsidR="00922EE9" w:rsidRPr="00E4265B" w:rsidRDefault="00922EE9" w:rsidP="00922EE9">
      <w:pPr>
        <w:pStyle w:val="TitleL5"/>
        <w:rPr>
          <w:rFonts w:ascii="Arial" w:hAnsi="Arial" w:cs="Arial"/>
          <w:sz w:val="22"/>
          <w:szCs w:val="22"/>
          <w:lang w:val="en-GB"/>
        </w:rPr>
      </w:pPr>
      <w:r w:rsidRPr="00E4265B">
        <w:rPr>
          <w:rFonts w:ascii="Arial" w:hAnsi="Arial" w:cs="Arial"/>
          <w:sz w:val="22"/>
          <w:szCs w:val="22"/>
          <w:lang w:val="en-GB"/>
        </w:rPr>
        <w:t>Guidance</w:t>
      </w:r>
    </w:p>
    <w:p w14:paraId="19FD1A8E" w14:textId="77777777" w:rsidR="00922EE9" w:rsidRPr="00E4265B" w:rsidRDefault="00922EE9" w:rsidP="00922EE9">
      <w:pPr>
        <w:pStyle w:val="aList"/>
        <w:ind w:left="993" w:hanging="12"/>
        <w:rPr>
          <w:rFonts w:ascii="Arial" w:hAnsi="Arial" w:cs="Arial"/>
          <w:sz w:val="22"/>
          <w:szCs w:val="22"/>
          <w:lang w:val="en-GB"/>
        </w:rPr>
      </w:pPr>
      <w:r w:rsidRPr="00E4265B">
        <w:rPr>
          <w:rFonts w:ascii="Arial" w:hAnsi="Arial" w:cs="Arial"/>
          <w:sz w:val="22"/>
          <w:szCs w:val="22"/>
          <w:lang w:val="en-GB"/>
        </w:rPr>
        <w:t>Where the Regulator determines that certain conditions in relation to the viability of the institution are met, capital instruments eligible for inclusion in AT1 Capital will be either partially or fully written down or converted into ordinary shares.</w:t>
      </w:r>
    </w:p>
    <w:p w14:paraId="264E8911"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AT1 </w:t>
      </w:r>
      <w:r w:rsidR="006B4B6B" w:rsidRPr="00E4265B">
        <w:rPr>
          <w:rFonts w:ascii="Arial" w:hAnsi="Arial" w:cs="Arial"/>
          <w:sz w:val="22"/>
          <w:szCs w:val="22"/>
          <w:lang w:val="en-GB"/>
        </w:rPr>
        <w:t>Deductions</w:t>
      </w:r>
    </w:p>
    <w:p w14:paraId="2DED23D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Subject to the following Rules in this Section, an </w:t>
      </w:r>
      <w:r w:rsidR="000D1A90" w:rsidRPr="00E4265B">
        <w:rPr>
          <w:rFonts w:ascii="Arial" w:hAnsi="Arial" w:cs="Arial"/>
          <w:sz w:val="22"/>
          <w:szCs w:val="22"/>
        </w:rPr>
        <w:t>Authorised Person</w:t>
      </w:r>
      <w:r w:rsidRPr="00E4265B">
        <w:rPr>
          <w:rFonts w:ascii="Arial" w:hAnsi="Arial" w:cs="Arial"/>
          <w:sz w:val="22"/>
          <w:szCs w:val="22"/>
        </w:rPr>
        <w:t xml:space="preserve"> must deduct the following from the calculation of its AT1 Capital:</w:t>
      </w:r>
    </w:p>
    <w:p w14:paraId="7D84168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direct and indirect holdings by an </w:t>
      </w:r>
      <w:r w:rsidR="000D1A90" w:rsidRPr="00E4265B">
        <w:rPr>
          <w:rFonts w:ascii="Arial" w:hAnsi="Arial" w:cs="Arial"/>
          <w:sz w:val="22"/>
          <w:szCs w:val="22"/>
        </w:rPr>
        <w:t>Authorised Person</w:t>
      </w:r>
      <w:r w:rsidRPr="00E4265B">
        <w:rPr>
          <w:rFonts w:ascii="Arial" w:hAnsi="Arial" w:cs="Arial"/>
          <w:sz w:val="22"/>
          <w:szCs w:val="22"/>
        </w:rPr>
        <w:t xml:space="preserve"> of own AT1 Capital instruments including instruments under which an </w:t>
      </w:r>
      <w:r w:rsidR="000D1A90" w:rsidRPr="00E4265B">
        <w:rPr>
          <w:rFonts w:ascii="Arial" w:hAnsi="Arial" w:cs="Arial"/>
          <w:sz w:val="22"/>
          <w:szCs w:val="22"/>
        </w:rPr>
        <w:t>Authorised Person</w:t>
      </w:r>
      <w:r w:rsidRPr="00E4265B">
        <w:rPr>
          <w:rFonts w:ascii="Arial" w:hAnsi="Arial" w:cs="Arial"/>
          <w:sz w:val="22"/>
          <w:szCs w:val="22"/>
        </w:rPr>
        <w:t xml:space="preserve"> is under an actual or contingent obligation to effect a purchase by virtue of an existing contractual obligation;</w:t>
      </w:r>
    </w:p>
    <w:p w14:paraId="4F61918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holdings of the AT1 Capital instruments of Relevant Entities where those entities have a reciprocal cross</w:t>
      </w:r>
      <w:r w:rsidR="006B4B6B" w:rsidRPr="00E4265B">
        <w:rPr>
          <w:rFonts w:ascii="Arial" w:hAnsi="Arial" w:cs="Arial"/>
          <w:sz w:val="22"/>
          <w:szCs w:val="22"/>
        </w:rPr>
        <w:t>-</w:t>
      </w:r>
      <w:r w:rsidRPr="00E4265B">
        <w:rPr>
          <w:rFonts w:ascii="Arial" w:hAnsi="Arial" w:cs="Arial"/>
          <w:sz w:val="22"/>
          <w:szCs w:val="22"/>
        </w:rPr>
        <w:t xml:space="preserve">holding with the </w:t>
      </w:r>
      <w:r w:rsidR="000D1A90" w:rsidRPr="00E4265B">
        <w:rPr>
          <w:rFonts w:ascii="Arial" w:hAnsi="Arial" w:cs="Arial"/>
          <w:sz w:val="22"/>
          <w:szCs w:val="22"/>
        </w:rPr>
        <w:t>Authorised Person</w:t>
      </w:r>
      <w:r w:rsidRPr="00E4265B">
        <w:rPr>
          <w:rFonts w:ascii="Arial" w:hAnsi="Arial" w:cs="Arial"/>
          <w:sz w:val="22"/>
          <w:szCs w:val="22"/>
        </w:rPr>
        <w:t xml:space="preserve"> which </w:t>
      </w:r>
      <w:r w:rsidRPr="00E4265B">
        <w:rPr>
          <w:rFonts w:ascii="Arial" w:hAnsi="Arial" w:cs="Arial"/>
          <w:sz w:val="22"/>
          <w:szCs w:val="22"/>
        </w:rPr>
        <w:lastRenderedPageBreak/>
        <w:t xml:space="preserve">have the effect of artificially inflating the Capital Resources of the </w:t>
      </w:r>
      <w:r w:rsidR="000D1A90" w:rsidRPr="00E4265B">
        <w:rPr>
          <w:rFonts w:ascii="Arial" w:hAnsi="Arial" w:cs="Arial"/>
          <w:sz w:val="22"/>
          <w:szCs w:val="22"/>
        </w:rPr>
        <w:t>Authorised Person</w:t>
      </w:r>
      <w:r w:rsidRPr="00E4265B">
        <w:rPr>
          <w:rFonts w:ascii="Arial" w:hAnsi="Arial" w:cs="Arial"/>
          <w:sz w:val="22"/>
          <w:szCs w:val="22"/>
        </w:rPr>
        <w:t>;</w:t>
      </w:r>
    </w:p>
    <w:p w14:paraId="6D181F4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amount determined in accordance with Rule 3.1</w:t>
      </w:r>
      <w:r w:rsidR="006B4B6B" w:rsidRPr="00E4265B">
        <w:rPr>
          <w:rFonts w:ascii="Arial" w:hAnsi="Arial" w:cs="Arial"/>
          <w:sz w:val="22"/>
          <w:szCs w:val="22"/>
        </w:rPr>
        <w:t>1</w:t>
      </w:r>
      <w:r w:rsidRPr="00E4265B">
        <w:rPr>
          <w:rFonts w:ascii="Arial" w:hAnsi="Arial" w:cs="Arial"/>
          <w:sz w:val="22"/>
          <w:szCs w:val="22"/>
        </w:rPr>
        <w:t xml:space="preserve">.8 of direct and indirect holdings by the </w:t>
      </w:r>
      <w:r w:rsidR="000D1A90" w:rsidRPr="00E4265B">
        <w:rPr>
          <w:rFonts w:ascii="Arial" w:hAnsi="Arial" w:cs="Arial"/>
          <w:sz w:val="22"/>
          <w:szCs w:val="22"/>
        </w:rPr>
        <w:t>Authorised Person</w:t>
      </w:r>
      <w:r w:rsidRPr="00E4265B">
        <w:rPr>
          <w:rFonts w:ascii="Arial" w:hAnsi="Arial" w:cs="Arial"/>
          <w:sz w:val="22"/>
          <w:szCs w:val="22"/>
        </w:rPr>
        <w:t xml:space="preserve"> of the AT1 Capital instruments of Relevant Entities where the </w:t>
      </w:r>
      <w:r w:rsidR="000D1A90" w:rsidRPr="00E4265B">
        <w:rPr>
          <w:rFonts w:ascii="Arial" w:hAnsi="Arial" w:cs="Arial"/>
          <w:sz w:val="22"/>
          <w:szCs w:val="22"/>
        </w:rPr>
        <w:t>Authorised Person</w:t>
      </w:r>
      <w:r w:rsidRPr="00E4265B">
        <w:rPr>
          <w:rFonts w:ascii="Arial" w:hAnsi="Arial" w:cs="Arial"/>
          <w:sz w:val="22"/>
          <w:szCs w:val="22"/>
        </w:rPr>
        <w:t xml:space="preserve"> does not have a significant investment in those entities;</w:t>
      </w:r>
    </w:p>
    <w:p w14:paraId="5175256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direct and indirect holdings by the </w:t>
      </w:r>
      <w:r w:rsidR="000D1A90" w:rsidRPr="00E4265B">
        <w:rPr>
          <w:rFonts w:ascii="Arial" w:hAnsi="Arial" w:cs="Arial"/>
          <w:sz w:val="22"/>
          <w:szCs w:val="22"/>
        </w:rPr>
        <w:t>Authorised Person</w:t>
      </w:r>
      <w:r w:rsidRPr="00E4265B">
        <w:rPr>
          <w:rFonts w:ascii="Arial" w:hAnsi="Arial" w:cs="Arial"/>
          <w:sz w:val="22"/>
          <w:szCs w:val="22"/>
        </w:rPr>
        <w:t xml:space="preserve"> of the AT1 Capital instruments of Relevant Entities where the </w:t>
      </w:r>
      <w:r w:rsidR="000D1A90" w:rsidRPr="00E4265B">
        <w:rPr>
          <w:rFonts w:ascii="Arial" w:hAnsi="Arial" w:cs="Arial"/>
          <w:sz w:val="22"/>
          <w:szCs w:val="22"/>
        </w:rPr>
        <w:t>Authorised Person</w:t>
      </w:r>
      <w:r w:rsidRPr="00E4265B">
        <w:rPr>
          <w:rFonts w:ascii="Arial" w:hAnsi="Arial" w:cs="Arial"/>
          <w:sz w:val="22"/>
          <w:szCs w:val="22"/>
        </w:rPr>
        <w:t xml:space="preserve"> has a significant investment in those entities, excluding Underwriting positions held for five working days or fewer; and</w:t>
      </w:r>
    </w:p>
    <w:p w14:paraId="16290A9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amounts required to be deducted from T2 Capital pursuant to Rule 3.1</w:t>
      </w:r>
      <w:r w:rsidR="006B4B6B" w:rsidRPr="00E4265B">
        <w:rPr>
          <w:rFonts w:ascii="Arial" w:hAnsi="Arial" w:cs="Arial"/>
          <w:sz w:val="22"/>
          <w:szCs w:val="22"/>
        </w:rPr>
        <w:t>2</w:t>
      </w:r>
      <w:r w:rsidRPr="00E4265B">
        <w:rPr>
          <w:rFonts w:ascii="Arial" w:hAnsi="Arial" w:cs="Arial"/>
          <w:sz w:val="22"/>
          <w:szCs w:val="22"/>
        </w:rPr>
        <w:t xml:space="preserve">.4 that exceed the T2 Capital of the </w:t>
      </w:r>
      <w:r w:rsidR="000D1A90" w:rsidRPr="00E4265B">
        <w:rPr>
          <w:rFonts w:ascii="Arial" w:hAnsi="Arial" w:cs="Arial"/>
          <w:sz w:val="22"/>
          <w:szCs w:val="22"/>
        </w:rPr>
        <w:t>Authorised Person</w:t>
      </w:r>
      <w:r w:rsidRPr="00E4265B">
        <w:rPr>
          <w:rFonts w:ascii="Arial" w:hAnsi="Arial" w:cs="Arial"/>
          <w:sz w:val="22"/>
          <w:szCs w:val="22"/>
        </w:rPr>
        <w:t>.</w:t>
      </w:r>
    </w:p>
    <w:p w14:paraId="3F87BD03" w14:textId="77777777" w:rsidR="00E22FF2" w:rsidRPr="00E4265B" w:rsidRDefault="006B4B6B" w:rsidP="0097615D">
      <w:pPr>
        <w:pStyle w:val="TitleL5"/>
        <w:rPr>
          <w:rFonts w:ascii="Arial" w:hAnsi="Arial" w:cs="Arial"/>
          <w:sz w:val="22"/>
          <w:szCs w:val="22"/>
          <w:lang w:val="en-GB"/>
        </w:rPr>
      </w:pPr>
      <w:r w:rsidRPr="00E4265B">
        <w:rPr>
          <w:rFonts w:ascii="Arial" w:hAnsi="Arial" w:cs="Arial"/>
          <w:sz w:val="22"/>
          <w:szCs w:val="22"/>
          <w:lang w:val="en-GB"/>
        </w:rPr>
        <w:t xml:space="preserve">AT1 </w:t>
      </w:r>
      <w:r w:rsidR="00E22FF2" w:rsidRPr="00E4265B">
        <w:rPr>
          <w:rFonts w:ascii="Arial" w:hAnsi="Arial" w:cs="Arial"/>
          <w:sz w:val="22"/>
          <w:szCs w:val="22"/>
          <w:lang w:val="en-GB"/>
        </w:rPr>
        <w:t xml:space="preserve">Deductions </w:t>
      </w:r>
      <w:r w:rsidRPr="00E4265B">
        <w:rPr>
          <w:rFonts w:ascii="Arial" w:hAnsi="Arial" w:cs="Arial"/>
          <w:sz w:val="22"/>
          <w:szCs w:val="22"/>
          <w:lang w:val="en-GB"/>
        </w:rPr>
        <w:t xml:space="preserve">- </w:t>
      </w:r>
      <w:r w:rsidR="00E22FF2" w:rsidRPr="00E4265B">
        <w:rPr>
          <w:rFonts w:ascii="Arial" w:hAnsi="Arial" w:cs="Arial"/>
          <w:sz w:val="22"/>
          <w:szCs w:val="22"/>
          <w:lang w:val="en-GB"/>
        </w:rPr>
        <w:t>holdings of own AT1 Capital instruments</w:t>
      </w:r>
    </w:p>
    <w:p w14:paraId="556AEF7C"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For the purposes of Rule 3.1</w:t>
      </w:r>
      <w:r w:rsidR="006B4B6B" w:rsidRPr="00E4265B">
        <w:rPr>
          <w:rFonts w:ascii="Arial" w:hAnsi="Arial" w:cs="Arial"/>
          <w:sz w:val="22"/>
          <w:szCs w:val="22"/>
        </w:rPr>
        <w:t>1</w:t>
      </w:r>
      <w:r w:rsidRPr="00E4265B">
        <w:rPr>
          <w:rFonts w:ascii="Arial" w:hAnsi="Arial" w:cs="Arial"/>
          <w:sz w:val="22"/>
          <w:szCs w:val="22"/>
        </w:rPr>
        <w:t xml:space="preserve">.4(a), an </w:t>
      </w:r>
      <w:r w:rsidR="000D1A90" w:rsidRPr="00E4265B">
        <w:rPr>
          <w:rFonts w:ascii="Arial" w:hAnsi="Arial" w:cs="Arial"/>
          <w:sz w:val="22"/>
          <w:szCs w:val="22"/>
        </w:rPr>
        <w:t>Authorised Person</w:t>
      </w:r>
      <w:r w:rsidRPr="00E4265B">
        <w:rPr>
          <w:rFonts w:ascii="Arial" w:hAnsi="Arial" w:cs="Arial"/>
          <w:sz w:val="22"/>
          <w:szCs w:val="22"/>
        </w:rPr>
        <w:t xml:space="preserve"> must calculate holdings of its own AT1 Capital instruments on the basis of gross long positions subject to the following exceptions:</w:t>
      </w:r>
    </w:p>
    <w:p w14:paraId="0272484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calculate the amount of holdings of own AT1 Capital instruments in the Trading Book on the basis of the net long position provided the long and short positions are in the same underlying Exposure and the short positions involve no Counterparty Credit Risk;</w:t>
      </w:r>
    </w:p>
    <w:p w14:paraId="754AC82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determine the amount to be deducted for indirect holdings in the Trading Book of own AT1 Capital instruments that take the form of holdings of index </w:t>
      </w:r>
      <w:r w:rsidR="00877CEA" w:rsidRPr="00E4265B">
        <w:rPr>
          <w:rFonts w:ascii="Arial" w:hAnsi="Arial" w:cs="Arial"/>
          <w:sz w:val="22"/>
          <w:szCs w:val="22"/>
        </w:rPr>
        <w:t>Securities</w:t>
      </w:r>
      <w:r w:rsidRPr="00E4265B">
        <w:rPr>
          <w:rFonts w:ascii="Arial" w:hAnsi="Arial" w:cs="Arial"/>
          <w:sz w:val="22"/>
          <w:szCs w:val="22"/>
        </w:rPr>
        <w:t xml:space="preserve"> by calculating the underlying Exposure to own AT1 Capital instruments in the indices; and</w:t>
      </w:r>
    </w:p>
    <w:p w14:paraId="50ED07D0" w14:textId="4D45749C" w:rsidR="00E22FF2" w:rsidRPr="00E4265B" w:rsidRDefault="00E22FF2" w:rsidP="00EE1F70">
      <w:pPr>
        <w:pStyle w:val="Heading5"/>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net gross long positions in own AT1 Capital instruments in the Trading Book resulting from holdings of index </w:t>
      </w:r>
      <w:r w:rsidR="00877CEA" w:rsidRPr="00E4265B">
        <w:rPr>
          <w:rFonts w:ascii="Arial" w:hAnsi="Arial" w:cs="Arial"/>
          <w:sz w:val="22"/>
          <w:szCs w:val="22"/>
        </w:rPr>
        <w:t>Securities</w:t>
      </w:r>
      <w:r w:rsidRPr="00E4265B">
        <w:rPr>
          <w:rFonts w:ascii="Arial" w:hAnsi="Arial" w:cs="Arial"/>
          <w:sz w:val="22"/>
          <w:szCs w:val="22"/>
        </w:rPr>
        <w:t xml:space="preserve"> against short positions in own AT1 instruments resulting from short positions in the underlying indices, including where those short positions involve Counterparty Credit Risk.</w:t>
      </w:r>
    </w:p>
    <w:p w14:paraId="30519559" w14:textId="77777777" w:rsidR="00E22FF2" w:rsidRPr="00E4265B" w:rsidRDefault="006B4B6B" w:rsidP="0097615D">
      <w:pPr>
        <w:pStyle w:val="TitleL5"/>
        <w:rPr>
          <w:rFonts w:ascii="Arial" w:hAnsi="Arial" w:cs="Arial"/>
          <w:sz w:val="22"/>
          <w:szCs w:val="22"/>
          <w:lang w:val="en-GB"/>
        </w:rPr>
      </w:pPr>
      <w:r w:rsidRPr="00E4265B">
        <w:rPr>
          <w:rFonts w:ascii="Arial" w:hAnsi="Arial" w:cs="Arial"/>
          <w:sz w:val="22"/>
          <w:szCs w:val="22"/>
          <w:lang w:val="en-GB"/>
        </w:rPr>
        <w:t xml:space="preserve">AT1 </w:t>
      </w:r>
      <w:r w:rsidR="00E22FF2" w:rsidRPr="00E4265B">
        <w:rPr>
          <w:rFonts w:ascii="Arial" w:hAnsi="Arial" w:cs="Arial"/>
          <w:sz w:val="22"/>
          <w:szCs w:val="22"/>
          <w:lang w:val="en-GB"/>
        </w:rPr>
        <w:t xml:space="preserve">Deductions </w:t>
      </w:r>
      <w:r w:rsidRPr="00E4265B">
        <w:rPr>
          <w:rFonts w:ascii="Arial" w:hAnsi="Arial" w:cs="Arial"/>
          <w:sz w:val="22"/>
          <w:szCs w:val="22"/>
          <w:lang w:val="en-GB"/>
        </w:rPr>
        <w:t xml:space="preserve">- investments in </w:t>
      </w:r>
      <w:r w:rsidR="00E22FF2" w:rsidRPr="00E4265B">
        <w:rPr>
          <w:rFonts w:ascii="Arial" w:hAnsi="Arial" w:cs="Arial"/>
          <w:sz w:val="22"/>
          <w:szCs w:val="22"/>
          <w:lang w:val="en-GB"/>
        </w:rPr>
        <w:t xml:space="preserve">AT1 Capital instruments </w:t>
      </w:r>
      <w:r w:rsidRPr="00E4265B">
        <w:rPr>
          <w:rFonts w:ascii="Arial" w:hAnsi="Arial" w:cs="Arial"/>
          <w:sz w:val="22"/>
          <w:szCs w:val="22"/>
          <w:lang w:val="en-GB"/>
        </w:rPr>
        <w:t xml:space="preserve">of </w:t>
      </w:r>
      <w:r w:rsidR="00E22FF2" w:rsidRPr="00E4265B">
        <w:rPr>
          <w:rFonts w:ascii="Arial" w:hAnsi="Arial" w:cs="Arial"/>
          <w:sz w:val="22"/>
          <w:szCs w:val="22"/>
          <w:lang w:val="en-GB"/>
        </w:rPr>
        <w:t>Relevant Entities</w:t>
      </w:r>
    </w:p>
    <w:p w14:paraId="44DB488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For the purposes of Rule 3.1</w:t>
      </w:r>
      <w:r w:rsidR="006B4B6B" w:rsidRPr="00E4265B">
        <w:rPr>
          <w:rFonts w:ascii="Arial" w:hAnsi="Arial" w:cs="Arial"/>
          <w:sz w:val="22"/>
          <w:szCs w:val="22"/>
        </w:rPr>
        <w:t>1</w:t>
      </w:r>
      <w:r w:rsidRPr="00E4265B">
        <w:rPr>
          <w:rFonts w:ascii="Arial" w:hAnsi="Arial" w:cs="Arial"/>
          <w:sz w:val="22"/>
          <w:szCs w:val="22"/>
        </w:rPr>
        <w:t>.4(b), (c) and (d), the amount of holdings of AT1 Capital instruments of Relevant Entities to be deducted must be calculated on the basis of the gross long positions.</w:t>
      </w:r>
    </w:p>
    <w:p w14:paraId="2B7B458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For the purposes of Rule 3.1</w:t>
      </w:r>
      <w:r w:rsidR="006B4B6B" w:rsidRPr="00E4265B">
        <w:rPr>
          <w:rFonts w:ascii="Arial" w:hAnsi="Arial" w:cs="Arial"/>
          <w:sz w:val="22"/>
          <w:szCs w:val="22"/>
        </w:rPr>
        <w:t>1</w:t>
      </w:r>
      <w:r w:rsidRPr="00E4265B">
        <w:rPr>
          <w:rFonts w:ascii="Arial" w:hAnsi="Arial" w:cs="Arial"/>
          <w:sz w:val="22"/>
          <w:szCs w:val="22"/>
        </w:rPr>
        <w:t xml:space="preserve">.4(c) and (d), an </w:t>
      </w:r>
      <w:r w:rsidR="000D1A90" w:rsidRPr="00E4265B">
        <w:rPr>
          <w:rFonts w:ascii="Arial" w:hAnsi="Arial" w:cs="Arial"/>
          <w:sz w:val="22"/>
          <w:szCs w:val="22"/>
        </w:rPr>
        <w:t>Authorised Person</w:t>
      </w:r>
      <w:r w:rsidRPr="00E4265B">
        <w:rPr>
          <w:rFonts w:ascii="Arial" w:hAnsi="Arial" w:cs="Arial"/>
          <w:sz w:val="22"/>
          <w:szCs w:val="22"/>
        </w:rPr>
        <w:t xml:space="preserve"> must make the deductions in accordance with the following:</w:t>
      </w:r>
    </w:p>
    <w:p w14:paraId="332732F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holdings in the Trading Book of the capital instruments of Relevant Entities must be calculated on the basis of the net long position in the same underlying Exposure provided the maturity of the short position matches the maturity of the long position or has a residual maturity of at least one year; and</w:t>
      </w:r>
    </w:p>
    <w:p w14:paraId="01DC2A2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amount to be deducted for indirect holdings in the Trading Book of the capital instruments of Relevant Entities that take the form of holdings of index </w:t>
      </w:r>
      <w:r w:rsidR="00877CEA" w:rsidRPr="00E4265B">
        <w:rPr>
          <w:rFonts w:ascii="Arial" w:hAnsi="Arial" w:cs="Arial"/>
          <w:sz w:val="22"/>
          <w:szCs w:val="22"/>
        </w:rPr>
        <w:lastRenderedPageBreak/>
        <w:t>Securities</w:t>
      </w:r>
      <w:r w:rsidRPr="00E4265B">
        <w:rPr>
          <w:rFonts w:ascii="Arial" w:hAnsi="Arial" w:cs="Arial"/>
          <w:sz w:val="22"/>
          <w:szCs w:val="22"/>
        </w:rPr>
        <w:t xml:space="preserve"> must be determined by calculating the underlying Exposure to the capital instruments of the Relevant Entities in the indices.</w:t>
      </w:r>
    </w:p>
    <w:p w14:paraId="7649882F"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AT1 </w:t>
      </w:r>
      <w:r w:rsidR="006B4B6B" w:rsidRPr="00E4265B">
        <w:rPr>
          <w:rFonts w:ascii="Arial" w:hAnsi="Arial" w:cs="Arial"/>
          <w:sz w:val="22"/>
          <w:szCs w:val="22"/>
          <w:lang w:val="en-GB"/>
        </w:rPr>
        <w:t xml:space="preserve">Deductions - </w:t>
      </w:r>
      <w:r w:rsidRPr="00E4265B">
        <w:rPr>
          <w:rFonts w:ascii="Arial" w:hAnsi="Arial" w:cs="Arial"/>
          <w:sz w:val="22"/>
          <w:szCs w:val="22"/>
          <w:lang w:val="en-GB"/>
        </w:rPr>
        <w:t>significant investment in a Relevant Entity</w:t>
      </w:r>
    </w:p>
    <w:p w14:paraId="7DFA5C7F" w14:textId="77777777" w:rsidR="00E22FF2" w:rsidRPr="00E4265B" w:rsidRDefault="00E22FF2" w:rsidP="00AF6EE8">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For the purposes of Rule 3.1</w:t>
      </w:r>
      <w:r w:rsidR="006B4B6B" w:rsidRPr="00E4265B">
        <w:rPr>
          <w:rFonts w:ascii="Arial" w:hAnsi="Arial" w:cs="Arial"/>
          <w:sz w:val="22"/>
          <w:szCs w:val="22"/>
        </w:rPr>
        <w:t>1</w:t>
      </w:r>
      <w:r w:rsidRPr="00E4265B">
        <w:rPr>
          <w:rFonts w:ascii="Arial" w:hAnsi="Arial" w:cs="Arial"/>
          <w:sz w:val="22"/>
          <w:szCs w:val="22"/>
        </w:rPr>
        <w:t xml:space="preserve">.4(c), an </w:t>
      </w:r>
      <w:r w:rsidR="000D1A90" w:rsidRPr="00E4265B">
        <w:rPr>
          <w:rFonts w:ascii="Arial" w:hAnsi="Arial" w:cs="Arial"/>
          <w:sz w:val="22"/>
          <w:szCs w:val="22"/>
        </w:rPr>
        <w:t>Authorised Person</w:t>
      </w:r>
      <w:r w:rsidRPr="00E4265B">
        <w:rPr>
          <w:rFonts w:ascii="Arial" w:hAnsi="Arial" w:cs="Arial"/>
          <w:sz w:val="22"/>
          <w:szCs w:val="22"/>
        </w:rPr>
        <w:t xml:space="preserve"> must calculate the applicable amount to be deducted by multiplying the amount referred to in (a) by the factor derived from the calculation referred to in (b):</w:t>
      </w:r>
    </w:p>
    <w:p w14:paraId="08BB7AC9"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amount referred to in Rule 3.1</w:t>
      </w:r>
      <w:r w:rsidR="006B4B6B" w:rsidRPr="00E4265B">
        <w:rPr>
          <w:rFonts w:ascii="Arial" w:hAnsi="Arial" w:cs="Arial"/>
          <w:sz w:val="22"/>
          <w:szCs w:val="22"/>
          <w:lang w:val="en-GB"/>
        </w:rPr>
        <w:t>0</w:t>
      </w:r>
      <w:r w:rsidRPr="00E4265B">
        <w:rPr>
          <w:rFonts w:ascii="Arial" w:hAnsi="Arial" w:cs="Arial"/>
          <w:sz w:val="22"/>
          <w:szCs w:val="22"/>
          <w:lang w:val="en-GB"/>
        </w:rPr>
        <w:t>.16(1)(a);</w:t>
      </w:r>
    </w:p>
    <w:p w14:paraId="1B62343C"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amount of direct and indirect holdings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of the AT1 Capital instruments of Relevant Entities divided by the aggregate amount of all direct and indirect holdings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of the CET1, AT1 and T2 Capital instruments of those Relevant Entities.</w:t>
      </w:r>
    </w:p>
    <w:p w14:paraId="217A92A7"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exclude Underwriting positions held for five working days or fewer from the amount referred to in Rule 3.1</w:t>
      </w:r>
      <w:r w:rsidR="006B4B6B" w:rsidRPr="00E4265B">
        <w:rPr>
          <w:rFonts w:ascii="Arial" w:hAnsi="Arial" w:cs="Arial"/>
          <w:sz w:val="22"/>
          <w:szCs w:val="22"/>
          <w:lang w:val="en-GB"/>
        </w:rPr>
        <w:t>0</w:t>
      </w:r>
      <w:r w:rsidRPr="00E4265B">
        <w:rPr>
          <w:rFonts w:ascii="Arial" w:hAnsi="Arial" w:cs="Arial"/>
          <w:sz w:val="22"/>
          <w:szCs w:val="22"/>
          <w:lang w:val="en-GB"/>
        </w:rPr>
        <w:t>.16(1)(a) and from the calculation of the factor referred to in (1)(b).</w:t>
      </w:r>
    </w:p>
    <w:p w14:paraId="7658D4A0"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determine the portion of holdings of AT1 Capital instruments that is to be deducted pursuant to (1) by dividing the amount specified in (a) by the amount specified in (b):</w:t>
      </w:r>
    </w:p>
    <w:p w14:paraId="48E1F4A9"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amount of holdings required to be deducted pursuant to (1)(a);</w:t>
      </w:r>
    </w:p>
    <w:p w14:paraId="1F73DF06"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aggregate amount of direct and indirect holdings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of all the capital instruments of Relevant Entities in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does not have a significant investment.</w:t>
      </w:r>
    </w:p>
    <w:p w14:paraId="3B3FA4AC" w14:textId="77777777" w:rsidR="00E22FF2" w:rsidRPr="00E4265B" w:rsidRDefault="00E22FF2" w:rsidP="00246497">
      <w:pPr>
        <w:pStyle w:val="Heading3"/>
        <w:rPr>
          <w:rFonts w:ascii="Arial" w:hAnsi="Arial" w:cs="Arial"/>
          <w:sz w:val="22"/>
          <w:szCs w:val="22"/>
        </w:rPr>
      </w:pPr>
      <w:bookmarkStart w:id="223" w:name="_Toc33622385"/>
      <w:bookmarkStart w:id="224" w:name="_Toc403223934"/>
      <w:bookmarkStart w:id="225" w:name="_Toc403253972"/>
      <w:bookmarkStart w:id="226" w:name="_Toc403273372"/>
      <w:bookmarkStart w:id="227" w:name="_Toc403273521"/>
      <w:bookmarkStart w:id="228" w:name="_Toc403274480"/>
      <w:bookmarkStart w:id="229" w:name="_Toc403279976"/>
      <w:bookmarkStart w:id="230" w:name="_Toc404285777"/>
      <w:bookmarkStart w:id="231" w:name="_Toc404621726"/>
      <w:bookmarkStart w:id="232" w:name="_Toc404624367"/>
      <w:r w:rsidRPr="00E4265B">
        <w:rPr>
          <w:rFonts w:ascii="Arial" w:hAnsi="Arial" w:cs="Arial"/>
          <w:sz w:val="22"/>
          <w:szCs w:val="22"/>
        </w:rPr>
        <w:t>Tier 2 capital</w:t>
      </w:r>
      <w:bookmarkEnd w:id="223"/>
      <w:r w:rsidRPr="00E4265B">
        <w:rPr>
          <w:rFonts w:ascii="Arial" w:hAnsi="Arial" w:cs="Arial"/>
          <w:sz w:val="22"/>
          <w:szCs w:val="22"/>
        </w:rPr>
        <w:t xml:space="preserve"> </w:t>
      </w:r>
      <w:bookmarkEnd w:id="224"/>
      <w:bookmarkEnd w:id="225"/>
      <w:bookmarkEnd w:id="226"/>
      <w:bookmarkEnd w:id="227"/>
      <w:bookmarkEnd w:id="228"/>
      <w:bookmarkEnd w:id="229"/>
      <w:bookmarkEnd w:id="230"/>
      <w:bookmarkEnd w:id="231"/>
      <w:bookmarkEnd w:id="232"/>
    </w:p>
    <w:p w14:paraId="139D3CDE" w14:textId="77777777" w:rsidR="006B4B6B" w:rsidRPr="00E4265B" w:rsidRDefault="006B4B6B" w:rsidP="00246497">
      <w:pPr>
        <w:pStyle w:val="Heading4"/>
        <w:rPr>
          <w:rFonts w:ascii="Arial" w:hAnsi="Arial" w:cs="Arial"/>
          <w:sz w:val="22"/>
          <w:szCs w:val="22"/>
        </w:rPr>
      </w:pPr>
      <w:r w:rsidRPr="00E4265B">
        <w:rPr>
          <w:rFonts w:ascii="Arial" w:hAnsi="Arial" w:cs="Arial"/>
          <w:sz w:val="22"/>
          <w:szCs w:val="22"/>
        </w:rPr>
        <w:t>Tier 2 Capital (referred to in these Rules as T2 Capital) constitutes the sum of the elements in Rule 3.12.2 subject to the deductions stipulated later in this Section.</w:t>
      </w:r>
    </w:p>
    <w:p w14:paraId="1234D716" w14:textId="77777777" w:rsidR="006B4B6B" w:rsidRPr="00E4265B" w:rsidRDefault="006B4B6B" w:rsidP="006B4B6B">
      <w:pPr>
        <w:pStyle w:val="TitleL5"/>
        <w:rPr>
          <w:rFonts w:ascii="Arial" w:hAnsi="Arial" w:cs="Arial"/>
          <w:sz w:val="22"/>
          <w:szCs w:val="22"/>
          <w:lang w:val="en-GB"/>
        </w:rPr>
      </w:pPr>
      <w:r w:rsidRPr="00E4265B">
        <w:rPr>
          <w:rFonts w:ascii="Arial" w:hAnsi="Arial" w:cs="Arial"/>
          <w:sz w:val="22"/>
          <w:szCs w:val="22"/>
          <w:lang w:val="en-GB"/>
        </w:rPr>
        <w:t>Guidance</w:t>
      </w:r>
    </w:p>
    <w:p w14:paraId="102C1095" w14:textId="77777777" w:rsidR="00CB24AF" w:rsidRPr="00E4265B" w:rsidRDefault="006B4B6B" w:rsidP="00CB24AF">
      <w:pPr>
        <w:pStyle w:val="Heading4"/>
        <w:numPr>
          <w:ilvl w:val="0"/>
          <w:numId w:val="0"/>
        </w:numPr>
        <w:ind w:left="936"/>
        <w:rPr>
          <w:rFonts w:ascii="Arial" w:hAnsi="Arial" w:cs="Arial"/>
          <w:sz w:val="22"/>
          <w:szCs w:val="22"/>
        </w:rPr>
      </w:pPr>
      <w:r w:rsidRPr="00E4265B">
        <w:rPr>
          <w:rFonts w:ascii="Arial" w:hAnsi="Arial" w:cs="Arial"/>
          <w:sz w:val="22"/>
          <w:szCs w:val="22"/>
        </w:rPr>
        <w:t xml:space="preserve">Tier 2 capital refers to "gone concern" capital which helps to ensure that depositors and senior creditors can be repaid if an Authorised Person fails.  Tier 2 capital allows an Authorised Person to continue its activities and prevent insolvency of the Authorised Person. </w:t>
      </w:r>
    </w:p>
    <w:p w14:paraId="0584D057" w14:textId="77777777" w:rsidR="00E22FF2" w:rsidRPr="00E4265B" w:rsidRDefault="006B4B6B" w:rsidP="00246497">
      <w:pPr>
        <w:pStyle w:val="Heading4"/>
        <w:rPr>
          <w:rFonts w:ascii="Arial" w:hAnsi="Arial" w:cs="Arial"/>
          <w:sz w:val="22"/>
          <w:szCs w:val="22"/>
        </w:rPr>
      </w:pPr>
      <w:r w:rsidRPr="00E4265B">
        <w:rPr>
          <w:rFonts w:ascii="Arial" w:hAnsi="Arial" w:cs="Arial"/>
          <w:sz w:val="22"/>
          <w:szCs w:val="22"/>
        </w:rPr>
        <w:t>T2 Capital consists of the sum of the following elements:</w:t>
      </w:r>
    </w:p>
    <w:p w14:paraId="5339538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capital instruments which meet the eligibility criteria laid down in Rule 3.1</w:t>
      </w:r>
      <w:r w:rsidR="006B4B6B" w:rsidRPr="00E4265B">
        <w:rPr>
          <w:rFonts w:ascii="Arial" w:hAnsi="Arial" w:cs="Arial"/>
          <w:sz w:val="22"/>
          <w:szCs w:val="22"/>
        </w:rPr>
        <w:t>2</w:t>
      </w:r>
      <w:r w:rsidRPr="00E4265B">
        <w:rPr>
          <w:rFonts w:ascii="Arial" w:hAnsi="Arial" w:cs="Arial"/>
          <w:sz w:val="22"/>
          <w:szCs w:val="22"/>
        </w:rPr>
        <w:t>.3; and</w:t>
      </w:r>
    </w:p>
    <w:p w14:paraId="5946252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w:t>
      </w:r>
      <w:r w:rsidR="00202EF6" w:rsidRPr="00E4265B">
        <w:rPr>
          <w:rFonts w:ascii="Arial" w:hAnsi="Arial" w:cs="Arial"/>
          <w:sz w:val="22"/>
          <w:szCs w:val="22"/>
        </w:rPr>
        <w:t>Share</w:t>
      </w:r>
      <w:r w:rsidRPr="00E4265B">
        <w:rPr>
          <w:rFonts w:ascii="Arial" w:hAnsi="Arial" w:cs="Arial"/>
          <w:sz w:val="22"/>
          <w:szCs w:val="22"/>
        </w:rPr>
        <w:t xml:space="preserve"> premium accounts related to the instruments referred to in (a).</w:t>
      </w:r>
    </w:p>
    <w:p w14:paraId="730D25F5" w14:textId="79264804" w:rsidR="00E22FF2" w:rsidRPr="00E4265B" w:rsidRDefault="00E22FF2" w:rsidP="007573BA">
      <w:pPr>
        <w:pStyle w:val="Heading4"/>
        <w:tabs>
          <w:tab w:val="clear" w:pos="936"/>
          <w:tab w:val="left" w:pos="993"/>
        </w:tabs>
        <w:ind w:left="1701" w:hanging="1701"/>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For the purpose of Rule 3.1</w:t>
      </w:r>
      <w:r w:rsidR="006B4B6B" w:rsidRPr="00E4265B">
        <w:rPr>
          <w:rFonts w:ascii="Arial" w:hAnsi="Arial" w:cs="Arial"/>
          <w:sz w:val="22"/>
          <w:szCs w:val="22"/>
        </w:rPr>
        <w:t>2</w:t>
      </w:r>
      <w:r w:rsidRPr="00E4265B">
        <w:rPr>
          <w:rFonts w:ascii="Arial" w:hAnsi="Arial" w:cs="Arial"/>
          <w:sz w:val="22"/>
          <w:szCs w:val="22"/>
        </w:rPr>
        <w:t>.2(a), a capital instrument</w:t>
      </w:r>
      <w:r w:rsidR="00EE1F70" w:rsidRPr="00E4265B">
        <w:rPr>
          <w:rFonts w:ascii="Arial" w:hAnsi="Arial" w:cs="Arial"/>
          <w:sz w:val="22"/>
          <w:szCs w:val="22"/>
        </w:rPr>
        <w:t xml:space="preserve"> or subordinated loan</w:t>
      </w:r>
      <w:r w:rsidRPr="00E4265B">
        <w:rPr>
          <w:rFonts w:ascii="Arial" w:hAnsi="Arial" w:cs="Arial"/>
          <w:sz w:val="22"/>
          <w:szCs w:val="22"/>
        </w:rPr>
        <w:t xml:space="preserve"> is eligible for inclusion in T2 Capital where all the following conditions are met:</w:t>
      </w:r>
    </w:p>
    <w:p w14:paraId="5A761672"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instruments are issued and fully paid</w:t>
      </w:r>
      <w:r w:rsidRPr="00E4265B">
        <w:rPr>
          <w:rFonts w:ascii="Arial" w:hAnsi="Arial" w:cs="Arial"/>
          <w:sz w:val="22"/>
          <w:szCs w:val="22"/>
          <w:lang w:val="en-GB"/>
        </w:rPr>
        <w:noBreakHyphen/>
        <w:t>up;</w:t>
      </w:r>
    </w:p>
    <w:p w14:paraId="7F4809B9"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lastRenderedPageBreak/>
        <w:t>(b)</w:t>
      </w:r>
      <w:r w:rsidRPr="00E4265B">
        <w:rPr>
          <w:rFonts w:ascii="Arial" w:hAnsi="Arial" w:cs="Arial"/>
          <w:sz w:val="22"/>
          <w:szCs w:val="22"/>
          <w:lang w:val="en-GB"/>
        </w:rPr>
        <w:tab/>
        <w:t xml:space="preserve">the instruments are not purchased by any of the following: </w:t>
      </w:r>
    </w:p>
    <w:p w14:paraId="09A9F725"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its Subsidiaries;</w:t>
      </w:r>
    </w:p>
    <w:p w14:paraId="587B0082"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an Undertaking in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participation in the form of ownership, direct or by way of control, of 20% or more of the voting rights or capital of that Undertaking;</w:t>
      </w:r>
    </w:p>
    <w:p w14:paraId="01CF72AB"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the purchase of the instruments is not funded directly or indirectly by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0E6EABC4"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the claim on the principal amount of the instruments under the provisions governing the instruments is wholly subordinated to claims of all non</w:t>
      </w:r>
      <w:r w:rsidRPr="00E4265B">
        <w:rPr>
          <w:rFonts w:ascii="Arial" w:hAnsi="Arial" w:cs="Arial"/>
          <w:sz w:val="22"/>
          <w:szCs w:val="22"/>
          <w:lang w:val="en-GB"/>
        </w:rPr>
        <w:noBreakHyphen/>
        <w:t>subordinated creditors;</w:t>
      </w:r>
    </w:p>
    <w:p w14:paraId="46C04709"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the instruments are not secured, or guaranteed by any of the following:</w:t>
      </w:r>
    </w:p>
    <w:p w14:paraId="59720407"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its Subsidiaries;</w:t>
      </w:r>
    </w:p>
    <w:p w14:paraId="06115FA1"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any Parent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their Subsidiaries;</w:t>
      </w:r>
    </w:p>
    <w:p w14:paraId="638E6A38"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any member of the Financial Group to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belongs; or</w:t>
      </w:r>
    </w:p>
    <w:p w14:paraId="698DD22A"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any Undertaking that has Close Links with entities referred to in (i) to (iii);</w:t>
      </w:r>
    </w:p>
    <w:p w14:paraId="00C47DB6"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the instruments are not subject to any arrangement that otherwise enhances the seniority of the claim under the instruments;</w:t>
      </w:r>
    </w:p>
    <w:p w14:paraId="0D176A8A"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the instruments have an Original Maturity of at least five years;</w:t>
      </w:r>
    </w:p>
    <w:p w14:paraId="565EE52F"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(h)</w:t>
      </w:r>
      <w:r w:rsidRPr="00E4265B">
        <w:rPr>
          <w:rFonts w:ascii="Arial" w:hAnsi="Arial" w:cs="Arial"/>
          <w:sz w:val="22"/>
          <w:szCs w:val="22"/>
          <w:lang w:val="en-GB"/>
        </w:rPr>
        <w:tab/>
        <w:t xml:space="preserve">the provisions governing the instruments do not include any incentive for them to be redeemed by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118B1222"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where the instruments include one or more call </w:t>
      </w:r>
      <w:r w:rsidR="00BC49E0" w:rsidRPr="00E4265B">
        <w:rPr>
          <w:rFonts w:ascii="Arial" w:hAnsi="Arial" w:cs="Arial"/>
          <w:sz w:val="22"/>
          <w:szCs w:val="22"/>
          <w:lang w:val="en-GB"/>
        </w:rPr>
        <w:t>Option</w:t>
      </w:r>
      <w:r w:rsidRPr="00E4265B">
        <w:rPr>
          <w:rFonts w:ascii="Arial" w:hAnsi="Arial" w:cs="Arial"/>
          <w:sz w:val="22"/>
          <w:szCs w:val="22"/>
          <w:lang w:val="en-GB"/>
        </w:rPr>
        <w:t xml:space="preserve">s, the </w:t>
      </w:r>
      <w:r w:rsidR="00BC49E0" w:rsidRPr="00E4265B">
        <w:rPr>
          <w:rFonts w:ascii="Arial" w:hAnsi="Arial" w:cs="Arial"/>
          <w:sz w:val="22"/>
          <w:szCs w:val="22"/>
          <w:lang w:val="en-GB"/>
        </w:rPr>
        <w:t>Option</w:t>
      </w:r>
      <w:r w:rsidRPr="00E4265B">
        <w:rPr>
          <w:rFonts w:ascii="Arial" w:hAnsi="Arial" w:cs="Arial"/>
          <w:sz w:val="22"/>
          <w:szCs w:val="22"/>
          <w:lang w:val="en-GB"/>
        </w:rPr>
        <w:t>s are exercisable at the sole discretion of the Issuer;</w:t>
      </w:r>
    </w:p>
    <w:p w14:paraId="1F435A40" w14:textId="77777777" w:rsidR="00E22FF2" w:rsidRPr="00E4265B" w:rsidRDefault="00E22FF2" w:rsidP="008F5C01">
      <w:pPr>
        <w:pStyle w:val="aList"/>
        <w:rPr>
          <w:rFonts w:ascii="Arial" w:hAnsi="Arial" w:cs="Arial"/>
          <w:sz w:val="22"/>
          <w:szCs w:val="22"/>
          <w:lang w:val="en-GB"/>
        </w:rPr>
      </w:pPr>
      <w:r w:rsidRPr="00E4265B">
        <w:rPr>
          <w:rFonts w:ascii="Arial" w:hAnsi="Arial" w:cs="Arial"/>
          <w:sz w:val="22"/>
          <w:szCs w:val="22"/>
          <w:lang w:val="en-GB"/>
        </w:rPr>
        <w:t>(j)</w:t>
      </w:r>
      <w:r w:rsidRPr="00E4265B">
        <w:rPr>
          <w:rFonts w:ascii="Arial" w:hAnsi="Arial" w:cs="Arial"/>
          <w:sz w:val="22"/>
          <w:szCs w:val="22"/>
          <w:lang w:val="en-GB"/>
        </w:rPr>
        <w:tab/>
        <w:t xml:space="preserve">the instruments may be called, redeemed or repurchased only where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notified the Regulator of its intention to call, redeem or repurchase the instruments in writing and well in advance, and not before five years after the date of issuance of the respective instruments;</w:t>
      </w:r>
    </w:p>
    <w:p w14:paraId="75EA100E"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(k)</w:t>
      </w:r>
      <w:r w:rsidRPr="00E4265B">
        <w:rPr>
          <w:rFonts w:ascii="Arial" w:hAnsi="Arial" w:cs="Arial"/>
          <w:sz w:val="22"/>
          <w:szCs w:val="22"/>
          <w:lang w:val="en-GB"/>
        </w:rPr>
        <w:tab/>
        <w:t xml:space="preserve">the provisions governing the instruments do not indicate or suggest that the instruments would or might be redeemed or repurchased other than at maturity and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does not otherwise provide such an indication or suggestion;</w:t>
      </w:r>
    </w:p>
    <w:p w14:paraId="2F76DBE1"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(l)</w:t>
      </w:r>
      <w:r w:rsidRPr="00E4265B">
        <w:rPr>
          <w:rFonts w:ascii="Arial" w:hAnsi="Arial" w:cs="Arial"/>
          <w:sz w:val="22"/>
          <w:szCs w:val="22"/>
          <w:lang w:val="en-GB"/>
        </w:rPr>
        <w:tab/>
        <w:t xml:space="preserve">the provisions governing the instruments do not give the holder the right to accelerate the future scheduled payment of interest or principal, other than in the insolvency or liquidation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7DDE04B3"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lastRenderedPageBreak/>
        <w:t>(m)</w:t>
      </w:r>
      <w:r w:rsidRPr="00E4265B">
        <w:rPr>
          <w:rFonts w:ascii="Arial" w:hAnsi="Arial" w:cs="Arial"/>
          <w:sz w:val="22"/>
          <w:szCs w:val="22"/>
          <w:lang w:val="en-GB"/>
        </w:rPr>
        <w:tab/>
        <w:t xml:space="preserve">the level of interest or dividend payments due on the instruments will not be modified based on the credit standing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its Parent or any member of its Financial Group; </w:t>
      </w:r>
    </w:p>
    <w:p w14:paraId="49674F8C" w14:textId="104C6001" w:rsidR="00144C9B" w:rsidRPr="00E4265B" w:rsidRDefault="00E22FF2" w:rsidP="007573BA">
      <w:pPr>
        <w:pStyle w:val="aList"/>
        <w:rPr>
          <w:rFonts w:ascii="Arial" w:hAnsi="Arial" w:cs="Arial"/>
          <w:sz w:val="22"/>
          <w:szCs w:val="22"/>
          <w:lang w:val="en-GB"/>
        </w:rPr>
      </w:pPr>
      <w:r w:rsidRPr="00E4265B">
        <w:rPr>
          <w:rFonts w:ascii="Arial" w:hAnsi="Arial" w:cs="Arial"/>
          <w:sz w:val="22"/>
          <w:szCs w:val="22"/>
          <w:lang w:val="en-GB"/>
        </w:rPr>
        <w:t>(n)</w:t>
      </w:r>
      <w:r w:rsidRPr="00E4265B">
        <w:rPr>
          <w:rFonts w:ascii="Arial" w:hAnsi="Arial" w:cs="Arial"/>
          <w:sz w:val="22"/>
          <w:szCs w:val="22"/>
          <w:lang w:val="en-GB"/>
        </w:rPr>
        <w:tab/>
      </w:r>
      <w:r w:rsidR="007573BA" w:rsidRPr="00E4265B">
        <w:rPr>
          <w:rFonts w:ascii="Arial" w:hAnsi="Arial" w:cs="Arial"/>
          <w:sz w:val="22"/>
          <w:szCs w:val="22"/>
          <w:lang w:val="en-GB"/>
        </w:rPr>
        <w:t>the instruments are capable of absorbing losses at the point of non-viability through the contractual provisions governing the instruments meeting the requirements set out in Rule 3.12.3(3)</w:t>
      </w:r>
      <w:r w:rsidR="00CC70EC" w:rsidRPr="00E4265B">
        <w:rPr>
          <w:rFonts w:ascii="Arial" w:hAnsi="Arial" w:cs="Arial"/>
          <w:sz w:val="22"/>
          <w:szCs w:val="22"/>
          <w:lang w:val="en-GB"/>
        </w:rPr>
        <w:t>; and</w:t>
      </w:r>
    </w:p>
    <w:p w14:paraId="391C520B" w14:textId="0E65CD6E" w:rsidR="00E22FF2" w:rsidRPr="00E4265B" w:rsidRDefault="00CC70EC" w:rsidP="00E25FD1">
      <w:pPr>
        <w:pStyle w:val="aList"/>
        <w:rPr>
          <w:rFonts w:ascii="Arial" w:hAnsi="Arial" w:cs="Arial"/>
          <w:sz w:val="22"/>
          <w:szCs w:val="22"/>
          <w:lang w:val="en-GB"/>
        </w:rPr>
      </w:pPr>
      <w:r w:rsidRPr="00E4265B">
        <w:rPr>
          <w:rFonts w:ascii="Arial" w:hAnsi="Arial" w:cs="Arial"/>
          <w:sz w:val="22"/>
          <w:szCs w:val="22"/>
          <w:lang w:val="en-GB"/>
        </w:rPr>
        <w:t>(o)</w:t>
      </w:r>
      <w:r w:rsidR="00144C9B" w:rsidRPr="00E4265B">
        <w:rPr>
          <w:rFonts w:ascii="Arial" w:hAnsi="Arial" w:cs="Arial"/>
          <w:sz w:val="22"/>
          <w:szCs w:val="22"/>
          <w:lang w:val="en-GB"/>
        </w:rPr>
        <w:tab/>
      </w:r>
      <w:r w:rsidR="00E22FF2" w:rsidRPr="00E4265B">
        <w:rPr>
          <w:rFonts w:ascii="Arial" w:hAnsi="Arial" w:cs="Arial"/>
          <w:sz w:val="22"/>
          <w:szCs w:val="22"/>
          <w:lang w:val="en-GB"/>
        </w:rPr>
        <w:t xml:space="preserve">where the instruments are not issued directly by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or by an operating entity within its Financial Group, or by its Parent, the proceeds are immediately available without limitation in a form that satisfies the conditions laid down in this Rule to any of the following:</w:t>
      </w:r>
    </w:p>
    <w:p w14:paraId="0E84353C"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00FAEBFC"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an operating entity within its Financial Group; or</w:t>
      </w:r>
    </w:p>
    <w:p w14:paraId="353BC3F7"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any Parent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50D9B505"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extent to which T2 Capital instruments can be considered as eligible for inclusion in T2 Capital during the final five years of maturity of those instruments is calculated by multiplying the result derived from the calculation in (a) by the amount referred to in (b):</w:t>
      </w:r>
    </w:p>
    <w:p w14:paraId="4B026170"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nominal amount of the instruments on the first day of the final five year period of their contractual maturity divided by the number of calendar days in that period;</w:t>
      </w:r>
    </w:p>
    <w:p w14:paraId="3560D4F6"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number of remaining calendar days of contractual maturity of the instruments.</w:t>
      </w:r>
    </w:p>
    <w:p w14:paraId="5ED6C1F3" w14:textId="39AB2D46" w:rsidR="00144C9B" w:rsidRPr="00E4265B" w:rsidRDefault="00E22FF2" w:rsidP="00CC70EC">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r>
      <w:r w:rsidR="00922EE9" w:rsidRPr="00E4265B">
        <w:rPr>
          <w:rFonts w:ascii="Arial" w:hAnsi="Arial" w:cs="Arial"/>
          <w:sz w:val="22"/>
          <w:szCs w:val="22"/>
          <w:lang w:val="en-GB"/>
        </w:rPr>
        <w:t>For the purposes of (1)(n)</w:t>
      </w:r>
      <w:r w:rsidR="00CC70EC" w:rsidRPr="00E4265B">
        <w:rPr>
          <w:rFonts w:ascii="Arial" w:hAnsi="Arial" w:cs="Arial"/>
          <w:sz w:val="22"/>
          <w:szCs w:val="22"/>
          <w:lang w:val="en-GB"/>
        </w:rPr>
        <w:t>, the following provisions apply to T2 Capital instruments.</w:t>
      </w:r>
    </w:p>
    <w:p w14:paraId="6FDB6649" w14:textId="77777777" w:rsidR="00144C9B" w:rsidRPr="00E4265B" w:rsidRDefault="00144C9B" w:rsidP="00144C9B">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provisions governing T2 Capital instruments must require such instruments to, at the option of the Regulator, either be partially or fully written down or converted into ordinary shares upon the occurrence of a trigger event.</w:t>
      </w:r>
    </w:p>
    <w:p w14:paraId="4EEFE4A5" w14:textId="274A7341" w:rsidR="00144C9B" w:rsidRPr="00E4265B" w:rsidRDefault="00144C9B" w:rsidP="005933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For the purpose of this provision, a "trigger event" shall refer to a notification by the Regulator notifying the Authorised Person in writing, in accordance with any </w:t>
      </w:r>
      <w:r w:rsidR="005933B5" w:rsidRPr="00E4265B">
        <w:rPr>
          <w:rFonts w:ascii="Arial" w:hAnsi="Arial" w:cs="Arial"/>
          <w:sz w:val="22"/>
          <w:szCs w:val="22"/>
          <w:lang w:val="en-GB"/>
        </w:rPr>
        <w:t>regulations</w:t>
      </w:r>
      <w:r w:rsidRPr="00E4265B">
        <w:rPr>
          <w:rFonts w:ascii="Arial" w:hAnsi="Arial" w:cs="Arial"/>
          <w:sz w:val="22"/>
          <w:szCs w:val="22"/>
          <w:lang w:val="en-GB"/>
        </w:rPr>
        <w:t xml:space="preserve"> of ADGM relating to recovery and resolution, that the Regulator has determined that unless a write down or conversion is conducted, the Authorised Person will no longer be viable.</w:t>
      </w:r>
    </w:p>
    <w:p w14:paraId="64237DF5" w14:textId="77777777" w:rsidR="00144C9B" w:rsidRPr="00E4265B" w:rsidRDefault="00144C9B" w:rsidP="00144C9B">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Any compensation paid to the instrument holders as a result of a write down shall be paid immediately and in the form of ordinary shares of the Authorised Person, or the holding company of the Authorised Person if approved by the Regulator.</w:t>
      </w:r>
    </w:p>
    <w:p w14:paraId="40A40F0C" w14:textId="7C71D56B" w:rsidR="00144C9B" w:rsidRPr="00E4265B" w:rsidRDefault="00144C9B" w:rsidP="00030214">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The Authorised Person shall maintain at all times all prior authorisation necessary to issue </w:t>
      </w:r>
      <w:r w:rsidR="00030214" w:rsidRPr="00E4265B">
        <w:rPr>
          <w:rFonts w:ascii="Arial" w:hAnsi="Arial" w:cs="Arial"/>
          <w:sz w:val="22"/>
          <w:szCs w:val="22"/>
          <w:lang w:val="en-GB"/>
        </w:rPr>
        <w:t xml:space="preserve">immediately </w:t>
      </w:r>
      <w:r w:rsidRPr="00E4265B">
        <w:rPr>
          <w:rFonts w:ascii="Arial" w:hAnsi="Arial" w:cs="Arial"/>
          <w:sz w:val="22"/>
          <w:szCs w:val="22"/>
          <w:lang w:val="en-GB"/>
        </w:rPr>
        <w:t>the relevant number of ordinary shares should the trigger event occur</w:t>
      </w:r>
      <w:r w:rsidR="003B1C48" w:rsidRPr="00E4265B">
        <w:rPr>
          <w:rFonts w:ascii="Arial" w:hAnsi="Arial" w:cs="Arial"/>
          <w:sz w:val="22"/>
          <w:szCs w:val="22"/>
          <w:lang w:val="en-GB"/>
        </w:rPr>
        <w:t xml:space="preserve"> and the T2 Capital instruments be converted into ordinary shares</w:t>
      </w:r>
      <w:r w:rsidRPr="00E4265B">
        <w:rPr>
          <w:rFonts w:ascii="Arial" w:hAnsi="Arial" w:cs="Arial"/>
          <w:sz w:val="22"/>
          <w:szCs w:val="22"/>
          <w:lang w:val="en-GB"/>
        </w:rPr>
        <w:t xml:space="preserve">. </w:t>
      </w:r>
    </w:p>
    <w:p w14:paraId="70E2208A" w14:textId="579F17D3" w:rsidR="00144C9B" w:rsidRPr="00E4265B" w:rsidRDefault="00144C9B" w:rsidP="00BF2CE1">
      <w:pPr>
        <w:pStyle w:val="aList"/>
        <w:rPr>
          <w:rFonts w:ascii="Arial" w:hAnsi="Arial" w:cs="Arial"/>
          <w:sz w:val="22"/>
          <w:szCs w:val="22"/>
          <w:lang w:val="en-GB"/>
        </w:rPr>
      </w:pPr>
      <w:r w:rsidRPr="00E4265B">
        <w:rPr>
          <w:rFonts w:ascii="Arial" w:hAnsi="Arial" w:cs="Arial"/>
          <w:sz w:val="22"/>
          <w:szCs w:val="22"/>
          <w:lang w:val="en-GB"/>
        </w:rPr>
        <w:lastRenderedPageBreak/>
        <w:t>(e)</w:t>
      </w:r>
      <w:r w:rsidRPr="00E4265B">
        <w:rPr>
          <w:rFonts w:ascii="Arial" w:hAnsi="Arial" w:cs="Arial"/>
          <w:sz w:val="22"/>
          <w:szCs w:val="22"/>
          <w:lang w:val="en-GB"/>
        </w:rPr>
        <w:tab/>
        <w:t xml:space="preserve">Where an Authorised Person intends to include the T2 Capital instruments issued by a Subsidiary in a non-ADGM jurisdiction in the consolidated T2 Capital, the Authorised Person may do so, to the extent permitted under these Rules, if the provisions governing the instrument specify a trigger event equivalent to the trigger specified in paragraph (b) above, or where the trigger event relates to the supervisor </w:t>
      </w:r>
      <w:r w:rsidR="00BF2CE1" w:rsidRPr="00E4265B">
        <w:rPr>
          <w:rFonts w:ascii="Arial" w:hAnsi="Arial" w:cs="Arial"/>
          <w:sz w:val="22"/>
          <w:szCs w:val="22"/>
          <w:lang w:val="en-GB"/>
        </w:rPr>
        <w:t xml:space="preserve">of the Subsidiary </w:t>
      </w:r>
      <w:r w:rsidRPr="00E4265B">
        <w:rPr>
          <w:rFonts w:ascii="Arial" w:hAnsi="Arial" w:cs="Arial"/>
          <w:sz w:val="22"/>
          <w:szCs w:val="22"/>
          <w:lang w:val="en-GB"/>
        </w:rPr>
        <w:t>deciding to make a public sector injection of capital or equivalent support, without which the Authorised Person would no longer be viable. The Regulator will only activate such triggers in respect of such Subsidiary</w:t>
      </w:r>
      <w:r w:rsidR="00BF2CE1" w:rsidRPr="00E4265B">
        <w:rPr>
          <w:rFonts w:ascii="Arial" w:hAnsi="Arial" w:cs="Arial"/>
          <w:sz w:val="22"/>
          <w:szCs w:val="22"/>
          <w:lang w:val="en-GB"/>
        </w:rPr>
        <w:t>,</w:t>
      </w:r>
      <w:r w:rsidRPr="00E4265B">
        <w:rPr>
          <w:rFonts w:ascii="Arial" w:hAnsi="Arial" w:cs="Arial"/>
          <w:sz w:val="22"/>
          <w:szCs w:val="22"/>
          <w:lang w:val="en-GB"/>
        </w:rPr>
        <w:t xml:space="preserve"> after consultation with the supervisor</w:t>
      </w:r>
      <w:r w:rsidR="00BF2CE1" w:rsidRPr="00E4265B">
        <w:rPr>
          <w:rFonts w:ascii="Arial" w:hAnsi="Arial" w:cs="Arial"/>
          <w:sz w:val="22"/>
          <w:szCs w:val="22"/>
          <w:lang w:val="en-GB"/>
        </w:rPr>
        <w:t xml:space="preserve"> of the Subsidiary,</w:t>
      </w:r>
      <w:r w:rsidRPr="00E4265B">
        <w:rPr>
          <w:rFonts w:ascii="Arial" w:hAnsi="Arial" w:cs="Arial"/>
          <w:sz w:val="22"/>
          <w:szCs w:val="22"/>
          <w:lang w:val="en-GB"/>
        </w:rPr>
        <w:t xml:space="preserve"> where:</w:t>
      </w:r>
    </w:p>
    <w:p w14:paraId="2E073E87" w14:textId="5D52164B" w:rsidR="00144C9B" w:rsidRPr="00E4265B" w:rsidRDefault="00144C9B" w:rsidP="00BF2CE1">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if applicable, the Subsidiary is non-viable as determined by the supervisor</w:t>
      </w:r>
      <w:r w:rsidR="00BF2CE1" w:rsidRPr="00E4265B">
        <w:rPr>
          <w:rFonts w:ascii="Arial" w:hAnsi="Arial" w:cs="Arial"/>
          <w:sz w:val="22"/>
          <w:szCs w:val="22"/>
          <w:lang w:val="en-GB"/>
        </w:rPr>
        <w:t xml:space="preserve"> of the Subsidiary</w:t>
      </w:r>
      <w:r w:rsidRPr="00E4265B">
        <w:rPr>
          <w:rFonts w:ascii="Arial" w:hAnsi="Arial" w:cs="Arial"/>
          <w:sz w:val="22"/>
          <w:szCs w:val="22"/>
          <w:lang w:val="en-GB"/>
        </w:rPr>
        <w:t xml:space="preserve"> in accordance with applicable laws of that jurisdiction on insolvency, resolution or recovery of financial institutions; and</w:t>
      </w:r>
    </w:p>
    <w:p w14:paraId="66F68633" w14:textId="08854F84" w:rsidR="00144C9B" w:rsidRPr="00E4265B" w:rsidRDefault="00144C9B" w:rsidP="00144C9B">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the Authorised Person is, or would be, non-viable, as determined by the Regulator, as a result of providing, or committing to provide, a capital injection or sim</w:t>
      </w:r>
      <w:r w:rsidR="00CC70EC" w:rsidRPr="00E4265B">
        <w:rPr>
          <w:rFonts w:ascii="Arial" w:hAnsi="Arial" w:cs="Arial"/>
          <w:sz w:val="22"/>
          <w:szCs w:val="22"/>
          <w:lang w:val="en-GB"/>
        </w:rPr>
        <w:t>ilar support to the Subsidiary.</w:t>
      </w:r>
    </w:p>
    <w:p w14:paraId="1A874578" w14:textId="77777777" w:rsidR="00144C9B" w:rsidRPr="00E4265B" w:rsidRDefault="00144C9B" w:rsidP="00144C9B">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For the purposes of paragraph (e) above, any ordinary shares paid as compensation to the holders of the capital instrument shall be ordinary shares of either the Subsidiary or of the Authorised Person.</w:t>
      </w:r>
    </w:p>
    <w:p w14:paraId="5280D87F" w14:textId="495300D6" w:rsidR="00E22FF2" w:rsidRPr="00E4265B" w:rsidRDefault="00144C9B" w:rsidP="00036C5A">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r>
      <w:r w:rsidR="00E22FF2" w:rsidRPr="00E4265B">
        <w:rPr>
          <w:rFonts w:ascii="Arial" w:hAnsi="Arial" w:cs="Arial"/>
          <w:sz w:val="22"/>
          <w:szCs w:val="22"/>
          <w:lang w:val="en-GB"/>
        </w:rPr>
        <w:t>The following must apply where, in the case of a T2 Capital instrument, the conditions laid down in this Rule cease to be met:</w:t>
      </w:r>
    </w:p>
    <w:p w14:paraId="33FE5A0D"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that instrument must cease to qualify as a T2 Capital instrument; and</w:t>
      </w:r>
    </w:p>
    <w:p w14:paraId="3FD17D5D"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part of the </w:t>
      </w:r>
      <w:r w:rsidR="00202EF6" w:rsidRPr="00E4265B">
        <w:rPr>
          <w:rFonts w:ascii="Arial" w:hAnsi="Arial" w:cs="Arial"/>
          <w:sz w:val="22"/>
          <w:szCs w:val="22"/>
          <w:lang w:val="en-GB"/>
        </w:rPr>
        <w:t>Share</w:t>
      </w:r>
      <w:r w:rsidRPr="00E4265B">
        <w:rPr>
          <w:rFonts w:ascii="Arial" w:hAnsi="Arial" w:cs="Arial"/>
          <w:sz w:val="22"/>
          <w:szCs w:val="22"/>
          <w:lang w:val="en-GB"/>
        </w:rPr>
        <w:t xml:space="preserve"> premium accounts that relates to that instrument must cease to qualify as a T2 Capital element.</w:t>
      </w:r>
    </w:p>
    <w:p w14:paraId="69A1E92B" w14:textId="77777777" w:rsidR="00922EE9" w:rsidRPr="00E4265B" w:rsidRDefault="00922EE9" w:rsidP="00922EE9">
      <w:pPr>
        <w:pStyle w:val="TitleL5"/>
        <w:rPr>
          <w:rFonts w:ascii="Arial" w:hAnsi="Arial" w:cs="Arial"/>
          <w:sz w:val="22"/>
          <w:szCs w:val="22"/>
          <w:lang w:val="en-GB"/>
        </w:rPr>
      </w:pPr>
      <w:r w:rsidRPr="00E4265B">
        <w:rPr>
          <w:rFonts w:ascii="Arial" w:hAnsi="Arial" w:cs="Arial"/>
          <w:sz w:val="22"/>
          <w:szCs w:val="22"/>
          <w:lang w:val="en-GB"/>
        </w:rPr>
        <w:t>Guidance</w:t>
      </w:r>
    </w:p>
    <w:p w14:paraId="037B05BE" w14:textId="77777777" w:rsidR="00922EE9" w:rsidRPr="00E4265B" w:rsidRDefault="00922EE9" w:rsidP="00922EE9">
      <w:pPr>
        <w:pStyle w:val="aList"/>
        <w:ind w:left="993" w:hanging="12"/>
        <w:rPr>
          <w:rFonts w:ascii="Arial" w:hAnsi="Arial" w:cs="Arial"/>
          <w:sz w:val="22"/>
          <w:szCs w:val="22"/>
          <w:lang w:val="en-GB"/>
        </w:rPr>
      </w:pPr>
      <w:r w:rsidRPr="00E4265B">
        <w:rPr>
          <w:rFonts w:ascii="Arial" w:hAnsi="Arial" w:cs="Arial"/>
          <w:sz w:val="22"/>
          <w:szCs w:val="22"/>
          <w:lang w:val="en-GB"/>
        </w:rPr>
        <w:t>Where the Regulator determines that certain conditions in relation to the viability of the institution are met, capital instruments eligible for inclusion in T2 Capital will be either partially or fully written down or converted into ordinary shares.</w:t>
      </w:r>
    </w:p>
    <w:p w14:paraId="62C32E0D"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T2 regulatory deductions and exclusions</w:t>
      </w:r>
    </w:p>
    <w:p w14:paraId="74CA9DA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Subject to the following Rules in this Section, an </w:t>
      </w:r>
      <w:r w:rsidR="000D1A90" w:rsidRPr="00E4265B">
        <w:rPr>
          <w:rFonts w:ascii="Arial" w:hAnsi="Arial" w:cs="Arial"/>
          <w:sz w:val="22"/>
          <w:szCs w:val="22"/>
        </w:rPr>
        <w:t>Authorised Person</w:t>
      </w:r>
      <w:r w:rsidRPr="00E4265B">
        <w:rPr>
          <w:rFonts w:ascii="Arial" w:hAnsi="Arial" w:cs="Arial"/>
          <w:sz w:val="22"/>
          <w:szCs w:val="22"/>
        </w:rPr>
        <w:t xml:space="preserve"> must deduct the following from the calculation of its T2 Capital:</w:t>
      </w:r>
    </w:p>
    <w:p w14:paraId="1C10312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direct and indirect holdings by an </w:t>
      </w:r>
      <w:r w:rsidR="000D1A90" w:rsidRPr="00E4265B">
        <w:rPr>
          <w:rFonts w:ascii="Arial" w:hAnsi="Arial" w:cs="Arial"/>
          <w:sz w:val="22"/>
          <w:szCs w:val="22"/>
        </w:rPr>
        <w:t>Authorised Person</w:t>
      </w:r>
      <w:r w:rsidRPr="00E4265B">
        <w:rPr>
          <w:rFonts w:ascii="Arial" w:hAnsi="Arial" w:cs="Arial"/>
          <w:sz w:val="22"/>
          <w:szCs w:val="22"/>
        </w:rPr>
        <w:t xml:space="preserve"> of own T2 Capital instruments, including own T2 instruments that an </w:t>
      </w:r>
      <w:r w:rsidR="000D1A90" w:rsidRPr="00E4265B">
        <w:rPr>
          <w:rFonts w:ascii="Arial" w:hAnsi="Arial" w:cs="Arial"/>
          <w:sz w:val="22"/>
          <w:szCs w:val="22"/>
        </w:rPr>
        <w:t>Authorised Person</w:t>
      </w:r>
      <w:r w:rsidRPr="00E4265B">
        <w:rPr>
          <w:rFonts w:ascii="Arial" w:hAnsi="Arial" w:cs="Arial"/>
          <w:sz w:val="22"/>
          <w:szCs w:val="22"/>
        </w:rPr>
        <w:t xml:space="preserve"> could be obliged to purchase as a result of existing contractual obligations;</w:t>
      </w:r>
    </w:p>
    <w:p w14:paraId="343B1C5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holdings of the T2 Capital instruments of Relevant Entities where those entities have a reciprocal cross holding with the </w:t>
      </w:r>
      <w:r w:rsidR="000D1A90" w:rsidRPr="00E4265B">
        <w:rPr>
          <w:rFonts w:ascii="Arial" w:hAnsi="Arial" w:cs="Arial"/>
          <w:sz w:val="22"/>
          <w:szCs w:val="22"/>
        </w:rPr>
        <w:t>Authorised Person</w:t>
      </w:r>
      <w:r w:rsidRPr="00E4265B">
        <w:rPr>
          <w:rFonts w:ascii="Arial" w:hAnsi="Arial" w:cs="Arial"/>
          <w:sz w:val="22"/>
          <w:szCs w:val="22"/>
        </w:rPr>
        <w:t xml:space="preserve"> which have the effect of artificially inflating the Capital Resources of the </w:t>
      </w:r>
      <w:r w:rsidR="000D1A90" w:rsidRPr="00E4265B">
        <w:rPr>
          <w:rFonts w:ascii="Arial" w:hAnsi="Arial" w:cs="Arial"/>
          <w:sz w:val="22"/>
          <w:szCs w:val="22"/>
        </w:rPr>
        <w:t>Authorised Person</w:t>
      </w:r>
      <w:r w:rsidRPr="00E4265B">
        <w:rPr>
          <w:rFonts w:ascii="Arial" w:hAnsi="Arial" w:cs="Arial"/>
          <w:sz w:val="22"/>
          <w:szCs w:val="22"/>
        </w:rPr>
        <w:t>;</w:t>
      </w:r>
    </w:p>
    <w:p w14:paraId="5ABBB1D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lastRenderedPageBreak/>
        <w:t xml:space="preserve">the amount of direct and indirect holdings by the </w:t>
      </w:r>
      <w:r w:rsidR="000D1A90" w:rsidRPr="00E4265B">
        <w:rPr>
          <w:rFonts w:ascii="Arial" w:hAnsi="Arial" w:cs="Arial"/>
          <w:sz w:val="22"/>
          <w:szCs w:val="22"/>
        </w:rPr>
        <w:t>Authorised Person</w:t>
      </w:r>
      <w:r w:rsidRPr="00E4265B">
        <w:rPr>
          <w:rFonts w:ascii="Arial" w:hAnsi="Arial" w:cs="Arial"/>
          <w:sz w:val="22"/>
          <w:szCs w:val="22"/>
        </w:rPr>
        <w:t xml:space="preserve"> of the T2 Capital instruments of Relevant Entities where the </w:t>
      </w:r>
      <w:r w:rsidR="000D1A90" w:rsidRPr="00E4265B">
        <w:rPr>
          <w:rFonts w:ascii="Arial" w:hAnsi="Arial" w:cs="Arial"/>
          <w:sz w:val="22"/>
          <w:szCs w:val="22"/>
        </w:rPr>
        <w:t>Authorised Person</w:t>
      </w:r>
      <w:r w:rsidRPr="00E4265B">
        <w:rPr>
          <w:rFonts w:ascii="Arial" w:hAnsi="Arial" w:cs="Arial"/>
          <w:sz w:val="22"/>
          <w:szCs w:val="22"/>
        </w:rPr>
        <w:t xml:space="preserve"> does not have a significant investment in those entities; and</w:t>
      </w:r>
    </w:p>
    <w:p w14:paraId="6DA161D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direct and indirect holdings by the </w:t>
      </w:r>
      <w:r w:rsidR="000D1A90" w:rsidRPr="00E4265B">
        <w:rPr>
          <w:rFonts w:ascii="Arial" w:hAnsi="Arial" w:cs="Arial"/>
          <w:sz w:val="22"/>
          <w:szCs w:val="22"/>
        </w:rPr>
        <w:t>Authorised Person</w:t>
      </w:r>
      <w:r w:rsidRPr="00E4265B">
        <w:rPr>
          <w:rFonts w:ascii="Arial" w:hAnsi="Arial" w:cs="Arial"/>
          <w:sz w:val="22"/>
          <w:szCs w:val="22"/>
        </w:rPr>
        <w:t xml:space="preserve"> of the T2 Capital instruments of Relevant Entities where the </w:t>
      </w:r>
      <w:r w:rsidR="000D1A90" w:rsidRPr="00E4265B">
        <w:rPr>
          <w:rFonts w:ascii="Arial" w:hAnsi="Arial" w:cs="Arial"/>
          <w:sz w:val="22"/>
          <w:szCs w:val="22"/>
        </w:rPr>
        <w:t>Authorised Person</w:t>
      </w:r>
      <w:r w:rsidRPr="00E4265B">
        <w:rPr>
          <w:rFonts w:ascii="Arial" w:hAnsi="Arial" w:cs="Arial"/>
          <w:sz w:val="22"/>
          <w:szCs w:val="22"/>
        </w:rPr>
        <w:t xml:space="preserve"> has a significant investment in those entities, excluding Underwriting positions held for fewer than five working days.</w:t>
      </w:r>
    </w:p>
    <w:p w14:paraId="63333072" w14:textId="77777777" w:rsidR="00E22FF2" w:rsidRPr="00E4265B" w:rsidRDefault="006B4B6B" w:rsidP="0097615D">
      <w:pPr>
        <w:pStyle w:val="TitleL5"/>
        <w:rPr>
          <w:rFonts w:ascii="Arial" w:hAnsi="Arial" w:cs="Arial"/>
          <w:sz w:val="22"/>
          <w:szCs w:val="22"/>
          <w:lang w:val="en-GB"/>
        </w:rPr>
      </w:pPr>
      <w:r w:rsidRPr="00E4265B">
        <w:rPr>
          <w:rFonts w:ascii="Arial" w:hAnsi="Arial" w:cs="Arial"/>
          <w:sz w:val="22"/>
          <w:szCs w:val="22"/>
          <w:lang w:val="en-GB"/>
        </w:rPr>
        <w:t xml:space="preserve">T2 </w:t>
      </w:r>
      <w:r w:rsidR="00E22FF2" w:rsidRPr="00E4265B">
        <w:rPr>
          <w:rFonts w:ascii="Arial" w:hAnsi="Arial" w:cs="Arial"/>
          <w:sz w:val="22"/>
          <w:szCs w:val="22"/>
          <w:lang w:val="en-GB"/>
        </w:rPr>
        <w:t xml:space="preserve">Deductions </w:t>
      </w:r>
      <w:r w:rsidRPr="00E4265B">
        <w:rPr>
          <w:rFonts w:ascii="Arial" w:hAnsi="Arial" w:cs="Arial"/>
          <w:sz w:val="22"/>
          <w:szCs w:val="22"/>
          <w:lang w:val="en-GB"/>
        </w:rPr>
        <w:t xml:space="preserve">- </w:t>
      </w:r>
      <w:r w:rsidR="00E22FF2" w:rsidRPr="00E4265B">
        <w:rPr>
          <w:rFonts w:ascii="Arial" w:hAnsi="Arial" w:cs="Arial"/>
          <w:sz w:val="22"/>
          <w:szCs w:val="22"/>
          <w:lang w:val="en-GB"/>
        </w:rPr>
        <w:t>holdings of own T2 Capital instruments</w:t>
      </w:r>
    </w:p>
    <w:p w14:paraId="3DD68039"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For the purposes of Rule 3.1</w:t>
      </w:r>
      <w:r w:rsidR="006B4B6B" w:rsidRPr="00E4265B">
        <w:rPr>
          <w:rFonts w:ascii="Arial" w:hAnsi="Arial" w:cs="Arial"/>
          <w:sz w:val="22"/>
          <w:szCs w:val="22"/>
        </w:rPr>
        <w:t>2</w:t>
      </w:r>
      <w:r w:rsidRPr="00E4265B">
        <w:rPr>
          <w:rFonts w:ascii="Arial" w:hAnsi="Arial" w:cs="Arial"/>
          <w:sz w:val="22"/>
          <w:szCs w:val="22"/>
        </w:rPr>
        <w:t xml:space="preserve">.4(a), an </w:t>
      </w:r>
      <w:r w:rsidR="000D1A90" w:rsidRPr="00E4265B">
        <w:rPr>
          <w:rFonts w:ascii="Arial" w:hAnsi="Arial" w:cs="Arial"/>
          <w:sz w:val="22"/>
          <w:szCs w:val="22"/>
        </w:rPr>
        <w:t>Authorised Person</w:t>
      </w:r>
      <w:r w:rsidRPr="00E4265B">
        <w:rPr>
          <w:rFonts w:ascii="Arial" w:hAnsi="Arial" w:cs="Arial"/>
          <w:sz w:val="22"/>
          <w:szCs w:val="22"/>
        </w:rPr>
        <w:t xml:space="preserve"> must calculate holdings of its own T2 Capital instruments on the basis of the gross long positions subject to the following exceptions:</w:t>
      </w:r>
    </w:p>
    <w:p w14:paraId="6901D961" w14:textId="0EE5D841" w:rsidR="00E22FF2" w:rsidRPr="00E4265B" w:rsidRDefault="00E22FF2" w:rsidP="00E73755">
      <w:pPr>
        <w:pStyle w:val="Heading5"/>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w:t>
      </w:r>
      <w:r w:rsidR="00E73755" w:rsidRPr="00E4265B">
        <w:rPr>
          <w:rFonts w:ascii="Arial" w:hAnsi="Arial" w:cs="Arial"/>
          <w:sz w:val="22"/>
          <w:szCs w:val="22"/>
        </w:rPr>
        <w:t>must</w:t>
      </w:r>
      <w:r w:rsidRPr="00E4265B">
        <w:rPr>
          <w:rFonts w:ascii="Arial" w:hAnsi="Arial" w:cs="Arial"/>
          <w:sz w:val="22"/>
          <w:szCs w:val="22"/>
        </w:rPr>
        <w:t xml:space="preserve"> calculate the amount of holdings in the Trading Book on the basis of the net long position provided the long and short positions are in the same underlying Exposure and the short positions involve no Counterparty </w:t>
      </w:r>
      <w:r w:rsidR="006B4B6B" w:rsidRPr="00E4265B">
        <w:rPr>
          <w:rFonts w:ascii="Arial" w:hAnsi="Arial" w:cs="Arial"/>
          <w:sz w:val="22"/>
          <w:szCs w:val="22"/>
        </w:rPr>
        <w:t xml:space="preserve">Credit </w:t>
      </w:r>
      <w:r w:rsidRPr="00E4265B">
        <w:rPr>
          <w:rFonts w:ascii="Arial" w:hAnsi="Arial" w:cs="Arial"/>
          <w:sz w:val="22"/>
          <w:szCs w:val="22"/>
        </w:rPr>
        <w:t>Risk;</w:t>
      </w:r>
    </w:p>
    <w:p w14:paraId="06FD53C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determine the amount to be deducted for indirect holdings in the Trading Book of own T2 Capital instruments that take the form of holdings of index </w:t>
      </w:r>
      <w:r w:rsidR="00877CEA" w:rsidRPr="00E4265B">
        <w:rPr>
          <w:rFonts w:ascii="Arial" w:hAnsi="Arial" w:cs="Arial"/>
          <w:sz w:val="22"/>
          <w:szCs w:val="22"/>
        </w:rPr>
        <w:t>Securities</w:t>
      </w:r>
      <w:r w:rsidRPr="00E4265B">
        <w:rPr>
          <w:rFonts w:ascii="Arial" w:hAnsi="Arial" w:cs="Arial"/>
          <w:sz w:val="22"/>
          <w:szCs w:val="22"/>
        </w:rPr>
        <w:t xml:space="preserve"> by calculating the underlying Exposure to own T2 Capital instruments in the indices; and</w:t>
      </w:r>
    </w:p>
    <w:p w14:paraId="3F84B916" w14:textId="6A8FF277" w:rsidR="00E22FF2" w:rsidRPr="00E4265B" w:rsidRDefault="00E22FF2" w:rsidP="00E73755">
      <w:pPr>
        <w:pStyle w:val="Heading5"/>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w:t>
      </w:r>
      <w:r w:rsidR="00E73755" w:rsidRPr="00E4265B">
        <w:rPr>
          <w:rFonts w:ascii="Arial" w:hAnsi="Arial" w:cs="Arial"/>
          <w:sz w:val="22"/>
          <w:szCs w:val="22"/>
        </w:rPr>
        <w:t>must</w:t>
      </w:r>
      <w:r w:rsidRPr="00E4265B">
        <w:rPr>
          <w:rFonts w:ascii="Arial" w:hAnsi="Arial" w:cs="Arial"/>
          <w:sz w:val="22"/>
          <w:szCs w:val="22"/>
        </w:rPr>
        <w:t xml:space="preserve"> net gross long positions in own T2 Capital instruments in the Trading Book resulting from holdings of index </w:t>
      </w:r>
      <w:r w:rsidR="00877CEA" w:rsidRPr="00E4265B">
        <w:rPr>
          <w:rFonts w:ascii="Arial" w:hAnsi="Arial" w:cs="Arial"/>
          <w:sz w:val="22"/>
          <w:szCs w:val="22"/>
        </w:rPr>
        <w:t>Securities</w:t>
      </w:r>
      <w:r w:rsidRPr="00E4265B">
        <w:rPr>
          <w:rFonts w:ascii="Arial" w:hAnsi="Arial" w:cs="Arial"/>
          <w:sz w:val="22"/>
          <w:szCs w:val="22"/>
        </w:rPr>
        <w:t xml:space="preserve"> against short positions in own T2 instruments resulting from short positions in the underlying indices, including where those short positions involve Counterparty </w:t>
      </w:r>
      <w:r w:rsidR="006B4B6B" w:rsidRPr="00E4265B">
        <w:rPr>
          <w:rFonts w:ascii="Arial" w:hAnsi="Arial" w:cs="Arial"/>
          <w:sz w:val="22"/>
          <w:szCs w:val="22"/>
        </w:rPr>
        <w:t xml:space="preserve">Credit </w:t>
      </w:r>
      <w:r w:rsidRPr="00E4265B">
        <w:rPr>
          <w:rFonts w:ascii="Arial" w:hAnsi="Arial" w:cs="Arial"/>
          <w:sz w:val="22"/>
          <w:szCs w:val="22"/>
        </w:rPr>
        <w:t>Risk.</w:t>
      </w:r>
    </w:p>
    <w:p w14:paraId="61BD641F" w14:textId="77777777" w:rsidR="00E22FF2" w:rsidRPr="00E4265B" w:rsidRDefault="006B4B6B" w:rsidP="0097615D">
      <w:pPr>
        <w:pStyle w:val="TitleL5"/>
        <w:rPr>
          <w:rFonts w:ascii="Arial" w:hAnsi="Arial" w:cs="Arial"/>
          <w:sz w:val="22"/>
          <w:szCs w:val="22"/>
          <w:lang w:val="en-GB"/>
        </w:rPr>
      </w:pPr>
      <w:r w:rsidRPr="00E4265B">
        <w:rPr>
          <w:rFonts w:ascii="Arial" w:hAnsi="Arial" w:cs="Arial"/>
          <w:sz w:val="22"/>
          <w:szCs w:val="22"/>
          <w:lang w:val="en-GB"/>
        </w:rPr>
        <w:t xml:space="preserve">T2 </w:t>
      </w:r>
      <w:r w:rsidR="00E22FF2" w:rsidRPr="00E4265B">
        <w:rPr>
          <w:rFonts w:ascii="Arial" w:hAnsi="Arial" w:cs="Arial"/>
          <w:sz w:val="22"/>
          <w:szCs w:val="22"/>
          <w:lang w:val="en-GB"/>
        </w:rPr>
        <w:t xml:space="preserve">Deductions </w:t>
      </w:r>
      <w:r w:rsidR="008B669B" w:rsidRPr="00E4265B">
        <w:rPr>
          <w:rFonts w:ascii="Arial" w:hAnsi="Arial" w:cs="Arial"/>
          <w:sz w:val="22"/>
          <w:szCs w:val="22"/>
          <w:lang w:val="en-GB"/>
        </w:rPr>
        <w:t xml:space="preserve">- investments in </w:t>
      </w:r>
      <w:r w:rsidR="00E22FF2" w:rsidRPr="00E4265B">
        <w:rPr>
          <w:rFonts w:ascii="Arial" w:hAnsi="Arial" w:cs="Arial"/>
          <w:sz w:val="22"/>
          <w:szCs w:val="22"/>
          <w:lang w:val="en-GB"/>
        </w:rPr>
        <w:t xml:space="preserve">T2 Capital instruments </w:t>
      </w:r>
      <w:r w:rsidR="008B669B" w:rsidRPr="00E4265B">
        <w:rPr>
          <w:rFonts w:ascii="Arial" w:hAnsi="Arial" w:cs="Arial"/>
          <w:sz w:val="22"/>
          <w:szCs w:val="22"/>
          <w:lang w:val="en-GB"/>
        </w:rPr>
        <w:t xml:space="preserve">of </w:t>
      </w:r>
      <w:r w:rsidR="00E22FF2" w:rsidRPr="00E4265B">
        <w:rPr>
          <w:rFonts w:ascii="Arial" w:hAnsi="Arial" w:cs="Arial"/>
          <w:sz w:val="22"/>
          <w:szCs w:val="22"/>
          <w:lang w:val="en-GB"/>
        </w:rPr>
        <w:t>Relevant Entities</w:t>
      </w:r>
    </w:p>
    <w:p w14:paraId="39B6DF0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For the purposes of Rule</w:t>
      </w:r>
      <w:r w:rsidR="00F01474" w:rsidRPr="00E4265B">
        <w:rPr>
          <w:rFonts w:ascii="Arial" w:hAnsi="Arial" w:cs="Arial"/>
          <w:sz w:val="22"/>
          <w:szCs w:val="22"/>
        </w:rPr>
        <w:t>s</w:t>
      </w:r>
      <w:r w:rsidRPr="00E4265B">
        <w:rPr>
          <w:rFonts w:ascii="Arial" w:hAnsi="Arial" w:cs="Arial"/>
          <w:sz w:val="22"/>
          <w:szCs w:val="22"/>
        </w:rPr>
        <w:t> 3.1</w:t>
      </w:r>
      <w:r w:rsidR="008B669B" w:rsidRPr="00E4265B">
        <w:rPr>
          <w:rFonts w:ascii="Arial" w:hAnsi="Arial" w:cs="Arial"/>
          <w:sz w:val="22"/>
          <w:szCs w:val="22"/>
        </w:rPr>
        <w:t>2</w:t>
      </w:r>
      <w:r w:rsidRPr="00E4265B">
        <w:rPr>
          <w:rFonts w:ascii="Arial" w:hAnsi="Arial" w:cs="Arial"/>
          <w:sz w:val="22"/>
          <w:szCs w:val="22"/>
        </w:rPr>
        <w:t>.4(b), (c) and (d), the amount of holdings of T2 Capital instruments and other capital instruments of Relevant Entities to be deducted must be calculated</w:t>
      </w:r>
      <w:r w:rsidR="008B669B" w:rsidRPr="00E4265B">
        <w:rPr>
          <w:rFonts w:ascii="Arial" w:hAnsi="Arial" w:cs="Arial"/>
          <w:sz w:val="22"/>
          <w:szCs w:val="22"/>
        </w:rPr>
        <w:t xml:space="preserve"> </w:t>
      </w:r>
      <w:r w:rsidRPr="00E4265B">
        <w:rPr>
          <w:rFonts w:ascii="Arial" w:hAnsi="Arial" w:cs="Arial"/>
          <w:sz w:val="22"/>
          <w:szCs w:val="22"/>
        </w:rPr>
        <w:t>on the basis of the gross long positions.</w:t>
      </w:r>
    </w:p>
    <w:p w14:paraId="3796698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For the purposes of Rule</w:t>
      </w:r>
      <w:r w:rsidR="00F01474" w:rsidRPr="00E4265B">
        <w:rPr>
          <w:rFonts w:ascii="Arial" w:hAnsi="Arial" w:cs="Arial"/>
          <w:sz w:val="22"/>
          <w:szCs w:val="22"/>
        </w:rPr>
        <w:t>s</w:t>
      </w:r>
      <w:r w:rsidRPr="00E4265B">
        <w:rPr>
          <w:rFonts w:ascii="Arial" w:hAnsi="Arial" w:cs="Arial"/>
          <w:sz w:val="22"/>
          <w:szCs w:val="22"/>
        </w:rPr>
        <w:t> 3.1</w:t>
      </w:r>
      <w:r w:rsidR="008B669B" w:rsidRPr="00E4265B">
        <w:rPr>
          <w:rFonts w:ascii="Arial" w:hAnsi="Arial" w:cs="Arial"/>
          <w:sz w:val="22"/>
          <w:szCs w:val="22"/>
        </w:rPr>
        <w:t>2</w:t>
      </w:r>
      <w:r w:rsidRPr="00E4265B">
        <w:rPr>
          <w:rFonts w:ascii="Arial" w:hAnsi="Arial" w:cs="Arial"/>
          <w:sz w:val="22"/>
          <w:szCs w:val="22"/>
        </w:rPr>
        <w:t xml:space="preserve">.4(c) and (d), an </w:t>
      </w:r>
      <w:r w:rsidR="000D1A90" w:rsidRPr="00E4265B">
        <w:rPr>
          <w:rFonts w:ascii="Arial" w:hAnsi="Arial" w:cs="Arial"/>
          <w:sz w:val="22"/>
          <w:szCs w:val="22"/>
        </w:rPr>
        <w:t>Authorised Person</w:t>
      </w:r>
      <w:r w:rsidRPr="00E4265B">
        <w:rPr>
          <w:rFonts w:ascii="Arial" w:hAnsi="Arial" w:cs="Arial"/>
          <w:sz w:val="22"/>
          <w:szCs w:val="22"/>
        </w:rPr>
        <w:t xml:space="preserve"> must make the deductions in accordance with the following:</w:t>
      </w:r>
    </w:p>
    <w:p w14:paraId="205C42E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holdings in the Trading Book of the capital instruments of Relevant Entities must be calculated on the basis of the net long position in the same underlying Exposure provided the maturity of the short position matches the maturity of the long position or has a residual maturity of at least one year; and</w:t>
      </w:r>
    </w:p>
    <w:p w14:paraId="0E7F7B5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amount to be deducted for indirect holdings in the Trading Book of the capital instruments of Relevant Entities that take the form of holdings of index </w:t>
      </w:r>
      <w:r w:rsidR="00877CEA" w:rsidRPr="00E4265B">
        <w:rPr>
          <w:rFonts w:ascii="Arial" w:hAnsi="Arial" w:cs="Arial"/>
          <w:sz w:val="22"/>
          <w:szCs w:val="22"/>
        </w:rPr>
        <w:t>Securities</w:t>
      </w:r>
      <w:r w:rsidRPr="00E4265B">
        <w:rPr>
          <w:rFonts w:ascii="Arial" w:hAnsi="Arial" w:cs="Arial"/>
          <w:sz w:val="22"/>
          <w:szCs w:val="22"/>
        </w:rPr>
        <w:t xml:space="preserve"> must be determined by calculating the underlying Exposure to the capital instruments of the Relevant Entities in the indices.</w:t>
      </w:r>
    </w:p>
    <w:p w14:paraId="4BABE098"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 xml:space="preserve">T2 deductions </w:t>
      </w:r>
      <w:r w:rsidR="008B669B" w:rsidRPr="00E4265B">
        <w:rPr>
          <w:rFonts w:ascii="Arial" w:hAnsi="Arial" w:cs="Arial"/>
          <w:sz w:val="22"/>
          <w:szCs w:val="22"/>
          <w:lang w:val="en-GB"/>
        </w:rPr>
        <w:t xml:space="preserve">- </w:t>
      </w:r>
      <w:r w:rsidRPr="00E4265B">
        <w:rPr>
          <w:rFonts w:ascii="Arial" w:hAnsi="Arial" w:cs="Arial"/>
          <w:sz w:val="22"/>
          <w:szCs w:val="22"/>
          <w:lang w:val="en-GB"/>
        </w:rPr>
        <w:t>insignificant investment in a Relevant Entity</w:t>
      </w:r>
    </w:p>
    <w:p w14:paraId="1BD40A34" w14:textId="77777777" w:rsidR="00E22FF2" w:rsidRPr="00E4265B" w:rsidRDefault="00E22FF2" w:rsidP="00AF6EE8">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For the purposes of Rule 3.1</w:t>
      </w:r>
      <w:r w:rsidR="008B669B" w:rsidRPr="00E4265B">
        <w:rPr>
          <w:rFonts w:ascii="Arial" w:hAnsi="Arial" w:cs="Arial"/>
          <w:sz w:val="22"/>
          <w:szCs w:val="22"/>
        </w:rPr>
        <w:t>2</w:t>
      </w:r>
      <w:r w:rsidRPr="00E4265B">
        <w:rPr>
          <w:rFonts w:ascii="Arial" w:hAnsi="Arial" w:cs="Arial"/>
          <w:sz w:val="22"/>
          <w:szCs w:val="22"/>
        </w:rPr>
        <w:t xml:space="preserve">.4(c), an </w:t>
      </w:r>
      <w:r w:rsidR="000D1A90" w:rsidRPr="00E4265B">
        <w:rPr>
          <w:rFonts w:ascii="Arial" w:hAnsi="Arial" w:cs="Arial"/>
          <w:sz w:val="22"/>
          <w:szCs w:val="22"/>
        </w:rPr>
        <w:t>Authorised Person</w:t>
      </w:r>
      <w:r w:rsidRPr="00E4265B">
        <w:rPr>
          <w:rFonts w:ascii="Arial" w:hAnsi="Arial" w:cs="Arial"/>
          <w:sz w:val="22"/>
          <w:szCs w:val="22"/>
        </w:rPr>
        <w:t xml:space="preserve"> must calculate the applicable amount to be deducted by multiplying the amount referred to in (a) by the factor derived from the calculation referred to in (b):</w:t>
      </w:r>
    </w:p>
    <w:p w14:paraId="30981E58"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t>the amount referred to in Rule 3.1</w:t>
      </w:r>
      <w:r w:rsidR="008B669B" w:rsidRPr="00E4265B">
        <w:rPr>
          <w:rFonts w:ascii="Arial" w:hAnsi="Arial" w:cs="Arial"/>
          <w:sz w:val="22"/>
          <w:szCs w:val="22"/>
          <w:lang w:val="en-GB"/>
        </w:rPr>
        <w:t>0</w:t>
      </w:r>
      <w:r w:rsidRPr="00E4265B">
        <w:rPr>
          <w:rFonts w:ascii="Arial" w:hAnsi="Arial" w:cs="Arial"/>
          <w:sz w:val="22"/>
          <w:szCs w:val="22"/>
          <w:lang w:val="en-GB"/>
        </w:rPr>
        <w:t>.16(1)(a);</w:t>
      </w:r>
    </w:p>
    <w:p w14:paraId="56D0EB50"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amount of direct and indirect holdings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of the T2 Capital instruments of Relevant Entities divided by the aggregate amount of all direct and indirect holdings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of the CET1, AT1 and T2 Capital instruments of those Relevant Entities.</w:t>
      </w:r>
    </w:p>
    <w:p w14:paraId="27E031A2"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exclude Underwriting positions held for five working days or fewer from the amount referred to in Rule 3.1</w:t>
      </w:r>
      <w:r w:rsidR="008B669B" w:rsidRPr="00E4265B">
        <w:rPr>
          <w:rFonts w:ascii="Arial" w:hAnsi="Arial" w:cs="Arial"/>
          <w:sz w:val="22"/>
          <w:szCs w:val="22"/>
          <w:lang w:val="en-GB"/>
        </w:rPr>
        <w:t>0</w:t>
      </w:r>
      <w:r w:rsidRPr="00E4265B">
        <w:rPr>
          <w:rFonts w:ascii="Arial" w:hAnsi="Arial" w:cs="Arial"/>
          <w:sz w:val="22"/>
          <w:szCs w:val="22"/>
          <w:lang w:val="en-GB"/>
        </w:rPr>
        <w:t>.16(1)(a) and from the calculation of the factor referred to in (1)(b).</w:t>
      </w:r>
    </w:p>
    <w:p w14:paraId="5EDCD7F6"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determine the portion of holdings of T2 Capital instruments that is to be deducted by dividing the amount specified in (a) by the amount specified in (b):</w:t>
      </w:r>
    </w:p>
    <w:p w14:paraId="5955D67A"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amount of holdings required to be deducted pursuant to (1)(a);</w:t>
      </w:r>
    </w:p>
    <w:p w14:paraId="4D11E58E"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aggregate amount of direct and indirect holdings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of the capital instruments of Relevant Entities in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does not have a significant investment.</w:t>
      </w:r>
    </w:p>
    <w:p w14:paraId="42A04D41" w14:textId="4A3D70CD" w:rsidR="00E22FF2" w:rsidRPr="00E4265B" w:rsidRDefault="008B669B" w:rsidP="0097615D">
      <w:pPr>
        <w:pStyle w:val="TitleL5"/>
        <w:rPr>
          <w:rFonts w:ascii="Arial" w:hAnsi="Arial" w:cs="Arial"/>
          <w:sz w:val="22"/>
          <w:szCs w:val="22"/>
          <w:lang w:val="en-GB"/>
        </w:rPr>
      </w:pPr>
      <w:r w:rsidRPr="00E4265B">
        <w:rPr>
          <w:rFonts w:ascii="Arial" w:hAnsi="Arial" w:cs="Arial"/>
          <w:sz w:val="22"/>
          <w:szCs w:val="22"/>
          <w:lang w:val="en-GB"/>
        </w:rPr>
        <w:t xml:space="preserve">T2 </w:t>
      </w:r>
      <w:r w:rsidR="00E22FF2" w:rsidRPr="00E4265B">
        <w:rPr>
          <w:rFonts w:ascii="Arial" w:hAnsi="Arial" w:cs="Arial"/>
          <w:sz w:val="22"/>
          <w:szCs w:val="22"/>
          <w:lang w:val="en-GB"/>
        </w:rPr>
        <w:t xml:space="preserve">Exclusion </w:t>
      </w:r>
      <w:r w:rsidRPr="00E4265B">
        <w:rPr>
          <w:rFonts w:ascii="Arial" w:hAnsi="Arial" w:cs="Arial"/>
          <w:sz w:val="22"/>
          <w:szCs w:val="22"/>
          <w:lang w:val="en-GB"/>
        </w:rPr>
        <w:t xml:space="preserve">- </w:t>
      </w:r>
      <w:r w:rsidR="00E22FF2" w:rsidRPr="00E4265B">
        <w:rPr>
          <w:rFonts w:ascii="Arial" w:hAnsi="Arial" w:cs="Arial"/>
          <w:sz w:val="22"/>
          <w:szCs w:val="22"/>
          <w:lang w:val="en-GB"/>
        </w:rPr>
        <w:t>Managing a</w:t>
      </w:r>
      <w:r w:rsidR="00EE1F70" w:rsidRPr="00E4265B">
        <w:rPr>
          <w:rFonts w:ascii="Arial" w:hAnsi="Arial" w:cs="Arial"/>
          <w:sz w:val="22"/>
          <w:szCs w:val="22"/>
          <w:lang w:val="en-GB"/>
        </w:rPr>
        <w:t>n unrestricted</w:t>
      </w:r>
      <w:r w:rsidR="00E22FF2" w:rsidRPr="00E4265B">
        <w:rPr>
          <w:rFonts w:ascii="Arial" w:hAnsi="Arial" w:cs="Arial"/>
          <w:sz w:val="22"/>
          <w:szCs w:val="22"/>
          <w:lang w:val="en-GB"/>
        </w:rPr>
        <w:t xml:space="preserve"> P</w:t>
      </w:r>
      <w:r w:rsidR="00C51AC9" w:rsidRPr="00E4265B">
        <w:rPr>
          <w:rFonts w:ascii="Arial" w:hAnsi="Arial" w:cs="Arial"/>
          <w:sz w:val="22"/>
          <w:szCs w:val="22"/>
          <w:lang w:val="en-GB"/>
        </w:rPr>
        <w:t>rofit Sharing Investment Account</w:t>
      </w:r>
    </w:p>
    <w:p w14:paraId="1AC09A32" w14:textId="60444502" w:rsidR="00E22FF2" w:rsidRPr="00E4265B" w:rsidRDefault="00E22FF2" w:rsidP="00E73755">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exclude from T2 Capital any amount by which the </w:t>
      </w:r>
      <w:r w:rsidR="00E73755" w:rsidRPr="00E4265B">
        <w:rPr>
          <w:rFonts w:ascii="Arial" w:hAnsi="Arial" w:cs="Arial"/>
          <w:sz w:val="22"/>
          <w:szCs w:val="22"/>
        </w:rPr>
        <w:t>total</w:t>
      </w:r>
      <w:r w:rsidR="008B669B" w:rsidRPr="00E4265B">
        <w:rPr>
          <w:rFonts w:ascii="Arial" w:hAnsi="Arial" w:cs="Arial"/>
          <w:sz w:val="22"/>
          <w:szCs w:val="22"/>
        </w:rPr>
        <w:t xml:space="preserve"> </w:t>
      </w:r>
      <w:r w:rsidRPr="00E4265B">
        <w:rPr>
          <w:rFonts w:ascii="Arial" w:hAnsi="Arial" w:cs="Arial"/>
          <w:sz w:val="22"/>
          <w:szCs w:val="22"/>
        </w:rPr>
        <w:t>of the Profit Equalisation Reserve and the Investment Risk Reserve exceeds the Displaced Commercial Risk Capital Requirement calculated in accordance with the IFR rules.</w:t>
      </w:r>
    </w:p>
    <w:p w14:paraId="69E832FF" w14:textId="77777777" w:rsidR="00E22FF2" w:rsidRPr="00E4265B" w:rsidRDefault="00E22FF2" w:rsidP="00246497">
      <w:pPr>
        <w:pStyle w:val="Heading3"/>
        <w:rPr>
          <w:rFonts w:ascii="Arial" w:hAnsi="Arial" w:cs="Arial"/>
          <w:sz w:val="22"/>
          <w:szCs w:val="22"/>
        </w:rPr>
      </w:pPr>
      <w:bookmarkStart w:id="233" w:name="_Toc403223935"/>
      <w:bookmarkStart w:id="234" w:name="_Toc403253973"/>
      <w:bookmarkStart w:id="235" w:name="_Toc403273373"/>
      <w:bookmarkStart w:id="236" w:name="_Toc403273522"/>
      <w:bookmarkStart w:id="237" w:name="_Toc403274481"/>
      <w:bookmarkStart w:id="238" w:name="_Toc403279977"/>
      <w:bookmarkStart w:id="239" w:name="_Toc404285778"/>
      <w:bookmarkStart w:id="240" w:name="_Toc404621727"/>
      <w:bookmarkStart w:id="241" w:name="_Toc404624368"/>
      <w:bookmarkStart w:id="242" w:name="_Toc33622386"/>
      <w:r w:rsidRPr="00E4265B">
        <w:rPr>
          <w:rFonts w:ascii="Arial" w:hAnsi="Arial" w:cs="Arial"/>
          <w:sz w:val="22"/>
          <w:szCs w:val="22"/>
        </w:rPr>
        <w:t>Minority interests and instruments issued by Subsidiaries</w:t>
      </w:r>
      <w:bookmarkEnd w:id="233"/>
      <w:bookmarkEnd w:id="234"/>
      <w:bookmarkEnd w:id="235"/>
      <w:bookmarkEnd w:id="236"/>
      <w:bookmarkEnd w:id="237"/>
      <w:bookmarkEnd w:id="238"/>
      <w:bookmarkEnd w:id="239"/>
      <w:bookmarkEnd w:id="240"/>
      <w:bookmarkEnd w:id="241"/>
      <w:bookmarkEnd w:id="242"/>
    </w:p>
    <w:p w14:paraId="0BF961BE"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Minority interests that qualify for inclusion in consolidated CET1 Capital</w:t>
      </w:r>
    </w:p>
    <w:p w14:paraId="79276839"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Minority interests must include the CET1 Capital instruments, plus the related retained earnings and </w:t>
      </w:r>
      <w:r w:rsidR="00202EF6" w:rsidRPr="00E4265B">
        <w:rPr>
          <w:rFonts w:ascii="Arial" w:hAnsi="Arial" w:cs="Arial"/>
          <w:sz w:val="22"/>
          <w:szCs w:val="22"/>
        </w:rPr>
        <w:t>Share</w:t>
      </w:r>
      <w:r w:rsidRPr="00E4265B">
        <w:rPr>
          <w:rFonts w:ascii="Arial" w:hAnsi="Arial" w:cs="Arial"/>
          <w:sz w:val="22"/>
          <w:szCs w:val="22"/>
        </w:rPr>
        <w:t xml:space="preserve"> premium accounts of a Subsidiary</w:t>
      </w:r>
      <w:r w:rsidR="00F01474" w:rsidRPr="00E4265B">
        <w:rPr>
          <w:rFonts w:ascii="Arial" w:hAnsi="Arial" w:cs="Arial"/>
          <w:sz w:val="22"/>
          <w:szCs w:val="22"/>
        </w:rPr>
        <w:t>,</w:t>
      </w:r>
      <w:r w:rsidRPr="00E4265B">
        <w:rPr>
          <w:rFonts w:ascii="Arial" w:hAnsi="Arial" w:cs="Arial"/>
          <w:sz w:val="22"/>
          <w:szCs w:val="22"/>
        </w:rPr>
        <w:t xml:space="preserve"> only where all of the following conditions are met:</w:t>
      </w:r>
    </w:p>
    <w:p w14:paraId="77D6475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Subsidiary is one of the following: </w:t>
      </w:r>
    </w:p>
    <w:p w14:paraId="727CDA4E"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or</w:t>
      </w:r>
    </w:p>
    <w:p w14:paraId="3ACFD799"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a regulated entity</w:t>
      </w:r>
      <w:r w:rsidR="00F01474" w:rsidRPr="00E4265B">
        <w:rPr>
          <w:rFonts w:ascii="Arial" w:hAnsi="Arial" w:cs="Arial"/>
          <w:sz w:val="22"/>
          <w:szCs w:val="22"/>
        </w:rPr>
        <w:t>;</w:t>
      </w:r>
    </w:p>
    <w:p w14:paraId="528EECC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Subsidiary is a member of the Financial Group and included in the scope of consolidated supervision in accordance with Chapter 8; and</w:t>
      </w:r>
    </w:p>
    <w:p w14:paraId="501DC90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those CET1 Capital instruments are owned by </w:t>
      </w:r>
      <w:r w:rsidR="0005735E" w:rsidRPr="00E4265B">
        <w:rPr>
          <w:rFonts w:ascii="Arial" w:hAnsi="Arial" w:cs="Arial"/>
          <w:sz w:val="22"/>
          <w:szCs w:val="22"/>
        </w:rPr>
        <w:t>Persons</w:t>
      </w:r>
      <w:r w:rsidRPr="00E4265B">
        <w:rPr>
          <w:rFonts w:ascii="Arial" w:hAnsi="Arial" w:cs="Arial"/>
          <w:sz w:val="22"/>
          <w:szCs w:val="22"/>
        </w:rPr>
        <w:t xml:space="preserve"> other than the Undertakings included in the Financial Group.</w:t>
      </w:r>
    </w:p>
    <w:p w14:paraId="21B72496"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Minority interests that are funded</w:t>
      </w:r>
      <w:r w:rsidR="00F01474" w:rsidRPr="00E4265B">
        <w:rPr>
          <w:rFonts w:ascii="Arial" w:hAnsi="Arial" w:cs="Arial"/>
          <w:sz w:val="22"/>
          <w:szCs w:val="22"/>
        </w:rPr>
        <w:t>,</w:t>
      </w:r>
      <w:r w:rsidRPr="00E4265B">
        <w:rPr>
          <w:rFonts w:ascii="Arial" w:hAnsi="Arial" w:cs="Arial"/>
          <w:sz w:val="22"/>
          <w:szCs w:val="22"/>
        </w:rPr>
        <w:t xml:space="preserve"> directly or indirectly, through a </w:t>
      </w:r>
      <w:r w:rsidR="00B62CE8" w:rsidRPr="00E4265B">
        <w:rPr>
          <w:rFonts w:ascii="Arial" w:hAnsi="Arial" w:cs="Arial"/>
          <w:sz w:val="22"/>
          <w:szCs w:val="22"/>
        </w:rPr>
        <w:t>Special Purpose Entity</w:t>
      </w:r>
      <w:r w:rsidRPr="00E4265B">
        <w:rPr>
          <w:rFonts w:ascii="Arial" w:hAnsi="Arial" w:cs="Arial"/>
          <w:sz w:val="22"/>
          <w:szCs w:val="22"/>
        </w:rPr>
        <w:t xml:space="preserve"> </w:t>
      </w:r>
      <w:r w:rsidR="008B669B" w:rsidRPr="00E4265B">
        <w:rPr>
          <w:rFonts w:ascii="Arial" w:hAnsi="Arial" w:cs="Arial"/>
          <w:sz w:val="22"/>
          <w:szCs w:val="22"/>
        </w:rPr>
        <w:t xml:space="preserve">(SPE) </w:t>
      </w:r>
      <w:r w:rsidRPr="00E4265B">
        <w:rPr>
          <w:rFonts w:ascii="Arial" w:hAnsi="Arial" w:cs="Arial"/>
          <w:sz w:val="22"/>
          <w:szCs w:val="22"/>
        </w:rPr>
        <w:t xml:space="preserve">or otherwise, by the Parent of the </w:t>
      </w:r>
      <w:r w:rsidR="000D1A90" w:rsidRPr="00E4265B">
        <w:rPr>
          <w:rFonts w:ascii="Arial" w:hAnsi="Arial" w:cs="Arial"/>
          <w:sz w:val="22"/>
          <w:szCs w:val="22"/>
        </w:rPr>
        <w:t>Authorised Person</w:t>
      </w:r>
      <w:r w:rsidRPr="00E4265B">
        <w:rPr>
          <w:rFonts w:ascii="Arial" w:hAnsi="Arial" w:cs="Arial"/>
          <w:sz w:val="22"/>
          <w:szCs w:val="22"/>
        </w:rPr>
        <w:t xml:space="preserve"> or any member of its Financial Group must not qualify for inclusion in the consolidated CET1 Capital of the Financial Group.</w:t>
      </w:r>
    </w:p>
    <w:p w14:paraId="0A0343B2"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lastRenderedPageBreak/>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determine the amount of minority interests of a Subsidiary that is eligible for inclusion in its consolidated CET1 Capital by subtracting from the minority interests of that Subsidiary the result of multiplying the amount referred to in (a) by the percentage referred to in (b):</w:t>
      </w:r>
    </w:p>
    <w:p w14:paraId="3A48B5C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CET1 Capital of the Subsidiary minus the lesser of the following:</w:t>
      </w:r>
    </w:p>
    <w:p w14:paraId="1272F415" w14:textId="5B8A6DD0" w:rsidR="008B669B" w:rsidRPr="00E4265B" w:rsidRDefault="008B669B" w:rsidP="000642E0">
      <w:pPr>
        <w:pStyle w:val="Heading6"/>
        <w:rPr>
          <w:rFonts w:ascii="Arial" w:hAnsi="Arial" w:cs="Arial"/>
          <w:sz w:val="22"/>
          <w:szCs w:val="22"/>
        </w:rPr>
      </w:pPr>
      <w:r w:rsidRPr="00E4265B">
        <w:rPr>
          <w:rFonts w:ascii="Arial" w:hAnsi="Arial" w:cs="Arial"/>
          <w:sz w:val="22"/>
          <w:szCs w:val="22"/>
        </w:rPr>
        <w:t xml:space="preserve">the amount of CET1 Capital of that Subsidiary required to meet the sum of the Subsidiary's CET1 Capital requirement (on a solo basis) </w:t>
      </w:r>
      <w:r w:rsidR="00CB24AF" w:rsidRPr="00E4265B">
        <w:rPr>
          <w:rFonts w:ascii="Arial" w:hAnsi="Arial" w:cs="Arial"/>
          <w:sz w:val="22"/>
          <w:szCs w:val="22"/>
        </w:rPr>
        <w:t>of 6.0</w:t>
      </w:r>
      <w:r w:rsidRPr="00E4265B">
        <w:rPr>
          <w:rFonts w:ascii="Arial" w:hAnsi="Arial" w:cs="Arial"/>
          <w:sz w:val="22"/>
          <w:szCs w:val="22"/>
        </w:rPr>
        <w:t>% of its Total Risk Exposure Amount</w:t>
      </w:r>
      <w:r w:rsidR="00CB24AF" w:rsidRPr="00E4265B">
        <w:rPr>
          <w:rFonts w:ascii="Arial" w:hAnsi="Arial" w:cs="Arial"/>
          <w:sz w:val="22"/>
          <w:szCs w:val="22"/>
        </w:rPr>
        <w:t>, calculated in accordance with Rule 3.</w:t>
      </w:r>
      <w:r w:rsidR="000642E0" w:rsidRPr="00E4265B">
        <w:rPr>
          <w:rFonts w:ascii="Arial" w:hAnsi="Arial" w:cs="Arial"/>
          <w:sz w:val="22"/>
          <w:szCs w:val="22"/>
        </w:rPr>
        <w:t>5</w:t>
      </w:r>
      <w:r w:rsidR="00CB24AF" w:rsidRPr="00E4265B">
        <w:rPr>
          <w:rFonts w:ascii="Arial" w:hAnsi="Arial" w:cs="Arial"/>
          <w:sz w:val="22"/>
          <w:szCs w:val="22"/>
        </w:rPr>
        <w:t>.7,</w:t>
      </w:r>
      <w:r w:rsidRPr="00E4265B">
        <w:rPr>
          <w:rFonts w:ascii="Arial" w:hAnsi="Arial" w:cs="Arial"/>
          <w:sz w:val="22"/>
          <w:szCs w:val="22"/>
        </w:rPr>
        <w:t xml:space="preserve"> and its Combined Buffer Requirement; or</w:t>
      </w:r>
    </w:p>
    <w:p w14:paraId="5F0A7A1B" w14:textId="77777777" w:rsidR="00E22FF2" w:rsidRPr="00E4265B" w:rsidRDefault="008B669B" w:rsidP="005C0DDF">
      <w:pPr>
        <w:pStyle w:val="Heading6"/>
        <w:rPr>
          <w:rFonts w:ascii="Arial" w:hAnsi="Arial" w:cs="Arial"/>
          <w:sz w:val="22"/>
          <w:szCs w:val="22"/>
        </w:rPr>
      </w:pPr>
      <w:r w:rsidRPr="00E4265B">
        <w:rPr>
          <w:rFonts w:ascii="Arial" w:hAnsi="Arial" w:cs="Arial"/>
          <w:sz w:val="22"/>
          <w:szCs w:val="22"/>
        </w:rPr>
        <w:t>the amount of consolidated CET1 Capital that relates to that Subsidiary that is required on a consolidated basis to meet the sum of its Financial Group's</w:t>
      </w:r>
      <w:r w:rsidR="00CB24AF" w:rsidRPr="00E4265B">
        <w:rPr>
          <w:rFonts w:ascii="Arial" w:hAnsi="Arial" w:cs="Arial"/>
          <w:sz w:val="22"/>
          <w:szCs w:val="22"/>
        </w:rPr>
        <w:t xml:space="preserve"> CET1 Capital requirement of 6.0</w:t>
      </w:r>
      <w:r w:rsidRPr="00E4265B">
        <w:rPr>
          <w:rFonts w:ascii="Arial" w:hAnsi="Arial" w:cs="Arial"/>
          <w:sz w:val="22"/>
          <w:szCs w:val="22"/>
        </w:rPr>
        <w:t>% of its Total Risk Exposure Amount</w:t>
      </w:r>
      <w:r w:rsidR="00CB24AF" w:rsidRPr="00E4265B">
        <w:rPr>
          <w:rFonts w:ascii="Arial" w:hAnsi="Arial" w:cs="Arial"/>
          <w:sz w:val="22"/>
          <w:szCs w:val="22"/>
        </w:rPr>
        <w:t>, calculated in accordance with Rule 3.5.7,</w:t>
      </w:r>
      <w:r w:rsidRPr="00E4265B">
        <w:rPr>
          <w:rFonts w:ascii="Arial" w:hAnsi="Arial" w:cs="Arial"/>
          <w:sz w:val="22"/>
          <w:szCs w:val="22"/>
        </w:rPr>
        <w:t xml:space="preserve"> and its Combined Buffer Requirement;</w:t>
      </w:r>
    </w:p>
    <w:p w14:paraId="2FFB4BA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minority interests of the Subsidiary expressed as a percentage of all CET1 Capital instruments of that Undertaking plus the related retained earnings and </w:t>
      </w:r>
      <w:r w:rsidR="00202EF6" w:rsidRPr="00E4265B">
        <w:rPr>
          <w:rFonts w:ascii="Arial" w:hAnsi="Arial" w:cs="Arial"/>
          <w:sz w:val="22"/>
          <w:szCs w:val="22"/>
        </w:rPr>
        <w:t>Share</w:t>
      </w:r>
      <w:r w:rsidRPr="00E4265B">
        <w:rPr>
          <w:rFonts w:ascii="Arial" w:hAnsi="Arial" w:cs="Arial"/>
          <w:sz w:val="22"/>
          <w:szCs w:val="22"/>
        </w:rPr>
        <w:t xml:space="preserve"> premium accounts.</w:t>
      </w:r>
    </w:p>
    <w:p w14:paraId="56922A72" w14:textId="47B5B57C" w:rsidR="00E22FF2" w:rsidRPr="00E4265B" w:rsidRDefault="00E22FF2" w:rsidP="00173B40">
      <w:pPr>
        <w:pStyle w:val="TitleL5"/>
        <w:rPr>
          <w:rFonts w:ascii="Arial" w:hAnsi="Arial" w:cs="Arial"/>
          <w:sz w:val="22"/>
          <w:szCs w:val="22"/>
          <w:lang w:val="en-GB"/>
        </w:rPr>
      </w:pPr>
      <w:r w:rsidRPr="00E4265B">
        <w:rPr>
          <w:rFonts w:ascii="Arial" w:hAnsi="Arial" w:cs="Arial"/>
          <w:sz w:val="22"/>
          <w:szCs w:val="22"/>
          <w:lang w:val="en-GB"/>
        </w:rPr>
        <w:t xml:space="preserve">Qualifying AT1, T1, T2 Capital and qualifying </w:t>
      </w:r>
      <w:r w:rsidR="00173B40" w:rsidRPr="00E4265B">
        <w:rPr>
          <w:rFonts w:ascii="Arial" w:hAnsi="Arial" w:cs="Arial"/>
          <w:sz w:val="22"/>
          <w:szCs w:val="22"/>
          <w:lang w:val="en-GB"/>
        </w:rPr>
        <w:t>Capital Resources</w:t>
      </w:r>
    </w:p>
    <w:p w14:paraId="40733D0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Qualifying AT1, T1, T2 Capital and qualifying Capital Resources must include the minority interest, AT1, T1 or T2 Capital instruments, as applicable, plus the related retained earnings and </w:t>
      </w:r>
      <w:r w:rsidR="00202EF6" w:rsidRPr="00E4265B">
        <w:rPr>
          <w:rFonts w:ascii="Arial" w:hAnsi="Arial" w:cs="Arial"/>
          <w:sz w:val="22"/>
          <w:szCs w:val="22"/>
        </w:rPr>
        <w:t>Share</w:t>
      </w:r>
      <w:r w:rsidRPr="00E4265B">
        <w:rPr>
          <w:rFonts w:ascii="Arial" w:hAnsi="Arial" w:cs="Arial"/>
          <w:sz w:val="22"/>
          <w:szCs w:val="22"/>
        </w:rPr>
        <w:t xml:space="preserve"> premium accounts of a Subsidiary only where the following conditions are met:</w:t>
      </w:r>
    </w:p>
    <w:p w14:paraId="1FF8A7F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Subsidiary is one of the following: </w:t>
      </w:r>
    </w:p>
    <w:p w14:paraId="215126BF"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or</w:t>
      </w:r>
    </w:p>
    <w:p w14:paraId="414829B4"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a regulated entity</w:t>
      </w:r>
      <w:r w:rsidR="00B32214" w:rsidRPr="00E4265B">
        <w:rPr>
          <w:rFonts w:ascii="Arial" w:hAnsi="Arial" w:cs="Arial"/>
          <w:sz w:val="22"/>
          <w:szCs w:val="22"/>
        </w:rPr>
        <w:t>;</w:t>
      </w:r>
    </w:p>
    <w:p w14:paraId="0874C0B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Subsidiary is a member of the Financial Group and included in the scope of consolidated supervision in accordance with Chapter 8; and</w:t>
      </w:r>
    </w:p>
    <w:p w14:paraId="0211527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those instruments are owned by </w:t>
      </w:r>
      <w:r w:rsidR="0005735E" w:rsidRPr="00E4265B">
        <w:rPr>
          <w:rFonts w:ascii="Arial" w:hAnsi="Arial" w:cs="Arial"/>
          <w:sz w:val="22"/>
          <w:szCs w:val="22"/>
        </w:rPr>
        <w:t>Persons</w:t>
      </w:r>
      <w:r w:rsidRPr="00E4265B">
        <w:rPr>
          <w:rFonts w:ascii="Arial" w:hAnsi="Arial" w:cs="Arial"/>
          <w:sz w:val="22"/>
          <w:szCs w:val="22"/>
        </w:rPr>
        <w:t xml:space="preserve"> other than the Undertakings included in the Financial Group.</w:t>
      </w:r>
    </w:p>
    <w:p w14:paraId="6D967FD7"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 xml:space="preserve">Qualifying AT1 and T2 Capital issued by a </w:t>
      </w:r>
      <w:r w:rsidR="00B62CE8" w:rsidRPr="00E4265B">
        <w:rPr>
          <w:rFonts w:ascii="Arial" w:hAnsi="Arial" w:cs="Arial"/>
          <w:sz w:val="22"/>
          <w:szCs w:val="22"/>
          <w:lang w:val="en-GB"/>
        </w:rPr>
        <w:t>Special Purpose Entity</w:t>
      </w:r>
    </w:p>
    <w:p w14:paraId="41B353AB"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AT1 and T2 Capital instruments issued by an SPE, and the related retained earnings and </w:t>
      </w:r>
      <w:r w:rsidR="00202EF6" w:rsidRPr="00E4265B">
        <w:rPr>
          <w:rFonts w:ascii="Arial" w:hAnsi="Arial" w:cs="Arial"/>
          <w:sz w:val="22"/>
          <w:szCs w:val="22"/>
        </w:rPr>
        <w:t>Share</w:t>
      </w:r>
      <w:r w:rsidRPr="00E4265B">
        <w:rPr>
          <w:rFonts w:ascii="Arial" w:hAnsi="Arial" w:cs="Arial"/>
          <w:sz w:val="22"/>
          <w:szCs w:val="22"/>
        </w:rPr>
        <w:t xml:space="preserve"> premium accounts, </w:t>
      </w:r>
      <w:r w:rsidR="008B669B" w:rsidRPr="00E4265B">
        <w:rPr>
          <w:rFonts w:ascii="Arial" w:hAnsi="Arial" w:cs="Arial"/>
          <w:sz w:val="22"/>
          <w:szCs w:val="22"/>
        </w:rPr>
        <w:t xml:space="preserve">may be </w:t>
      </w:r>
      <w:r w:rsidRPr="00E4265B">
        <w:rPr>
          <w:rFonts w:ascii="Arial" w:hAnsi="Arial" w:cs="Arial"/>
          <w:sz w:val="22"/>
          <w:szCs w:val="22"/>
        </w:rPr>
        <w:t>included in qualifying AT1 or T2 Capital or qualifying Capital Resources, as applicable, only where the following conditions are met:</w:t>
      </w:r>
    </w:p>
    <w:p w14:paraId="179D9B9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SPE issuing those instruments is included fully in the Financial Group to which the </w:t>
      </w:r>
      <w:r w:rsidR="000D1A90" w:rsidRPr="00E4265B">
        <w:rPr>
          <w:rFonts w:ascii="Arial" w:hAnsi="Arial" w:cs="Arial"/>
          <w:sz w:val="22"/>
          <w:szCs w:val="22"/>
        </w:rPr>
        <w:t>Authorised Person</w:t>
      </w:r>
      <w:r w:rsidRPr="00E4265B">
        <w:rPr>
          <w:rFonts w:ascii="Arial" w:hAnsi="Arial" w:cs="Arial"/>
          <w:sz w:val="22"/>
          <w:szCs w:val="22"/>
        </w:rPr>
        <w:t xml:space="preserve"> belongs;</w:t>
      </w:r>
    </w:p>
    <w:p w14:paraId="1465D85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instruments, and the related retained earnings and </w:t>
      </w:r>
      <w:r w:rsidR="00202EF6" w:rsidRPr="00E4265B">
        <w:rPr>
          <w:rFonts w:ascii="Arial" w:hAnsi="Arial" w:cs="Arial"/>
          <w:sz w:val="22"/>
          <w:szCs w:val="22"/>
        </w:rPr>
        <w:t>Share</w:t>
      </w:r>
      <w:r w:rsidRPr="00E4265B">
        <w:rPr>
          <w:rFonts w:ascii="Arial" w:hAnsi="Arial" w:cs="Arial"/>
          <w:sz w:val="22"/>
          <w:szCs w:val="22"/>
        </w:rPr>
        <w:t xml:space="preserve"> premium accounts, are included in qualifying AT1 Capital only where the conditions laid down in Rule 3.1</w:t>
      </w:r>
      <w:r w:rsidR="008B669B" w:rsidRPr="00E4265B">
        <w:rPr>
          <w:rFonts w:ascii="Arial" w:hAnsi="Arial" w:cs="Arial"/>
          <w:sz w:val="22"/>
          <w:szCs w:val="22"/>
        </w:rPr>
        <w:t>1</w:t>
      </w:r>
      <w:r w:rsidRPr="00E4265B">
        <w:rPr>
          <w:rFonts w:ascii="Arial" w:hAnsi="Arial" w:cs="Arial"/>
          <w:sz w:val="22"/>
          <w:szCs w:val="22"/>
        </w:rPr>
        <w:t>.3(1) are satisfied;</w:t>
      </w:r>
    </w:p>
    <w:p w14:paraId="2229C3E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lastRenderedPageBreak/>
        <w:t xml:space="preserve">the instruments, and the related retained earnings and </w:t>
      </w:r>
      <w:r w:rsidR="00202EF6" w:rsidRPr="00E4265B">
        <w:rPr>
          <w:rFonts w:ascii="Arial" w:hAnsi="Arial" w:cs="Arial"/>
          <w:sz w:val="22"/>
          <w:szCs w:val="22"/>
        </w:rPr>
        <w:t>Share</w:t>
      </w:r>
      <w:r w:rsidRPr="00E4265B">
        <w:rPr>
          <w:rFonts w:ascii="Arial" w:hAnsi="Arial" w:cs="Arial"/>
          <w:sz w:val="22"/>
          <w:szCs w:val="22"/>
        </w:rPr>
        <w:t xml:space="preserve"> premium accounts, are included in qualifying T2 Capital only where the conditions laid down in Rule 3.1</w:t>
      </w:r>
      <w:r w:rsidR="008B669B" w:rsidRPr="00E4265B">
        <w:rPr>
          <w:rFonts w:ascii="Arial" w:hAnsi="Arial" w:cs="Arial"/>
          <w:sz w:val="22"/>
          <w:szCs w:val="22"/>
        </w:rPr>
        <w:t>2</w:t>
      </w:r>
      <w:r w:rsidRPr="00E4265B">
        <w:rPr>
          <w:rFonts w:ascii="Arial" w:hAnsi="Arial" w:cs="Arial"/>
          <w:sz w:val="22"/>
          <w:szCs w:val="22"/>
        </w:rPr>
        <w:t>.3(1) are satisfied; and</w:t>
      </w:r>
    </w:p>
    <w:p w14:paraId="374D01C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only asset of the SPE is its investment in the Capital Resources of any of its Parents or their Subsidiaries, which are included fully in the Financial Group to which the </w:t>
      </w:r>
      <w:r w:rsidR="000D1A90" w:rsidRPr="00E4265B">
        <w:rPr>
          <w:rFonts w:ascii="Arial" w:hAnsi="Arial" w:cs="Arial"/>
          <w:sz w:val="22"/>
          <w:szCs w:val="22"/>
        </w:rPr>
        <w:t>Authorised Person</w:t>
      </w:r>
      <w:r w:rsidRPr="00E4265B">
        <w:rPr>
          <w:rFonts w:ascii="Arial" w:hAnsi="Arial" w:cs="Arial"/>
          <w:sz w:val="22"/>
          <w:szCs w:val="22"/>
        </w:rPr>
        <w:t xml:space="preserve"> belongs, the form of which satisfies the relevant conditions laid down in Rule 3.1</w:t>
      </w:r>
      <w:r w:rsidR="008B669B" w:rsidRPr="00E4265B">
        <w:rPr>
          <w:rFonts w:ascii="Arial" w:hAnsi="Arial" w:cs="Arial"/>
          <w:sz w:val="22"/>
          <w:szCs w:val="22"/>
        </w:rPr>
        <w:t>1</w:t>
      </w:r>
      <w:r w:rsidRPr="00E4265B">
        <w:rPr>
          <w:rFonts w:ascii="Arial" w:hAnsi="Arial" w:cs="Arial"/>
          <w:sz w:val="22"/>
          <w:szCs w:val="22"/>
        </w:rPr>
        <w:t>.3(1) or Rule 3.1</w:t>
      </w:r>
      <w:r w:rsidR="008B669B" w:rsidRPr="00E4265B">
        <w:rPr>
          <w:rFonts w:ascii="Arial" w:hAnsi="Arial" w:cs="Arial"/>
          <w:sz w:val="22"/>
          <w:szCs w:val="22"/>
        </w:rPr>
        <w:t>2</w:t>
      </w:r>
      <w:r w:rsidRPr="00E4265B">
        <w:rPr>
          <w:rFonts w:ascii="Arial" w:hAnsi="Arial" w:cs="Arial"/>
          <w:sz w:val="22"/>
          <w:szCs w:val="22"/>
        </w:rPr>
        <w:t>.3(1), as applicable.</w:t>
      </w:r>
    </w:p>
    <w:p w14:paraId="204B1EF8"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7CEFCF7B" w14:textId="77777777" w:rsidR="00E22FF2" w:rsidRPr="00E4265B" w:rsidRDefault="00E22FF2" w:rsidP="008F5C01">
      <w:pPr>
        <w:pStyle w:val="UK12Block05"/>
        <w:rPr>
          <w:rFonts w:ascii="Arial" w:hAnsi="Arial" w:cs="Arial"/>
          <w:sz w:val="22"/>
          <w:szCs w:val="22"/>
          <w:lang w:val="en-GB"/>
        </w:rPr>
      </w:pPr>
      <w:r w:rsidRPr="00E4265B">
        <w:rPr>
          <w:rFonts w:ascii="Arial" w:hAnsi="Arial" w:cs="Arial"/>
          <w:sz w:val="22"/>
          <w:szCs w:val="22"/>
          <w:lang w:val="en-GB"/>
        </w:rPr>
        <w:t>If the Regulator considers the assets of a</w:t>
      </w:r>
      <w:r w:rsidR="008B669B" w:rsidRPr="00E4265B">
        <w:rPr>
          <w:rFonts w:ascii="Arial" w:hAnsi="Arial" w:cs="Arial"/>
          <w:sz w:val="22"/>
          <w:szCs w:val="22"/>
          <w:lang w:val="en-GB"/>
        </w:rPr>
        <w:t>n</w:t>
      </w:r>
      <w:r w:rsidRPr="00E4265B">
        <w:rPr>
          <w:rFonts w:ascii="Arial" w:hAnsi="Arial" w:cs="Arial"/>
          <w:sz w:val="22"/>
          <w:szCs w:val="22"/>
          <w:lang w:val="en-GB"/>
        </w:rPr>
        <w:t xml:space="preserve"> </w:t>
      </w:r>
      <w:r w:rsidR="008B669B" w:rsidRPr="00E4265B">
        <w:rPr>
          <w:rFonts w:ascii="Arial" w:hAnsi="Arial" w:cs="Arial"/>
          <w:sz w:val="22"/>
          <w:szCs w:val="22"/>
          <w:lang w:val="en-GB"/>
        </w:rPr>
        <w:t xml:space="preserve">SPE </w:t>
      </w:r>
      <w:r w:rsidRPr="00E4265B">
        <w:rPr>
          <w:rFonts w:ascii="Arial" w:hAnsi="Arial" w:cs="Arial"/>
          <w:sz w:val="22"/>
          <w:szCs w:val="22"/>
          <w:lang w:val="en-GB"/>
        </w:rPr>
        <w:t>to be minimal and insignificant for such an entity, the Regulator may consider waiving the condition specified in Rule 3.1</w:t>
      </w:r>
      <w:r w:rsidR="008B669B" w:rsidRPr="00E4265B">
        <w:rPr>
          <w:rFonts w:ascii="Arial" w:hAnsi="Arial" w:cs="Arial"/>
          <w:sz w:val="22"/>
          <w:szCs w:val="22"/>
          <w:lang w:val="en-GB"/>
        </w:rPr>
        <w:t>3</w:t>
      </w:r>
      <w:r w:rsidRPr="00E4265B">
        <w:rPr>
          <w:rFonts w:ascii="Arial" w:hAnsi="Arial" w:cs="Arial"/>
          <w:sz w:val="22"/>
          <w:szCs w:val="22"/>
          <w:lang w:val="en-GB"/>
        </w:rPr>
        <w:t>.5(d).</w:t>
      </w:r>
    </w:p>
    <w:p w14:paraId="16F79527"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Qualifying T1 Capital instruments included in consolidated T1 Capital</w:t>
      </w:r>
    </w:p>
    <w:p w14:paraId="3321A93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determine the amount of qualifying T1 Capital of a Subsidiary that is included in consolidated T1 Capital of the </w:t>
      </w:r>
      <w:r w:rsidR="000D1A90" w:rsidRPr="00E4265B">
        <w:rPr>
          <w:rFonts w:ascii="Arial" w:hAnsi="Arial" w:cs="Arial"/>
          <w:sz w:val="22"/>
          <w:szCs w:val="22"/>
        </w:rPr>
        <w:t>Authorised Person</w:t>
      </w:r>
      <w:r w:rsidRPr="00E4265B">
        <w:rPr>
          <w:rFonts w:ascii="Arial" w:hAnsi="Arial" w:cs="Arial"/>
          <w:sz w:val="22"/>
          <w:szCs w:val="22"/>
        </w:rPr>
        <w:t>'s Financial Group by subtracting from the qualifying T1 Capital of that Subsidiary the result of multiplying the amount referred to in (a) by the percentage referred to in (b):</w:t>
      </w:r>
    </w:p>
    <w:p w14:paraId="2D64CD9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lesser of the following:</w:t>
      </w:r>
    </w:p>
    <w:p w14:paraId="0F2EE475" w14:textId="77777777" w:rsidR="008B669B" w:rsidRPr="00E4265B" w:rsidRDefault="008B669B" w:rsidP="005C0DDF">
      <w:pPr>
        <w:pStyle w:val="Heading6"/>
        <w:rPr>
          <w:rFonts w:ascii="Arial" w:hAnsi="Arial" w:cs="Arial"/>
          <w:sz w:val="22"/>
          <w:szCs w:val="22"/>
        </w:rPr>
      </w:pPr>
      <w:r w:rsidRPr="00E4265B">
        <w:rPr>
          <w:rFonts w:ascii="Arial" w:hAnsi="Arial" w:cs="Arial"/>
          <w:sz w:val="22"/>
          <w:szCs w:val="22"/>
        </w:rPr>
        <w:t>the amount of T1 Capital of that Subsidiary required to meet the sum of the Subsidiary's T1 Capital re</w:t>
      </w:r>
      <w:r w:rsidR="00395C92" w:rsidRPr="00E4265B">
        <w:rPr>
          <w:rFonts w:ascii="Arial" w:hAnsi="Arial" w:cs="Arial"/>
          <w:sz w:val="22"/>
          <w:szCs w:val="22"/>
        </w:rPr>
        <w:t>quirement (on a solo basis) of 8</w:t>
      </w:r>
      <w:r w:rsidRPr="00E4265B">
        <w:rPr>
          <w:rFonts w:ascii="Arial" w:hAnsi="Arial" w:cs="Arial"/>
          <w:sz w:val="22"/>
          <w:szCs w:val="22"/>
        </w:rPr>
        <w:t>.0% of its Total Risk Exposure Amount</w:t>
      </w:r>
      <w:r w:rsidR="00395C92" w:rsidRPr="00E4265B">
        <w:rPr>
          <w:rFonts w:ascii="Arial" w:hAnsi="Arial" w:cs="Arial"/>
          <w:sz w:val="22"/>
          <w:szCs w:val="22"/>
        </w:rPr>
        <w:t>, calculated in accordance with Rule 3.5.7,</w:t>
      </w:r>
      <w:r w:rsidRPr="00E4265B">
        <w:rPr>
          <w:rFonts w:ascii="Arial" w:hAnsi="Arial" w:cs="Arial"/>
          <w:sz w:val="22"/>
          <w:szCs w:val="22"/>
        </w:rPr>
        <w:t xml:space="preserve"> and its </w:t>
      </w:r>
      <w:r w:rsidR="00395C92" w:rsidRPr="00E4265B">
        <w:rPr>
          <w:rFonts w:ascii="Arial" w:hAnsi="Arial" w:cs="Arial"/>
          <w:sz w:val="22"/>
          <w:szCs w:val="22"/>
        </w:rPr>
        <w:t>Combined</w:t>
      </w:r>
      <w:r w:rsidRPr="00E4265B">
        <w:rPr>
          <w:rFonts w:ascii="Arial" w:hAnsi="Arial" w:cs="Arial"/>
          <w:sz w:val="22"/>
          <w:szCs w:val="22"/>
        </w:rPr>
        <w:t xml:space="preserve"> B</w:t>
      </w:r>
      <w:r w:rsidR="006854D9" w:rsidRPr="00E4265B">
        <w:rPr>
          <w:rFonts w:ascii="Arial" w:hAnsi="Arial" w:cs="Arial"/>
          <w:sz w:val="22"/>
          <w:szCs w:val="22"/>
        </w:rPr>
        <w:t>uffer R</w:t>
      </w:r>
      <w:r w:rsidRPr="00E4265B">
        <w:rPr>
          <w:rFonts w:ascii="Arial" w:hAnsi="Arial" w:cs="Arial"/>
          <w:sz w:val="22"/>
          <w:szCs w:val="22"/>
        </w:rPr>
        <w:t>equirement; or</w:t>
      </w:r>
    </w:p>
    <w:p w14:paraId="14FF1980" w14:textId="77777777" w:rsidR="00E22FF2" w:rsidRPr="00E4265B" w:rsidRDefault="008B669B" w:rsidP="005C0DDF">
      <w:pPr>
        <w:pStyle w:val="Heading6"/>
        <w:rPr>
          <w:rFonts w:ascii="Arial" w:hAnsi="Arial" w:cs="Arial"/>
          <w:sz w:val="22"/>
          <w:szCs w:val="22"/>
        </w:rPr>
      </w:pPr>
      <w:r w:rsidRPr="00E4265B">
        <w:rPr>
          <w:rFonts w:ascii="Arial" w:hAnsi="Arial" w:cs="Arial"/>
          <w:sz w:val="22"/>
          <w:szCs w:val="22"/>
        </w:rPr>
        <w:t>the amount of consolidated T1 Capital that relates to the Subsidiary that is required on a consolidated basis to meet the sum of its Financial Gro</w:t>
      </w:r>
      <w:r w:rsidR="00395C92" w:rsidRPr="00E4265B">
        <w:rPr>
          <w:rFonts w:ascii="Arial" w:hAnsi="Arial" w:cs="Arial"/>
          <w:sz w:val="22"/>
          <w:szCs w:val="22"/>
        </w:rPr>
        <w:t>up's T1 Capital requirement of 8</w:t>
      </w:r>
      <w:r w:rsidRPr="00E4265B">
        <w:rPr>
          <w:rFonts w:ascii="Arial" w:hAnsi="Arial" w:cs="Arial"/>
          <w:sz w:val="22"/>
          <w:szCs w:val="22"/>
        </w:rPr>
        <w:t>.0% of the Total Risk Exposure Amount</w:t>
      </w:r>
      <w:r w:rsidR="00395C92" w:rsidRPr="00E4265B">
        <w:rPr>
          <w:rFonts w:ascii="Arial" w:hAnsi="Arial" w:cs="Arial"/>
          <w:sz w:val="22"/>
          <w:szCs w:val="22"/>
        </w:rPr>
        <w:t>, calculated in accordance with Rule 3.5.7,</w:t>
      </w:r>
      <w:r w:rsidRPr="00E4265B">
        <w:rPr>
          <w:rFonts w:ascii="Arial" w:hAnsi="Arial" w:cs="Arial"/>
          <w:sz w:val="22"/>
          <w:szCs w:val="22"/>
        </w:rPr>
        <w:t xml:space="preserve"> and its </w:t>
      </w:r>
      <w:r w:rsidR="00395C92" w:rsidRPr="00E4265B">
        <w:rPr>
          <w:rFonts w:ascii="Arial" w:hAnsi="Arial" w:cs="Arial"/>
          <w:sz w:val="22"/>
          <w:szCs w:val="22"/>
        </w:rPr>
        <w:t>Combined</w:t>
      </w:r>
      <w:r w:rsidR="006854D9" w:rsidRPr="00E4265B">
        <w:rPr>
          <w:rFonts w:ascii="Arial" w:hAnsi="Arial" w:cs="Arial"/>
          <w:sz w:val="22"/>
          <w:szCs w:val="22"/>
        </w:rPr>
        <w:t xml:space="preserve"> Buffer R</w:t>
      </w:r>
      <w:r w:rsidRPr="00E4265B">
        <w:rPr>
          <w:rFonts w:ascii="Arial" w:hAnsi="Arial" w:cs="Arial"/>
          <w:sz w:val="22"/>
          <w:szCs w:val="22"/>
        </w:rPr>
        <w:t>equirement;</w:t>
      </w:r>
    </w:p>
    <w:p w14:paraId="1981F16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qualifying T1 Capital of the Subsidiary expressed as a percentage of all T1 Capital instruments of that Subsidiary plus the related retained earnings and </w:t>
      </w:r>
      <w:r w:rsidR="00202EF6" w:rsidRPr="00E4265B">
        <w:rPr>
          <w:rFonts w:ascii="Arial" w:hAnsi="Arial" w:cs="Arial"/>
          <w:sz w:val="22"/>
          <w:szCs w:val="22"/>
        </w:rPr>
        <w:t>Share</w:t>
      </w:r>
      <w:r w:rsidRPr="00E4265B">
        <w:rPr>
          <w:rFonts w:ascii="Arial" w:hAnsi="Arial" w:cs="Arial"/>
          <w:sz w:val="22"/>
          <w:szCs w:val="22"/>
        </w:rPr>
        <w:t xml:space="preserve"> premium accounts.</w:t>
      </w:r>
    </w:p>
    <w:p w14:paraId="2917F010"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Qualifying T1 Capital included in consolidated AT1 Capital</w:t>
      </w:r>
    </w:p>
    <w:p w14:paraId="16616D42"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determine the amount of qualifying T1 Capital of a Subsidiary that is included in consolidated AT1 Capital by subtracting from the qualifying T1 Capital of that Subsidiary included in consolidated T1 Capital, the minority interests of that Subsidiary that are included in consolidated CET1 Capital.</w:t>
      </w:r>
    </w:p>
    <w:p w14:paraId="32A92F7B"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Qualifying Capital Resources included in consolidated Capital Resources</w:t>
      </w:r>
    </w:p>
    <w:p w14:paraId="1F8F457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determine the amount of qualifying Capital Resources of a Subsidiary that is included in consolidated Capital Resources of its Financial Group by subtracting from the qualifying Capital Resources of that Subsidiary, the result of multiplying the amount referred to in (a) by the percentage referred to in (b):</w:t>
      </w:r>
    </w:p>
    <w:p w14:paraId="5669DB5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lesser of the following:</w:t>
      </w:r>
    </w:p>
    <w:p w14:paraId="3611BB3B" w14:textId="77777777" w:rsidR="008B669B" w:rsidRPr="00E4265B" w:rsidRDefault="008B669B" w:rsidP="005C0DDF">
      <w:pPr>
        <w:pStyle w:val="Heading6"/>
        <w:rPr>
          <w:rFonts w:ascii="Arial" w:hAnsi="Arial" w:cs="Arial"/>
          <w:sz w:val="22"/>
          <w:szCs w:val="22"/>
        </w:rPr>
      </w:pPr>
      <w:r w:rsidRPr="00E4265B">
        <w:rPr>
          <w:rFonts w:ascii="Arial" w:hAnsi="Arial" w:cs="Arial"/>
          <w:sz w:val="22"/>
          <w:szCs w:val="22"/>
        </w:rPr>
        <w:lastRenderedPageBreak/>
        <w:t xml:space="preserve">the amount of Capital Resources of the Subsidiary required to meet the sum of the Subsidiary's total Capital Requirement (on a solo basis) of </w:t>
      </w:r>
      <w:r w:rsidR="00FF27C7" w:rsidRPr="00E4265B">
        <w:rPr>
          <w:rFonts w:ascii="Arial" w:hAnsi="Arial" w:cs="Arial"/>
          <w:sz w:val="22"/>
          <w:szCs w:val="22"/>
        </w:rPr>
        <w:t>10</w:t>
      </w:r>
      <w:r w:rsidRPr="00E4265B">
        <w:rPr>
          <w:rFonts w:ascii="Arial" w:hAnsi="Arial" w:cs="Arial"/>
          <w:sz w:val="22"/>
          <w:szCs w:val="22"/>
        </w:rPr>
        <w:t>.0% of its Total Risk Exposure Amount</w:t>
      </w:r>
      <w:r w:rsidR="00576D1B" w:rsidRPr="00E4265B">
        <w:rPr>
          <w:rFonts w:ascii="Arial" w:hAnsi="Arial" w:cs="Arial"/>
          <w:sz w:val="22"/>
          <w:szCs w:val="22"/>
        </w:rPr>
        <w:t>, calculated in accordance with Rule 3.5.7</w:t>
      </w:r>
      <w:r w:rsidRPr="00E4265B">
        <w:rPr>
          <w:rFonts w:ascii="Arial" w:hAnsi="Arial" w:cs="Arial"/>
          <w:sz w:val="22"/>
          <w:szCs w:val="22"/>
        </w:rPr>
        <w:t xml:space="preserve"> and its </w:t>
      </w:r>
      <w:r w:rsidR="00576D1B" w:rsidRPr="00E4265B">
        <w:rPr>
          <w:rFonts w:ascii="Arial" w:hAnsi="Arial" w:cs="Arial"/>
          <w:sz w:val="22"/>
          <w:szCs w:val="22"/>
        </w:rPr>
        <w:t>Combined</w:t>
      </w:r>
      <w:r w:rsidR="006854D9" w:rsidRPr="00E4265B">
        <w:rPr>
          <w:rFonts w:ascii="Arial" w:hAnsi="Arial" w:cs="Arial"/>
          <w:sz w:val="22"/>
          <w:szCs w:val="22"/>
        </w:rPr>
        <w:t xml:space="preserve"> Buffer R</w:t>
      </w:r>
      <w:r w:rsidRPr="00E4265B">
        <w:rPr>
          <w:rFonts w:ascii="Arial" w:hAnsi="Arial" w:cs="Arial"/>
          <w:sz w:val="22"/>
          <w:szCs w:val="22"/>
        </w:rPr>
        <w:t>equirement; or</w:t>
      </w:r>
    </w:p>
    <w:p w14:paraId="6148999A" w14:textId="77777777" w:rsidR="00E22FF2" w:rsidRPr="00E4265B" w:rsidRDefault="008B669B" w:rsidP="005C0DDF">
      <w:pPr>
        <w:pStyle w:val="Heading6"/>
        <w:rPr>
          <w:rFonts w:ascii="Arial" w:hAnsi="Arial" w:cs="Arial"/>
          <w:sz w:val="22"/>
          <w:szCs w:val="22"/>
        </w:rPr>
      </w:pPr>
      <w:r w:rsidRPr="00E4265B">
        <w:rPr>
          <w:rFonts w:ascii="Arial" w:hAnsi="Arial" w:cs="Arial"/>
          <w:sz w:val="22"/>
          <w:szCs w:val="22"/>
        </w:rPr>
        <w:t xml:space="preserve">the amount of Capital Resources that relates to the Subsidiary that is required on a consolidated basis to meet the sum of its Financial Group's total Capital Requirement of </w:t>
      </w:r>
      <w:r w:rsidR="00FF27C7" w:rsidRPr="00E4265B">
        <w:rPr>
          <w:rFonts w:ascii="Arial" w:hAnsi="Arial" w:cs="Arial"/>
          <w:sz w:val="22"/>
          <w:szCs w:val="22"/>
        </w:rPr>
        <w:t>10</w:t>
      </w:r>
      <w:r w:rsidRPr="00E4265B">
        <w:rPr>
          <w:rFonts w:ascii="Arial" w:hAnsi="Arial" w:cs="Arial"/>
          <w:sz w:val="22"/>
          <w:szCs w:val="22"/>
        </w:rPr>
        <w:t>.0% of its Total Risk Exposure Amount</w:t>
      </w:r>
      <w:r w:rsidR="00576D1B" w:rsidRPr="00E4265B">
        <w:rPr>
          <w:rFonts w:ascii="Arial" w:hAnsi="Arial" w:cs="Arial"/>
          <w:sz w:val="22"/>
          <w:szCs w:val="22"/>
        </w:rPr>
        <w:t xml:space="preserve">, calculated in accordance with Rule 3.5.7, and its Combined </w:t>
      </w:r>
      <w:r w:rsidRPr="00E4265B">
        <w:rPr>
          <w:rFonts w:ascii="Arial" w:hAnsi="Arial" w:cs="Arial"/>
          <w:sz w:val="22"/>
          <w:szCs w:val="22"/>
        </w:rPr>
        <w:t xml:space="preserve">Buffer </w:t>
      </w:r>
      <w:r w:rsidR="006854D9" w:rsidRPr="00E4265B">
        <w:rPr>
          <w:rFonts w:ascii="Arial" w:hAnsi="Arial" w:cs="Arial"/>
          <w:sz w:val="22"/>
          <w:szCs w:val="22"/>
        </w:rPr>
        <w:t>R</w:t>
      </w:r>
      <w:r w:rsidRPr="00E4265B">
        <w:rPr>
          <w:rFonts w:ascii="Arial" w:hAnsi="Arial" w:cs="Arial"/>
          <w:sz w:val="22"/>
          <w:szCs w:val="22"/>
        </w:rPr>
        <w:t>equirement;</w:t>
      </w:r>
    </w:p>
    <w:p w14:paraId="39399A9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qualifying Capital Resources of the Subsidiary, expressed as a percentage of all Capital Resources instruments of the Subsidiary that are included in its CET1, AT1 and T2 Capital items and the related retained earnings and </w:t>
      </w:r>
      <w:r w:rsidR="00202EF6" w:rsidRPr="00E4265B">
        <w:rPr>
          <w:rFonts w:ascii="Arial" w:hAnsi="Arial" w:cs="Arial"/>
          <w:sz w:val="22"/>
          <w:szCs w:val="22"/>
        </w:rPr>
        <w:t>Share</w:t>
      </w:r>
      <w:r w:rsidRPr="00E4265B">
        <w:rPr>
          <w:rFonts w:ascii="Arial" w:hAnsi="Arial" w:cs="Arial"/>
          <w:sz w:val="22"/>
          <w:szCs w:val="22"/>
        </w:rPr>
        <w:t xml:space="preserve"> premium accounts.</w:t>
      </w:r>
    </w:p>
    <w:p w14:paraId="71ED4190"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Qualifying Capital Resources instruments included in consolidated T2 Capital</w:t>
      </w:r>
    </w:p>
    <w:p w14:paraId="35F92AEC"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determine the amount of qualifying Capital Resources of a Subsidiary that is included in consolidated T2 Capital by subtracting from the qualifying Capital Resources of that Subsidiary that are included in consolidated Capital Resources, the</w:t>
      </w:r>
      <w:r w:rsidR="00B62CE8" w:rsidRPr="00E4265B">
        <w:rPr>
          <w:rFonts w:ascii="Arial" w:hAnsi="Arial" w:cs="Arial"/>
          <w:sz w:val="22"/>
          <w:szCs w:val="22"/>
        </w:rPr>
        <w:t xml:space="preserve"> qualifying T1 Capital of that S</w:t>
      </w:r>
      <w:r w:rsidRPr="00E4265B">
        <w:rPr>
          <w:rFonts w:ascii="Arial" w:hAnsi="Arial" w:cs="Arial"/>
          <w:sz w:val="22"/>
          <w:szCs w:val="22"/>
        </w:rPr>
        <w:t xml:space="preserve">ubsidiary that is included in consolidated T1 Capital of the Financial Group of the </w:t>
      </w:r>
      <w:r w:rsidR="000D1A90" w:rsidRPr="00E4265B">
        <w:rPr>
          <w:rFonts w:ascii="Arial" w:hAnsi="Arial" w:cs="Arial"/>
          <w:sz w:val="22"/>
          <w:szCs w:val="22"/>
        </w:rPr>
        <w:t>Authorised Person</w:t>
      </w:r>
      <w:r w:rsidRPr="00E4265B">
        <w:rPr>
          <w:rFonts w:ascii="Arial" w:hAnsi="Arial" w:cs="Arial"/>
          <w:sz w:val="22"/>
          <w:szCs w:val="22"/>
        </w:rPr>
        <w:t>.</w:t>
      </w:r>
    </w:p>
    <w:p w14:paraId="32F07215" w14:textId="77777777" w:rsidR="00E22FF2" w:rsidRPr="00E4265B" w:rsidRDefault="00E22FF2" w:rsidP="00246497">
      <w:pPr>
        <w:pStyle w:val="Heading3"/>
        <w:rPr>
          <w:rFonts w:ascii="Arial" w:hAnsi="Arial" w:cs="Arial"/>
          <w:sz w:val="22"/>
          <w:szCs w:val="22"/>
        </w:rPr>
      </w:pPr>
      <w:bookmarkStart w:id="243" w:name="_Toc403223936"/>
      <w:bookmarkStart w:id="244" w:name="_Toc403253974"/>
      <w:bookmarkStart w:id="245" w:name="_Toc403273374"/>
      <w:bookmarkStart w:id="246" w:name="_Toc403273523"/>
      <w:bookmarkStart w:id="247" w:name="_Toc403274482"/>
      <w:bookmarkStart w:id="248" w:name="_Toc403279978"/>
      <w:bookmarkStart w:id="249" w:name="_Toc404285779"/>
      <w:bookmarkStart w:id="250" w:name="_Toc404621728"/>
      <w:bookmarkStart w:id="251" w:name="_Toc404624369"/>
      <w:bookmarkStart w:id="252" w:name="_Toc33622387"/>
      <w:r w:rsidRPr="00E4265B">
        <w:rPr>
          <w:rFonts w:ascii="Arial" w:hAnsi="Arial" w:cs="Arial"/>
          <w:sz w:val="22"/>
          <w:szCs w:val="22"/>
        </w:rPr>
        <w:t>Qualifying Holdings outside the financial sector</w:t>
      </w:r>
      <w:bookmarkEnd w:id="243"/>
      <w:bookmarkEnd w:id="244"/>
      <w:bookmarkEnd w:id="245"/>
      <w:bookmarkEnd w:id="246"/>
      <w:bookmarkEnd w:id="247"/>
      <w:bookmarkEnd w:id="248"/>
      <w:bookmarkEnd w:id="249"/>
      <w:bookmarkEnd w:id="250"/>
      <w:bookmarkEnd w:id="251"/>
      <w:bookmarkEnd w:id="252"/>
    </w:p>
    <w:p w14:paraId="4D555B02" w14:textId="77777777" w:rsidR="00E22FF2" w:rsidRPr="00E4265B" w:rsidRDefault="00E22FF2" w:rsidP="00F43532">
      <w:pPr>
        <w:pStyle w:val="Heading4"/>
        <w:tabs>
          <w:tab w:val="clear" w:pos="936"/>
          <w:tab w:val="num" w:pos="851"/>
        </w:tabs>
        <w:ind w:left="1701" w:hanging="1701"/>
        <w:rPr>
          <w:rFonts w:ascii="Arial" w:eastAsiaTheme="minorHAnsi" w:hAnsi="Arial" w:cs="Arial"/>
          <w:bCs w:val="0"/>
          <w:iCs w:val="0"/>
          <w:sz w:val="22"/>
          <w:szCs w:val="22"/>
        </w:rPr>
      </w:pPr>
      <w:r w:rsidRPr="00E4265B">
        <w:rPr>
          <w:rFonts w:ascii="Arial" w:hAnsi="Arial" w:cs="Arial"/>
          <w:sz w:val="22"/>
          <w:szCs w:val="22"/>
        </w:rPr>
        <w:t>(1)</w:t>
      </w:r>
      <w:r w:rsidRPr="00E4265B">
        <w:rPr>
          <w:rFonts w:ascii="Arial" w:hAnsi="Arial" w:cs="Arial"/>
          <w:sz w:val="22"/>
          <w:szCs w:val="22"/>
        </w:rPr>
        <w:tab/>
      </w:r>
      <w:r w:rsidRPr="00E4265B">
        <w:rPr>
          <w:rFonts w:ascii="Arial" w:eastAsiaTheme="minorHAnsi" w:hAnsi="Arial" w:cs="Arial"/>
          <w:bCs w:val="0"/>
          <w:iCs w:val="0"/>
          <w:sz w:val="22"/>
          <w:szCs w:val="22"/>
        </w:rPr>
        <w:t xml:space="preserve">Where an </w:t>
      </w:r>
      <w:r w:rsidR="000D1A90" w:rsidRPr="00E4265B">
        <w:rPr>
          <w:rFonts w:ascii="Arial" w:eastAsiaTheme="minorHAnsi" w:hAnsi="Arial" w:cs="Arial"/>
          <w:bCs w:val="0"/>
          <w:iCs w:val="0"/>
          <w:sz w:val="22"/>
          <w:szCs w:val="22"/>
        </w:rPr>
        <w:t>Authorised Person</w:t>
      </w:r>
      <w:r w:rsidRPr="00E4265B">
        <w:rPr>
          <w:rFonts w:ascii="Arial" w:eastAsiaTheme="minorHAnsi" w:hAnsi="Arial" w:cs="Arial"/>
          <w:bCs w:val="0"/>
          <w:iCs w:val="0"/>
          <w:sz w:val="22"/>
          <w:szCs w:val="22"/>
        </w:rPr>
        <w:t xml:space="preserve"> has a Qualifying Holding in an Undertaking which is not one of the following:</w:t>
      </w:r>
    </w:p>
    <w:p w14:paraId="5E912B39"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an Undertaking that is a Relevant Entity; or</w:t>
      </w:r>
    </w:p>
    <w:p w14:paraId="02341F33"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an Undertaking that carries on activities that are:</w:t>
      </w:r>
    </w:p>
    <w:p w14:paraId="249D93D0"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a direct extension of banking; </w:t>
      </w:r>
    </w:p>
    <w:p w14:paraId="4C3C5374"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ancillary to banking</w:t>
      </w:r>
      <w:r w:rsidR="00B32214" w:rsidRPr="00E4265B">
        <w:rPr>
          <w:rFonts w:ascii="Arial" w:hAnsi="Arial" w:cs="Arial"/>
          <w:sz w:val="22"/>
          <w:szCs w:val="22"/>
          <w:lang w:val="en-GB"/>
        </w:rPr>
        <w:t>;</w:t>
      </w:r>
      <w:r w:rsidRPr="00E4265B">
        <w:rPr>
          <w:rFonts w:ascii="Arial" w:hAnsi="Arial" w:cs="Arial"/>
          <w:sz w:val="22"/>
          <w:szCs w:val="22"/>
          <w:lang w:val="en-GB"/>
        </w:rPr>
        <w:t xml:space="preserve"> or</w:t>
      </w:r>
    </w:p>
    <w:p w14:paraId="415A5F29"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leasing, factoring, the management of unit trusts, the management of data processing services or any other similar activity</w:t>
      </w:r>
      <w:r w:rsidR="00B32214" w:rsidRPr="00E4265B">
        <w:rPr>
          <w:rFonts w:ascii="Arial" w:hAnsi="Arial" w:cs="Arial"/>
          <w:sz w:val="22"/>
          <w:szCs w:val="22"/>
          <w:lang w:val="en-GB"/>
        </w:rPr>
        <w:t>,</w:t>
      </w:r>
    </w:p>
    <w:p w14:paraId="43016F74" w14:textId="59A19524" w:rsidR="00E22FF2" w:rsidRPr="00E4265B" w:rsidRDefault="00E22FF2" w:rsidP="009A3EEE">
      <w:pPr>
        <w:pStyle w:val="UK12Block15"/>
        <w:ind w:left="2520"/>
        <w:rPr>
          <w:rFonts w:ascii="Arial" w:hAnsi="Arial" w:cs="Arial"/>
          <w:sz w:val="22"/>
          <w:szCs w:val="22"/>
          <w:lang w:val="en-GB"/>
        </w:rPr>
      </w:pPr>
      <w:r w:rsidRPr="00E4265B">
        <w:rPr>
          <w:rFonts w:ascii="Arial" w:hAnsi="Arial" w:cs="Arial"/>
          <w:sz w:val="22"/>
          <w:szCs w:val="22"/>
          <w:lang w:val="en-GB"/>
        </w:rPr>
        <w:t xml:space="preserve">and the amount of the holding exceeds 15% of the eligible total </w:t>
      </w:r>
      <w:r w:rsidR="009A3EEE" w:rsidRPr="00E4265B">
        <w:rPr>
          <w:rFonts w:ascii="Arial" w:hAnsi="Arial" w:cs="Arial"/>
          <w:sz w:val="22"/>
          <w:szCs w:val="22"/>
          <w:lang w:val="en-GB"/>
        </w:rPr>
        <w:t>Tier 1</w:t>
      </w:r>
      <w:r w:rsidRPr="00E4265B">
        <w:rPr>
          <w:rFonts w:ascii="Arial" w:hAnsi="Arial" w:cs="Arial"/>
          <w:sz w:val="22"/>
          <w:szCs w:val="22"/>
          <w:lang w:val="en-GB"/>
        </w:rPr>
        <w:t xml:space="preserve">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comply with the requirements in (3).</w:t>
      </w:r>
    </w:p>
    <w:p w14:paraId="291D7A87" w14:textId="4F1CC14D" w:rsidR="00E22FF2" w:rsidRPr="00E4265B" w:rsidRDefault="00E22FF2" w:rsidP="009A3EEE">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total amount of the Qualifying Holdings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w:t>
      </w:r>
      <w:r w:rsidR="009A3EEE" w:rsidRPr="00E4265B">
        <w:rPr>
          <w:rFonts w:ascii="Arial" w:hAnsi="Arial" w:cs="Arial"/>
          <w:sz w:val="22"/>
          <w:szCs w:val="22"/>
          <w:lang w:val="en-GB"/>
        </w:rPr>
        <w:t xml:space="preserve">those </w:t>
      </w:r>
      <w:r w:rsidRPr="00E4265B">
        <w:rPr>
          <w:rFonts w:ascii="Arial" w:hAnsi="Arial" w:cs="Arial"/>
          <w:sz w:val="22"/>
          <w:szCs w:val="22"/>
          <w:lang w:val="en-GB"/>
        </w:rPr>
        <w:t xml:space="preserve">Undertakings referred to in (1) that exceeds 60% of its </w:t>
      </w:r>
      <w:r w:rsidR="009A3EEE" w:rsidRPr="00E4265B">
        <w:rPr>
          <w:rFonts w:ascii="Arial" w:hAnsi="Arial" w:cs="Arial"/>
          <w:sz w:val="22"/>
          <w:szCs w:val="22"/>
          <w:lang w:val="en-GB"/>
        </w:rPr>
        <w:t>Tier 1</w:t>
      </w:r>
      <w:r w:rsidRPr="00E4265B">
        <w:rPr>
          <w:rFonts w:ascii="Arial" w:hAnsi="Arial" w:cs="Arial"/>
          <w:sz w:val="22"/>
          <w:szCs w:val="22"/>
          <w:lang w:val="en-GB"/>
        </w:rPr>
        <w:t xml:space="preserve"> are subject to the requirements in (3).</w:t>
      </w:r>
    </w:p>
    <w:p w14:paraId="6AF24829" w14:textId="322E6D3A" w:rsidR="00E22FF2" w:rsidRPr="00E4265B" w:rsidRDefault="00E22FF2" w:rsidP="009A3EEE">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apply </w:t>
      </w:r>
      <w:r w:rsidR="009A3EEE" w:rsidRPr="00E4265B">
        <w:rPr>
          <w:rFonts w:ascii="Arial" w:hAnsi="Arial" w:cs="Arial"/>
          <w:sz w:val="22"/>
          <w:szCs w:val="22"/>
          <w:lang w:val="en-GB"/>
        </w:rPr>
        <w:t>a risk weight of 1000%</w:t>
      </w:r>
      <w:r w:rsidRPr="00E4265B">
        <w:rPr>
          <w:rFonts w:ascii="Arial" w:hAnsi="Arial" w:cs="Arial"/>
          <w:sz w:val="22"/>
          <w:szCs w:val="22"/>
          <w:lang w:val="en-GB"/>
        </w:rPr>
        <w:t xml:space="preserve"> to</w:t>
      </w:r>
      <w:r w:rsidR="009A3EEE" w:rsidRPr="00E4265B">
        <w:rPr>
          <w:rFonts w:ascii="Arial" w:hAnsi="Arial" w:cs="Arial"/>
          <w:sz w:val="22"/>
          <w:szCs w:val="22"/>
          <w:lang w:val="en-GB"/>
        </w:rPr>
        <w:t xml:space="preserve"> the greater of the total amount of </w:t>
      </w:r>
      <w:r w:rsidRPr="00E4265B">
        <w:rPr>
          <w:rFonts w:ascii="Arial" w:hAnsi="Arial" w:cs="Arial"/>
          <w:sz w:val="22"/>
          <w:szCs w:val="22"/>
          <w:lang w:val="en-GB"/>
        </w:rPr>
        <w:t xml:space="preserve">Qualifying Holdings referred to in (1) and </w:t>
      </w:r>
      <w:r w:rsidR="009A3EEE" w:rsidRPr="00E4265B">
        <w:rPr>
          <w:rFonts w:ascii="Arial" w:hAnsi="Arial" w:cs="Arial"/>
          <w:sz w:val="22"/>
          <w:szCs w:val="22"/>
          <w:lang w:val="en-GB"/>
        </w:rPr>
        <w:t xml:space="preserve">that in </w:t>
      </w:r>
      <w:r w:rsidRPr="00E4265B">
        <w:rPr>
          <w:rFonts w:ascii="Arial" w:hAnsi="Arial" w:cs="Arial"/>
          <w:sz w:val="22"/>
          <w:szCs w:val="22"/>
          <w:lang w:val="en-GB"/>
        </w:rPr>
        <w:t>(2)</w:t>
      </w:r>
      <w:r w:rsidR="009A3EEE" w:rsidRPr="00E4265B">
        <w:rPr>
          <w:rFonts w:ascii="Arial" w:hAnsi="Arial" w:cs="Arial"/>
          <w:sz w:val="22"/>
          <w:szCs w:val="22"/>
          <w:lang w:val="en-GB"/>
        </w:rPr>
        <w:t>.</w:t>
      </w:r>
    </w:p>
    <w:p w14:paraId="2D6E6E7C" w14:textId="13525FDF"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lastRenderedPageBreak/>
        <w:t>(4)</w:t>
      </w:r>
      <w:r w:rsidRPr="00E4265B">
        <w:rPr>
          <w:rFonts w:ascii="Arial" w:hAnsi="Arial" w:cs="Arial"/>
          <w:sz w:val="22"/>
          <w:szCs w:val="22"/>
          <w:lang w:val="en-GB"/>
        </w:rPr>
        <w:tab/>
        <w:t xml:space="preserve">As an alternative to applying a 1000% risk weight to the amounts in excess of the limits specified in (1) or (2),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deduct those amounts from CET1 Capital.</w:t>
      </w:r>
    </w:p>
    <w:p w14:paraId="00914532"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Shares of Undertakings to which (1) or (2) do not apply must not be included in calculating the eligible capital limits specified in (1) where any of the following conditions are met:</w:t>
      </w:r>
    </w:p>
    <w:p w14:paraId="601840D7"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those </w:t>
      </w:r>
      <w:r w:rsidR="00202EF6" w:rsidRPr="00E4265B">
        <w:rPr>
          <w:rFonts w:ascii="Arial" w:hAnsi="Arial" w:cs="Arial"/>
          <w:sz w:val="22"/>
          <w:szCs w:val="22"/>
          <w:lang w:val="en-GB"/>
        </w:rPr>
        <w:t>Share</w:t>
      </w:r>
      <w:r w:rsidRPr="00E4265B">
        <w:rPr>
          <w:rFonts w:ascii="Arial" w:hAnsi="Arial" w:cs="Arial"/>
          <w:sz w:val="22"/>
          <w:szCs w:val="22"/>
          <w:lang w:val="en-GB"/>
        </w:rPr>
        <w:t>s are held temporarily during a financial reconstruction or rescue operation;</w:t>
      </w:r>
    </w:p>
    <w:p w14:paraId="1D7C625B"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holding of the </w:t>
      </w:r>
      <w:r w:rsidR="00202EF6" w:rsidRPr="00E4265B">
        <w:rPr>
          <w:rFonts w:ascii="Arial" w:hAnsi="Arial" w:cs="Arial"/>
          <w:sz w:val="22"/>
          <w:szCs w:val="22"/>
          <w:lang w:val="en-GB"/>
        </w:rPr>
        <w:t>Share</w:t>
      </w:r>
      <w:r w:rsidRPr="00E4265B">
        <w:rPr>
          <w:rFonts w:ascii="Arial" w:hAnsi="Arial" w:cs="Arial"/>
          <w:sz w:val="22"/>
          <w:szCs w:val="22"/>
          <w:lang w:val="en-GB"/>
        </w:rPr>
        <w:t xml:space="preserve">s is an </w:t>
      </w:r>
      <w:r w:rsidR="00C033FC" w:rsidRPr="00E4265B">
        <w:rPr>
          <w:rFonts w:ascii="Arial" w:hAnsi="Arial" w:cs="Arial"/>
          <w:sz w:val="22"/>
          <w:szCs w:val="22"/>
          <w:lang w:val="en-GB"/>
        </w:rPr>
        <w:t>Underwriting</w:t>
      </w:r>
      <w:r w:rsidRPr="00E4265B">
        <w:rPr>
          <w:rFonts w:ascii="Arial" w:hAnsi="Arial" w:cs="Arial"/>
          <w:sz w:val="22"/>
          <w:szCs w:val="22"/>
          <w:lang w:val="en-GB"/>
        </w:rPr>
        <w:t xml:space="preserve"> position held for five working days or less; or</w:t>
      </w:r>
    </w:p>
    <w:p w14:paraId="47D611BA"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those </w:t>
      </w:r>
      <w:r w:rsidR="00202EF6" w:rsidRPr="00E4265B">
        <w:rPr>
          <w:rFonts w:ascii="Arial" w:hAnsi="Arial" w:cs="Arial"/>
          <w:sz w:val="22"/>
          <w:szCs w:val="22"/>
          <w:lang w:val="en-GB"/>
        </w:rPr>
        <w:t>Share</w:t>
      </w:r>
      <w:r w:rsidRPr="00E4265B">
        <w:rPr>
          <w:rFonts w:ascii="Arial" w:hAnsi="Arial" w:cs="Arial"/>
          <w:sz w:val="22"/>
          <w:szCs w:val="22"/>
          <w:lang w:val="en-GB"/>
        </w:rPr>
        <w:t xml:space="preserve">s are held in the name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on behalf of others.</w:t>
      </w:r>
    </w:p>
    <w:p w14:paraId="7A72F026" w14:textId="77777777" w:rsidR="0001114B" w:rsidRPr="00E4265B" w:rsidRDefault="0001114B" w:rsidP="00246497">
      <w:pPr>
        <w:pStyle w:val="Heading3"/>
        <w:rPr>
          <w:rFonts w:ascii="Arial" w:hAnsi="Arial" w:cs="Arial"/>
          <w:sz w:val="22"/>
          <w:szCs w:val="22"/>
        </w:rPr>
      </w:pPr>
      <w:bookmarkStart w:id="253" w:name="_Toc33622388"/>
      <w:r w:rsidRPr="00E4265B">
        <w:rPr>
          <w:rFonts w:ascii="Arial" w:hAnsi="Arial" w:cs="Arial"/>
          <w:sz w:val="22"/>
          <w:szCs w:val="22"/>
        </w:rPr>
        <w:t>Calculation of Capital Resources</w:t>
      </w:r>
      <w:bookmarkEnd w:id="253"/>
    </w:p>
    <w:p w14:paraId="2673CB02" w14:textId="77777777" w:rsidR="0001114B" w:rsidRPr="00E4265B" w:rsidRDefault="0001114B" w:rsidP="00246497">
      <w:pPr>
        <w:pStyle w:val="Heading4"/>
        <w:rPr>
          <w:rFonts w:ascii="Arial" w:hAnsi="Arial" w:cs="Arial"/>
          <w:sz w:val="22"/>
          <w:szCs w:val="22"/>
        </w:rPr>
      </w:pPr>
      <w:r w:rsidRPr="00E4265B">
        <w:rPr>
          <w:rFonts w:ascii="Arial" w:hAnsi="Arial" w:cs="Arial"/>
          <w:sz w:val="22"/>
          <w:szCs w:val="22"/>
        </w:rPr>
        <w:t>This Section applies to an Authorised Person in any Category.</w:t>
      </w:r>
    </w:p>
    <w:p w14:paraId="433FC01A" w14:textId="77777777" w:rsidR="0001114B" w:rsidRPr="00E4265B" w:rsidRDefault="0001114B" w:rsidP="00246497">
      <w:pPr>
        <w:pStyle w:val="Heading4"/>
        <w:rPr>
          <w:rFonts w:ascii="Arial" w:hAnsi="Arial" w:cs="Arial"/>
          <w:sz w:val="22"/>
          <w:szCs w:val="22"/>
        </w:rPr>
      </w:pPr>
      <w:r w:rsidRPr="00E4265B">
        <w:rPr>
          <w:rFonts w:ascii="Arial" w:hAnsi="Arial" w:cs="Arial"/>
          <w:sz w:val="22"/>
          <w:szCs w:val="22"/>
        </w:rPr>
        <w:t xml:space="preserve">The total of Capital Resources is derived according to the following formula:  </w:t>
      </w:r>
    </w:p>
    <w:p w14:paraId="7FB97E02" w14:textId="77777777" w:rsidR="0001114B" w:rsidRPr="00E4265B" w:rsidRDefault="0001114B" w:rsidP="0001114B">
      <w:pPr>
        <w:pStyle w:val="UK12Block05"/>
        <w:jc w:val="center"/>
        <w:rPr>
          <w:rFonts w:ascii="Arial" w:hAnsi="Arial" w:cs="Arial"/>
          <w:sz w:val="22"/>
          <w:szCs w:val="22"/>
          <w:lang w:val="en-GB"/>
        </w:rPr>
      </w:pPr>
      <w:r w:rsidRPr="00E4265B">
        <w:rPr>
          <w:rFonts w:ascii="Arial" w:hAnsi="Arial" w:cs="Arial"/>
          <w:sz w:val="22"/>
          <w:szCs w:val="22"/>
          <w:lang w:val="en-GB"/>
        </w:rPr>
        <w:t>T1 Capital + T2 Capital = Capital Resources</w:t>
      </w:r>
    </w:p>
    <w:p w14:paraId="0A240765" w14:textId="77777777" w:rsidR="0001114B" w:rsidRPr="00E4265B" w:rsidRDefault="0001114B" w:rsidP="0001114B">
      <w:pPr>
        <w:pStyle w:val="UK12Block05"/>
        <w:rPr>
          <w:rFonts w:ascii="Arial" w:hAnsi="Arial" w:cs="Arial"/>
          <w:sz w:val="22"/>
          <w:szCs w:val="22"/>
          <w:lang w:val="en-GB"/>
        </w:rPr>
      </w:pPr>
      <w:r w:rsidRPr="00E4265B">
        <w:rPr>
          <w:rFonts w:ascii="Arial" w:hAnsi="Arial" w:cs="Arial"/>
          <w:sz w:val="22"/>
          <w:szCs w:val="22"/>
          <w:lang w:val="en-GB"/>
        </w:rPr>
        <w:t>where:</w:t>
      </w:r>
    </w:p>
    <w:p w14:paraId="233C5A20" w14:textId="77777777" w:rsidR="0001114B" w:rsidRPr="00E4265B" w:rsidRDefault="0001114B" w:rsidP="008432F8">
      <w:pPr>
        <w:pStyle w:val="Heading5"/>
        <w:rPr>
          <w:rFonts w:ascii="Arial" w:hAnsi="Arial" w:cs="Arial"/>
          <w:sz w:val="22"/>
          <w:szCs w:val="22"/>
        </w:rPr>
      </w:pPr>
      <w:r w:rsidRPr="00E4265B">
        <w:rPr>
          <w:rFonts w:ascii="Arial" w:hAnsi="Arial" w:cs="Arial"/>
          <w:sz w:val="22"/>
          <w:szCs w:val="22"/>
        </w:rPr>
        <w:t>"T1 Capital" represents Tier 1 capital, that being the sum of CET1 Capital and AT1 Capital;</w:t>
      </w:r>
    </w:p>
    <w:p w14:paraId="5D5A4C73" w14:textId="77777777" w:rsidR="0001114B" w:rsidRPr="00E4265B" w:rsidRDefault="0001114B" w:rsidP="008432F8">
      <w:pPr>
        <w:pStyle w:val="Heading5"/>
        <w:rPr>
          <w:rFonts w:ascii="Arial" w:hAnsi="Arial" w:cs="Arial"/>
          <w:sz w:val="22"/>
          <w:szCs w:val="22"/>
        </w:rPr>
      </w:pPr>
      <w:r w:rsidRPr="00E4265B">
        <w:rPr>
          <w:rFonts w:ascii="Arial" w:hAnsi="Arial" w:cs="Arial"/>
          <w:sz w:val="22"/>
          <w:szCs w:val="22"/>
        </w:rPr>
        <w:t>"CET1 Capital" represents Common Equity Tier 1 capital assessed in accordance with Section 3.10;</w:t>
      </w:r>
    </w:p>
    <w:p w14:paraId="6C33B4E9" w14:textId="77777777" w:rsidR="0001114B" w:rsidRPr="00E4265B" w:rsidRDefault="0001114B" w:rsidP="008432F8">
      <w:pPr>
        <w:pStyle w:val="Heading5"/>
        <w:rPr>
          <w:rFonts w:ascii="Arial" w:hAnsi="Arial" w:cs="Arial"/>
          <w:sz w:val="22"/>
          <w:szCs w:val="22"/>
        </w:rPr>
      </w:pPr>
      <w:r w:rsidRPr="00E4265B">
        <w:rPr>
          <w:rFonts w:ascii="Arial" w:hAnsi="Arial" w:cs="Arial"/>
          <w:sz w:val="22"/>
          <w:szCs w:val="22"/>
        </w:rPr>
        <w:t>"AT1 Capital" represents Additional Tier 1 capital assessed in accordance with Section 3.11; and</w:t>
      </w:r>
    </w:p>
    <w:p w14:paraId="16B04662" w14:textId="77777777" w:rsidR="0001114B" w:rsidRPr="00E4265B" w:rsidRDefault="0001114B" w:rsidP="008432F8">
      <w:pPr>
        <w:pStyle w:val="Heading5"/>
        <w:rPr>
          <w:rFonts w:ascii="Arial" w:hAnsi="Arial" w:cs="Arial"/>
          <w:sz w:val="22"/>
          <w:szCs w:val="22"/>
        </w:rPr>
      </w:pPr>
      <w:r w:rsidRPr="00E4265B">
        <w:rPr>
          <w:rFonts w:ascii="Arial" w:hAnsi="Arial" w:cs="Arial"/>
          <w:sz w:val="22"/>
          <w:szCs w:val="22"/>
        </w:rPr>
        <w:t>"T2 Capital" represents Tier 2 capital assessed in accordance with Section 3.12.</w:t>
      </w:r>
    </w:p>
    <w:p w14:paraId="0388DB46" w14:textId="77777777" w:rsidR="0001114B" w:rsidRPr="00E4265B" w:rsidRDefault="0001114B" w:rsidP="00246497">
      <w:pPr>
        <w:pStyle w:val="Heading4"/>
        <w:rPr>
          <w:rFonts w:ascii="Arial" w:hAnsi="Arial" w:cs="Arial"/>
          <w:sz w:val="22"/>
          <w:szCs w:val="22"/>
        </w:rPr>
      </w:pPr>
      <w:r w:rsidRPr="00E4265B">
        <w:rPr>
          <w:rFonts w:ascii="Arial" w:hAnsi="Arial" w:cs="Arial"/>
          <w:sz w:val="22"/>
          <w:szCs w:val="22"/>
        </w:rPr>
        <w:t>An Authorised Person must calculate its Capital Resources in accordance with the table below and the provisions in Sections 3.9 to 3.12.</w:t>
      </w:r>
    </w:p>
    <w:tbl>
      <w:tblPr>
        <w:tblStyle w:val="TableGrid"/>
        <w:tblW w:w="0" w:type="auto"/>
        <w:tblInd w:w="1165" w:type="dxa"/>
        <w:tblLook w:val="04A0" w:firstRow="1" w:lastRow="0" w:firstColumn="1" w:lastColumn="0" w:noHBand="0" w:noVBand="1"/>
      </w:tblPr>
      <w:tblGrid>
        <w:gridCol w:w="7852"/>
      </w:tblGrid>
      <w:tr w:rsidR="0001114B" w:rsidRPr="00E4265B" w14:paraId="15F0BAB6" w14:textId="77777777" w:rsidTr="0001114B">
        <w:tc>
          <w:tcPr>
            <w:tcW w:w="9243" w:type="dxa"/>
          </w:tcPr>
          <w:p w14:paraId="3450AC5A" w14:textId="77777777" w:rsidR="0001114B" w:rsidRPr="00E4265B" w:rsidRDefault="0001114B" w:rsidP="0001114B">
            <w:pPr>
              <w:spacing w:after="240"/>
              <w:rPr>
                <w:rFonts w:ascii="Arial" w:hAnsi="Arial" w:cs="Arial"/>
                <w:position w:val="6"/>
                <w:sz w:val="22"/>
                <w:szCs w:val="22"/>
                <w:lang w:val="en-GB"/>
              </w:rPr>
            </w:pPr>
            <w:r w:rsidRPr="00E4265B">
              <w:rPr>
                <w:rFonts w:ascii="Arial" w:hAnsi="Arial" w:cs="Arial"/>
                <w:position w:val="6"/>
                <w:sz w:val="22"/>
                <w:szCs w:val="22"/>
                <w:lang w:val="en-GB"/>
              </w:rPr>
              <w:t>(A1) Elements of Common Equity Tier 1 (CET1) Capital</w:t>
            </w:r>
          </w:p>
        </w:tc>
      </w:tr>
      <w:tr w:rsidR="0001114B" w:rsidRPr="00E4265B" w14:paraId="21187636" w14:textId="77777777" w:rsidTr="0001114B">
        <w:tc>
          <w:tcPr>
            <w:tcW w:w="9243" w:type="dxa"/>
          </w:tcPr>
          <w:p w14:paraId="4F378C91" w14:textId="77777777" w:rsidR="0001114B" w:rsidRPr="00E4265B" w:rsidRDefault="0001114B" w:rsidP="0001114B">
            <w:pPr>
              <w:spacing w:after="240"/>
              <w:rPr>
                <w:rFonts w:ascii="Arial" w:hAnsi="Arial" w:cs="Arial"/>
                <w:position w:val="6"/>
                <w:sz w:val="22"/>
                <w:szCs w:val="22"/>
                <w:lang w:val="en-GB"/>
              </w:rPr>
            </w:pPr>
            <w:r w:rsidRPr="00E4265B">
              <w:rPr>
                <w:rFonts w:ascii="Arial" w:hAnsi="Arial" w:cs="Arial"/>
                <w:position w:val="6"/>
                <w:sz w:val="22"/>
                <w:szCs w:val="22"/>
                <w:lang w:val="en-GB"/>
              </w:rPr>
              <w:t>(A2) Adjustments to/deductions from CET1 Capital</w:t>
            </w:r>
          </w:p>
        </w:tc>
      </w:tr>
      <w:tr w:rsidR="0001114B" w:rsidRPr="00E4265B" w14:paraId="2079C835" w14:textId="77777777" w:rsidTr="0001114B">
        <w:tc>
          <w:tcPr>
            <w:tcW w:w="9243" w:type="dxa"/>
            <w:shd w:val="clear" w:color="auto" w:fill="D9D9D9" w:themeFill="background1" w:themeFillShade="D9"/>
          </w:tcPr>
          <w:p w14:paraId="427BBFCC" w14:textId="77777777" w:rsidR="0001114B" w:rsidRPr="00E4265B" w:rsidRDefault="0001114B" w:rsidP="0001114B">
            <w:pPr>
              <w:spacing w:after="240"/>
              <w:rPr>
                <w:rFonts w:ascii="Arial" w:hAnsi="Arial" w:cs="Arial"/>
                <w:b/>
                <w:bCs/>
                <w:position w:val="6"/>
                <w:sz w:val="22"/>
                <w:szCs w:val="22"/>
                <w:lang w:val="en-GB"/>
              </w:rPr>
            </w:pPr>
            <w:r w:rsidRPr="00E4265B">
              <w:rPr>
                <w:rFonts w:ascii="Arial" w:hAnsi="Arial" w:cs="Arial"/>
                <w:b/>
                <w:bCs/>
                <w:position w:val="6"/>
                <w:sz w:val="22"/>
                <w:szCs w:val="22"/>
                <w:lang w:val="en-GB"/>
              </w:rPr>
              <w:t>(A3) CET1 Capital = A1 – A2</w:t>
            </w:r>
          </w:p>
        </w:tc>
      </w:tr>
      <w:tr w:rsidR="0001114B" w:rsidRPr="00E4265B" w14:paraId="24CD3682" w14:textId="77777777" w:rsidTr="0001114B">
        <w:tc>
          <w:tcPr>
            <w:tcW w:w="9243" w:type="dxa"/>
          </w:tcPr>
          <w:p w14:paraId="7B025D96" w14:textId="77777777" w:rsidR="0001114B" w:rsidRPr="00E4265B" w:rsidRDefault="0001114B" w:rsidP="0001114B">
            <w:pPr>
              <w:spacing w:after="240"/>
              <w:rPr>
                <w:rFonts w:ascii="Arial" w:hAnsi="Arial" w:cs="Arial"/>
                <w:position w:val="6"/>
                <w:sz w:val="22"/>
                <w:szCs w:val="22"/>
                <w:lang w:val="en-GB"/>
              </w:rPr>
            </w:pPr>
          </w:p>
        </w:tc>
      </w:tr>
      <w:tr w:rsidR="0001114B" w:rsidRPr="00E4265B" w14:paraId="716130BE" w14:textId="77777777" w:rsidTr="0001114B">
        <w:tc>
          <w:tcPr>
            <w:tcW w:w="9243" w:type="dxa"/>
          </w:tcPr>
          <w:p w14:paraId="6FB0EC2B" w14:textId="77777777" w:rsidR="0001114B" w:rsidRPr="00E4265B" w:rsidRDefault="0001114B" w:rsidP="0001114B">
            <w:pPr>
              <w:spacing w:after="240"/>
              <w:rPr>
                <w:rFonts w:ascii="Arial" w:hAnsi="Arial" w:cs="Arial"/>
                <w:position w:val="6"/>
                <w:sz w:val="22"/>
                <w:szCs w:val="22"/>
                <w:lang w:val="en-GB"/>
              </w:rPr>
            </w:pPr>
            <w:r w:rsidRPr="00E4265B">
              <w:rPr>
                <w:rFonts w:ascii="Arial" w:hAnsi="Arial" w:cs="Arial"/>
                <w:position w:val="6"/>
                <w:sz w:val="22"/>
                <w:szCs w:val="22"/>
                <w:lang w:val="en-GB"/>
              </w:rPr>
              <w:t>(A4) Elements of Additional Tier 1 (AT1) Capital</w:t>
            </w:r>
          </w:p>
        </w:tc>
      </w:tr>
      <w:tr w:rsidR="0001114B" w:rsidRPr="00E4265B" w14:paraId="36233018" w14:textId="77777777" w:rsidTr="0001114B">
        <w:tc>
          <w:tcPr>
            <w:tcW w:w="9243" w:type="dxa"/>
          </w:tcPr>
          <w:p w14:paraId="3897E46E" w14:textId="77777777" w:rsidR="0001114B" w:rsidRPr="00E4265B" w:rsidRDefault="0001114B" w:rsidP="0001114B">
            <w:pPr>
              <w:spacing w:after="240"/>
              <w:rPr>
                <w:rFonts w:ascii="Arial" w:hAnsi="Arial" w:cs="Arial"/>
                <w:position w:val="6"/>
                <w:sz w:val="22"/>
                <w:szCs w:val="22"/>
                <w:lang w:val="en-GB"/>
              </w:rPr>
            </w:pPr>
            <w:r w:rsidRPr="00E4265B">
              <w:rPr>
                <w:rFonts w:ascii="Arial" w:hAnsi="Arial" w:cs="Arial"/>
                <w:position w:val="6"/>
                <w:sz w:val="22"/>
                <w:szCs w:val="22"/>
                <w:lang w:val="en-GB"/>
              </w:rPr>
              <w:t>(A5) Deductions from AT1 Capital</w:t>
            </w:r>
          </w:p>
        </w:tc>
      </w:tr>
      <w:tr w:rsidR="0001114B" w:rsidRPr="00E4265B" w14:paraId="2D5A76A6" w14:textId="77777777" w:rsidTr="0001114B">
        <w:tc>
          <w:tcPr>
            <w:tcW w:w="9243" w:type="dxa"/>
            <w:shd w:val="clear" w:color="auto" w:fill="D9D9D9" w:themeFill="background1" w:themeFillShade="D9"/>
          </w:tcPr>
          <w:p w14:paraId="7EF8E447" w14:textId="77777777" w:rsidR="0001114B" w:rsidRPr="00E4265B" w:rsidRDefault="0001114B" w:rsidP="0001114B">
            <w:pPr>
              <w:spacing w:after="240"/>
              <w:rPr>
                <w:rFonts w:ascii="Arial" w:hAnsi="Arial" w:cs="Arial"/>
                <w:b/>
                <w:bCs/>
                <w:position w:val="6"/>
                <w:sz w:val="22"/>
                <w:szCs w:val="22"/>
                <w:lang w:val="en-GB"/>
              </w:rPr>
            </w:pPr>
            <w:r w:rsidRPr="00E4265B">
              <w:rPr>
                <w:rFonts w:ascii="Arial" w:hAnsi="Arial" w:cs="Arial"/>
                <w:b/>
                <w:bCs/>
                <w:position w:val="6"/>
                <w:sz w:val="22"/>
                <w:szCs w:val="22"/>
                <w:lang w:val="en-GB"/>
              </w:rPr>
              <w:lastRenderedPageBreak/>
              <w:t>(A6) AT1 Capital = A4 – A5</w:t>
            </w:r>
          </w:p>
        </w:tc>
      </w:tr>
      <w:tr w:rsidR="0001114B" w:rsidRPr="00E4265B" w14:paraId="7DC474ED" w14:textId="77777777" w:rsidTr="0001114B">
        <w:tc>
          <w:tcPr>
            <w:tcW w:w="9243" w:type="dxa"/>
          </w:tcPr>
          <w:p w14:paraId="028685B7" w14:textId="77777777" w:rsidR="0001114B" w:rsidRPr="00E4265B" w:rsidRDefault="0001114B" w:rsidP="0001114B">
            <w:pPr>
              <w:spacing w:after="240"/>
              <w:rPr>
                <w:rFonts w:ascii="Arial" w:hAnsi="Arial" w:cs="Arial"/>
                <w:position w:val="6"/>
                <w:sz w:val="22"/>
                <w:szCs w:val="22"/>
                <w:lang w:val="en-GB"/>
              </w:rPr>
            </w:pPr>
          </w:p>
        </w:tc>
      </w:tr>
      <w:tr w:rsidR="0001114B" w:rsidRPr="00E4265B" w14:paraId="00D52173" w14:textId="77777777" w:rsidTr="0001114B">
        <w:tc>
          <w:tcPr>
            <w:tcW w:w="9243" w:type="dxa"/>
            <w:shd w:val="clear" w:color="auto" w:fill="D9D9D9" w:themeFill="background1" w:themeFillShade="D9"/>
          </w:tcPr>
          <w:p w14:paraId="74C691D2" w14:textId="77777777" w:rsidR="0001114B" w:rsidRPr="00E4265B" w:rsidRDefault="0001114B" w:rsidP="0001114B">
            <w:pPr>
              <w:spacing w:after="240"/>
              <w:rPr>
                <w:rFonts w:ascii="Arial" w:hAnsi="Arial" w:cs="Arial"/>
                <w:b/>
                <w:bCs/>
                <w:position w:val="6"/>
                <w:sz w:val="22"/>
                <w:szCs w:val="22"/>
                <w:lang w:val="en-GB"/>
              </w:rPr>
            </w:pPr>
            <w:r w:rsidRPr="00E4265B">
              <w:rPr>
                <w:rFonts w:ascii="Arial" w:hAnsi="Arial" w:cs="Arial"/>
                <w:b/>
                <w:bCs/>
                <w:position w:val="6"/>
                <w:sz w:val="22"/>
                <w:szCs w:val="22"/>
                <w:lang w:val="en-GB"/>
              </w:rPr>
              <w:t>(A7) Tier 1 (T1) Capital = A3 + A6</w:t>
            </w:r>
          </w:p>
        </w:tc>
      </w:tr>
      <w:tr w:rsidR="0001114B" w:rsidRPr="00E4265B" w14:paraId="06078C95" w14:textId="77777777" w:rsidTr="0001114B">
        <w:tc>
          <w:tcPr>
            <w:tcW w:w="9243" w:type="dxa"/>
          </w:tcPr>
          <w:p w14:paraId="0B70EB82" w14:textId="77777777" w:rsidR="0001114B" w:rsidRPr="00E4265B" w:rsidRDefault="0001114B" w:rsidP="0001114B">
            <w:pPr>
              <w:spacing w:after="240"/>
              <w:rPr>
                <w:rFonts w:ascii="Arial" w:hAnsi="Arial" w:cs="Arial"/>
                <w:position w:val="6"/>
                <w:sz w:val="22"/>
                <w:szCs w:val="22"/>
                <w:lang w:val="en-GB"/>
              </w:rPr>
            </w:pPr>
          </w:p>
        </w:tc>
      </w:tr>
      <w:tr w:rsidR="0001114B" w:rsidRPr="00E4265B" w14:paraId="6E45BAFD" w14:textId="77777777" w:rsidTr="0001114B">
        <w:tc>
          <w:tcPr>
            <w:tcW w:w="9243" w:type="dxa"/>
          </w:tcPr>
          <w:p w14:paraId="6AA8F180" w14:textId="77777777" w:rsidR="0001114B" w:rsidRPr="00E4265B" w:rsidRDefault="0001114B" w:rsidP="0001114B">
            <w:pPr>
              <w:spacing w:after="240"/>
              <w:rPr>
                <w:rFonts w:ascii="Arial" w:hAnsi="Arial" w:cs="Arial"/>
                <w:position w:val="6"/>
                <w:sz w:val="22"/>
                <w:szCs w:val="22"/>
                <w:lang w:val="en-GB"/>
              </w:rPr>
            </w:pPr>
            <w:r w:rsidRPr="00E4265B">
              <w:rPr>
                <w:rFonts w:ascii="Arial" w:hAnsi="Arial" w:cs="Arial"/>
                <w:position w:val="6"/>
                <w:sz w:val="22"/>
                <w:szCs w:val="22"/>
                <w:lang w:val="en-GB"/>
              </w:rPr>
              <w:t>(A8) Elements of Tier 2 (T2) Capital</w:t>
            </w:r>
          </w:p>
        </w:tc>
      </w:tr>
      <w:tr w:rsidR="0001114B" w:rsidRPr="00E4265B" w14:paraId="5DD67374" w14:textId="77777777" w:rsidTr="0001114B">
        <w:tc>
          <w:tcPr>
            <w:tcW w:w="9243" w:type="dxa"/>
          </w:tcPr>
          <w:p w14:paraId="04236B42" w14:textId="77777777" w:rsidR="0001114B" w:rsidRPr="00E4265B" w:rsidRDefault="0001114B" w:rsidP="0001114B">
            <w:pPr>
              <w:spacing w:after="240"/>
              <w:rPr>
                <w:rFonts w:ascii="Arial" w:hAnsi="Arial" w:cs="Arial"/>
                <w:position w:val="6"/>
                <w:sz w:val="22"/>
                <w:szCs w:val="22"/>
                <w:lang w:val="en-GB"/>
              </w:rPr>
            </w:pPr>
            <w:r w:rsidRPr="00E4265B">
              <w:rPr>
                <w:rFonts w:ascii="Arial" w:hAnsi="Arial" w:cs="Arial"/>
                <w:position w:val="6"/>
                <w:sz w:val="22"/>
                <w:szCs w:val="22"/>
                <w:lang w:val="en-GB"/>
              </w:rPr>
              <w:t>(A9) Deductions from T2 Capital</w:t>
            </w:r>
          </w:p>
        </w:tc>
      </w:tr>
      <w:tr w:rsidR="0001114B" w:rsidRPr="00E4265B" w14:paraId="4236A653" w14:textId="77777777" w:rsidTr="0001114B">
        <w:tc>
          <w:tcPr>
            <w:tcW w:w="9243" w:type="dxa"/>
            <w:shd w:val="clear" w:color="auto" w:fill="D9D9D9" w:themeFill="background1" w:themeFillShade="D9"/>
          </w:tcPr>
          <w:p w14:paraId="071816FD" w14:textId="77777777" w:rsidR="0001114B" w:rsidRPr="00E4265B" w:rsidRDefault="0001114B" w:rsidP="0001114B">
            <w:pPr>
              <w:spacing w:after="240"/>
              <w:rPr>
                <w:rFonts w:ascii="Arial" w:hAnsi="Arial" w:cs="Arial"/>
                <w:b/>
                <w:bCs/>
                <w:position w:val="6"/>
                <w:sz w:val="22"/>
                <w:szCs w:val="22"/>
                <w:lang w:val="en-GB"/>
              </w:rPr>
            </w:pPr>
            <w:r w:rsidRPr="00E4265B">
              <w:rPr>
                <w:rFonts w:ascii="Arial" w:hAnsi="Arial" w:cs="Arial"/>
                <w:b/>
                <w:bCs/>
                <w:position w:val="6"/>
                <w:sz w:val="22"/>
                <w:szCs w:val="22"/>
                <w:lang w:val="en-GB"/>
              </w:rPr>
              <w:t>(A10) Tier 2 (T2) Capital = A8 – A9</w:t>
            </w:r>
          </w:p>
        </w:tc>
      </w:tr>
      <w:tr w:rsidR="0001114B" w:rsidRPr="00E4265B" w14:paraId="657208A4" w14:textId="77777777" w:rsidTr="0001114B">
        <w:tc>
          <w:tcPr>
            <w:tcW w:w="9243" w:type="dxa"/>
          </w:tcPr>
          <w:p w14:paraId="4597A3C1" w14:textId="77777777" w:rsidR="0001114B" w:rsidRPr="00E4265B" w:rsidRDefault="0001114B" w:rsidP="0001114B">
            <w:pPr>
              <w:spacing w:after="240"/>
              <w:rPr>
                <w:rFonts w:ascii="Arial" w:hAnsi="Arial" w:cs="Arial"/>
                <w:position w:val="6"/>
                <w:sz w:val="22"/>
                <w:szCs w:val="22"/>
                <w:lang w:val="en-GB"/>
              </w:rPr>
            </w:pPr>
          </w:p>
        </w:tc>
      </w:tr>
      <w:tr w:rsidR="0001114B" w:rsidRPr="00E4265B" w14:paraId="5508D365" w14:textId="77777777" w:rsidTr="0001114B">
        <w:tc>
          <w:tcPr>
            <w:tcW w:w="9243" w:type="dxa"/>
            <w:shd w:val="clear" w:color="auto" w:fill="D9D9D9" w:themeFill="background1" w:themeFillShade="D9"/>
          </w:tcPr>
          <w:p w14:paraId="62C25A23" w14:textId="77777777" w:rsidR="0001114B" w:rsidRPr="00E4265B" w:rsidRDefault="0001114B" w:rsidP="0001114B">
            <w:pPr>
              <w:spacing w:after="240"/>
              <w:rPr>
                <w:rFonts w:ascii="Arial" w:hAnsi="Arial" w:cs="Arial"/>
                <w:b/>
                <w:bCs/>
                <w:position w:val="6"/>
                <w:sz w:val="22"/>
                <w:szCs w:val="22"/>
                <w:lang w:val="en-GB"/>
              </w:rPr>
            </w:pPr>
            <w:r w:rsidRPr="00E4265B">
              <w:rPr>
                <w:rFonts w:ascii="Arial" w:hAnsi="Arial" w:cs="Arial"/>
                <w:b/>
                <w:bCs/>
                <w:position w:val="6"/>
                <w:sz w:val="22"/>
                <w:szCs w:val="22"/>
                <w:lang w:val="en-GB"/>
              </w:rPr>
              <w:t>(A11) Capital Resources = A7 + A10</w:t>
            </w:r>
          </w:p>
        </w:tc>
      </w:tr>
    </w:tbl>
    <w:p w14:paraId="4EA2ABFF" w14:textId="77777777" w:rsidR="0001114B" w:rsidRPr="00E4265B" w:rsidRDefault="0001114B" w:rsidP="0001114B">
      <w:pPr>
        <w:pStyle w:val="UK12Block05"/>
        <w:rPr>
          <w:rFonts w:ascii="Arial" w:hAnsi="Arial" w:cs="Arial"/>
          <w:sz w:val="22"/>
          <w:szCs w:val="22"/>
          <w:lang w:val="en-GB"/>
        </w:rPr>
      </w:pPr>
    </w:p>
    <w:p w14:paraId="51AD3B77" w14:textId="6ECB9C85" w:rsidR="0001114B" w:rsidRPr="00E4265B" w:rsidRDefault="0001114B" w:rsidP="00CC70EC">
      <w:pPr>
        <w:pStyle w:val="Heading4"/>
        <w:rPr>
          <w:rFonts w:ascii="Arial" w:hAnsi="Arial" w:cs="Arial"/>
          <w:sz w:val="22"/>
          <w:szCs w:val="22"/>
        </w:rPr>
      </w:pPr>
      <w:r w:rsidRPr="00E4265B">
        <w:rPr>
          <w:rFonts w:ascii="Arial" w:hAnsi="Arial" w:cs="Arial"/>
          <w:sz w:val="22"/>
          <w:szCs w:val="22"/>
        </w:rPr>
        <w:t xml:space="preserve">The Capital Resources </w:t>
      </w:r>
      <w:r w:rsidR="00CC70EC" w:rsidRPr="00E4265B">
        <w:rPr>
          <w:rFonts w:ascii="Arial" w:hAnsi="Arial" w:cs="Arial"/>
          <w:sz w:val="22"/>
          <w:szCs w:val="22"/>
        </w:rPr>
        <w:t>of</w:t>
      </w:r>
      <w:r w:rsidRPr="00E4265B">
        <w:rPr>
          <w:rFonts w:ascii="Arial" w:hAnsi="Arial" w:cs="Arial"/>
          <w:sz w:val="22"/>
          <w:szCs w:val="22"/>
        </w:rPr>
        <w:t xml:space="preserve"> an Authorised Person to which this section applies is defined as the sum of its CET1 Capital, AT1 Capital and T2 Capital.</w:t>
      </w:r>
    </w:p>
    <w:p w14:paraId="7DCF184C" w14:textId="77777777" w:rsidR="0001114B" w:rsidRPr="00E4265B" w:rsidRDefault="0001114B" w:rsidP="00246497">
      <w:pPr>
        <w:pStyle w:val="Heading3"/>
        <w:rPr>
          <w:rFonts w:ascii="Arial" w:hAnsi="Arial" w:cs="Arial"/>
          <w:sz w:val="22"/>
          <w:szCs w:val="22"/>
        </w:rPr>
      </w:pPr>
      <w:bookmarkStart w:id="254" w:name="_Toc33622389"/>
      <w:r w:rsidRPr="00E4265B">
        <w:rPr>
          <w:rFonts w:ascii="Arial" w:hAnsi="Arial" w:cs="Arial"/>
          <w:sz w:val="22"/>
          <w:szCs w:val="22"/>
        </w:rPr>
        <w:t>Adequate Capital Resources for Categories 1, 2, 3A and 5</w:t>
      </w:r>
      <w:bookmarkEnd w:id="254"/>
    </w:p>
    <w:p w14:paraId="0CE4142C" w14:textId="77777777" w:rsidR="0001114B" w:rsidRPr="00E4265B" w:rsidRDefault="0001114B" w:rsidP="0001114B">
      <w:pPr>
        <w:pStyle w:val="TitleL5"/>
        <w:keepNext w:val="0"/>
        <w:rPr>
          <w:rFonts w:ascii="Arial" w:hAnsi="Arial" w:cs="Arial"/>
          <w:sz w:val="22"/>
          <w:szCs w:val="22"/>
          <w:lang w:val="en-GB"/>
        </w:rPr>
      </w:pPr>
      <w:r w:rsidRPr="00E4265B">
        <w:rPr>
          <w:rFonts w:ascii="Arial" w:hAnsi="Arial" w:cs="Arial"/>
          <w:sz w:val="22"/>
          <w:szCs w:val="22"/>
          <w:lang w:val="en-GB"/>
        </w:rPr>
        <w:t>Application</w:t>
      </w:r>
    </w:p>
    <w:p w14:paraId="24E69981" w14:textId="77777777" w:rsidR="0001114B" w:rsidRPr="00E4265B" w:rsidRDefault="0001114B" w:rsidP="00246497">
      <w:pPr>
        <w:pStyle w:val="Heading4"/>
        <w:rPr>
          <w:rFonts w:ascii="Arial" w:hAnsi="Arial" w:cs="Arial"/>
          <w:sz w:val="22"/>
          <w:szCs w:val="22"/>
        </w:rPr>
      </w:pPr>
      <w:r w:rsidRPr="00E4265B">
        <w:rPr>
          <w:rFonts w:ascii="Arial" w:hAnsi="Arial" w:cs="Arial"/>
          <w:sz w:val="22"/>
          <w:szCs w:val="22"/>
        </w:rPr>
        <w:t>This Section applies to an Authorised Person in Category 1, 2, 3A or 5.</w:t>
      </w:r>
    </w:p>
    <w:p w14:paraId="3D9BA236" w14:textId="77777777" w:rsidR="0001114B" w:rsidRPr="00E4265B" w:rsidRDefault="0001114B" w:rsidP="0001114B">
      <w:pPr>
        <w:pStyle w:val="TitleL5"/>
        <w:keepNext w:val="0"/>
        <w:rPr>
          <w:rFonts w:ascii="Arial" w:hAnsi="Arial" w:cs="Arial"/>
          <w:sz w:val="22"/>
          <w:szCs w:val="22"/>
          <w:lang w:val="en-GB"/>
        </w:rPr>
      </w:pPr>
      <w:r w:rsidRPr="00E4265B">
        <w:rPr>
          <w:rFonts w:ascii="Arial" w:hAnsi="Arial" w:cs="Arial"/>
          <w:sz w:val="22"/>
          <w:szCs w:val="22"/>
          <w:lang w:val="en-GB"/>
        </w:rPr>
        <w:t>Capital ratios</w:t>
      </w:r>
    </w:p>
    <w:p w14:paraId="16AABBE0" w14:textId="4C2EE1E0" w:rsidR="0001114B" w:rsidRPr="00E4265B" w:rsidRDefault="0001114B" w:rsidP="00F32BCA">
      <w:pPr>
        <w:pStyle w:val="Heading4"/>
        <w:rPr>
          <w:rFonts w:ascii="Arial" w:hAnsi="Arial" w:cs="Arial"/>
          <w:sz w:val="22"/>
          <w:szCs w:val="22"/>
        </w:rPr>
      </w:pPr>
      <w:r w:rsidRPr="00E4265B">
        <w:rPr>
          <w:rFonts w:ascii="Arial" w:hAnsi="Arial" w:cs="Arial"/>
          <w:sz w:val="22"/>
          <w:szCs w:val="22"/>
        </w:rPr>
        <w:t>Subject to 3.2.</w:t>
      </w:r>
      <w:r w:rsidR="00F43532" w:rsidRPr="00E4265B">
        <w:rPr>
          <w:rFonts w:ascii="Arial" w:hAnsi="Arial" w:cs="Arial"/>
          <w:sz w:val="22"/>
          <w:szCs w:val="22"/>
        </w:rPr>
        <w:t>3</w:t>
      </w:r>
      <w:r w:rsidRPr="00E4265B">
        <w:rPr>
          <w:rFonts w:ascii="Arial" w:hAnsi="Arial" w:cs="Arial"/>
          <w:sz w:val="22"/>
          <w:szCs w:val="22"/>
        </w:rPr>
        <w:t>, an Authorised Person must ensure that it complies with the following requirements at all times</w:t>
      </w:r>
      <w:r w:rsidR="00F32BCA" w:rsidRPr="00E4265B">
        <w:rPr>
          <w:rFonts w:ascii="Arial" w:hAnsi="Arial" w:cs="Arial"/>
          <w:sz w:val="22"/>
          <w:szCs w:val="22"/>
        </w:rPr>
        <w:t>.</w:t>
      </w:r>
    </w:p>
    <w:p w14:paraId="2EF63414" w14:textId="77777777" w:rsidR="0001114B" w:rsidRPr="00E4265B" w:rsidRDefault="0001114B" w:rsidP="008432F8">
      <w:pPr>
        <w:pStyle w:val="Heading5"/>
        <w:rPr>
          <w:rFonts w:ascii="Arial" w:hAnsi="Arial" w:cs="Arial"/>
          <w:sz w:val="22"/>
          <w:szCs w:val="22"/>
        </w:rPr>
      </w:pPr>
      <w:r w:rsidRPr="00E4265B">
        <w:rPr>
          <w:rFonts w:ascii="Arial" w:hAnsi="Arial" w:cs="Arial"/>
          <w:sz w:val="22"/>
          <w:szCs w:val="22"/>
        </w:rPr>
        <w:t xml:space="preserve">The ratio of CET1 Capital to Total Risk Exposure Amount must not be less than </w:t>
      </w:r>
      <w:r w:rsidR="00FF27C7" w:rsidRPr="00E4265B">
        <w:rPr>
          <w:rFonts w:ascii="Arial" w:hAnsi="Arial" w:cs="Arial"/>
          <w:sz w:val="22"/>
          <w:szCs w:val="22"/>
        </w:rPr>
        <w:t>6.0</w:t>
      </w:r>
      <w:r w:rsidRPr="00E4265B">
        <w:rPr>
          <w:rFonts w:ascii="Arial" w:hAnsi="Arial" w:cs="Arial"/>
          <w:sz w:val="22"/>
          <w:szCs w:val="22"/>
        </w:rPr>
        <w:t>%.</w:t>
      </w:r>
    </w:p>
    <w:p w14:paraId="3638A37B" w14:textId="77777777" w:rsidR="0001114B" w:rsidRPr="00E4265B" w:rsidRDefault="0001114B" w:rsidP="008432F8">
      <w:pPr>
        <w:pStyle w:val="Heading5"/>
        <w:rPr>
          <w:rFonts w:ascii="Arial" w:hAnsi="Arial" w:cs="Arial"/>
          <w:sz w:val="22"/>
          <w:szCs w:val="22"/>
        </w:rPr>
      </w:pPr>
      <w:r w:rsidRPr="00E4265B">
        <w:rPr>
          <w:rFonts w:ascii="Arial" w:hAnsi="Arial" w:cs="Arial"/>
          <w:sz w:val="22"/>
          <w:szCs w:val="22"/>
        </w:rPr>
        <w:t>The ratio of T1 Capital to Total Risk Exposur</w:t>
      </w:r>
      <w:r w:rsidR="00FF27C7" w:rsidRPr="00E4265B">
        <w:rPr>
          <w:rFonts w:ascii="Arial" w:hAnsi="Arial" w:cs="Arial"/>
          <w:sz w:val="22"/>
          <w:szCs w:val="22"/>
        </w:rPr>
        <w:t>e Amount must not be less than 8</w:t>
      </w:r>
      <w:r w:rsidRPr="00E4265B">
        <w:rPr>
          <w:rFonts w:ascii="Arial" w:hAnsi="Arial" w:cs="Arial"/>
          <w:sz w:val="22"/>
          <w:szCs w:val="22"/>
        </w:rPr>
        <w:t>.0%.</w:t>
      </w:r>
    </w:p>
    <w:p w14:paraId="35E472B6" w14:textId="77777777" w:rsidR="0001114B" w:rsidRPr="00E4265B" w:rsidRDefault="0001114B" w:rsidP="008432F8">
      <w:pPr>
        <w:pStyle w:val="Heading5"/>
        <w:rPr>
          <w:rFonts w:ascii="Arial" w:hAnsi="Arial" w:cs="Arial"/>
          <w:sz w:val="22"/>
          <w:szCs w:val="22"/>
        </w:rPr>
      </w:pPr>
      <w:r w:rsidRPr="00E4265B">
        <w:rPr>
          <w:rFonts w:ascii="Arial" w:hAnsi="Arial" w:cs="Arial"/>
          <w:sz w:val="22"/>
          <w:szCs w:val="22"/>
        </w:rPr>
        <w:t xml:space="preserve">The ratio of Capital Resources to Total Risk Exposure Amount must not be less than </w:t>
      </w:r>
      <w:r w:rsidR="00FF27C7" w:rsidRPr="00E4265B">
        <w:rPr>
          <w:rFonts w:ascii="Arial" w:hAnsi="Arial" w:cs="Arial"/>
          <w:sz w:val="22"/>
          <w:szCs w:val="22"/>
        </w:rPr>
        <w:t>10</w:t>
      </w:r>
      <w:r w:rsidRPr="00E4265B">
        <w:rPr>
          <w:rFonts w:ascii="Arial" w:hAnsi="Arial" w:cs="Arial"/>
          <w:sz w:val="22"/>
          <w:szCs w:val="22"/>
        </w:rPr>
        <w:t>.0%.</w:t>
      </w:r>
    </w:p>
    <w:p w14:paraId="18117F78" w14:textId="77777777" w:rsidR="0001114B" w:rsidRPr="00E4265B" w:rsidRDefault="0001114B" w:rsidP="0001114B">
      <w:pPr>
        <w:pStyle w:val="TitleL5"/>
        <w:keepNext w:val="0"/>
        <w:rPr>
          <w:rFonts w:ascii="Arial" w:hAnsi="Arial" w:cs="Arial"/>
          <w:sz w:val="22"/>
          <w:szCs w:val="22"/>
          <w:lang w:val="en-GB"/>
        </w:rPr>
      </w:pPr>
      <w:r w:rsidRPr="00E4265B">
        <w:rPr>
          <w:rFonts w:ascii="Arial" w:hAnsi="Arial" w:cs="Arial"/>
          <w:sz w:val="22"/>
          <w:szCs w:val="22"/>
          <w:lang w:val="en-GB"/>
        </w:rPr>
        <w:t>Guidance</w:t>
      </w:r>
    </w:p>
    <w:p w14:paraId="7253DFC7" w14:textId="77777777" w:rsidR="0001114B" w:rsidRPr="00E4265B" w:rsidRDefault="0001114B" w:rsidP="0001114B">
      <w:pPr>
        <w:pStyle w:val="UK12Block05"/>
        <w:rPr>
          <w:rFonts w:ascii="Arial" w:hAnsi="Arial" w:cs="Arial"/>
          <w:sz w:val="22"/>
          <w:szCs w:val="22"/>
          <w:lang w:val="en-GB"/>
        </w:rPr>
      </w:pPr>
      <w:r w:rsidRPr="00E4265B">
        <w:rPr>
          <w:rFonts w:ascii="Arial" w:hAnsi="Arial" w:cs="Arial"/>
          <w:sz w:val="22"/>
          <w:szCs w:val="22"/>
          <w:lang w:val="en-GB"/>
        </w:rPr>
        <w:t>In Rule 3.16.2 CET1 Capital is that calculated at step A3, T1 Capital is that calculated at step A7 and Capital Resources is that calculated at step A11 of Rule 3.15.3.</w:t>
      </w:r>
    </w:p>
    <w:p w14:paraId="16BCD68C" w14:textId="129A4480" w:rsidR="0001114B" w:rsidRPr="00E4265B" w:rsidRDefault="0001114B" w:rsidP="009A3EEE">
      <w:pPr>
        <w:pStyle w:val="Heading4"/>
        <w:rPr>
          <w:rFonts w:ascii="Arial" w:hAnsi="Arial" w:cs="Arial"/>
          <w:sz w:val="22"/>
          <w:szCs w:val="22"/>
        </w:rPr>
      </w:pPr>
      <w:r w:rsidRPr="00E4265B">
        <w:rPr>
          <w:rFonts w:ascii="Arial" w:hAnsi="Arial" w:cs="Arial"/>
          <w:sz w:val="22"/>
          <w:szCs w:val="22"/>
        </w:rPr>
        <w:t>The Regulator may impose a further requirement, termed an Individual Capital Requirement (ICR), on an Authorised Person to hold additional Capital Resources arising from Pillar 2 adjustments (see Chapter 10).  Where the Authorised Person has an ICR imposed on it, then the Authorised Person must, at all times, maintain adequate Capital Resources of the type and amount as specified in Rule 10.6.1 in addition to those kept to meet the capital adequac</w:t>
      </w:r>
      <w:r w:rsidR="005230C7" w:rsidRPr="00E4265B">
        <w:rPr>
          <w:rFonts w:ascii="Arial" w:hAnsi="Arial" w:cs="Arial"/>
          <w:sz w:val="22"/>
          <w:szCs w:val="22"/>
        </w:rPr>
        <w:t>y requirements outlined in Rule </w:t>
      </w:r>
      <w:r w:rsidRPr="00E4265B">
        <w:rPr>
          <w:rFonts w:ascii="Arial" w:hAnsi="Arial" w:cs="Arial"/>
          <w:sz w:val="22"/>
          <w:szCs w:val="22"/>
        </w:rPr>
        <w:t>3.2.</w:t>
      </w:r>
      <w:r w:rsidR="009A3EEE" w:rsidRPr="00E4265B">
        <w:rPr>
          <w:rFonts w:ascii="Arial" w:hAnsi="Arial" w:cs="Arial"/>
          <w:sz w:val="22"/>
          <w:szCs w:val="22"/>
        </w:rPr>
        <w:t>4</w:t>
      </w:r>
      <w:r w:rsidRPr="00E4265B">
        <w:rPr>
          <w:rFonts w:ascii="Arial" w:hAnsi="Arial" w:cs="Arial"/>
          <w:sz w:val="22"/>
          <w:szCs w:val="22"/>
        </w:rPr>
        <w:t>.</w:t>
      </w:r>
    </w:p>
    <w:p w14:paraId="657F7912" w14:textId="77777777" w:rsidR="0001114B" w:rsidRPr="00E4265B" w:rsidRDefault="0001114B" w:rsidP="00246497">
      <w:pPr>
        <w:pStyle w:val="Heading3"/>
        <w:rPr>
          <w:rFonts w:ascii="Arial" w:hAnsi="Arial" w:cs="Arial"/>
          <w:sz w:val="22"/>
          <w:szCs w:val="22"/>
        </w:rPr>
      </w:pPr>
      <w:bookmarkStart w:id="255" w:name="_Toc33622390"/>
      <w:r w:rsidRPr="00E4265B">
        <w:rPr>
          <w:rFonts w:ascii="Arial" w:hAnsi="Arial" w:cs="Arial"/>
          <w:sz w:val="22"/>
          <w:szCs w:val="22"/>
        </w:rPr>
        <w:lastRenderedPageBreak/>
        <w:t>Capital Conservation Buffer</w:t>
      </w:r>
      <w:bookmarkEnd w:id="255"/>
    </w:p>
    <w:p w14:paraId="66549AED" w14:textId="77777777" w:rsidR="0001114B" w:rsidRPr="00E4265B" w:rsidRDefault="0001114B" w:rsidP="00246497">
      <w:pPr>
        <w:pStyle w:val="Heading4"/>
        <w:rPr>
          <w:rFonts w:ascii="Arial" w:hAnsi="Arial" w:cs="Arial"/>
          <w:sz w:val="22"/>
          <w:szCs w:val="22"/>
        </w:rPr>
      </w:pPr>
      <w:r w:rsidRPr="00E4265B">
        <w:rPr>
          <w:rFonts w:ascii="Arial" w:hAnsi="Arial" w:cs="Arial"/>
          <w:sz w:val="22"/>
          <w:szCs w:val="22"/>
        </w:rPr>
        <w:t>This Section applies to an Authorised Person in Category 1, 2, or 5.</w:t>
      </w:r>
    </w:p>
    <w:p w14:paraId="56C86BCF" w14:textId="77777777" w:rsidR="0001114B" w:rsidRPr="00E4265B" w:rsidRDefault="0001114B" w:rsidP="00246497">
      <w:pPr>
        <w:pStyle w:val="Heading4"/>
        <w:rPr>
          <w:rFonts w:ascii="Arial" w:hAnsi="Arial" w:cs="Arial"/>
          <w:sz w:val="22"/>
          <w:szCs w:val="22"/>
        </w:rPr>
      </w:pPr>
      <w:r w:rsidRPr="00E4265B">
        <w:rPr>
          <w:rFonts w:ascii="Arial" w:hAnsi="Arial" w:cs="Arial"/>
          <w:sz w:val="22"/>
          <w:szCs w:val="22"/>
        </w:rPr>
        <w:t>Where, pursuant to Section 3.4, the Risk Capital Requirement forms the Capital Requirement of an Authorised Person, then that Authorised Person is subject to a Capital Conservation Buffer requirement.</w:t>
      </w:r>
    </w:p>
    <w:p w14:paraId="61DCCBC0" w14:textId="77777777" w:rsidR="0001114B" w:rsidRPr="00E4265B" w:rsidRDefault="0001114B" w:rsidP="00246497">
      <w:pPr>
        <w:pStyle w:val="Heading4"/>
        <w:rPr>
          <w:rFonts w:ascii="Arial" w:hAnsi="Arial" w:cs="Arial"/>
          <w:sz w:val="22"/>
          <w:szCs w:val="22"/>
        </w:rPr>
      </w:pPr>
      <w:r w:rsidRPr="00E4265B">
        <w:rPr>
          <w:rFonts w:ascii="Arial" w:hAnsi="Arial" w:cs="Arial"/>
          <w:sz w:val="22"/>
          <w:szCs w:val="22"/>
        </w:rPr>
        <w:t xml:space="preserve">The Capital Conservation Buffer requirement is equivalent to 2.5% of </w:t>
      </w:r>
      <w:r w:rsidR="003F4CA3" w:rsidRPr="00E4265B">
        <w:rPr>
          <w:rFonts w:ascii="Arial" w:hAnsi="Arial" w:cs="Arial"/>
          <w:sz w:val="22"/>
          <w:szCs w:val="22"/>
        </w:rPr>
        <w:t xml:space="preserve">the </w:t>
      </w:r>
      <w:r w:rsidRPr="00E4265B">
        <w:rPr>
          <w:rFonts w:ascii="Arial" w:hAnsi="Arial" w:cs="Arial"/>
          <w:sz w:val="22"/>
          <w:szCs w:val="22"/>
        </w:rPr>
        <w:t>Total Risk Exposure Amount</w:t>
      </w:r>
      <w:r w:rsidR="003F4CA3" w:rsidRPr="00E4265B">
        <w:rPr>
          <w:rFonts w:ascii="Arial" w:hAnsi="Arial" w:cs="Arial"/>
          <w:sz w:val="22"/>
          <w:szCs w:val="22"/>
        </w:rPr>
        <w:t xml:space="preserve"> of an Authorised Person</w:t>
      </w:r>
      <w:r w:rsidRPr="00E4265B">
        <w:rPr>
          <w:rFonts w:ascii="Arial" w:hAnsi="Arial" w:cs="Arial"/>
          <w:sz w:val="22"/>
          <w:szCs w:val="22"/>
        </w:rPr>
        <w:t xml:space="preserve"> and must comprise only CET1 Capital.</w:t>
      </w:r>
    </w:p>
    <w:p w14:paraId="6E815FA3" w14:textId="77777777" w:rsidR="000E5C67" w:rsidRPr="00E4265B" w:rsidRDefault="000E5C67" w:rsidP="00AF6EE8">
      <w:pPr>
        <w:pStyle w:val="Heading4"/>
        <w:tabs>
          <w:tab w:val="clear" w:pos="936"/>
          <w:tab w:val="num" w:pos="900"/>
          <w:tab w:val="left" w:pos="1710"/>
        </w:tabs>
        <w:ind w:left="1710" w:hanging="1710"/>
        <w:rPr>
          <w:rFonts w:ascii="Arial" w:eastAsiaTheme="minorHAnsi" w:hAnsi="Arial" w:cs="Arial"/>
          <w:bCs w:val="0"/>
          <w:iCs w:val="0"/>
          <w:sz w:val="22"/>
          <w:szCs w:val="22"/>
        </w:rPr>
      </w:pPr>
      <w:r w:rsidRPr="00E4265B">
        <w:rPr>
          <w:rFonts w:ascii="Arial" w:hAnsi="Arial" w:cs="Arial"/>
          <w:sz w:val="22"/>
          <w:szCs w:val="22"/>
        </w:rPr>
        <w:t>(1)</w:t>
      </w:r>
      <w:r w:rsidRPr="00E4265B">
        <w:rPr>
          <w:rFonts w:ascii="Arial" w:hAnsi="Arial" w:cs="Arial"/>
          <w:sz w:val="22"/>
          <w:szCs w:val="22"/>
        </w:rPr>
        <w:tab/>
        <w:t>An Authorised Person must maintain the required buffer amount, calculated in accordance with Rule 3.17.3, at all times</w:t>
      </w:r>
      <w:r w:rsidR="00A276F8" w:rsidRPr="00E4265B">
        <w:rPr>
          <w:rFonts w:ascii="Arial" w:hAnsi="Arial" w:cs="Arial"/>
          <w:sz w:val="22"/>
          <w:szCs w:val="22"/>
        </w:rPr>
        <w:t>.</w:t>
      </w:r>
    </w:p>
    <w:p w14:paraId="743ED6B7" w14:textId="77777777" w:rsidR="000E5C67" w:rsidRPr="00E4265B" w:rsidRDefault="000E5C67" w:rsidP="00AF6EE8">
      <w:pPr>
        <w:pStyle w:val="Heading4"/>
        <w:numPr>
          <w:ilvl w:val="0"/>
          <w:numId w:val="0"/>
        </w:numPr>
        <w:ind w:left="1701" w:hanging="801"/>
        <w:rPr>
          <w:rFonts w:ascii="Arial" w:hAnsi="Arial" w:cs="Arial"/>
          <w:sz w:val="22"/>
          <w:szCs w:val="22"/>
        </w:rPr>
      </w:pPr>
      <w:r w:rsidRPr="00E4265B">
        <w:rPr>
          <w:rFonts w:ascii="Arial" w:hAnsi="Arial" w:cs="Arial"/>
          <w:sz w:val="22"/>
          <w:szCs w:val="22"/>
        </w:rPr>
        <w:t>(2)</w:t>
      </w:r>
      <w:r w:rsidRPr="00E4265B">
        <w:rPr>
          <w:rFonts w:ascii="Arial" w:hAnsi="Arial" w:cs="Arial"/>
          <w:sz w:val="22"/>
          <w:szCs w:val="22"/>
        </w:rPr>
        <w:tab/>
        <w:t>The Capital Conservation Buffer requirement applies on both a solo and a consolidated basis, for Authorised Persons forming part of Financial Groups.</w:t>
      </w:r>
    </w:p>
    <w:p w14:paraId="29C016E7" w14:textId="77777777" w:rsidR="0001114B" w:rsidRPr="00E4265B" w:rsidRDefault="0001114B" w:rsidP="00246497">
      <w:pPr>
        <w:pStyle w:val="Heading4"/>
        <w:rPr>
          <w:rFonts w:ascii="Arial" w:hAnsi="Arial" w:cs="Arial"/>
          <w:sz w:val="22"/>
          <w:szCs w:val="22"/>
        </w:rPr>
      </w:pPr>
      <w:r w:rsidRPr="00E4265B">
        <w:rPr>
          <w:rFonts w:ascii="Arial" w:hAnsi="Arial" w:cs="Arial"/>
          <w:sz w:val="22"/>
          <w:szCs w:val="22"/>
        </w:rPr>
        <w:t>An Authorised Person must not use CET1 Capital that is kept to meet the Capital Conservation Buffer requirement towards meeting:</w:t>
      </w:r>
    </w:p>
    <w:p w14:paraId="493B6F76" w14:textId="77777777" w:rsidR="000E5C67" w:rsidRPr="00E4265B" w:rsidRDefault="000E5C67" w:rsidP="008432F8">
      <w:pPr>
        <w:pStyle w:val="Heading5"/>
        <w:rPr>
          <w:rFonts w:ascii="Arial" w:hAnsi="Arial" w:cs="Arial"/>
          <w:sz w:val="22"/>
          <w:szCs w:val="22"/>
        </w:rPr>
      </w:pPr>
      <w:r w:rsidRPr="00E4265B">
        <w:rPr>
          <w:rFonts w:ascii="Arial" w:hAnsi="Arial" w:cs="Arial"/>
          <w:sz w:val="22"/>
          <w:szCs w:val="22"/>
        </w:rPr>
        <w:t>its Total Risk Exposure Amount; or</w:t>
      </w:r>
    </w:p>
    <w:p w14:paraId="082FF004" w14:textId="30FCF91C" w:rsidR="000E5C67" w:rsidRPr="00E4265B" w:rsidRDefault="000E5C67" w:rsidP="008432F8">
      <w:pPr>
        <w:pStyle w:val="Heading5"/>
        <w:rPr>
          <w:rFonts w:ascii="Arial" w:hAnsi="Arial" w:cs="Arial"/>
          <w:sz w:val="22"/>
          <w:szCs w:val="22"/>
        </w:rPr>
      </w:pPr>
      <w:r w:rsidRPr="00E4265B">
        <w:rPr>
          <w:rFonts w:ascii="Arial" w:hAnsi="Arial" w:cs="Arial"/>
          <w:sz w:val="22"/>
          <w:szCs w:val="22"/>
        </w:rPr>
        <w:t>any Individual Capital Requirement as may</w:t>
      </w:r>
      <w:r w:rsidR="00541959" w:rsidRPr="00E4265B">
        <w:rPr>
          <w:rFonts w:ascii="Arial" w:hAnsi="Arial" w:cs="Arial"/>
          <w:sz w:val="22"/>
          <w:szCs w:val="22"/>
        </w:rPr>
        <w:t xml:space="preserve"> be imposed pursuant to Chapter </w:t>
      </w:r>
      <w:r w:rsidRPr="00E4265B">
        <w:rPr>
          <w:rFonts w:ascii="Arial" w:hAnsi="Arial" w:cs="Arial"/>
          <w:sz w:val="22"/>
          <w:szCs w:val="22"/>
        </w:rPr>
        <w:t>10.</w:t>
      </w:r>
    </w:p>
    <w:p w14:paraId="32177D61" w14:textId="77777777" w:rsidR="00246497" w:rsidRPr="00E4265B" w:rsidRDefault="00246497" w:rsidP="00246497">
      <w:pPr>
        <w:pStyle w:val="Heading3"/>
        <w:rPr>
          <w:rFonts w:ascii="Arial" w:hAnsi="Arial" w:cs="Arial"/>
          <w:sz w:val="22"/>
          <w:szCs w:val="22"/>
        </w:rPr>
      </w:pPr>
      <w:bookmarkStart w:id="256" w:name="_Toc33622391"/>
      <w:r w:rsidRPr="00E4265B">
        <w:rPr>
          <w:rFonts w:ascii="Arial" w:hAnsi="Arial" w:cs="Arial"/>
          <w:sz w:val="22"/>
          <w:szCs w:val="22"/>
        </w:rPr>
        <w:t>Countercyclical Capital Buffer</w:t>
      </w:r>
      <w:bookmarkEnd w:id="256"/>
    </w:p>
    <w:p w14:paraId="4A31C75B" w14:textId="77777777" w:rsidR="00246497" w:rsidRPr="00E4265B" w:rsidRDefault="00246497" w:rsidP="00246497">
      <w:pPr>
        <w:pStyle w:val="Heading4"/>
        <w:rPr>
          <w:rFonts w:ascii="Arial" w:hAnsi="Arial" w:cs="Arial"/>
          <w:sz w:val="22"/>
          <w:szCs w:val="22"/>
        </w:rPr>
      </w:pPr>
      <w:r w:rsidRPr="00E4265B">
        <w:rPr>
          <w:rFonts w:ascii="Arial" w:hAnsi="Arial" w:cs="Arial"/>
          <w:sz w:val="22"/>
          <w:szCs w:val="22"/>
        </w:rPr>
        <w:t>This Section applies to an Authorised Person in Category 1, 2 or 5.</w:t>
      </w:r>
    </w:p>
    <w:p w14:paraId="72B9D515" w14:textId="58BF0F58" w:rsidR="00246497" w:rsidRPr="00E4265B" w:rsidRDefault="00246497" w:rsidP="00BE2EA6">
      <w:pPr>
        <w:pStyle w:val="Heading4"/>
        <w:rPr>
          <w:rFonts w:ascii="Arial" w:hAnsi="Arial" w:cs="Arial"/>
          <w:sz w:val="22"/>
          <w:szCs w:val="22"/>
        </w:rPr>
      </w:pPr>
      <w:r w:rsidRPr="00E4265B">
        <w:rPr>
          <w:rFonts w:ascii="Arial" w:hAnsi="Arial" w:cs="Arial"/>
          <w:sz w:val="22"/>
          <w:szCs w:val="22"/>
        </w:rPr>
        <w:t>Where, pursuant to Section 3.4, the Risk Capital Requirement forms the Capital Requirement of an Authorised Person, then it is subject to a Countercyclical Capital Buffer requirement.</w:t>
      </w:r>
    </w:p>
    <w:p w14:paraId="5E307D77" w14:textId="2870E9E0" w:rsidR="00246497" w:rsidRPr="00E4265B" w:rsidRDefault="00F43532" w:rsidP="00F43532">
      <w:pPr>
        <w:pStyle w:val="Heading4"/>
        <w:tabs>
          <w:tab w:val="clear" w:pos="936"/>
          <w:tab w:val="num" w:pos="851"/>
        </w:tabs>
        <w:ind w:left="1701" w:hanging="1701"/>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r>
      <w:r w:rsidR="00246497" w:rsidRPr="00E4265B">
        <w:rPr>
          <w:rFonts w:ascii="Arial" w:hAnsi="Arial" w:cs="Arial"/>
          <w:sz w:val="22"/>
          <w:szCs w:val="22"/>
        </w:rPr>
        <w:t>An Authorised Person must maintain the required buffer amount as CET1 Capital at all times, as calculated in accordance with Rule 3.18.4.</w:t>
      </w:r>
    </w:p>
    <w:p w14:paraId="054A1B5F" w14:textId="77777777" w:rsidR="00206227" w:rsidRPr="00E4265B" w:rsidRDefault="00206227" w:rsidP="00B3343A">
      <w:pPr>
        <w:pStyle w:val="Heading4"/>
        <w:numPr>
          <w:ilvl w:val="0"/>
          <w:numId w:val="0"/>
        </w:numPr>
        <w:ind w:left="1701" w:hanging="850"/>
        <w:rPr>
          <w:rFonts w:ascii="Arial" w:hAnsi="Arial" w:cs="Arial"/>
          <w:sz w:val="22"/>
          <w:szCs w:val="22"/>
        </w:rPr>
      </w:pPr>
      <w:r w:rsidRPr="00E4265B">
        <w:rPr>
          <w:rFonts w:ascii="Arial" w:hAnsi="Arial" w:cs="Arial"/>
          <w:sz w:val="22"/>
          <w:szCs w:val="22"/>
        </w:rPr>
        <w:t>(2)</w:t>
      </w:r>
      <w:r w:rsidRPr="00E4265B">
        <w:rPr>
          <w:rFonts w:ascii="Arial" w:hAnsi="Arial" w:cs="Arial"/>
          <w:sz w:val="22"/>
          <w:szCs w:val="22"/>
        </w:rPr>
        <w:tab/>
        <w:t>The Countercyclical Capital Buffer requirement applies on both a solo and a consolidated basis, for Authorised Persons forming part of Financial Groups.</w:t>
      </w:r>
    </w:p>
    <w:p w14:paraId="0708B686" w14:textId="195EB28B" w:rsidR="00246497" w:rsidRPr="00E4265B" w:rsidRDefault="00246497" w:rsidP="009A3EEE">
      <w:pPr>
        <w:pStyle w:val="Heading4"/>
        <w:rPr>
          <w:rFonts w:ascii="Arial" w:hAnsi="Arial" w:cs="Arial"/>
          <w:sz w:val="22"/>
          <w:szCs w:val="22"/>
        </w:rPr>
      </w:pPr>
      <w:r w:rsidRPr="00E4265B">
        <w:rPr>
          <w:rFonts w:ascii="Arial" w:hAnsi="Arial" w:cs="Arial"/>
          <w:sz w:val="22"/>
          <w:szCs w:val="22"/>
        </w:rPr>
        <w:t>An Authorised Person must calculate a Countercyclical Capital Buffer of CET1 Capital</w:t>
      </w:r>
      <w:r w:rsidR="00BE2EA6" w:rsidRPr="00E4265B">
        <w:rPr>
          <w:rFonts w:ascii="Arial" w:hAnsi="Arial" w:cs="Arial"/>
          <w:sz w:val="22"/>
          <w:szCs w:val="22"/>
        </w:rPr>
        <w:t xml:space="preserve"> equal to its Total Risk Exposure Amount, calculated in accordance with Rule 3.5.7, multiplied by the weighted average of the </w:t>
      </w:r>
      <w:r w:rsidR="004A06E0" w:rsidRPr="00E4265B">
        <w:rPr>
          <w:rFonts w:ascii="Arial" w:hAnsi="Arial" w:cs="Arial"/>
          <w:sz w:val="22"/>
          <w:szCs w:val="22"/>
        </w:rPr>
        <w:t>C</w:t>
      </w:r>
      <w:r w:rsidR="00BE2EA6" w:rsidRPr="00E4265B">
        <w:rPr>
          <w:rFonts w:ascii="Arial" w:hAnsi="Arial" w:cs="Arial"/>
          <w:sz w:val="22"/>
          <w:szCs w:val="22"/>
        </w:rPr>
        <w:t xml:space="preserve">ountercyclical </w:t>
      </w:r>
      <w:r w:rsidR="004A06E0" w:rsidRPr="00E4265B">
        <w:rPr>
          <w:rFonts w:ascii="Arial" w:hAnsi="Arial" w:cs="Arial"/>
          <w:sz w:val="22"/>
          <w:szCs w:val="22"/>
        </w:rPr>
        <w:t>Capital B</w:t>
      </w:r>
      <w:r w:rsidR="00BE2EA6" w:rsidRPr="00E4265B">
        <w:rPr>
          <w:rFonts w:ascii="Arial" w:hAnsi="Arial" w:cs="Arial"/>
          <w:sz w:val="22"/>
          <w:szCs w:val="22"/>
        </w:rPr>
        <w:t xml:space="preserve">uffer rates that apply to exposures in the jurisdictions where the Authorised Person's </w:t>
      </w:r>
      <w:r w:rsidR="009A3EEE" w:rsidRPr="00E4265B">
        <w:rPr>
          <w:rFonts w:ascii="Arial" w:hAnsi="Arial" w:cs="Arial"/>
          <w:sz w:val="22"/>
          <w:szCs w:val="22"/>
        </w:rPr>
        <w:t>private sector credit exposures</w:t>
      </w:r>
      <w:r w:rsidR="00BE2EA6" w:rsidRPr="00E4265B">
        <w:rPr>
          <w:rFonts w:ascii="Arial" w:hAnsi="Arial" w:cs="Arial"/>
          <w:sz w:val="22"/>
          <w:szCs w:val="22"/>
        </w:rPr>
        <w:t xml:space="preserve"> are located</w:t>
      </w:r>
      <w:r w:rsidR="00724FD3" w:rsidRPr="00E4265B">
        <w:rPr>
          <w:rFonts w:ascii="Arial" w:hAnsi="Arial" w:cs="Arial"/>
          <w:sz w:val="22"/>
          <w:szCs w:val="22"/>
        </w:rPr>
        <w:t>, calculated</w:t>
      </w:r>
      <w:r w:rsidR="003F4CA3" w:rsidRPr="00E4265B">
        <w:rPr>
          <w:rFonts w:ascii="Arial" w:hAnsi="Arial" w:cs="Arial"/>
          <w:sz w:val="22"/>
          <w:szCs w:val="22"/>
        </w:rPr>
        <w:t xml:space="preserve"> in accordance with Rules 3.18.5 to 3.18.8.</w:t>
      </w:r>
    </w:p>
    <w:p w14:paraId="744EF031" w14:textId="54C64F70" w:rsidR="00246497" w:rsidRPr="00E4265B" w:rsidRDefault="009A3EEE" w:rsidP="009A3EEE">
      <w:pPr>
        <w:pStyle w:val="Heading4"/>
        <w:numPr>
          <w:ilvl w:val="0"/>
          <w:numId w:val="0"/>
        </w:numPr>
        <w:ind w:left="936"/>
        <w:rPr>
          <w:rFonts w:ascii="Arial" w:hAnsi="Arial" w:cs="Arial"/>
          <w:b/>
          <w:sz w:val="22"/>
          <w:szCs w:val="22"/>
        </w:rPr>
      </w:pPr>
      <w:r w:rsidRPr="00E4265B">
        <w:rPr>
          <w:rFonts w:ascii="Arial" w:hAnsi="Arial" w:cs="Arial"/>
          <w:b/>
          <w:sz w:val="22"/>
          <w:szCs w:val="22"/>
        </w:rPr>
        <w:t xml:space="preserve">Private sector credit </w:t>
      </w:r>
      <w:r w:rsidR="00246497" w:rsidRPr="00E4265B">
        <w:rPr>
          <w:rFonts w:ascii="Arial" w:hAnsi="Arial" w:cs="Arial"/>
          <w:b/>
          <w:sz w:val="22"/>
          <w:szCs w:val="22"/>
        </w:rPr>
        <w:t>exposures</w:t>
      </w:r>
    </w:p>
    <w:p w14:paraId="13618CE0" w14:textId="38F87538" w:rsidR="00246497" w:rsidRPr="00E4265B" w:rsidRDefault="009A3EEE" w:rsidP="00246497">
      <w:pPr>
        <w:pStyle w:val="Heading4"/>
        <w:rPr>
          <w:rFonts w:ascii="Arial" w:hAnsi="Arial" w:cs="Arial"/>
          <w:sz w:val="22"/>
          <w:szCs w:val="22"/>
        </w:rPr>
      </w:pPr>
      <w:r w:rsidRPr="00E4265B">
        <w:rPr>
          <w:rFonts w:ascii="Arial" w:hAnsi="Arial" w:cs="Arial"/>
          <w:sz w:val="22"/>
          <w:szCs w:val="22"/>
        </w:rPr>
        <w:t>Private sector credit</w:t>
      </w:r>
      <w:r w:rsidR="00246497" w:rsidRPr="00E4265B">
        <w:rPr>
          <w:rFonts w:ascii="Arial" w:hAnsi="Arial" w:cs="Arial"/>
          <w:sz w:val="22"/>
          <w:szCs w:val="22"/>
        </w:rPr>
        <w:t xml:space="preserve"> exposures are those for which Credit RWAs have to be calculated in accordance with Chapter 4, other than those that fall i</w:t>
      </w:r>
      <w:r w:rsidR="006B0ACA" w:rsidRPr="00E4265B">
        <w:rPr>
          <w:rFonts w:ascii="Arial" w:hAnsi="Arial" w:cs="Arial"/>
          <w:sz w:val="22"/>
          <w:szCs w:val="22"/>
        </w:rPr>
        <w:t>nto the following asset classes:</w:t>
      </w:r>
    </w:p>
    <w:p w14:paraId="206637A2" w14:textId="49F5C779" w:rsidR="008432F8" w:rsidRPr="00E4265B" w:rsidRDefault="008432F8" w:rsidP="00030214">
      <w:pPr>
        <w:pStyle w:val="Heading5"/>
        <w:rPr>
          <w:rFonts w:ascii="Arial" w:hAnsi="Arial" w:cs="Arial"/>
          <w:sz w:val="22"/>
          <w:szCs w:val="22"/>
        </w:rPr>
      </w:pPr>
      <w:r w:rsidRPr="00E4265B">
        <w:rPr>
          <w:rFonts w:ascii="Arial" w:hAnsi="Arial" w:cs="Arial"/>
          <w:sz w:val="22"/>
          <w:szCs w:val="22"/>
        </w:rPr>
        <w:t xml:space="preserve">Central government and </w:t>
      </w:r>
      <w:r w:rsidR="00030214" w:rsidRPr="00E4265B">
        <w:rPr>
          <w:rFonts w:ascii="Arial" w:hAnsi="Arial" w:cs="Arial"/>
          <w:sz w:val="22"/>
          <w:szCs w:val="22"/>
        </w:rPr>
        <w:t>c</w:t>
      </w:r>
      <w:r w:rsidRPr="00E4265B">
        <w:rPr>
          <w:rFonts w:ascii="Arial" w:hAnsi="Arial" w:cs="Arial"/>
          <w:sz w:val="22"/>
          <w:szCs w:val="22"/>
        </w:rPr>
        <w:t xml:space="preserve">entral </w:t>
      </w:r>
      <w:r w:rsidR="00030214" w:rsidRPr="00E4265B">
        <w:rPr>
          <w:rFonts w:ascii="Arial" w:hAnsi="Arial" w:cs="Arial"/>
          <w:sz w:val="22"/>
          <w:szCs w:val="22"/>
        </w:rPr>
        <w:t>b</w:t>
      </w:r>
      <w:r w:rsidRPr="00E4265B">
        <w:rPr>
          <w:rFonts w:ascii="Arial" w:hAnsi="Arial" w:cs="Arial"/>
          <w:sz w:val="22"/>
          <w:szCs w:val="22"/>
        </w:rPr>
        <w:t>ank.</w:t>
      </w:r>
    </w:p>
    <w:p w14:paraId="0C70F58E" w14:textId="77777777" w:rsidR="008432F8" w:rsidRPr="00E4265B" w:rsidRDefault="008432F8" w:rsidP="008432F8">
      <w:pPr>
        <w:pStyle w:val="Heading5"/>
        <w:rPr>
          <w:rFonts w:ascii="Arial" w:hAnsi="Arial" w:cs="Arial"/>
          <w:sz w:val="22"/>
          <w:szCs w:val="22"/>
        </w:rPr>
      </w:pPr>
      <w:r w:rsidRPr="00E4265B">
        <w:rPr>
          <w:rFonts w:ascii="Arial" w:hAnsi="Arial" w:cs="Arial"/>
          <w:sz w:val="22"/>
          <w:szCs w:val="22"/>
        </w:rPr>
        <w:t>Public sector enterprises.</w:t>
      </w:r>
    </w:p>
    <w:p w14:paraId="648908CC" w14:textId="77777777" w:rsidR="008432F8" w:rsidRPr="00E4265B" w:rsidRDefault="008432F8" w:rsidP="008432F8">
      <w:pPr>
        <w:pStyle w:val="Heading5"/>
        <w:rPr>
          <w:rFonts w:ascii="Arial" w:hAnsi="Arial" w:cs="Arial"/>
          <w:sz w:val="22"/>
          <w:szCs w:val="22"/>
        </w:rPr>
      </w:pPr>
      <w:r w:rsidRPr="00E4265B">
        <w:rPr>
          <w:rFonts w:ascii="Arial" w:hAnsi="Arial" w:cs="Arial"/>
          <w:sz w:val="22"/>
          <w:szCs w:val="22"/>
        </w:rPr>
        <w:lastRenderedPageBreak/>
        <w:t>Multilateral development bank (MDB).</w:t>
      </w:r>
    </w:p>
    <w:p w14:paraId="78236D7F" w14:textId="77777777" w:rsidR="008432F8" w:rsidRPr="00E4265B" w:rsidRDefault="008432F8" w:rsidP="008432F8">
      <w:pPr>
        <w:pStyle w:val="Heading5"/>
        <w:rPr>
          <w:rFonts w:ascii="Arial" w:hAnsi="Arial" w:cs="Arial"/>
          <w:sz w:val="22"/>
          <w:szCs w:val="22"/>
        </w:rPr>
      </w:pPr>
      <w:r w:rsidRPr="00E4265B">
        <w:rPr>
          <w:rFonts w:ascii="Arial" w:hAnsi="Arial" w:cs="Arial"/>
          <w:sz w:val="22"/>
          <w:szCs w:val="22"/>
        </w:rPr>
        <w:t>International organisation.</w:t>
      </w:r>
    </w:p>
    <w:p w14:paraId="022C96DA" w14:textId="77777777" w:rsidR="008432F8" w:rsidRPr="00E4265B" w:rsidRDefault="008432F8" w:rsidP="008432F8">
      <w:pPr>
        <w:pStyle w:val="Heading5"/>
        <w:rPr>
          <w:rFonts w:ascii="Arial" w:hAnsi="Arial" w:cs="Arial"/>
          <w:sz w:val="22"/>
          <w:szCs w:val="22"/>
        </w:rPr>
      </w:pPr>
      <w:r w:rsidRPr="00E4265B">
        <w:rPr>
          <w:rFonts w:ascii="Arial" w:hAnsi="Arial" w:cs="Arial"/>
          <w:sz w:val="22"/>
          <w:szCs w:val="22"/>
        </w:rPr>
        <w:t>Bank.</w:t>
      </w:r>
    </w:p>
    <w:p w14:paraId="03A3EA76" w14:textId="77777777" w:rsidR="00246497" w:rsidRPr="00E4265B" w:rsidRDefault="008432F8" w:rsidP="008432F8">
      <w:pPr>
        <w:pStyle w:val="Heading5"/>
        <w:numPr>
          <w:ilvl w:val="0"/>
          <w:numId w:val="0"/>
        </w:numPr>
        <w:ind w:left="936"/>
        <w:rPr>
          <w:rFonts w:ascii="Arial" w:hAnsi="Arial" w:cs="Arial"/>
          <w:b/>
          <w:sz w:val="22"/>
          <w:szCs w:val="22"/>
        </w:rPr>
      </w:pPr>
      <w:r w:rsidRPr="00E4265B">
        <w:rPr>
          <w:rFonts w:ascii="Arial" w:hAnsi="Arial" w:cs="Arial"/>
          <w:b/>
          <w:sz w:val="22"/>
          <w:szCs w:val="22"/>
        </w:rPr>
        <w:t>Guidance</w:t>
      </w:r>
    </w:p>
    <w:p w14:paraId="42666C5D" w14:textId="36FE610E" w:rsidR="008432F8" w:rsidRPr="00E4265B" w:rsidRDefault="001621D1" w:rsidP="009A3EEE">
      <w:pPr>
        <w:pStyle w:val="Heading5"/>
        <w:numPr>
          <w:ilvl w:val="0"/>
          <w:numId w:val="0"/>
        </w:numPr>
        <w:ind w:left="993"/>
        <w:rPr>
          <w:rFonts w:ascii="Arial" w:hAnsi="Arial" w:cs="Arial"/>
          <w:sz w:val="22"/>
          <w:szCs w:val="22"/>
        </w:rPr>
      </w:pPr>
      <w:r w:rsidRPr="00E4265B">
        <w:rPr>
          <w:rFonts w:ascii="Arial" w:hAnsi="Arial" w:cs="Arial"/>
          <w:sz w:val="22"/>
          <w:szCs w:val="22"/>
        </w:rPr>
        <w:t>E</w:t>
      </w:r>
      <w:r w:rsidR="006B0ACA" w:rsidRPr="00E4265B">
        <w:rPr>
          <w:rFonts w:ascii="Arial" w:hAnsi="Arial" w:cs="Arial"/>
          <w:sz w:val="22"/>
          <w:szCs w:val="22"/>
        </w:rPr>
        <w:t>xposures to banks</w:t>
      </w:r>
      <w:r w:rsidRPr="00E4265B">
        <w:rPr>
          <w:rFonts w:ascii="Arial" w:hAnsi="Arial" w:cs="Arial"/>
          <w:sz w:val="22"/>
          <w:szCs w:val="22"/>
        </w:rPr>
        <w:t xml:space="preserve"> with short-term credit assessments</w:t>
      </w:r>
      <w:r w:rsidR="004A06E0" w:rsidRPr="00E4265B">
        <w:rPr>
          <w:rFonts w:ascii="Arial" w:hAnsi="Arial" w:cs="Arial"/>
          <w:sz w:val="22"/>
          <w:szCs w:val="22"/>
        </w:rPr>
        <w:t xml:space="preserve"> are not </w:t>
      </w:r>
      <w:r w:rsidR="009A3EEE" w:rsidRPr="00E4265B">
        <w:rPr>
          <w:rFonts w:ascii="Arial" w:hAnsi="Arial" w:cs="Arial"/>
          <w:sz w:val="22"/>
          <w:szCs w:val="22"/>
        </w:rPr>
        <w:t xml:space="preserve">private sector </w:t>
      </w:r>
      <w:r w:rsidR="004A06E0" w:rsidRPr="00E4265B">
        <w:rPr>
          <w:rFonts w:ascii="Arial" w:hAnsi="Arial" w:cs="Arial"/>
          <w:sz w:val="22"/>
          <w:szCs w:val="22"/>
        </w:rPr>
        <w:t>credit exposures</w:t>
      </w:r>
      <w:r w:rsidRPr="00E4265B">
        <w:rPr>
          <w:rFonts w:ascii="Arial" w:hAnsi="Arial" w:cs="Arial"/>
          <w:sz w:val="22"/>
          <w:szCs w:val="22"/>
        </w:rPr>
        <w:t xml:space="preserve"> as they fall within the exempt asset class set out in Rule 3.18.5(e)</w:t>
      </w:r>
      <w:r w:rsidR="008432F8" w:rsidRPr="00E4265B">
        <w:rPr>
          <w:rFonts w:ascii="Arial" w:hAnsi="Arial" w:cs="Arial"/>
          <w:sz w:val="22"/>
          <w:szCs w:val="22"/>
        </w:rPr>
        <w:t>.</w:t>
      </w:r>
      <w:r w:rsidR="006B0ACA" w:rsidRPr="00E4265B">
        <w:rPr>
          <w:rFonts w:ascii="Arial" w:hAnsi="Arial" w:cs="Arial"/>
          <w:sz w:val="22"/>
          <w:szCs w:val="22"/>
        </w:rPr>
        <w:t xml:space="preserve"> However, exposures to non-bank entities </w:t>
      </w:r>
      <w:r w:rsidR="00B3343A" w:rsidRPr="00E4265B">
        <w:rPr>
          <w:rFonts w:ascii="Arial" w:hAnsi="Arial" w:cs="Arial"/>
          <w:sz w:val="22"/>
          <w:szCs w:val="22"/>
        </w:rPr>
        <w:t xml:space="preserve">with similar short-term credit assessments </w:t>
      </w:r>
      <w:r w:rsidR="006B0ACA" w:rsidRPr="00E4265B">
        <w:rPr>
          <w:rFonts w:ascii="Arial" w:hAnsi="Arial" w:cs="Arial"/>
          <w:sz w:val="22"/>
          <w:szCs w:val="22"/>
        </w:rPr>
        <w:t xml:space="preserve">are </w:t>
      </w:r>
      <w:r w:rsidR="009A3EEE" w:rsidRPr="00E4265B">
        <w:rPr>
          <w:rFonts w:ascii="Arial" w:hAnsi="Arial" w:cs="Arial"/>
          <w:sz w:val="22"/>
          <w:szCs w:val="22"/>
        </w:rPr>
        <w:t>private sector credit</w:t>
      </w:r>
      <w:r w:rsidR="006B0ACA" w:rsidRPr="00E4265B">
        <w:rPr>
          <w:rFonts w:ascii="Arial" w:hAnsi="Arial" w:cs="Arial"/>
          <w:sz w:val="22"/>
          <w:szCs w:val="22"/>
        </w:rPr>
        <w:t xml:space="preserve"> exposures</w:t>
      </w:r>
      <w:r w:rsidRPr="00E4265B">
        <w:rPr>
          <w:rFonts w:ascii="Arial" w:hAnsi="Arial" w:cs="Arial"/>
          <w:sz w:val="22"/>
          <w:szCs w:val="22"/>
        </w:rPr>
        <w:t xml:space="preserve"> for the purposes of Rule 3.18.</w:t>
      </w:r>
      <w:r w:rsidR="00B3343A" w:rsidRPr="00E4265B">
        <w:rPr>
          <w:rFonts w:ascii="Arial" w:hAnsi="Arial" w:cs="Arial"/>
          <w:sz w:val="22"/>
          <w:szCs w:val="22"/>
        </w:rPr>
        <w:t>5.</w:t>
      </w:r>
    </w:p>
    <w:p w14:paraId="6E57FECB" w14:textId="390638F8" w:rsidR="008432F8" w:rsidRPr="00E4265B" w:rsidRDefault="004A06E0" w:rsidP="004A06E0">
      <w:pPr>
        <w:pStyle w:val="Heading5"/>
        <w:numPr>
          <w:ilvl w:val="0"/>
          <w:numId w:val="0"/>
        </w:numPr>
        <w:ind w:left="936"/>
        <w:rPr>
          <w:rFonts w:ascii="Arial" w:hAnsi="Arial" w:cs="Arial"/>
          <w:b/>
          <w:sz w:val="22"/>
          <w:szCs w:val="22"/>
        </w:rPr>
      </w:pPr>
      <w:r w:rsidRPr="00E4265B">
        <w:rPr>
          <w:rFonts w:ascii="Arial" w:hAnsi="Arial" w:cs="Arial"/>
          <w:b/>
          <w:sz w:val="22"/>
          <w:szCs w:val="22"/>
        </w:rPr>
        <w:t>W</w:t>
      </w:r>
      <w:r w:rsidR="00BE2EA6" w:rsidRPr="00E4265B">
        <w:rPr>
          <w:rFonts w:ascii="Arial" w:hAnsi="Arial" w:cs="Arial"/>
          <w:b/>
          <w:sz w:val="22"/>
          <w:szCs w:val="22"/>
        </w:rPr>
        <w:t xml:space="preserve">eighted average of the </w:t>
      </w:r>
      <w:r w:rsidRPr="00E4265B">
        <w:rPr>
          <w:rFonts w:ascii="Arial" w:hAnsi="Arial" w:cs="Arial"/>
          <w:b/>
          <w:sz w:val="22"/>
          <w:szCs w:val="22"/>
        </w:rPr>
        <w:t>C</w:t>
      </w:r>
      <w:r w:rsidR="00BE2EA6" w:rsidRPr="00E4265B">
        <w:rPr>
          <w:rFonts w:ascii="Arial" w:hAnsi="Arial" w:cs="Arial"/>
          <w:b/>
          <w:sz w:val="22"/>
          <w:szCs w:val="22"/>
        </w:rPr>
        <w:t xml:space="preserve">ountercyclical </w:t>
      </w:r>
      <w:r w:rsidRPr="00E4265B">
        <w:rPr>
          <w:rFonts w:ascii="Arial" w:hAnsi="Arial" w:cs="Arial"/>
          <w:b/>
          <w:sz w:val="22"/>
          <w:szCs w:val="22"/>
        </w:rPr>
        <w:t>Capital B</w:t>
      </w:r>
      <w:r w:rsidR="00BE2EA6" w:rsidRPr="00E4265B">
        <w:rPr>
          <w:rFonts w:ascii="Arial" w:hAnsi="Arial" w:cs="Arial"/>
          <w:b/>
          <w:sz w:val="22"/>
          <w:szCs w:val="22"/>
        </w:rPr>
        <w:t>uffer rates</w:t>
      </w:r>
    </w:p>
    <w:p w14:paraId="51E91D5D" w14:textId="219B918B" w:rsidR="00BE2EA6" w:rsidRPr="00E4265B" w:rsidRDefault="008432F8" w:rsidP="004A06E0">
      <w:pPr>
        <w:pStyle w:val="Heading4"/>
        <w:rPr>
          <w:rFonts w:ascii="Arial" w:hAnsi="Arial" w:cs="Arial"/>
          <w:sz w:val="22"/>
          <w:szCs w:val="22"/>
        </w:rPr>
      </w:pPr>
      <w:r w:rsidRPr="00E4265B">
        <w:rPr>
          <w:rFonts w:ascii="Arial" w:hAnsi="Arial" w:cs="Arial"/>
          <w:sz w:val="22"/>
          <w:szCs w:val="22"/>
        </w:rPr>
        <w:t xml:space="preserve">The weighted average of the </w:t>
      </w:r>
      <w:r w:rsidR="004A06E0" w:rsidRPr="00E4265B">
        <w:rPr>
          <w:rFonts w:ascii="Arial" w:hAnsi="Arial" w:cs="Arial"/>
          <w:sz w:val="22"/>
          <w:szCs w:val="22"/>
        </w:rPr>
        <w:t>C</w:t>
      </w:r>
      <w:r w:rsidRPr="00E4265B">
        <w:rPr>
          <w:rFonts w:ascii="Arial" w:hAnsi="Arial" w:cs="Arial"/>
          <w:sz w:val="22"/>
          <w:szCs w:val="22"/>
        </w:rPr>
        <w:t xml:space="preserve">ountercyclical </w:t>
      </w:r>
      <w:r w:rsidR="004A06E0" w:rsidRPr="00E4265B">
        <w:rPr>
          <w:rFonts w:ascii="Arial" w:hAnsi="Arial" w:cs="Arial"/>
          <w:sz w:val="22"/>
          <w:szCs w:val="22"/>
        </w:rPr>
        <w:t>Capital B</w:t>
      </w:r>
      <w:r w:rsidRPr="00E4265B">
        <w:rPr>
          <w:rFonts w:ascii="Arial" w:hAnsi="Arial" w:cs="Arial"/>
          <w:sz w:val="22"/>
          <w:szCs w:val="22"/>
        </w:rPr>
        <w:t>uffer rates shall be calculated by</w:t>
      </w:r>
      <w:r w:rsidR="00BE2EA6" w:rsidRPr="00E4265B">
        <w:rPr>
          <w:rFonts w:ascii="Arial" w:hAnsi="Arial" w:cs="Arial"/>
          <w:sz w:val="22"/>
          <w:szCs w:val="22"/>
        </w:rPr>
        <w:t>:</w:t>
      </w:r>
    </w:p>
    <w:p w14:paraId="57F7B7E0" w14:textId="4E8B1CC6" w:rsidR="00BE2EA6" w:rsidRPr="00E4265B" w:rsidRDefault="003F4CA3" w:rsidP="00165C0D">
      <w:pPr>
        <w:pStyle w:val="Heading5"/>
        <w:rPr>
          <w:rFonts w:ascii="Arial" w:hAnsi="Arial" w:cs="Arial"/>
          <w:sz w:val="22"/>
          <w:szCs w:val="22"/>
        </w:rPr>
      </w:pPr>
      <w:r w:rsidRPr="00E4265B">
        <w:rPr>
          <w:rFonts w:ascii="Arial" w:hAnsi="Arial" w:cs="Arial"/>
          <w:sz w:val="22"/>
          <w:szCs w:val="22"/>
        </w:rPr>
        <w:t xml:space="preserve">for each jurisdiction in which the Authorised Person has </w:t>
      </w:r>
      <w:r w:rsidR="009A3EEE" w:rsidRPr="00E4265B">
        <w:rPr>
          <w:rFonts w:ascii="Arial" w:hAnsi="Arial" w:cs="Arial"/>
          <w:sz w:val="22"/>
          <w:szCs w:val="22"/>
        </w:rPr>
        <w:t>private sector credit</w:t>
      </w:r>
      <w:r w:rsidRPr="00E4265B">
        <w:rPr>
          <w:rFonts w:ascii="Arial" w:hAnsi="Arial" w:cs="Arial"/>
          <w:sz w:val="22"/>
          <w:szCs w:val="22"/>
        </w:rPr>
        <w:t xml:space="preserve"> exposures,</w:t>
      </w:r>
      <w:r w:rsidR="008432F8" w:rsidRPr="00E4265B">
        <w:rPr>
          <w:rFonts w:ascii="Arial" w:hAnsi="Arial" w:cs="Arial"/>
          <w:sz w:val="22"/>
          <w:szCs w:val="22"/>
        </w:rPr>
        <w:t xml:space="preserve"> dividing the Total Risk Exposure Amount that relates to the </w:t>
      </w:r>
      <w:r w:rsidR="009A3EEE" w:rsidRPr="00E4265B">
        <w:rPr>
          <w:rFonts w:ascii="Arial" w:hAnsi="Arial" w:cs="Arial"/>
          <w:sz w:val="22"/>
          <w:szCs w:val="22"/>
        </w:rPr>
        <w:t>private sector credit</w:t>
      </w:r>
      <w:r w:rsidRPr="00E4265B">
        <w:rPr>
          <w:rFonts w:ascii="Arial" w:hAnsi="Arial" w:cs="Arial"/>
          <w:sz w:val="22"/>
          <w:szCs w:val="22"/>
        </w:rPr>
        <w:t xml:space="preserve"> exposures in that</w:t>
      </w:r>
      <w:r w:rsidR="008432F8" w:rsidRPr="00E4265B">
        <w:rPr>
          <w:rFonts w:ascii="Arial" w:hAnsi="Arial" w:cs="Arial"/>
          <w:sz w:val="22"/>
          <w:szCs w:val="22"/>
        </w:rPr>
        <w:t xml:space="preserve"> jurisdiction by the Total Risk Exposure Amount that relates to the Authorised Person's </w:t>
      </w:r>
      <w:r w:rsidR="00165C0D" w:rsidRPr="00E4265B">
        <w:rPr>
          <w:rFonts w:ascii="Arial" w:hAnsi="Arial" w:cs="Arial"/>
          <w:sz w:val="22"/>
          <w:szCs w:val="22"/>
        </w:rPr>
        <w:t xml:space="preserve">private sector credit exposures </w:t>
      </w:r>
      <w:r w:rsidRPr="00E4265B">
        <w:rPr>
          <w:rFonts w:ascii="Arial" w:hAnsi="Arial" w:cs="Arial"/>
          <w:sz w:val="22"/>
          <w:szCs w:val="22"/>
        </w:rPr>
        <w:t>across all jurisdictions</w:t>
      </w:r>
      <w:r w:rsidR="008432F8" w:rsidRPr="00E4265B">
        <w:rPr>
          <w:rFonts w:ascii="Arial" w:hAnsi="Arial" w:cs="Arial"/>
          <w:sz w:val="22"/>
          <w:szCs w:val="22"/>
        </w:rPr>
        <w:t xml:space="preserve"> and multiplying it by the applicable </w:t>
      </w:r>
      <w:r w:rsidR="004A06E0" w:rsidRPr="00E4265B">
        <w:rPr>
          <w:rFonts w:ascii="Arial" w:hAnsi="Arial" w:cs="Arial"/>
          <w:sz w:val="22"/>
          <w:szCs w:val="22"/>
        </w:rPr>
        <w:t>C</w:t>
      </w:r>
      <w:r w:rsidR="008432F8" w:rsidRPr="00E4265B">
        <w:rPr>
          <w:rFonts w:ascii="Arial" w:hAnsi="Arial" w:cs="Arial"/>
          <w:sz w:val="22"/>
          <w:szCs w:val="22"/>
        </w:rPr>
        <w:t xml:space="preserve">ountercyclical </w:t>
      </w:r>
      <w:r w:rsidR="004A06E0" w:rsidRPr="00E4265B">
        <w:rPr>
          <w:rFonts w:ascii="Arial" w:hAnsi="Arial" w:cs="Arial"/>
          <w:sz w:val="22"/>
          <w:szCs w:val="22"/>
        </w:rPr>
        <w:t>Capital B</w:t>
      </w:r>
      <w:r w:rsidR="008432F8" w:rsidRPr="00E4265B">
        <w:rPr>
          <w:rFonts w:ascii="Arial" w:hAnsi="Arial" w:cs="Arial"/>
          <w:sz w:val="22"/>
          <w:szCs w:val="22"/>
        </w:rPr>
        <w:t>uffer rate in that jurisdiction</w:t>
      </w:r>
      <w:r w:rsidRPr="00E4265B">
        <w:rPr>
          <w:rFonts w:ascii="Arial" w:hAnsi="Arial" w:cs="Arial"/>
          <w:sz w:val="22"/>
          <w:szCs w:val="22"/>
        </w:rPr>
        <w:t>; and</w:t>
      </w:r>
    </w:p>
    <w:p w14:paraId="40D6AC8E" w14:textId="23E88A89" w:rsidR="008432F8" w:rsidRPr="00E4265B" w:rsidRDefault="003F4CA3" w:rsidP="00BE2EA6">
      <w:pPr>
        <w:pStyle w:val="Heading5"/>
        <w:rPr>
          <w:rFonts w:ascii="Arial" w:hAnsi="Arial" w:cs="Arial"/>
          <w:sz w:val="22"/>
          <w:szCs w:val="22"/>
        </w:rPr>
      </w:pPr>
      <w:r w:rsidRPr="00E4265B">
        <w:rPr>
          <w:rFonts w:ascii="Arial" w:hAnsi="Arial" w:cs="Arial"/>
          <w:sz w:val="22"/>
          <w:szCs w:val="22"/>
        </w:rPr>
        <w:t>summing those contributions across all jurisdictions</w:t>
      </w:r>
      <w:r w:rsidR="008432F8" w:rsidRPr="00E4265B">
        <w:rPr>
          <w:rFonts w:ascii="Arial" w:hAnsi="Arial" w:cs="Arial"/>
          <w:sz w:val="22"/>
          <w:szCs w:val="22"/>
        </w:rPr>
        <w:t>.</w:t>
      </w:r>
    </w:p>
    <w:p w14:paraId="06A69257" w14:textId="77777777" w:rsidR="008432F8" w:rsidRPr="00E4265B" w:rsidRDefault="00270656" w:rsidP="00270656">
      <w:pPr>
        <w:pStyle w:val="Heading4"/>
        <w:numPr>
          <w:ilvl w:val="0"/>
          <w:numId w:val="0"/>
        </w:numPr>
        <w:ind w:left="936"/>
        <w:rPr>
          <w:rFonts w:ascii="Arial" w:hAnsi="Arial" w:cs="Arial"/>
          <w:b/>
          <w:sz w:val="22"/>
          <w:szCs w:val="22"/>
        </w:rPr>
      </w:pPr>
      <w:r w:rsidRPr="00E4265B">
        <w:rPr>
          <w:rFonts w:ascii="Arial" w:hAnsi="Arial" w:cs="Arial"/>
          <w:b/>
          <w:sz w:val="22"/>
          <w:szCs w:val="22"/>
        </w:rPr>
        <w:t>Geographical location</w:t>
      </w:r>
    </w:p>
    <w:p w14:paraId="3F48C369" w14:textId="0226B063" w:rsidR="00270656" w:rsidRPr="00E4265B" w:rsidRDefault="00270656" w:rsidP="00165C0D">
      <w:pPr>
        <w:pStyle w:val="Heading4"/>
        <w:rPr>
          <w:rFonts w:ascii="Arial" w:hAnsi="Arial" w:cs="Arial"/>
          <w:sz w:val="22"/>
          <w:szCs w:val="22"/>
        </w:rPr>
      </w:pPr>
      <w:r w:rsidRPr="00E4265B">
        <w:rPr>
          <w:rFonts w:ascii="Arial" w:hAnsi="Arial" w:cs="Arial"/>
          <w:sz w:val="22"/>
          <w:szCs w:val="22"/>
        </w:rPr>
        <w:t xml:space="preserve">For the purposes of the calculation of the </w:t>
      </w:r>
      <w:r w:rsidR="00E847D3" w:rsidRPr="00E4265B">
        <w:rPr>
          <w:rFonts w:ascii="Arial" w:hAnsi="Arial" w:cs="Arial"/>
          <w:sz w:val="22"/>
          <w:szCs w:val="22"/>
        </w:rPr>
        <w:t xml:space="preserve">weighted average of the applicable </w:t>
      </w:r>
      <w:r w:rsidR="004A06E0" w:rsidRPr="00E4265B">
        <w:rPr>
          <w:rFonts w:ascii="Arial" w:hAnsi="Arial" w:cs="Arial"/>
          <w:sz w:val="22"/>
          <w:szCs w:val="22"/>
        </w:rPr>
        <w:t>C</w:t>
      </w:r>
      <w:r w:rsidR="00E847D3" w:rsidRPr="00E4265B">
        <w:rPr>
          <w:rFonts w:ascii="Arial" w:hAnsi="Arial" w:cs="Arial"/>
          <w:sz w:val="22"/>
          <w:szCs w:val="22"/>
        </w:rPr>
        <w:t xml:space="preserve">ountercyclical </w:t>
      </w:r>
      <w:r w:rsidR="004A06E0" w:rsidRPr="00E4265B">
        <w:rPr>
          <w:rFonts w:ascii="Arial" w:hAnsi="Arial" w:cs="Arial"/>
          <w:sz w:val="22"/>
          <w:szCs w:val="22"/>
        </w:rPr>
        <w:t>Capital B</w:t>
      </w:r>
      <w:r w:rsidR="00E847D3" w:rsidRPr="00E4265B">
        <w:rPr>
          <w:rFonts w:ascii="Arial" w:hAnsi="Arial" w:cs="Arial"/>
          <w:sz w:val="22"/>
          <w:szCs w:val="22"/>
        </w:rPr>
        <w:t>uffer rates</w:t>
      </w:r>
      <w:r w:rsidRPr="00E4265B">
        <w:rPr>
          <w:rFonts w:ascii="Arial" w:hAnsi="Arial" w:cs="Arial"/>
          <w:sz w:val="22"/>
          <w:szCs w:val="22"/>
        </w:rPr>
        <w:t xml:space="preserve"> an Authorised Person must identify, to the best of its ability, the geographical location of its </w:t>
      </w:r>
      <w:r w:rsidR="00165C0D" w:rsidRPr="00E4265B">
        <w:rPr>
          <w:rFonts w:ascii="Arial" w:hAnsi="Arial" w:cs="Arial"/>
          <w:sz w:val="22"/>
          <w:szCs w:val="22"/>
        </w:rPr>
        <w:t xml:space="preserve">private sector credit exposures </w:t>
      </w:r>
      <w:r w:rsidRPr="00E4265B">
        <w:rPr>
          <w:rFonts w:ascii="Arial" w:hAnsi="Arial" w:cs="Arial"/>
          <w:sz w:val="22"/>
          <w:szCs w:val="22"/>
        </w:rPr>
        <w:t>as the jurisdiction where the underlying credit risk ultimately originates.</w:t>
      </w:r>
    </w:p>
    <w:p w14:paraId="657D68A3" w14:textId="77777777" w:rsidR="00270656" w:rsidRPr="00E4265B" w:rsidRDefault="00270656" w:rsidP="00270656">
      <w:pPr>
        <w:pStyle w:val="Heading4"/>
        <w:numPr>
          <w:ilvl w:val="0"/>
          <w:numId w:val="0"/>
        </w:numPr>
        <w:ind w:left="936"/>
        <w:rPr>
          <w:rFonts w:ascii="Arial" w:hAnsi="Arial" w:cs="Arial"/>
          <w:b/>
          <w:sz w:val="22"/>
          <w:szCs w:val="22"/>
        </w:rPr>
      </w:pPr>
      <w:r w:rsidRPr="00E4265B">
        <w:rPr>
          <w:rFonts w:ascii="Arial" w:hAnsi="Arial" w:cs="Arial"/>
          <w:b/>
          <w:sz w:val="22"/>
          <w:szCs w:val="22"/>
        </w:rPr>
        <w:t>Countercyclical Capital Buffer rates</w:t>
      </w:r>
    </w:p>
    <w:p w14:paraId="02C4F607" w14:textId="15AAC4AA" w:rsidR="00B85632" w:rsidRPr="00E4265B" w:rsidRDefault="00B85632" w:rsidP="00165C0D">
      <w:pPr>
        <w:pStyle w:val="Heading4"/>
        <w:tabs>
          <w:tab w:val="clear" w:pos="936"/>
          <w:tab w:val="num" w:pos="851"/>
        </w:tabs>
        <w:ind w:left="1701" w:hanging="1701"/>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For a </w:t>
      </w:r>
      <w:r w:rsidR="00165C0D" w:rsidRPr="00E4265B">
        <w:rPr>
          <w:rFonts w:ascii="Arial" w:hAnsi="Arial" w:cs="Arial"/>
          <w:sz w:val="22"/>
          <w:szCs w:val="22"/>
        </w:rPr>
        <w:t xml:space="preserve">private sector credit exposure </w:t>
      </w:r>
      <w:r w:rsidRPr="00E4265B">
        <w:rPr>
          <w:rFonts w:ascii="Arial" w:hAnsi="Arial" w:cs="Arial"/>
          <w:sz w:val="22"/>
          <w:szCs w:val="22"/>
        </w:rPr>
        <w:t>located in ADGM or the UAE:</w:t>
      </w:r>
    </w:p>
    <w:p w14:paraId="591F0AE9" w14:textId="17B96F29" w:rsidR="00B85632" w:rsidRPr="00E4265B" w:rsidRDefault="00B85632" w:rsidP="00CC70EC">
      <w:pPr>
        <w:spacing w:after="240"/>
        <w:ind w:left="2146" w:hanging="432"/>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Countercyclical Capital Buffer rate is the rate set by the Central Bank from time to time, subject to a maximum rate of 2.5%; and</w:t>
      </w:r>
    </w:p>
    <w:p w14:paraId="16F27879" w14:textId="167D4274" w:rsidR="00B85632" w:rsidRPr="00E4265B" w:rsidRDefault="00B85632" w:rsidP="00CC70EC">
      <w:pPr>
        <w:spacing w:after="240"/>
        <w:ind w:left="2146" w:hanging="432"/>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any increase in the Countercyclical Capital Buffer rate specified by the Central Bank takes effect from the date specified by the Central Bank.</w:t>
      </w:r>
    </w:p>
    <w:p w14:paraId="6F046CAE" w14:textId="3BD3EB0C" w:rsidR="00B85632" w:rsidRPr="00E4265B" w:rsidRDefault="00B85632" w:rsidP="00165C0D">
      <w:pPr>
        <w:pStyle w:val="Heading4"/>
        <w:numPr>
          <w:ilvl w:val="0"/>
          <w:numId w:val="0"/>
        </w:numPr>
        <w:ind w:left="1701" w:hanging="850"/>
        <w:rPr>
          <w:rFonts w:ascii="Arial" w:hAnsi="Arial" w:cs="Arial"/>
          <w:sz w:val="22"/>
          <w:szCs w:val="22"/>
        </w:rPr>
      </w:pPr>
      <w:r w:rsidRPr="00E4265B">
        <w:rPr>
          <w:rFonts w:ascii="Arial" w:hAnsi="Arial" w:cs="Arial"/>
          <w:sz w:val="22"/>
          <w:szCs w:val="22"/>
        </w:rPr>
        <w:t>(2)</w:t>
      </w:r>
      <w:r w:rsidRPr="00E4265B">
        <w:rPr>
          <w:rFonts w:ascii="Arial" w:hAnsi="Arial" w:cs="Arial"/>
          <w:sz w:val="22"/>
          <w:szCs w:val="22"/>
        </w:rPr>
        <w:tab/>
        <w:t xml:space="preserve">For a </w:t>
      </w:r>
      <w:r w:rsidR="00165C0D" w:rsidRPr="00E4265B">
        <w:rPr>
          <w:rFonts w:ascii="Arial" w:hAnsi="Arial" w:cs="Arial"/>
          <w:sz w:val="22"/>
          <w:szCs w:val="22"/>
        </w:rPr>
        <w:t xml:space="preserve">private sector credit exposure </w:t>
      </w:r>
      <w:r w:rsidRPr="00E4265B">
        <w:rPr>
          <w:rFonts w:ascii="Arial" w:hAnsi="Arial" w:cs="Arial"/>
          <w:sz w:val="22"/>
          <w:szCs w:val="22"/>
        </w:rPr>
        <w:t>located in a third country:</w:t>
      </w:r>
    </w:p>
    <w:p w14:paraId="17CA4E4B" w14:textId="51A18293" w:rsidR="00B85632" w:rsidRPr="00E4265B" w:rsidRDefault="00B85632" w:rsidP="00B85632">
      <w:pPr>
        <w:ind w:left="2145" w:hanging="426"/>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Countercyclical Capital Buffer rate is:</w:t>
      </w:r>
    </w:p>
    <w:p w14:paraId="3C1B2A01" w14:textId="77777777" w:rsidR="00165C0D" w:rsidRPr="00E4265B" w:rsidRDefault="00165C0D" w:rsidP="00B85632">
      <w:pPr>
        <w:ind w:left="2145" w:hanging="426"/>
        <w:rPr>
          <w:rFonts w:ascii="Arial" w:hAnsi="Arial" w:cs="Arial"/>
          <w:sz w:val="22"/>
          <w:szCs w:val="22"/>
          <w:lang w:val="en-GB"/>
        </w:rPr>
      </w:pPr>
    </w:p>
    <w:p w14:paraId="472A491F" w14:textId="181D1DD2" w:rsidR="00B85632" w:rsidRPr="00E4265B" w:rsidRDefault="00B85632" w:rsidP="00B85632">
      <w:pPr>
        <w:pStyle w:val="iList"/>
        <w:ind w:left="2694" w:hanging="567"/>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 rate set by the authority responsible for setting the Countercyclical Capital Buffer rate in that third country from time to time; or</w:t>
      </w:r>
    </w:p>
    <w:p w14:paraId="3C43F4BE" w14:textId="18CE3586" w:rsidR="00B85632" w:rsidRPr="00E4265B" w:rsidRDefault="00B85632" w:rsidP="00B85632">
      <w:pPr>
        <w:pStyle w:val="iList"/>
        <w:ind w:left="2694" w:hanging="567"/>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2.5% where the rate set by the third country rate setting authority exceeds 2.5%; or</w:t>
      </w:r>
    </w:p>
    <w:p w14:paraId="1610E5A2" w14:textId="11A79DB9" w:rsidR="00B85632" w:rsidRPr="00E4265B" w:rsidRDefault="00B85632" w:rsidP="0019712D">
      <w:pPr>
        <w:pStyle w:val="iList"/>
        <w:numPr>
          <w:ilvl w:val="0"/>
          <w:numId w:val="65"/>
        </w:numPr>
        <w:ind w:left="2694" w:hanging="567"/>
        <w:rPr>
          <w:rFonts w:ascii="Arial" w:hAnsi="Arial" w:cs="Arial"/>
          <w:sz w:val="22"/>
          <w:szCs w:val="22"/>
          <w:lang w:val="en-GB"/>
        </w:rPr>
      </w:pPr>
      <w:r w:rsidRPr="00E4265B">
        <w:rPr>
          <w:rFonts w:ascii="Arial" w:hAnsi="Arial" w:cs="Arial"/>
          <w:sz w:val="22"/>
          <w:szCs w:val="22"/>
          <w:lang w:val="en-GB"/>
        </w:rPr>
        <w:lastRenderedPageBreak/>
        <w:t xml:space="preserve">the rate set by the Central Bank where it sets a rate for a </w:t>
      </w:r>
      <w:r w:rsidR="00165C0D" w:rsidRPr="00E4265B">
        <w:rPr>
          <w:rFonts w:ascii="Arial" w:hAnsi="Arial" w:cs="Arial"/>
          <w:sz w:val="22"/>
          <w:szCs w:val="22"/>
        </w:rPr>
        <w:t>private sector credit exposure</w:t>
      </w:r>
      <w:r w:rsidRPr="00E4265B">
        <w:rPr>
          <w:rFonts w:ascii="Arial" w:hAnsi="Arial" w:cs="Arial"/>
          <w:sz w:val="22"/>
          <w:szCs w:val="22"/>
          <w:lang w:val="en-GB"/>
        </w:rPr>
        <w:t xml:space="preserve"> in the third country that exceeds that set by the third-country rate-setting authority, up to a maximum of 2.5%; or</w:t>
      </w:r>
    </w:p>
    <w:p w14:paraId="21462BB4" w14:textId="32752E9D" w:rsidR="00B85632" w:rsidRPr="00E4265B" w:rsidRDefault="00B85632" w:rsidP="00B85632">
      <w:pPr>
        <w:pStyle w:val="iList"/>
        <w:ind w:left="2694" w:hanging="567"/>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zero where the third country rate setting authority has not set a Countercyclical Capital Buffer rate for that jurisdiction and the Central Bank does not specify such a rate; and</w:t>
      </w:r>
    </w:p>
    <w:p w14:paraId="1C07668B" w14:textId="7F52F615" w:rsidR="00B85632" w:rsidRPr="00E4265B" w:rsidRDefault="00B85632" w:rsidP="00CC70EC">
      <w:pPr>
        <w:spacing w:after="240"/>
        <w:ind w:left="2146" w:hanging="432"/>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any increase in the applicable Countercyclical Capital Buffer rate shall take effect from the date specified by the third country rate setting authority or the Central Bank, as appropriate;</w:t>
      </w:r>
    </w:p>
    <w:p w14:paraId="47E79B5F" w14:textId="6E872AE5" w:rsidR="001C1541" w:rsidRPr="00E4265B" w:rsidRDefault="00B85632" w:rsidP="00757656">
      <w:pPr>
        <w:pStyle w:val="Heading4"/>
        <w:numPr>
          <w:ilvl w:val="0"/>
          <w:numId w:val="0"/>
        </w:numPr>
        <w:ind w:left="1701" w:hanging="850"/>
        <w:rPr>
          <w:rFonts w:ascii="Arial" w:hAnsi="Arial" w:cs="Arial"/>
          <w:sz w:val="22"/>
          <w:szCs w:val="22"/>
        </w:rPr>
      </w:pPr>
      <w:r w:rsidRPr="00E4265B">
        <w:rPr>
          <w:rFonts w:ascii="Arial" w:hAnsi="Arial" w:cs="Arial"/>
          <w:sz w:val="22"/>
          <w:szCs w:val="22"/>
        </w:rPr>
        <w:t>(3)</w:t>
      </w:r>
      <w:r w:rsidRPr="00E4265B">
        <w:rPr>
          <w:rFonts w:ascii="Arial" w:hAnsi="Arial" w:cs="Arial"/>
          <w:sz w:val="22"/>
          <w:szCs w:val="22"/>
        </w:rPr>
        <w:tab/>
        <w:t xml:space="preserve">Subject to (2)(a)(ii) and (iii) above for a </w:t>
      </w:r>
      <w:r w:rsidR="00757656" w:rsidRPr="00E4265B">
        <w:rPr>
          <w:rFonts w:ascii="Arial" w:hAnsi="Arial" w:cs="Arial"/>
          <w:sz w:val="22"/>
          <w:szCs w:val="22"/>
        </w:rPr>
        <w:t xml:space="preserve">private sector credit exposure </w:t>
      </w:r>
      <w:r w:rsidRPr="00E4265B">
        <w:rPr>
          <w:rFonts w:ascii="Arial" w:hAnsi="Arial" w:cs="Arial"/>
          <w:sz w:val="22"/>
          <w:szCs w:val="22"/>
        </w:rPr>
        <w:t>in a third country, where a Countercyclical Capital Buffer rate for a jurisdiction is reduced that reduction shall take effect immediately.</w:t>
      </w:r>
    </w:p>
    <w:p w14:paraId="152686B3" w14:textId="77777777" w:rsidR="00431E20" w:rsidRPr="00E4265B" w:rsidRDefault="00431E20" w:rsidP="00431E20">
      <w:pPr>
        <w:pStyle w:val="Heading5"/>
        <w:numPr>
          <w:ilvl w:val="0"/>
          <w:numId w:val="0"/>
        </w:numPr>
        <w:ind w:left="936"/>
        <w:rPr>
          <w:rFonts w:ascii="Arial" w:hAnsi="Arial" w:cs="Arial"/>
          <w:b/>
          <w:sz w:val="22"/>
          <w:szCs w:val="22"/>
        </w:rPr>
      </w:pPr>
      <w:r w:rsidRPr="00E4265B">
        <w:rPr>
          <w:rFonts w:ascii="Arial" w:hAnsi="Arial" w:cs="Arial"/>
          <w:b/>
          <w:sz w:val="22"/>
          <w:szCs w:val="22"/>
        </w:rPr>
        <w:t>Guidance</w:t>
      </w:r>
    </w:p>
    <w:p w14:paraId="020A4F68" w14:textId="6E95DBA1" w:rsidR="00DE5190" w:rsidRPr="00E4265B" w:rsidRDefault="00431E20" w:rsidP="00757656">
      <w:pPr>
        <w:pStyle w:val="Heading5"/>
        <w:numPr>
          <w:ilvl w:val="0"/>
          <w:numId w:val="0"/>
        </w:numPr>
        <w:ind w:left="993"/>
        <w:rPr>
          <w:rFonts w:ascii="Arial" w:hAnsi="Arial" w:cs="Arial"/>
          <w:sz w:val="22"/>
          <w:szCs w:val="22"/>
        </w:rPr>
      </w:pPr>
      <w:r w:rsidRPr="00E4265B">
        <w:rPr>
          <w:rFonts w:ascii="Arial" w:hAnsi="Arial" w:cs="Arial"/>
          <w:sz w:val="22"/>
          <w:szCs w:val="22"/>
        </w:rPr>
        <w:t xml:space="preserve">An example of the calculation of the Countercyclical Capital Buffer follows, for an Authorised Person with </w:t>
      </w:r>
      <w:r w:rsidR="00757656" w:rsidRPr="00E4265B">
        <w:rPr>
          <w:rFonts w:ascii="Arial" w:hAnsi="Arial" w:cs="Arial"/>
          <w:sz w:val="22"/>
          <w:szCs w:val="22"/>
        </w:rPr>
        <w:t xml:space="preserve">private sector credit exposures </w:t>
      </w:r>
      <w:r w:rsidRPr="00E4265B">
        <w:rPr>
          <w:rFonts w:ascii="Arial" w:hAnsi="Arial" w:cs="Arial"/>
          <w:sz w:val="22"/>
          <w:szCs w:val="22"/>
        </w:rPr>
        <w:t>in countries A, B and C of 60, 25 and 15 respectively, and where the applicable Countercyclical Capital Buffer rates are 2.0%, 1.0% and 1.5% respectively.</w:t>
      </w:r>
    </w:p>
    <w:p w14:paraId="1993F82F" w14:textId="284CD4A7" w:rsidR="00DE5190" w:rsidRPr="00E4265B" w:rsidRDefault="00DE5190">
      <w:pPr>
        <w:rPr>
          <w:rFonts w:ascii="Arial" w:eastAsiaTheme="majorEastAsia" w:hAnsi="Arial" w:cs="Arial"/>
          <w:sz w:val="22"/>
          <w:szCs w:val="22"/>
          <w:lang w:val="en-GB"/>
        </w:rPr>
      </w:pPr>
    </w:p>
    <w:tbl>
      <w:tblPr>
        <w:tblW w:w="9000" w:type="dxa"/>
        <w:tblInd w:w="288" w:type="dxa"/>
        <w:tblLook w:val="04A0" w:firstRow="1" w:lastRow="0" w:firstColumn="1" w:lastColumn="0" w:noHBand="0" w:noVBand="1"/>
      </w:tblPr>
      <w:tblGrid>
        <w:gridCol w:w="3330"/>
        <w:gridCol w:w="1980"/>
        <w:gridCol w:w="900"/>
        <w:gridCol w:w="900"/>
        <w:gridCol w:w="963"/>
        <w:gridCol w:w="990"/>
      </w:tblGrid>
      <w:tr w:rsidR="00431E20" w:rsidRPr="00E4265B" w14:paraId="4A5810BD" w14:textId="77777777" w:rsidTr="00DE5190">
        <w:trPr>
          <w:trHeight w:val="432"/>
        </w:trPr>
        <w:tc>
          <w:tcPr>
            <w:tcW w:w="333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094FC1B" w14:textId="0353FA18" w:rsidR="00431E20" w:rsidRPr="00E4265B" w:rsidRDefault="00431E20" w:rsidP="00B85632">
            <w:pPr>
              <w:rPr>
                <w:rFonts w:ascii="Arial" w:eastAsia="Times New Roman" w:hAnsi="Arial" w:cs="Arial"/>
                <w:color w:val="000000"/>
                <w:sz w:val="22"/>
                <w:szCs w:val="22"/>
                <w:lang w:val="en-GB" w:eastAsia="en-GB"/>
              </w:rPr>
            </w:pPr>
          </w:p>
        </w:tc>
        <w:tc>
          <w:tcPr>
            <w:tcW w:w="1980" w:type="dxa"/>
            <w:tcBorders>
              <w:top w:val="single" w:sz="4" w:space="0" w:color="auto"/>
              <w:left w:val="nil"/>
              <w:bottom w:val="single" w:sz="4" w:space="0" w:color="auto"/>
              <w:right w:val="single" w:sz="4" w:space="0" w:color="auto"/>
            </w:tcBorders>
            <w:shd w:val="clear" w:color="000000" w:fill="BFBFBF"/>
            <w:noWrap/>
            <w:vAlign w:val="center"/>
            <w:hideMark/>
          </w:tcPr>
          <w:p w14:paraId="4E9881E9" w14:textId="47A50DD0" w:rsidR="00431E20" w:rsidRPr="00E4265B" w:rsidRDefault="00431E20" w:rsidP="00B85632">
            <w:pPr>
              <w:rPr>
                <w:rFonts w:ascii="Arial" w:eastAsia="Times New Roman" w:hAnsi="Arial" w:cs="Arial"/>
                <w:b/>
                <w:bCs/>
                <w:color w:val="000000"/>
                <w:sz w:val="22"/>
                <w:szCs w:val="22"/>
                <w:lang w:val="en-GB" w:eastAsia="en-GB"/>
              </w:rPr>
            </w:pPr>
            <w:r w:rsidRPr="00E4265B">
              <w:rPr>
                <w:rFonts w:ascii="Arial" w:eastAsia="Times New Roman" w:hAnsi="Arial" w:cs="Arial"/>
                <w:b/>
                <w:bCs/>
                <w:color w:val="000000"/>
                <w:sz w:val="22"/>
                <w:szCs w:val="22"/>
                <w:lang w:val="en-GB" w:eastAsia="en-GB"/>
              </w:rPr>
              <w:t>Rule</w:t>
            </w:r>
            <w:r w:rsidR="00FE1A04" w:rsidRPr="00E4265B">
              <w:rPr>
                <w:rFonts w:ascii="Arial" w:eastAsia="Times New Roman" w:hAnsi="Arial" w:cs="Arial"/>
                <w:b/>
                <w:bCs/>
                <w:color w:val="000000"/>
                <w:sz w:val="22"/>
                <w:szCs w:val="22"/>
                <w:lang w:val="en-GB" w:eastAsia="en-GB"/>
              </w:rPr>
              <w:t>(s)</w:t>
            </w:r>
          </w:p>
        </w:tc>
        <w:tc>
          <w:tcPr>
            <w:tcW w:w="900" w:type="dxa"/>
            <w:tcBorders>
              <w:top w:val="single" w:sz="4" w:space="0" w:color="auto"/>
              <w:left w:val="nil"/>
              <w:bottom w:val="single" w:sz="4" w:space="0" w:color="auto"/>
              <w:right w:val="single" w:sz="4" w:space="0" w:color="auto"/>
            </w:tcBorders>
            <w:shd w:val="clear" w:color="000000" w:fill="BFBFBF"/>
            <w:noWrap/>
            <w:vAlign w:val="center"/>
            <w:hideMark/>
          </w:tcPr>
          <w:p w14:paraId="4BBC99EA" w14:textId="77777777" w:rsidR="00431E20" w:rsidRPr="00E4265B" w:rsidRDefault="00431E20" w:rsidP="00B85632">
            <w:pPr>
              <w:jc w:val="center"/>
              <w:rPr>
                <w:rFonts w:ascii="Arial" w:eastAsia="Times New Roman" w:hAnsi="Arial" w:cs="Arial"/>
                <w:b/>
                <w:bCs/>
                <w:color w:val="000000"/>
                <w:sz w:val="22"/>
                <w:szCs w:val="22"/>
                <w:lang w:val="en-GB" w:eastAsia="en-GB"/>
              </w:rPr>
            </w:pPr>
            <w:r w:rsidRPr="00E4265B">
              <w:rPr>
                <w:rFonts w:ascii="Arial" w:eastAsia="Times New Roman" w:hAnsi="Arial" w:cs="Arial"/>
                <w:b/>
                <w:bCs/>
                <w:color w:val="000000"/>
                <w:sz w:val="22"/>
                <w:szCs w:val="22"/>
                <w:lang w:val="en-GB" w:eastAsia="en-GB"/>
              </w:rPr>
              <w:t>A</w:t>
            </w:r>
          </w:p>
        </w:tc>
        <w:tc>
          <w:tcPr>
            <w:tcW w:w="900" w:type="dxa"/>
            <w:tcBorders>
              <w:top w:val="single" w:sz="4" w:space="0" w:color="auto"/>
              <w:left w:val="nil"/>
              <w:bottom w:val="single" w:sz="4" w:space="0" w:color="auto"/>
              <w:right w:val="single" w:sz="4" w:space="0" w:color="auto"/>
            </w:tcBorders>
            <w:shd w:val="clear" w:color="000000" w:fill="BFBFBF"/>
            <w:noWrap/>
            <w:vAlign w:val="center"/>
            <w:hideMark/>
          </w:tcPr>
          <w:p w14:paraId="1D6990C8" w14:textId="77777777" w:rsidR="00431E20" w:rsidRPr="00E4265B" w:rsidRDefault="00431E20" w:rsidP="00B85632">
            <w:pPr>
              <w:jc w:val="center"/>
              <w:rPr>
                <w:rFonts w:ascii="Arial" w:eastAsia="Times New Roman" w:hAnsi="Arial" w:cs="Arial"/>
                <w:b/>
                <w:bCs/>
                <w:color w:val="000000"/>
                <w:sz w:val="22"/>
                <w:szCs w:val="22"/>
                <w:lang w:val="en-GB" w:eastAsia="en-GB"/>
              </w:rPr>
            </w:pPr>
            <w:r w:rsidRPr="00E4265B">
              <w:rPr>
                <w:rFonts w:ascii="Arial" w:eastAsia="Times New Roman" w:hAnsi="Arial" w:cs="Arial"/>
                <w:b/>
                <w:bCs/>
                <w:color w:val="000000"/>
                <w:sz w:val="22"/>
                <w:szCs w:val="22"/>
                <w:lang w:val="en-GB" w:eastAsia="en-GB"/>
              </w:rPr>
              <w:t>B</w:t>
            </w:r>
          </w:p>
        </w:tc>
        <w:tc>
          <w:tcPr>
            <w:tcW w:w="900" w:type="dxa"/>
            <w:tcBorders>
              <w:top w:val="single" w:sz="4" w:space="0" w:color="auto"/>
              <w:left w:val="nil"/>
              <w:bottom w:val="single" w:sz="4" w:space="0" w:color="auto"/>
              <w:right w:val="single" w:sz="4" w:space="0" w:color="auto"/>
            </w:tcBorders>
            <w:shd w:val="clear" w:color="000000" w:fill="BFBFBF"/>
            <w:noWrap/>
            <w:vAlign w:val="center"/>
            <w:hideMark/>
          </w:tcPr>
          <w:p w14:paraId="75E41C46" w14:textId="77777777" w:rsidR="00431E20" w:rsidRPr="00E4265B" w:rsidRDefault="00431E20" w:rsidP="00B85632">
            <w:pPr>
              <w:jc w:val="center"/>
              <w:rPr>
                <w:rFonts w:ascii="Arial" w:eastAsia="Times New Roman" w:hAnsi="Arial" w:cs="Arial"/>
                <w:b/>
                <w:bCs/>
                <w:color w:val="000000"/>
                <w:sz w:val="22"/>
                <w:szCs w:val="22"/>
                <w:lang w:val="en-GB" w:eastAsia="en-GB"/>
              </w:rPr>
            </w:pPr>
            <w:r w:rsidRPr="00E4265B">
              <w:rPr>
                <w:rFonts w:ascii="Arial" w:eastAsia="Times New Roman" w:hAnsi="Arial" w:cs="Arial"/>
                <w:b/>
                <w:bCs/>
                <w:color w:val="000000"/>
                <w:sz w:val="22"/>
                <w:szCs w:val="22"/>
                <w:lang w:val="en-GB" w:eastAsia="en-GB"/>
              </w:rPr>
              <w:t>C</w:t>
            </w:r>
          </w:p>
        </w:tc>
        <w:tc>
          <w:tcPr>
            <w:tcW w:w="990" w:type="dxa"/>
            <w:tcBorders>
              <w:top w:val="single" w:sz="4" w:space="0" w:color="auto"/>
              <w:left w:val="nil"/>
              <w:bottom w:val="single" w:sz="4" w:space="0" w:color="auto"/>
              <w:right w:val="single" w:sz="4" w:space="0" w:color="auto"/>
            </w:tcBorders>
            <w:shd w:val="clear" w:color="000000" w:fill="BFBFBF"/>
            <w:noWrap/>
            <w:vAlign w:val="center"/>
            <w:hideMark/>
          </w:tcPr>
          <w:p w14:paraId="4B1D9E8B" w14:textId="77777777" w:rsidR="00431E20" w:rsidRPr="00E4265B" w:rsidRDefault="00431E20" w:rsidP="00B85632">
            <w:pPr>
              <w:jc w:val="center"/>
              <w:rPr>
                <w:rFonts w:ascii="Arial" w:eastAsia="Times New Roman" w:hAnsi="Arial" w:cs="Arial"/>
                <w:b/>
                <w:bCs/>
                <w:color w:val="000000"/>
                <w:sz w:val="22"/>
                <w:szCs w:val="22"/>
                <w:lang w:val="en-GB" w:eastAsia="en-GB"/>
              </w:rPr>
            </w:pPr>
            <w:r w:rsidRPr="00E4265B">
              <w:rPr>
                <w:rFonts w:ascii="Arial" w:eastAsia="Times New Roman" w:hAnsi="Arial" w:cs="Arial"/>
                <w:b/>
                <w:bCs/>
                <w:color w:val="000000"/>
                <w:sz w:val="22"/>
                <w:szCs w:val="22"/>
                <w:lang w:val="en-GB" w:eastAsia="en-GB"/>
              </w:rPr>
              <w:t>Total</w:t>
            </w:r>
          </w:p>
        </w:tc>
      </w:tr>
      <w:tr w:rsidR="00431E20" w:rsidRPr="00E4265B" w14:paraId="7F7FF639" w14:textId="77777777" w:rsidTr="00DE5190">
        <w:trPr>
          <w:trHeight w:val="43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F86FF1F" w14:textId="77777777" w:rsidR="00431E20" w:rsidRPr="00E4265B" w:rsidRDefault="00431E20" w:rsidP="00B85632">
            <w:pPr>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Countercyclical Capital Buffer rate - applicable</w:t>
            </w:r>
          </w:p>
        </w:tc>
        <w:tc>
          <w:tcPr>
            <w:tcW w:w="1980" w:type="dxa"/>
            <w:tcBorders>
              <w:top w:val="nil"/>
              <w:left w:val="nil"/>
              <w:bottom w:val="single" w:sz="4" w:space="0" w:color="auto"/>
              <w:right w:val="single" w:sz="4" w:space="0" w:color="auto"/>
            </w:tcBorders>
            <w:shd w:val="clear" w:color="auto" w:fill="auto"/>
            <w:noWrap/>
            <w:vAlign w:val="center"/>
            <w:hideMark/>
          </w:tcPr>
          <w:p w14:paraId="68F627A5" w14:textId="77777777" w:rsidR="00431E20" w:rsidRPr="00E4265B" w:rsidRDefault="00431E20" w:rsidP="00B85632">
            <w:pPr>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3.18.8</w:t>
            </w:r>
          </w:p>
        </w:tc>
        <w:tc>
          <w:tcPr>
            <w:tcW w:w="900" w:type="dxa"/>
            <w:tcBorders>
              <w:top w:val="nil"/>
              <w:left w:val="nil"/>
              <w:bottom w:val="single" w:sz="4" w:space="0" w:color="auto"/>
              <w:right w:val="single" w:sz="4" w:space="0" w:color="auto"/>
            </w:tcBorders>
            <w:shd w:val="clear" w:color="auto" w:fill="auto"/>
            <w:noWrap/>
            <w:vAlign w:val="center"/>
            <w:hideMark/>
          </w:tcPr>
          <w:p w14:paraId="465BC78C" w14:textId="77777777" w:rsidR="00431E20" w:rsidRPr="00E4265B" w:rsidRDefault="00431E20" w:rsidP="00B85632">
            <w:pPr>
              <w:jc w:val="right"/>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2.0%</w:t>
            </w:r>
          </w:p>
        </w:tc>
        <w:tc>
          <w:tcPr>
            <w:tcW w:w="900" w:type="dxa"/>
            <w:tcBorders>
              <w:top w:val="nil"/>
              <w:left w:val="nil"/>
              <w:bottom w:val="single" w:sz="4" w:space="0" w:color="auto"/>
              <w:right w:val="single" w:sz="4" w:space="0" w:color="auto"/>
            </w:tcBorders>
            <w:shd w:val="clear" w:color="auto" w:fill="auto"/>
            <w:noWrap/>
            <w:vAlign w:val="center"/>
            <w:hideMark/>
          </w:tcPr>
          <w:p w14:paraId="4A032132" w14:textId="77777777" w:rsidR="00431E20" w:rsidRPr="00E4265B" w:rsidRDefault="00431E20" w:rsidP="00B85632">
            <w:pPr>
              <w:jc w:val="right"/>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1.0%</w:t>
            </w:r>
          </w:p>
        </w:tc>
        <w:tc>
          <w:tcPr>
            <w:tcW w:w="900" w:type="dxa"/>
            <w:tcBorders>
              <w:top w:val="nil"/>
              <w:left w:val="nil"/>
              <w:bottom w:val="single" w:sz="4" w:space="0" w:color="auto"/>
              <w:right w:val="single" w:sz="4" w:space="0" w:color="auto"/>
            </w:tcBorders>
            <w:shd w:val="clear" w:color="auto" w:fill="auto"/>
            <w:noWrap/>
            <w:vAlign w:val="center"/>
            <w:hideMark/>
          </w:tcPr>
          <w:p w14:paraId="751D651C" w14:textId="77777777" w:rsidR="00431E20" w:rsidRPr="00E4265B" w:rsidRDefault="00431E20" w:rsidP="00B85632">
            <w:pPr>
              <w:jc w:val="right"/>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1.5%</w:t>
            </w:r>
          </w:p>
        </w:tc>
        <w:tc>
          <w:tcPr>
            <w:tcW w:w="990" w:type="dxa"/>
            <w:tcBorders>
              <w:top w:val="nil"/>
              <w:left w:val="nil"/>
              <w:bottom w:val="single" w:sz="4" w:space="0" w:color="auto"/>
              <w:right w:val="single" w:sz="4" w:space="0" w:color="auto"/>
            </w:tcBorders>
            <w:shd w:val="clear" w:color="auto" w:fill="D9D9D9" w:themeFill="background1" w:themeFillShade="D9"/>
            <w:noWrap/>
            <w:vAlign w:val="center"/>
            <w:hideMark/>
          </w:tcPr>
          <w:p w14:paraId="03BCDD3C" w14:textId="77777777" w:rsidR="00431E20" w:rsidRPr="00E4265B" w:rsidRDefault="00431E20" w:rsidP="00B85632">
            <w:pPr>
              <w:jc w:val="right"/>
              <w:rPr>
                <w:rFonts w:ascii="Arial" w:eastAsia="Times New Roman" w:hAnsi="Arial" w:cs="Arial"/>
                <w:color w:val="000000"/>
                <w:sz w:val="22"/>
                <w:szCs w:val="22"/>
                <w:lang w:val="en-GB" w:eastAsia="en-GB"/>
              </w:rPr>
            </w:pPr>
          </w:p>
        </w:tc>
      </w:tr>
      <w:tr w:rsidR="00431E20" w:rsidRPr="00E4265B" w14:paraId="57FDACAB" w14:textId="77777777" w:rsidTr="00DE5190">
        <w:trPr>
          <w:trHeight w:val="43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6B15E815" w14:textId="3907691D" w:rsidR="00431E20" w:rsidRPr="00E4265B" w:rsidRDefault="00757656" w:rsidP="00B85632">
            <w:pPr>
              <w:rPr>
                <w:rFonts w:ascii="Arial" w:eastAsia="Times New Roman" w:hAnsi="Arial" w:cs="Arial"/>
                <w:color w:val="000000"/>
                <w:sz w:val="22"/>
                <w:szCs w:val="22"/>
                <w:lang w:val="en-GB" w:eastAsia="en-GB"/>
              </w:rPr>
            </w:pPr>
            <w:r w:rsidRPr="00E4265B">
              <w:rPr>
                <w:rFonts w:ascii="Arial" w:hAnsi="Arial" w:cs="Arial"/>
                <w:sz w:val="22"/>
                <w:szCs w:val="22"/>
              </w:rPr>
              <w:t>Private sector credit exposures</w:t>
            </w:r>
          </w:p>
        </w:tc>
        <w:tc>
          <w:tcPr>
            <w:tcW w:w="1980" w:type="dxa"/>
            <w:tcBorders>
              <w:top w:val="nil"/>
              <w:left w:val="nil"/>
              <w:bottom w:val="single" w:sz="4" w:space="0" w:color="auto"/>
              <w:right w:val="single" w:sz="4" w:space="0" w:color="auto"/>
            </w:tcBorders>
            <w:shd w:val="clear" w:color="auto" w:fill="auto"/>
            <w:noWrap/>
            <w:vAlign w:val="center"/>
            <w:hideMark/>
          </w:tcPr>
          <w:p w14:paraId="427565BD" w14:textId="77777777" w:rsidR="00431E20" w:rsidRPr="00E4265B" w:rsidRDefault="00431E20" w:rsidP="00B85632">
            <w:pPr>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3.18.5 and 3.18.7</w:t>
            </w:r>
          </w:p>
        </w:tc>
        <w:tc>
          <w:tcPr>
            <w:tcW w:w="900" w:type="dxa"/>
            <w:tcBorders>
              <w:top w:val="nil"/>
              <w:left w:val="nil"/>
              <w:bottom w:val="single" w:sz="4" w:space="0" w:color="auto"/>
              <w:right w:val="single" w:sz="4" w:space="0" w:color="auto"/>
            </w:tcBorders>
            <w:shd w:val="clear" w:color="auto" w:fill="auto"/>
            <w:noWrap/>
            <w:vAlign w:val="center"/>
            <w:hideMark/>
          </w:tcPr>
          <w:p w14:paraId="2CCCE418" w14:textId="77777777" w:rsidR="00431E20" w:rsidRPr="00E4265B" w:rsidRDefault="00431E20" w:rsidP="00B85632">
            <w:pPr>
              <w:jc w:val="right"/>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60</w:t>
            </w:r>
          </w:p>
        </w:tc>
        <w:tc>
          <w:tcPr>
            <w:tcW w:w="900" w:type="dxa"/>
            <w:tcBorders>
              <w:top w:val="nil"/>
              <w:left w:val="nil"/>
              <w:bottom w:val="single" w:sz="4" w:space="0" w:color="auto"/>
              <w:right w:val="single" w:sz="4" w:space="0" w:color="auto"/>
            </w:tcBorders>
            <w:shd w:val="clear" w:color="auto" w:fill="auto"/>
            <w:noWrap/>
            <w:vAlign w:val="center"/>
            <w:hideMark/>
          </w:tcPr>
          <w:p w14:paraId="4B573DCA" w14:textId="77777777" w:rsidR="00431E20" w:rsidRPr="00E4265B" w:rsidRDefault="00431E20" w:rsidP="00B85632">
            <w:pPr>
              <w:jc w:val="right"/>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25</w:t>
            </w:r>
          </w:p>
        </w:tc>
        <w:tc>
          <w:tcPr>
            <w:tcW w:w="900" w:type="dxa"/>
            <w:tcBorders>
              <w:top w:val="nil"/>
              <w:left w:val="nil"/>
              <w:bottom w:val="single" w:sz="4" w:space="0" w:color="auto"/>
              <w:right w:val="single" w:sz="4" w:space="0" w:color="auto"/>
            </w:tcBorders>
            <w:shd w:val="clear" w:color="auto" w:fill="auto"/>
            <w:noWrap/>
            <w:vAlign w:val="center"/>
            <w:hideMark/>
          </w:tcPr>
          <w:p w14:paraId="6CEA5CC0" w14:textId="77777777" w:rsidR="00431E20" w:rsidRPr="00E4265B" w:rsidRDefault="00431E20" w:rsidP="00B85632">
            <w:pPr>
              <w:jc w:val="right"/>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15</w:t>
            </w:r>
          </w:p>
        </w:tc>
        <w:tc>
          <w:tcPr>
            <w:tcW w:w="990" w:type="dxa"/>
            <w:tcBorders>
              <w:top w:val="nil"/>
              <w:left w:val="nil"/>
              <w:bottom w:val="single" w:sz="4" w:space="0" w:color="auto"/>
              <w:right w:val="single" w:sz="4" w:space="0" w:color="auto"/>
            </w:tcBorders>
            <w:shd w:val="clear" w:color="auto" w:fill="auto"/>
            <w:noWrap/>
            <w:vAlign w:val="center"/>
            <w:hideMark/>
          </w:tcPr>
          <w:p w14:paraId="75F520F1" w14:textId="77777777" w:rsidR="00431E20" w:rsidRPr="00E4265B" w:rsidRDefault="00431E20" w:rsidP="00B85632">
            <w:pPr>
              <w:jc w:val="right"/>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100</w:t>
            </w:r>
          </w:p>
        </w:tc>
      </w:tr>
      <w:tr w:rsidR="00431E20" w:rsidRPr="00E4265B" w14:paraId="49EE0AED" w14:textId="77777777" w:rsidTr="00DE5190">
        <w:trPr>
          <w:trHeight w:val="43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39D60459" w14:textId="77777777" w:rsidR="00431E20" w:rsidRPr="00E4265B" w:rsidRDefault="00431E20" w:rsidP="00B85632">
            <w:pPr>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Countercyclical Capital Buffer rate - weighted</w:t>
            </w:r>
          </w:p>
        </w:tc>
        <w:tc>
          <w:tcPr>
            <w:tcW w:w="1980" w:type="dxa"/>
            <w:tcBorders>
              <w:top w:val="nil"/>
              <w:left w:val="nil"/>
              <w:bottom w:val="single" w:sz="4" w:space="0" w:color="auto"/>
              <w:right w:val="single" w:sz="4" w:space="0" w:color="auto"/>
            </w:tcBorders>
            <w:shd w:val="clear" w:color="auto" w:fill="auto"/>
            <w:noWrap/>
            <w:vAlign w:val="center"/>
            <w:hideMark/>
          </w:tcPr>
          <w:p w14:paraId="62719735" w14:textId="77777777" w:rsidR="00431E20" w:rsidRPr="00E4265B" w:rsidRDefault="00431E20" w:rsidP="00B85632">
            <w:pPr>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3.18.6</w:t>
            </w:r>
          </w:p>
        </w:tc>
        <w:tc>
          <w:tcPr>
            <w:tcW w:w="900" w:type="dxa"/>
            <w:tcBorders>
              <w:top w:val="nil"/>
              <w:left w:val="nil"/>
              <w:bottom w:val="single" w:sz="4" w:space="0" w:color="auto"/>
              <w:right w:val="single" w:sz="4" w:space="0" w:color="auto"/>
            </w:tcBorders>
            <w:shd w:val="clear" w:color="auto" w:fill="auto"/>
            <w:noWrap/>
            <w:vAlign w:val="center"/>
            <w:hideMark/>
          </w:tcPr>
          <w:p w14:paraId="3AC2B408" w14:textId="77777777" w:rsidR="00431E20" w:rsidRPr="00E4265B" w:rsidRDefault="00431E20" w:rsidP="00B85632">
            <w:pPr>
              <w:jc w:val="right"/>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1.20%</w:t>
            </w:r>
          </w:p>
        </w:tc>
        <w:tc>
          <w:tcPr>
            <w:tcW w:w="900" w:type="dxa"/>
            <w:tcBorders>
              <w:top w:val="nil"/>
              <w:left w:val="nil"/>
              <w:bottom w:val="single" w:sz="4" w:space="0" w:color="auto"/>
              <w:right w:val="single" w:sz="4" w:space="0" w:color="auto"/>
            </w:tcBorders>
            <w:shd w:val="clear" w:color="auto" w:fill="auto"/>
            <w:noWrap/>
            <w:vAlign w:val="center"/>
            <w:hideMark/>
          </w:tcPr>
          <w:p w14:paraId="5A816056" w14:textId="77777777" w:rsidR="00431E20" w:rsidRPr="00E4265B" w:rsidRDefault="00431E20" w:rsidP="00B85632">
            <w:pPr>
              <w:jc w:val="right"/>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0.25%</w:t>
            </w:r>
          </w:p>
        </w:tc>
        <w:tc>
          <w:tcPr>
            <w:tcW w:w="900" w:type="dxa"/>
            <w:tcBorders>
              <w:top w:val="nil"/>
              <w:left w:val="nil"/>
              <w:bottom w:val="single" w:sz="4" w:space="0" w:color="auto"/>
              <w:right w:val="single" w:sz="4" w:space="0" w:color="auto"/>
            </w:tcBorders>
            <w:shd w:val="clear" w:color="auto" w:fill="auto"/>
            <w:noWrap/>
            <w:vAlign w:val="center"/>
            <w:hideMark/>
          </w:tcPr>
          <w:p w14:paraId="30599D62" w14:textId="104732E5" w:rsidR="00431E20" w:rsidRPr="00E4265B" w:rsidRDefault="00431E20" w:rsidP="00DE5190">
            <w:pPr>
              <w:jc w:val="right"/>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0.2</w:t>
            </w:r>
            <w:r w:rsidR="00DE5190" w:rsidRPr="00E4265B">
              <w:rPr>
                <w:rFonts w:ascii="Arial" w:eastAsia="Times New Roman" w:hAnsi="Arial" w:cs="Arial"/>
                <w:color w:val="000000"/>
                <w:sz w:val="22"/>
                <w:szCs w:val="22"/>
                <w:lang w:val="en-GB" w:eastAsia="en-GB"/>
              </w:rPr>
              <w:t>25</w:t>
            </w:r>
            <w:r w:rsidRPr="00E4265B">
              <w:rPr>
                <w:rFonts w:ascii="Arial" w:eastAsia="Times New Roman" w:hAnsi="Arial" w:cs="Arial"/>
                <w:color w:val="000000"/>
                <w:sz w:val="22"/>
                <w:szCs w:val="22"/>
                <w:lang w:val="en-GB" w:eastAsia="en-GB"/>
              </w:rPr>
              <w:t>%</w:t>
            </w:r>
          </w:p>
        </w:tc>
        <w:tc>
          <w:tcPr>
            <w:tcW w:w="990" w:type="dxa"/>
            <w:tcBorders>
              <w:top w:val="nil"/>
              <w:left w:val="nil"/>
              <w:bottom w:val="single" w:sz="4" w:space="0" w:color="auto"/>
              <w:right w:val="single" w:sz="4" w:space="0" w:color="auto"/>
            </w:tcBorders>
            <w:shd w:val="clear" w:color="auto" w:fill="auto"/>
            <w:noWrap/>
            <w:vAlign w:val="center"/>
            <w:hideMark/>
          </w:tcPr>
          <w:p w14:paraId="78F77FC8" w14:textId="5560A5AA" w:rsidR="00431E20" w:rsidRPr="00E4265B" w:rsidRDefault="00431E20" w:rsidP="00DE5190">
            <w:pPr>
              <w:jc w:val="right"/>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1.6</w:t>
            </w:r>
            <w:r w:rsidR="00DE5190" w:rsidRPr="00E4265B">
              <w:rPr>
                <w:rFonts w:ascii="Arial" w:eastAsia="Times New Roman" w:hAnsi="Arial" w:cs="Arial"/>
                <w:color w:val="000000"/>
                <w:sz w:val="22"/>
                <w:szCs w:val="22"/>
                <w:lang w:val="en-GB" w:eastAsia="en-GB"/>
              </w:rPr>
              <w:t>75</w:t>
            </w:r>
            <w:r w:rsidRPr="00E4265B">
              <w:rPr>
                <w:rFonts w:ascii="Arial" w:eastAsia="Times New Roman" w:hAnsi="Arial" w:cs="Arial"/>
                <w:color w:val="000000"/>
                <w:sz w:val="22"/>
                <w:szCs w:val="22"/>
                <w:lang w:val="en-GB" w:eastAsia="en-GB"/>
              </w:rPr>
              <w:t>%</w:t>
            </w:r>
          </w:p>
        </w:tc>
      </w:tr>
      <w:tr w:rsidR="00431E20" w:rsidRPr="00E4265B" w14:paraId="465251DB" w14:textId="77777777" w:rsidTr="00DE5190">
        <w:trPr>
          <w:trHeight w:val="43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4C25F5E5" w14:textId="77777777" w:rsidR="00431E20" w:rsidRPr="00E4265B" w:rsidRDefault="00431E20" w:rsidP="00B85632">
            <w:pPr>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Total Risk Exposure Amount</w:t>
            </w:r>
          </w:p>
        </w:tc>
        <w:tc>
          <w:tcPr>
            <w:tcW w:w="1980" w:type="dxa"/>
            <w:tcBorders>
              <w:top w:val="nil"/>
              <w:left w:val="nil"/>
              <w:bottom w:val="single" w:sz="4" w:space="0" w:color="auto"/>
              <w:right w:val="single" w:sz="4" w:space="0" w:color="auto"/>
            </w:tcBorders>
            <w:shd w:val="clear" w:color="auto" w:fill="auto"/>
            <w:noWrap/>
            <w:vAlign w:val="center"/>
            <w:hideMark/>
          </w:tcPr>
          <w:p w14:paraId="67573D30" w14:textId="77777777" w:rsidR="00431E20" w:rsidRPr="00E4265B" w:rsidRDefault="00431E20" w:rsidP="00B85632">
            <w:pPr>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3.5.7(i)</w:t>
            </w:r>
          </w:p>
        </w:tc>
        <w:tc>
          <w:tcPr>
            <w:tcW w:w="900" w:type="dxa"/>
            <w:tcBorders>
              <w:top w:val="nil"/>
              <w:left w:val="nil"/>
              <w:bottom w:val="single" w:sz="4" w:space="0" w:color="auto"/>
              <w:right w:val="single" w:sz="4" w:space="0" w:color="auto"/>
            </w:tcBorders>
            <w:shd w:val="clear" w:color="auto" w:fill="auto"/>
            <w:noWrap/>
            <w:vAlign w:val="center"/>
            <w:hideMark/>
          </w:tcPr>
          <w:p w14:paraId="18D342F7" w14:textId="77777777" w:rsidR="00431E20" w:rsidRPr="00E4265B" w:rsidRDefault="00431E20" w:rsidP="00B85632">
            <w:pPr>
              <w:jc w:val="right"/>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100</w:t>
            </w:r>
          </w:p>
        </w:tc>
        <w:tc>
          <w:tcPr>
            <w:tcW w:w="900" w:type="dxa"/>
            <w:tcBorders>
              <w:top w:val="nil"/>
              <w:left w:val="nil"/>
              <w:bottom w:val="single" w:sz="4" w:space="0" w:color="auto"/>
              <w:right w:val="single" w:sz="4" w:space="0" w:color="auto"/>
            </w:tcBorders>
            <w:shd w:val="clear" w:color="auto" w:fill="auto"/>
            <w:noWrap/>
            <w:vAlign w:val="center"/>
            <w:hideMark/>
          </w:tcPr>
          <w:p w14:paraId="7BBCC01D" w14:textId="77777777" w:rsidR="00431E20" w:rsidRPr="00E4265B" w:rsidRDefault="00431E20" w:rsidP="00B85632">
            <w:pPr>
              <w:jc w:val="right"/>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60</w:t>
            </w:r>
          </w:p>
        </w:tc>
        <w:tc>
          <w:tcPr>
            <w:tcW w:w="900" w:type="dxa"/>
            <w:tcBorders>
              <w:top w:val="nil"/>
              <w:left w:val="nil"/>
              <w:bottom w:val="single" w:sz="4" w:space="0" w:color="auto"/>
              <w:right w:val="single" w:sz="4" w:space="0" w:color="auto"/>
            </w:tcBorders>
            <w:shd w:val="clear" w:color="auto" w:fill="auto"/>
            <w:noWrap/>
            <w:vAlign w:val="center"/>
            <w:hideMark/>
          </w:tcPr>
          <w:p w14:paraId="13231631" w14:textId="77777777" w:rsidR="00431E20" w:rsidRPr="00E4265B" w:rsidRDefault="00431E20" w:rsidP="00B85632">
            <w:pPr>
              <w:jc w:val="right"/>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40</w:t>
            </w:r>
          </w:p>
        </w:tc>
        <w:tc>
          <w:tcPr>
            <w:tcW w:w="990" w:type="dxa"/>
            <w:tcBorders>
              <w:top w:val="nil"/>
              <w:left w:val="nil"/>
              <w:bottom w:val="single" w:sz="4" w:space="0" w:color="auto"/>
              <w:right w:val="single" w:sz="4" w:space="0" w:color="auto"/>
            </w:tcBorders>
            <w:shd w:val="clear" w:color="auto" w:fill="auto"/>
            <w:noWrap/>
            <w:vAlign w:val="center"/>
            <w:hideMark/>
          </w:tcPr>
          <w:p w14:paraId="441720CE" w14:textId="77777777" w:rsidR="00431E20" w:rsidRPr="00E4265B" w:rsidRDefault="00431E20" w:rsidP="00B85632">
            <w:pPr>
              <w:jc w:val="right"/>
              <w:rPr>
                <w:rFonts w:ascii="Arial" w:eastAsia="Times New Roman" w:hAnsi="Arial" w:cs="Arial"/>
                <w:color w:val="000000"/>
                <w:sz w:val="22"/>
                <w:szCs w:val="22"/>
                <w:lang w:val="en-GB" w:eastAsia="en-GB"/>
              </w:rPr>
            </w:pPr>
            <w:r w:rsidRPr="00E4265B">
              <w:rPr>
                <w:rFonts w:ascii="Arial" w:eastAsia="Times New Roman" w:hAnsi="Arial" w:cs="Arial"/>
                <w:color w:val="000000"/>
                <w:sz w:val="22"/>
                <w:szCs w:val="22"/>
                <w:lang w:val="en-GB" w:eastAsia="en-GB"/>
              </w:rPr>
              <w:t>200</w:t>
            </w:r>
          </w:p>
        </w:tc>
      </w:tr>
      <w:tr w:rsidR="00431E20" w:rsidRPr="00E4265B" w14:paraId="64FF3E77" w14:textId="77777777" w:rsidTr="00DE5190">
        <w:trPr>
          <w:trHeight w:val="43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5F1B2249" w14:textId="77777777" w:rsidR="00431E20" w:rsidRPr="00E4265B" w:rsidRDefault="00431E20" w:rsidP="00B85632">
            <w:pPr>
              <w:rPr>
                <w:rFonts w:ascii="Arial" w:eastAsia="Times New Roman" w:hAnsi="Arial" w:cs="Arial"/>
                <w:b/>
                <w:bCs/>
                <w:color w:val="000000"/>
                <w:sz w:val="22"/>
                <w:szCs w:val="22"/>
                <w:lang w:val="en-GB" w:eastAsia="en-GB"/>
              </w:rPr>
            </w:pPr>
            <w:r w:rsidRPr="00E4265B">
              <w:rPr>
                <w:rFonts w:ascii="Arial" w:eastAsia="Times New Roman" w:hAnsi="Arial" w:cs="Arial"/>
                <w:b/>
                <w:bCs/>
                <w:color w:val="000000"/>
                <w:sz w:val="22"/>
                <w:szCs w:val="22"/>
                <w:lang w:val="en-GB" w:eastAsia="en-GB"/>
              </w:rPr>
              <w:t>Countercyclical Capital Buffer</w:t>
            </w:r>
          </w:p>
        </w:tc>
        <w:tc>
          <w:tcPr>
            <w:tcW w:w="1980" w:type="dxa"/>
            <w:tcBorders>
              <w:top w:val="nil"/>
              <w:left w:val="nil"/>
              <w:bottom w:val="single" w:sz="4" w:space="0" w:color="auto"/>
              <w:right w:val="single" w:sz="4" w:space="0" w:color="auto"/>
            </w:tcBorders>
            <w:shd w:val="clear" w:color="auto" w:fill="auto"/>
            <w:noWrap/>
            <w:vAlign w:val="center"/>
            <w:hideMark/>
          </w:tcPr>
          <w:p w14:paraId="2EFF41A8" w14:textId="77777777" w:rsidR="00431E20" w:rsidRPr="00E4265B" w:rsidRDefault="00431E20" w:rsidP="00B85632">
            <w:pPr>
              <w:rPr>
                <w:rFonts w:ascii="Arial" w:eastAsia="Times New Roman" w:hAnsi="Arial" w:cs="Arial"/>
                <w:b/>
                <w:bCs/>
                <w:color w:val="000000"/>
                <w:sz w:val="22"/>
                <w:szCs w:val="22"/>
                <w:lang w:val="en-GB" w:eastAsia="en-GB"/>
              </w:rPr>
            </w:pPr>
            <w:r w:rsidRPr="00E4265B">
              <w:rPr>
                <w:rFonts w:ascii="Arial" w:eastAsia="Times New Roman" w:hAnsi="Arial" w:cs="Arial"/>
                <w:b/>
                <w:bCs/>
                <w:color w:val="000000"/>
                <w:sz w:val="22"/>
                <w:szCs w:val="22"/>
                <w:lang w:val="en-GB" w:eastAsia="en-GB"/>
              </w:rPr>
              <w:t>3.18.4</w:t>
            </w:r>
          </w:p>
        </w:tc>
        <w:tc>
          <w:tcPr>
            <w:tcW w:w="900" w:type="dxa"/>
            <w:tcBorders>
              <w:top w:val="nil"/>
              <w:left w:val="nil"/>
              <w:bottom w:val="single" w:sz="4" w:space="0" w:color="auto"/>
              <w:right w:val="single" w:sz="4" w:space="0" w:color="auto"/>
            </w:tcBorders>
            <w:shd w:val="clear" w:color="auto" w:fill="D9D9D9" w:themeFill="background1" w:themeFillShade="D9"/>
            <w:noWrap/>
            <w:vAlign w:val="center"/>
          </w:tcPr>
          <w:p w14:paraId="11869C88" w14:textId="77777777" w:rsidR="00431E20" w:rsidRPr="00E4265B" w:rsidRDefault="00431E20" w:rsidP="00B85632">
            <w:pPr>
              <w:jc w:val="right"/>
              <w:rPr>
                <w:rFonts w:ascii="Arial" w:eastAsia="Times New Roman" w:hAnsi="Arial" w:cs="Arial"/>
                <w:b/>
                <w:bCs/>
                <w:color w:val="000000"/>
                <w:sz w:val="22"/>
                <w:szCs w:val="22"/>
                <w:lang w:val="en-GB" w:eastAsia="en-GB"/>
              </w:rPr>
            </w:pPr>
          </w:p>
        </w:tc>
        <w:tc>
          <w:tcPr>
            <w:tcW w:w="900" w:type="dxa"/>
            <w:tcBorders>
              <w:top w:val="nil"/>
              <w:left w:val="nil"/>
              <w:bottom w:val="single" w:sz="4" w:space="0" w:color="auto"/>
              <w:right w:val="single" w:sz="4" w:space="0" w:color="auto"/>
            </w:tcBorders>
            <w:shd w:val="clear" w:color="auto" w:fill="D9D9D9" w:themeFill="background1" w:themeFillShade="D9"/>
            <w:noWrap/>
            <w:vAlign w:val="center"/>
          </w:tcPr>
          <w:p w14:paraId="742FC05B" w14:textId="77777777" w:rsidR="00431E20" w:rsidRPr="00E4265B" w:rsidRDefault="00431E20" w:rsidP="00B85632">
            <w:pPr>
              <w:jc w:val="right"/>
              <w:rPr>
                <w:rFonts w:ascii="Arial" w:eastAsia="Times New Roman" w:hAnsi="Arial" w:cs="Arial"/>
                <w:b/>
                <w:bCs/>
                <w:color w:val="000000"/>
                <w:sz w:val="22"/>
                <w:szCs w:val="22"/>
                <w:lang w:val="en-GB" w:eastAsia="en-GB"/>
              </w:rPr>
            </w:pPr>
          </w:p>
        </w:tc>
        <w:tc>
          <w:tcPr>
            <w:tcW w:w="900" w:type="dxa"/>
            <w:tcBorders>
              <w:top w:val="nil"/>
              <w:left w:val="nil"/>
              <w:bottom w:val="single" w:sz="4" w:space="0" w:color="auto"/>
              <w:right w:val="single" w:sz="4" w:space="0" w:color="auto"/>
            </w:tcBorders>
            <w:shd w:val="clear" w:color="auto" w:fill="D9D9D9" w:themeFill="background1" w:themeFillShade="D9"/>
            <w:noWrap/>
            <w:vAlign w:val="center"/>
          </w:tcPr>
          <w:p w14:paraId="66F350AD" w14:textId="77777777" w:rsidR="00431E20" w:rsidRPr="00E4265B" w:rsidRDefault="00431E20" w:rsidP="00B85632">
            <w:pPr>
              <w:jc w:val="right"/>
              <w:rPr>
                <w:rFonts w:ascii="Arial" w:eastAsia="Times New Roman" w:hAnsi="Arial" w:cs="Arial"/>
                <w:b/>
                <w:bCs/>
                <w:color w:val="000000"/>
                <w:sz w:val="22"/>
                <w:szCs w:val="22"/>
                <w:lang w:val="en-GB" w:eastAsia="en-GB"/>
              </w:rPr>
            </w:pPr>
          </w:p>
        </w:tc>
        <w:tc>
          <w:tcPr>
            <w:tcW w:w="990" w:type="dxa"/>
            <w:tcBorders>
              <w:top w:val="nil"/>
              <w:left w:val="nil"/>
              <w:bottom w:val="single" w:sz="4" w:space="0" w:color="auto"/>
              <w:right w:val="single" w:sz="4" w:space="0" w:color="auto"/>
            </w:tcBorders>
            <w:shd w:val="clear" w:color="auto" w:fill="auto"/>
            <w:noWrap/>
            <w:vAlign w:val="center"/>
            <w:hideMark/>
          </w:tcPr>
          <w:p w14:paraId="1F6AF329" w14:textId="77777777" w:rsidR="00431E20" w:rsidRPr="00E4265B" w:rsidRDefault="00431E20" w:rsidP="00B85632">
            <w:pPr>
              <w:jc w:val="right"/>
              <w:rPr>
                <w:rFonts w:ascii="Arial" w:eastAsia="Times New Roman" w:hAnsi="Arial" w:cs="Arial"/>
                <w:b/>
                <w:bCs/>
                <w:color w:val="000000"/>
                <w:sz w:val="22"/>
                <w:szCs w:val="22"/>
                <w:lang w:val="en-GB" w:eastAsia="en-GB"/>
              </w:rPr>
            </w:pPr>
            <w:r w:rsidRPr="00E4265B">
              <w:rPr>
                <w:rFonts w:ascii="Arial" w:eastAsia="Times New Roman" w:hAnsi="Arial" w:cs="Arial"/>
                <w:b/>
                <w:bCs/>
                <w:color w:val="000000"/>
                <w:sz w:val="22"/>
                <w:szCs w:val="22"/>
                <w:lang w:val="en-GB" w:eastAsia="en-GB"/>
              </w:rPr>
              <w:t>3.35</w:t>
            </w:r>
          </w:p>
        </w:tc>
      </w:tr>
    </w:tbl>
    <w:p w14:paraId="79905950" w14:textId="77777777" w:rsidR="00D10A40" w:rsidRPr="00E4265B" w:rsidRDefault="00D10A40" w:rsidP="00D10A40">
      <w:pPr>
        <w:pStyle w:val="BlockText"/>
        <w:rPr>
          <w:rFonts w:ascii="Arial" w:hAnsi="Arial" w:cs="Arial"/>
          <w:sz w:val="22"/>
          <w:szCs w:val="22"/>
        </w:rPr>
      </w:pPr>
    </w:p>
    <w:p w14:paraId="55A1FA4E" w14:textId="498A82B2" w:rsidR="00FE1A04" w:rsidRPr="00E4265B" w:rsidRDefault="00FE1A04" w:rsidP="0019712D">
      <w:pPr>
        <w:pStyle w:val="ListParagraph"/>
        <w:numPr>
          <w:ilvl w:val="2"/>
          <w:numId w:val="78"/>
        </w:numPr>
        <w:tabs>
          <w:tab w:val="left" w:pos="990"/>
          <w:tab w:val="left" w:pos="1620"/>
        </w:tabs>
        <w:spacing w:after="240" w:line="246" w:lineRule="atLeast"/>
        <w:ind w:left="900" w:hanging="900"/>
        <w:jc w:val="both"/>
        <w:outlineLvl w:val="3"/>
        <w:rPr>
          <w:rFonts w:ascii="Arial" w:eastAsia="SimHei" w:hAnsi="Arial" w:cs="Arial"/>
          <w:bCs/>
          <w:iCs/>
          <w:sz w:val="22"/>
          <w:szCs w:val="22"/>
          <w:lang w:val="en-GB"/>
        </w:rPr>
      </w:pPr>
      <w:r w:rsidRPr="00E4265B">
        <w:rPr>
          <w:rFonts w:ascii="Arial" w:eastAsia="SimHei" w:hAnsi="Arial" w:cs="Arial"/>
          <w:bCs/>
          <w:iCs/>
          <w:sz w:val="22"/>
          <w:szCs w:val="22"/>
          <w:lang w:val="en-GB"/>
        </w:rPr>
        <w:t xml:space="preserve">Countercyclical Capital Buffer rates shall apply from </w:t>
      </w:r>
      <w:r w:rsidRPr="00E4265B">
        <w:rPr>
          <w:rFonts w:ascii="Arial" w:eastAsia="SimHei" w:hAnsi="Arial" w:cs="Arial"/>
          <w:sz w:val="22"/>
          <w:szCs w:val="22"/>
          <w:lang w:val="en-GB"/>
        </w:rPr>
        <w:t>the date set by the Central Bank or the third country rate-setting authority</w:t>
      </w:r>
      <w:r w:rsidR="00757656" w:rsidRPr="00E4265B">
        <w:rPr>
          <w:rFonts w:ascii="Arial" w:eastAsia="SimHei" w:hAnsi="Arial" w:cs="Arial"/>
          <w:sz w:val="22"/>
          <w:szCs w:val="22"/>
          <w:lang w:val="en-GB"/>
        </w:rPr>
        <w:t>.</w:t>
      </w:r>
    </w:p>
    <w:p w14:paraId="1B40644E" w14:textId="77777777" w:rsidR="00615CF2" w:rsidRPr="00E4265B" w:rsidRDefault="00615CF2" w:rsidP="00615CF2">
      <w:pPr>
        <w:pStyle w:val="Heading3"/>
        <w:rPr>
          <w:rFonts w:ascii="Arial" w:hAnsi="Arial" w:cs="Arial"/>
          <w:sz w:val="22"/>
          <w:szCs w:val="22"/>
        </w:rPr>
      </w:pPr>
      <w:bookmarkStart w:id="257" w:name="_Toc33622392"/>
      <w:r w:rsidRPr="00E4265B">
        <w:rPr>
          <w:rFonts w:ascii="Arial" w:hAnsi="Arial" w:cs="Arial"/>
          <w:sz w:val="22"/>
          <w:szCs w:val="22"/>
        </w:rPr>
        <w:t>Combined Buffer</w:t>
      </w:r>
      <w:bookmarkEnd w:id="257"/>
    </w:p>
    <w:p w14:paraId="1054C12E" w14:textId="77777777" w:rsidR="00615CF2" w:rsidRPr="00E4265B" w:rsidRDefault="00615CF2" w:rsidP="00615CF2">
      <w:pPr>
        <w:pStyle w:val="Heading4"/>
        <w:rPr>
          <w:rFonts w:ascii="Arial" w:hAnsi="Arial" w:cs="Arial"/>
          <w:sz w:val="22"/>
          <w:szCs w:val="22"/>
        </w:rPr>
      </w:pPr>
      <w:r w:rsidRPr="00E4265B">
        <w:rPr>
          <w:rFonts w:ascii="Arial" w:hAnsi="Arial" w:cs="Arial"/>
          <w:sz w:val="22"/>
          <w:szCs w:val="22"/>
        </w:rPr>
        <w:t>The Combined Buffer is the sum of the Capital Conservation Buffer and the Countercyclical Capital Buffer.</w:t>
      </w:r>
    </w:p>
    <w:p w14:paraId="1E83C812" w14:textId="362A33EA" w:rsidR="00615CF2" w:rsidRPr="00E4265B" w:rsidRDefault="00615CF2" w:rsidP="008E2135">
      <w:pPr>
        <w:pStyle w:val="Heading4"/>
        <w:rPr>
          <w:rFonts w:ascii="Arial" w:hAnsi="Arial" w:cs="Arial"/>
          <w:sz w:val="22"/>
          <w:szCs w:val="22"/>
        </w:rPr>
      </w:pPr>
      <w:r w:rsidRPr="00E4265B">
        <w:rPr>
          <w:rFonts w:ascii="Arial" w:hAnsi="Arial" w:cs="Arial"/>
          <w:sz w:val="22"/>
          <w:szCs w:val="22"/>
        </w:rPr>
        <w:t xml:space="preserve">An Authorised Person must not use CET1 Capital that is held to meet the Combined Buffer </w:t>
      </w:r>
      <w:r w:rsidR="006854D9" w:rsidRPr="00E4265B">
        <w:rPr>
          <w:rFonts w:ascii="Arial" w:hAnsi="Arial" w:cs="Arial"/>
          <w:sz w:val="22"/>
          <w:szCs w:val="22"/>
        </w:rPr>
        <w:t>R</w:t>
      </w:r>
      <w:r w:rsidR="008E2135" w:rsidRPr="00E4265B">
        <w:rPr>
          <w:rFonts w:ascii="Arial" w:hAnsi="Arial" w:cs="Arial"/>
          <w:sz w:val="22"/>
          <w:szCs w:val="22"/>
        </w:rPr>
        <w:t>equirement to</w:t>
      </w:r>
      <w:r w:rsidRPr="00E4265B">
        <w:rPr>
          <w:rFonts w:ascii="Arial" w:hAnsi="Arial" w:cs="Arial"/>
          <w:sz w:val="22"/>
          <w:szCs w:val="22"/>
        </w:rPr>
        <w:t xml:space="preserve"> meet:</w:t>
      </w:r>
    </w:p>
    <w:p w14:paraId="409F2385" w14:textId="145F5E59" w:rsidR="00615CF2" w:rsidRPr="00E4265B" w:rsidRDefault="00CC70EC" w:rsidP="00615CF2">
      <w:pPr>
        <w:pStyle w:val="Heading5"/>
        <w:rPr>
          <w:rFonts w:ascii="Arial" w:hAnsi="Arial" w:cs="Arial"/>
          <w:sz w:val="22"/>
          <w:szCs w:val="22"/>
        </w:rPr>
      </w:pPr>
      <w:r w:rsidRPr="00E4265B">
        <w:rPr>
          <w:rFonts w:ascii="Arial" w:hAnsi="Arial" w:cs="Arial"/>
          <w:sz w:val="22"/>
          <w:szCs w:val="22"/>
        </w:rPr>
        <w:t>its Capital Requirement</w:t>
      </w:r>
      <w:r w:rsidR="00615CF2" w:rsidRPr="00E4265B">
        <w:rPr>
          <w:rFonts w:ascii="Arial" w:hAnsi="Arial" w:cs="Arial"/>
          <w:sz w:val="22"/>
          <w:szCs w:val="22"/>
        </w:rPr>
        <w:t xml:space="preserve">; </w:t>
      </w:r>
    </w:p>
    <w:p w14:paraId="34227C02" w14:textId="77777777" w:rsidR="00615CF2" w:rsidRPr="00E4265B" w:rsidRDefault="00615CF2" w:rsidP="00615CF2">
      <w:pPr>
        <w:pStyle w:val="Heading5"/>
        <w:rPr>
          <w:rFonts w:ascii="Arial" w:hAnsi="Arial" w:cs="Arial"/>
          <w:sz w:val="22"/>
          <w:szCs w:val="22"/>
        </w:rPr>
      </w:pPr>
      <w:r w:rsidRPr="00E4265B">
        <w:rPr>
          <w:rFonts w:ascii="Arial" w:hAnsi="Arial" w:cs="Arial"/>
          <w:sz w:val="22"/>
          <w:szCs w:val="22"/>
        </w:rPr>
        <w:t>any Individual Capital Requirement that may be imposed pursuant to Chapter 10; or</w:t>
      </w:r>
    </w:p>
    <w:p w14:paraId="29FC38A3" w14:textId="77777777" w:rsidR="00615CF2" w:rsidRPr="00E4265B" w:rsidRDefault="00615CF2" w:rsidP="00615CF2">
      <w:pPr>
        <w:pStyle w:val="Heading5"/>
        <w:rPr>
          <w:rFonts w:ascii="Arial" w:hAnsi="Arial" w:cs="Arial"/>
          <w:sz w:val="22"/>
          <w:szCs w:val="22"/>
        </w:rPr>
      </w:pPr>
      <w:r w:rsidRPr="00E4265B">
        <w:rPr>
          <w:rFonts w:ascii="Arial" w:hAnsi="Arial" w:cs="Arial"/>
          <w:sz w:val="22"/>
          <w:szCs w:val="22"/>
        </w:rPr>
        <w:t xml:space="preserve">any other buffer, where applicable. </w:t>
      </w:r>
    </w:p>
    <w:p w14:paraId="4C158BDF" w14:textId="77777777" w:rsidR="00615CF2" w:rsidRPr="00E4265B" w:rsidRDefault="00615CF2" w:rsidP="00615CF2">
      <w:pPr>
        <w:pStyle w:val="Heading5"/>
        <w:numPr>
          <w:ilvl w:val="0"/>
          <w:numId w:val="0"/>
        </w:numPr>
        <w:ind w:left="936"/>
        <w:rPr>
          <w:rFonts w:ascii="Arial" w:hAnsi="Arial" w:cs="Arial"/>
          <w:b/>
          <w:sz w:val="22"/>
          <w:szCs w:val="22"/>
        </w:rPr>
      </w:pPr>
      <w:r w:rsidRPr="00E4265B">
        <w:rPr>
          <w:rFonts w:ascii="Arial" w:hAnsi="Arial" w:cs="Arial"/>
          <w:b/>
          <w:sz w:val="22"/>
          <w:szCs w:val="22"/>
        </w:rPr>
        <w:lastRenderedPageBreak/>
        <w:t>Guidance</w:t>
      </w:r>
    </w:p>
    <w:p w14:paraId="71A3CEDD" w14:textId="77777777" w:rsidR="00615CF2" w:rsidRPr="00E4265B" w:rsidRDefault="00615CF2" w:rsidP="00615CF2">
      <w:pPr>
        <w:pStyle w:val="Heading5"/>
        <w:numPr>
          <w:ilvl w:val="0"/>
          <w:numId w:val="0"/>
        </w:numPr>
        <w:ind w:left="936"/>
        <w:rPr>
          <w:rFonts w:ascii="Arial" w:hAnsi="Arial" w:cs="Arial"/>
          <w:sz w:val="22"/>
          <w:szCs w:val="22"/>
        </w:rPr>
      </w:pPr>
      <w:r w:rsidRPr="00E4265B">
        <w:rPr>
          <w:rFonts w:ascii="Arial" w:hAnsi="Arial" w:cs="Arial"/>
          <w:sz w:val="22"/>
          <w:szCs w:val="22"/>
        </w:rPr>
        <w:t xml:space="preserve">Where an Authorised Person does not hold sufficient dedicated CET1 Capital to meet the Combined Buffer </w:t>
      </w:r>
      <w:r w:rsidR="006854D9" w:rsidRPr="00E4265B">
        <w:rPr>
          <w:rFonts w:ascii="Arial" w:hAnsi="Arial" w:cs="Arial"/>
          <w:sz w:val="22"/>
          <w:szCs w:val="22"/>
        </w:rPr>
        <w:t>R</w:t>
      </w:r>
      <w:r w:rsidRPr="00E4265B">
        <w:rPr>
          <w:rFonts w:ascii="Arial" w:hAnsi="Arial" w:cs="Arial"/>
          <w:sz w:val="22"/>
          <w:szCs w:val="22"/>
        </w:rPr>
        <w:t xml:space="preserve">equirement it will be required to undertake remedial action in order to restore the level of CET1 Capital to the required level.  </w:t>
      </w:r>
    </w:p>
    <w:p w14:paraId="3443E0DB" w14:textId="77777777" w:rsidR="003F4CA3" w:rsidRPr="00E4265B" w:rsidRDefault="003F4CA3" w:rsidP="003F4CA3">
      <w:pPr>
        <w:pStyle w:val="TitleL5"/>
        <w:keepNext w:val="0"/>
        <w:rPr>
          <w:rFonts w:ascii="Arial" w:hAnsi="Arial" w:cs="Arial"/>
          <w:sz w:val="22"/>
          <w:szCs w:val="22"/>
          <w:lang w:val="en-GB"/>
        </w:rPr>
      </w:pPr>
      <w:r w:rsidRPr="00E4265B">
        <w:rPr>
          <w:rFonts w:ascii="Arial" w:hAnsi="Arial" w:cs="Arial"/>
          <w:sz w:val="22"/>
          <w:szCs w:val="22"/>
          <w:lang w:val="en-GB"/>
        </w:rPr>
        <w:t>Restrictions on distributions</w:t>
      </w:r>
    </w:p>
    <w:p w14:paraId="2B16130B" w14:textId="77777777" w:rsidR="003F4CA3" w:rsidRPr="00E4265B" w:rsidRDefault="003F4CA3" w:rsidP="003F4CA3">
      <w:pPr>
        <w:pStyle w:val="Heading4"/>
        <w:rPr>
          <w:rFonts w:ascii="Arial" w:hAnsi="Arial" w:cs="Arial"/>
          <w:sz w:val="22"/>
          <w:szCs w:val="22"/>
        </w:rPr>
      </w:pPr>
      <w:r w:rsidRPr="00E4265B">
        <w:rPr>
          <w:rFonts w:ascii="Arial" w:hAnsi="Arial" w:cs="Arial"/>
          <w:sz w:val="22"/>
          <w:szCs w:val="22"/>
        </w:rPr>
        <w:t xml:space="preserve">Where an Authorised Person fails to meet the Combined Buffer </w:t>
      </w:r>
      <w:r w:rsidR="006854D9" w:rsidRPr="00E4265B">
        <w:rPr>
          <w:rFonts w:ascii="Arial" w:hAnsi="Arial" w:cs="Arial"/>
          <w:sz w:val="22"/>
          <w:szCs w:val="22"/>
        </w:rPr>
        <w:t>R</w:t>
      </w:r>
      <w:r w:rsidRPr="00E4265B">
        <w:rPr>
          <w:rFonts w:ascii="Arial" w:hAnsi="Arial" w:cs="Arial"/>
          <w:sz w:val="22"/>
          <w:szCs w:val="22"/>
        </w:rPr>
        <w:t>equirement, it must:</w:t>
      </w:r>
    </w:p>
    <w:p w14:paraId="08E54C8A"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calculate the maximum distributable amount in accordance with Rule 3.19.6; and</w:t>
      </w:r>
    </w:p>
    <w:p w14:paraId="5FB5FECE"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ensure that it does not undertake any of the following actions until such time as it has calculated the maximum distributable amount and notified the Regulator under Rule 3.19.7:</w:t>
      </w:r>
    </w:p>
    <w:p w14:paraId="63FD1946" w14:textId="77777777" w:rsidR="003F4CA3" w:rsidRPr="00E4265B" w:rsidRDefault="003F4CA3" w:rsidP="003F4CA3">
      <w:pPr>
        <w:pStyle w:val="iList"/>
        <w:ind w:left="2376"/>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make a distribution in connection with CET1 Capital, or create an obligation to pay variable remuneration or discretionary pension benefits, or pay variable remuneration if the obligation to pay was created at a time when the institution failed to meet its Combined Buffer </w:t>
      </w:r>
      <w:r w:rsidR="006854D9" w:rsidRPr="00E4265B">
        <w:rPr>
          <w:rFonts w:ascii="Arial" w:hAnsi="Arial" w:cs="Arial"/>
          <w:sz w:val="22"/>
          <w:szCs w:val="22"/>
          <w:lang w:val="en-GB"/>
        </w:rPr>
        <w:t>R</w:t>
      </w:r>
      <w:r w:rsidRPr="00E4265B">
        <w:rPr>
          <w:rFonts w:ascii="Arial" w:hAnsi="Arial" w:cs="Arial"/>
          <w:sz w:val="22"/>
          <w:szCs w:val="22"/>
          <w:lang w:val="en-GB"/>
        </w:rPr>
        <w:t>equirement; or</w:t>
      </w:r>
    </w:p>
    <w:p w14:paraId="7FBF769B" w14:textId="77777777" w:rsidR="003F4CA3" w:rsidRPr="00E4265B" w:rsidRDefault="003F4CA3" w:rsidP="003F4CA3">
      <w:pPr>
        <w:pStyle w:val="iList"/>
        <w:ind w:left="2376"/>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make payments on AT1 and T2 Capital instruments.</w:t>
      </w:r>
    </w:p>
    <w:p w14:paraId="6F3612E4" w14:textId="77777777" w:rsidR="003F4CA3" w:rsidRPr="00E4265B" w:rsidRDefault="003F4CA3" w:rsidP="003F4CA3">
      <w:pPr>
        <w:pStyle w:val="Heading4"/>
        <w:rPr>
          <w:rFonts w:ascii="Arial" w:hAnsi="Arial" w:cs="Arial"/>
          <w:sz w:val="22"/>
          <w:szCs w:val="22"/>
        </w:rPr>
      </w:pPr>
      <w:r w:rsidRPr="00E4265B">
        <w:rPr>
          <w:rFonts w:ascii="Arial" w:hAnsi="Arial" w:cs="Arial"/>
          <w:sz w:val="22"/>
          <w:szCs w:val="22"/>
        </w:rPr>
        <w:t>An Authorised Person must:</w:t>
      </w:r>
    </w:p>
    <w:p w14:paraId="087F94F7"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in subsequently taking any of the actions described in Rule 3.19.3(b)(i) and (ii), after having calculated the maximum distributable amount and notified the Regulator, ensure that it distributes no more than its calculated maximum distributable amount; and</w:t>
      </w:r>
    </w:p>
    <w:p w14:paraId="21827D02"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prepare and submit a capital conservation plan pursuant to Rule 3.19.9.</w:t>
      </w:r>
    </w:p>
    <w:p w14:paraId="26026ED3" w14:textId="77777777" w:rsidR="003F4CA3" w:rsidRPr="00E4265B" w:rsidRDefault="003F4CA3" w:rsidP="003F4CA3">
      <w:pPr>
        <w:pStyle w:val="Heading4"/>
        <w:rPr>
          <w:rFonts w:ascii="Arial" w:hAnsi="Arial" w:cs="Arial"/>
          <w:sz w:val="22"/>
          <w:szCs w:val="22"/>
        </w:rPr>
      </w:pPr>
      <w:r w:rsidRPr="00E4265B">
        <w:rPr>
          <w:rFonts w:ascii="Arial" w:hAnsi="Arial" w:cs="Arial"/>
          <w:sz w:val="22"/>
          <w:szCs w:val="22"/>
        </w:rPr>
        <w:t>For the purposes of Rule 3.19.3(b)(i), a distribution in connection with CET1 Capital includes any of the following:</w:t>
      </w:r>
    </w:p>
    <w:p w14:paraId="466257DD"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payment of cash dividends;</w:t>
      </w:r>
    </w:p>
    <w:p w14:paraId="45D19080"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distribution of fully or partly paid bonus Shares or other capital instruments;</w:t>
      </w:r>
    </w:p>
    <w:p w14:paraId="13A168D4"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a redemption or purchase by an institution of its own Shares or other capital instruments;</w:t>
      </w:r>
    </w:p>
    <w:p w14:paraId="323F36D4"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a repayment of amounts paid up in connection with capital; or</w:t>
      </w:r>
    </w:p>
    <w:p w14:paraId="3E272421"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a distribution of other items referred to in Section 3.10 as eligible for inclusion as CET1 Capital.</w:t>
      </w:r>
    </w:p>
    <w:p w14:paraId="7EA1D9E8" w14:textId="77777777" w:rsidR="003F4CA3" w:rsidRPr="00E4265B" w:rsidRDefault="003F4CA3" w:rsidP="008F1CA7">
      <w:pPr>
        <w:pStyle w:val="Heading4"/>
        <w:tabs>
          <w:tab w:val="clear" w:pos="936"/>
          <w:tab w:val="num" w:pos="900"/>
        </w:tabs>
        <w:ind w:left="1620" w:hanging="162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In this Section, a reference to a "maximum distributable amount" means the maximum amount that an Authorised Person may distribute in connection with CET1 Capital as specified in Rules 3.19.3 and 3.19.4.</w:t>
      </w:r>
    </w:p>
    <w:p w14:paraId="223183E8" w14:textId="77777777" w:rsidR="003F4CA3" w:rsidRPr="00E4265B" w:rsidRDefault="003F4CA3" w:rsidP="008F1CA7">
      <w:pPr>
        <w:pStyle w:val="1List"/>
        <w:ind w:left="1620" w:hanging="684"/>
        <w:rPr>
          <w:rFonts w:ascii="Arial" w:hAnsi="Arial" w:cs="Arial"/>
          <w:sz w:val="22"/>
          <w:szCs w:val="22"/>
          <w:lang w:val="en-GB"/>
        </w:rPr>
      </w:pPr>
      <w:r w:rsidRPr="00E4265B">
        <w:rPr>
          <w:rFonts w:ascii="Arial" w:hAnsi="Arial" w:cs="Arial"/>
          <w:sz w:val="22"/>
          <w:szCs w:val="22"/>
          <w:lang w:val="en-GB"/>
        </w:rPr>
        <w:lastRenderedPageBreak/>
        <w:t>(2)</w:t>
      </w:r>
      <w:r w:rsidRPr="00E4265B">
        <w:rPr>
          <w:rFonts w:ascii="Arial" w:hAnsi="Arial" w:cs="Arial"/>
          <w:sz w:val="22"/>
          <w:szCs w:val="22"/>
          <w:lang w:val="en-GB"/>
        </w:rPr>
        <w:tab/>
        <w:t>Subject to</w:t>
      </w:r>
      <w:r w:rsidR="00D13883" w:rsidRPr="00E4265B">
        <w:rPr>
          <w:rFonts w:ascii="Arial" w:hAnsi="Arial" w:cs="Arial"/>
          <w:sz w:val="22"/>
          <w:szCs w:val="22"/>
          <w:lang w:val="en-GB"/>
        </w:rPr>
        <w:t xml:space="preserve"> sub-paragraph </w:t>
      </w:r>
      <w:r w:rsidRPr="00E4265B">
        <w:rPr>
          <w:rFonts w:ascii="Arial" w:hAnsi="Arial" w:cs="Arial"/>
          <w:sz w:val="22"/>
          <w:szCs w:val="22"/>
          <w:lang w:val="en-GB"/>
        </w:rPr>
        <w:t>(4), an Authorised Person must determine the maximum distributable amount by multiplying the sum specified in (a) by the factor determined under (b):</w:t>
      </w:r>
    </w:p>
    <w:p w14:paraId="609E210A" w14:textId="77777777" w:rsidR="003F4CA3" w:rsidRPr="00E4265B" w:rsidRDefault="003F4CA3" w:rsidP="008F1CA7">
      <w:pPr>
        <w:pStyle w:val="aList"/>
        <w:ind w:left="2430" w:hanging="810"/>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total of interim or year-end profits that were not included in CET1 Capital pursuant to Rule 3.10.2 and which have accrued after the most recent distribution of profits and after any of the ac</w:t>
      </w:r>
      <w:r w:rsidR="00D13883" w:rsidRPr="00E4265B">
        <w:rPr>
          <w:rFonts w:ascii="Arial" w:hAnsi="Arial" w:cs="Arial"/>
          <w:sz w:val="22"/>
          <w:szCs w:val="22"/>
          <w:lang w:val="en-GB"/>
        </w:rPr>
        <w:t>tions referred to in Rule 3.19.3</w:t>
      </w:r>
      <w:r w:rsidRPr="00E4265B">
        <w:rPr>
          <w:rFonts w:ascii="Arial" w:hAnsi="Arial" w:cs="Arial"/>
          <w:sz w:val="22"/>
          <w:szCs w:val="22"/>
          <w:lang w:val="en-GB"/>
        </w:rPr>
        <w:t>(b);</w:t>
      </w:r>
    </w:p>
    <w:p w14:paraId="2D665A98" w14:textId="77777777" w:rsidR="003F4CA3" w:rsidRPr="00E4265B" w:rsidRDefault="003F4CA3" w:rsidP="008F1CA7">
      <w:pPr>
        <w:pStyle w:val="aList"/>
        <w:ind w:left="2430" w:hanging="810"/>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where the CET1 Capital of the Authorised Person (which is not used to meet the Capital Requirement, including any Individual Capital Requirement as may be imposed pursuant to Chapter 10) falls:</w:t>
      </w:r>
    </w:p>
    <w:p w14:paraId="4AAE4A84" w14:textId="77777777" w:rsidR="003F4CA3" w:rsidRPr="00E4265B" w:rsidRDefault="003F4CA3" w:rsidP="008F1CA7">
      <w:pPr>
        <w:pStyle w:val="iList"/>
        <w:ind w:left="2970" w:hanging="540"/>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within the first quartile of the Combined Buffer </w:t>
      </w:r>
      <w:r w:rsidR="006854D9" w:rsidRPr="00E4265B">
        <w:rPr>
          <w:rFonts w:ascii="Arial" w:hAnsi="Arial" w:cs="Arial"/>
          <w:sz w:val="22"/>
          <w:szCs w:val="22"/>
          <w:lang w:val="en-GB"/>
        </w:rPr>
        <w:t>R</w:t>
      </w:r>
      <w:r w:rsidRPr="00E4265B">
        <w:rPr>
          <w:rFonts w:ascii="Arial" w:hAnsi="Arial" w:cs="Arial"/>
          <w:sz w:val="22"/>
          <w:szCs w:val="22"/>
          <w:lang w:val="en-GB"/>
        </w:rPr>
        <w:t>equirement, the factor shall be 0;</w:t>
      </w:r>
    </w:p>
    <w:p w14:paraId="1B6D86DE" w14:textId="77777777" w:rsidR="003F4CA3" w:rsidRPr="00E4265B" w:rsidRDefault="003F4CA3" w:rsidP="008F1CA7">
      <w:pPr>
        <w:pStyle w:val="iList"/>
        <w:ind w:left="2970" w:hanging="540"/>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within the second quartile of the Combined Buffer </w:t>
      </w:r>
      <w:r w:rsidR="006854D9" w:rsidRPr="00E4265B">
        <w:rPr>
          <w:rFonts w:ascii="Arial" w:hAnsi="Arial" w:cs="Arial"/>
          <w:sz w:val="22"/>
          <w:szCs w:val="22"/>
          <w:lang w:val="en-GB"/>
        </w:rPr>
        <w:t>R</w:t>
      </w:r>
      <w:r w:rsidRPr="00E4265B">
        <w:rPr>
          <w:rFonts w:ascii="Arial" w:hAnsi="Arial" w:cs="Arial"/>
          <w:sz w:val="22"/>
          <w:szCs w:val="22"/>
          <w:lang w:val="en-GB"/>
        </w:rPr>
        <w:t>equirement, the factor shall be 0.2;</w:t>
      </w:r>
    </w:p>
    <w:p w14:paraId="53DBAF1D" w14:textId="77777777" w:rsidR="003F4CA3" w:rsidRPr="00E4265B" w:rsidRDefault="003F4CA3" w:rsidP="008F1CA7">
      <w:pPr>
        <w:pStyle w:val="iList"/>
        <w:ind w:left="2970" w:hanging="540"/>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within the third quartile of the Combined Buffer </w:t>
      </w:r>
      <w:r w:rsidR="006854D9" w:rsidRPr="00E4265B">
        <w:rPr>
          <w:rFonts w:ascii="Arial" w:hAnsi="Arial" w:cs="Arial"/>
          <w:sz w:val="22"/>
          <w:szCs w:val="22"/>
          <w:lang w:val="en-GB"/>
        </w:rPr>
        <w:t>R</w:t>
      </w:r>
      <w:r w:rsidRPr="00E4265B">
        <w:rPr>
          <w:rFonts w:ascii="Arial" w:hAnsi="Arial" w:cs="Arial"/>
          <w:sz w:val="22"/>
          <w:szCs w:val="22"/>
          <w:lang w:val="en-GB"/>
        </w:rPr>
        <w:t>equirement, the factor shall be 0.4;</w:t>
      </w:r>
    </w:p>
    <w:p w14:paraId="2DD9DBC7" w14:textId="77777777" w:rsidR="003F4CA3" w:rsidRPr="00E4265B" w:rsidRDefault="003F4CA3" w:rsidP="008F1CA7">
      <w:pPr>
        <w:pStyle w:val="iList"/>
        <w:ind w:left="2970" w:hanging="540"/>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 xml:space="preserve">within the fourth quartile of the Combined Buffer </w:t>
      </w:r>
      <w:r w:rsidR="006854D9" w:rsidRPr="00E4265B">
        <w:rPr>
          <w:rFonts w:ascii="Arial" w:hAnsi="Arial" w:cs="Arial"/>
          <w:sz w:val="22"/>
          <w:szCs w:val="22"/>
          <w:lang w:val="en-GB"/>
        </w:rPr>
        <w:t>R</w:t>
      </w:r>
      <w:r w:rsidRPr="00E4265B">
        <w:rPr>
          <w:rFonts w:ascii="Arial" w:hAnsi="Arial" w:cs="Arial"/>
          <w:sz w:val="22"/>
          <w:szCs w:val="22"/>
          <w:lang w:val="en-GB"/>
        </w:rPr>
        <w:t xml:space="preserve">equirement, the factor shall be 0.6.  </w:t>
      </w:r>
    </w:p>
    <w:p w14:paraId="19D13EE2" w14:textId="7D14F1B3" w:rsidR="003F4CA3" w:rsidRPr="00E4265B" w:rsidRDefault="003F4CA3" w:rsidP="008F1CA7">
      <w:pPr>
        <w:pStyle w:val="Heading8"/>
        <w:tabs>
          <w:tab w:val="clear" w:pos="504"/>
        </w:tabs>
        <w:ind w:left="1620" w:hanging="720"/>
        <w:rPr>
          <w:rFonts w:ascii="Arial" w:eastAsiaTheme="minorHAnsi" w:hAnsi="Arial" w:cs="Arial"/>
          <w:sz w:val="22"/>
          <w:szCs w:val="22"/>
          <w:lang w:val="en-GB"/>
        </w:rPr>
      </w:pPr>
      <w:r w:rsidRPr="00E4265B">
        <w:rPr>
          <w:rFonts w:ascii="Arial" w:eastAsiaTheme="minorHAnsi" w:hAnsi="Arial" w:cs="Arial"/>
          <w:sz w:val="22"/>
          <w:szCs w:val="22"/>
          <w:lang w:val="en-GB"/>
        </w:rPr>
        <w:t>An Authorised Person must calculate the lower and upper bounds of each quartile of the Comibined Buffer requirement as follows:</w:t>
      </w:r>
    </w:p>
    <w:p w14:paraId="41C0128E" w14:textId="77777777" w:rsidR="008E2135" w:rsidRPr="00E4265B" w:rsidRDefault="003F4CA3" w:rsidP="008F1CA7">
      <w:pPr>
        <w:pStyle w:val="iList"/>
        <w:tabs>
          <w:tab w:val="left" w:pos="1620"/>
        </w:tabs>
        <w:ind w:left="1620" w:hanging="497"/>
        <w:rPr>
          <w:rFonts w:ascii="Arial" w:hAnsi="Arial" w:cs="Arial"/>
          <w:sz w:val="22"/>
          <w:szCs w:val="22"/>
          <w:lang w:val="en-GB"/>
        </w:rPr>
      </w:pPr>
      <w:r w:rsidRPr="00E4265B">
        <w:rPr>
          <w:rFonts w:ascii="Arial" w:hAnsi="Arial" w:cs="Arial"/>
          <w:sz w:val="22"/>
          <w:szCs w:val="22"/>
          <w:lang w:val="en-GB"/>
        </w:rPr>
        <w:tab/>
        <w:t xml:space="preserve">Lower bound of quartile = (Combined Buffer </w:t>
      </w:r>
      <w:r w:rsidR="006854D9" w:rsidRPr="00E4265B">
        <w:rPr>
          <w:rFonts w:ascii="Arial" w:hAnsi="Arial" w:cs="Arial"/>
          <w:sz w:val="22"/>
          <w:szCs w:val="22"/>
          <w:lang w:val="en-GB"/>
        </w:rPr>
        <w:t>R</w:t>
      </w:r>
      <w:r w:rsidRPr="00E4265B">
        <w:rPr>
          <w:rFonts w:ascii="Arial" w:hAnsi="Arial" w:cs="Arial"/>
          <w:sz w:val="22"/>
          <w:szCs w:val="22"/>
          <w:lang w:val="en-GB"/>
        </w:rPr>
        <w:t>equirement / 4) x (</w:t>
      </w:r>
      <w:r w:rsidRPr="00E4265B">
        <w:rPr>
          <w:rFonts w:ascii="Arial" w:hAnsi="Arial" w:cs="Arial"/>
          <w:i/>
          <w:iCs/>
          <w:sz w:val="22"/>
          <w:szCs w:val="22"/>
          <w:lang w:val="en-GB"/>
        </w:rPr>
        <w:t>Q</w:t>
      </w:r>
      <w:r w:rsidRPr="00E4265B">
        <w:rPr>
          <w:rFonts w:ascii="Arial" w:hAnsi="Arial" w:cs="Arial"/>
          <w:i/>
          <w:iCs/>
          <w:sz w:val="22"/>
          <w:szCs w:val="22"/>
          <w:vertAlign w:val="subscript"/>
          <w:lang w:val="en-GB"/>
        </w:rPr>
        <w:t>n</w:t>
      </w:r>
      <w:r w:rsidRPr="00E4265B">
        <w:rPr>
          <w:rFonts w:ascii="Arial" w:hAnsi="Arial" w:cs="Arial"/>
          <w:sz w:val="22"/>
          <w:szCs w:val="22"/>
          <w:lang w:val="en-GB"/>
        </w:rPr>
        <w:t xml:space="preserve"> – 1); </w:t>
      </w:r>
    </w:p>
    <w:p w14:paraId="0B661290" w14:textId="64F9A9D1" w:rsidR="003F4CA3" w:rsidRPr="00E4265B" w:rsidRDefault="008E2135" w:rsidP="008F1CA7">
      <w:pPr>
        <w:pStyle w:val="iList"/>
        <w:tabs>
          <w:tab w:val="left" w:pos="1620"/>
        </w:tabs>
        <w:ind w:left="1620" w:hanging="497"/>
        <w:rPr>
          <w:rFonts w:ascii="Arial" w:hAnsi="Arial" w:cs="Arial"/>
          <w:sz w:val="22"/>
          <w:szCs w:val="22"/>
          <w:lang w:val="en-GB"/>
        </w:rPr>
      </w:pPr>
      <w:r w:rsidRPr="00E4265B">
        <w:rPr>
          <w:rFonts w:ascii="Arial" w:hAnsi="Arial" w:cs="Arial"/>
          <w:sz w:val="22"/>
          <w:szCs w:val="22"/>
          <w:lang w:val="en-GB"/>
        </w:rPr>
        <w:tab/>
      </w:r>
      <w:r w:rsidR="003F4CA3" w:rsidRPr="00E4265B">
        <w:rPr>
          <w:rFonts w:ascii="Arial" w:hAnsi="Arial" w:cs="Arial"/>
          <w:sz w:val="22"/>
          <w:szCs w:val="22"/>
          <w:lang w:val="en-GB"/>
        </w:rPr>
        <w:t>and</w:t>
      </w:r>
    </w:p>
    <w:p w14:paraId="65E2C31A" w14:textId="65B731B3" w:rsidR="003F4CA3" w:rsidRPr="00E4265B" w:rsidRDefault="008F1CA7" w:rsidP="008F1CA7">
      <w:pPr>
        <w:pStyle w:val="iList"/>
        <w:tabs>
          <w:tab w:val="left" w:pos="1620"/>
        </w:tabs>
        <w:ind w:left="1620" w:hanging="497"/>
        <w:rPr>
          <w:rFonts w:ascii="Arial" w:hAnsi="Arial" w:cs="Arial"/>
          <w:sz w:val="22"/>
          <w:szCs w:val="22"/>
          <w:lang w:val="en-GB"/>
        </w:rPr>
      </w:pPr>
      <w:r w:rsidRPr="00E4265B">
        <w:rPr>
          <w:rFonts w:ascii="Arial" w:hAnsi="Arial" w:cs="Arial"/>
          <w:sz w:val="22"/>
          <w:szCs w:val="22"/>
          <w:lang w:val="en-GB"/>
        </w:rPr>
        <w:tab/>
      </w:r>
      <w:r w:rsidR="003F4CA3" w:rsidRPr="00E4265B">
        <w:rPr>
          <w:rFonts w:ascii="Arial" w:hAnsi="Arial" w:cs="Arial"/>
          <w:sz w:val="22"/>
          <w:szCs w:val="22"/>
          <w:lang w:val="en-GB"/>
        </w:rPr>
        <w:t>Upper bound of quarti</w:t>
      </w:r>
      <w:r w:rsidR="006854D9" w:rsidRPr="00E4265B">
        <w:rPr>
          <w:rFonts w:ascii="Arial" w:hAnsi="Arial" w:cs="Arial"/>
          <w:sz w:val="22"/>
          <w:szCs w:val="22"/>
          <w:lang w:val="en-GB"/>
        </w:rPr>
        <w:t>le = (Combined Buffer R</w:t>
      </w:r>
      <w:r w:rsidR="003F4CA3" w:rsidRPr="00E4265B">
        <w:rPr>
          <w:rFonts w:ascii="Arial" w:hAnsi="Arial" w:cs="Arial"/>
          <w:sz w:val="22"/>
          <w:szCs w:val="22"/>
          <w:lang w:val="en-GB"/>
        </w:rPr>
        <w:t xml:space="preserve">equirement / 4) x </w:t>
      </w:r>
      <w:r w:rsidR="003F4CA3" w:rsidRPr="00E4265B">
        <w:rPr>
          <w:rFonts w:ascii="Arial" w:hAnsi="Arial" w:cs="Arial"/>
          <w:i/>
          <w:iCs/>
          <w:sz w:val="22"/>
          <w:szCs w:val="22"/>
          <w:lang w:val="en-GB"/>
        </w:rPr>
        <w:t>Q</w:t>
      </w:r>
      <w:r w:rsidR="003F4CA3" w:rsidRPr="00E4265B">
        <w:rPr>
          <w:rFonts w:ascii="Arial" w:hAnsi="Arial" w:cs="Arial"/>
          <w:i/>
          <w:iCs/>
          <w:sz w:val="22"/>
          <w:szCs w:val="22"/>
          <w:vertAlign w:val="subscript"/>
          <w:lang w:val="en-GB"/>
        </w:rPr>
        <w:t>n</w:t>
      </w:r>
      <w:r w:rsidR="003F4CA3" w:rsidRPr="00E4265B">
        <w:rPr>
          <w:rFonts w:ascii="Arial" w:hAnsi="Arial" w:cs="Arial"/>
          <w:sz w:val="22"/>
          <w:szCs w:val="22"/>
          <w:lang w:val="en-GB"/>
        </w:rPr>
        <w:t>,</w:t>
      </w:r>
    </w:p>
    <w:p w14:paraId="47639D67" w14:textId="77777777" w:rsidR="003F4CA3" w:rsidRPr="00E4265B" w:rsidRDefault="003F4CA3" w:rsidP="008F1CA7">
      <w:pPr>
        <w:pStyle w:val="iList"/>
        <w:ind w:left="1620" w:firstLine="0"/>
        <w:rPr>
          <w:rFonts w:ascii="Arial" w:hAnsi="Arial" w:cs="Arial"/>
          <w:sz w:val="22"/>
          <w:szCs w:val="22"/>
          <w:lang w:val="en-GB"/>
        </w:rPr>
      </w:pPr>
      <w:r w:rsidRPr="00E4265B">
        <w:rPr>
          <w:rFonts w:ascii="Arial" w:hAnsi="Arial" w:cs="Arial"/>
          <w:sz w:val="22"/>
          <w:szCs w:val="22"/>
          <w:lang w:val="en-GB"/>
        </w:rPr>
        <w:t xml:space="preserve">where </w:t>
      </w:r>
      <w:r w:rsidRPr="00E4265B">
        <w:rPr>
          <w:rFonts w:ascii="Arial" w:hAnsi="Arial" w:cs="Arial"/>
          <w:i/>
          <w:iCs/>
          <w:sz w:val="22"/>
          <w:szCs w:val="22"/>
          <w:lang w:val="en-GB"/>
        </w:rPr>
        <w:t>Q</w:t>
      </w:r>
      <w:r w:rsidRPr="00E4265B">
        <w:rPr>
          <w:rFonts w:ascii="Arial" w:hAnsi="Arial" w:cs="Arial"/>
          <w:i/>
          <w:iCs/>
          <w:sz w:val="22"/>
          <w:szCs w:val="22"/>
          <w:vertAlign w:val="subscript"/>
          <w:lang w:val="en-GB"/>
        </w:rPr>
        <w:t>n</w:t>
      </w:r>
      <w:r w:rsidRPr="00E4265B">
        <w:rPr>
          <w:rFonts w:ascii="Arial" w:hAnsi="Arial" w:cs="Arial"/>
          <w:sz w:val="22"/>
          <w:szCs w:val="22"/>
          <w:lang w:val="en-GB"/>
        </w:rPr>
        <w:t xml:space="preserve"> indicates the ordinal number of the quartile concerned.</w:t>
      </w:r>
    </w:p>
    <w:p w14:paraId="539A53E8" w14:textId="77777777" w:rsidR="003F4CA3" w:rsidRPr="00E4265B" w:rsidRDefault="003F4CA3" w:rsidP="008F1CA7">
      <w:pPr>
        <w:pStyle w:val="1List"/>
        <w:ind w:left="1620" w:hanging="684"/>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If an Authorised Person underta</w:t>
      </w:r>
      <w:r w:rsidR="00D13883" w:rsidRPr="00E4265B">
        <w:rPr>
          <w:rFonts w:ascii="Arial" w:hAnsi="Arial" w:cs="Arial"/>
          <w:sz w:val="22"/>
          <w:szCs w:val="22"/>
          <w:lang w:val="en-GB"/>
        </w:rPr>
        <w:t>kes any action under Rule 3.19.3</w:t>
      </w:r>
      <w:r w:rsidRPr="00E4265B">
        <w:rPr>
          <w:rFonts w:ascii="Arial" w:hAnsi="Arial" w:cs="Arial"/>
          <w:sz w:val="22"/>
          <w:szCs w:val="22"/>
          <w:lang w:val="en-GB"/>
        </w:rPr>
        <w:t>(b), it must take that into account and reduce the maximum distributable amount accordingly.</w:t>
      </w:r>
    </w:p>
    <w:p w14:paraId="6291BCCD" w14:textId="77777777" w:rsidR="003F4CA3" w:rsidRPr="00E4265B" w:rsidRDefault="003F4CA3" w:rsidP="003F4CA3">
      <w:pPr>
        <w:pStyle w:val="1List"/>
        <w:rPr>
          <w:rFonts w:ascii="Arial" w:hAnsi="Arial" w:cs="Arial"/>
          <w:b/>
          <w:sz w:val="22"/>
          <w:szCs w:val="22"/>
          <w:lang w:val="en-GB"/>
        </w:rPr>
      </w:pPr>
      <w:r w:rsidRPr="00E4265B">
        <w:rPr>
          <w:rFonts w:ascii="Arial" w:hAnsi="Arial" w:cs="Arial"/>
          <w:b/>
          <w:sz w:val="22"/>
          <w:szCs w:val="22"/>
          <w:lang w:val="en-GB"/>
        </w:rPr>
        <w:t>Guidance</w:t>
      </w:r>
    </w:p>
    <w:p w14:paraId="0C04F64B" w14:textId="77777777" w:rsidR="003F4CA3" w:rsidRPr="00E4265B" w:rsidRDefault="003F4CA3" w:rsidP="003F4CA3">
      <w:pPr>
        <w:pStyle w:val="1List"/>
        <w:ind w:left="993" w:firstLine="0"/>
        <w:rPr>
          <w:rFonts w:ascii="Arial" w:hAnsi="Arial" w:cs="Arial"/>
          <w:sz w:val="22"/>
          <w:szCs w:val="22"/>
          <w:lang w:val="en-GB"/>
        </w:rPr>
      </w:pPr>
      <w:r w:rsidRPr="00E4265B">
        <w:rPr>
          <w:rFonts w:ascii="Arial" w:hAnsi="Arial" w:cs="Arial"/>
          <w:sz w:val="22"/>
          <w:szCs w:val="22"/>
          <w:lang w:val="en-GB"/>
        </w:rPr>
        <w:t xml:space="preserve">The expression of both CET1 Capital and the Combined Buffer </w:t>
      </w:r>
      <w:r w:rsidR="006854D9" w:rsidRPr="00E4265B">
        <w:rPr>
          <w:rFonts w:ascii="Arial" w:hAnsi="Arial" w:cs="Arial"/>
          <w:sz w:val="22"/>
          <w:szCs w:val="22"/>
          <w:lang w:val="en-GB"/>
        </w:rPr>
        <w:t>R</w:t>
      </w:r>
      <w:r w:rsidRPr="00E4265B">
        <w:rPr>
          <w:rFonts w:ascii="Arial" w:hAnsi="Arial" w:cs="Arial"/>
          <w:sz w:val="22"/>
          <w:szCs w:val="22"/>
          <w:lang w:val="en-GB"/>
        </w:rPr>
        <w:t xml:space="preserve">equirement above is in absolute terms rather than as a percentage of the Total Risk Exposure Amount. </w:t>
      </w:r>
    </w:p>
    <w:p w14:paraId="35694B5A" w14:textId="77777777" w:rsidR="003F4CA3" w:rsidRPr="00E4265B" w:rsidRDefault="00D13883" w:rsidP="003F4CA3">
      <w:pPr>
        <w:pStyle w:val="Heading4"/>
        <w:rPr>
          <w:rFonts w:ascii="Arial" w:hAnsi="Arial" w:cs="Arial"/>
          <w:sz w:val="22"/>
          <w:szCs w:val="22"/>
        </w:rPr>
      </w:pPr>
      <w:r w:rsidRPr="00E4265B">
        <w:rPr>
          <w:rFonts w:ascii="Arial" w:hAnsi="Arial" w:cs="Arial"/>
          <w:sz w:val="22"/>
          <w:szCs w:val="22"/>
        </w:rPr>
        <w:t>For the purpose of Rule 3.19.3</w:t>
      </w:r>
      <w:r w:rsidR="003F4CA3" w:rsidRPr="00E4265B">
        <w:rPr>
          <w:rFonts w:ascii="Arial" w:hAnsi="Arial" w:cs="Arial"/>
          <w:sz w:val="22"/>
          <w:szCs w:val="22"/>
        </w:rPr>
        <w:t>(b), where an Authorised Person intends to distribute any of its distributable profits or intends to undertake an action refe</w:t>
      </w:r>
      <w:r w:rsidRPr="00E4265B">
        <w:rPr>
          <w:rFonts w:ascii="Arial" w:hAnsi="Arial" w:cs="Arial"/>
          <w:sz w:val="22"/>
          <w:szCs w:val="22"/>
        </w:rPr>
        <w:t>rred to in Rule 3.19.3</w:t>
      </w:r>
      <w:r w:rsidR="003F4CA3" w:rsidRPr="00E4265B">
        <w:rPr>
          <w:rFonts w:ascii="Arial" w:hAnsi="Arial" w:cs="Arial"/>
          <w:sz w:val="22"/>
          <w:szCs w:val="22"/>
        </w:rPr>
        <w:t>(b)(i) or (ii), the Authorised Person must notify the Regulator and provide the following information:</w:t>
      </w:r>
    </w:p>
    <w:p w14:paraId="237C86B3"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the amount of capital maintained by the Authorised Person, subdivided as follows:</w:t>
      </w:r>
    </w:p>
    <w:p w14:paraId="7B48540B" w14:textId="77777777" w:rsidR="003F4CA3" w:rsidRPr="00E4265B" w:rsidRDefault="003F4CA3" w:rsidP="003F4CA3">
      <w:pPr>
        <w:pStyle w:val="iList"/>
        <w:ind w:left="2376"/>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CET1 Capital;</w:t>
      </w:r>
    </w:p>
    <w:p w14:paraId="20CD3417" w14:textId="77777777" w:rsidR="003F4CA3" w:rsidRPr="00E4265B" w:rsidRDefault="003F4CA3" w:rsidP="003F4CA3">
      <w:pPr>
        <w:pStyle w:val="iList"/>
        <w:ind w:left="2376"/>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AT1 Capital; and</w:t>
      </w:r>
    </w:p>
    <w:p w14:paraId="7B542733" w14:textId="77777777" w:rsidR="003F4CA3" w:rsidRPr="00E4265B" w:rsidRDefault="003F4CA3" w:rsidP="003F4CA3">
      <w:pPr>
        <w:pStyle w:val="iList"/>
        <w:ind w:left="2376"/>
        <w:rPr>
          <w:rFonts w:ascii="Arial" w:hAnsi="Arial" w:cs="Arial"/>
          <w:sz w:val="22"/>
          <w:szCs w:val="22"/>
          <w:lang w:val="en-GB"/>
        </w:rPr>
      </w:pPr>
      <w:r w:rsidRPr="00E4265B">
        <w:rPr>
          <w:rFonts w:ascii="Arial" w:hAnsi="Arial" w:cs="Arial"/>
          <w:sz w:val="22"/>
          <w:szCs w:val="22"/>
          <w:lang w:val="en-GB"/>
        </w:rPr>
        <w:lastRenderedPageBreak/>
        <w:t>(iii)</w:t>
      </w:r>
      <w:r w:rsidRPr="00E4265B">
        <w:rPr>
          <w:rFonts w:ascii="Arial" w:hAnsi="Arial" w:cs="Arial"/>
          <w:sz w:val="22"/>
          <w:szCs w:val="22"/>
          <w:lang w:val="en-GB"/>
        </w:rPr>
        <w:tab/>
        <w:t>T2 Capital;</w:t>
      </w:r>
    </w:p>
    <w:p w14:paraId="6670CF5A"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the amount of its interim and year-end profits;</w:t>
      </w:r>
    </w:p>
    <w:p w14:paraId="10CFAB68"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the maximum distributable amount calculated in accordance with</w:t>
      </w:r>
      <w:r w:rsidR="00D13883" w:rsidRPr="00E4265B">
        <w:rPr>
          <w:rFonts w:ascii="Arial" w:hAnsi="Arial" w:cs="Arial"/>
          <w:sz w:val="22"/>
          <w:szCs w:val="22"/>
        </w:rPr>
        <w:t xml:space="preserve"> Rule 3.19.6</w:t>
      </w:r>
      <w:r w:rsidRPr="00E4265B">
        <w:rPr>
          <w:rFonts w:ascii="Arial" w:hAnsi="Arial" w:cs="Arial"/>
          <w:sz w:val="22"/>
          <w:szCs w:val="22"/>
        </w:rPr>
        <w:t>; and</w:t>
      </w:r>
    </w:p>
    <w:p w14:paraId="09EF63FD"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the amount of distributable profits it intends to allocate between the following:</w:t>
      </w:r>
    </w:p>
    <w:p w14:paraId="3FDBA505" w14:textId="77777777" w:rsidR="003F4CA3" w:rsidRPr="00E4265B" w:rsidRDefault="003F4CA3" w:rsidP="003F4CA3">
      <w:pPr>
        <w:pStyle w:val="iList"/>
        <w:ind w:left="2376"/>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dividend payments;</w:t>
      </w:r>
    </w:p>
    <w:p w14:paraId="68568EED" w14:textId="77777777" w:rsidR="003F4CA3" w:rsidRPr="00E4265B" w:rsidRDefault="003F4CA3" w:rsidP="003F4CA3">
      <w:pPr>
        <w:pStyle w:val="iList"/>
        <w:ind w:left="2376"/>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Share buybacks;</w:t>
      </w:r>
    </w:p>
    <w:p w14:paraId="5BB5F955" w14:textId="77777777" w:rsidR="003F4CA3" w:rsidRPr="00E4265B" w:rsidRDefault="003F4CA3" w:rsidP="003F4CA3">
      <w:pPr>
        <w:pStyle w:val="iList"/>
        <w:ind w:left="2376"/>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payments on AT1 Capital instruments; and</w:t>
      </w:r>
    </w:p>
    <w:p w14:paraId="6F2B068C" w14:textId="77777777" w:rsidR="003F4CA3" w:rsidRPr="00E4265B" w:rsidRDefault="003F4CA3" w:rsidP="003F4CA3">
      <w:pPr>
        <w:pStyle w:val="iList"/>
        <w:ind w:left="2376"/>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the payment of variable remuneration or discretionary pension benefits, whether by creation of a new obligation to pay, or by payment pursuant to an obligation to pay created at a time when the institution failed to meet its C</w:t>
      </w:r>
      <w:r w:rsidR="00D13883" w:rsidRPr="00E4265B">
        <w:rPr>
          <w:rFonts w:ascii="Arial" w:hAnsi="Arial" w:cs="Arial"/>
          <w:sz w:val="22"/>
          <w:szCs w:val="22"/>
          <w:lang w:val="en-GB"/>
        </w:rPr>
        <w:t>ombined</w:t>
      </w:r>
      <w:r w:rsidRPr="00E4265B">
        <w:rPr>
          <w:rFonts w:ascii="Arial" w:hAnsi="Arial" w:cs="Arial"/>
          <w:sz w:val="22"/>
          <w:szCs w:val="22"/>
          <w:lang w:val="en-GB"/>
        </w:rPr>
        <w:t xml:space="preserve"> Buffer </w:t>
      </w:r>
      <w:r w:rsidR="006854D9" w:rsidRPr="00E4265B">
        <w:rPr>
          <w:rFonts w:ascii="Arial" w:hAnsi="Arial" w:cs="Arial"/>
          <w:sz w:val="22"/>
          <w:szCs w:val="22"/>
          <w:lang w:val="en-GB"/>
        </w:rPr>
        <w:t>R</w:t>
      </w:r>
      <w:r w:rsidRPr="00E4265B">
        <w:rPr>
          <w:rFonts w:ascii="Arial" w:hAnsi="Arial" w:cs="Arial"/>
          <w:sz w:val="22"/>
          <w:szCs w:val="22"/>
          <w:lang w:val="en-GB"/>
        </w:rPr>
        <w:t>equirement.</w:t>
      </w:r>
    </w:p>
    <w:p w14:paraId="03950DF7" w14:textId="77777777" w:rsidR="003F4CA3" w:rsidRPr="00E4265B" w:rsidRDefault="003F4CA3" w:rsidP="003F4CA3">
      <w:pPr>
        <w:pStyle w:val="TitleL5"/>
        <w:keepNext w:val="0"/>
        <w:rPr>
          <w:rFonts w:ascii="Arial" w:hAnsi="Arial" w:cs="Arial"/>
          <w:sz w:val="22"/>
          <w:szCs w:val="22"/>
          <w:lang w:val="en-GB"/>
        </w:rPr>
      </w:pPr>
      <w:r w:rsidRPr="00E4265B">
        <w:rPr>
          <w:rFonts w:ascii="Arial" w:hAnsi="Arial" w:cs="Arial"/>
          <w:sz w:val="22"/>
          <w:szCs w:val="22"/>
          <w:lang w:val="en-GB"/>
        </w:rPr>
        <w:t>Guidance</w:t>
      </w:r>
    </w:p>
    <w:p w14:paraId="08457814" w14:textId="77777777" w:rsidR="003F4CA3" w:rsidRPr="00E4265B" w:rsidRDefault="003F4CA3" w:rsidP="003F4CA3">
      <w:pPr>
        <w:pStyle w:val="UK12Block05"/>
        <w:rPr>
          <w:rFonts w:ascii="Arial" w:hAnsi="Arial" w:cs="Arial"/>
          <w:sz w:val="22"/>
          <w:szCs w:val="22"/>
          <w:lang w:val="en-GB"/>
        </w:rPr>
      </w:pPr>
      <w:r w:rsidRPr="00E4265B">
        <w:rPr>
          <w:rFonts w:ascii="Arial" w:hAnsi="Arial" w:cs="Arial"/>
          <w:sz w:val="22"/>
          <w:szCs w:val="22"/>
          <w:lang w:val="en-GB"/>
        </w:rPr>
        <w:t>Upon receiving a notification under this Rule, the Regulator will make an assessment of the firm's ability to meet and maintain its Capital Requirement on a sustainable basis going forward.</w:t>
      </w:r>
    </w:p>
    <w:p w14:paraId="6C1C4558" w14:textId="77777777" w:rsidR="003F4CA3" w:rsidRPr="00E4265B" w:rsidRDefault="003F4CA3" w:rsidP="003F4CA3">
      <w:pPr>
        <w:pStyle w:val="Heading4"/>
        <w:rPr>
          <w:rFonts w:ascii="Arial" w:hAnsi="Arial" w:cs="Arial"/>
          <w:sz w:val="22"/>
          <w:szCs w:val="22"/>
        </w:rPr>
      </w:pPr>
      <w:r w:rsidRPr="00E4265B">
        <w:rPr>
          <w:rFonts w:ascii="Arial" w:hAnsi="Arial" w:cs="Arial"/>
          <w:sz w:val="22"/>
          <w:szCs w:val="22"/>
        </w:rPr>
        <w:t>An Authorised Person must maintain systems and processes to ensure that the amount of distributable profits and the maximum distributable amount are calculated accurately, and must be able to demonstrate the accuracy of the calculations to the Regulator on request.</w:t>
      </w:r>
    </w:p>
    <w:p w14:paraId="139D3603" w14:textId="77777777" w:rsidR="003F4CA3" w:rsidRPr="00E4265B" w:rsidRDefault="003F4CA3" w:rsidP="003F4CA3">
      <w:pPr>
        <w:pStyle w:val="TitleL5"/>
        <w:keepNext w:val="0"/>
        <w:rPr>
          <w:rFonts w:ascii="Arial" w:hAnsi="Arial" w:cs="Arial"/>
          <w:sz w:val="22"/>
          <w:szCs w:val="22"/>
          <w:lang w:val="en-GB"/>
        </w:rPr>
      </w:pPr>
      <w:r w:rsidRPr="00E4265B">
        <w:rPr>
          <w:rFonts w:ascii="Arial" w:hAnsi="Arial" w:cs="Arial"/>
          <w:sz w:val="22"/>
          <w:szCs w:val="22"/>
          <w:lang w:val="en-GB"/>
        </w:rPr>
        <w:t>Capital conservation plan</w:t>
      </w:r>
    </w:p>
    <w:p w14:paraId="112DBA14" w14:textId="77777777" w:rsidR="003F4CA3" w:rsidRPr="00E4265B" w:rsidRDefault="003F4CA3" w:rsidP="003F4CA3">
      <w:pPr>
        <w:pStyle w:val="Heading4"/>
        <w:rPr>
          <w:rFonts w:ascii="Arial" w:hAnsi="Arial" w:cs="Arial"/>
          <w:sz w:val="22"/>
          <w:szCs w:val="22"/>
        </w:rPr>
      </w:pPr>
      <w:r w:rsidRPr="00E4265B">
        <w:rPr>
          <w:rFonts w:ascii="Arial" w:hAnsi="Arial" w:cs="Arial"/>
          <w:sz w:val="22"/>
          <w:szCs w:val="22"/>
        </w:rPr>
        <w:t>Where an Authorised Person fails to meet the Combined Buffer Requirement, it must prepare a capital conservation plan and submit it to the Regulator no later than five business days after it identified its failure to meet the Combined Buffer Requirement.  The capital conservation plan must include the following:</w:t>
      </w:r>
    </w:p>
    <w:p w14:paraId="22485275"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estimates of income and expenditure and a forecast balance sheet;</w:t>
      </w:r>
    </w:p>
    <w:p w14:paraId="4B900707"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measures to increase the CET1 Capital of the Authorised Person;</w:t>
      </w:r>
    </w:p>
    <w:p w14:paraId="6F6A7E0B"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a plan and timeframe for the increase of CET1 Capital with the objective of restoring the Combined Buffer; and</w:t>
      </w:r>
    </w:p>
    <w:p w14:paraId="6372586A" w14:textId="77777777" w:rsidR="003F4CA3" w:rsidRPr="00E4265B" w:rsidRDefault="003F4CA3" w:rsidP="003F4CA3">
      <w:pPr>
        <w:pStyle w:val="Heading5"/>
        <w:rPr>
          <w:rFonts w:ascii="Arial" w:hAnsi="Arial" w:cs="Arial"/>
          <w:sz w:val="22"/>
          <w:szCs w:val="22"/>
        </w:rPr>
      </w:pPr>
      <w:r w:rsidRPr="00E4265B">
        <w:rPr>
          <w:rFonts w:ascii="Arial" w:hAnsi="Arial" w:cs="Arial"/>
          <w:sz w:val="22"/>
          <w:szCs w:val="22"/>
        </w:rPr>
        <w:t>any other information the Regulator might need in order to carry out its considerat</w:t>
      </w:r>
      <w:r w:rsidR="00D13883" w:rsidRPr="00E4265B">
        <w:rPr>
          <w:rFonts w:ascii="Arial" w:hAnsi="Arial" w:cs="Arial"/>
          <w:sz w:val="22"/>
          <w:szCs w:val="22"/>
        </w:rPr>
        <w:t>ions referred to in Rule 3.19.10</w:t>
      </w:r>
      <w:r w:rsidRPr="00E4265B">
        <w:rPr>
          <w:rFonts w:ascii="Arial" w:hAnsi="Arial" w:cs="Arial"/>
          <w:sz w:val="22"/>
          <w:szCs w:val="22"/>
        </w:rPr>
        <w:t xml:space="preserve"> effectively.</w:t>
      </w:r>
    </w:p>
    <w:p w14:paraId="34B6D46B" w14:textId="77777777" w:rsidR="003F4CA3" w:rsidRPr="00E4265B" w:rsidRDefault="003F4CA3" w:rsidP="008F1CA7">
      <w:pPr>
        <w:pStyle w:val="Heading4"/>
        <w:tabs>
          <w:tab w:val="clear" w:pos="936"/>
          <w:tab w:val="left" w:pos="900"/>
        </w:tabs>
        <w:ind w:left="1710" w:hanging="171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Following assessment, the Regulator will approve the capital conservation plan only if it considers that the plan, if implemented, would be reasonably likely to conserve or raise sufficient CET1 Capital to enable the Authorised Person to meet its Combined Buffer Requirement, within a period that the Regulator considers appropriate.</w:t>
      </w:r>
    </w:p>
    <w:p w14:paraId="64FFD4A7" w14:textId="6AA14FD0" w:rsidR="00207963" w:rsidRPr="00E4265B" w:rsidRDefault="003F4CA3" w:rsidP="008F1CA7">
      <w:pPr>
        <w:pStyle w:val="1List"/>
        <w:ind w:left="1710" w:hanging="774"/>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If the Regulator does not approve the capital conservation plan, the Regulator may require the Authorised Person to increase its CET1 Capital </w:t>
      </w:r>
      <w:r w:rsidRPr="00E4265B">
        <w:rPr>
          <w:rFonts w:ascii="Arial" w:hAnsi="Arial" w:cs="Arial"/>
          <w:sz w:val="22"/>
          <w:szCs w:val="22"/>
          <w:lang w:val="en-GB"/>
        </w:rPr>
        <w:lastRenderedPageBreak/>
        <w:t>to meet the Combined Buffer Requirement, within a specified period of time.  The Regulator may also impose more stringent restrictions on distributions than</w:t>
      </w:r>
      <w:r w:rsidR="00D13883" w:rsidRPr="00E4265B">
        <w:rPr>
          <w:rFonts w:ascii="Arial" w:hAnsi="Arial" w:cs="Arial"/>
          <w:sz w:val="22"/>
          <w:szCs w:val="22"/>
          <w:lang w:val="en-GB"/>
        </w:rPr>
        <w:t xml:space="preserve"> those imposed under Rule 3.19.3</w:t>
      </w:r>
      <w:r w:rsidRPr="00E4265B">
        <w:rPr>
          <w:rFonts w:ascii="Arial" w:hAnsi="Arial" w:cs="Arial"/>
          <w:sz w:val="22"/>
          <w:szCs w:val="22"/>
          <w:lang w:val="en-GB"/>
        </w:rPr>
        <w:t xml:space="preserve"> where the capital cons</w:t>
      </w:r>
      <w:r w:rsidR="00207963" w:rsidRPr="00E4265B">
        <w:rPr>
          <w:rFonts w:ascii="Arial" w:hAnsi="Arial" w:cs="Arial"/>
          <w:sz w:val="22"/>
          <w:szCs w:val="22"/>
          <w:lang w:val="en-GB"/>
        </w:rPr>
        <w:t>ervation plan is not approved.</w:t>
      </w:r>
    </w:p>
    <w:p w14:paraId="458DE4F5" w14:textId="77777777" w:rsidR="003F4CA3" w:rsidRPr="00E4265B" w:rsidRDefault="003F4CA3" w:rsidP="003F4CA3">
      <w:pPr>
        <w:pStyle w:val="TitleL5"/>
        <w:keepNext w:val="0"/>
        <w:rPr>
          <w:rFonts w:ascii="Arial" w:hAnsi="Arial" w:cs="Arial"/>
          <w:sz w:val="22"/>
          <w:szCs w:val="22"/>
          <w:lang w:val="en-GB"/>
        </w:rPr>
      </w:pPr>
      <w:r w:rsidRPr="00E4265B">
        <w:rPr>
          <w:rFonts w:ascii="Arial" w:hAnsi="Arial" w:cs="Arial"/>
          <w:sz w:val="22"/>
          <w:szCs w:val="22"/>
          <w:lang w:val="en-GB"/>
        </w:rPr>
        <w:t xml:space="preserve">Guidance </w:t>
      </w:r>
    </w:p>
    <w:p w14:paraId="6F95601F" w14:textId="77777777" w:rsidR="003F4CA3" w:rsidRPr="00E4265B" w:rsidRDefault="00D13883" w:rsidP="003F4CA3">
      <w:pPr>
        <w:pStyle w:val="UK12Block05"/>
        <w:rPr>
          <w:rFonts w:ascii="Arial" w:hAnsi="Arial" w:cs="Arial"/>
          <w:sz w:val="22"/>
          <w:szCs w:val="22"/>
          <w:lang w:val="en-GB"/>
        </w:rPr>
      </w:pPr>
      <w:r w:rsidRPr="00E4265B">
        <w:rPr>
          <w:rFonts w:ascii="Arial" w:hAnsi="Arial" w:cs="Arial"/>
          <w:sz w:val="22"/>
          <w:szCs w:val="22"/>
          <w:lang w:val="en-GB"/>
        </w:rPr>
        <w:t>Where the Risk Capital Requirement forms the Capital Requirement of a</w:t>
      </w:r>
      <w:r w:rsidR="003F4CA3" w:rsidRPr="00E4265B">
        <w:rPr>
          <w:rFonts w:ascii="Arial" w:hAnsi="Arial" w:cs="Arial"/>
          <w:sz w:val="22"/>
          <w:szCs w:val="22"/>
          <w:lang w:val="en-GB"/>
        </w:rPr>
        <w:t>n Author</w:t>
      </w:r>
      <w:r w:rsidRPr="00E4265B">
        <w:rPr>
          <w:rFonts w:ascii="Arial" w:hAnsi="Arial" w:cs="Arial"/>
          <w:sz w:val="22"/>
          <w:szCs w:val="22"/>
          <w:lang w:val="en-GB"/>
        </w:rPr>
        <w:t>ised Person in Category 1, 2,</w:t>
      </w:r>
      <w:r w:rsidR="003F4CA3" w:rsidRPr="00E4265B">
        <w:rPr>
          <w:rFonts w:ascii="Arial" w:hAnsi="Arial" w:cs="Arial"/>
          <w:sz w:val="22"/>
          <w:szCs w:val="22"/>
          <w:lang w:val="en-GB"/>
        </w:rPr>
        <w:t xml:space="preserve"> or 5 </w:t>
      </w:r>
      <w:r w:rsidRPr="00E4265B">
        <w:rPr>
          <w:rFonts w:ascii="Arial" w:hAnsi="Arial" w:cs="Arial"/>
          <w:sz w:val="22"/>
          <w:szCs w:val="22"/>
          <w:lang w:val="en-GB"/>
        </w:rPr>
        <w:t xml:space="preserve">it </w:t>
      </w:r>
      <w:r w:rsidR="003F4CA3" w:rsidRPr="00E4265B">
        <w:rPr>
          <w:rFonts w:ascii="Arial" w:hAnsi="Arial" w:cs="Arial"/>
          <w:sz w:val="22"/>
          <w:szCs w:val="22"/>
          <w:lang w:val="en-GB"/>
        </w:rPr>
        <w:t>should therefore hold sufficient total Capital Resources of the quality required to meet the following requirements:</w:t>
      </w:r>
    </w:p>
    <w:p w14:paraId="50956C4A" w14:textId="77777777" w:rsidR="003F4CA3" w:rsidRPr="00E4265B" w:rsidRDefault="003F4CA3" w:rsidP="00757656">
      <w:pPr>
        <w:pStyle w:val="aList"/>
        <w:ind w:left="1701" w:hanging="708"/>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capital ratios specified in Rule 3.16.2;</w:t>
      </w:r>
    </w:p>
    <w:p w14:paraId="0F68236F" w14:textId="77777777" w:rsidR="003F4CA3" w:rsidRPr="00E4265B" w:rsidRDefault="003F4CA3" w:rsidP="00757656">
      <w:pPr>
        <w:pStyle w:val="aList"/>
        <w:ind w:left="1701" w:hanging="708"/>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any Individual Capital Requirement as may be imposed pursuant to Chapter 10; </w:t>
      </w:r>
    </w:p>
    <w:p w14:paraId="292416EB" w14:textId="77777777" w:rsidR="003F4CA3" w:rsidRPr="00E4265B" w:rsidRDefault="003F4CA3" w:rsidP="00757656">
      <w:pPr>
        <w:pStyle w:val="aList"/>
        <w:ind w:left="1701" w:hanging="708"/>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Combined Buffer; and</w:t>
      </w:r>
    </w:p>
    <w:p w14:paraId="688FF4AF" w14:textId="18ABF167" w:rsidR="003F4CA3" w:rsidRPr="00E4265B" w:rsidRDefault="00757656" w:rsidP="00757656">
      <w:pPr>
        <w:pStyle w:val="aList"/>
        <w:ind w:left="1701" w:hanging="708"/>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r>
      <w:r w:rsidR="003F4CA3" w:rsidRPr="00E4265B">
        <w:rPr>
          <w:rFonts w:ascii="Arial" w:hAnsi="Arial" w:cs="Arial"/>
          <w:sz w:val="22"/>
          <w:szCs w:val="22"/>
          <w:lang w:val="en-GB"/>
        </w:rPr>
        <w:t>any other buffer, where applicable.</w:t>
      </w:r>
    </w:p>
    <w:p w14:paraId="3416EEFB" w14:textId="77777777" w:rsidR="0001114B" w:rsidRPr="00E4265B" w:rsidRDefault="0001114B" w:rsidP="00246497">
      <w:pPr>
        <w:pStyle w:val="Heading3"/>
        <w:rPr>
          <w:rFonts w:ascii="Arial" w:hAnsi="Arial" w:cs="Arial"/>
          <w:sz w:val="22"/>
          <w:szCs w:val="22"/>
        </w:rPr>
      </w:pPr>
      <w:bookmarkStart w:id="258" w:name="_Toc33622393"/>
      <w:r w:rsidRPr="00E4265B">
        <w:rPr>
          <w:rFonts w:ascii="Arial" w:hAnsi="Arial" w:cs="Arial"/>
          <w:sz w:val="22"/>
          <w:szCs w:val="22"/>
        </w:rPr>
        <w:t>Adequate Capital Resources For Categories 3B, 3C and 4</w:t>
      </w:r>
      <w:bookmarkEnd w:id="258"/>
    </w:p>
    <w:p w14:paraId="6EDACFF3" w14:textId="77777777" w:rsidR="0001114B" w:rsidRPr="00E4265B" w:rsidRDefault="0001114B" w:rsidP="00246497">
      <w:pPr>
        <w:pStyle w:val="Heading4"/>
        <w:rPr>
          <w:rFonts w:ascii="Arial" w:hAnsi="Arial" w:cs="Arial"/>
          <w:sz w:val="22"/>
          <w:szCs w:val="22"/>
        </w:rPr>
      </w:pPr>
      <w:r w:rsidRPr="00E4265B">
        <w:rPr>
          <w:rFonts w:ascii="Arial" w:hAnsi="Arial" w:cs="Arial"/>
          <w:sz w:val="22"/>
          <w:szCs w:val="22"/>
        </w:rPr>
        <w:t>This Section applies to an Authorised Person in Category 3B, 3C or 4.</w:t>
      </w:r>
    </w:p>
    <w:p w14:paraId="5B688307" w14:textId="77777777" w:rsidR="0001114B" w:rsidRPr="00E4265B" w:rsidRDefault="001456BF" w:rsidP="001456BF">
      <w:pPr>
        <w:pStyle w:val="TitleL5"/>
        <w:keepNext w:val="0"/>
        <w:rPr>
          <w:rFonts w:ascii="Arial" w:hAnsi="Arial" w:cs="Arial"/>
          <w:sz w:val="22"/>
          <w:szCs w:val="22"/>
          <w:lang w:val="en-GB"/>
        </w:rPr>
      </w:pPr>
      <w:r w:rsidRPr="00E4265B">
        <w:rPr>
          <w:rFonts w:ascii="Arial" w:hAnsi="Arial" w:cs="Arial"/>
          <w:sz w:val="22"/>
          <w:szCs w:val="22"/>
          <w:lang w:val="en-GB"/>
        </w:rPr>
        <w:t>Guidance</w:t>
      </w:r>
    </w:p>
    <w:p w14:paraId="53779728" w14:textId="77777777" w:rsidR="0001114B" w:rsidRPr="00E4265B" w:rsidRDefault="001456BF" w:rsidP="001456BF">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r>
      <w:r w:rsidR="0001114B" w:rsidRPr="00E4265B">
        <w:rPr>
          <w:rFonts w:ascii="Arial" w:hAnsi="Arial" w:cs="Arial"/>
          <w:sz w:val="22"/>
          <w:szCs w:val="22"/>
          <w:lang w:val="en-GB"/>
        </w:rPr>
        <w:t xml:space="preserve">Pursuant to </w:t>
      </w:r>
      <w:r w:rsidR="00EF074B" w:rsidRPr="00E4265B">
        <w:rPr>
          <w:rFonts w:ascii="Arial" w:hAnsi="Arial" w:cs="Arial"/>
          <w:sz w:val="22"/>
          <w:szCs w:val="22"/>
          <w:lang w:val="en-GB"/>
        </w:rPr>
        <w:t>Section</w:t>
      </w:r>
      <w:r w:rsidR="0001114B" w:rsidRPr="00E4265B">
        <w:rPr>
          <w:rFonts w:ascii="Arial" w:hAnsi="Arial" w:cs="Arial"/>
          <w:sz w:val="22"/>
          <w:szCs w:val="22"/>
          <w:lang w:val="en-GB"/>
        </w:rPr>
        <w:t xml:space="preserve"> 3.6 an Authorised Person in Category 3B, 3C or 4 should hold sufficient total Capital Resources of the quality required to meet its Capital Requirement, whether that is the Base Capital Requirement or the Expenditure Based Capital Minimum.</w:t>
      </w:r>
    </w:p>
    <w:p w14:paraId="2DEEBDC9" w14:textId="77777777" w:rsidR="0001114B" w:rsidRPr="00E4265B" w:rsidRDefault="001456BF" w:rsidP="001456BF">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r>
      <w:r w:rsidR="0001114B" w:rsidRPr="00E4265B">
        <w:rPr>
          <w:rFonts w:ascii="Arial" w:hAnsi="Arial" w:cs="Arial"/>
          <w:sz w:val="22"/>
          <w:szCs w:val="22"/>
          <w:lang w:val="en-GB"/>
        </w:rPr>
        <w:t>The Capital Resources should comprise a minimum of CET1 Capital equal to the relevant Base Capital Requirement for the Category to which the Authorised Person belongs.</w:t>
      </w:r>
    </w:p>
    <w:p w14:paraId="3AF3A335" w14:textId="77777777" w:rsidR="0001114B" w:rsidRPr="00E4265B" w:rsidRDefault="0001114B" w:rsidP="001456BF">
      <w:pPr>
        <w:pStyle w:val="TitleL5"/>
        <w:rPr>
          <w:rFonts w:ascii="Arial" w:hAnsi="Arial" w:cs="Arial"/>
          <w:sz w:val="22"/>
          <w:szCs w:val="22"/>
          <w:lang w:val="en-GB"/>
        </w:rPr>
      </w:pPr>
      <w:r w:rsidRPr="00E4265B">
        <w:rPr>
          <w:rFonts w:ascii="Arial" w:hAnsi="Arial" w:cs="Arial"/>
          <w:sz w:val="22"/>
          <w:szCs w:val="22"/>
          <w:lang w:val="en-GB"/>
        </w:rPr>
        <w:t>Notifications to the Regulator</w:t>
      </w:r>
    </w:p>
    <w:p w14:paraId="2FC90444" w14:textId="77777777" w:rsidR="0001114B" w:rsidRPr="00E4265B" w:rsidRDefault="0001114B" w:rsidP="00246497">
      <w:pPr>
        <w:pStyle w:val="Heading4"/>
        <w:rPr>
          <w:rFonts w:ascii="Arial" w:hAnsi="Arial" w:cs="Arial"/>
          <w:sz w:val="22"/>
          <w:szCs w:val="22"/>
        </w:rPr>
      </w:pPr>
      <w:r w:rsidRPr="00E4265B">
        <w:rPr>
          <w:rFonts w:ascii="Arial" w:hAnsi="Arial" w:cs="Arial"/>
          <w:sz w:val="22"/>
          <w:szCs w:val="22"/>
        </w:rPr>
        <w:t>An Authorised Person in Category 3B, 3C or 4 must notify the Regulator immediately and confirm in writing if its Capital Resources fall below 120% of its Capital Requirement.</w:t>
      </w:r>
    </w:p>
    <w:p w14:paraId="4DB580A4" w14:textId="430F93C7" w:rsidR="0001114B" w:rsidRPr="00E4265B" w:rsidRDefault="00FE1A04" w:rsidP="00F32BCA">
      <w:pPr>
        <w:pStyle w:val="Heading2"/>
        <w:ind w:left="990"/>
        <w:rPr>
          <w:rFonts w:ascii="Arial" w:hAnsi="Arial" w:cs="Arial"/>
          <w:sz w:val="22"/>
          <w:szCs w:val="22"/>
          <w:lang w:val="en-GB"/>
        </w:rPr>
      </w:pPr>
      <w:r w:rsidRPr="00E4265B">
        <w:rPr>
          <w:rFonts w:ascii="Arial" w:hAnsi="Arial" w:cs="Arial"/>
          <w:sz w:val="22"/>
          <w:szCs w:val="22"/>
          <w:lang w:val="en-GB"/>
        </w:rPr>
        <w:t xml:space="preserve"> </w:t>
      </w:r>
      <w:bookmarkStart w:id="259" w:name="_Toc33622394"/>
      <w:r w:rsidRPr="00E4265B">
        <w:rPr>
          <w:rFonts w:ascii="Arial" w:hAnsi="Arial" w:cs="Arial"/>
          <w:sz w:val="22"/>
          <w:szCs w:val="22"/>
          <w:lang w:val="en-GB"/>
        </w:rPr>
        <w:t>-</w:t>
      </w:r>
      <w:r w:rsidR="00935A2C" w:rsidRPr="00E4265B">
        <w:rPr>
          <w:rFonts w:ascii="Arial" w:hAnsi="Arial" w:cs="Arial"/>
          <w:sz w:val="22"/>
          <w:szCs w:val="22"/>
          <w:lang w:val="en-GB"/>
        </w:rPr>
        <w:t xml:space="preserve"> </w:t>
      </w:r>
      <w:r w:rsidR="0001114B" w:rsidRPr="00E4265B">
        <w:rPr>
          <w:rFonts w:ascii="Arial" w:hAnsi="Arial" w:cs="Arial"/>
          <w:sz w:val="22"/>
          <w:szCs w:val="22"/>
          <w:lang w:val="en-GB"/>
        </w:rPr>
        <w:t>Leverage</w:t>
      </w:r>
      <w:bookmarkEnd w:id="259"/>
    </w:p>
    <w:p w14:paraId="4714E88C" w14:textId="77777777" w:rsidR="00E22FF2" w:rsidRPr="00E4265B" w:rsidRDefault="00E22FF2" w:rsidP="00246497">
      <w:pPr>
        <w:pStyle w:val="Heading3"/>
        <w:rPr>
          <w:rFonts w:ascii="Arial" w:hAnsi="Arial" w:cs="Arial"/>
          <w:sz w:val="22"/>
          <w:szCs w:val="22"/>
        </w:rPr>
      </w:pPr>
      <w:bookmarkStart w:id="260" w:name="_Toc33622395"/>
      <w:r w:rsidRPr="00E4265B">
        <w:rPr>
          <w:rFonts w:ascii="Arial" w:hAnsi="Arial" w:cs="Arial"/>
          <w:sz w:val="22"/>
          <w:szCs w:val="22"/>
        </w:rPr>
        <w:t>The Leverage Ratio</w:t>
      </w:r>
      <w:bookmarkEnd w:id="260"/>
    </w:p>
    <w:p w14:paraId="082A1BF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This Section applies to an </w:t>
      </w:r>
      <w:r w:rsidR="000D1A90" w:rsidRPr="00E4265B">
        <w:rPr>
          <w:rFonts w:ascii="Arial" w:hAnsi="Arial" w:cs="Arial"/>
          <w:sz w:val="22"/>
          <w:szCs w:val="22"/>
        </w:rPr>
        <w:t>Authorised Person</w:t>
      </w:r>
      <w:r w:rsidRPr="00E4265B">
        <w:rPr>
          <w:rFonts w:ascii="Arial" w:hAnsi="Arial" w:cs="Arial"/>
          <w:sz w:val="22"/>
          <w:szCs w:val="22"/>
        </w:rPr>
        <w:t xml:space="preserve"> in Category 1, 2 or 5.</w:t>
      </w:r>
    </w:p>
    <w:p w14:paraId="527F11FE" w14:textId="77777777" w:rsidR="00E22FF2" w:rsidRPr="00E4265B" w:rsidRDefault="00E22FF2" w:rsidP="004B27F5">
      <w:pPr>
        <w:pStyle w:val="TitleL5"/>
        <w:rPr>
          <w:rFonts w:ascii="Arial" w:hAnsi="Arial" w:cs="Arial"/>
          <w:sz w:val="22"/>
          <w:szCs w:val="22"/>
          <w:lang w:val="en-GB"/>
        </w:rPr>
      </w:pPr>
      <w:r w:rsidRPr="00E4265B">
        <w:rPr>
          <w:rFonts w:ascii="Arial" w:hAnsi="Arial" w:cs="Arial"/>
          <w:sz w:val="22"/>
          <w:szCs w:val="22"/>
          <w:lang w:val="en-GB"/>
        </w:rPr>
        <w:t>Guidance</w:t>
      </w:r>
    </w:p>
    <w:p w14:paraId="6FE21982" w14:textId="77777777" w:rsidR="00E22FF2" w:rsidRPr="00E4265B" w:rsidRDefault="00E61CD2" w:rsidP="00E61CD2">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r>
      <w:r w:rsidR="00E22FF2" w:rsidRPr="00E4265B">
        <w:rPr>
          <w:rFonts w:ascii="Arial" w:hAnsi="Arial" w:cs="Arial"/>
          <w:sz w:val="22"/>
          <w:szCs w:val="22"/>
          <w:lang w:val="en-GB"/>
        </w:rPr>
        <w:t xml:space="preserve">This Section is relevant to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that is required to report its Leverage Ratio to the Regulator under Chapter 2, or to disclose its Leverage Ratio under </w:t>
      </w:r>
      <w:r w:rsidRPr="00E4265B">
        <w:rPr>
          <w:rFonts w:ascii="Arial" w:hAnsi="Arial" w:cs="Arial"/>
          <w:sz w:val="22"/>
          <w:szCs w:val="22"/>
          <w:lang w:val="en-GB"/>
        </w:rPr>
        <w:t>Chapter</w:t>
      </w:r>
      <w:r w:rsidR="00E22FF2" w:rsidRPr="00E4265B">
        <w:rPr>
          <w:rFonts w:ascii="Arial" w:hAnsi="Arial" w:cs="Arial"/>
          <w:sz w:val="22"/>
          <w:szCs w:val="22"/>
          <w:lang w:val="en-GB"/>
        </w:rPr>
        <w:t xml:space="preserve"> 11.</w:t>
      </w:r>
    </w:p>
    <w:p w14:paraId="4FF98111" w14:textId="77777777" w:rsidR="00E61CD2" w:rsidRPr="00E4265B" w:rsidRDefault="00E61CD2" w:rsidP="00E61CD2">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purpose of the Leverage Ratio is to provide a simple, transparent, non-risk-based methodology to act as a supplementary measure of risk, alongside the risk-based capital requirements applicable in ADGM.</w:t>
      </w:r>
    </w:p>
    <w:p w14:paraId="31D9584C" w14:textId="77777777" w:rsidR="00E22FF2" w:rsidRPr="00E4265B" w:rsidRDefault="00E61CD2" w:rsidP="00E61CD2">
      <w:pPr>
        <w:pStyle w:val="1List0"/>
        <w:rPr>
          <w:rFonts w:ascii="Arial" w:hAnsi="Arial" w:cs="Arial"/>
          <w:sz w:val="22"/>
          <w:szCs w:val="22"/>
          <w:lang w:val="en-GB"/>
        </w:rPr>
      </w:pPr>
      <w:r w:rsidRPr="00E4265B">
        <w:rPr>
          <w:rFonts w:ascii="Arial" w:hAnsi="Arial" w:cs="Arial"/>
          <w:sz w:val="22"/>
          <w:szCs w:val="22"/>
          <w:lang w:val="en-GB"/>
        </w:rPr>
        <w:lastRenderedPageBreak/>
        <w:t>3.</w:t>
      </w:r>
      <w:r w:rsidRPr="00E4265B">
        <w:rPr>
          <w:rFonts w:ascii="Arial" w:hAnsi="Arial" w:cs="Arial"/>
          <w:sz w:val="22"/>
          <w:szCs w:val="22"/>
          <w:lang w:val="en-GB"/>
        </w:rPr>
        <w:tab/>
        <w:t>"Leverage", in this context, means the relative size of (a) an institution's assets, off-balance sheet obligations and contingent obligations to pay or to deliver or to provide collateral, including obligations from received funding, made commitments, derivatives or repurchase agreements, but excluding obligations which can only be enforced during the liquidation of an institution; compared to (b) that institution's own funds.</w:t>
      </w:r>
    </w:p>
    <w:p w14:paraId="7A1D1D65" w14:textId="77777777" w:rsidR="00E61CD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calculate its Leverage Ratio in accordance with the following </w:t>
      </w:r>
      <w:r w:rsidR="00E61CD2" w:rsidRPr="00E4265B">
        <w:rPr>
          <w:rFonts w:ascii="Arial" w:hAnsi="Arial" w:cs="Arial"/>
          <w:sz w:val="22"/>
          <w:szCs w:val="22"/>
        </w:rPr>
        <w:t>methodology</w:t>
      </w:r>
      <w:r w:rsidRPr="00E4265B">
        <w:rPr>
          <w:rFonts w:ascii="Arial" w:hAnsi="Arial" w:cs="Arial"/>
          <w:sz w:val="22"/>
          <w:szCs w:val="22"/>
        </w:rPr>
        <w:t xml:space="preserve">: </w:t>
      </w:r>
    </w:p>
    <w:p w14:paraId="49FD97F6" w14:textId="77777777" w:rsidR="00E22FF2" w:rsidRPr="00E4265B" w:rsidRDefault="00E22FF2" w:rsidP="00E61CD2">
      <w:pPr>
        <w:pStyle w:val="UK12Block05"/>
        <w:jc w:val="center"/>
        <w:rPr>
          <w:rFonts w:ascii="Arial" w:hAnsi="Arial" w:cs="Arial"/>
          <w:sz w:val="22"/>
          <w:szCs w:val="22"/>
          <w:lang w:val="en-GB"/>
        </w:rPr>
      </w:pPr>
      <w:r w:rsidRPr="00E4265B">
        <w:rPr>
          <w:rFonts w:ascii="Arial" w:hAnsi="Arial" w:cs="Arial"/>
          <w:sz w:val="22"/>
          <w:szCs w:val="22"/>
          <w:lang w:val="en-GB"/>
        </w:rPr>
        <w:t>Leverage Ratio = Capital Measure ÷ Exposure Measure</w:t>
      </w:r>
    </w:p>
    <w:p w14:paraId="20BBA457" w14:textId="77777777" w:rsidR="00E22FF2" w:rsidRPr="00E4265B" w:rsidRDefault="00EE6270" w:rsidP="004B27F5">
      <w:pPr>
        <w:pStyle w:val="UK12Block05"/>
        <w:rPr>
          <w:rFonts w:ascii="Arial" w:hAnsi="Arial" w:cs="Arial"/>
          <w:sz w:val="22"/>
          <w:szCs w:val="22"/>
          <w:lang w:val="en-GB"/>
        </w:rPr>
      </w:pPr>
      <w:r w:rsidRPr="00E4265B">
        <w:rPr>
          <w:rFonts w:ascii="Arial" w:hAnsi="Arial" w:cs="Arial"/>
          <w:sz w:val="22"/>
          <w:szCs w:val="22"/>
          <w:lang w:val="en-GB"/>
        </w:rPr>
        <w:t>where</w:t>
      </w:r>
      <w:r w:rsidR="00E22FF2" w:rsidRPr="00E4265B">
        <w:rPr>
          <w:rFonts w:ascii="Arial" w:hAnsi="Arial" w:cs="Arial"/>
          <w:sz w:val="22"/>
          <w:szCs w:val="22"/>
          <w:lang w:val="en-GB"/>
        </w:rPr>
        <w:t>:</w:t>
      </w:r>
    </w:p>
    <w:p w14:paraId="599C6DA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"Capital Measure" represents </w:t>
      </w:r>
      <w:r w:rsidR="00EE6270" w:rsidRPr="00E4265B">
        <w:rPr>
          <w:rFonts w:ascii="Arial" w:hAnsi="Arial" w:cs="Arial"/>
          <w:sz w:val="22"/>
          <w:szCs w:val="22"/>
        </w:rPr>
        <w:t xml:space="preserve">the </w:t>
      </w:r>
      <w:r w:rsidRPr="00E4265B">
        <w:rPr>
          <w:rFonts w:ascii="Arial" w:hAnsi="Arial" w:cs="Arial"/>
          <w:sz w:val="22"/>
          <w:szCs w:val="22"/>
        </w:rPr>
        <w:t xml:space="preserve">Tier 1 Capital of the </w:t>
      </w:r>
      <w:r w:rsidR="000D1A90" w:rsidRPr="00E4265B">
        <w:rPr>
          <w:rFonts w:ascii="Arial" w:hAnsi="Arial" w:cs="Arial"/>
          <w:sz w:val="22"/>
          <w:szCs w:val="22"/>
        </w:rPr>
        <w:t>Authorised Person</w:t>
      </w:r>
      <w:r w:rsidRPr="00E4265B">
        <w:rPr>
          <w:rFonts w:ascii="Arial" w:hAnsi="Arial" w:cs="Arial"/>
          <w:sz w:val="22"/>
          <w:szCs w:val="22"/>
        </w:rPr>
        <w:t xml:space="preserve"> calculated in accordance with Rule 3.</w:t>
      </w:r>
      <w:r w:rsidR="00E61CD2" w:rsidRPr="00E4265B">
        <w:rPr>
          <w:rFonts w:ascii="Arial" w:hAnsi="Arial" w:cs="Arial"/>
          <w:sz w:val="22"/>
          <w:szCs w:val="22"/>
        </w:rPr>
        <w:t>9</w:t>
      </w:r>
      <w:r w:rsidRPr="00E4265B">
        <w:rPr>
          <w:rFonts w:ascii="Arial" w:hAnsi="Arial" w:cs="Arial"/>
          <w:sz w:val="22"/>
          <w:szCs w:val="22"/>
        </w:rPr>
        <w:t xml:space="preserve">.1; and </w:t>
      </w:r>
    </w:p>
    <w:p w14:paraId="6126930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"Exposure Measure" represents the value of </w:t>
      </w:r>
      <w:r w:rsidR="005F3B3B" w:rsidRPr="00E4265B">
        <w:rPr>
          <w:rFonts w:ascii="Arial" w:hAnsi="Arial" w:cs="Arial"/>
          <w:sz w:val="22"/>
          <w:szCs w:val="22"/>
        </w:rPr>
        <w:t>Exposure</w:t>
      </w:r>
      <w:r w:rsidRPr="00E4265B">
        <w:rPr>
          <w:rFonts w:ascii="Arial" w:hAnsi="Arial" w:cs="Arial"/>
          <w:sz w:val="22"/>
          <w:szCs w:val="22"/>
        </w:rPr>
        <w:t xml:space="preserve">s of the </w:t>
      </w:r>
      <w:r w:rsidR="000D1A90" w:rsidRPr="00E4265B">
        <w:rPr>
          <w:rFonts w:ascii="Arial" w:hAnsi="Arial" w:cs="Arial"/>
          <w:sz w:val="22"/>
          <w:szCs w:val="22"/>
        </w:rPr>
        <w:t>Authorised Person</w:t>
      </w:r>
      <w:r w:rsidRPr="00E4265B">
        <w:rPr>
          <w:rFonts w:ascii="Arial" w:hAnsi="Arial" w:cs="Arial"/>
          <w:sz w:val="22"/>
          <w:szCs w:val="22"/>
        </w:rPr>
        <w:t xml:space="preserve"> calculated in accordance with Rule</w:t>
      </w:r>
      <w:r w:rsidR="00E05E0F" w:rsidRPr="00E4265B">
        <w:rPr>
          <w:rFonts w:ascii="Arial" w:hAnsi="Arial" w:cs="Arial"/>
          <w:sz w:val="22"/>
          <w:szCs w:val="22"/>
        </w:rPr>
        <w:t>s 3.21.5 and 3.21.6</w:t>
      </w:r>
      <w:r w:rsidRPr="00E4265B">
        <w:rPr>
          <w:rFonts w:ascii="Arial" w:hAnsi="Arial" w:cs="Arial"/>
          <w:sz w:val="22"/>
          <w:szCs w:val="22"/>
        </w:rPr>
        <w:t>.</w:t>
      </w:r>
    </w:p>
    <w:p w14:paraId="1FE34FB5" w14:textId="77777777" w:rsidR="00E61CD2" w:rsidRPr="00E4265B" w:rsidRDefault="00E61CD2" w:rsidP="00246497">
      <w:pPr>
        <w:pStyle w:val="Heading4"/>
        <w:rPr>
          <w:rFonts w:ascii="Arial" w:hAnsi="Arial" w:cs="Arial"/>
          <w:sz w:val="22"/>
          <w:szCs w:val="22"/>
        </w:rPr>
      </w:pPr>
      <w:r w:rsidRPr="00E4265B">
        <w:rPr>
          <w:rFonts w:ascii="Arial" w:hAnsi="Arial" w:cs="Arial"/>
          <w:sz w:val="22"/>
          <w:szCs w:val="22"/>
        </w:rPr>
        <w:t>An Authorised Person must hold sufficient Tier 1 Capital to maintain, at all times, a minimum Leverage Ratio of 3% or as otherwise set by the Regulator.</w:t>
      </w:r>
    </w:p>
    <w:p w14:paraId="6E759643" w14:textId="06D73904" w:rsidR="00E61CD2" w:rsidRPr="00E4265B" w:rsidRDefault="00E61CD2" w:rsidP="00740FFD">
      <w:pPr>
        <w:pStyle w:val="Heading4"/>
        <w:rPr>
          <w:rFonts w:ascii="Arial" w:hAnsi="Arial" w:cs="Arial"/>
          <w:sz w:val="22"/>
          <w:szCs w:val="22"/>
        </w:rPr>
      </w:pPr>
      <w:r w:rsidRPr="00E4265B">
        <w:rPr>
          <w:rFonts w:ascii="Arial" w:hAnsi="Arial" w:cs="Arial"/>
          <w:sz w:val="22"/>
          <w:szCs w:val="22"/>
        </w:rPr>
        <w:t>An Authorised Person must notify the Regulator immediately in writing if, at any time, it does not hold, or is likely not to hold, an amount and quality of capital that is necessary to comply with Rule 3.</w:t>
      </w:r>
      <w:r w:rsidR="00740FFD" w:rsidRPr="00E4265B">
        <w:rPr>
          <w:rFonts w:ascii="Arial" w:hAnsi="Arial" w:cs="Arial"/>
          <w:sz w:val="22"/>
          <w:szCs w:val="22"/>
        </w:rPr>
        <w:t>21</w:t>
      </w:r>
      <w:r w:rsidRPr="00E4265B">
        <w:rPr>
          <w:rFonts w:ascii="Arial" w:hAnsi="Arial" w:cs="Arial"/>
          <w:sz w:val="22"/>
          <w:szCs w:val="22"/>
        </w:rPr>
        <w:t>.3.</w:t>
      </w:r>
    </w:p>
    <w:p w14:paraId="30127B6E" w14:textId="77777777" w:rsidR="00E61CD2" w:rsidRPr="00E4265B" w:rsidRDefault="00E61CD2" w:rsidP="00E61CD2">
      <w:pPr>
        <w:pStyle w:val="UK12Block05"/>
        <w:keepNext/>
        <w:rPr>
          <w:rFonts w:ascii="Arial" w:hAnsi="Arial" w:cs="Arial"/>
          <w:b/>
          <w:sz w:val="22"/>
          <w:szCs w:val="22"/>
          <w:lang w:val="en-GB"/>
        </w:rPr>
      </w:pPr>
      <w:r w:rsidRPr="00E4265B">
        <w:rPr>
          <w:rFonts w:ascii="Arial" w:hAnsi="Arial" w:cs="Arial"/>
          <w:b/>
          <w:sz w:val="22"/>
          <w:szCs w:val="22"/>
          <w:lang w:val="en-GB"/>
        </w:rPr>
        <w:t>Guidance</w:t>
      </w:r>
    </w:p>
    <w:p w14:paraId="501604CD" w14:textId="77777777" w:rsidR="00E61CD2" w:rsidRPr="00E4265B" w:rsidRDefault="00E61CD2" w:rsidP="00E61CD2">
      <w:pPr>
        <w:pStyle w:val="UK12Block05"/>
        <w:rPr>
          <w:rFonts w:ascii="Arial" w:hAnsi="Arial" w:cs="Arial"/>
          <w:sz w:val="22"/>
          <w:szCs w:val="22"/>
          <w:lang w:val="en-GB"/>
        </w:rPr>
      </w:pPr>
      <w:r w:rsidRPr="00E4265B">
        <w:rPr>
          <w:rFonts w:ascii="Arial" w:hAnsi="Arial" w:cs="Arial"/>
          <w:sz w:val="22"/>
          <w:szCs w:val="22"/>
          <w:lang w:val="en-GB"/>
        </w:rPr>
        <w:t>Institutions shall calculate the Leverage Ratio as the simple arithmetic mean of the monthly leverage ratios over a quarter, or using a more frequent basis for the calculation if that is in line with their internal practices.</w:t>
      </w:r>
    </w:p>
    <w:p w14:paraId="77C2FE2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For the purpose of determining the Exposure Measure, the value of </w:t>
      </w:r>
      <w:r w:rsidR="005F3B3B" w:rsidRPr="00E4265B">
        <w:rPr>
          <w:rFonts w:ascii="Arial" w:hAnsi="Arial" w:cs="Arial"/>
          <w:sz w:val="22"/>
          <w:szCs w:val="22"/>
        </w:rPr>
        <w:t>Exposure</w:t>
      </w:r>
      <w:r w:rsidRPr="00E4265B">
        <w:rPr>
          <w:rFonts w:ascii="Arial" w:hAnsi="Arial" w:cs="Arial"/>
          <w:sz w:val="22"/>
          <w:szCs w:val="22"/>
        </w:rPr>
        <w:t xml:space="preserve">s of an </w:t>
      </w:r>
      <w:r w:rsidR="000D1A90" w:rsidRPr="00E4265B">
        <w:rPr>
          <w:rFonts w:ascii="Arial" w:hAnsi="Arial" w:cs="Arial"/>
          <w:sz w:val="22"/>
          <w:szCs w:val="22"/>
        </w:rPr>
        <w:t>Authorised Person</w:t>
      </w:r>
      <w:r w:rsidRPr="00E4265B">
        <w:rPr>
          <w:rFonts w:ascii="Arial" w:hAnsi="Arial" w:cs="Arial"/>
          <w:sz w:val="22"/>
          <w:szCs w:val="22"/>
        </w:rPr>
        <w:t xml:space="preserve"> must be calculated in accordance with the International Financial Reporting Standards (IFRS) subject to the following adjustments: </w:t>
      </w:r>
      <w:r w:rsidR="00E61CD2" w:rsidRPr="00E4265B">
        <w:rPr>
          <w:rFonts w:ascii="Arial" w:hAnsi="Arial" w:cs="Arial"/>
          <w:sz w:val="22"/>
          <w:szCs w:val="22"/>
        </w:rPr>
        <w:t xml:space="preserve"> </w:t>
      </w:r>
    </w:p>
    <w:p w14:paraId="0E9CAAD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on-balance sheet, non-</w:t>
      </w:r>
      <w:r w:rsidR="005F3B3B" w:rsidRPr="00E4265B">
        <w:rPr>
          <w:rFonts w:ascii="Arial" w:hAnsi="Arial" w:cs="Arial"/>
          <w:sz w:val="22"/>
          <w:szCs w:val="22"/>
        </w:rPr>
        <w:t>Derivative</w:t>
      </w:r>
      <w:r w:rsidRPr="00E4265B">
        <w:rPr>
          <w:rFonts w:ascii="Arial" w:hAnsi="Arial" w:cs="Arial"/>
          <w:sz w:val="22"/>
          <w:szCs w:val="22"/>
        </w:rPr>
        <w:t xml:space="preserve"> </w:t>
      </w:r>
      <w:r w:rsidR="005F3B3B" w:rsidRPr="00E4265B">
        <w:rPr>
          <w:rFonts w:ascii="Arial" w:hAnsi="Arial" w:cs="Arial"/>
          <w:sz w:val="22"/>
          <w:szCs w:val="22"/>
        </w:rPr>
        <w:t>Exposure</w:t>
      </w:r>
      <w:r w:rsidRPr="00E4265B">
        <w:rPr>
          <w:rFonts w:ascii="Arial" w:hAnsi="Arial" w:cs="Arial"/>
          <w:sz w:val="22"/>
          <w:szCs w:val="22"/>
        </w:rPr>
        <w:t>s must be net of specific allowances and valuation adjustments (e.g. credit valuation adjustments);</w:t>
      </w:r>
    </w:p>
    <w:p w14:paraId="2B527BAE" w14:textId="77777777" w:rsidR="00E05E0F" w:rsidRPr="00E4265B" w:rsidRDefault="00E05E0F" w:rsidP="008432F8">
      <w:pPr>
        <w:pStyle w:val="Heading5"/>
        <w:rPr>
          <w:rFonts w:ascii="Arial" w:hAnsi="Arial" w:cs="Arial"/>
          <w:sz w:val="22"/>
          <w:szCs w:val="22"/>
        </w:rPr>
      </w:pPr>
      <w:r w:rsidRPr="00E4265B">
        <w:rPr>
          <w:rFonts w:ascii="Arial" w:hAnsi="Arial" w:cs="Arial"/>
          <w:sz w:val="22"/>
          <w:szCs w:val="22"/>
        </w:rPr>
        <w:t>physical or financial Collateral, guarantees or other credit risk mitigation techniques must not be used to reduce exposure values of assets; and</w:t>
      </w:r>
    </w:p>
    <w:p w14:paraId="165F94EF" w14:textId="77777777" w:rsidR="001D4794" w:rsidRPr="00E4265B" w:rsidRDefault="001D4794" w:rsidP="008432F8">
      <w:pPr>
        <w:pStyle w:val="Heading5"/>
        <w:rPr>
          <w:rFonts w:ascii="Arial" w:hAnsi="Arial" w:cs="Arial"/>
          <w:sz w:val="22"/>
          <w:szCs w:val="22"/>
        </w:rPr>
      </w:pPr>
      <w:r w:rsidRPr="00E4265B">
        <w:rPr>
          <w:rFonts w:ascii="Arial" w:hAnsi="Arial" w:cs="Arial"/>
          <w:sz w:val="22"/>
          <w:szCs w:val="22"/>
        </w:rPr>
        <w:t>loans must not be netted with Deposits.</w:t>
      </w:r>
    </w:p>
    <w:p w14:paraId="6BE15CA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The Exposure Meas</w:t>
      </w:r>
      <w:r w:rsidR="00FE5AF5" w:rsidRPr="00E4265B">
        <w:rPr>
          <w:rFonts w:ascii="Arial" w:hAnsi="Arial" w:cs="Arial"/>
          <w:sz w:val="22"/>
          <w:szCs w:val="22"/>
        </w:rPr>
        <w:t>ure under Rule 3.21.2</w:t>
      </w:r>
      <w:r w:rsidR="001D4794" w:rsidRPr="00E4265B">
        <w:rPr>
          <w:rFonts w:ascii="Arial" w:hAnsi="Arial" w:cs="Arial"/>
          <w:sz w:val="22"/>
          <w:szCs w:val="22"/>
        </w:rPr>
        <w:t>(b)</w:t>
      </w:r>
      <w:r w:rsidRPr="00E4265B">
        <w:rPr>
          <w:rFonts w:ascii="Arial" w:hAnsi="Arial" w:cs="Arial"/>
          <w:sz w:val="22"/>
          <w:szCs w:val="22"/>
        </w:rPr>
        <w:t xml:space="preserve"> </w:t>
      </w:r>
      <w:r w:rsidR="001D4794" w:rsidRPr="00E4265B">
        <w:rPr>
          <w:rFonts w:ascii="Arial" w:hAnsi="Arial" w:cs="Arial"/>
          <w:sz w:val="22"/>
          <w:szCs w:val="22"/>
        </w:rPr>
        <w:t xml:space="preserve">must </w:t>
      </w:r>
      <w:r w:rsidRPr="00E4265B">
        <w:rPr>
          <w:rFonts w:ascii="Arial" w:hAnsi="Arial" w:cs="Arial"/>
          <w:sz w:val="22"/>
          <w:szCs w:val="22"/>
        </w:rPr>
        <w:t>be calculated as the sum of:</w:t>
      </w:r>
    </w:p>
    <w:p w14:paraId="3FAD607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on-balance sheet items; and</w:t>
      </w:r>
    </w:p>
    <w:p w14:paraId="795AACBD" w14:textId="7DBC7080" w:rsidR="00E22FF2" w:rsidRPr="00E4265B" w:rsidRDefault="00E22FF2" w:rsidP="008432F8">
      <w:pPr>
        <w:pStyle w:val="Heading5"/>
        <w:rPr>
          <w:rFonts w:ascii="Arial" w:hAnsi="Arial" w:cs="Arial"/>
          <w:sz w:val="22"/>
          <w:szCs w:val="22"/>
        </w:rPr>
      </w:pPr>
      <w:r w:rsidRPr="00E4265B">
        <w:rPr>
          <w:rFonts w:ascii="Arial" w:hAnsi="Arial" w:cs="Arial"/>
          <w:sz w:val="22"/>
          <w:szCs w:val="22"/>
        </w:rPr>
        <w:t>off-balance sheet items.</w:t>
      </w:r>
    </w:p>
    <w:p w14:paraId="4134E67F" w14:textId="01AC44A6" w:rsidR="00757656" w:rsidRPr="00E4265B" w:rsidRDefault="00757656" w:rsidP="00757656">
      <w:pPr>
        <w:pStyle w:val="UK12Block05"/>
        <w:keepNext/>
        <w:rPr>
          <w:rFonts w:ascii="Arial" w:hAnsi="Arial" w:cs="Arial"/>
          <w:b/>
          <w:sz w:val="22"/>
          <w:szCs w:val="22"/>
          <w:lang w:val="en-GB"/>
        </w:rPr>
      </w:pPr>
      <w:r w:rsidRPr="00E4265B">
        <w:rPr>
          <w:rFonts w:ascii="Arial" w:hAnsi="Arial" w:cs="Arial"/>
          <w:b/>
          <w:sz w:val="22"/>
          <w:szCs w:val="22"/>
          <w:lang w:val="en-GB"/>
        </w:rPr>
        <w:t>Guidance</w:t>
      </w:r>
    </w:p>
    <w:p w14:paraId="26A1C400" w14:textId="1CA22132" w:rsidR="00E22FF2" w:rsidRPr="00E4265B" w:rsidRDefault="00757656" w:rsidP="00E61DBE">
      <w:pPr>
        <w:pStyle w:val="iList"/>
        <w:ind w:left="1701" w:hanging="708"/>
        <w:rPr>
          <w:rFonts w:ascii="Arial" w:hAnsi="Arial" w:cs="Arial"/>
          <w:sz w:val="22"/>
          <w:szCs w:val="22"/>
          <w:lang w:val="en-GB"/>
        </w:rPr>
      </w:pPr>
      <w:r w:rsidRPr="00E4265B">
        <w:rPr>
          <w:rFonts w:ascii="Arial" w:hAnsi="Arial" w:cs="Arial"/>
          <w:sz w:val="22"/>
          <w:szCs w:val="22"/>
          <w:lang w:val="en-GB"/>
        </w:rPr>
        <w:t>1.</w:t>
      </w:r>
      <w:r w:rsidR="00E22FF2" w:rsidRPr="00E4265B">
        <w:rPr>
          <w:rFonts w:ascii="Arial" w:hAnsi="Arial" w:cs="Arial"/>
          <w:sz w:val="22"/>
          <w:szCs w:val="22"/>
          <w:lang w:val="en-GB"/>
        </w:rPr>
        <w:tab/>
        <w:t>In relation to on-balance sheet items:</w:t>
      </w:r>
    </w:p>
    <w:p w14:paraId="26E8F8DC" w14:textId="77777777" w:rsidR="00E22FF2" w:rsidRPr="00E4265B" w:rsidRDefault="00E22FF2" w:rsidP="00E61DBE">
      <w:pPr>
        <w:pStyle w:val="aList0"/>
        <w:ind w:left="2268" w:hanging="567"/>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t xml:space="preserve">for SFTs, the </w:t>
      </w:r>
      <w:r w:rsidR="005F3B3B" w:rsidRPr="00E4265B">
        <w:rPr>
          <w:rFonts w:ascii="Arial" w:hAnsi="Arial" w:cs="Arial"/>
          <w:sz w:val="22"/>
          <w:szCs w:val="22"/>
          <w:lang w:val="en-GB"/>
        </w:rPr>
        <w:t>Exposure</w:t>
      </w:r>
      <w:r w:rsidRPr="00E4265B">
        <w:rPr>
          <w:rFonts w:ascii="Arial" w:hAnsi="Arial" w:cs="Arial"/>
          <w:sz w:val="22"/>
          <w:szCs w:val="22"/>
          <w:lang w:val="en-GB"/>
        </w:rPr>
        <w:t xml:space="preserve"> value should be calculated i</w:t>
      </w:r>
      <w:r w:rsidR="005D344E" w:rsidRPr="00E4265B">
        <w:rPr>
          <w:rFonts w:ascii="Arial" w:hAnsi="Arial" w:cs="Arial"/>
          <w:sz w:val="22"/>
          <w:szCs w:val="22"/>
          <w:lang w:val="en-GB"/>
        </w:rPr>
        <w:t>n accordance with IFRS and the N</w:t>
      </w:r>
      <w:r w:rsidRPr="00E4265B">
        <w:rPr>
          <w:rFonts w:ascii="Arial" w:hAnsi="Arial" w:cs="Arial"/>
          <w:sz w:val="22"/>
          <w:szCs w:val="22"/>
          <w:lang w:val="en-GB"/>
        </w:rPr>
        <w:t>etting requirements referred to in Rule 4.9.14;</w:t>
      </w:r>
    </w:p>
    <w:p w14:paraId="529FE6FD" w14:textId="77777777" w:rsidR="00E22FF2" w:rsidRPr="00E4265B" w:rsidRDefault="00E22FF2" w:rsidP="00E61DBE">
      <w:pPr>
        <w:pStyle w:val="aList0"/>
        <w:ind w:left="2268" w:hanging="567"/>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for Derivatives, including </w:t>
      </w:r>
      <w:r w:rsidR="001D4794" w:rsidRPr="00E4265B">
        <w:rPr>
          <w:rFonts w:ascii="Arial" w:hAnsi="Arial" w:cs="Arial"/>
          <w:sz w:val="22"/>
          <w:szCs w:val="22"/>
          <w:lang w:val="en-GB"/>
        </w:rPr>
        <w:t xml:space="preserve">written </w:t>
      </w:r>
      <w:r w:rsidRPr="00E4265B">
        <w:rPr>
          <w:rFonts w:ascii="Arial" w:hAnsi="Arial" w:cs="Arial"/>
          <w:sz w:val="22"/>
          <w:szCs w:val="22"/>
          <w:lang w:val="en-GB"/>
        </w:rPr>
        <w:t xml:space="preserve">credit protection, the </w:t>
      </w:r>
      <w:r w:rsidR="005F3B3B" w:rsidRPr="00E4265B">
        <w:rPr>
          <w:rFonts w:ascii="Arial" w:hAnsi="Arial" w:cs="Arial"/>
          <w:sz w:val="22"/>
          <w:szCs w:val="22"/>
          <w:lang w:val="en-GB"/>
        </w:rPr>
        <w:t>Exposure</w:t>
      </w:r>
      <w:r w:rsidRPr="00E4265B">
        <w:rPr>
          <w:rFonts w:ascii="Arial" w:hAnsi="Arial" w:cs="Arial"/>
          <w:sz w:val="22"/>
          <w:szCs w:val="22"/>
          <w:lang w:val="en-GB"/>
        </w:rPr>
        <w:t xml:space="preserve"> value should be calculated as the sum of the on-balance sheet value in accordance with IFRS and an add-on for potential future </w:t>
      </w:r>
      <w:r w:rsidR="005F3B3B" w:rsidRPr="00E4265B">
        <w:rPr>
          <w:rFonts w:ascii="Arial" w:hAnsi="Arial" w:cs="Arial"/>
          <w:sz w:val="22"/>
          <w:szCs w:val="22"/>
          <w:lang w:val="en-GB"/>
        </w:rPr>
        <w:t>Exposure</w:t>
      </w:r>
      <w:r w:rsidRPr="00E4265B">
        <w:rPr>
          <w:rFonts w:ascii="Arial" w:hAnsi="Arial" w:cs="Arial"/>
          <w:sz w:val="22"/>
          <w:szCs w:val="22"/>
          <w:lang w:val="en-GB"/>
        </w:rPr>
        <w:t xml:space="preserve"> calculated in accordance with Rules A4.6.14 to A4.6.21 of App 4; and</w:t>
      </w:r>
    </w:p>
    <w:p w14:paraId="5B6D544C" w14:textId="77777777" w:rsidR="00E22FF2" w:rsidRPr="00E4265B" w:rsidRDefault="00E22FF2" w:rsidP="00E61DBE">
      <w:pPr>
        <w:pStyle w:val="aList0"/>
        <w:ind w:left="2268" w:hanging="567"/>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for other on-balance sheet items, the </w:t>
      </w:r>
      <w:r w:rsidR="005F3B3B" w:rsidRPr="00E4265B">
        <w:rPr>
          <w:rFonts w:ascii="Arial" w:hAnsi="Arial" w:cs="Arial"/>
          <w:sz w:val="22"/>
          <w:szCs w:val="22"/>
          <w:lang w:val="en-GB"/>
        </w:rPr>
        <w:t>Exposure</w:t>
      </w:r>
      <w:r w:rsidRPr="00E4265B">
        <w:rPr>
          <w:rFonts w:ascii="Arial" w:hAnsi="Arial" w:cs="Arial"/>
          <w:sz w:val="22"/>
          <w:szCs w:val="22"/>
          <w:lang w:val="en-GB"/>
        </w:rPr>
        <w:t xml:space="preserve"> value should be calculated based on their balance sheet values in accordance with Rule 4.9.3.</w:t>
      </w:r>
    </w:p>
    <w:p w14:paraId="0C47C007" w14:textId="41BCC912" w:rsidR="00E22FF2" w:rsidRPr="00E4265B" w:rsidRDefault="00757656" w:rsidP="00E61DBE">
      <w:pPr>
        <w:pStyle w:val="iList"/>
        <w:ind w:left="1701" w:hanging="708"/>
        <w:rPr>
          <w:rFonts w:ascii="Arial" w:hAnsi="Arial" w:cs="Arial"/>
          <w:sz w:val="22"/>
          <w:szCs w:val="22"/>
          <w:lang w:val="en-GB"/>
        </w:rPr>
      </w:pPr>
      <w:r w:rsidRPr="00E4265B">
        <w:rPr>
          <w:rFonts w:ascii="Arial" w:hAnsi="Arial" w:cs="Arial"/>
          <w:sz w:val="22"/>
          <w:szCs w:val="22"/>
          <w:lang w:val="en-GB"/>
        </w:rPr>
        <w:t>2.</w:t>
      </w:r>
      <w:r w:rsidR="00E22FF2" w:rsidRPr="00E4265B">
        <w:rPr>
          <w:rFonts w:ascii="Arial" w:hAnsi="Arial" w:cs="Arial"/>
          <w:sz w:val="22"/>
          <w:szCs w:val="22"/>
          <w:lang w:val="en-GB"/>
        </w:rPr>
        <w:tab/>
        <w:t>In relation to off-balance sheet items:</w:t>
      </w:r>
    </w:p>
    <w:p w14:paraId="379E8CE8" w14:textId="77777777" w:rsidR="00E22FF2" w:rsidRPr="00E4265B" w:rsidRDefault="00E22FF2" w:rsidP="00E61DBE">
      <w:pPr>
        <w:pStyle w:val="aList0"/>
        <w:ind w:left="2268" w:hanging="567"/>
        <w:rPr>
          <w:rFonts w:ascii="Arial" w:hAnsi="Arial" w:cs="Arial"/>
          <w:sz w:val="22"/>
          <w:szCs w:val="22"/>
          <w:lang w:val="en-GB"/>
        </w:rPr>
      </w:pPr>
      <w:r w:rsidRPr="00E4265B">
        <w:rPr>
          <w:rFonts w:ascii="Arial" w:hAnsi="Arial" w:cs="Arial"/>
          <w:sz w:val="22"/>
          <w:szCs w:val="22"/>
          <w:lang w:val="en-GB"/>
        </w:rPr>
        <w:t xml:space="preserve">a. </w:t>
      </w:r>
      <w:r w:rsidRPr="00E4265B">
        <w:rPr>
          <w:rFonts w:ascii="Arial" w:hAnsi="Arial" w:cs="Arial"/>
          <w:sz w:val="22"/>
          <w:szCs w:val="22"/>
          <w:lang w:val="en-GB"/>
        </w:rPr>
        <w:tab/>
        <w:t xml:space="preserve">for commitments that are unconditionally cancellable at any time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without prior notice, the </w:t>
      </w:r>
      <w:r w:rsidR="005F3B3B" w:rsidRPr="00E4265B">
        <w:rPr>
          <w:rFonts w:ascii="Arial" w:hAnsi="Arial" w:cs="Arial"/>
          <w:sz w:val="22"/>
          <w:szCs w:val="22"/>
          <w:lang w:val="en-GB"/>
        </w:rPr>
        <w:t>Exposure</w:t>
      </w:r>
      <w:r w:rsidRPr="00E4265B">
        <w:rPr>
          <w:rFonts w:ascii="Arial" w:hAnsi="Arial" w:cs="Arial"/>
          <w:sz w:val="22"/>
          <w:szCs w:val="22"/>
          <w:lang w:val="en-GB"/>
        </w:rPr>
        <w:t xml:space="preserve"> value should be the notional amount for the item multiplied by a CCF of 10%; </w:t>
      </w:r>
    </w:p>
    <w:p w14:paraId="58907B3E" w14:textId="77777777" w:rsidR="001D4794" w:rsidRPr="00E4265B" w:rsidRDefault="001D4794" w:rsidP="00E61DBE">
      <w:pPr>
        <w:pStyle w:val="aList0"/>
        <w:ind w:left="2268" w:hanging="567"/>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for short-term self-liquidating trade letters of credit arising from the movement of goods (e.g. documentary credits collateralised by the underlying shipment), the Exposure value should be the notional amount for the item multiplied by a CCF of 20% in relation to both issuing and confirming banks;</w:t>
      </w:r>
    </w:p>
    <w:p w14:paraId="39D4E6FF" w14:textId="77777777" w:rsidR="001D4794" w:rsidRPr="00E4265B" w:rsidRDefault="001D4794" w:rsidP="00E61DBE">
      <w:pPr>
        <w:pStyle w:val="aList0"/>
        <w:ind w:left="2268" w:hanging="567"/>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for certain transaction-related contingent items (e.g. performance bonds, bid bonds, warranties, and standby letters of credit related to particular transactions) the Exposure value should be the notional amount for the item multiplied by a CCF of 50%;</w:t>
      </w:r>
    </w:p>
    <w:p w14:paraId="37AE8693" w14:textId="77777777" w:rsidR="001D4794" w:rsidRPr="00E4265B" w:rsidRDefault="001D4794" w:rsidP="00E61DBE">
      <w:pPr>
        <w:pStyle w:val="aList0"/>
        <w:ind w:left="2268" w:hanging="567"/>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for note issuance facilities and revolving underwriting facilities, the Exposure value should be the notional amount for the item multiplied by a CCF of 50%</w:t>
      </w:r>
      <w:r w:rsidR="00EE6270" w:rsidRPr="00E4265B">
        <w:rPr>
          <w:rFonts w:ascii="Arial" w:hAnsi="Arial" w:cs="Arial"/>
          <w:sz w:val="22"/>
          <w:szCs w:val="22"/>
          <w:lang w:val="en-GB"/>
        </w:rPr>
        <w:t>;</w:t>
      </w:r>
    </w:p>
    <w:p w14:paraId="3D6D893F" w14:textId="77777777" w:rsidR="00E22FF2" w:rsidRPr="00E4265B" w:rsidRDefault="001D4794" w:rsidP="00E61DBE">
      <w:pPr>
        <w:pStyle w:val="aList0"/>
        <w:ind w:left="2268" w:hanging="567"/>
        <w:rPr>
          <w:rFonts w:ascii="Arial" w:hAnsi="Arial" w:cs="Arial"/>
          <w:sz w:val="22"/>
          <w:szCs w:val="22"/>
          <w:lang w:val="en-GB"/>
        </w:rPr>
      </w:pPr>
      <w:r w:rsidRPr="00E4265B">
        <w:rPr>
          <w:rFonts w:ascii="Arial" w:hAnsi="Arial" w:cs="Arial"/>
          <w:sz w:val="22"/>
          <w:szCs w:val="22"/>
          <w:lang w:val="en-GB"/>
        </w:rPr>
        <w:t>e</w:t>
      </w:r>
      <w:r w:rsidR="00E22FF2" w:rsidRPr="00E4265B">
        <w:rPr>
          <w:rFonts w:ascii="Arial" w:hAnsi="Arial" w:cs="Arial"/>
          <w:sz w:val="22"/>
          <w:szCs w:val="22"/>
          <w:lang w:val="en-GB"/>
        </w:rPr>
        <w:t xml:space="preserve">. </w:t>
      </w:r>
      <w:r w:rsidR="00E22FF2" w:rsidRPr="00E4265B">
        <w:rPr>
          <w:rFonts w:ascii="Arial" w:hAnsi="Arial" w:cs="Arial"/>
          <w:sz w:val="22"/>
          <w:szCs w:val="22"/>
          <w:lang w:val="en-GB"/>
        </w:rPr>
        <w:tab/>
        <w:t>for other off-balance sheet items, including:</w:t>
      </w:r>
    </w:p>
    <w:p w14:paraId="2E37198B" w14:textId="77777777" w:rsidR="00E22FF2" w:rsidRPr="00E4265B" w:rsidRDefault="00E22FF2" w:rsidP="00E61DBE">
      <w:pPr>
        <w:pStyle w:val="UK12Block15"/>
        <w:ind w:left="2977" w:hanging="709"/>
        <w:rPr>
          <w:rFonts w:ascii="Arial" w:hAnsi="Arial" w:cs="Arial"/>
          <w:sz w:val="22"/>
          <w:szCs w:val="22"/>
          <w:lang w:val="en-GB"/>
        </w:rPr>
      </w:pPr>
      <w:r w:rsidRPr="00E4265B">
        <w:rPr>
          <w:rFonts w:ascii="Arial" w:hAnsi="Arial" w:cs="Arial"/>
          <w:sz w:val="22"/>
          <w:szCs w:val="22"/>
          <w:lang w:val="en-GB"/>
        </w:rPr>
        <w:t xml:space="preserve">i. </w:t>
      </w:r>
      <w:r w:rsidRPr="00E4265B">
        <w:rPr>
          <w:rFonts w:ascii="Arial" w:hAnsi="Arial" w:cs="Arial"/>
          <w:sz w:val="22"/>
          <w:szCs w:val="22"/>
          <w:lang w:val="en-GB"/>
        </w:rPr>
        <w:tab/>
        <w:t>direct credit substitutes;</w:t>
      </w:r>
    </w:p>
    <w:p w14:paraId="12DBB34E" w14:textId="77777777" w:rsidR="001D4794" w:rsidRPr="00E4265B" w:rsidRDefault="00E22FF2" w:rsidP="00E61DBE">
      <w:pPr>
        <w:pStyle w:val="UK12Block15"/>
        <w:ind w:left="2977" w:hanging="709"/>
        <w:rPr>
          <w:rFonts w:ascii="Arial" w:hAnsi="Arial" w:cs="Arial"/>
          <w:sz w:val="22"/>
          <w:szCs w:val="22"/>
          <w:lang w:val="en-GB"/>
        </w:rPr>
      </w:pPr>
      <w:r w:rsidRPr="00E4265B">
        <w:rPr>
          <w:rFonts w:ascii="Arial" w:hAnsi="Arial" w:cs="Arial"/>
          <w:sz w:val="22"/>
          <w:szCs w:val="22"/>
          <w:lang w:val="en-GB"/>
        </w:rPr>
        <w:t xml:space="preserve">ii. </w:t>
      </w:r>
      <w:r w:rsidRPr="00E4265B">
        <w:rPr>
          <w:rFonts w:ascii="Arial" w:hAnsi="Arial" w:cs="Arial"/>
          <w:sz w:val="22"/>
          <w:szCs w:val="22"/>
          <w:lang w:val="en-GB"/>
        </w:rPr>
        <w:tab/>
      </w:r>
      <w:r w:rsidR="001D4794" w:rsidRPr="00E4265B">
        <w:rPr>
          <w:rFonts w:ascii="Arial" w:hAnsi="Arial" w:cs="Arial"/>
          <w:sz w:val="22"/>
          <w:szCs w:val="22"/>
          <w:lang w:val="en-GB"/>
        </w:rPr>
        <w:t xml:space="preserve">forward asset purchases, forward deposits and partly paid shares and securities which represent commitments with certain drawdown; and </w:t>
      </w:r>
    </w:p>
    <w:p w14:paraId="1FE4E4CC" w14:textId="7942EF43" w:rsidR="00E22FF2" w:rsidRPr="00E4265B" w:rsidRDefault="001D4794" w:rsidP="00E61DBE">
      <w:pPr>
        <w:pStyle w:val="UK12Block15"/>
        <w:ind w:left="2977" w:hanging="709"/>
        <w:rPr>
          <w:rFonts w:ascii="Arial" w:hAnsi="Arial" w:cs="Arial"/>
          <w:sz w:val="22"/>
          <w:szCs w:val="22"/>
          <w:lang w:val="en-GB"/>
        </w:rPr>
      </w:pPr>
      <w:r w:rsidRPr="00E4265B">
        <w:rPr>
          <w:rFonts w:ascii="Arial" w:hAnsi="Arial" w:cs="Arial"/>
          <w:sz w:val="22"/>
          <w:szCs w:val="22"/>
          <w:lang w:val="en-GB"/>
        </w:rPr>
        <w:t>iii</w:t>
      </w:r>
      <w:r w:rsidR="00E22FF2" w:rsidRPr="00E4265B">
        <w:rPr>
          <w:rFonts w:ascii="Arial" w:hAnsi="Arial" w:cs="Arial"/>
          <w:sz w:val="22"/>
          <w:szCs w:val="22"/>
          <w:lang w:val="en-GB"/>
        </w:rPr>
        <w:t xml:space="preserve">. </w:t>
      </w:r>
      <w:r w:rsidR="00E22FF2" w:rsidRPr="00E4265B">
        <w:rPr>
          <w:rFonts w:ascii="Arial" w:hAnsi="Arial" w:cs="Arial"/>
          <w:sz w:val="22"/>
          <w:szCs w:val="22"/>
          <w:lang w:val="en-GB"/>
        </w:rPr>
        <w:tab/>
        <w:t xml:space="preserve">transactions, other than SFTs, involving the posting of </w:t>
      </w:r>
      <w:r w:rsidR="00877CEA" w:rsidRPr="00E4265B">
        <w:rPr>
          <w:rFonts w:ascii="Arial" w:hAnsi="Arial" w:cs="Arial"/>
          <w:sz w:val="22"/>
          <w:szCs w:val="22"/>
          <w:lang w:val="en-GB"/>
        </w:rPr>
        <w:t>Securities</w:t>
      </w:r>
      <w:r w:rsidR="00E22FF2" w:rsidRPr="00E4265B">
        <w:rPr>
          <w:rFonts w:ascii="Arial" w:hAnsi="Arial" w:cs="Arial"/>
          <w:sz w:val="22"/>
          <w:szCs w:val="22"/>
          <w:lang w:val="en-GB"/>
        </w:rPr>
        <w:t xml:space="preserve"> held by the </w:t>
      </w:r>
      <w:r w:rsidR="000D1A90" w:rsidRPr="00E4265B">
        <w:rPr>
          <w:rFonts w:ascii="Arial" w:hAnsi="Arial" w:cs="Arial"/>
          <w:sz w:val="22"/>
          <w:szCs w:val="22"/>
          <w:lang w:val="en-GB"/>
        </w:rPr>
        <w:t>Authorised Person</w:t>
      </w:r>
      <w:r w:rsidR="00BB26A3" w:rsidRPr="00E4265B">
        <w:rPr>
          <w:rFonts w:ascii="Arial" w:hAnsi="Arial" w:cs="Arial"/>
          <w:sz w:val="22"/>
          <w:szCs w:val="22"/>
          <w:lang w:val="en-GB"/>
        </w:rPr>
        <w:t xml:space="preserve"> as C</w:t>
      </w:r>
      <w:r w:rsidR="00E22FF2" w:rsidRPr="00E4265B">
        <w:rPr>
          <w:rFonts w:ascii="Arial" w:hAnsi="Arial" w:cs="Arial"/>
          <w:sz w:val="22"/>
          <w:szCs w:val="22"/>
          <w:lang w:val="en-GB"/>
        </w:rPr>
        <w:t>ollateral</w:t>
      </w:r>
      <w:r w:rsidR="00757656" w:rsidRPr="00E4265B">
        <w:rPr>
          <w:rFonts w:ascii="Arial" w:hAnsi="Arial" w:cs="Arial"/>
          <w:sz w:val="22"/>
          <w:szCs w:val="22"/>
          <w:lang w:val="en-GB"/>
        </w:rPr>
        <w:t xml:space="preserve">, </w:t>
      </w:r>
      <w:r w:rsidR="00E22FF2" w:rsidRPr="00E4265B">
        <w:rPr>
          <w:rFonts w:ascii="Arial" w:hAnsi="Arial" w:cs="Arial"/>
          <w:sz w:val="22"/>
          <w:szCs w:val="22"/>
          <w:lang w:val="en-GB"/>
        </w:rPr>
        <w:t xml:space="preserve">the </w:t>
      </w:r>
      <w:r w:rsidR="005F3B3B" w:rsidRPr="00E4265B">
        <w:rPr>
          <w:rFonts w:ascii="Arial" w:hAnsi="Arial" w:cs="Arial"/>
          <w:sz w:val="22"/>
          <w:szCs w:val="22"/>
          <w:lang w:val="en-GB"/>
        </w:rPr>
        <w:t>Exposure</w:t>
      </w:r>
      <w:r w:rsidR="00E22FF2" w:rsidRPr="00E4265B">
        <w:rPr>
          <w:rFonts w:ascii="Arial" w:hAnsi="Arial" w:cs="Arial"/>
          <w:sz w:val="22"/>
          <w:szCs w:val="22"/>
          <w:lang w:val="en-GB"/>
        </w:rPr>
        <w:t xml:space="preserve"> value should be the notional amount for each of the it</w:t>
      </w:r>
      <w:r w:rsidRPr="00E4265B">
        <w:rPr>
          <w:rFonts w:ascii="Arial" w:hAnsi="Arial" w:cs="Arial"/>
          <w:sz w:val="22"/>
          <w:szCs w:val="22"/>
          <w:lang w:val="en-GB"/>
        </w:rPr>
        <w:t>ems multiplied by a CCF of 100%; and</w:t>
      </w:r>
    </w:p>
    <w:p w14:paraId="2B2A30E4" w14:textId="77777777" w:rsidR="008B0603" w:rsidRPr="00E4265B" w:rsidRDefault="008B0603" w:rsidP="00E61DBE">
      <w:pPr>
        <w:pStyle w:val="aList0"/>
        <w:ind w:left="2268" w:hanging="567"/>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where an Authorised Person has an undertaking to provide a commitment on an off-balance sheet item, an Authorised Person should apply the lower of the two applicable CCFs.</w:t>
      </w:r>
    </w:p>
    <w:p w14:paraId="0CA258F2" w14:textId="7FE9A50F" w:rsidR="003733A6" w:rsidRPr="00E4265B" w:rsidRDefault="00E61DBE" w:rsidP="00E61DBE">
      <w:pPr>
        <w:pStyle w:val="iList"/>
        <w:ind w:left="1701" w:hanging="708"/>
        <w:rPr>
          <w:rFonts w:ascii="Arial" w:hAnsi="Arial" w:cs="Arial"/>
          <w:sz w:val="22"/>
          <w:szCs w:val="22"/>
          <w:lang w:val="en-GB"/>
        </w:rPr>
      </w:pPr>
      <w:r w:rsidRPr="00E4265B">
        <w:rPr>
          <w:rFonts w:ascii="Arial" w:hAnsi="Arial" w:cs="Arial"/>
          <w:sz w:val="22"/>
          <w:szCs w:val="22"/>
          <w:lang w:val="en-GB"/>
        </w:rPr>
        <w:t>3.</w:t>
      </w:r>
      <w:r w:rsidR="00E22FF2" w:rsidRPr="00E4265B">
        <w:rPr>
          <w:rFonts w:ascii="Arial" w:hAnsi="Arial" w:cs="Arial"/>
          <w:sz w:val="22"/>
          <w:szCs w:val="22"/>
          <w:lang w:val="en-GB"/>
        </w:rPr>
        <w:tab/>
        <w:t xml:space="preserve">For an Islamic Financial Institution, assets corresponding to </w:t>
      </w:r>
      <w:r w:rsidR="00C033FC" w:rsidRPr="00E4265B">
        <w:rPr>
          <w:rFonts w:ascii="Arial" w:hAnsi="Arial" w:cs="Arial"/>
          <w:sz w:val="22"/>
          <w:szCs w:val="22"/>
          <w:lang w:val="en-GB"/>
        </w:rPr>
        <w:t>U</w:t>
      </w:r>
      <w:r w:rsidR="00E22FF2" w:rsidRPr="00E4265B">
        <w:rPr>
          <w:rFonts w:ascii="Arial" w:hAnsi="Arial" w:cs="Arial"/>
          <w:sz w:val="22"/>
          <w:szCs w:val="22"/>
          <w:lang w:val="en-GB"/>
        </w:rPr>
        <w:t>nrestricted PSIAs will fall within the Exposure Measure and</w:t>
      </w:r>
      <w:r w:rsidR="008B0603" w:rsidRPr="00E4265B">
        <w:rPr>
          <w:rFonts w:ascii="Arial" w:hAnsi="Arial" w:cs="Arial"/>
          <w:sz w:val="22"/>
          <w:szCs w:val="22"/>
          <w:lang w:val="en-GB"/>
        </w:rPr>
        <w:t xml:space="preserve"> are</w:t>
      </w:r>
      <w:r w:rsidR="00E22FF2" w:rsidRPr="00E4265B">
        <w:rPr>
          <w:rFonts w:ascii="Arial" w:hAnsi="Arial" w:cs="Arial"/>
          <w:sz w:val="22"/>
          <w:szCs w:val="22"/>
          <w:lang w:val="en-GB"/>
        </w:rPr>
        <w:t xml:space="preserve"> therefore </w:t>
      </w:r>
      <w:r w:rsidR="004D3979" w:rsidRPr="00E4265B">
        <w:rPr>
          <w:rFonts w:ascii="Arial" w:hAnsi="Arial" w:cs="Arial"/>
          <w:sz w:val="22"/>
          <w:szCs w:val="22"/>
          <w:lang w:val="en-GB"/>
        </w:rPr>
        <w:t>relevant to</w:t>
      </w:r>
      <w:r w:rsidR="00E22FF2" w:rsidRPr="00E4265B">
        <w:rPr>
          <w:rFonts w:ascii="Arial" w:hAnsi="Arial" w:cs="Arial"/>
          <w:sz w:val="22"/>
          <w:szCs w:val="22"/>
          <w:lang w:val="en-GB"/>
        </w:rPr>
        <w:t xml:space="preserve"> the Leverage Ratio calculation.</w:t>
      </w:r>
    </w:p>
    <w:p w14:paraId="2CFD6889" w14:textId="77777777" w:rsidR="003733A6" w:rsidRPr="00E4265B" w:rsidRDefault="003733A6">
      <w:pPr>
        <w:rPr>
          <w:rFonts w:ascii="Arial" w:hAnsi="Arial" w:cs="Arial"/>
          <w:sz w:val="22"/>
          <w:szCs w:val="22"/>
          <w:lang w:val="en-GB"/>
        </w:rPr>
      </w:pPr>
      <w:r w:rsidRPr="00E4265B">
        <w:rPr>
          <w:rFonts w:ascii="Arial" w:hAnsi="Arial" w:cs="Arial"/>
          <w:sz w:val="22"/>
          <w:szCs w:val="22"/>
          <w:lang w:val="en-GB"/>
        </w:rPr>
        <w:br w:type="page"/>
      </w:r>
    </w:p>
    <w:p w14:paraId="4B3B05A5" w14:textId="77777777" w:rsidR="00E22FF2" w:rsidRPr="00E4265B" w:rsidRDefault="00E22FF2" w:rsidP="001408D0">
      <w:pPr>
        <w:pStyle w:val="Heading1"/>
        <w:rPr>
          <w:rFonts w:ascii="Arial" w:hAnsi="Arial" w:cs="Arial"/>
          <w:sz w:val="22"/>
          <w:szCs w:val="22"/>
          <w:lang w:val="en-GB"/>
        </w:rPr>
      </w:pPr>
      <w:bookmarkStart w:id="261" w:name="_Toc403223937"/>
      <w:bookmarkStart w:id="262" w:name="_Toc403253975"/>
      <w:bookmarkStart w:id="263" w:name="_Toc403254101"/>
      <w:bookmarkStart w:id="264" w:name="_Toc403273375"/>
      <w:bookmarkStart w:id="265" w:name="_Toc403273524"/>
      <w:bookmarkStart w:id="266" w:name="_Toc403274483"/>
      <w:bookmarkStart w:id="267" w:name="_Toc403279979"/>
      <w:bookmarkStart w:id="268" w:name="_Toc404285780"/>
      <w:bookmarkStart w:id="269" w:name="_Toc404621729"/>
      <w:bookmarkStart w:id="270" w:name="_Toc404624370"/>
      <w:bookmarkStart w:id="271" w:name="_Toc33622396"/>
      <w:r w:rsidRPr="00E4265B">
        <w:rPr>
          <w:rFonts w:ascii="Arial" w:hAnsi="Arial" w:cs="Arial"/>
          <w:sz w:val="22"/>
          <w:szCs w:val="22"/>
          <w:lang w:val="en-GB"/>
        </w:rPr>
        <w:lastRenderedPageBreak/>
        <w:t>CREDIT RISK</w:t>
      </w:r>
      <w:bookmarkEnd w:id="261"/>
      <w:bookmarkEnd w:id="262"/>
      <w:bookmarkEnd w:id="263"/>
      <w:bookmarkEnd w:id="264"/>
      <w:bookmarkEnd w:id="265"/>
      <w:bookmarkEnd w:id="266"/>
      <w:bookmarkEnd w:id="267"/>
      <w:bookmarkEnd w:id="268"/>
      <w:bookmarkEnd w:id="269"/>
      <w:bookmarkEnd w:id="270"/>
      <w:bookmarkEnd w:id="271"/>
    </w:p>
    <w:p w14:paraId="32545A97"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Introduction</w:t>
      </w:r>
    </w:p>
    <w:p w14:paraId="69242FEA"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2C4F14C7"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Chapter 4 deals with the prudential requirements relating to the management of Credit Risk by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Credit Risk refers to risk of incurring losses due to failure </w:t>
      </w:r>
      <w:r w:rsidR="00322D1A" w:rsidRPr="00E4265B">
        <w:rPr>
          <w:rFonts w:ascii="Arial" w:hAnsi="Arial" w:cs="Arial"/>
          <w:sz w:val="22"/>
          <w:szCs w:val="22"/>
          <w:lang w:val="en-GB"/>
        </w:rPr>
        <w:t>on the part of a borrower or a C</w:t>
      </w:r>
      <w:r w:rsidRPr="00E4265B">
        <w:rPr>
          <w:rFonts w:ascii="Arial" w:hAnsi="Arial" w:cs="Arial"/>
          <w:sz w:val="22"/>
          <w:szCs w:val="22"/>
          <w:lang w:val="en-GB"/>
        </w:rPr>
        <w:t>ounterparty to fulfil their obligations in respect of a financial transaction.</w:t>
      </w:r>
    </w:p>
    <w:p w14:paraId="70DCD7ED"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This Chapter aims to ensure that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holds sufficient regulatory capital of acceptable quality so that it can absorb unexpected losses arising out of its Credit Risk </w:t>
      </w:r>
      <w:r w:rsidR="005F3B3B" w:rsidRPr="00E4265B">
        <w:rPr>
          <w:rFonts w:ascii="Arial" w:hAnsi="Arial" w:cs="Arial"/>
          <w:sz w:val="22"/>
          <w:szCs w:val="22"/>
          <w:lang w:val="en-GB"/>
        </w:rPr>
        <w:t>Exposure</w:t>
      </w:r>
      <w:r w:rsidRPr="00E4265B">
        <w:rPr>
          <w:rFonts w:ascii="Arial" w:hAnsi="Arial" w:cs="Arial"/>
          <w:sz w:val="22"/>
          <w:szCs w:val="22"/>
          <w:lang w:val="en-GB"/>
        </w:rPr>
        <w:t>s, should the need arise and that it continues to operate in a sustainable manner.</w:t>
      </w:r>
    </w:p>
    <w:p w14:paraId="6354A3CB"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This Chapter requires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w:t>
      </w:r>
    </w:p>
    <w:p w14:paraId="411C96F6"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appropriately apply a risk</w:t>
      </w:r>
      <w:r w:rsidRPr="00E4265B">
        <w:rPr>
          <w:rFonts w:ascii="Arial" w:hAnsi="Arial" w:cs="Arial"/>
          <w:sz w:val="22"/>
          <w:szCs w:val="22"/>
          <w:lang w:val="en-GB"/>
        </w:rPr>
        <w:noBreakHyphen/>
        <w:t>weight to all on</w:t>
      </w:r>
      <w:r w:rsidRPr="00E4265B">
        <w:rPr>
          <w:rFonts w:ascii="Arial" w:hAnsi="Arial" w:cs="Arial"/>
          <w:sz w:val="22"/>
          <w:szCs w:val="22"/>
          <w:lang w:val="en-GB"/>
        </w:rPr>
        <w:noBreakHyphen/>
        <w:t>balance sheet assets and off</w:t>
      </w:r>
      <w:r w:rsidRPr="00E4265B">
        <w:rPr>
          <w:rFonts w:ascii="Arial" w:hAnsi="Arial" w:cs="Arial"/>
          <w:sz w:val="22"/>
          <w:szCs w:val="22"/>
          <w:lang w:val="en-GB"/>
        </w:rPr>
        <w:noBreakHyphen/>
        <w:t xml:space="preserve">balance sheet </w:t>
      </w:r>
      <w:r w:rsidR="005F3B3B" w:rsidRPr="00E4265B">
        <w:rPr>
          <w:rFonts w:ascii="Arial" w:hAnsi="Arial" w:cs="Arial"/>
          <w:sz w:val="22"/>
          <w:szCs w:val="22"/>
          <w:lang w:val="en-GB"/>
        </w:rPr>
        <w:t>Exposure</w:t>
      </w:r>
      <w:r w:rsidRPr="00E4265B">
        <w:rPr>
          <w:rFonts w:ascii="Arial" w:hAnsi="Arial" w:cs="Arial"/>
          <w:sz w:val="22"/>
          <w:szCs w:val="22"/>
          <w:lang w:val="en-GB"/>
        </w:rPr>
        <w:t>s for capital adequacy purposes. A risk</w:t>
      </w:r>
      <w:r w:rsidRPr="00E4265B">
        <w:rPr>
          <w:rFonts w:ascii="Arial" w:hAnsi="Arial" w:cs="Arial"/>
          <w:sz w:val="22"/>
          <w:szCs w:val="22"/>
          <w:lang w:val="en-GB"/>
        </w:rPr>
        <w:noBreakHyphen/>
        <w:t xml:space="preserve">weight is based on a Credit Quality Grade </w:t>
      </w:r>
      <w:r w:rsidR="00322D1A" w:rsidRPr="00E4265B">
        <w:rPr>
          <w:rFonts w:ascii="Arial" w:hAnsi="Arial" w:cs="Arial"/>
          <w:sz w:val="22"/>
          <w:szCs w:val="22"/>
          <w:lang w:val="en-GB"/>
        </w:rPr>
        <w:t>aligned with the likelihood of C</w:t>
      </w:r>
      <w:r w:rsidRPr="00E4265B">
        <w:rPr>
          <w:rFonts w:ascii="Arial" w:hAnsi="Arial" w:cs="Arial"/>
          <w:sz w:val="22"/>
          <w:szCs w:val="22"/>
          <w:lang w:val="en-GB"/>
        </w:rPr>
        <w:t>ounterparty default;</w:t>
      </w:r>
    </w:p>
    <w:p w14:paraId="00D82AA5"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calculate the Credit Risk Capital Requirement for its on</w:t>
      </w:r>
      <w:r w:rsidRPr="00E4265B">
        <w:rPr>
          <w:rFonts w:ascii="Arial" w:hAnsi="Arial" w:cs="Arial"/>
          <w:sz w:val="22"/>
          <w:szCs w:val="22"/>
          <w:lang w:val="en-GB"/>
        </w:rPr>
        <w:noBreakHyphen/>
        <w:t>balance sheet assets and off</w:t>
      </w:r>
      <w:r w:rsidRPr="00E4265B">
        <w:rPr>
          <w:rFonts w:ascii="Arial" w:hAnsi="Arial" w:cs="Arial"/>
          <w:sz w:val="22"/>
          <w:szCs w:val="22"/>
          <w:lang w:val="en-GB"/>
        </w:rPr>
        <w:noBreakHyphen/>
        <w:t xml:space="preserve">balance sheet </w:t>
      </w:r>
      <w:r w:rsidR="005F3B3B" w:rsidRPr="00E4265B">
        <w:rPr>
          <w:rFonts w:ascii="Arial" w:hAnsi="Arial" w:cs="Arial"/>
          <w:sz w:val="22"/>
          <w:szCs w:val="22"/>
          <w:lang w:val="en-GB"/>
        </w:rPr>
        <w:t>Exposure</w:t>
      </w:r>
      <w:r w:rsidRPr="00E4265B">
        <w:rPr>
          <w:rFonts w:ascii="Arial" w:hAnsi="Arial" w:cs="Arial"/>
          <w:sz w:val="22"/>
          <w:szCs w:val="22"/>
          <w:lang w:val="en-GB"/>
        </w:rPr>
        <w:t>s; and</w:t>
      </w:r>
    </w:p>
    <w:p w14:paraId="7FE8B628"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reduce the Credit Risk Capital Requirement for its on</w:t>
      </w:r>
      <w:r w:rsidRPr="00E4265B">
        <w:rPr>
          <w:rFonts w:ascii="Arial" w:hAnsi="Arial" w:cs="Arial"/>
          <w:sz w:val="22"/>
          <w:szCs w:val="22"/>
          <w:lang w:val="en-GB"/>
        </w:rPr>
        <w:noBreakHyphen/>
        <w:t>balance sheet assets and off</w:t>
      </w:r>
      <w:r w:rsidRPr="00E4265B">
        <w:rPr>
          <w:rFonts w:ascii="Arial" w:hAnsi="Arial" w:cs="Arial"/>
          <w:sz w:val="22"/>
          <w:szCs w:val="22"/>
          <w:lang w:val="en-GB"/>
        </w:rPr>
        <w:noBreakHyphen/>
        <w:t xml:space="preserve">balance sheet </w:t>
      </w:r>
      <w:r w:rsidR="005F3B3B" w:rsidRPr="00E4265B">
        <w:rPr>
          <w:rFonts w:ascii="Arial" w:hAnsi="Arial" w:cs="Arial"/>
          <w:sz w:val="22"/>
          <w:szCs w:val="22"/>
          <w:lang w:val="en-GB"/>
        </w:rPr>
        <w:t>Exposure</w:t>
      </w:r>
      <w:r w:rsidRPr="00E4265B">
        <w:rPr>
          <w:rFonts w:ascii="Arial" w:hAnsi="Arial" w:cs="Arial"/>
          <w:sz w:val="22"/>
          <w:szCs w:val="22"/>
          <w:lang w:val="en-GB"/>
        </w:rPr>
        <w:t xml:space="preserve">s where the </w:t>
      </w:r>
      <w:r w:rsidR="005F3B3B" w:rsidRPr="00E4265B">
        <w:rPr>
          <w:rFonts w:ascii="Arial" w:hAnsi="Arial" w:cs="Arial"/>
          <w:sz w:val="22"/>
          <w:szCs w:val="22"/>
          <w:lang w:val="en-GB"/>
        </w:rPr>
        <w:t>Exposure</w:t>
      </w:r>
      <w:r w:rsidRPr="00E4265B">
        <w:rPr>
          <w:rFonts w:ascii="Arial" w:hAnsi="Arial" w:cs="Arial"/>
          <w:sz w:val="22"/>
          <w:szCs w:val="22"/>
          <w:lang w:val="en-GB"/>
        </w:rPr>
        <w:t xml:space="preserve"> is covered fully or partly by some form of eligible Credit Risk mitigant.</w:t>
      </w:r>
    </w:p>
    <w:p w14:paraId="1DA121E8" w14:textId="2045AC16"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App4 provides detailed requirements, parameters, calculation methodologies and formulae in respect of the primary requirements outlined in Chapter 4.</w:t>
      </w:r>
    </w:p>
    <w:p w14:paraId="51BF1B0C" w14:textId="519005B4" w:rsidR="00030CC8" w:rsidRPr="00E4265B" w:rsidRDefault="00030CC8" w:rsidP="006F763B">
      <w:pPr>
        <w:pStyle w:val="Heading2"/>
        <w:ind w:left="900"/>
        <w:rPr>
          <w:rFonts w:ascii="Arial" w:hAnsi="Arial" w:cs="Arial"/>
          <w:sz w:val="22"/>
          <w:szCs w:val="22"/>
          <w:lang w:val="en-GB"/>
        </w:rPr>
      </w:pPr>
      <w:r w:rsidRPr="00E4265B">
        <w:rPr>
          <w:rFonts w:ascii="Arial" w:hAnsi="Arial" w:cs="Arial"/>
          <w:sz w:val="22"/>
          <w:szCs w:val="22"/>
          <w:lang w:val="en-GB"/>
        </w:rPr>
        <w:t xml:space="preserve"> </w:t>
      </w:r>
      <w:bookmarkStart w:id="272" w:name="_Toc33622397"/>
      <w:r w:rsidRPr="00E4265B">
        <w:rPr>
          <w:rFonts w:ascii="Arial" w:hAnsi="Arial" w:cs="Arial"/>
          <w:sz w:val="22"/>
          <w:szCs w:val="22"/>
          <w:lang w:val="en-GB"/>
        </w:rPr>
        <w:t>– Application</w:t>
      </w:r>
      <w:bookmarkEnd w:id="272"/>
    </w:p>
    <w:p w14:paraId="499E8C95" w14:textId="77777777" w:rsidR="00E22FF2" w:rsidRPr="00E4265B" w:rsidRDefault="00E22FF2" w:rsidP="00246497">
      <w:pPr>
        <w:pStyle w:val="Heading3"/>
        <w:rPr>
          <w:rFonts w:ascii="Arial" w:hAnsi="Arial" w:cs="Arial"/>
          <w:sz w:val="22"/>
          <w:szCs w:val="22"/>
        </w:rPr>
      </w:pPr>
      <w:bookmarkStart w:id="273" w:name="_Toc403223939"/>
      <w:bookmarkStart w:id="274" w:name="_Toc403253977"/>
      <w:bookmarkStart w:id="275" w:name="_Toc403273377"/>
      <w:bookmarkStart w:id="276" w:name="_Toc403273526"/>
      <w:bookmarkStart w:id="277" w:name="_Toc403274485"/>
      <w:bookmarkStart w:id="278" w:name="_Toc403279981"/>
      <w:bookmarkStart w:id="279" w:name="_Toc404285782"/>
      <w:bookmarkStart w:id="280" w:name="_Toc404621731"/>
      <w:bookmarkStart w:id="281" w:name="_Toc404624372"/>
      <w:bookmarkStart w:id="282" w:name="_Toc33622398"/>
      <w:r w:rsidRPr="00E4265B">
        <w:rPr>
          <w:rFonts w:ascii="Arial" w:hAnsi="Arial" w:cs="Arial"/>
          <w:sz w:val="22"/>
          <w:szCs w:val="22"/>
        </w:rPr>
        <w:t>Application</w:t>
      </w:r>
      <w:bookmarkEnd w:id="273"/>
      <w:bookmarkEnd w:id="274"/>
      <w:bookmarkEnd w:id="275"/>
      <w:bookmarkEnd w:id="276"/>
      <w:bookmarkEnd w:id="277"/>
      <w:bookmarkEnd w:id="278"/>
      <w:bookmarkEnd w:id="279"/>
      <w:bookmarkEnd w:id="280"/>
      <w:bookmarkEnd w:id="281"/>
      <w:bookmarkEnd w:id="282"/>
    </w:p>
    <w:p w14:paraId="62841F0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This Chapter applies to an </w:t>
      </w:r>
      <w:r w:rsidR="000D1A90" w:rsidRPr="00E4265B">
        <w:rPr>
          <w:rFonts w:ascii="Arial" w:hAnsi="Arial" w:cs="Arial"/>
          <w:sz w:val="22"/>
          <w:szCs w:val="22"/>
        </w:rPr>
        <w:t>Authorised Person</w:t>
      </w:r>
      <w:r w:rsidRPr="00E4265B">
        <w:rPr>
          <w:rFonts w:ascii="Arial" w:hAnsi="Arial" w:cs="Arial"/>
          <w:sz w:val="22"/>
          <w:szCs w:val="22"/>
        </w:rPr>
        <w:t xml:space="preserve"> in Category 1, 2, 3A or 5.</w:t>
      </w:r>
    </w:p>
    <w:p w14:paraId="01A6FC6E"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7E2EB3DE"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This Chapter imposes systems and controls pertaining to Credit Risk, and prescribes the manner of calculation of the Credit Risk Capital Requirement (also referred to in these Rules as CRCOM).</w:t>
      </w:r>
    </w:p>
    <w:p w14:paraId="60B7366C"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Rules 3.</w:t>
      </w:r>
      <w:r w:rsidR="00C15DC2" w:rsidRPr="00E4265B">
        <w:rPr>
          <w:rFonts w:ascii="Arial" w:hAnsi="Arial" w:cs="Arial"/>
          <w:sz w:val="22"/>
          <w:szCs w:val="22"/>
          <w:lang w:val="en-GB"/>
        </w:rPr>
        <w:t>5</w:t>
      </w:r>
      <w:r w:rsidRPr="00E4265B">
        <w:rPr>
          <w:rFonts w:ascii="Arial" w:hAnsi="Arial" w:cs="Arial"/>
          <w:sz w:val="22"/>
          <w:szCs w:val="22"/>
          <w:lang w:val="en-GB"/>
        </w:rPr>
        <w:t>.</w:t>
      </w:r>
      <w:r w:rsidR="00C15DC2" w:rsidRPr="00E4265B">
        <w:rPr>
          <w:rFonts w:ascii="Arial" w:hAnsi="Arial" w:cs="Arial"/>
          <w:sz w:val="22"/>
          <w:szCs w:val="22"/>
          <w:lang w:val="en-GB"/>
        </w:rPr>
        <w:t>1</w:t>
      </w:r>
      <w:r w:rsidRPr="00E4265B">
        <w:rPr>
          <w:rFonts w:ascii="Arial" w:hAnsi="Arial" w:cs="Arial"/>
          <w:sz w:val="22"/>
          <w:szCs w:val="22"/>
          <w:lang w:val="en-GB"/>
        </w:rPr>
        <w:t> and 3.</w:t>
      </w:r>
      <w:r w:rsidR="00C15DC2" w:rsidRPr="00E4265B">
        <w:rPr>
          <w:rFonts w:ascii="Arial" w:hAnsi="Arial" w:cs="Arial"/>
          <w:sz w:val="22"/>
          <w:szCs w:val="22"/>
          <w:lang w:val="en-GB"/>
        </w:rPr>
        <w:t>5</w:t>
      </w:r>
      <w:r w:rsidRPr="00E4265B">
        <w:rPr>
          <w:rFonts w:ascii="Arial" w:hAnsi="Arial" w:cs="Arial"/>
          <w:sz w:val="22"/>
          <w:szCs w:val="22"/>
          <w:lang w:val="en-GB"/>
        </w:rPr>
        <w:t>.</w:t>
      </w:r>
      <w:r w:rsidR="00C15DC2" w:rsidRPr="00E4265B">
        <w:rPr>
          <w:rFonts w:ascii="Arial" w:hAnsi="Arial" w:cs="Arial"/>
          <w:sz w:val="22"/>
          <w:szCs w:val="22"/>
          <w:lang w:val="en-GB"/>
        </w:rPr>
        <w:t>2</w:t>
      </w:r>
      <w:r w:rsidRPr="00E4265B">
        <w:rPr>
          <w:rFonts w:ascii="Arial" w:hAnsi="Arial" w:cs="Arial"/>
          <w:sz w:val="22"/>
          <w:szCs w:val="22"/>
          <w:lang w:val="en-GB"/>
        </w:rPr>
        <w:t xml:space="preserve"> provide that the CRCOM is a component in the calculation of the overall Risk Capital Requirement of an </w:t>
      </w:r>
      <w:r w:rsidR="000D1A90" w:rsidRPr="00E4265B">
        <w:rPr>
          <w:rFonts w:ascii="Arial" w:hAnsi="Arial" w:cs="Arial"/>
          <w:sz w:val="22"/>
          <w:szCs w:val="22"/>
          <w:lang w:val="en-GB"/>
        </w:rPr>
        <w:t>Authorised Person</w:t>
      </w:r>
      <w:r w:rsidRPr="00E4265B">
        <w:rPr>
          <w:rFonts w:ascii="Arial" w:hAnsi="Arial" w:cs="Arial"/>
          <w:sz w:val="22"/>
          <w:szCs w:val="22"/>
          <w:lang w:val="en-GB"/>
        </w:rPr>
        <w:t>, and that the CRCOM is to be calculated in accordance with this Chapter.</w:t>
      </w:r>
    </w:p>
    <w:p w14:paraId="6FAFAC77"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The Rules in Section 4.8 provide that the </w:t>
      </w:r>
      <w:r w:rsidR="000D1A90" w:rsidRPr="00E4265B">
        <w:rPr>
          <w:rFonts w:ascii="Arial" w:hAnsi="Arial" w:cs="Arial"/>
          <w:sz w:val="22"/>
          <w:szCs w:val="22"/>
          <w:lang w:val="en-GB"/>
        </w:rPr>
        <w:t>Authorised Person</w:t>
      </w:r>
      <w:r w:rsidRPr="00E4265B">
        <w:rPr>
          <w:rFonts w:ascii="Arial" w:hAnsi="Arial" w:cs="Arial"/>
          <w:sz w:val="22"/>
          <w:szCs w:val="22"/>
          <w:lang w:val="en-GB"/>
        </w:rPr>
        <w:t>'s CRCOM is 10% of the Credit RWA of the firm, which in turn is calculated as the sum of:</w:t>
      </w:r>
    </w:p>
    <w:p w14:paraId="41784C43"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RWA for Credit Risk Exposures (CR Exposures); </w:t>
      </w:r>
    </w:p>
    <w:p w14:paraId="3F128A12"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RWA for securiti</w:t>
      </w:r>
      <w:r w:rsidR="00C15DC2" w:rsidRPr="00E4265B">
        <w:rPr>
          <w:rFonts w:ascii="Arial" w:hAnsi="Arial" w:cs="Arial"/>
          <w:sz w:val="22"/>
          <w:szCs w:val="22"/>
          <w:lang w:val="en-GB"/>
        </w:rPr>
        <w:t>sation Exposures (SE Exposures); and</w:t>
      </w:r>
    </w:p>
    <w:p w14:paraId="4547A550" w14:textId="77777777" w:rsidR="00C15DC2" w:rsidRPr="00E4265B" w:rsidRDefault="00C15DC2" w:rsidP="00791AB5">
      <w:pPr>
        <w:pStyle w:val="aList"/>
        <w:rPr>
          <w:rFonts w:ascii="Arial" w:hAnsi="Arial" w:cs="Arial"/>
          <w:sz w:val="22"/>
          <w:szCs w:val="22"/>
          <w:lang w:val="en-GB"/>
        </w:rPr>
      </w:pPr>
      <w:r w:rsidRPr="00E4265B">
        <w:rPr>
          <w:rFonts w:ascii="Arial" w:hAnsi="Arial" w:cs="Arial"/>
          <w:sz w:val="22"/>
          <w:szCs w:val="22"/>
          <w:lang w:val="en-GB"/>
        </w:rPr>
        <w:lastRenderedPageBreak/>
        <w:t>c.</w:t>
      </w:r>
      <w:r w:rsidRPr="00E4265B">
        <w:rPr>
          <w:rFonts w:ascii="Arial" w:hAnsi="Arial" w:cs="Arial"/>
          <w:sz w:val="22"/>
          <w:szCs w:val="22"/>
          <w:lang w:val="en-GB"/>
        </w:rPr>
        <w:tab/>
        <w:t>the RWA for Counterparty Risk Exposure</w:t>
      </w:r>
      <w:r w:rsidR="00EE6270" w:rsidRPr="00E4265B">
        <w:rPr>
          <w:rFonts w:ascii="Arial" w:hAnsi="Arial" w:cs="Arial"/>
          <w:sz w:val="22"/>
          <w:szCs w:val="22"/>
          <w:lang w:val="en-GB"/>
        </w:rPr>
        <w:t>s</w:t>
      </w:r>
      <w:r w:rsidRPr="00E4265B">
        <w:rPr>
          <w:rFonts w:ascii="Arial" w:hAnsi="Arial" w:cs="Arial"/>
          <w:sz w:val="22"/>
          <w:szCs w:val="22"/>
          <w:lang w:val="en-GB"/>
        </w:rPr>
        <w:t>.</w:t>
      </w:r>
    </w:p>
    <w:p w14:paraId="689DC08E"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This Chapter sets out the manner in which each of those components must be calculated, monitored and controlled by an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06F10744"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 xml:space="preserve">In addition to complying with the applicable Rules in this Chapter,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investing in or holding Islamic Contracts whether or not for the purpose of a PSIA will need to take account of the provisions under the </w:t>
      </w:r>
      <w:r w:rsidR="00652C1B" w:rsidRPr="00E4265B">
        <w:rPr>
          <w:rFonts w:ascii="Arial" w:hAnsi="Arial" w:cs="Arial"/>
          <w:sz w:val="22"/>
          <w:szCs w:val="22"/>
          <w:lang w:val="en-GB"/>
        </w:rPr>
        <w:t>IFR rules</w:t>
      </w:r>
      <w:r w:rsidRPr="00E4265B">
        <w:rPr>
          <w:rFonts w:ascii="Arial" w:hAnsi="Arial" w:cs="Arial"/>
          <w:sz w:val="22"/>
          <w:szCs w:val="22"/>
          <w:lang w:val="en-GB"/>
        </w:rPr>
        <w:t xml:space="preserve"> to calculate the </w:t>
      </w:r>
      <w:r w:rsidR="00C15DC2" w:rsidRPr="00E4265B">
        <w:rPr>
          <w:rFonts w:ascii="Arial" w:hAnsi="Arial" w:cs="Arial"/>
          <w:sz w:val="22"/>
          <w:szCs w:val="22"/>
          <w:lang w:val="en-GB"/>
        </w:rPr>
        <w:t xml:space="preserve">associated capital requirements for </w:t>
      </w:r>
      <w:r w:rsidRPr="00E4265B">
        <w:rPr>
          <w:rFonts w:ascii="Arial" w:hAnsi="Arial" w:cs="Arial"/>
          <w:sz w:val="22"/>
          <w:szCs w:val="22"/>
          <w:lang w:val="en-GB"/>
        </w:rPr>
        <w:t>Credit Risk for those Islamic Contracts.</w:t>
      </w:r>
    </w:p>
    <w:p w14:paraId="799CE73D" w14:textId="4F97CAF7" w:rsidR="00E22FF2" w:rsidRPr="00E4265B" w:rsidRDefault="00030CC8" w:rsidP="006F763B">
      <w:pPr>
        <w:pStyle w:val="Heading2"/>
        <w:ind w:left="900"/>
        <w:rPr>
          <w:rFonts w:ascii="Arial" w:hAnsi="Arial" w:cs="Arial"/>
          <w:sz w:val="22"/>
          <w:szCs w:val="22"/>
          <w:lang w:val="en-GB"/>
        </w:rPr>
      </w:pPr>
      <w:bookmarkStart w:id="283" w:name="_Toc403223940"/>
      <w:bookmarkStart w:id="284" w:name="_Toc403253978"/>
      <w:bookmarkStart w:id="285" w:name="_Toc403254103"/>
      <w:bookmarkStart w:id="286" w:name="_Toc403273378"/>
      <w:bookmarkStart w:id="287" w:name="_Toc403273527"/>
      <w:bookmarkStart w:id="288" w:name="_Toc403274486"/>
      <w:bookmarkStart w:id="289" w:name="_Toc403279982"/>
      <w:bookmarkStart w:id="290" w:name="_Toc404285783"/>
      <w:bookmarkStart w:id="291" w:name="_Toc404621732"/>
      <w:bookmarkStart w:id="292" w:name="_Toc404624373"/>
      <w:r w:rsidRPr="00E4265B">
        <w:rPr>
          <w:rFonts w:ascii="Arial" w:hAnsi="Arial" w:cs="Arial"/>
          <w:sz w:val="22"/>
          <w:szCs w:val="22"/>
          <w:lang w:val="en-GB"/>
        </w:rPr>
        <w:t xml:space="preserve"> </w:t>
      </w:r>
      <w:bookmarkStart w:id="293" w:name="_Toc33622399"/>
      <w:r w:rsidRPr="00E4265B">
        <w:rPr>
          <w:rFonts w:ascii="Arial" w:hAnsi="Arial" w:cs="Arial"/>
          <w:sz w:val="22"/>
          <w:szCs w:val="22"/>
          <w:lang w:val="en-GB"/>
        </w:rPr>
        <w:t xml:space="preserve">- </w:t>
      </w:r>
      <w:r w:rsidR="00E22FF2" w:rsidRPr="00E4265B">
        <w:rPr>
          <w:rFonts w:ascii="Arial" w:hAnsi="Arial" w:cs="Arial"/>
          <w:sz w:val="22"/>
          <w:szCs w:val="22"/>
          <w:lang w:val="en-GB"/>
        </w:rPr>
        <w:t>Credit Risk systems and controls</w:t>
      </w:r>
      <w:bookmarkEnd w:id="283"/>
      <w:bookmarkEnd w:id="284"/>
      <w:bookmarkEnd w:id="285"/>
      <w:bookmarkEnd w:id="286"/>
      <w:bookmarkEnd w:id="287"/>
      <w:bookmarkEnd w:id="288"/>
      <w:bookmarkEnd w:id="289"/>
      <w:bookmarkEnd w:id="290"/>
      <w:bookmarkEnd w:id="291"/>
      <w:bookmarkEnd w:id="292"/>
      <w:bookmarkEnd w:id="293"/>
    </w:p>
    <w:p w14:paraId="13600121" w14:textId="77777777" w:rsidR="00E22FF2" w:rsidRPr="00E4265B" w:rsidRDefault="00E22FF2" w:rsidP="00246497">
      <w:pPr>
        <w:pStyle w:val="Heading3"/>
        <w:rPr>
          <w:rFonts w:ascii="Arial" w:hAnsi="Arial" w:cs="Arial"/>
          <w:sz w:val="22"/>
          <w:szCs w:val="22"/>
        </w:rPr>
      </w:pPr>
      <w:bookmarkStart w:id="294" w:name="_Toc403223941"/>
      <w:bookmarkStart w:id="295" w:name="_Toc403253979"/>
      <w:bookmarkStart w:id="296" w:name="_Toc403273379"/>
      <w:bookmarkStart w:id="297" w:name="_Toc403273528"/>
      <w:bookmarkStart w:id="298" w:name="_Toc403274487"/>
      <w:bookmarkStart w:id="299" w:name="_Toc403279983"/>
      <w:bookmarkStart w:id="300" w:name="_Toc404285784"/>
      <w:bookmarkStart w:id="301" w:name="_Toc404621733"/>
      <w:bookmarkStart w:id="302" w:name="_Toc404624374"/>
      <w:bookmarkStart w:id="303" w:name="_Toc33622400"/>
      <w:r w:rsidRPr="00E4265B">
        <w:rPr>
          <w:rFonts w:ascii="Arial" w:hAnsi="Arial" w:cs="Arial"/>
          <w:sz w:val="22"/>
          <w:szCs w:val="22"/>
        </w:rPr>
        <w:t>Application of this part</w:t>
      </w:r>
      <w:bookmarkEnd w:id="294"/>
      <w:bookmarkEnd w:id="295"/>
      <w:bookmarkEnd w:id="296"/>
      <w:bookmarkEnd w:id="297"/>
      <w:bookmarkEnd w:id="298"/>
      <w:bookmarkEnd w:id="299"/>
      <w:bookmarkEnd w:id="300"/>
      <w:bookmarkEnd w:id="301"/>
      <w:bookmarkEnd w:id="302"/>
      <w:bookmarkEnd w:id="303"/>
    </w:p>
    <w:p w14:paraId="65180D1A"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This part applies to an </w:t>
      </w:r>
      <w:r w:rsidR="000D1A90" w:rsidRPr="00E4265B">
        <w:rPr>
          <w:rFonts w:ascii="Arial" w:hAnsi="Arial" w:cs="Arial"/>
          <w:sz w:val="22"/>
          <w:szCs w:val="22"/>
        </w:rPr>
        <w:t>Authorised Person</w:t>
      </w:r>
      <w:r w:rsidRPr="00E4265B">
        <w:rPr>
          <w:rFonts w:ascii="Arial" w:hAnsi="Arial" w:cs="Arial"/>
          <w:sz w:val="22"/>
          <w:szCs w:val="22"/>
        </w:rPr>
        <w:t xml:space="preserve"> in Category 1, 2, 3A or 5 with respect to both its Non</w:t>
      </w:r>
      <w:r w:rsidRPr="00E4265B">
        <w:rPr>
          <w:rFonts w:ascii="Arial" w:hAnsi="Arial" w:cs="Arial"/>
          <w:sz w:val="22"/>
          <w:szCs w:val="22"/>
        </w:rPr>
        <w:noBreakHyphen/>
        <w:t>Trading Book and Trading Book transactions.</w:t>
      </w:r>
    </w:p>
    <w:p w14:paraId="66BB8E89" w14:textId="77777777" w:rsidR="00E22FF2" w:rsidRPr="00E4265B" w:rsidRDefault="00E22FF2" w:rsidP="00246497">
      <w:pPr>
        <w:pStyle w:val="Heading3"/>
        <w:rPr>
          <w:rFonts w:ascii="Arial" w:hAnsi="Arial" w:cs="Arial"/>
          <w:sz w:val="22"/>
          <w:szCs w:val="22"/>
        </w:rPr>
      </w:pPr>
      <w:bookmarkStart w:id="304" w:name="_Toc403223942"/>
      <w:bookmarkStart w:id="305" w:name="_Toc403253980"/>
      <w:bookmarkStart w:id="306" w:name="_Toc403273380"/>
      <w:bookmarkStart w:id="307" w:name="_Toc403273529"/>
      <w:bookmarkStart w:id="308" w:name="_Toc403274488"/>
      <w:bookmarkStart w:id="309" w:name="_Toc403279984"/>
      <w:bookmarkStart w:id="310" w:name="_Toc404285785"/>
      <w:bookmarkStart w:id="311" w:name="_Toc404621734"/>
      <w:bookmarkStart w:id="312" w:name="_Toc404624375"/>
      <w:bookmarkStart w:id="313" w:name="_Toc33622401"/>
      <w:r w:rsidRPr="00E4265B">
        <w:rPr>
          <w:rFonts w:ascii="Arial" w:hAnsi="Arial" w:cs="Arial"/>
          <w:sz w:val="22"/>
          <w:szCs w:val="22"/>
        </w:rPr>
        <w:t>Credit Risk management systems</w:t>
      </w:r>
      <w:bookmarkEnd w:id="304"/>
      <w:bookmarkEnd w:id="305"/>
      <w:bookmarkEnd w:id="306"/>
      <w:bookmarkEnd w:id="307"/>
      <w:bookmarkEnd w:id="308"/>
      <w:bookmarkEnd w:id="309"/>
      <w:bookmarkEnd w:id="310"/>
      <w:bookmarkEnd w:id="311"/>
      <w:bookmarkEnd w:id="312"/>
      <w:bookmarkEnd w:id="313"/>
    </w:p>
    <w:p w14:paraId="445813C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implement and maintain comprehensive Credit Risk management systems which:</w:t>
      </w:r>
    </w:p>
    <w:p w14:paraId="01FBBCB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are appropriate to the firm's type, scope, complexity and scale of operations;</w:t>
      </w:r>
    </w:p>
    <w:p w14:paraId="3183A940" w14:textId="77777777" w:rsidR="00E22FF2" w:rsidRPr="00E4265B" w:rsidRDefault="00B32214" w:rsidP="008432F8">
      <w:pPr>
        <w:pStyle w:val="Heading5"/>
        <w:rPr>
          <w:rFonts w:ascii="Arial" w:hAnsi="Arial" w:cs="Arial"/>
          <w:sz w:val="22"/>
          <w:szCs w:val="22"/>
        </w:rPr>
      </w:pPr>
      <w:r w:rsidRPr="00E4265B">
        <w:rPr>
          <w:rFonts w:ascii="Arial" w:hAnsi="Arial" w:cs="Arial"/>
          <w:sz w:val="22"/>
          <w:szCs w:val="22"/>
        </w:rPr>
        <w:t xml:space="preserve">are appropriate to </w:t>
      </w:r>
      <w:r w:rsidR="00E22FF2" w:rsidRPr="00E4265B">
        <w:rPr>
          <w:rFonts w:ascii="Arial" w:hAnsi="Arial" w:cs="Arial"/>
          <w:sz w:val="22"/>
          <w:szCs w:val="22"/>
        </w:rPr>
        <w:t>the diversity of its operations, including geographical diversity;</w:t>
      </w:r>
    </w:p>
    <w:p w14:paraId="2300BDE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enable the firm to effectively identify, assess, monitor and control Credit Risk and to ensure that adequate Capital Resources are available at all times to cover the risks assumed; and</w:t>
      </w:r>
    </w:p>
    <w:p w14:paraId="6E81A2C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ensure effective implementation of the Credit Risk strategy and policy.</w:t>
      </w:r>
    </w:p>
    <w:p w14:paraId="7E4F7D8B"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4A902D10"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Credit Risk is the risk that a borrower or Counterparty fails to meet its obligations. Credit Risk exists in both the Non</w:t>
      </w:r>
      <w:r w:rsidRPr="00E4265B">
        <w:rPr>
          <w:rFonts w:ascii="Arial" w:hAnsi="Arial" w:cs="Arial"/>
          <w:sz w:val="22"/>
          <w:szCs w:val="22"/>
          <w:lang w:val="en-GB"/>
        </w:rPr>
        <w:noBreakHyphen/>
        <w:t xml:space="preserve">Trading Book and the Trading Book, and both on and off the balance sheet of an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181DAA7D"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Obviously, Credit Risk arises from loans but there are other sources of Credit Risk such as</w:t>
      </w:r>
      <w:r w:rsidR="00B32214" w:rsidRPr="00E4265B">
        <w:rPr>
          <w:rFonts w:ascii="Arial" w:hAnsi="Arial" w:cs="Arial"/>
          <w:sz w:val="22"/>
          <w:szCs w:val="22"/>
          <w:lang w:val="en-GB"/>
        </w:rPr>
        <w:t>:</w:t>
      </w:r>
    </w:p>
    <w:p w14:paraId="4522318F"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trade finance and acceptances;</w:t>
      </w:r>
    </w:p>
    <w:p w14:paraId="4BD424F9"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interbank transactions;</w:t>
      </w:r>
    </w:p>
    <w:p w14:paraId="249B3F1F"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commitments and guarantees;</w:t>
      </w:r>
    </w:p>
    <w:p w14:paraId="72D159DB"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interest rate, foreign exchange and Credit Derivatives (including swaps, </w:t>
      </w:r>
      <w:r w:rsidR="00BC49E0" w:rsidRPr="00E4265B">
        <w:rPr>
          <w:rFonts w:ascii="Arial" w:hAnsi="Arial" w:cs="Arial"/>
          <w:sz w:val="22"/>
          <w:szCs w:val="22"/>
          <w:lang w:val="en-GB"/>
        </w:rPr>
        <w:t>Option</w:t>
      </w:r>
      <w:r w:rsidRPr="00E4265B">
        <w:rPr>
          <w:rFonts w:ascii="Arial" w:hAnsi="Arial" w:cs="Arial"/>
          <w:sz w:val="22"/>
          <w:szCs w:val="22"/>
          <w:lang w:val="en-GB"/>
        </w:rPr>
        <w:t>s, forward</w:t>
      </w:r>
      <w:r w:rsidR="00E911B6" w:rsidRPr="00E4265B">
        <w:rPr>
          <w:rFonts w:ascii="Arial" w:hAnsi="Arial" w:cs="Arial"/>
          <w:sz w:val="22"/>
          <w:szCs w:val="22"/>
          <w:lang w:val="en-GB"/>
        </w:rPr>
        <w:t xml:space="preserve"> rate agreements and financial F</w:t>
      </w:r>
      <w:r w:rsidRPr="00E4265B">
        <w:rPr>
          <w:rFonts w:ascii="Arial" w:hAnsi="Arial" w:cs="Arial"/>
          <w:sz w:val="22"/>
          <w:szCs w:val="22"/>
          <w:lang w:val="en-GB"/>
        </w:rPr>
        <w:t>utures);</w:t>
      </w:r>
    </w:p>
    <w:p w14:paraId="64711F57"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bond and equity holdings; and </w:t>
      </w:r>
    </w:p>
    <w:p w14:paraId="62CC4550"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settlement of transactions.</w:t>
      </w:r>
    </w:p>
    <w:p w14:paraId="518BFFCE" w14:textId="2AEA0CEA" w:rsidR="00E22FF2" w:rsidRPr="00E4265B" w:rsidRDefault="00E22FF2" w:rsidP="002A2F84">
      <w:pPr>
        <w:pStyle w:val="1List0"/>
        <w:rPr>
          <w:rFonts w:ascii="Arial" w:hAnsi="Arial" w:cs="Arial"/>
          <w:sz w:val="22"/>
          <w:szCs w:val="22"/>
          <w:lang w:val="en-GB"/>
        </w:rPr>
      </w:pPr>
      <w:r w:rsidRPr="00E4265B">
        <w:rPr>
          <w:rFonts w:ascii="Arial" w:hAnsi="Arial" w:cs="Arial"/>
          <w:sz w:val="22"/>
          <w:szCs w:val="22"/>
          <w:lang w:val="en-GB"/>
        </w:rPr>
        <w:lastRenderedPageBreak/>
        <w:t>3.</w:t>
      </w:r>
      <w:r w:rsidRPr="00E4265B">
        <w:rPr>
          <w:rFonts w:ascii="Arial" w:hAnsi="Arial" w:cs="Arial"/>
          <w:sz w:val="22"/>
          <w:szCs w:val="22"/>
          <w:lang w:val="en-GB"/>
        </w:rPr>
        <w:tab/>
        <w:t xml:space="preserve">The objective of the Credit Risk management system </w:t>
      </w:r>
      <w:r w:rsidR="002A2F84" w:rsidRPr="00E4265B">
        <w:rPr>
          <w:rFonts w:ascii="Arial" w:hAnsi="Arial" w:cs="Arial"/>
          <w:sz w:val="22"/>
          <w:szCs w:val="22"/>
          <w:lang w:val="en-GB"/>
        </w:rPr>
        <w:t>must</w:t>
      </w:r>
      <w:r w:rsidR="00C15DC2" w:rsidRPr="00E4265B">
        <w:rPr>
          <w:rFonts w:ascii="Arial" w:hAnsi="Arial" w:cs="Arial"/>
          <w:sz w:val="22"/>
          <w:szCs w:val="22"/>
          <w:lang w:val="en-GB"/>
        </w:rPr>
        <w:t xml:space="preserve"> </w:t>
      </w:r>
      <w:r w:rsidRPr="00E4265B">
        <w:rPr>
          <w:rFonts w:ascii="Arial" w:hAnsi="Arial" w:cs="Arial"/>
          <w:sz w:val="22"/>
          <w:szCs w:val="22"/>
          <w:lang w:val="en-GB"/>
        </w:rPr>
        <w:t xml:space="preserve">be to ensure that every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holds adequate capital to cover Credit Risk and absorb any potential losses arising from that risk. Since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need to provide credit as part of their usual business, this needs to be achieved by effectively managing the Credit Risk assumed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as part of its credit business.</w:t>
      </w:r>
    </w:p>
    <w:p w14:paraId="02E15157"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Failure to manage Credit Risk effectively could cause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face a situation of inadequate capital, which would threaten its safety and soundness. Such problems normally arise from:</w:t>
      </w:r>
    </w:p>
    <w:p w14:paraId="18FA1F5F"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lax credit standards for borrowers and Counterparties;</w:t>
      </w:r>
    </w:p>
    <w:p w14:paraId="4E922BCC"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poor portfolio risk management; and</w:t>
      </w:r>
    </w:p>
    <w:p w14:paraId="58A70900"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failure to identify in good time changes in economic or other conditions that may impair the financial strength of borrowers and Counterparties.</w:t>
      </w:r>
    </w:p>
    <w:p w14:paraId="1B112150"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 xml:space="preserve">Therefore, it is essential for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involved in the business of </w:t>
      </w:r>
      <w:r w:rsidR="008D725A" w:rsidRPr="00E4265B">
        <w:rPr>
          <w:rFonts w:ascii="Arial" w:hAnsi="Arial" w:cs="Arial"/>
          <w:sz w:val="22"/>
          <w:szCs w:val="22"/>
          <w:lang w:val="en-GB"/>
        </w:rPr>
        <w:t>Providing C</w:t>
      </w:r>
      <w:r w:rsidRPr="00E4265B">
        <w:rPr>
          <w:rFonts w:ascii="Arial" w:hAnsi="Arial" w:cs="Arial"/>
          <w:sz w:val="22"/>
          <w:szCs w:val="22"/>
          <w:lang w:val="en-GB"/>
        </w:rPr>
        <w:t>redit to design, implement and maintain comprehensive and effective systems to manage Credit Risk.</w:t>
      </w:r>
    </w:p>
    <w:p w14:paraId="7B37CB82"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The Credit Risk management framework of an </w:t>
      </w:r>
      <w:r w:rsidR="000D1A90" w:rsidRPr="00E4265B">
        <w:rPr>
          <w:rFonts w:ascii="Arial" w:hAnsi="Arial" w:cs="Arial"/>
          <w:sz w:val="22"/>
          <w:szCs w:val="22"/>
        </w:rPr>
        <w:t>Authorised Person</w:t>
      </w:r>
      <w:r w:rsidRPr="00E4265B">
        <w:rPr>
          <w:rFonts w:ascii="Arial" w:hAnsi="Arial" w:cs="Arial"/>
          <w:sz w:val="22"/>
          <w:szCs w:val="22"/>
        </w:rPr>
        <w:t xml:space="preserve"> must have at least the following principal elements effectively implemented to ensure that the Credit Risk Exposures of the </w:t>
      </w:r>
      <w:r w:rsidR="000D1A90" w:rsidRPr="00E4265B">
        <w:rPr>
          <w:rFonts w:ascii="Arial" w:hAnsi="Arial" w:cs="Arial"/>
          <w:sz w:val="22"/>
          <w:szCs w:val="22"/>
        </w:rPr>
        <w:t>Authorised Person</w:t>
      </w:r>
      <w:r w:rsidRPr="00E4265B">
        <w:rPr>
          <w:rFonts w:ascii="Arial" w:hAnsi="Arial" w:cs="Arial"/>
          <w:sz w:val="22"/>
          <w:szCs w:val="22"/>
        </w:rPr>
        <w:t xml:space="preserve"> are of a sufficiently good quality:</w:t>
      </w:r>
    </w:p>
    <w:p w14:paraId="2687251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an appropriate Credit Risk environment, defined by a documented Credit Risk strategy and a documented Credit Risk policy;</w:t>
      </w:r>
    </w:p>
    <w:p w14:paraId="29A624A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application of the Credit Risk strategy and policy, where appropriate, on a consolidated basis and at the level of individual subsidiaries;</w:t>
      </w:r>
    </w:p>
    <w:p w14:paraId="65D8802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sound processes for assuming and managing Credit Risk;</w:t>
      </w:r>
    </w:p>
    <w:p w14:paraId="3DB8D9B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prudent lending controls and limits, including policies and processes for monitoring Exposures in relation to limits, and approvals of exceptions to limits;</w:t>
      </w:r>
    </w:p>
    <w:p w14:paraId="778620B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adequate appropriately skilled human resources to manage the Credit Risk function;</w:t>
      </w:r>
    </w:p>
    <w:p w14:paraId="6FA3073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independence of credit approval and review functions from credit initiation functions to avoid any real or potential conflicts of interest;</w:t>
      </w:r>
    </w:p>
    <w:p w14:paraId="5C59B6D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prudent procedures for approving credits, defined by a documented credit procedures manual;</w:t>
      </w:r>
    </w:p>
    <w:p w14:paraId="78C8C79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effective systems for credit administration, measurement and monitoring; and</w:t>
      </w:r>
    </w:p>
    <w:p w14:paraId="499E22D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adequate controls over Credit Risk.</w:t>
      </w:r>
    </w:p>
    <w:p w14:paraId="52AB0EBC" w14:textId="77777777" w:rsidR="00E22FF2" w:rsidRPr="00E4265B" w:rsidRDefault="00E22FF2" w:rsidP="00934C9D">
      <w:pPr>
        <w:pStyle w:val="Heading4"/>
        <w:tabs>
          <w:tab w:val="clear" w:pos="936"/>
          <w:tab w:val="left" w:pos="900"/>
        </w:tabs>
        <w:ind w:left="1710" w:hanging="171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ensure that its Governing Body retains responsibility for the Credit Risk management framework and ensure it is </w:t>
      </w:r>
      <w:r w:rsidRPr="00E4265B">
        <w:rPr>
          <w:rFonts w:ascii="Arial" w:hAnsi="Arial" w:cs="Arial"/>
          <w:sz w:val="22"/>
          <w:szCs w:val="22"/>
        </w:rPr>
        <w:lastRenderedPageBreak/>
        <w:t>appropriate for the nature, scale and complexity of operations, in the context of prevailing market and macro</w:t>
      </w:r>
      <w:r w:rsidRPr="00E4265B">
        <w:rPr>
          <w:rFonts w:ascii="Arial" w:hAnsi="Arial" w:cs="Arial"/>
          <w:sz w:val="22"/>
          <w:szCs w:val="22"/>
        </w:rPr>
        <w:noBreakHyphen/>
        <w:t>economic conditions.</w:t>
      </w:r>
    </w:p>
    <w:p w14:paraId="07611579"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ensure that its senior management</w:t>
      </w:r>
      <w:r w:rsidR="00B32214" w:rsidRPr="00E4265B">
        <w:rPr>
          <w:rFonts w:ascii="Arial" w:hAnsi="Arial" w:cs="Arial"/>
          <w:sz w:val="22"/>
          <w:szCs w:val="22"/>
          <w:lang w:val="en-GB"/>
        </w:rPr>
        <w:t>,</w:t>
      </w:r>
      <w:r w:rsidRPr="00E4265B">
        <w:rPr>
          <w:rFonts w:ascii="Arial" w:hAnsi="Arial" w:cs="Arial"/>
          <w:sz w:val="22"/>
          <w:szCs w:val="22"/>
          <w:lang w:val="en-GB"/>
        </w:rPr>
        <w:t xml:space="preserve"> or an appropriate designated body, regularly reviews and understands the implications as well as the limitations of the risk management information that they receive from the Credit Risk management function, in order to evaluate the suitability and effectiveness of such information in enabling them to provide effective oversight over the Credit Risk management function.</w:t>
      </w:r>
    </w:p>
    <w:p w14:paraId="328167E6"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ensure that its Governing Body regularly reviews and understands the implications as well as the limitations of Credit Risk management information and reports presented to it, to ensure that the contents and the format of such reports are suitable for effective Governing Body oversight.</w:t>
      </w:r>
    </w:p>
    <w:p w14:paraId="297BAB16"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ensure that its Governing Body is responsible for carrying out regular stress testing on the credit portfolio which is appropriate for the nature, scale and complexity of the Credit Risks assumed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ensure that its Governing Body annually reviews the stress scenarios and takes action to address any perceived issues arising from those reviews.</w:t>
      </w:r>
    </w:p>
    <w:p w14:paraId="085F3E3E"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establish and enforce internal controls and practices so that deviations from policies, procedures, limits and prudential guidelines are promptly reported to the appropriate level of management.</w:t>
      </w:r>
    </w:p>
    <w:p w14:paraId="48E37C6E"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5A2972BC" w14:textId="49BD70C1" w:rsidR="00E22FF2" w:rsidRPr="00E4265B" w:rsidRDefault="00E22FF2" w:rsidP="006D4397">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structure its credit processes and Credit Risk management function in a manner which suits it</w:t>
      </w:r>
      <w:r w:rsidR="006D4397" w:rsidRPr="00E4265B">
        <w:rPr>
          <w:rFonts w:ascii="Arial" w:hAnsi="Arial" w:cs="Arial"/>
          <w:sz w:val="22"/>
          <w:szCs w:val="22"/>
          <w:lang w:val="en-GB"/>
        </w:rPr>
        <w:t>s</w:t>
      </w:r>
      <w:r w:rsidRPr="00E4265B">
        <w:rPr>
          <w:rFonts w:ascii="Arial" w:hAnsi="Arial" w:cs="Arial"/>
          <w:sz w:val="22"/>
          <w:szCs w:val="22"/>
          <w:lang w:val="en-GB"/>
        </w:rPr>
        <w:t xml:space="preserve"> or its Group's internal organisational structure, culture and internal practices, provided the key functions and components relevant to Credit Risk management, as mentioned above, are present, and there </w:t>
      </w:r>
      <w:r w:rsidR="006D4397" w:rsidRPr="00E4265B">
        <w:rPr>
          <w:rFonts w:ascii="Arial" w:hAnsi="Arial" w:cs="Arial"/>
          <w:sz w:val="22"/>
          <w:szCs w:val="22"/>
          <w:lang w:val="en-GB"/>
        </w:rPr>
        <w:t>must</w:t>
      </w:r>
      <w:r w:rsidRPr="00E4265B">
        <w:rPr>
          <w:rFonts w:ascii="Arial" w:hAnsi="Arial" w:cs="Arial"/>
          <w:sz w:val="22"/>
          <w:szCs w:val="22"/>
          <w:lang w:val="en-GB"/>
        </w:rPr>
        <w:t xml:space="preserve"> be adequate segregation of functions responsible for critical Credit Risk management processes. In particular, the credit initiation function must be independent of the credit approval and review functions to avoid any potential conflicts of interest. In cases 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finds it necessary to delegate small lending limits to staff in the front office for operational needs, there </w:t>
      </w:r>
      <w:r w:rsidR="006D4397" w:rsidRPr="00E4265B">
        <w:rPr>
          <w:rFonts w:ascii="Arial" w:hAnsi="Arial" w:cs="Arial"/>
          <w:sz w:val="22"/>
          <w:szCs w:val="22"/>
          <w:lang w:val="en-GB"/>
        </w:rPr>
        <w:t>must</w:t>
      </w:r>
      <w:r w:rsidRPr="00E4265B">
        <w:rPr>
          <w:rFonts w:ascii="Arial" w:hAnsi="Arial" w:cs="Arial"/>
          <w:sz w:val="22"/>
          <w:szCs w:val="22"/>
          <w:lang w:val="en-GB"/>
        </w:rPr>
        <w:t xml:space="preserve"> be adequate safeguards, e.g. independent review of credits granted, to prevent abuse.</w:t>
      </w:r>
    </w:p>
    <w:p w14:paraId="032369EC"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senior management or an appropriately delegated body (such as a credit committee) should be responsible for effectively implementing the Credit Risk strategy and policy approved by the Governing Body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Senior management or such a credit committee will need to establish adequate procedures to identify, quantify, monitor and control the Credit Risk inherent in the </w:t>
      </w:r>
      <w:r w:rsidR="000D1A90" w:rsidRPr="00E4265B">
        <w:rPr>
          <w:rFonts w:ascii="Arial" w:hAnsi="Arial" w:cs="Arial"/>
          <w:sz w:val="22"/>
          <w:szCs w:val="22"/>
          <w:lang w:val="en-GB"/>
        </w:rPr>
        <w:t>Authorised Person</w:t>
      </w:r>
      <w:r w:rsidRPr="00E4265B">
        <w:rPr>
          <w:rFonts w:ascii="Arial" w:hAnsi="Arial" w:cs="Arial"/>
          <w:sz w:val="22"/>
          <w:szCs w:val="22"/>
          <w:lang w:val="en-GB"/>
        </w:rPr>
        <w:t>'s activities and at the level of both the overall portfolio and individual borrowers/Counterparties.</w:t>
      </w:r>
    </w:p>
    <w:p w14:paraId="00A32B20"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The appropriate level at which credit decisions are taken will vary according to the type of credit offered and the size and structure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For some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a credit committee may be </w:t>
      </w:r>
      <w:r w:rsidRPr="00E4265B">
        <w:rPr>
          <w:rFonts w:ascii="Arial" w:hAnsi="Arial" w:cs="Arial"/>
          <w:sz w:val="22"/>
          <w:szCs w:val="22"/>
          <w:lang w:val="en-GB"/>
        </w:rPr>
        <w:lastRenderedPageBreak/>
        <w:t xml:space="preserve">appropriate, with formal terms of reference laid down. In other </w:t>
      </w:r>
      <w:r w:rsidR="000D1A90" w:rsidRPr="00E4265B">
        <w:rPr>
          <w:rFonts w:ascii="Arial" w:hAnsi="Arial" w:cs="Arial"/>
          <w:sz w:val="22"/>
          <w:szCs w:val="22"/>
          <w:lang w:val="en-GB"/>
        </w:rPr>
        <w:t>Authorised Person</w:t>
      </w:r>
      <w:r w:rsidRPr="00E4265B">
        <w:rPr>
          <w:rFonts w:ascii="Arial" w:hAnsi="Arial" w:cs="Arial"/>
          <w:sz w:val="22"/>
          <w:szCs w:val="22"/>
          <w:lang w:val="en-GB"/>
        </w:rPr>
        <w:t>s, individuals may be given pre</w:t>
      </w:r>
      <w:r w:rsidRPr="00E4265B">
        <w:rPr>
          <w:rFonts w:ascii="Arial" w:hAnsi="Arial" w:cs="Arial"/>
          <w:sz w:val="22"/>
          <w:szCs w:val="22"/>
          <w:lang w:val="en-GB"/>
        </w:rPr>
        <w:noBreakHyphen/>
        <w:t>assigned authority limits. It will usually be appropriate for the final credit approval authority to be given by staff reporting independently from those staff interacting with clients.</w:t>
      </w:r>
    </w:p>
    <w:p w14:paraId="0EBA1A6F"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As part of its stress testing programme for Credit Risk measurement,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take into account the realistic recoveries available from security or Collateral under stressed market and macro</w:t>
      </w:r>
      <w:r w:rsidRPr="00E4265B">
        <w:rPr>
          <w:rFonts w:ascii="Arial" w:hAnsi="Arial" w:cs="Arial"/>
          <w:sz w:val="22"/>
          <w:szCs w:val="22"/>
          <w:lang w:val="en-GB"/>
        </w:rPr>
        <w:noBreakHyphen/>
        <w:t>economic conditions.</w:t>
      </w:r>
    </w:p>
    <w:p w14:paraId="1494DA74"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 xml:space="preserve">Rule 4.3.3(3) requires the Governing Body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review the management information reports presented to it by the senior management of that firm and assess the reports in respect of their utility and effectiveness in enabling the Governing Body to effectively discharge their responsibilities towards effective</w:t>
      </w:r>
      <w:r w:rsidR="006D5D0B" w:rsidRPr="00E4265B">
        <w:rPr>
          <w:rFonts w:ascii="Arial" w:hAnsi="Arial" w:cs="Arial"/>
          <w:sz w:val="22"/>
          <w:szCs w:val="22"/>
          <w:lang w:val="en-GB"/>
        </w:rPr>
        <w:t xml:space="preserve"> oversight of the firm and its Credit R</w:t>
      </w:r>
      <w:r w:rsidRPr="00E4265B">
        <w:rPr>
          <w:rFonts w:ascii="Arial" w:hAnsi="Arial" w:cs="Arial"/>
          <w:sz w:val="22"/>
          <w:szCs w:val="22"/>
          <w:lang w:val="en-GB"/>
        </w:rPr>
        <w:t>isk management.</w:t>
      </w:r>
    </w:p>
    <w:p w14:paraId="2D8D5B7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also consider whether it is prudent to set out specific provisioning requirements for any country and transfer risks to which it is exposed.</w:t>
      </w:r>
    </w:p>
    <w:p w14:paraId="22FA4FD5"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77D5707F"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Guidance on country and transfer risk Exposure is set out in Section A4.1 (Credit Risk systems and controls) in App4.</w:t>
      </w:r>
    </w:p>
    <w:p w14:paraId="5249BB56"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Where an </w:t>
      </w:r>
      <w:r w:rsidR="000D1A90" w:rsidRPr="00E4265B">
        <w:rPr>
          <w:rFonts w:ascii="Arial" w:hAnsi="Arial" w:cs="Arial"/>
          <w:sz w:val="22"/>
          <w:szCs w:val="22"/>
        </w:rPr>
        <w:t>Authorised Person</w:t>
      </w:r>
      <w:r w:rsidRPr="00E4265B">
        <w:rPr>
          <w:rFonts w:ascii="Arial" w:hAnsi="Arial" w:cs="Arial"/>
          <w:sz w:val="22"/>
          <w:szCs w:val="22"/>
        </w:rPr>
        <w:t xml:space="preserve"> avails itself of CRM, the </w:t>
      </w:r>
      <w:r w:rsidR="000D1A90" w:rsidRPr="00E4265B">
        <w:rPr>
          <w:rFonts w:ascii="Arial" w:hAnsi="Arial" w:cs="Arial"/>
          <w:sz w:val="22"/>
          <w:szCs w:val="22"/>
        </w:rPr>
        <w:t>Authorised Person</w:t>
      </w:r>
      <w:r w:rsidRPr="00E4265B">
        <w:rPr>
          <w:rFonts w:ascii="Arial" w:hAnsi="Arial" w:cs="Arial"/>
          <w:sz w:val="22"/>
          <w:szCs w:val="22"/>
        </w:rPr>
        <w:t xml:space="preserve"> must have mechanisms in place to regularly assess the net realisable value of such mitigations taking into account prevailing market conditions.</w:t>
      </w:r>
    </w:p>
    <w:p w14:paraId="71A4AE2D"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55BAEFAE"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Section 4.13 sets out the principles and methodologies for CRM recognition in the calculation of Credit RWA.</w:t>
      </w:r>
    </w:p>
    <w:p w14:paraId="7F89BF72"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Further Guidance on Credit Risk systems and controls (including CRM), and on the specific areas which the Credit Risk policy should cover, is set out in Section A4.1.</w:t>
      </w:r>
    </w:p>
    <w:p w14:paraId="6282856D" w14:textId="77777777" w:rsidR="00E22FF2" w:rsidRPr="00E4265B" w:rsidRDefault="00E22FF2" w:rsidP="00246497">
      <w:pPr>
        <w:pStyle w:val="Heading3"/>
        <w:rPr>
          <w:rFonts w:ascii="Arial" w:hAnsi="Arial" w:cs="Arial"/>
          <w:sz w:val="22"/>
          <w:szCs w:val="22"/>
        </w:rPr>
      </w:pPr>
      <w:bookmarkStart w:id="314" w:name="_Toc403223943"/>
      <w:bookmarkStart w:id="315" w:name="_Toc403253981"/>
      <w:bookmarkStart w:id="316" w:name="_Toc403273381"/>
      <w:bookmarkStart w:id="317" w:name="_Toc403273530"/>
      <w:bookmarkStart w:id="318" w:name="_Toc403274489"/>
      <w:bookmarkStart w:id="319" w:name="_Toc403279985"/>
      <w:bookmarkStart w:id="320" w:name="_Toc404285786"/>
      <w:bookmarkStart w:id="321" w:name="_Toc404621735"/>
      <w:bookmarkStart w:id="322" w:name="_Toc404624376"/>
      <w:bookmarkStart w:id="323" w:name="_Toc33622402"/>
      <w:r w:rsidRPr="00E4265B">
        <w:rPr>
          <w:rFonts w:ascii="Arial" w:hAnsi="Arial" w:cs="Arial"/>
          <w:sz w:val="22"/>
          <w:szCs w:val="22"/>
        </w:rPr>
        <w:t>Credit Risk strategy, policy, and procedures manual</w:t>
      </w:r>
      <w:bookmarkEnd w:id="314"/>
      <w:bookmarkEnd w:id="315"/>
      <w:bookmarkEnd w:id="316"/>
      <w:bookmarkEnd w:id="317"/>
      <w:bookmarkEnd w:id="318"/>
      <w:bookmarkEnd w:id="319"/>
      <w:bookmarkEnd w:id="320"/>
      <w:bookmarkEnd w:id="321"/>
      <w:bookmarkEnd w:id="322"/>
      <w:bookmarkEnd w:id="323"/>
    </w:p>
    <w:p w14:paraId="4445A11B"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Credit Risk strategy</w:t>
      </w:r>
    </w:p>
    <w:p w14:paraId="3E4261F9" w14:textId="77777777" w:rsidR="00E22FF2" w:rsidRPr="00E4265B" w:rsidRDefault="00E22FF2" w:rsidP="00AF6EE8">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implement and maintain a Credit Risk strategy, which prescribes its stated degree of risk tolerance, level of capital available for credit activities, business strategy for credit activities and Credit Risk management approach.</w:t>
      </w:r>
    </w:p>
    <w:p w14:paraId="13B56D25"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strategy must be:</w:t>
      </w:r>
    </w:p>
    <w:p w14:paraId="3228D632"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documented;</w:t>
      </w:r>
    </w:p>
    <w:p w14:paraId="63AE0704"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approved by the Governing Body; and</w:t>
      </w:r>
    </w:p>
    <w:p w14:paraId="26500FE7"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regularly reviewed and updated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at periodic intervals and at least annually, as appropriate to the nature, scale and complexity of its activities.</w:t>
      </w:r>
    </w:p>
    <w:p w14:paraId="687ED686"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64F8C911"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Credit Risk strategy should reflect the aim to achieve sound credit quality while at the same time ensuring profit and business growth. Therefore the Credit Risk strategy should address the </w:t>
      </w:r>
      <w:r w:rsidR="000D1A90" w:rsidRPr="00E4265B">
        <w:rPr>
          <w:rFonts w:ascii="Arial" w:hAnsi="Arial" w:cs="Arial"/>
          <w:sz w:val="22"/>
          <w:szCs w:val="22"/>
          <w:lang w:val="en-GB"/>
        </w:rPr>
        <w:t>Authorised Person</w:t>
      </w:r>
      <w:r w:rsidRPr="00E4265B">
        <w:rPr>
          <w:rFonts w:ascii="Arial" w:hAnsi="Arial" w:cs="Arial"/>
          <w:sz w:val="22"/>
          <w:szCs w:val="22"/>
          <w:lang w:val="en-GB"/>
        </w:rPr>
        <w:t>'s approach towards the decision on an acceptable level of risk/reward relationship, after taking into account resource and capital costs.</w:t>
      </w:r>
    </w:p>
    <w:p w14:paraId="37466AB7"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's Credit Risk strategy should allow for economic cycles and their effects on the credit portfolio during different stages of an economic cycle. For example, it should cater for a higher incidence of defaults in personal loan and credit card portfolios in times of economic recession.</w:t>
      </w:r>
    </w:p>
    <w:p w14:paraId="2378CAA5"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Credit Risk policy</w:t>
      </w:r>
    </w:p>
    <w:p w14:paraId="6C02DF73" w14:textId="77777777" w:rsidR="00E22FF2" w:rsidRPr="00E4265B" w:rsidRDefault="00E22FF2" w:rsidP="00AF6EE8">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implement and maintain a Credit Risk policy which prescribes all the essential elements of the Credit Risk management system and associated processes.</w:t>
      </w:r>
    </w:p>
    <w:p w14:paraId="454331DE"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policy must be:</w:t>
      </w:r>
    </w:p>
    <w:p w14:paraId="3DDCEB7D"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documented;</w:t>
      </w:r>
    </w:p>
    <w:p w14:paraId="5F42EC15"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approved by the Governing Body; and</w:t>
      </w:r>
    </w:p>
    <w:p w14:paraId="2567BB05"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regularly reviewed and updated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at periodic intervals and at least annually, as appropriate to the firm's current financial performance, credit market conditions in its main markets and its Capital Resources position as well the firm's nature, scale and complexity of its activities.</w:t>
      </w:r>
    </w:p>
    <w:p w14:paraId="177E7D0B"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Any changes to the Credit Risk policy and how exceptions to the policy will be dealt with must be approved by the Governing Body or an appropriately delegated committee of senior management (such as a credit committee).</w:t>
      </w:r>
    </w:p>
    <w:p w14:paraId="6A8FDABF"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with one or more branches outside the ADGM must implement and maintain Credit Risk policies adapted to each local market and its regulatory conditions.</w:t>
      </w:r>
    </w:p>
    <w:p w14:paraId="2BC7C3BB"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The Credit Risk policy must:</w:t>
      </w:r>
    </w:p>
    <w:p w14:paraId="29AC977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be consistent with the approved Credit Risk strategy, considering a range of factors, including but not limited to an approved degree of risk tolerance, capital allocated to Credit Risk, business strategy and market conditions in its main credit markets;</w:t>
      </w:r>
    </w:p>
    <w:p w14:paraId="5D3B11A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provide sound, well</w:t>
      </w:r>
      <w:r w:rsidRPr="00E4265B">
        <w:rPr>
          <w:rFonts w:ascii="Arial" w:hAnsi="Arial" w:cs="Arial"/>
          <w:sz w:val="22"/>
          <w:szCs w:val="22"/>
        </w:rPr>
        <w:noBreakHyphen/>
        <w:t>defined Credit Risk norms and criteria for approval of credit applications;</w:t>
      </w:r>
    </w:p>
    <w:p w14:paraId="3E21560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clearly specify Exposure limits, product types, business segments, nature of target borrowers and the nature of Credit Risk that the </w:t>
      </w:r>
      <w:r w:rsidR="000D1A90" w:rsidRPr="00E4265B">
        <w:rPr>
          <w:rFonts w:ascii="Arial" w:hAnsi="Arial" w:cs="Arial"/>
          <w:sz w:val="22"/>
          <w:szCs w:val="22"/>
        </w:rPr>
        <w:t>Authorised Person</w:t>
      </w:r>
      <w:r w:rsidRPr="00E4265B">
        <w:rPr>
          <w:rFonts w:ascii="Arial" w:hAnsi="Arial" w:cs="Arial"/>
          <w:sz w:val="22"/>
          <w:szCs w:val="22"/>
        </w:rPr>
        <w:t xml:space="preserve"> wishes to incur;</w:t>
      </w:r>
    </w:p>
    <w:p w14:paraId="1FEE88B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set out, where appropriate, the amounts and terms and conditions under which Counterparties or clients may be eligible or ineligible for credit;</w:t>
      </w:r>
    </w:p>
    <w:p w14:paraId="1CFF881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lastRenderedPageBreak/>
        <w:t>include minimum information that is required to be obtained for processing an application for credit;</w:t>
      </w:r>
    </w:p>
    <w:p w14:paraId="1215536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include well-defined criteria and policies for approving new Exposures as well as renewing and refinancing existing Exposures, identifying the appropriate approval authority for the size and complexity of the Exposures;</w:t>
      </w:r>
    </w:p>
    <w:p w14:paraId="572E010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include effective credit administration policies, including continued analysis of a borrower's ability and willingness to repay under the terms of the debt, monitoring of documentation, legal covenants, contractual requirements and Collateral, and a classification system that is consistent with the nature, size and complexity of the </w:t>
      </w:r>
      <w:r w:rsidR="000D1A90" w:rsidRPr="00E4265B">
        <w:rPr>
          <w:rFonts w:ascii="Arial" w:hAnsi="Arial" w:cs="Arial"/>
          <w:sz w:val="22"/>
          <w:szCs w:val="22"/>
        </w:rPr>
        <w:t>Authorised Person</w:t>
      </w:r>
      <w:r w:rsidRPr="00E4265B">
        <w:rPr>
          <w:rFonts w:ascii="Arial" w:hAnsi="Arial" w:cs="Arial"/>
          <w:sz w:val="22"/>
          <w:szCs w:val="22"/>
        </w:rPr>
        <w:t>'s activities or, at the least, with the asset grading system prescribed in Rule 4.5.4;</w:t>
      </w:r>
    </w:p>
    <w:p w14:paraId="1AE9EBC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include comprehensive policies for reporting Exposures on an on</w:t>
      </w:r>
      <w:r w:rsidRPr="00E4265B">
        <w:rPr>
          <w:rFonts w:ascii="Arial" w:hAnsi="Arial" w:cs="Arial"/>
          <w:sz w:val="22"/>
          <w:szCs w:val="22"/>
        </w:rPr>
        <w:noBreakHyphen/>
        <w:t>going basis;</w:t>
      </w:r>
    </w:p>
    <w:p w14:paraId="1B078F7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include comprehensive policies for identifying and managing problem assets;</w:t>
      </w:r>
    </w:p>
    <w:p w14:paraId="0C1744A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include a provisioning policy approved by the Governing Body which ensures that all loans are promptly and prudently provided for;</w:t>
      </w:r>
    </w:p>
    <w:p w14:paraId="73B0DF7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set out limits and approval processes involved for the approval of credit facilities that can be approved by the delegated authorities, and stipulate that the Governing Body retains responsibility for the governance of such limits;</w:t>
      </w:r>
    </w:p>
    <w:p w14:paraId="637A495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require that major Credit Risk Exposures exceeding a specified amount or at a minimum all Large Exposures of the </w:t>
      </w:r>
      <w:r w:rsidR="000D1A90" w:rsidRPr="00E4265B">
        <w:rPr>
          <w:rFonts w:ascii="Arial" w:hAnsi="Arial" w:cs="Arial"/>
          <w:sz w:val="22"/>
          <w:szCs w:val="22"/>
        </w:rPr>
        <w:t>Authorised Person</w:t>
      </w:r>
      <w:r w:rsidRPr="00E4265B">
        <w:rPr>
          <w:rFonts w:ascii="Arial" w:hAnsi="Arial" w:cs="Arial"/>
          <w:sz w:val="22"/>
          <w:szCs w:val="22"/>
        </w:rPr>
        <w:t xml:space="preserve"> are approved by the </w:t>
      </w:r>
      <w:r w:rsidR="000D1A90" w:rsidRPr="00E4265B">
        <w:rPr>
          <w:rFonts w:ascii="Arial" w:hAnsi="Arial" w:cs="Arial"/>
          <w:sz w:val="22"/>
          <w:szCs w:val="22"/>
        </w:rPr>
        <w:t>Authorised Person</w:t>
      </w:r>
      <w:r w:rsidRPr="00E4265B">
        <w:rPr>
          <w:rFonts w:ascii="Arial" w:hAnsi="Arial" w:cs="Arial"/>
          <w:sz w:val="22"/>
          <w:szCs w:val="22"/>
        </w:rPr>
        <w:t>'s senior management or its designated body like credit committee; and</w:t>
      </w:r>
    </w:p>
    <w:p w14:paraId="655CC94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require that all Credit Risk Exposures that are especially risky or inconsistent with the approved credit strategy of the </w:t>
      </w:r>
      <w:r w:rsidR="000D1A90" w:rsidRPr="00E4265B">
        <w:rPr>
          <w:rFonts w:ascii="Arial" w:hAnsi="Arial" w:cs="Arial"/>
          <w:sz w:val="22"/>
          <w:szCs w:val="22"/>
        </w:rPr>
        <w:t>Authorised Person</w:t>
      </w:r>
      <w:r w:rsidRPr="00E4265B">
        <w:rPr>
          <w:rFonts w:ascii="Arial" w:hAnsi="Arial" w:cs="Arial"/>
          <w:sz w:val="22"/>
          <w:szCs w:val="22"/>
        </w:rPr>
        <w:t xml:space="preserve"> are approved by the </w:t>
      </w:r>
      <w:r w:rsidR="000D1A90" w:rsidRPr="00E4265B">
        <w:rPr>
          <w:rFonts w:ascii="Arial" w:hAnsi="Arial" w:cs="Arial"/>
          <w:sz w:val="22"/>
          <w:szCs w:val="22"/>
        </w:rPr>
        <w:t>Authorised Person</w:t>
      </w:r>
      <w:r w:rsidRPr="00E4265B">
        <w:rPr>
          <w:rFonts w:ascii="Arial" w:hAnsi="Arial" w:cs="Arial"/>
          <w:sz w:val="22"/>
          <w:szCs w:val="22"/>
        </w:rPr>
        <w:t>'s senior management or its designated body such as a credit committee.</w:t>
      </w:r>
    </w:p>
    <w:p w14:paraId="33A187F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In relation to conflicts of interest and Related Person transactions, the policy must: </w:t>
      </w:r>
    </w:p>
    <w:p w14:paraId="56EB231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set out adequate procedures for handling conflicts of interest relating to the provision and management of credit, including measures to prevent any Person directly or indirectly benefiting from the credit being part of the process of granting or managing the credit;</w:t>
      </w:r>
    </w:p>
    <w:p w14:paraId="15AF1BC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subject to Rule 4.4.5, prohibit Exposures to Related Persons on terms that are more favourable than those available to Persons who are not Related Persons; and</w:t>
      </w:r>
    </w:p>
    <w:p w14:paraId="79CA628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if Exposures to Related Persons are allowed on terms which are no more favourable than those available to Persons who are not Related Persons, set out procedures that:</w:t>
      </w:r>
    </w:p>
    <w:p w14:paraId="643209AA"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require such Exposures, and any write</w:t>
      </w:r>
      <w:r w:rsidRPr="00E4265B">
        <w:rPr>
          <w:rFonts w:ascii="Arial" w:hAnsi="Arial" w:cs="Arial"/>
          <w:sz w:val="22"/>
          <w:szCs w:val="22"/>
        </w:rPr>
        <w:noBreakHyphen/>
        <w:t xml:space="preserve">off of such Exposures, exceeding specific amounts or otherwise posing special risks to the </w:t>
      </w:r>
      <w:r w:rsidR="000D1A90" w:rsidRPr="00E4265B">
        <w:rPr>
          <w:rFonts w:ascii="Arial" w:hAnsi="Arial" w:cs="Arial"/>
          <w:sz w:val="22"/>
          <w:szCs w:val="22"/>
        </w:rPr>
        <w:t>Authorised Person</w:t>
      </w:r>
      <w:r w:rsidRPr="00E4265B">
        <w:rPr>
          <w:rFonts w:ascii="Arial" w:hAnsi="Arial" w:cs="Arial"/>
          <w:sz w:val="22"/>
          <w:szCs w:val="22"/>
        </w:rPr>
        <w:t>, to be made subject to the prior written approval of the firm's Governing Body or the Governing Body's delegate; and</w:t>
      </w:r>
    </w:p>
    <w:p w14:paraId="6EA9A316"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lastRenderedPageBreak/>
        <w:t>exclude Persons directly or indirectly benefiting from the grant or write off of such Exposures being part of the approval process.</w:t>
      </w:r>
    </w:p>
    <w:p w14:paraId="7CE2652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The prohibition in Rule 4.4.4(b) does not apply to </w:t>
      </w:r>
      <w:r w:rsidR="008D725A" w:rsidRPr="00E4265B">
        <w:rPr>
          <w:rFonts w:ascii="Arial" w:hAnsi="Arial" w:cs="Arial"/>
          <w:sz w:val="22"/>
          <w:szCs w:val="22"/>
        </w:rPr>
        <w:t>Providing C</w:t>
      </w:r>
      <w:r w:rsidRPr="00E4265B">
        <w:rPr>
          <w:rFonts w:ascii="Arial" w:hAnsi="Arial" w:cs="Arial"/>
          <w:sz w:val="22"/>
          <w:szCs w:val="22"/>
        </w:rPr>
        <w:t>redit to a Related Person under a credit policy on terms (such as for credit assessment, tenor, interest rates, amortisation schedules and requirements for Collateral) that are more favourable than those on which it provides credit to Persons who are not Related Persons, provided the credit policy:</w:t>
      </w:r>
    </w:p>
    <w:p w14:paraId="144F3AD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is an Employee credit policy that is widely available to Employees of the </w:t>
      </w:r>
      <w:r w:rsidR="000D1A90" w:rsidRPr="00E4265B">
        <w:rPr>
          <w:rFonts w:ascii="Arial" w:hAnsi="Arial" w:cs="Arial"/>
          <w:sz w:val="22"/>
          <w:szCs w:val="22"/>
        </w:rPr>
        <w:t>Authorised Person</w:t>
      </w:r>
      <w:r w:rsidRPr="00E4265B">
        <w:rPr>
          <w:rFonts w:ascii="Arial" w:hAnsi="Arial" w:cs="Arial"/>
          <w:sz w:val="22"/>
          <w:szCs w:val="22"/>
        </w:rPr>
        <w:t>;</w:t>
      </w:r>
    </w:p>
    <w:p w14:paraId="3E915AC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is approved by the </w:t>
      </w:r>
      <w:r w:rsidR="000D1A90" w:rsidRPr="00E4265B">
        <w:rPr>
          <w:rFonts w:ascii="Arial" w:hAnsi="Arial" w:cs="Arial"/>
          <w:sz w:val="22"/>
          <w:szCs w:val="22"/>
        </w:rPr>
        <w:t>Authorised Person</w:t>
      </w:r>
      <w:r w:rsidRPr="00E4265B">
        <w:rPr>
          <w:rFonts w:ascii="Arial" w:hAnsi="Arial" w:cs="Arial"/>
          <w:sz w:val="22"/>
          <w:szCs w:val="22"/>
        </w:rPr>
        <w:t>'s Governing Body or the Governing Body's delegate;</w:t>
      </w:r>
    </w:p>
    <w:p w14:paraId="6954EDE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clearly sets out the terms, conditions and limits (both at individual and aggregate levels) on which credit is to be provided to such Employees; and</w:t>
      </w:r>
    </w:p>
    <w:p w14:paraId="7A3837D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requires adequate mechanisms to ensure on</w:t>
      </w:r>
      <w:r w:rsidRPr="00E4265B">
        <w:rPr>
          <w:rFonts w:ascii="Arial" w:hAnsi="Arial" w:cs="Arial"/>
          <w:sz w:val="22"/>
          <w:szCs w:val="22"/>
        </w:rPr>
        <w:noBreakHyphen/>
        <w:t>going compliance with the terms and conditions of that credit policy, including immediate reporting to the Governing Body or the Governing Body's delegate where there is a deviation from or a breach of the terms and conditions or procedures applicable to the provision of such credit for timely and appropriate action.</w:t>
      </w:r>
    </w:p>
    <w:p w14:paraId="59C353C0"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3570D760" w14:textId="61352E85" w:rsidR="00E22FF2" w:rsidRPr="00E4265B" w:rsidRDefault="00E22FF2" w:rsidP="006D4397">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The requirements in these Rules do not prevent arrangements such as Employee loan schemes that allow more favourable and flexible loan terms to Employees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than those available under its normal commercial arrangements. However, such a loan scheme </w:t>
      </w:r>
      <w:r w:rsidR="006D4397" w:rsidRPr="00E4265B">
        <w:rPr>
          <w:rFonts w:ascii="Arial" w:hAnsi="Arial" w:cs="Arial"/>
          <w:sz w:val="22"/>
          <w:szCs w:val="22"/>
          <w:lang w:val="en-GB"/>
        </w:rPr>
        <w:t>must</w:t>
      </w:r>
      <w:r w:rsidRPr="00E4265B">
        <w:rPr>
          <w:rFonts w:ascii="Arial" w:hAnsi="Arial" w:cs="Arial"/>
          <w:sz w:val="22"/>
          <w:szCs w:val="22"/>
          <w:lang w:val="en-GB"/>
        </w:rPr>
        <w:t xml:space="preserve"> comply with the requirements set out in these Rules, which are designed to address conflicts of interest that may arise in the grant, approval or management of such loans. Such conflicts are especially likely to arise where one or more of the Employees concerned are Directors, Partners or senior managers.</w:t>
      </w:r>
    </w:p>
    <w:p w14:paraId="4503438F" w14:textId="77777777" w:rsidR="00E22FF2" w:rsidRPr="00E4265B" w:rsidRDefault="00E22FF2" w:rsidP="008F5C01">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Generally, 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an Employee loan scheme under these Rules, the Regulator expects its Governing Body to have ensured, before it or its delegate approved that scheme, that the terms, conditions and particularly limits (both at individual and aggregate level) on which credit is to be provided to Employees under the scheme are adequate and effective in addressing the risks arising from such lending.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also be able to demonstrate to the Regulator that the procedures it has adopted relating to an Employee loan scheme are adequate to address any risks arising from such lending. The Regulator expects to have access to records relating to lending under an Employee loan scheme upon request or during its supervisory visits. Any significant breach of or deviation from the procedures adopted in relation to an Employee loan scheme may also trigger the reporting requirements to the Regulator under GEN.</w:t>
      </w:r>
    </w:p>
    <w:p w14:paraId="29439BF1"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For the purposes of the Rules in this Chapter, a Person is a "Related Person" of an </w:t>
      </w:r>
      <w:r w:rsidR="000D1A90" w:rsidRPr="00E4265B">
        <w:rPr>
          <w:rFonts w:ascii="Arial" w:hAnsi="Arial" w:cs="Arial"/>
          <w:sz w:val="22"/>
          <w:szCs w:val="22"/>
        </w:rPr>
        <w:t>Authorised Person</w:t>
      </w:r>
      <w:r w:rsidRPr="00E4265B">
        <w:rPr>
          <w:rFonts w:ascii="Arial" w:hAnsi="Arial" w:cs="Arial"/>
          <w:sz w:val="22"/>
          <w:szCs w:val="22"/>
        </w:rPr>
        <w:t xml:space="preserve"> if the Person:</w:t>
      </w:r>
    </w:p>
    <w:p w14:paraId="21C241F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is, or was in the past two years:</w:t>
      </w:r>
    </w:p>
    <w:p w14:paraId="3469A3A2"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lastRenderedPageBreak/>
        <w:t xml:space="preserve">a member of a Group or Partnership in which the </w:t>
      </w:r>
      <w:r w:rsidR="000D1A90" w:rsidRPr="00E4265B">
        <w:rPr>
          <w:rFonts w:ascii="Arial" w:hAnsi="Arial" w:cs="Arial"/>
          <w:sz w:val="22"/>
          <w:szCs w:val="22"/>
        </w:rPr>
        <w:t>Authorised Person</w:t>
      </w:r>
      <w:r w:rsidRPr="00E4265B">
        <w:rPr>
          <w:rFonts w:ascii="Arial" w:hAnsi="Arial" w:cs="Arial"/>
          <w:sz w:val="22"/>
          <w:szCs w:val="22"/>
        </w:rPr>
        <w:t xml:space="preserve"> is or was also a member; or</w:t>
      </w:r>
    </w:p>
    <w:p w14:paraId="53B73DD7"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 xml:space="preserve">a Controller of the </w:t>
      </w:r>
      <w:r w:rsidR="000D1A90" w:rsidRPr="00E4265B">
        <w:rPr>
          <w:rFonts w:ascii="Arial" w:hAnsi="Arial" w:cs="Arial"/>
          <w:sz w:val="22"/>
          <w:szCs w:val="22"/>
        </w:rPr>
        <w:t>Authorised Person</w:t>
      </w:r>
      <w:r w:rsidRPr="00E4265B">
        <w:rPr>
          <w:rFonts w:ascii="Arial" w:hAnsi="Arial" w:cs="Arial"/>
          <w:sz w:val="22"/>
          <w:szCs w:val="22"/>
        </w:rPr>
        <w:t xml:space="preserve"> or a Close Relative of such a Controller;</w:t>
      </w:r>
    </w:p>
    <w:p w14:paraId="37CC3F9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is, or was in the past two years, a Director, Partner or senior manager of the </w:t>
      </w:r>
      <w:r w:rsidR="000D1A90" w:rsidRPr="00E4265B">
        <w:rPr>
          <w:rFonts w:ascii="Arial" w:hAnsi="Arial" w:cs="Arial"/>
          <w:sz w:val="22"/>
          <w:szCs w:val="22"/>
        </w:rPr>
        <w:t>Authorised Person</w:t>
      </w:r>
      <w:r w:rsidRPr="00E4265B">
        <w:rPr>
          <w:rFonts w:ascii="Arial" w:hAnsi="Arial" w:cs="Arial"/>
          <w:sz w:val="22"/>
          <w:szCs w:val="22"/>
        </w:rPr>
        <w:t xml:space="preserve"> or an entity referred to under (a)(i) or (ii), or a Close Relative of such a Director, Partner or senior manager; or</w:t>
      </w:r>
    </w:p>
    <w:p w14:paraId="31B05F9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is an entity in which a Director, Partner or senior manager of the </w:t>
      </w:r>
      <w:r w:rsidR="000D1A90" w:rsidRPr="00E4265B">
        <w:rPr>
          <w:rFonts w:ascii="Arial" w:hAnsi="Arial" w:cs="Arial"/>
          <w:sz w:val="22"/>
          <w:szCs w:val="22"/>
        </w:rPr>
        <w:t>Authorised Person</w:t>
      </w:r>
      <w:r w:rsidRPr="00E4265B">
        <w:rPr>
          <w:rFonts w:ascii="Arial" w:hAnsi="Arial" w:cs="Arial"/>
          <w:sz w:val="22"/>
          <w:szCs w:val="22"/>
        </w:rPr>
        <w:t xml:space="preserve"> or an entity referred to in (a)(i) or (a)(ii), or a Close Relative of such a Director, Partner or senior manager has a significant interest by:</w:t>
      </w:r>
    </w:p>
    <w:p w14:paraId="564F241A"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holding 20% or more of the </w:t>
      </w:r>
      <w:r w:rsidR="00202EF6" w:rsidRPr="00E4265B">
        <w:rPr>
          <w:rFonts w:ascii="Arial" w:hAnsi="Arial" w:cs="Arial"/>
          <w:sz w:val="22"/>
          <w:szCs w:val="22"/>
        </w:rPr>
        <w:t>Share</w:t>
      </w:r>
      <w:r w:rsidRPr="00E4265B">
        <w:rPr>
          <w:rFonts w:ascii="Arial" w:hAnsi="Arial" w:cs="Arial"/>
          <w:sz w:val="22"/>
          <w:szCs w:val="22"/>
        </w:rPr>
        <w:t>s of that entity, or a Parent of that entity, if that entity is a company; or</w:t>
      </w:r>
    </w:p>
    <w:p w14:paraId="3528DEE6"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being entitled to exercise 20% or more of the voting rights in respect of that entity</w:t>
      </w:r>
      <w:r w:rsidR="00B32214" w:rsidRPr="00E4265B">
        <w:rPr>
          <w:rFonts w:ascii="Arial" w:hAnsi="Arial" w:cs="Arial"/>
          <w:sz w:val="22"/>
          <w:szCs w:val="22"/>
        </w:rPr>
        <w:t>,</w:t>
      </w:r>
    </w:p>
    <w:p w14:paraId="7BFBF524" w14:textId="77777777" w:rsidR="00E22FF2" w:rsidRPr="00E4265B" w:rsidRDefault="00E22FF2" w:rsidP="00134903">
      <w:pPr>
        <w:pStyle w:val="UK12Block10"/>
        <w:rPr>
          <w:rFonts w:ascii="Arial" w:hAnsi="Arial" w:cs="Arial"/>
          <w:sz w:val="22"/>
          <w:szCs w:val="22"/>
          <w:lang w:val="en-GB"/>
        </w:rPr>
      </w:pPr>
      <w:r w:rsidRPr="00E4265B">
        <w:rPr>
          <w:rFonts w:ascii="Arial" w:hAnsi="Arial" w:cs="Arial"/>
          <w:sz w:val="22"/>
          <w:szCs w:val="22"/>
          <w:lang w:val="en-GB"/>
        </w:rPr>
        <w:t xml:space="preserve">except that a Partner is not a Related Person where that Person is a limited </w:t>
      </w:r>
      <w:r w:rsidR="00BC49E0" w:rsidRPr="00E4265B">
        <w:rPr>
          <w:rFonts w:ascii="Arial" w:hAnsi="Arial" w:cs="Arial"/>
          <w:sz w:val="22"/>
          <w:szCs w:val="22"/>
          <w:lang w:val="en-GB"/>
        </w:rPr>
        <w:t>Partner</w:t>
      </w:r>
      <w:r w:rsidRPr="00E4265B">
        <w:rPr>
          <w:rFonts w:ascii="Arial" w:hAnsi="Arial" w:cs="Arial"/>
          <w:sz w:val="22"/>
          <w:szCs w:val="22"/>
          <w:lang w:val="en-GB"/>
        </w:rPr>
        <w:t xml:space="preserve"> of a Limited Partnership formed under the Limited Partnerships Act or any similar limited </w:t>
      </w:r>
      <w:r w:rsidR="00BC49E0" w:rsidRPr="00E4265B">
        <w:rPr>
          <w:rFonts w:ascii="Arial" w:hAnsi="Arial" w:cs="Arial"/>
          <w:sz w:val="22"/>
          <w:szCs w:val="22"/>
          <w:lang w:val="en-GB"/>
        </w:rPr>
        <w:t>Partner</w:t>
      </w:r>
      <w:r w:rsidRPr="00E4265B">
        <w:rPr>
          <w:rFonts w:ascii="Arial" w:hAnsi="Arial" w:cs="Arial"/>
          <w:sz w:val="22"/>
          <w:szCs w:val="22"/>
          <w:lang w:val="en-GB"/>
        </w:rPr>
        <w:t>ship constituted under the law of a country or territory outside the ADGM.</w:t>
      </w:r>
    </w:p>
    <w:p w14:paraId="0BF8733F"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Credit procedures manual</w:t>
      </w:r>
    </w:p>
    <w:p w14:paraId="5569F37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implement and maintain a documented credit procedures manual, which sets out the criteria and procedures for granting new credits, for approving extensions of existing credits and exceptions, for conducting periodic and independent reviews of credits granted and for maintaining the records for credits granted.</w:t>
      </w:r>
    </w:p>
    <w:p w14:paraId="5CAD927D"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The credit procedures manual must establish:</w:t>
      </w:r>
    </w:p>
    <w:p w14:paraId="09D9AE1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sound, well</w:t>
      </w:r>
      <w:r w:rsidRPr="00E4265B">
        <w:rPr>
          <w:rFonts w:ascii="Arial" w:hAnsi="Arial" w:cs="Arial"/>
          <w:sz w:val="22"/>
          <w:szCs w:val="22"/>
        </w:rPr>
        <w:noBreakHyphen/>
        <w:t>defined criteria for granting credit, including a thorough understanding of the borrower or Counterparty, the purpose and structure of the credit and its source of repayment;</w:t>
      </w:r>
    </w:p>
    <w:p w14:paraId="7EF8525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well-defined processes for approving new Exposures as well as renewing and refinancing existing Exposures;</w:t>
      </w:r>
    </w:p>
    <w:p w14:paraId="177ABC7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effective credit administration processes, including continued analysis of a borrower's ability and willingness to repay under the terms of the debt, monitoring of documentation, legal covenants, contractual requirements and Collateral;</w:t>
      </w:r>
    </w:p>
    <w:p w14:paraId="5A9D601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effective processes for classification and grading of credit assets consistent with the nature, size and complexity of the </w:t>
      </w:r>
      <w:r w:rsidR="000D1A90" w:rsidRPr="00E4265B">
        <w:rPr>
          <w:rFonts w:ascii="Arial" w:hAnsi="Arial" w:cs="Arial"/>
          <w:sz w:val="22"/>
          <w:szCs w:val="22"/>
        </w:rPr>
        <w:t>Authorised Person</w:t>
      </w:r>
      <w:r w:rsidRPr="00E4265B">
        <w:rPr>
          <w:rFonts w:ascii="Arial" w:hAnsi="Arial" w:cs="Arial"/>
          <w:sz w:val="22"/>
          <w:szCs w:val="22"/>
        </w:rPr>
        <w:t>'s activities;</w:t>
      </w:r>
    </w:p>
    <w:p w14:paraId="627B84E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comprehensive processes for reporting Exposures on an ongoing basis; and</w:t>
      </w:r>
    </w:p>
    <w:p w14:paraId="37A58C9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comprehensive processes for identifying problem assets, managing problem assets, monitoring their collections and for estimating</w:t>
      </w:r>
      <w:r w:rsidR="00B32214" w:rsidRPr="00E4265B">
        <w:rPr>
          <w:rFonts w:ascii="Arial" w:hAnsi="Arial" w:cs="Arial"/>
          <w:sz w:val="22"/>
          <w:szCs w:val="22"/>
        </w:rPr>
        <w:t xml:space="preserve"> the</w:t>
      </w:r>
      <w:r w:rsidRPr="00E4265B">
        <w:rPr>
          <w:rFonts w:ascii="Arial" w:hAnsi="Arial" w:cs="Arial"/>
          <w:sz w:val="22"/>
          <w:szCs w:val="22"/>
        </w:rPr>
        <w:t xml:space="preserve"> required level of provisions.</w:t>
      </w:r>
    </w:p>
    <w:p w14:paraId="65108447"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45AF93CD"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 xml:space="preserve">The same criteria should be applied to both advised and unadvised facilities and should deal with all Credit Risks associated with the </w:t>
      </w:r>
      <w:r w:rsidR="000D1A90" w:rsidRPr="00E4265B">
        <w:rPr>
          <w:rFonts w:ascii="Arial" w:hAnsi="Arial" w:cs="Arial"/>
          <w:sz w:val="22"/>
          <w:szCs w:val="22"/>
          <w:lang w:val="en-GB"/>
        </w:rPr>
        <w:t>Authorised Person</w:t>
      </w:r>
      <w:r w:rsidRPr="00E4265B">
        <w:rPr>
          <w:rFonts w:ascii="Arial" w:hAnsi="Arial" w:cs="Arial"/>
          <w:sz w:val="22"/>
          <w:szCs w:val="22"/>
          <w:lang w:val="en-GB"/>
        </w:rPr>
        <w:t>'s business whether in the Non</w:t>
      </w:r>
      <w:r w:rsidRPr="00E4265B">
        <w:rPr>
          <w:rFonts w:ascii="Arial" w:hAnsi="Arial" w:cs="Arial"/>
          <w:sz w:val="22"/>
          <w:szCs w:val="22"/>
          <w:lang w:val="en-GB"/>
        </w:rPr>
        <w:noBreakHyphen/>
        <w:t>Trading or Trading Book or on or off balance sheet.</w:t>
      </w:r>
    </w:p>
    <w:p w14:paraId="7BC5EA8C" w14:textId="77777777" w:rsidR="00E22FF2" w:rsidRPr="00E4265B" w:rsidRDefault="00E22FF2" w:rsidP="00246497">
      <w:pPr>
        <w:pStyle w:val="Heading3"/>
        <w:rPr>
          <w:rFonts w:ascii="Arial" w:hAnsi="Arial" w:cs="Arial"/>
          <w:sz w:val="22"/>
          <w:szCs w:val="22"/>
        </w:rPr>
      </w:pPr>
      <w:bookmarkStart w:id="324" w:name="_Toc403223944"/>
      <w:bookmarkStart w:id="325" w:name="_Toc403253982"/>
      <w:bookmarkStart w:id="326" w:name="_Toc403273382"/>
      <w:bookmarkStart w:id="327" w:name="_Toc403273531"/>
      <w:bookmarkStart w:id="328" w:name="_Toc403274490"/>
      <w:bookmarkStart w:id="329" w:name="_Toc403279986"/>
      <w:bookmarkStart w:id="330" w:name="_Toc404285787"/>
      <w:bookmarkStart w:id="331" w:name="_Toc404621736"/>
      <w:bookmarkStart w:id="332" w:name="_Toc404624377"/>
      <w:bookmarkStart w:id="333" w:name="_Toc33622403"/>
      <w:r w:rsidRPr="00E4265B">
        <w:rPr>
          <w:rFonts w:ascii="Arial" w:hAnsi="Arial" w:cs="Arial"/>
          <w:sz w:val="22"/>
          <w:szCs w:val="22"/>
        </w:rPr>
        <w:t>Processes for credit assessment</w:t>
      </w:r>
      <w:bookmarkEnd w:id="324"/>
      <w:bookmarkEnd w:id="325"/>
      <w:bookmarkEnd w:id="326"/>
      <w:bookmarkEnd w:id="327"/>
      <w:bookmarkEnd w:id="328"/>
      <w:bookmarkEnd w:id="329"/>
      <w:bookmarkEnd w:id="330"/>
      <w:bookmarkEnd w:id="331"/>
      <w:bookmarkEnd w:id="332"/>
      <w:bookmarkEnd w:id="333"/>
    </w:p>
    <w:p w14:paraId="72C3FD35" w14:textId="77777777" w:rsidR="00E22FF2" w:rsidRPr="00E4265B" w:rsidRDefault="00E22FF2" w:rsidP="00AF6EE8">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When utilising external credit rating agencies as part of its credit assessment processes, an </w:t>
      </w:r>
      <w:r w:rsidR="000D1A90" w:rsidRPr="00E4265B">
        <w:rPr>
          <w:rFonts w:ascii="Arial" w:hAnsi="Arial" w:cs="Arial"/>
          <w:sz w:val="22"/>
          <w:szCs w:val="22"/>
        </w:rPr>
        <w:t>Authorised Person</w:t>
      </w:r>
      <w:r w:rsidRPr="00E4265B">
        <w:rPr>
          <w:rFonts w:ascii="Arial" w:hAnsi="Arial" w:cs="Arial"/>
          <w:sz w:val="22"/>
          <w:szCs w:val="22"/>
        </w:rPr>
        <w:t xml:space="preserve"> must:</w:t>
      </w:r>
    </w:p>
    <w:p w14:paraId="63D5E04C"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maintain an internal credit grading system; and</w:t>
      </w:r>
    </w:p>
    <w:p w14:paraId="1F0AC22A"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stress test its capital position on at least an annual basis to consider the capital implications to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of a significant reduction in the credit quality and associated reduction on credit ratings from credit rating agencies for its credit portfolio.</w:t>
      </w:r>
    </w:p>
    <w:p w14:paraId="7AC79714"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not solely use external credit rating agency credit ratings as a basis for its assessment of the risks associated with an Exposure, in particular in respect of a Large Exposure, and must at all times conduct its own credit assessment of such an Exposure.</w:t>
      </w:r>
    </w:p>
    <w:p w14:paraId="55FBC197"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363EAA47"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closely monitor the adequacy of the internal credit assessment processes, in order to assess whether there is an upward bias in internal ratings.</w:t>
      </w:r>
    </w:p>
    <w:p w14:paraId="1D17394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implement and maintain appropriate policies, processes, systems and controls to:</w:t>
      </w:r>
    </w:p>
    <w:p w14:paraId="1EFCA68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administer its credit portfolios, including keeping the credit files current, getting up</w:t>
      </w:r>
      <w:r w:rsidRPr="00E4265B">
        <w:rPr>
          <w:rFonts w:ascii="Arial" w:hAnsi="Arial" w:cs="Arial"/>
          <w:sz w:val="22"/>
          <w:szCs w:val="22"/>
        </w:rPr>
        <w:noBreakHyphen/>
        <w:t>to</w:t>
      </w:r>
      <w:r w:rsidRPr="00E4265B">
        <w:rPr>
          <w:rFonts w:ascii="Arial" w:hAnsi="Arial" w:cs="Arial"/>
          <w:sz w:val="22"/>
          <w:szCs w:val="22"/>
        </w:rPr>
        <w:noBreakHyphen/>
        <w:t>date financial information on borrowers and other Counterparties, funds transfer, and electronic storage of important documents;</w:t>
      </w:r>
    </w:p>
    <w:p w14:paraId="5D8CF45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ensure that the valuations of Credit Risk mitigants employed by the </w:t>
      </w:r>
      <w:r w:rsidR="000D1A90" w:rsidRPr="00E4265B">
        <w:rPr>
          <w:rFonts w:ascii="Arial" w:hAnsi="Arial" w:cs="Arial"/>
          <w:sz w:val="22"/>
          <w:szCs w:val="22"/>
        </w:rPr>
        <w:t>Authorised Person</w:t>
      </w:r>
      <w:r w:rsidRPr="00E4265B">
        <w:rPr>
          <w:rFonts w:ascii="Arial" w:hAnsi="Arial" w:cs="Arial"/>
          <w:sz w:val="22"/>
          <w:szCs w:val="22"/>
        </w:rPr>
        <w:t xml:space="preserve"> are up</w:t>
      </w:r>
      <w:r w:rsidRPr="00E4265B">
        <w:rPr>
          <w:rFonts w:ascii="Arial" w:hAnsi="Arial" w:cs="Arial"/>
          <w:sz w:val="22"/>
          <w:szCs w:val="22"/>
        </w:rPr>
        <w:noBreakHyphen/>
        <w:t>to</w:t>
      </w:r>
      <w:r w:rsidRPr="00E4265B">
        <w:rPr>
          <w:rFonts w:ascii="Arial" w:hAnsi="Arial" w:cs="Arial"/>
          <w:sz w:val="22"/>
          <w:szCs w:val="22"/>
        </w:rPr>
        <w:noBreakHyphen/>
        <w:t>date, including periodic assessment of Credit Risk mitigants such as guarantees and Collateral;</w:t>
      </w:r>
    </w:p>
    <w:p w14:paraId="0387688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review all material concentrations in its credit portfolio and report the findings of such reviews to the Governing Body; and</w:t>
      </w:r>
    </w:p>
    <w:p w14:paraId="7CC1ED9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measure Credit Risk (including to measure Credit Risk of off</w:t>
      </w:r>
      <w:r w:rsidRPr="00E4265B">
        <w:rPr>
          <w:rFonts w:ascii="Arial" w:hAnsi="Arial" w:cs="Arial"/>
          <w:sz w:val="22"/>
          <w:szCs w:val="22"/>
        </w:rPr>
        <w:noBreakHyphen/>
        <w:t>balance sheet products such as Derivatives in credit equivalent terms) and monitor the condition of individual credits to facilitate identification of problem credits and to determine the adequacy of provisions and reserves.</w:t>
      </w:r>
    </w:p>
    <w:p w14:paraId="36C49EE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The Credit Risk management system and, in particular, the systems, policies and processes aimed at classification of credits, monitoring and identification of problem credits, management of problem credits and provisioning for them must include all the on</w:t>
      </w:r>
      <w:r w:rsidRPr="00E4265B">
        <w:rPr>
          <w:rFonts w:ascii="Arial" w:hAnsi="Arial" w:cs="Arial"/>
          <w:sz w:val="22"/>
          <w:szCs w:val="22"/>
        </w:rPr>
        <w:noBreakHyphen/>
        <w:t>balance sheet and off</w:t>
      </w:r>
      <w:r w:rsidRPr="00E4265B">
        <w:rPr>
          <w:rFonts w:ascii="Arial" w:hAnsi="Arial" w:cs="Arial"/>
          <w:sz w:val="22"/>
          <w:szCs w:val="22"/>
        </w:rPr>
        <w:noBreakHyphen/>
        <w:t xml:space="preserve">balance sheet credit Exposures of the </w:t>
      </w:r>
      <w:r w:rsidR="000D1A90" w:rsidRPr="00E4265B">
        <w:rPr>
          <w:rFonts w:ascii="Arial" w:hAnsi="Arial" w:cs="Arial"/>
          <w:sz w:val="22"/>
          <w:szCs w:val="22"/>
        </w:rPr>
        <w:t>Authorised Person</w:t>
      </w:r>
      <w:r w:rsidRPr="00E4265B">
        <w:rPr>
          <w:rFonts w:ascii="Arial" w:hAnsi="Arial" w:cs="Arial"/>
          <w:sz w:val="22"/>
          <w:szCs w:val="22"/>
        </w:rPr>
        <w:t>.</w:t>
      </w:r>
    </w:p>
    <w:p w14:paraId="30121203"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4049D91A"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ensure that its loan portfolio is properly classified and has an effective early</w:t>
      </w:r>
      <w:r w:rsidRPr="00E4265B">
        <w:rPr>
          <w:rFonts w:ascii="Arial" w:hAnsi="Arial" w:cs="Arial"/>
          <w:sz w:val="22"/>
          <w:szCs w:val="22"/>
          <w:lang w:val="en-GB"/>
        </w:rPr>
        <w:noBreakHyphen/>
        <w:t>warning system for problem loans.</w:t>
      </w:r>
    </w:p>
    <w:p w14:paraId="6C1A9661" w14:textId="77777777" w:rsidR="00E22FF2" w:rsidRPr="00E4265B" w:rsidRDefault="00E22FF2" w:rsidP="00934C9D">
      <w:pPr>
        <w:pStyle w:val="Heading4"/>
        <w:tabs>
          <w:tab w:val="clear" w:pos="936"/>
          <w:tab w:val="num" w:pos="900"/>
        </w:tabs>
        <w:ind w:left="1800" w:hanging="180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establish clearly defined criteria for identifying its problem credits and/or impaired assets which ensure that credits are classified as impaired in all cases where there is some reason to believe that all amounts due (including principal and interest) will, or may, not be collected in accordance with the contractual terms of the loan agreement.</w:t>
      </w:r>
    </w:p>
    <w:p w14:paraId="53080292" w14:textId="15E7307E" w:rsidR="00207963"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For the purpose of (1), and subject to (3),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categorise its credits into five categories as detailed in the following table, where credits in the substandard, doubtful and loss categories must be considered as problem credits:</w:t>
      </w:r>
    </w:p>
    <w:tbl>
      <w:tblPr>
        <w:tblStyle w:val="TableGrid"/>
        <w:tblW w:w="0" w:type="auto"/>
        <w:tblInd w:w="1908" w:type="dxa"/>
        <w:tblLook w:val="04A0" w:firstRow="1" w:lastRow="0" w:firstColumn="1" w:lastColumn="0" w:noHBand="0" w:noVBand="1"/>
      </w:tblPr>
      <w:tblGrid>
        <w:gridCol w:w="2713"/>
        <w:gridCol w:w="4396"/>
      </w:tblGrid>
      <w:tr w:rsidR="00E22FF2" w:rsidRPr="00E4265B" w14:paraId="2F751F8F" w14:textId="77777777" w:rsidTr="00DA395E">
        <w:tc>
          <w:tcPr>
            <w:tcW w:w="2713" w:type="dxa"/>
            <w:shd w:val="clear" w:color="auto" w:fill="D9D9D9" w:themeFill="background1" w:themeFillShade="D9"/>
            <w:noWrap/>
          </w:tcPr>
          <w:p w14:paraId="75577447" w14:textId="24B62ADA" w:rsidR="00E22FF2" w:rsidRPr="00E4265B" w:rsidRDefault="00325A37" w:rsidP="00820AD0">
            <w:pPr>
              <w:rPr>
                <w:rFonts w:ascii="Arial" w:hAnsi="Arial" w:cs="Arial"/>
                <w:b/>
                <w:bCs/>
                <w:sz w:val="22"/>
                <w:szCs w:val="22"/>
                <w:lang w:val="en-GB"/>
              </w:rPr>
            </w:pPr>
            <w:r w:rsidRPr="00E4265B">
              <w:rPr>
                <w:rFonts w:ascii="Arial" w:hAnsi="Arial" w:cs="Arial"/>
                <w:b/>
                <w:bCs/>
                <w:sz w:val="22"/>
                <w:szCs w:val="22"/>
                <w:lang w:val="en-GB"/>
              </w:rPr>
              <w:t>Category</w:t>
            </w:r>
          </w:p>
        </w:tc>
        <w:tc>
          <w:tcPr>
            <w:tcW w:w="4396" w:type="dxa"/>
            <w:shd w:val="clear" w:color="auto" w:fill="D9D9D9" w:themeFill="background1" w:themeFillShade="D9"/>
            <w:noWrap/>
          </w:tcPr>
          <w:p w14:paraId="3714AE72" w14:textId="7B96A2D7" w:rsidR="00E22FF2" w:rsidRPr="00E4265B" w:rsidRDefault="00325A37" w:rsidP="00BE270B">
            <w:pPr>
              <w:jc w:val="both"/>
              <w:rPr>
                <w:rFonts w:ascii="Arial" w:hAnsi="Arial" w:cs="Arial"/>
                <w:b/>
                <w:bCs/>
                <w:sz w:val="22"/>
                <w:szCs w:val="22"/>
                <w:lang w:val="en-GB"/>
              </w:rPr>
            </w:pPr>
            <w:r w:rsidRPr="00E4265B">
              <w:rPr>
                <w:rFonts w:ascii="Arial" w:hAnsi="Arial" w:cs="Arial"/>
                <w:b/>
                <w:bCs/>
                <w:sz w:val="22"/>
                <w:szCs w:val="22"/>
                <w:lang w:val="en-GB"/>
              </w:rPr>
              <w:t>Criteria</w:t>
            </w:r>
          </w:p>
        </w:tc>
      </w:tr>
      <w:tr w:rsidR="00325A37" w:rsidRPr="00E4265B" w14:paraId="4940B521" w14:textId="77777777" w:rsidTr="00DA395E">
        <w:tc>
          <w:tcPr>
            <w:tcW w:w="2713" w:type="dxa"/>
            <w:noWrap/>
          </w:tcPr>
          <w:p w14:paraId="200CFCD1" w14:textId="681CE3AC" w:rsidR="00325A37" w:rsidRPr="00E4265B" w:rsidRDefault="00325A37" w:rsidP="00325A37">
            <w:pPr>
              <w:rPr>
                <w:rFonts w:ascii="Arial" w:hAnsi="Arial" w:cs="Arial"/>
                <w:sz w:val="22"/>
                <w:szCs w:val="22"/>
                <w:lang w:val="en-GB"/>
              </w:rPr>
            </w:pPr>
            <w:r w:rsidRPr="00E4265B">
              <w:rPr>
                <w:rFonts w:ascii="Arial" w:hAnsi="Arial" w:cs="Arial"/>
                <w:sz w:val="22"/>
                <w:szCs w:val="22"/>
                <w:lang w:val="en-GB"/>
              </w:rPr>
              <w:t>Standard</w:t>
            </w:r>
          </w:p>
        </w:tc>
        <w:tc>
          <w:tcPr>
            <w:tcW w:w="4396" w:type="dxa"/>
            <w:noWrap/>
          </w:tcPr>
          <w:p w14:paraId="2D4B9FDD" w14:textId="2CC098C3" w:rsidR="00325A37" w:rsidRPr="00E4265B" w:rsidRDefault="00325A37" w:rsidP="00325A37">
            <w:pPr>
              <w:jc w:val="both"/>
              <w:rPr>
                <w:rFonts w:ascii="Arial" w:hAnsi="Arial" w:cs="Arial"/>
                <w:sz w:val="22"/>
                <w:szCs w:val="22"/>
                <w:lang w:val="en-GB"/>
              </w:rPr>
            </w:pPr>
            <w:r w:rsidRPr="00E4265B">
              <w:rPr>
                <w:rFonts w:ascii="Arial" w:hAnsi="Arial" w:cs="Arial"/>
                <w:sz w:val="22"/>
                <w:szCs w:val="22"/>
                <w:lang w:val="en-GB"/>
              </w:rPr>
              <w:t>Includes credits with no element of uncertainty about timely repayment of the outstanding amounts, including principal and interest. Credits are currently in regular payment status with prompt payments.</w:t>
            </w:r>
          </w:p>
        </w:tc>
      </w:tr>
      <w:tr w:rsidR="00325A37" w:rsidRPr="00E4265B" w14:paraId="0E7CEE76" w14:textId="77777777" w:rsidTr="00DA395E">
        <w:tc>
          <w:tcPr>
            <w:tcW w:w="2713" w:type="dxa"/>
            <w:noWrap/>
          </w:tcPr>
          <w:p w14:paraId="3B488A1D" w14:textId="77777777" w:rsidR="00325A37" w:rsidRPr="00E4265B" w:rsidRDefault="00325A37" w:rsidP="00325A37">
            <w:pPr>
              <w:rPr>
                <w:rFonts w:ascii="Arial" w:hAnsi="Arial" w:cs="Arial"/>
                <w:sz w:val="22"/>
                <w:szCs w:val="22"/>
                <w:lang w:val="en-GB"/>
              </w:rPr>
            </w:pPr>
            <w:r w:rsidRPr="00E4265B">
              <w:rPr>
                <w:rFonts w:ascii="Arial" w:hAnsi="Arial" w:cs="Arial"/>
                <w:sz w:val="22"/>
                <w:szCs w:val="22"/>
                <w:lang w:val="en-GB"/>
              </w:rPr>
              <w:t>Special mention</w:t>
            </w:r>
          </w:p>
        </w:tc>
        <w:tc>
          <w:tcPr>
            <w:tcW w:w="4396" w:type="dxa"/>
            <w:noWrap/>
          </w:tcPr>
          <w:p w14:paraId="68E75A37" w14:textId="6E88C08F" w:rsidR="00325A37" w:rsidRPr="00E4265B" w:rsidRDefault="00325A37" w:rsidP="00325A37">
            <w:pPr>
              <w:jc w:val="both"/>
              <w:rPr>
                <w:rFonts w:ascii="Arial" w:hAnsi="Arial" w:cs="Arial"/>
                <w:sz w:val="22"/>
                <w:szCs w:val="22"/>
                <w:lang w:val="en-GB"/>
              </w:rPr>
            </w:pPr>
            <w:r w:rsidRPr="00E4265B">
              <w:rPr>
                <w:rFonts w:ascii="Arial" w:hAnsi="Arial" w:cs="Arial"/>
                <w:sz w:val="22"/>
                <w:szCs w:val="22"/>
                <w:lang w:val="en-GB"/>
              </w:rPr>
              <w:t>Includes credits with deteriorating or potentially deteriorating credit quality which, may adversely affect the borrower's ability to make scheduled payments on time. The credits in this category warrant close attention by the Authorised Person.</w:t>
            </w:r>
          </w:p>
        </w:tc>
      </w:tr>
      <w:tr w:rsidR="00325A37" w:rsidRPr="00E4265B" w14:paraId="19246FDB" w14:textId="77777777" w:rsidTr="00DA395E">
        <w:tc>
          <w:tcPr>
            <w:tcW w:w="2713" w:type="dxa"/>
            <w:noWrap/>
          </w:tcPr>
          <w:p w14:paraId="69D4EFB8" w14:textId="77777777" w:rsidR="00325A37" w:rsidRPr="00E4265B" w:rsidRDefault="00325A37" w:rsidP="00325A37">
            <w:pPr>
              <w:rPr>
                <w:rFonts w:ascii="Arial" w:hAnsi="Arial" w:cs="Arial"/>
                <w:sz w:val="22"/>
                <w:szCs w:val="22"/>
                <w:lang w:val="en-GB"/>
              </w:rPr>
            </w:pPr>
            <w:r w:rsidRPr="00E4265B">
              <w:rPr>
                <w:rFonts w:ascii="Arial" w:hAnsi="Arial" w:cs="Arial"/>
                <w:sz w:val="22"/>
                <w:szCs w:val="22"/>
                <w:lang w:val="en-GB"/>
              </w:rPr>
              <w:t>Substandard</w:t>
            </w:r>
          </w:p>
        </w:tc>
        <w:tc>
          <w:tcPr>
            <w:tcW w:w="4396" w:type="dxa"/>
            <w:noWrap/>
          </w:tcPr>
          <w:p w14:paraId="28FD514B" w14:textId="1171E6A5" w:rsidR="00325A37" w:rsidRPr="00E4265B" w:rsidRDefault="00325A37" w:rsidP="00325A37">
            <w:pPr>
              <w:jc w:val="both"/>
              <w:rPr>
                <w:rFonts w:ascii="Arial" w:hAnsi="Arial" w:cs="Arial"/>
                <w:sz w:val="22"/>
                <w:szCs w:val="22"/>
                <w:lang w:val="en-GB"/>
              </w:rPr>
            </w:pPr>
            <w:r w:rsidRPr="00E4265B">
              <w:rPr>
                <w:rFonts w:ascii="Arial" w:hAnsi="Arial" w:cs="Arial"/>
                <w:sz w:val="22"/>
                <w:szCs w:val="22"/>
                <w:lang w:val="en-GB"/>
              </w:rPr>
              <w:t>Includes credits which exhibit definitive deterioration in credit quality and impaired debt servicing capacity of the borrower.</w:t>
            </w:r>
          </w:p>
        </w:tc>
      </w:tr>
      <w:tr w:rsidR="00325A37" w:rsidRPr="00E4265B" w14:paraId="46BA6948" w14:textId="77777777" w:rsidTr="00DA395E">
        <w:tc>
          <w:tcPr>
            <w:tcW w:w="2713" w:type="dxa"/>
            <w:noWrap/>
          </w:tcPr>
          <w:p w14:paraId="25E3F495" w14:textId="77777777" w:rsidR="00325A37" w:rsidRPr="00E4265B" w:rsidRDefault="00325A37" w:rsidP="00325A37">
            <w:pPr>
              <w:rPr>
                <w:rFonts w:ascii="Arial" w:hAnsi="Arial" w:cs="Arial"/>
                <w:sz w:val="22"/>
                <w:szCs w:val="22"/>
                <w:lang w:val="en-GB"/>
              </w:rPr>
            </w:pPr>
            <w:r w:rsidRPr="00E4265B">
              <w:rPr>
                <w:rFonts w:ascii="Arial" w:hAnsi="Arial" w:cs="Arial"/>
                <w:sz w:val="22"/>
                <w:szCs w:val="22"/>
                <w:lang w:val="en-GB"/>
              </w:rPr>
              <w:t>Doubtful</w:t>
            </w:r>
          </w:p>
        </w:tc>
        <w:tc>
          <w:tcPr>
            <w:tcW w:w="4396" w:type="dxa"/>
            <w:noWrap/>
          </w:tcPr>
          <w:p w14:paraId="352AD1AB" w14:textId="67B7B9B5" w:rsidR="00325A37" w:rsidRPr="00E4265B" w:rsidRDefault="00325A37" w:rsidP="00325A37">
            <w:pPr>
              <w:jc w:val="both"/>
              <w:rPr>
                <w:rFonts w:ascii="Arial" w:hAnsi="Arial" w:cs="Arial"/>
                <w:sz w:val="22"/>
                <w:szCs w:val="22"/>
                <w:lang w:val="en-GB"/>
              </w:rPr>
            </w:pPr>
            <w:r w:rsidRPr="00E4265B">
              <w:rPr>
                <w:rFonts w:ascii="Arial" w:hAnsi="Arial" w:cs="Arial"/>
                <w:sz w:val="22"/>
                <w:szCs w:val="22"/>
                <w:lang w:val="en-GB"/>
              </w:rPr>
              <w:t>Includes credits which show strong credit quality deterioration, worse than those in substandard category, to the extent that the prospect of full recovery of all the outstanding amounts from the credit is questionable and consequently the probability of a credit loss is high, though the exact amount of loss cannot be determined yet.</w:t>
            </w:r>
          </w:p>
        </w:tc>
      </w:tr>
      <w:tr w:rsidR="00325A37" w:rsidRPr="00E4265B" w14:paraId="234124B1" w14:textId="77777777" w:rsidTr="00DA395E">
        <w:tc>
          <w:tcPr>
            <w:tcW w:w="2713" w:type="dxa"/>
            <w:noWrap/>
          </w:tcPr>
          <w:p w14:paraId="7865D907" w14:textId="77777777" w:rsidR="00325A37" w:rsidRPr="00E4265B" w:rsidRDefault="00325A37" w:rsidP="00325A37">
            <w:pPr>
              <w:rPr>
                <w:rFonts w:ascii="Arial" w:hAnsi="Arial" w:cs="Arial"/>
                <w:sz w:val="22"/>
                <w:szCs w:val="22"/>
                <w:lang w:val="en-GB"/>
              </w:rPr>
            </w:pPr>
            <w:r w:rsidRPr="00E4265B">
              <w:rPr>
                <w:rFonts w:ascii="Arial" w:hAnsi="Arial" w:cs="Arial"/>
                <w:sz w:val="22"/>
                <w:szCs w:val="22"/>
                <w:lang w:val="en-GB"/>
              </w:rPr>
              <w:t>Loss</w:t>
            </w:r>
          </w:p>
        </w:tc>
        <w:tc>
          <w:tcPr>
            <w:tcW w:w="4396" w:type="dxa"/>
            <w:noWrap/>
          </w:tcPr>
          <w:p w14:paraId="7643D4A1" w14:textId="03D89359" w:rsidR="00325A37" w:rsidRPr="00E4265B" w:rsidRDefault="00325A37" w:rsidP="00325A37">
            <w:pPr>
              <w:jc w:val="both"/>
              <w:rPr>
                <w:rFonts w:ascii="Arial" w:hAnsi="Arial" w:cs="Arial"/>
                <w:sz w:val="22"/>
                <w:szCs w:val="22"/>
                <w:lang w:val="en-GB"/>
              </w:rPr>
            </w:pPr>
            <w:r w:rsidRPr="00E4265B">
              <w:rPr>
                <w:rFonts w:ascii="Arial" w:hAnsi="Arial" w:cs="Arial"/>
                <w:sz w:val="22"/>
                <w:szCs w:val="22"/>
                <w:lang w:val="en-GB"/>
              </w:rPr>
              <w:t>Includes credits which are assessed as uncollectable and credits with very low potential for recoverability of amounts due.</w:t>
            </w:r>
          </w:p>
        </w:tc>
      </w:tr>
    </w:tbl>
    <w:p w14:paraId="15296C0D" w14:textId="77777777" w:rsidR="00E22FF2" w:rsidRPr="00E4265B" w:rsidRDefault="00E22FF2" w:rsidP="00BF0519">
      <w:pPr>
        <w:rPr>
          <w:rFonts w:ascii="Arial" w:hAnsi="Arial" w:cs="Arial"/>
          <w:sz w:val="22"/>
          <w:szCs w:val="22"/>
          <w:lang w:val="en-GB"/>
        </w:rPr>
      </w:pPr>
    </w:p>
    <w:p w14:paraId="7122E8B7"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also have in place a more detailed credit grading system provided it can address the categories detailed in (2).</w:t>
      </w:r>
    </w:p>
    <w:p w14:paraId="6346A4F2"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2832CA7B" w14:textId="35EAF5FD" w:rsidR="00E22FF2" w:rsidRPr="00E4265B" w:rsidRDefault="00E22FF2" w:rsidP="00962476">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With respect to the ratings above,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should consider </w:t>
      </w:r>
      <w:r w:rsidR="00DF7CAF" w:rsidRPr="00E4265B">
        <w:rPr>
          <w:rFonts w:ascii="Arial" w:hAnsi="Arial" w:cs="Arial"/>
          <w:sz w:val="22"/>
          <w:szCs w:val="22"/>
          <w:lang w:val="en-GB"/>
        </w:rPr>
        <w:t xml:space="preserve">the following </w:t>
      </w:r>
      <w:r w:rsidRPr="00E4265B">
        <w:rPr>
          <w:rFonts w:ascii="Arial" w:hAnsi="Arial" w:cs="Arial"/>
          <w:sz w:val="22"/>
          <w:szCs w:val="22"/>
          <w:lang w:val="en-GB"/>
        </w:rPr>
        <w:t xml:space="preserve">Exposures as </w:t>
      </w:r>
      <w:r w:rsidR="00325A37" w:rsidRPr="00E4265B">
        <w:rPr>
          <w:rFonts w:ascii="Arial" w:hAnsi="Arial" w:cs="Arial"/>
          <w:sz w:val="22"/>
          <w:szCs w:val="22"/>
          <w:lang w:val="en-GB"/>
        </w:rPr>
        <w:t xml:space="preserve">being </w:t>
      </w:r>
      <w:r w:rsidRPr="00E4265B">
        <w:rPr>
          <w:rFonts w:ascii="Arial" w:hAnsi="Arial" w:cs="Arial"/>
          <w:sz w:val="22"/>
          <w:szCs w:val="22"/>
          <w:lang w:val="en-GB"/>
        </w:rPr>
        <w:t xml:space="preserve">classified: </w:t>
      </w:r>
    </w:p>
    <w:p w14:paraId="3F8EA01C"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special mention;</w:t>
      </w:r>
    </w:p>
    <w:p w14:paraId="5DA11A54"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substandard</w:t>
      </w:r>
      <w:r w:rsidR="00B32214" w:rsidRPr="00E4265B">
        <w:rPr>
          <w:rFonts w:ascii="Arial" w:hAnsi="Arial" w:cs="Arial"/>
          <w:sz w:val="22"/>
          <w:szCs w:val="22"/>
        </w:rPr>
        <w:t>;</w:t>
      </w:r>
    </w:p>
    <w:p w14:paraId="087BDF49"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lastRenderedPageBreak/>
        <w:t>doubtful; and</w:t>
      </w:r>
    </w:p>
    <w:p w14:paraId="5328B263" w14:textId="77777777" w:rsidR="00325A37" w:rsidRPr="00E4265B" w:rsidRDefault="00325A37" w:rsidP="005C0DDF">
      <w:pPr>
        <w:pStyle w:val="Heading6"/>
        <w:rPr>
          <w:rFonts w:ascii="Arial" w:hAnsi="Arial" w:cs="Arial"/>
          <w:sz w:val="22"/>
          <w:szCs w:val="22"/>
        </w:rPr>
      </w:pPr>
      <w:r w:rsidRPr="00E4265B">
        <w:rPr>
          <w:rFonts w:ascii="Arial" w:hAnsi="Arial" w:cs="Arial"/>
          <w:sz w:val="22"/>
          <w:szCs w:val="22"/>
        </w:rPr>
        <w:t>loss</w:t>
      </w:r>
    </w:p>
    <w:p w14:paraId="74D47FCE" w14:textId="11EBC880" w:rsidR="00E22FF2" w:rsidRPr="00E4265B" w:rsidRDefault="00E22FF2" w:rsidP="00325A37">
      <w:pPr>
        <w:pStyle w:val="Heading6"/>
        <w:numPr>
          <w:ilvl w:val="0"/>
          <w:numId w:val="0"/>
        </w:numPr>
        <w:ind w:left="1710"/>
        <w:rPr>
          <w:rFonts w:ascii="Arial" w:hAnsi="Arial" w:cs="Arial"/>
          <w:sz w:val="22"/>
          <w:szCs w:val="22"/>
        </w:rPr>
      </w:pPr>
      <w:r w:rsidRPr="00E4265B">
        <w:rPr>
          <w:rFonts w:ascii="Arial" w:hAnsi="Arial" w:cs="Arial"/>
          <w:sz w:val="22"/>
          <w:szCs w:val="22"/>
        </w:rPr>
        <w:t xml:space="preserve">where the loans are contractually in arrears for a minimum number of days of 30, 60, 90 – 120 and 120 – 180 days respectively. </w:t>
      </w:r>
      <w:r w:rsidR="000D1A90" w:rsidRPr="00E4265B">
        <w:rPr>
          <w:rFonts w:ascii="Arial" w:hAnsi="Arial" w:cs="Arial"/>
          <w:sz w:val="22"/>
          <w:szCs w:val="22"/>
        </w:rPr>
        <w:t>Authorised Person</w:t>
      </w:r>
      <w:r w:rsidRPr="00E4265B">
        <w:rPr>
          <w:rFonts w:ascii="Arial" w:hAnsi="Arial" w:cs="Arial"/>
          <w:sz w:val="22"/>
          <w:szCs w:val="22"/>
        </w:rPr>
        <w:t>s should also consider the treatments as set out in Rule 4.5.7 (Evergreening).</w:t>
      </w:r>
    </w:p>
    <w:p w14:paraId="1737E711"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Credits exhibiting the following c</w:t>
      </w:r>
      <w:r w:rsidR="007C5CC2" w:rsidRPr="00E4265B">
        <w:rPr>
          <w:rFonts w:ascii="Arial" w:hAnsi="Arial" w:cs="Arial"/>
          <w:sz w:val="22"/>
          <w:szCs w:val="22"/>
          <w:lang w:val="en-GB"/>
        </w:rPr>
        <w:t>haracteristics</w:t>
      </w:r>
      <w:r w:rsidRPr="00E4265B">
        <w:rPr>
          <w:rFonts w:ascii="Arial" w:hAnsi="Arial" w:cs="Arial"/>
          <w:sz w:val="22"/>
          <w:szCs w:val="22"/>
          <w:lang w:val="en-GB"/>
        </w:rPr>
        <w:t xml:space="preserve"> should be included in the special mention category. </w:t>
      </w:r>
    </w:p>
    <w:p w14:paraId="56A839F0"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 declining trend in the operations of the borrower or in the borrower's ability to continue to generate cash required for repayment of the credit;</w:t>
      </w:r>
    </w:p>
    <w:p w14:paraId="0EC37FF6"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any signals which indicate a potential weakness in the financial position of the borrower, but not to the point at which repayment capacity is definitely impaired; or</w:t>
      </w:r>
    </w:p>
    <w:p w14:paraId="7D10B6B0"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business, economic or market conditions that may unfavourably affect the profitability and business of the borrower in the near to medium term.</w:t>
      </w:r>
    </w:p>
    <w:p w14:paraId="053D723B" w14:textId="77777777" w:rsidR="00E22FF2" w:rsidRPr="00E4265B" w:rsidRDefault="00E22FF2" w:rsidP="00791F81">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Credits exhibiting the following c</w:t>
      </w:r>
      <w:r w:rsidR="007C5CC2" w:rsidRPr="00E4265B">
        <w:rPr>
          <w:rFonts w:ascii="Arial" w:hAnsi="Arial" w:cs="Arial"/>
          <w:sz w:val="22"/>
          <w:szCs w:val="22"/>
          <w:lang w:val="en-GB"/>
        </w:rPr>
        <w:t>haracteristics</w:t>
      </w:r>
      <w:r w:rsidRPr="00E4265B">
        <w:rPr>
          <w:rFonts w:ascii="Arial" w:hAnsi="Arial" w:cs="Arial"/>
          <w:sz w:val="22"/>
          <w:szCs w:val="22"/>
          <w:lang w:val="en-GB"/>
        </w:rPr>
        <w:t xml:space="preserve"> should be included in the substandard category. </w:t>
      </w:r>
    </w:p>
    <w:p w14:paraId="2153F151"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inability of the borrower to meet cont</w:t>
      </w:r>
      <w:r w:rsidR="006D5D0B" w:rsidRPr="00E4265B">
        <w:rPr>
          <w:rFonts w:ascii="Arial" w:hAnsi="Arial" w:cs="Arial"/>
          <w:sz w:val="22"/>
          <w:szCs w:val="22"/>
          <w:lang w:val="en-GB"/>
        </w:rPr>
        <w:t>ractual repayment terms of the C</w:t>
      </w:r>
      <w:r w:rsidRPr="00E4265B">
        <w:rPr>
          <w:rFonts w:ascii="Arial" w:hAnsi="Arial" w:cs="Arial"/>
          <w:sz w:val="22"/>
          <w:szCs w:val="22"/>
          <w:lang w:val="en-GB"/>
        </w:rPr>
        <w:t>r</w:t>
      </w:r>
      <w:r w:rsidR="006D5D0B" w:rsidRPr="00E4265B">
        <w:rPr>
          <w:rFonts w:ascii="Arial" w:hAnsi="Arial" w:cs="Arial"/>
          <w:sz w:val="22"/>
          <w:szCs w:val="22"/>
          <w:lang w:val="en-GB"/>
        </w:rPr>
        <w:t>edit F</w:t>
      </w:r>
      <w:r w:rsidRPr="00E4265B">
        <w:rPr>
          <w:rFonts w:ascii="Arial" w:hAnsi="Arial" w:cs="Arial"/>
          <w:sz w:val="22"/>
          <w:szCs w:val="22"/>
          <w:lang w:val="en-GB"/>
        </w:rPr>
        <w:t>acility;</w:t>
      </w:r>
    </w:p>
    <w:p w14:paraId="2C5D6687"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unfavourable economic and market conditions or operating problems that would affect the profitability and cash flow generation of the borrower;</w:t>
      </w:r>
    </w:p>
    <w:p w14:paraId="16330211"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weak financial condition or the inability of the borrower to generate sufficient cash flow to service the payments;</w:t>
      </w:r>
    </w:p>
    <w:p w14:paraId="3DE3026B"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difficulties experienced by the borrower in servicing its other debt obligations; or </w:t>
      </w:r>
    </w:p>
    <w:p w14:paraId="48E09E35"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breach of any financial covenants by the borrower.</w:t>
      </w:r>
    </w:p>
    <w:p w14:paraId="6C22413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have detailed policies, processes and resources for managing problem credits which address the following:</w:t>
      </w:r>
    </w:p>
    <w:p w14:paraId="792C3B9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monitoring of credits and early identification of credit quality deterioration; </w:t>
      </w:r>
    </w:p>
    <w:p w14:paraId="30F6BF4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review of classification of problem credits; and</w:t>
      </w:r>
    </w:p>
    <w:p w14:paraId="05152C9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ongoing oversight of problem credits, and for collecting on past due obligations.</w:t>
      </w:r>
    </w:p>
    <w:p w14:paraId="185D356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ensure that each and every credit which qualifies as a Large Exposure and is classified as an impaired credit is managed individually. This includes valuation, classification and provisioning for such credits on an individual item basis.</w:t>
      </w:r>
    </w:p>
    <w:p w14:paraId="4AD5F334" w14:textId="77777777" w:rsidR="00E22FF2" w:rsidRPr="00E4265B" w:rsidRDefault="005F3B3B" w:rsidP="00246497">
      <w:pPr>
        <w:pStyle w:val="Heading4"/>
        <w:rPr>
          <w:rFonts w:ascii="Arial" w:hAnsi="Arial" w:cs="Arial"/>
          <w:sz w:val="22"/>
          <w:szCs w:val="22"/>
        </w:rPr>
      </w:pPr>
      <w:r w:rsidRPr="00E4265B">
        <w:rPr>
          <w:rFonts w:ascii="Arial" w:hAnsi="Arial" w:cs="Arial"/>
          <w:sz w:val="22"/>
          <w:szCs w:val="22"/>
        </w:rPr>
        <w:lastRenderedPageBreak/>
        <w:t>Any E</w:t>
      </w:r>
      <w:r w:rsidR="00E22FF2" w:rsidRPr="00E4265B">
        <w:rPr>
          <w:rFonts w:ascii="Arial" w:hAnsi="Arial" w:cs="Arial"/>
          <w:sz w:val="22"/>
          <w:szCs w:val="22"/>
        </w:rPr>
        <w:t>vergreening exercise involving refinancing of past due credits must not result in their being classified as a higher category. In particular, impaired credits cannot be refinanced with the aim of classifying them as standard or special mention credits.</w:t>
      </w:r>
    </w:p>
    <w:p w14:paraId="0CDFDC5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's provisioning policy must specify the following minimum provisioning requirements:</w:t>
      </w:r>
    </w:p>
    <w:p w14:paraId="0315F11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for substandard assets – 20% of the unsecured portion of the credit; </w:t>
      </w:r>
    </w:p>
    <w:p w14:paraId="7BCFE61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for doubtful assets – 50% of the unsecured portion of the credit; and </w:t>
      </w:r>
    </w:p>
    <w:p w14:paraId="71BBB4A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for loss assets – 100% of the unsecured portion of the credit.</w:t>
      </w:r>
    </w:p>
    <w:p w14:paraId="490F9FB9"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on a periodic basis, at a minimum monthly frequency, review its problem credits (at an individual level or at a portfolio level for credits with homogeneous characteristics) and review the asset classification, provisioning and write</w:t>
      </w:r>
      <w:r w:rsidRPr="00E4265B">
        <w:rPr>
          <w:rFonts w:ascii="Arial" w:hAnsi="Arial" w:cs="Arial"/>
          <w:sz w:val="22"/>
          <w:szCs w:val="22"/>
        </w:rPr>
        <w:noBreakHyphen/>
        <w:t>offs for each of those problem credits.</w:t>
      </w:r>
    </w:p>
    <w:p w14:paraId="776F69AD" w14:textId="00D50FF3" w:rsidR="00E22FF2" w:rsidRPr="00E4265B" w:rsidRDefault="00030CC8" w:rsidP="006F763B">
      <w:pPr>
        <w:pStyle w:val="Heading2"/>
        <w:ind w:left="900"/>
        <w:rPr>
          <w:rFonts w:ascii="Arial" w:hAnsi="Arial" w:cs="Arial"/>
          <w:sz w:val="22"/>
          <w:szCs w:val="22"/>
          <w:lang w:val="en-GB"/>
        </w:rPr>
      </w:pPr>
      <w:bookmarkStart w:id="334" w:name="_Toc403223945"/>
      <w:bookmarkStart w:id="335" w:name="_Toc403253983"/>
      <w:bookmarkStart w:id="336" w:name="_Toc403254104"/>
      <w:bookmarkStart w:id="337" w:name="_Toc403273383"/>
      <w:bookmarkStart w:id="338" w:name="_Toc403273532"/>
      <w:bookmarkStart w:id="339" w:name="_Toc403274491"/>
      <w:bookmarkStart w:id="340" w:name="_Toc403279987"/>
      <w:bookmarkStart w:id="341" w:name="_Toc404285788"/>
      <w:bookmarkStart w:id="342" w:name="_Toc404621737"/>
      <w:bookmarkStart w:id="343" w:name="_Toc404624378"/>
      <w:r w:rsidRPr="00E4265B">
        <w:rPr>
          <w:rFonts w:ascii="Arial" w:hAnsi="Arial" w:cs="Arial"/>
          <w:sz w:val="22"/>
          <w:szCs w:val="22"/>
          <w:lang w:val="en-GB"/>
        </w:rPr>
        <w:t xml:space="preserve"> </w:t>
      </w:r>
      <w:bookmarkStart w:id="344" w:name="_Toc33622404"/>
      <w:r w:rsidRPr="00E4265B">
        <w:rPr>
          <w:rFonts w:ascii="Arial" w:hAnsi="Arial" w:cs="Arial"/>
          <w:sz w:val="22"/>
          <w:szCs w:val="22"/>
          <w:lang w:val="en-GB"/>
        </w:rPr>
        <w:t xml:space="preserve">- </w:t>
      </w:r>
      <w:r w:rsidR="00E22FF2" w:rsidRPr="00E4265B">
        <w:rPr>
          <w:rFonts w:ascii="Arial" w:hAnsi="Arial" w:cs="Arial"/>
          <w:sz w:val="22"/>
          <w:szCs w:val="22"/>
          <w:lang w:val="en-GB"/>
        </w:rPr>
        <w:t>CRCOM</w:t>
      </w:r>
      <w:bookmarkEnd w:id="334"/>
      <w:bookmarkEnd w:id="335"/>
      <w:bookmarkEnd w:id="336"/>
      <w:bookmarkEnd w:id="337"/>
      <w:bookmarkEnd w:id="338"/>
      <w:bookmarkEnd w:id="339"/>
      <w:bookmarkEnd w:id="340"/>
      <w:bookmarkEnd w:id="341"/>
      <w:bookmarkEnd w:id="342"/>
      <w:bookmarkEnd w:id="343"/>
      <w:bookmarkEnd w:id="344"/>
    </w:p>
    <w:p w14:paraId="0835FA27" w14:textId="77777777" w:rsidR="00E22FF2" w:rsidRPr="00E4265B" w:rsidRDefault="00E22FF2" w:rsidP="00246497">
      <w:pPr>
        <w:pStyle w:val="Heading3"/>
        <w:rPr>
          <w:rFonts w:ascii="Arial" w:hAnsi="Arial" w:cs="Arial"/>
          <w:sz w:val="22"/>
          <w:szCs w:val="22"/>
        </w:rPr>
      </w:pPr>
      <w:bookmarkStart w:id="345" w:name="_Toc403223946"/>
      <w:bookmarkStart w:id="346" w:name="_Toc403253984"/>
      <w:bookmarkStart w:id="347" w:name="_Toc403273384"/>
      <w:bookmarkStart w:id="348" w:name="_Toc403273533"/>
      <w:bookmarkStart w:id="349" w:name="_Toc403274492"/>
      <w:bookmarkStart w:id="350" w:name="_Toc403279988"/>
      <w:bookmarkStart w:id="351" w:name="_Toc404285789"/>
      <w:bookmarkStart w:id="352" w:name="_Toc404621738"/>
      <w:bookmarkStart w:id="353" w:name="_Toc404624379"/>
      <w:bookmarkStart w:id="354" w:name="_Toc33622405"/>
      <w:r w:rsidRPr="00E4265B">
        <w:rPr>
          <w:rFonts w:ascii="Arial" w:hAnsi="Arial" w:cs="Arial"/>
          <w:sz w:val="22"/>
          <w:szCs w:val="22"/>
        </w:rPr>
        <w:t>Application</w:t>
      </w:r>
      <w:bookmarkEnd w:id="345"/>
      <w:bookmarkEnd w:id="346"/>
      <w:bookmarkEnd w:id="347"/>
      <w:bookmarkEnd w:id="348"/>
      <w:bookmarkEnd w:id="349"/>
      <w:bookmarkEnd w:id="350"/>
      <w:bookmarkEnd w:id="351"/>
      <w:bookmarkEnd w:id="352"/>
      <w:bookmarkEnd w:id="353"/>
      <w:bookmarkEnd w:id="354"/>
    </w:p>
    <w:p w14:paraId="19CA57A7"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02915EF7"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As indicated in Rule 4.1.1, this Chapter 4 (including this Part 3) applies to </w:t>
      </w:r>
      <w:r w:rsidR="000D1A90" w:rsidRPr="00E4265B">
        <w:rPr>
          <w:rFonts w:ascii="Arial" w:hAnsi="Arial" w:cs="Arial"/>
          <w:sz w:val="22"/>
          <w:szCs w:val="22"/>
          <w:lang w:val="en-GB"/>
        </w:rPr>
        <w:t>Authorised Person</w:t>
      </w:r>
      <w:r w:rsidRPr="00E4265B">
        <w:rPr>
          <w:rFonts w:ascii="Arial" w:hAnsi="Arial" w:cs="Arial"/>
          <w:sz w:val="22"/>
          <w:szCs w:val="22"/>
          <w:lang w:val="en-GB"/>
        </w:rPr>
        <w:t>s in Categories 1, 2, 3A and 5. However, the provisions in this part are applied in a differentiated manner in that Category 3A firms must, and Category 2 firms may, use the Simplified Approach under Section 4.7.</w:t>
      </w:r>
    </w:p>
    <w:p w14:paraId="1DF4CD2D" w14:textId="574DB606" w:rsidR="00E22FF2" w:rsidRPr="00E4265B" w:rsidRDefault="00E22FF2" w:rsidP="00030CC8">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Credit Risk Capital Requirement (also referred to in these Rules as CRCOM) is a component of the calculation of the overall Capital Requirement of an </w:t>
      </w:r>
      <w:r w:rsidR="000D1A90" w:rsidRPr="00E4265B">
        <w:rPr>
          <w:rFonts w:ascii="Arial" w:hAnsi="Arial" w:cs="Arial"/>
          <w:sz w:val="22"/>
          <w:szCs w:val="22"/>
          <w:lang w:val="en-GB"/>
        </w:rPr>
        <w:t>Authorised Person</w:t>
      </w:r>
      <w:r w:rsidRPr="00E4265B">
        <w:rPr>
          <w:rFonts w:ascii="Arial" w:hAnsi="Arial" w:cs="Arial"/>
          <w:sz w:val="22"/>
          <w:szCs w:val="22"/>
          <w:lang w:val="en-GB"/>
        </w:rPr>
        <w:t>, as provided in Rules 3.</w:t>
      </w:r>
      <w:r w:rsidR="00030CC8" w:rsidRPr="00E4265B">
        <w:rPr>
          <w:rFonts w:ascii="Arial" w:hAnsi="Arial" w:cs="Arial"/>
          <w:sz w:val="22"/>
          <w:szCs w:val="22"/>
          <w:lang w:val="en-GB"/>
        </w:rPr>
        <w:t>5</w:t>
      </w:r>
      <w:r w:rsidRPr="00E4265B">
        <w:rPr>
          <w:rFonts w:ascii="Arial" w:hAnsi="Arial" w:cs="Arial"/>
          <w:sz w:val="22"/>
          <w:szCs w:val="22"/>
          <w:lang w:val="en-GB"/>
        </w:rPr>
        <w:t>.</w:t>
      </w:r>
      <w:r w:rsidR="00030CC8" w:rsidRPr="00E4265B">
        <w:rPr>
          <w:rFonts w:ascii="Arial" w:hAnsi="Arial" w:cs="Arial"/>
          <w:sz w:val="22"/>
          <w:szCs w:val="22"/>
          <w:lang w:val="en-GB"/>
        </w:rPr>
        <w:t>1</w:t>
      </w:r>
      <w:r w:rsidRPr="00E4265B">
        <w:rPr>
          <w:rFonts w:ascii="Arial" w:hAnsi="Arial" w:cs="Arial"/>
          <w:sz w:val="22"/>
          <w:szCs w:val="22"/>
          <w:lang w:val="en-GB"/>
        </w:rPr>
        <w:t> and 3.</w:t>
      </w:r>
      <w:r w:rsidR="00030CC8" w:rsidRPr="00E4265B">
        <w:rPr>
          <w:rFonts w:ascii="Arial" w:hAnsi="Arial" w:cs="Arial"/>
          <w:sz w:val="22"/>
          <w:szCs w:val="22"/>
          <w:lang w:val="en-GB"/>
        </w:rPr>
        <w:t>5</w:t>
      </w:r>
      <w:r w:rsidRPr="00E4265B">
        <w:rPr>
          <w:rFonts w:ascii="Arial" w:hAnsi="Arial" w:cs="Arial"/>
          <w:sz w:val="22"/>
          <w:szCs w:val="22"/>
          <w:lang w:val="en-GB"/>
        </w:rPr>
        <w:t>.</w:t>
      </w:r>
      <w:r w:rsidR="00030CC8" w:rsidRPr="00E4265B">
        <w:rPr>
          <w:rFonts w:ascii="Arial" w:hAnsi="Arial" w:cs="Arial"/>
          <w:sz w:val="22"/>
          <w:szCs w:val="22"/>
          <w:lang w:val="en-GB"/>
        </w:rPr>
        <w:t>2</w:t>
      </w:r>
      <w:r w:rsidRPr="00E4265B">
        <w:rPr>
          <w:rFonts w:ascii="Arial" w:hAnsi="Arial" w:cs="Arial"/>
          <w:sz w:val="22"/>
          <w:szCs w:val="22"/>
          <w:lang w:val="en-GB"/>
        </w:rPr>
        <w:t>. The Rules in this Part 3, supplemented by App4, govern the manner of calculation of the CRCOM.</w:t>
      </w:r>
    </w:p>
    <w:p w14:paraId="536FE79A" w14:textId="77777777" w:rsidR="00E22FF2" w:rsidRPr="00E4265B" w:rsidRDefault="00E22FF2" w:rsidP="00246497">
      <w:pPr>
        <w:pStyle w:val="Heading3"/>
        <w:rPr>
          <w:rFonts w:ascii="Arial" w:hAnsi="Arial" w:cs="Arial"/>
          <w:sz w:val="22"/>
          <w:szCs w:val="22"/>
        </w:rPr>
      </w:pPr>
      <w:bookmarkStart w:id="355" w:name="_Toc403223947"/>
      <w:bookmarkStart w:id="356" w:name="_Toc403253985"/>
      <w:bookmarkStart w:id="357" w:name="_Toc403273385"/>
      <w:bookmarkStart w:id="358" w:name="_Toc403273534"/>
      <w:bookmarkStart w:id="359" w:name="_Toc403274493"/>
      <w:bookmarkStart w:id="360" w:name="_Toc403279989"/>
      <w:bookmarkStart w:id="361" w:name="_Toc404285790"/>
      <w:bookmarkStart w:id="362" w:name="_Toc404621739"/>
      <w:bookmarkStart w:id="363" w:name="_Toc404624380"/>
      <w:bookmarkStart w:id="364" w:name="_Toc33622406"/>
      <w:r w:rsidRPr="00E4265B">
        <w:rPr>
          <w:rFonts w:ascii="Arial" w:hAnsi="Arial" w:cs="Arial"/>
          <w:sz w:val="22"/>
          <w:szCs w:val="22"/>
        </w:rPr>
        <w:t>Simplified Approach</w:t>
      </w:r>
      <w:bookmarkEnd w:id="355"/>
      <w:bookmarkEnd w:id="356"/>
      <w:bookmarkEnd w:id="357"/>
      <w:bookmarkEnd w:id="358"/>
      <w:bookmarkEnd w:id="359"/>
      <w:bookmarkEnd w:id="360"/>
      <w:bookmarkEnd w:id="361"/>
      <w:bookmarkEnd w:id="362"/>
      <w:bookmarkEnd w:id="363"/>
      <w:bookmarkEnd w:id="364"/>
    </w:p>
    <w:p w14:paraId="0714EEE4"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Category 3A firms</w:t>
      </w:r>
    </w:p>
    <w:p w14:paraId="491D628A"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This Rule applies only to an </w:t>
      </w:r>
      <w:r w:rsidR="000D1A90" w:rsidRPr="00E4265B">
        <w:rPr>
          <w:rFonts w:ascii="Arial" w:hAnsi="Arial" w:cs="Arial"/>
          <w:sz w:val="22"/>
          <w:szCs w:val="22"/>
        </w:rPr>
        <w:t>Authorised Person</w:t>
      </w:r>
      <w:r w:rsidRPr="00E4265B">
        <w:rPr>
          <w:rFonts w:ascii="Arial" w:hAnsi="Arial" w:cs="Arial"/>
          <w:sz w:val="22"/>
          <w:szCs w:val="22"/>
        </w:rPr>
        <w:t xml:space="preserve"> in Category 3A.</w:t>
      </w:r>
    </w:p>
    <w:p w14:paraId="075A2D71"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Subject to (3) and (4),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apply the Simplified Approach as prescribed in Section A4.12 in App4.</w:t>
      </w:r>
    </w:p>
    <w:p w14:paraId="298DEB58" w14:textId="77777777" w:rsidR="00E22FF2" w:rsidRPr="00E4265B" w:rsidRDefault="00E22FF2" w:rsidP="008F5C01">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not required to apply the Simplified Approach if it obtains prior written approval of the Regulator not to do so.</w:t>
      </w:r>
    </w:p>
    <w:p w14:paraId="448A57A6" w14:textId="77777777" w:rsidR="00E22FF2" w:rsidRPr="00E4265B" w:rsidRDefault="00E22FF2" w:rsidP="008F5C01">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After obtaining approval under (3), a firm must not revert to the Simplified Approach without obtaining further prior written approval from the Regulator.</w:t>
      </w:r>
    </w:p>
    <w:p w14:paraId="0A515C7E"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6E55F170"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In effect, the Simplified Approach reduces undue regulatory burden on Category 3A firms to reflect more appropriately their risk profile.</w:t>
      </w:r>
    </w:p>
    <w:p w14:paraId="721C4135" w14:textId="77777777" w:rsidR="00E22FF2" w:rsidRPr="00E4265B" w:rsidRDefault="00E22FF2" w:rsidP="008F5C01">
      <w:pPr>
        <w:pStyle w:val="1List0"/>
        <w:rPr>
          <w:rFonts w:ascii="Arial" w:hAnsi="Arial" w:cs="Arial"/>
          <w:sz w:val="22"/>
          <w:szCs w:val="22"/>
          <w:lang w:val="en-GB"/>
        </w:rPr>
      </w:pPr>
      <w:r w:rsidRPr="00E4265B">
        <w:rPr>
          <w:rFonts w:ascii="Arial" w:hAnsi="Arial" w:cs="Arial"/>
          <w:sz w:val="22"/>
          <w:szCs w:val="22"/>
          <w:lang w:val="en-GB"/>
        </w:rPr>
        <w:lastRenderedPageBreak/>
        <w:t>2.</w:t>
      </w:r>
      <w:r w:rsidRPr="00E4265B">
        <w:rPr>
          <w:rFonts w:ascii="Arial" w:hAnsi="Arial" w:cs="Arial"/>
          <w:sz w:val="22"/>
          <w:szCs w:val="22"/>
          <w:lang w:val="en-GB"/>
        </w:rPr>
        <w:tab/>
        <w:t>In relation to (3) and (4), the Regulator may consider granting its approval for a change of approach if it is satisfied that there are no regulatory capital arbitrage opportunities. Firms should be able to demonstrate to the Regulator solid and reasonable grounds to be able to move from one approach to the other. For instance, in assessing whether or not to grant approval, the Regulator may consider whether or not there has been a material change in the business of the firm.</w:t>
      </w:r>
    </w:p>
    <w:p w14:paraId="40FE8145"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Category 2 firms</w:t>
      </w:r>
    </w:p>
    <w:p w14:paraId="7EB20702" w14:textId="77777777" w:rsidR="00E22FF2" w:rsidRPr="00E4265B" w:rsidRDefault="00E22FF2" w:rsidP="00AF6EE8">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This Rule applies only to an </w:t>
      </w:r>
      <w:r w:rsidR="000D1A90" w:rsidRPr="00E4265B">
        <w:rPr>
          <w:rFonts w:ascii="Arial" w:hAnsi="Arial" w:cs="Arial"/>
          <w:sz w:val="22"/>
          <w:szCs w:val="22"/>
        </w:rPr>
        <w:t>Authorised Person</w:t>
      </w:r>
      <w:r w:rsidRPr="00E4265B">
        <w:rPr>
          <w:rFonts w:ascii="Arial" w:hAnsi="Arial" w:cs="Arial"/>
          <w:sz w:val="22"/>
          <w:szCs w:val="22"/>
        </w:rPr>
        <w:t xml:space="preserve"> in Category 2.</w:t>
      </w:r>
    </w:p>
    <w:p w14:paraId="0EC3DADB" w14:textId="77777777" w:rsidR="00E22FF2" w:rsidRPr="00E4265B" w:rsidRDefault="00E22FF2" w:rsidP="008F5C01">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Subject to (3) and (4),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apply the Simplified Approach, as prescribed in Section A4.12 in App4, upon obtaining the prior written approval to do so from the Regulator.</w:t>
      </w:r>
    </w:p>
    <w:p w14:paraId="0AAFB23E" w14:textId="77777777" w:rsidR="00E22FF2" w:rsidRPr="00E4265B" w:rsidRDefault="00E22FF2" w:rsidP="008F5C01">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After obtaining approval under (2), a firm must not disapply the Simplified Approach without further prior written approval from the Regulator.</w:t>
      </w:r>
    </w:p>
    <w:p w14:paraId="1155AE39" w14:textId="77777777" w:rsidR="00E22FF2" w:rsidRPr="00E4265B" w:rsidRDefault="00E22FF2" w:rsidP="008F5C01">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The Regulator may revoke its approval under (2) and require a firm to disapply the Simplified Approach, if the Regulator considers that this is warranted by the firm's business model and risk profile.</w:t>
      </w:r>
    </w:p>
    <w:p w14:paraId="1F096EF1"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47F1C9CC" w14:textId="77777777" w:rsidR="00E22FF2" w:rsidRPr="00E4265B" w:rsidRDefault="00E22FF2" w:rsidP="008F5C01">
      <w:pPr>
        <w:pStyle w:val="UK12Block05"/>
        <w:rPr>
          <w:rFonts w:ascii="Arial" w:hAnsi="Arial" w:cs="Arial"/>
          <w:sz w:val="22"/>
          <w:szCs w:val="22"/>
          <w:lang w:val="en-GB"/>
        </w:rPr>
      </w:pPr>
      <w:r w:rsidRPr="00E4265B">
        <w:rPr>
          <w:rFonts w:ascii="Arial" w:hAnsi="Arial" w:cs="Arial"/>
          <w:sz w:val="22"/>
          <w:szCs w:val="22"/>
          <w:lang w:val="en-GB"/>
        </w:rPr>
        <w:t>In relation to (3) and (4), the Regulator may consider granting its approval for a change of approach if it is satisfied that there are no regulatory capital arbitrage opportunities. Firms should be able to demonstrate to the Regulator reasonable grounds to be able to move from one approach to the other. For instance, in assessing whether or not to grant approval, the Regulator may consider whether or not there has been a material change in the business of the firm.</w:t>
      </w:r>
    </w:p>
    <w:p w14:paraId="21D7846F" w14:textId="77777777" w:rsidR="00E22FF2" w:rsidRPr="00E4265B" w:rsidRDefault="00E22FF2" w:rsidP="00246497">
      <w:pPr>
        <w:pStyle w:val="Heading3"/>
        <w:rPr>
          <w:rFonts w:ascii="Arial" w:hAnsi="Arial" w:cs="Arial"/>
          <w:sz w:val="22"/>
          <w:szCs w:val="22"/>
        </w:rPr>
      </w:pPr>
      <w:bookmarkStart w:id="365" w:name="_Toc403223948"/>
      <w:bookmarkStart w:id="366" w:name="_Toc403253986"/>
      <w:bookmarkStart w:id="367" w:name="_Toc403273386"/>
      <w:bookmarkStart w:id="368" w:name="_Toc403273535"/>
      <w:bookmarkStart w:id="369" w:name="_Toc403274494"/>
      <w:bookmarkStart w:id="370" w:name="_Toc403279990"/>
      <w:bookmarkStart w:id="371" w:name="_Toc404285791"/>
      <w:bookmarkStart w:id="372" w:name="_Toc404621740"/>
      <w:bookmarkStart w:id="373" w:name="_Toc404624381"/>
      <w:bookmarkStart w:id="374" w:name="_Toc33622407"/>
      <w:r w:rsidRPr="00E4265B">
        <w:rPr>
          <w:rFonts w:ascii="Arial" w:hAnsi="Arial" w:cs="Arial"/>
          <w:sz w:val="22"/>
          <w:szCs w:val="22"/>
        </w:rPr>
        <w:t>Calculation of the CRCOM</w:t>
      </w:r>
      <w:bookmarkEnd w:id="365"/>
      <w:bookmarkEnd w:id="366"/>
      <w:bookmarkEnd w:id="367"/>
      <w:bookmarkEnd w:id="368"/>
      <w:bookmarkEnd w:id="369"/>
      <w:bookmarkEnd w:id="370"/>
      <w:bookmarkEnd w:id="371"/>
      <w:bookmarkEnd w:id="372"/>
      <w:bookmarkEnd w:id="373"/>
      <w:bookmarkEnd w:id="374"/>
    </w:p>
    <w:p w14:paraId="64004A53" w14:textId="77777777" w:rsidR="00E22FF2" w:rsidRPr="00E4265B" w:rsidRDefault="00E22FF2" w:rsidP="00AF6EE8">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The Credit Risk Capital Requirement is calculated as follows: CRCOM = 10% x Credit RWA</w:t>
      </w:r>
    </w:p>
    <w:p w14:paraId="7A302E3C"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Credit RWA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the sum of:</w:t>
      </w:r>
    </w:p>
    <w:p w14:paraId="256ABD11" w14:textId="50469F6C" w:rsidR="00E22FF2" w:rsidRPr="00E4265B" w:rsidRDefault="00E22FF2" w:rsidP="006D4397">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its risk weighted assets (RWA) for all its Credit Risk Exposures (referred to in these Rules as "CR Exposures") calculated in accordance with Rules 4.8.2 and 4.8.3;</w:t>
      </w:r>
    </w:p>
    <w:p w14:paraId="0AE40607"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its RWA for all its securitisation Exposures (referred to in these Rules as "SE Exposures") calculated in accordance with Rule 4.8.4 and Section 4.14; and</w:t>
      </w:r>
    </w:p>
    <w:p w14:paraId="68C7EDA4"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its RWA for its Counterparty Risk Exposures as calculated in accordance with Sections A4.6 to A4.8.</w:t>
      </w:r>
    </w:p>
    <w:p w14:paraId="58F4A822"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Calculation of RWA for Credit Risk Exposures (CR Exposures)</w:t>
      </w:r>
    </w:p>
    <w:p w14:paraId="3CE30E59"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include in its calculation of RWA for CR Exposures: </w:t>
      </w:r>
    </w:p>
    <w:p w14:paraId="6DAA38A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any on</w:t>
      </w:r>
      <w:r w:rsidRPr="00E4265B">
        <w:rPr>
          <w:rFonts w:ascii="Arial" w:hAnsi="Arial" w:cs="Arial"/>
          <w:sz w:val="22"/>
          <w:szCs w:val="22"/>
        </w:rPr>
        <w:noBreakHyphen/>
        <w:t>balance sheet asset; and</w:t>
      </w:r>
    </w:p>
    <w:p w14:paraId="364D6EF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lastRenderedPageBreak/>
        <w:t>any off</w:t>
      </w:r>
      <w:r w:rsidRPr="00E4265B">
        <w:rPr>
          <w:rFonts w:ascii="Arial" w:hAnsi="Arial" w:cs="Arial"/>
          <w:sz w:val="22"/>
          <w:szCs w:val="22"/>
        </w:rPr>
        <w:noBreakHyphen/>
        <w:t>balance sheet item; but excluding:</w:t>
      </w:r>
    </w:p>
    <w:p w14:paraId="53A5AD4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any SE Exposure;</w:t>
      </w:r>
    </w:p>
    <w:p w14:paraId="15F455B5" w14:textId="42D0E6CA" w:rsidR="00E22FF2" w:rsidRPr="00E4265B" w:rsidRDefault="00E22FF2" w:rsidP="00E61DBE">
      <w:pPr>
        <w:pStyle w:val="Heading5"/>
        <w:rPr>
          <w:rFonts w:ascii="Arial" w:hAnsi="Arial" w:cs="Arial"/>
          <w:sz w:val="22"/>
          <w:szCs w:val="22"/>
        </w:rPr>
      </w:pPr>
      <w:r w:rsidRPr="00E4265B">
        <w:rPr>
          <w:rFonts w:ascii="Arial" w:hAnsi="Arial" w:cs="Arial"/>
          <w:sz w:val="22"/>
          <w:szCs w:val="22"/>
        </w:rPr>
        <w:t xml:space="preserve">any securitised Exposure that meets the requirements for the recognition of risk transference in a Traditional Securitisation set out in Section 4.14; </w:t>
      </w:r>
      <w:r w:rsidR="00E61DBE" w:rsidRPr="00E4265B">
        <w:rPr>
          <w:rFonts w:ascii="Arial" w:hAnsi="Arial" w:cs="Arial"/>
          <w:sz w:val="22"/>
          <w:szCs w:val="22"/>
        </w:rPr>
        <w:t>and</w:t>
      </w:r>
    </w:p>
    <w:p w14:paraId="5988B1F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any Exposure classified as a position or instrument in the Trading Book in accordance with Section A2.1.</w:t>
      </w:r>
    </w:p>
    <w:p w14:paraId="6C20D0FC"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To calculate its RWA for CR Exposures, an </w:t>
      </w:r>
      <w:r w:rsidR="000D1A90" w:rsidRPr="00E4265B">
        <w:rPr>
          <w:rFonts w:ascii="Arial" w:hAnsi="Arial" w:cs="Arial"/>
          <w:sz w:val="22"/>
          <w:szCs w:val="22"/>
        </w:rPr>
        <w:t>Authorised Person</w:t>
      </w:r>
      <w:r w:rsidRPr="00E4265B">
        <w:rPr>
          <w:rFonts w:ascii="Arial" w:hAnsi="Arial" w:cs="Arial"/>
          <w:sz w:val="22"/>
          <w:szCs w:val="22"/>
        </w:rPr>
        <w:t xml:space="preserve"> must:</w:t>
      </w:r>
    </w:p>
    <w:p w14:paraId="41FE357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calculate the value of the Exposure (represented as "E") for every on-balance sheet and every off</w:t>
      </w:r>
      <w:r w:rsidRPr="00E4265B">
        <w:rPr>
          <w:rFonts w:ascii="Arial" w:hAnsi="Arial" w:cs="Arial"/>
          <w:sz w:val="22"/>
          <w:szCs w:val="22"/>
        </w:rPr>
        <w:noBreakHyphen/>
        <w:t>balance sheet asset in accordance with the Exposure measurement methodology specified in Section 4.9 and recognising the effects of any applicable CRM;</w:t>
      </w:r>
    </w:p>
    <w:p w14:paraId="505672B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categorise that Exposure in accordance with the Rules in Section 4.10;</w:t>
      </w:r>
    </w:p>
    <w:p w14:paraId="1F7CD2A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allocate an applicable Credit Quality Grade and risk weight for that Exposure in accordance with the Rules in Section 4.11 and 4.12;</w:t>
      </w:r>
    </w:p>
    <w:p w14:paraId="12AAB65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calculate the RWA amount for that Exposure using the following formula: RWA(CR) = E x CRW</w:t>
      </w:r>
    </w:p>
    <w:p w14:paraId="3A215D94" w14:textId="77777777" w:rsidR="00E22FF2" w:rsidRPr="00E4265B" w:rsidRDefault="00E22FF2" w:rsidP="00791F81">
      <w:pPr>
        <w:pStyle w:val="UK12Block10"/>
        <w:rPr>
          <w:rFonts w:ascii="Arial" w:hAnsi="Arial" w:cs="Arial"/>
          <w:sz w:val="22"/>
          <w:szCs w:val="22"/>
          <w:lang w:val="en-GB"/>
        </w:rPr>
      </w:pPr>
      <w:r w:rsidRPr="00E4265B">
        <w:rPr>
          <w:rFonts w:ascii="Arial" w:hAnsi="Arial" w:cs="Arial"/>
          <w:sz w:val="22"/>
          <w:szCs w:val="22"/>
          <w:lang w:val="en-GB"/>
        </w:rPr>
        <w:t>where:</w:t>
      </w:r>
    </w:p>
    <w:p w14:paraId="2D0FBEEC"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"RWA(CR)" refers to the risk</w:t>
      </w:r>
      <w:r w:rsidRPr="00E4265B">
        <w:rPr>
          <w:rFonts w:ascii="Arial" w:hAnsi="Arial" w:cs="Arial"/>
          <w:sz w:val="22"/>
          <w:szCs w:val="22"/>
        </w:rPr>
        <w:noBreakHyphen/>
        <w:t>weighted Exposure amount for that CR Exposure;</w:t>
      </w:r>
    </w:p>
    <w:p w14:paraId="501C3A80"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"E" refers to the Exposure value or amount, for that CR Exposure; and</w:t>
      </w:r>
    </w:p>
    <w:p w14:paraId="65FD2760"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"CRW" refers to the applicable risk weight for that CR Exposure determined in accordance with (b) and (c); and</w:t>
      </w:r>
    </w:p>
    <w:p w14:paraId="3BDC76C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add the RWA amounts calculated in accordance with (d) for all its CR Exposures.</w:t>
      </w:r>
    </w:p>
    <w:p w14:paraId="13C56F29"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Calculation of RWA for securitisation Exposures (SE Exposures)</w:t>
      </w:r>
    </w:p>
    <w:p w14:paraId="18463A9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To calculate its RWA for all its SE Exposures, an </w:t>
      </w:r>
      <w:r w:rsidR="000D1A90" w:rsidRPr="00E4265B">
        <w:rPr>
          <w:rFonts w:ascii="Arial" w:hAnsi="Arial" w:cs="Arial"/>
          <w:sz w:val="22"/>
          <w:szCs w:val="22"/>
        </w:rPr>
        <w:t>Authorised Person</w:t>
      </w:r>
      <w:r w:rsidRPr="00E4265B">
        <w:rPr>
          <w:rFonts w:ascii="Arial" w:hAnsi="Arial" w:cs="Arial"/>
          <w:sz w:val="22"/>
          <w:szCs w:val="22"/>
        </w:rPr>
        <w:t xml:space="preserve"> must:</w:t>
      </w:r>
    </w:p>
    <w:p w14:paraId="594232E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calculate the value of the Exposure for each of its SE Exposures in accordance with Exposure measurement methodology specified in Section 4.9 and recognising the effects of any applicable CRM;</w:t>
      </w:r>
    </w:p>
    <w:p w14:paraId="5BA8B54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allocate an applicable Credit Quality Grade for that SE Exposure in accordance with the Rules in Section 4.11;</w:t>
      </w:r>
    </w:p>
    <w:p w14:paraId="723EE59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calculate the RWA amount for each SE Exposure, except for those SE Exposures which the </w:t>
      </w:r>
      <w:r w:rsidR="000D1A90" w:rsidRPr="00E4265B">
        <w:rPr>
          <w:rFonts w:ascii="Arial" w:hAnsi="Arial" w:cs="Arial"/>
          <w:sz w:val="22"/>
          <w:szCs w:val="22"/>
        </w:rPr>
        <w:t>Authorised Person</w:t>
      </w:r>
      <w:r w:rsidRPr="00E4265B">
        <w:rPr>
          <w:rFonts w:ascii="Arial" w:hAnsi="Arial" w:cs="Arial"/>
          <w:sz w:val="22"/>
          <w:szCs w:val="22"/>
        </w:rPr>
        <w:t xml:space="preserve"> is required to include as deductions from any component of Capital Resources, using the following formula: RWA(SE) = SE x CRW</w:t>
      </w:r>
    </w:p>
    <w:p w14:paraId="71FBB829" w14:textId="77777777" w:rsidR="00E22FF2" w:rsidRPr="00E4265B" w:rsidRDefault="00E22FF2" w:rsidP="00791F81">
      <w:pPr>
        <w:pStyle w:val="UK12Block10"/>
        <w:rPr>
          <w:rFonts w:ascii="Arial" w:hAnsi="Arial" w:cs="Arial"/>
          <w:sz w:val="22"/>
          <w:szCs w:val="22"/>
          <w:lang w:val="en-GB"/>
        </w:rPr>
      </w:pPr>
      <w:r w:rsidRPr="00E4265B">
        <w:rPr>
          <w:rFonts w:ascii="Arial" w:hAnsi="Arial" w:cs="Arial"/>
          <w:sz w:val="22"/>
          <w:szCs w:val="22"/>
          <w:lang w:val="en-GB"/>
        </w:rPr>
        <w:t>where:</w:t>
      </w:r>
    </w:p>
    <w:p w14:paraId="60D4EE1C"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lastRenderedPageBreak/>
        <w:t>"RWA(SE)" refers to the risk</w:t>
      </w:r>
      <w:r w:rsidRPr="00E4265B">
        <w:rPr>
          <w:rFonts w:ascii="Arial" w:hAnsi="Arial" w:cs="Arial"/>
          <w:sz w:val="22"/>
          <w:szCs w:val="22"/>
        </w:rPr>
        <w:noBreakHyphen/>
        <w:t>weighted Exposure amount for that securitisation Exposure;</w:t>
      </w:r>
    </w:p>
    <w:p w14:paraId="63BF93B1"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"SE" refers to the Exposure value or amount for that SE Exposure calculated in accordance with (a); and</w:t>
      </w:r>
    </w:p>
    <w:p w14:paraId="4791E03E"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"CRW" refers to the applicable risk weight for that SE Exposure determined in accordance with (b); and</w:t>
      </w:r>
    </w:p>
    <w:p w14:paraId="4254766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add the RWA amounts calculated in accordance with (c) for all its SE Exposures to the RWA amounts calculated in accordance with Rule 4.8.5 in respect of its Early Amortisation Exposures.</w:t>
      </w:r>
    </w:p>
    <w:p w14:paraId="3D500D8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To calculate its RWA for Early Amortisation Exposures, an </w:t>
      </w:r>
      <w:r w:rsidR="000D1A90" w:rsidRPr="00E4265B">
        <w:rPr>
          <w:rFonts w:ascii="Arial" w:hAnsi="Arial" w:cs="Arial"/>
          <w:sz w:val="22"/>
          <w:szCs w:val="22"/>
        </w:rPr>
        <w:t>Authorised Person</w:t>
      </w:r>
      <w:r w:rsidRPr="00E4265B">
        <w:rPr>
          <w:rFonts w:ascii="Arial" w:hAnsi="Arial" w:cs="Arial"/>
          <w:sz w:val="22"/>
          <w:szCs w:val="22"/>
        </w:rPr>
        <w:t xml:space="preserve"> must:</w:t>
      </w:r>
    </w:p>
    <w:p w14:paraId="4323333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calculate the value of the Exposure (EAE) for each of its Early Amortisation Exposures in accordance with Exposure measurement methodology specified in Section 4.9 and recognising the effects of any applicable CRM;</w:t>
      </w:r>
    </w:p>
    <w:p w14:paraId="387133B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calculate the risk</w:t>
      </w:r>
      <w:r w:rsidRPr="00E4265B">
        <w:rPr>
          <w:rFonts w:ascii="Arial" w:hAnsi="Arial" w:cs="Arial"/>
          <w:sz w:val="22"/>
          <w:szCs w:val="22"/>
        </w:rPr>
        <w:noBreakHyphen/>
        <w:t>weighted Exposure amount for each Early Amortisation Exposure using the following formula: RWA(EAE) = EAE x CRW</w:t>
      </w:r>
    </w:p>
    <w:p w14:paraId="69D94EFD" w14:textId="77777777" w:rsidR="00E22FF2" w:rsidRPr="00E4265B" w:rsidRDefault="00E22FF2" w:rsidP="00791F81">
      <w:pPr>
        <w:pStyle w:val="UK12Block10"/>
        <w:rPr>
          <w:rFonts w:ascii="Arial" w:hAnsi="Arial" w:cs="Arial"/>
          <w:sz w:val="22"/>
          <w:szCs w:val="22"/>
          <w:lang w:val="en-GB"/>
        </w:rPr>
      </w:pPr>
      <w:r w:rsidRPr="00E4265B">
        <w:rPr>
          <w:rFonts w:ascii="Arial" w:hAnsi="Arial" w:cs="Arial"/>
          <w:sz w:val="22"/>
          <w:szCs w:val="22"/>
          <w:lang w:val="en-GB"/>
        </w:rPr>
        <w:t>where:</w:t>
      </w:r>
    </w:p>
    <w:p w14:paraId="50B82E81"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"RWA(EAE)" refers to the risk</w:t>
      </w:r>
      <w:r w:rsidRPr="00E4265B">
        <w:rPr>
          <w:rFonts w:ascii="Arial" w:hAnsi="Arial" w:cs="Arial"/>
          <w:sz w:val="22"/>
          <w:szCs w:val="22"/>
        </w:rPr>
        <w:noBreakHyphen/>
        <w:t>weighted Exposure amount for that Early Amortisation Exposure;</w:t>
      </w:r>
    </w:p>
    <w:p w14:paraId="44DCE899"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"EAE" refers to the Exposure value or amount, for that Early Amortisation Exposure calculated in accordance with (a); and</w:t>
      </w:r>
    </w:p>
    <w:p w14:paraId="69D41856"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"CRW" refers to the applicable risk weight for the underlying Exposure type as if the Exposure had not been securitised; and</w:t>
      </w:r>
    </w:p>
    <w:p w14:paraId="08B6848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add the RWA amounts calculated in accordance with (b) for all its Early Amortisation Exposures.</w:t>
      </w:r>
    </w:p>
    <w:p w14:paraId="5D069DA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The aggregate RWA amount for all of the SE Exposures of an </w:t>
      </w:r>
      <w:r w:rsidR="000D1A90" w:rsidRPr="00E4265B">
        <w:rPr>
          <w:rFonts w:ascii="Arial" w:hAnsi="Arial" w:cs="Arial"/>
          <w:sz w:val="22"/>
          <w:szCs w:val="22"/>
        </w:rPr>
        <w:t>Authorised Person</w:t>
      </w:r>
      <w:r w:rsidRPr="00E4265B">
        <w:rPr>
          <w:rFonts w:ascii="Arial" w:hAnsi="Arial" w:cs="Arial"/>
          <w:sz w:val="22"/>
          <w:szCs w:val="22"/>
        </w:rPr>
        <w:t xml:space="preserve"> to a securitisation and Exposures arising from CRM applied to those SE Exposures must not exceed the aggregate RWA amount corresponding to the underlying Exposures of the securitisation had they been on the balance sheet of the </w:t>
      </w:r>
      <w:r w:rsidR="000D1A90" w:rsidRPr="00E4265B">
        <w:rPr>
          <w:rFonts w:ascii="Arial" w:hAnsi="Arial" w:cs="Arial"/>
          <w:sz w:val="22"/>
          <w:szCs w:val="22"/>
        </w:rPr>
        <w:t>Authorised Person</w:t>
      </w:r>
      <w:r w:rsidRPr="00E4265B">
        <w:rPr>
          <w:rFonts w:ascii="Arial" w:hAnsi="Arial" w:cs="Arial"/>
          <w:sz w:val="22"/>
          <w:szCs w:val="22"/>
        </w:rPr>
        <w:t xml:space="preserve"> and included in the calculation of the Credit RWA of the </w:t>
      </w:r>
      <w:r w:rsidR="000D1A90" w:rsidRPr="00E4265B">
        <w:rPr>
          <w:rFonts w:ascii="Arial" w:hAnsi="Arial" w:cs="Arial"/>
          <w:sz w:val="22"/>
          <w:szCs w:val="22"/>
        </w:rPr>
        <w:t>Authorised Person</w:t>
      </w:r>
      <w:r w:rsidRPr="00E4265B">
        <w:rPr>
          <w:rFonts w:ascii="Arial" w:hAnsi="Arial" w:cs="Arial"/>
          <w:sz w:val="22"/>
          <w:szCs w:val="22"/>
        </w:rPr>
        <w:t>. For avoidance of doubt, the aggregate RWA amount must not include any deduction for a gain</w:t>
      </w:r>
      <w:r w:rsidRPr="00E4265B">
        <w:rPr>
          <w:rFonts w:ascii="Arial" w:hAnsi="Arial" w:cs="Arial"/>
          <w:sz w:val="22"/>
          <w:szCs w:val="22"/>
        </w:rPr>
        <w:noBreakHyphen/>
        <w:t>on</w:t>
      </w:r>
      <w:r w:rsidRPr="00E4265B">
        <w:rPr>
          <w:rFonts w:ascii="Arial" w:hAnsi="Arial" w:cs="Arial"/>
          <w:sz w:val="22"/>
          <w:szCs w:val="22"/>
        </w:rPr>
        <w:noBreakHyphen/>
        <w:t>sale or a Credit</w:t>
      </w:r>
      <w:r w:rsidRPr="00E4265B">
        <w:rPr>
          <w:rFonts w:ascii="Arial" w:hAnsi="Arial" w:cs="Arial"/>
          <w:sz w:val="22"/>
          <w:szCs w:val="22"/>
        </w:rPr>
        <w:noBreakHyphen/>
        <w:t>Enhancing Interest</w:t>
      </w:r>
      <w:r w:rsidRPr="00E4265B">
        <w:rPr>
          <w:rFonts w:ascii="Arial" w:hAnsi="Arial" w:cs="Arial"/>
          <w:sz w:val="22"/>
          <w:szCs w:val="22"/>
        </w:rPr>
        <w:noBreakHyphen/>
        <w:t>Only Strip arising from the securitisation.</w:t>
      </w:r>
    </w:p>
    <w:p w14:paraId="61DB30D6" w14:textId="77777777" w:rsidR="00E22FF2" w:rsidRPr="00E4265B" w:rsidRDefault="00E22FF2" w:rsidP="00246497">
      <w:pPr>
        <w:pStyle w:val="Heading3"/>
        <w:rPr>
          <w:rFonts w:ascii="Arial" w:hAnsi="Arial" w:cs="Arial"/>
          <w:sz w:val="22"/>
          <w:szCs w:val="22"/>
        </w:rPr>
      </w:pPr>
      <w:bookmarkStart w:id="375" w:name="_Toc403223949"/>
      <w:bookmarkStart w:id="376" w:name="_Toc403253987"/>
      <w:bookmarkStart w:id="377" w:name="_Toc403273387"/>
      <w:bookmarkStart w:id="378" w:name="_Toc403273536"/>
      <w:bookmarkStart w:id="379" w:name="_Toc403274495"/>
      <w:bookmarkStart w:id="380" w:name="_Toc403279991"/>
      <w:bookmarkStart w:id="381" w:name="_Toc404285792"/>
      <w:bookmarkStart w:id="382" w:name="_Toc404621741"/>
      <w:bookmarkStart w:id="383" w:name="_Toc404624382"/>
      <w:bookmarkStart w:id="384" w:name="_Toc33622408"/>
      <w:r w:rsidRPr="00E4265B">
        <w:rPr>
          <w:rFonts w:ascii="Arial" w:hAnsi="Arial" w:cs="Arial"/>
          <w:sz w:val="22"/>
          <w:szCs w:val="22"/>
        </w:rPr>
        <w:t>Methodology for measurement of Exposures</w:t>
      </w:r>
      <w:bookmarkEnd w:id="375"/>
      <w:bookmarkEnd w:id="376"/>
      <w:bookmarkEnd w:id="377"/>
      <w:bookmarkEnd w:id="378"/>
      <w:bookmarkEnd w:id="379"/>
      <w:bookmarkEnd w:id="380"/>
      <w:bookmarkEnd w:id="381"/>
      <w:bookmarkEnd w:id="382"/>
      <w:bookmarkEnd w:id="383"/>
      <w:bookmarkEnd w:id="384"/>
    </w:p>
    <w:p w14:paraId="30ED76C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apply the Exposure measurement methodology set out in the Rules in this part to calculate the value or amount of an Exposure for any CR Exposure or SE Exposure.</w:t>
      </w:r>
    </w:p>
    <w:p w14:paraId="20F2A5DC"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17D19C2D"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The measurement methodology in this Section prescribes the manner of calculation of Exposures for the purpose of determining the Credit RWA for </w:t>
      </w:r>
      <w:r w:rsidRPr="00E4265B">
        <w:rPr>
          <w:rFonts w:ascii="Arial" w:hAnsi="Arial" w:cs="Arial"/>
          <w:sz w:val="22"/>
          <w:szCs w:val="22"/>
          <w:lang w:val="en-GB"/>
        </w:rPr>
        <w:lastRenderedPageBreak/>
        <w:t>Credit Risk (CR) Exposures as provided in Rule 4.8.3 and for securitisation (SE) Exposures as provided in Rule 4.8.4.</w:t>
      </w:r>
    </w:p>
    <w:p w14:paraId="5F61271D"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Due regard should be given to the Guidance relating to prudent valuation in Section 2.4 and related provisions in App2.5.</w:t>
      </w:r>
    </w:p>
    <w:p w14:paraId="2D26694A" w14:textId="77777777" w:rsidR="00E22FF2" w:rsidRPr="00E4265B" w:rsidRDefault="00E22FF2" w:rsidP="008F5C01">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consult with the Regulator on the appropriate treatment to apply in the measurement of E, for transactions that have not been addressed in this part.</w:t>
      </w:r>
    </w:p>
    <w:p w14:paraId="35A208FC"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calculate E for any CR Exposure or SE Exposure, net of any individual impairment provision attributable to such Exposures, as determined in accordance with the International Financial Reporting Standards.</w:t>
      </w:r>
    </w:p>
    <w:p w14:paraId="243F81DE"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Measurement of E for on</w:t>
      </w:r>
      <w:r w:rsidRPr="00E4265B">
        <w:rPr>
          <w:rFonts w:ascii="Arial" w:hAnsi="Arial" w:cs="Arial"/>
          <w:sz w:val="22"/>
          <w:szCs w:val="22"/>
          <w:lang w:val="en-GB"/>
        </w:rPr>
        <w:noBreakHyphen/>
        <w:t>balance sheet assets</w:t>
      </w:r>
    </w:p>
    <w:p w14:paraId="3365DEB7" w14:textId="2C98B643" w:rsidR="00E22FF2" w:rsidRPr="00E4265B" w:rsidRDefault="00E22FF2" w:rsidP="00E61DBE">
      <w:pPr>
        <w:pStyle w:val="Heading4"/>
        <w:rPr>
          <w:rFonts w:ascii="Arial" w:hAnsi="Arial" w:cs="Arial"/>
          <w:sz w:val="22"/>
          <w:szCs w:val="22"/>
        </w:rPr>
      </w:pPr>
      <w:r w:rsidRPr="00E4265B">
        <w:rPr>
          <w:rFonts w:ascii="Arial" w:hAnsi="Arial" w:cs="Arial"/>
          <w:sz w:val="22"/>
          <w:szCs w:val="22"/>
        </w:rPr>
        <w:t>For each on</w:t>
      </w:r>
      <w:r w:rsidRPr="00E4265B">
        <w:rPr>
          <w:rFonts w:ascii="Arial" w:hAnsi="Arial" w:cs="Arial"/>
          <w:sz w:val="22"/>
          <w:szCs w:val="22"/>
        </w:rPr>
        <w:noBreakHyphen/>
        <w:t xml:space="preserve">balance sheet asset, E should be the </w:t>
      </w:r>
      <w:r w:rsidR="00E61DBE" w:rsidRPr="00E4265B">
        <w:rPr>
          <w:rFonts w:ascii="Arial" w:hAnsi="Arial" w:cs="Arial"/>
          <w:sz w:val="22"/>
          <w:szCs w:val="22"/>
        </w:rPr>
        <w:t>C</w:t>
      </w:r>
      <w:r w:rsidRPr="00E4265B">
        <w:rPr>
          <w:rFonts w:ascii="Arial" w:hAnsi="Arial" w:cs="Arial"/>
          <w:sz w:val="22"/>
          <w:szCs w:val="22"/>
        </w:rPr>
        <w:t>arr</w:t>
      </w:r>
      <w:r w:rsidR="00E61DBE" w:rsidRPr="00E4265B">
        <w:rPr>
          <w:rFonts w:ascii="Arial" w:hAnsi="Arial" w:cs="Arial"/>
          <w:sz w:val="22"/>
          <w:szCs w:val="22"/>
        </w:rPr>
        <w:t>ying V</w:t>
      </w:r>
      <w:r w:rsidRPr="00E4265B">
        <w:rPr>
          <w:rFonts w:ascii="Arial" w:hAnsi="Arial" w:cs="Arial"/>
          <w:sz w:val="22"/>
          <w:szCs w:val="22"/>
        </w:rPr>
        <w:t>alue of the asset.</w:t>
      </w:r>
    </w:p>
    <w:p w14:paraId="661DEDBE"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25367501"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For any asset, E should be equal to the fair value of that asset presented in the balance sheet, except that:</w:t>
      </w:r>
    </w:p>
    <w:p w14:paraId="35337F2E"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for any asset held at cost, E should be equal to the cost of the asset presented in the balance sheet; and</w:t>
      </w:r>
    </w:p>
    <w:p w14:paraId="13A2DD0F"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for any available</w:t>
      </w:r>
      <w:r w:rsidRPr="00E4265B">
        <w:rPr>
          <w:rFonts w:ascii="Arial" w:hAnsi="Arial" w:cs="Arial"/>
          <w:sz w:val="22"/>
          <w:szCs w:val="22"/>
          <w:lang w:val="en-GB"/>
        </w:rPr>
        <w:noBreakHyphen/>
        <w:t>for</w:t>
      </w:r>
      <w:r w:rsidRPr="00E4265B">
        <w:rPr>
          <w:rFonts w:ascii="Arial" w:hAnsi="Arial" w:cs="Arial"/>
          <w:sz w:val="22"/>
          <w:szCs w:val="22"/>
          <w:lang w:val="en-GB"/>
        </w:rPr>
        <w:noBreakHyphen/>
        <w:t>sale (AFS) debt security or AFS loan, E, should be equal to the fair value less provision for impairment of that AFS debt security or AFS loan, adjusted by deducting any unrealised fair value gains and adding back any unrealised fair value losses on revaluation (broadly equivalent to the amortised cost of the AFS debt security or AFS loan less any provision for impairment).</w:t>
      </w:r>
    </w:p>
    <w:p w14:paraId="6A0737A7"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In the case of a lease where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exposed to residual value risk (i.e. potential loss due to the fair value of the leased asset declining below the estimate of its residual value reflected on the balance sheet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at lease inception),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calculate (i) an Exposure to the lessee equivalent to the discounted lease payment stream; and (ii) an Exposure to the residual value of the leased assets equivalent to the estimate of the residual value reflected in the balance sheet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31EEEC24"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Any foreign exchange transaction or translation gain or loss from a foreign currency</w:t>
      </w:r>
      <w:r w:rsidRPr="00E4265B">
        <w:rPr>
          <w:rFonts w:ascii="Arial" w:hAnsi="Arial" w:cs="Arial"/>
          <w:sz w:val="22"/>
          <w:szCs w:val="22"/>
          <w:lang w:val="en-GB"/>
        </w:rPr>
        <w:noBreakHyphen/>
        <w:t>denominated on</w:t>
      </w:r>
      <w:r w:rsidRPr="00E4265B">
        <w:rPr>
          <w:rFonts w:ascii="Arial" w:hAnsi="Arial" w:cs="Arial"/>
          <w:sz w:val="22"/>
          <w:szCs w:val="22"/>
          <w:lang w:val="en-GB"/>
        </w:rPr>
        <w:noBreakHyphen/>
        <w:t>balance sheet item as well as interest earned on a fixed income instrument should be allocated to the Exposure to which it accrues.</w:t>
      </w:r>
    </w:p>
    <w:p w14:paraId="35E5FF30"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Measurement of E for off</w:t>
      </w:r>
      <w:r w:rsidRPr="00E4265B">
        <w:rPr>
          <w:rFonts w:ascii="Arial" w:hAnsi="Arial" w:cs="Arial"/>
          <w:sz w:val="22"/>
          <w:szCs w:val="22"/>
          <w:lang w:val="en-GB"/>
        </w:rPr>
        <w:noBreakHyphen/>
        <w:t>balance sheet items other than Counterparty Risk Exposures</w:t>
      </w:r>
    </w:p>
    <w:p w14:paraId="537BB3AC" w14:textId="77777777" w:rsidR="00E22FF2" w:rsidRPr="00E4265B" w:rsidRDefault="00E22FF2" w:rsidP="00AF6EE8">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For each off</w:t>
      </w:r>
      <w:r w:rsidRPr="00E4265B">
        <w:rPr>
          <w:rFonts w:ascii="Arial" w:hAnsi="Arial" w:cs="Arial"/>
          <w:sz w:val="22"/>
          <w:szCs w:val="22"/>
        </w:rPr>
        <w:noBreakHyphen/>
        <w:t>balance sheet item other than a pre</w:t>
      </w:r>
      <w:r w:rsidRPr="00E4265B">
        <w:rPr>
          <w:rFonts w:ascii="Arial" w:hAnsi="Arial" w:cs="Arial"/>
          <w:sz w:val="22"/>
          <w:szCs w:val="22"/>
        </w:rPr>
        <w:noBreakHyphen/>
        <w:t xml:space="preserve">settlement Counterparty Exposure arising from an OTC Derivative transaction, long settlement transaction or </w:t>
      </w:r>
      <w:r w:rsidR="002E3A51" w:rsidRPr="00E4265B">
        <w:rPr>
          <w:rFonts w:ascii="Arial" w:hAnsi="Arial" w:cs="Arial"/>
          <w:sz w:val="22"/>
          <w:szCs w:val="22"/>
        </w:rPr>
        <w:t>Securities Financing Transaction</w:t>
      </w:r>
      <w:r w:rsidRPr="00E4265B">
        <w:rPr>
          <w:rFonts w:ascii="Arial" w:hAnsi="Arial" w:cs="Arial"/>
          <w:sz w:val="22"/>
          <w:szCs w:val="22"/>
        </w:rPr>
        <w:t xml:space="preserve"> (referred to in these Rules as an "SFT") an </w:t>
      </w:r>
      <w:r w:rsidR="000D1A90" w:rsidRPr="00E4265B">
        <w:rPr>
          <w:rFonts w:ascii="Arial" w:hAnsi="Arial" w:cs="Arial"/>
          <w:sz w:val="22"/>
          <w:szCs w:val="22"/>
        </w:rPr>
        <w:t>Authorised Person</w:t>
      </w:r>
      <w:r w:rsidRPr="00E4265B">
        <w:rPr>
          <w:rFonts w:ascii="Arial" w:hAnsi="Arial" w:cs="Arial"/>
          <w:sz w:val="22"/>
          <w:szCs w:val="22"/>
        </w:rPr>
        <w:t xml:space="preserve"> must calculate E by:</w:t>
      </w:r>
    </w:p>
    <w:p w14:paraId="4BA8A227"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t>in the case of an Early Amortisation Exposure, multiplying the amount of investors' interest by the applicable CCF set out in Rules A4.2.1 and A4.2.2 in App4; and</w:t>
      </w:r>
    </w:p>
    <w:p w14:paraId="1F6195C0"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in all other cases, multiplying the notional amount of each item by:</w:t>
      </w:r>
    </w:p>
    <w:p w14:paraId="7DBAA995"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 applicable CCF set out in Rule A4.2.1 in App4 if that item is a CR Exposure; or</w:t>
      </w:r>
    </w:p>
    <w:p w14:paraId="7D08BA3A"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the applicable CCF set out in Rule A4.2.2 in App4 if that item is an SE Exposure.</w:t>
      </w:r>
    </w:p>
    <w:p w14:paraId="52DD4213"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0D3CA840"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which is exposed to the risk of the underlying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in an OTC Derivative transaction, long settlement transaction or SFT which is in substance similar to a forward purchase or credit substitute should calculate E, for such an Exposure, in accordance with Rule 4.9.4(1).</w:t>
      </w:r>
    </w:p>
    <w:p w14:paraId="6B0F4E74"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Investors' interest is defined as the sum of:</w:t>
      </w:r>
    </w:p>
    <w:p w14:paraId="4541A29D"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investors' drawn balances related to the securitised Exposures; and</w:t>
      </w:r>
    </w:p>
    <w:p w14:paraId="02083F39"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E associated with investors' undrawn balances related to the SE Exposures. E is determined by allocating the undrawn balances of securitised Exposures on a pro</w:t>
      </w:r>
      <w:r w:rsidRPr="00E4265B">
        <w:rPr>
          <w:rFonts w:ascii="Arial" w:hAnsi="Arial" w:cs="Arial"/>
          <w:sz w:val="22"/>
          <w:szCs w:val="22"/>
          <w:lang w:val="en-GB"/>
        </w:rPr>
        <w:noBreakHyphen/>
        <w:t>rata basis based on the proportions of the Originator's and investor </w:t>
      </w:r>
      <w:r w:rsidR="00202EF6" w:rsidRPr="00E4265B">
        <w:rPr>
          <w:rFonts w:ascii="Arial" w:hAnsi="Arial" w:cs="Arial"/>
          <w:sz w:val="22"/>
          <w:szCs w:val="22"/>
          <w:lang w:val="en-GB"/>
        </w:rPr>
        <w:t>Share</w:t>
      </w:r>
      <w:r w:rsidRPr="00E4265B">
        <w:rPr>
          <w:rFonts w:ascii="Arial" w:hAnsi="Arial" w:cs="Arial"/>
          <w:sz w:val="22"/>
          <w:szCs w:val="22"/>
          <w:lang w:val="en-GB"/>
        </w:rPr>
        <w:t>s of the securitised drawn balances.</w:t>
      </w:r>
    </w:p>
    <w:p w14:paraId="116E2D8D"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For avoidance of doubt, 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provided unfunded credit protection via a total rate of return swap, E should be equal to the notional amount of the underlying reference credit for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providing protection adjusted for any payments received from or made to the protection buyer and recognised in the profit and loss account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provided unfunded credit protection via a credit default swap, E should be equal to the notional amount of the underlying reference credit for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providing protection.</w:t>
      </w:r>
    </w:p>
    <w:p w14:paraId="4AD62469" w14:textId="0D700C6A" w:rsidR="00E22FF2" w:rsidRPr="00E4265B" w:rsidRDefault="00E22FF2" w:rsidP="006D4397">
      <w:pPr>
        <w:pStyle w:val="1List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The notional amount of an off</w:t>
      </w:r>
      <w:r w:rsidRPr="00E4265B">
        <w:rPr>
          <w:rFonts w:ascii="Arial" w:hAnsi="Arial" w:cs="Arial"/>
          <w:sz w:val="22"/>
          <w:szCs w:val="22"/>
          <w:lang w:val="en-GB"/>
        </w:rPr>
        <w:noBreakHyphen/>
        <w:t xml:space="preserve">balance sheet item refers to the amount which has been committed but is as yet undrawn. The amount to which the CCF is applied is the lower of the value of the unused committed credit line, and the value which reflects any possible constraining availability of the facility, such as the existence of a ceiling on the potential lending amount which is related to an obligor's reported cash flow. If the facility is constrained in this way,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t>
      </w:r>
      <w:r w:rsidR="006D4397" w:rsidRPr="00E4265B">
        <w:rPr>
          <w:rFonts w:ascii="Arial" w:hAnsi="Arial" w:cs="Arial"/>
          <w:sz w:val="22"/>
          <w:szCs w:val="22"/>
          <w:lang w:val="en-GB"/>
        </w:rPr>
        <w:t>must</w:t>
      </w:r>
      <w:r w:rsidRPr="00E4265B">
        <w:rPr>
          <w:rFonts w:ascii="Arial" w:hAnsi="Arial" w:cs="Arial"/>
          <w:sz w:val="22"/>
          <w:szCs w:val="22"/>
          <w:lang w:val="en-GB"/>
        </w:rPr>
        <w:t xml:space="preserve"> have sufficient line monitoring and management procedures to support this contention.</w:t>
      </w:r>
    </w:p>
    <w:p w14:paraId="143FA4BE"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Any foreign exchange transaction or translation gain or loss from a foreign currency</w:t>
      </w:r>
      <w:r w:rsidRPr="00E4265B">
        <w:rPr>
          <w:rFonts w:ascii="Arial" w:hAnsi="Arial" w:cs="Arial"/>
          <w:sz w:val="22"/>
          <w:szCs w:val="22"/>
          <w:lang w:val="en-GB"/>
        </w:rPr>
        <w:noBreakHyphen/>
        <w:t>denominated off</w:t>
      </w:r>
      <w:r w:rsidRPr="00E4265B">
        <w:rPr>
          <w:rFonts w:ascii="Arial" w:hAnsi="Arial" w:cs="Arial"/>
          <w:sz w:val="22"/>
          <w:szCs w:val="22"/>
          <w:lang w:val="en-GB"/>
        </w:rPr>
        <w:noBreakHyphen/>
        <w:t>balance sheet item should be allocated to the Exposure to which it accrues.</w:t>
      </w:r>
    </w:p>
    <w:p w14:paraId="689FC345"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lastRenderedPageBreak/>
        <w:t>Recognition of eligible financial Collateral for on</w:t>
      </w:r>
      <w:r w:rsidRPr="00E4265B">
        <w:rPr>
          <w:rFonts w:ascii="Arial" w:hAnsi="Arial" w:cs="Arial"/>
          <w:sz w:val="22"/>
          <w:szCs w:val="22"/>
          <w:lang w:val="en-GB"/>
        </w:rPr>
        <w:noBreakHyphen/>
        <w:t>balance sheet assets and off</w:t>
      </w:r>
      <w:r w:rsidRPr="00E4265B">
        <w:rPr>
          <w:rFonts w:ascii="Arial" w:hAnsi="Arial" w:cs="Arial"/>
          <w:sz w:val="22"/>
          <w:szCs w:val="22"/>
          <w:lang w:val="en-GB"/>
        </w:rPr>
        <w:noBreakHyphen/>
        <w:t>balance sheet items other than Counterparty Exposures</w:t>
      </w:r>
    </w:p>
    <w:p w14:paraId="54131B63" w14:textId="77777777" w:rsidR="00E22FF2" w:rsidRPr="00E4265B" w:rsidRDefault="00E22FF2" w:rsidP="00AF6EE8">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which has taken eligible financial Collateral for any transaction other than an equity Exposure, an SE Exposure, an OTC Derivative transaction, long settlement transaction or SFT may recognise the effect of such Collateral in accordance with Rules 4.9.6 and 4.9.7.</w:t>
      </w:r>
    </w:p>
    <w:p w14:paraId="7C0E7F53"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use either the:</w:t>
      </w:r>
    </w:p>
    <w:p w14:paraId="5337959A"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Financial Collateral Simplified Approach (FCSA) which adopts the treatment under Rule 4.13.5 in relation to the composition of financial Collateral; or</w:t>
      </w:r>
    </w:p>
    <w:p w14:paraId="167317EE"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Financial Collateral Comprehensive Approach (FCCA) which adopts the treatment under Rule 4.13.6;</w:t>
      </w:r>
    </w:p>
    <w:p w14:paraId="5869B6EA"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to recognise the effect of eligible financial Collateral.</w:t>
      </w:r>
    </w:p>
    <w:p w14:paraId="6A9B0459"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apply the chosen approach consistently to its entire Non</w:t>
      </w:r>
      <w:r w:rsidRPr="00E4265B">
        <w:rPr>
          <w:rFonts w:ascii="Arial" w:hAnsi="Arial" w:cs="Arial"/>
          <w:sz w:val="22"/>
          <w:szCs w:val="22"/>
          <w:lang w:val="en-GB"/>
        </w:rPr>
        <w:noBreakHyphen/>
        <w:t>Trading Book and must not use a combination of both approaches.</w:t>
      </w:r>
    </w:p>
    <w:p w14:paraId="5802C64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using the FCSA may recognise the effect of eligible financial Collateral in accordance with the Rules in Section 4.13.</w:t>
      </w:r>
    </w:p>
    <w:p w14:paraId="7D7CE2C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using the FCCA may calculate the CR Exposure adjusted for eligible financial Collateral (referred to in these Rules as "E*"), in accordance with Rules in Section A4.3 of App4 and substitute E* for E when calculating the Credit Risk</w:t>
      </w:r>
      <w:r w:rsidRPr="00E4265B">
        <w:rPr>
          <w:rFonts w:ascii="Arial" w:hAnsi="Arial" w:cs="Arial"/>
          <w:sz w:val="22"/>
          <w:szCs w:val="22"/>
        </w:rPr>
        <w:noBreakHyphen/>
        <w:t>weighted Exposure amount for that CR Exposure under Section 4.8.</w:t>
      </w:r>
    </w:p>
    <w:p w14:paraId="3B1623AC"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Recognition of eligible financial Collateral for securitisation (SE) Exposures</w:t>
      </w:r>
    </w:p>
    <w:p w14:paraId="5B635CB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that has taken eligible financial Collateral for an SE Exposure may recognise the effect of such Collateral in accordance with Rules 4.9.9 to 4.9.11.</w:t>
      </w:r>
    </w:p>
    <w:p w14:paraId="0DE8D38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calculating RWAs for SE Exposures must use either the FCSA or the FCCA approaches to recognise the effect of eligible financial Collateral. An </w:t>
      </w:r>
      <w:r w:rsidR="000D1A90" w:rsidRPr="00E4265B">
        <w:rPr>
          <w:rFonts w:ascii="Arial" w:hAnsi="Arial" w:cs="Arial"/>
          <w:sz w:val="22"/>
          <w:szCs w:val="22"/>
        </w:rPr>
        <w:t>Authorised Person</w:t>
      </w:r>
      <w:r w:rsidRPr="00E4265B">
        <w:rPr>
          <w:rFonts w:ascii="Arial" w:hAnsi="Arial" w:cs="Arial"/>
          <w:sz w:val="22"/>
          <w:szCs w:val="22"/>
        </w:rPr>
        <w:t xml:space="preserve"> must apply the chosen approach consistently to the entire Non-Trading Book and must not use a combination of both approaches.</w:t>
      </w:r>
    </w:p>
    <w:p w14:paraId="38072C2C"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using the FCSA approach for an SE Exposure may recognise the effect of eligible financial Collateral in accordance with Section 4.13 and Rule 4.14.70.</w:t>
      </w:r>
    </w:p>
    <w:p w14:paraId="063656D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using the FCCA approach for an SE Exposure must calculate E*, the SE Exposure adjusted for eligible financial Collateral, in accordance with Rules in Section A4.3 of App4 and substitute E* for E when calculating the RWA for SE Exposure under Section 4.8.</w:t>
      </w:r>
    </w:p>
    <w:p w14:paraId="6DAD9106"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Measurement of E for Counterparty Exposures</w:t>
      </w:r>
    </w:p>
    <w:p w14:paraId="36A1921C"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6F6F0A9F"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Rules 4.19.12 to 4.19.21 should be read in conjunction with Sections A4.6 to A4.8.</w:t>
      </w:r>
    </w:p>
    <w:p w14:paraId="11F7566C"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lastRenderedPageBreak/>
        <w:t>Measurement of E for Counterparty Exposures arising from OTC Derivative transactions and long settlement transactions</w:t>
      </w:r>
    </w:p>
    <w:p w14:paraId="58BB2CF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For each OTC Derivative transaction or long settlement transaction which is not covered by a qualifying cross</w:t>
      </w:r>
      <w:r w:rsidRPr="00E4265B">
        <w:rPr>
          <w:rFonts w:ascii="Arial" w:hAnsi="Arial" w:cs="Arial"/>
          <w:sz w:val="22"/>
          <w:szCs w:val="22"/>
        </w:rPr>
        <w:noBreakHyphen/>
        <w:t xml:space="preserve">product Netting agreement, an </w:t>
      </w:r>
      <w:r w:rsidR="000D1A90" w:rsidRPr="00E4265B">
        <w:rPr>
          <w:rFonts w:ascii="Arial" w:hAnsi="Arial" w:cs="Arial"/>
          <w:sz w:val="22"/>
          <w:szCs w:val="22"/>
        </w:rPr>
        <w:t>Authorised Person</w:t>
      </w:r>
      <w:r w:rsidRPr="00E4265B">
        <w:rPr>
          <w:rFonts w:ascii="Arial" w:hAnsi="Arial" w:cs="Arial"/>
          <w:sz w:val="22"/>
          <w:szCs w:val="22"/>
        </w:rPr>
        <w:t xml:space="preserve"> should calculate E for the pre</w:t>
      </w:r>
      <w:r w:rsidRPr="00E4265B">
        <w:rPr>
          <w:rFonts w:ascii="Arial" w:hAnsi="Arial" w:cs="Arial"/>
          <w:sz w:val="22"/>
          <w:szCs w:val="22"/>
        </w:rPr>
        <w:noBreakHyphen/>
        <w:t>settlement Counterparty Exposure arising from that OTC Derivative transaction or long settlement transaction using the method set out in Sections A4.6 to A4.8.</w:t>
      </w:r>
    </w:p>
    <w:p w14:paraId="1FBA2295"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Measurement of E for pre</w:t>
      </w:r>
      <w:r w:rsidRPr="00E4265B">
        <w:rPr>
          <w:rFonts w:ascii="Arial" w:hAnsi="Arial" w:cs="Arial"/>
          <w:sz w:val="22"/>
          <w:szCs w:val="22"/>
          <w:lang w:val="en-GB"/>
        </w:rPr>
        <w:noBreakHyphen/>
        <w:t>settlement Counterparty Exposures arising from SFTs</w:t>
      </w:r>
    </w:p>
    <w:p w14:paraId="42CD6FD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An SFT must be treated as collateralised lending, notwithstanding the wide range of structures which could be used for SFTs.</w:t>
      </w:r>
    </w:p>
    <w:p w14:paraId="5E48706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calculate E, for a pre</w:t>
      </w:r>
      <w:r w:rsidRPr="00E4265B">
        <w:rPr>
          <w:rFonts w:ascii="Arial" w:hAnsi="Arial" w:cs="Arial"/>
          <w:sz w:val="22"/>
          <w:szCs w:val="22"/>
        </w:rPr>
        <w:noBreakHyphen/>
        <w:t>settlement Counterparty Exposure arising from an SFT, other than an Exposure covered by a qualifying cross</w:t>
      </w:r>
      <w:r w:rsidRPr="00E4265B">
        <w:rPr>
          <w:rFonts w:ascii="Arial" w:hAnsi="Arial" w:cs="Arial"/>
          <w:sz w:val="22"/>
          <w:szCs w:val="22"/>
        </w:rPr>
        <w:noBreakHyphen/>
        <w:t>product Netting agreement, in accordance with Rules 4.9.15 to 4.9.20.</w:t>
      </w:r>
    </w:p>
    <w:p w14:paraId="1C0D35CD"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determine E, for a pre</w:t>
      </w:r>
      <w:r w:rsidRPr="00E4265B">
        <w:rPr>
          <w:rFonts w:ascii="Arial" w:hAnsi="Arial" w:cs="Arial"/>
          <w:sz w:val="22"/>
          <w:szCs w:val="22"/>
        </w:rPr>
        <w:noBreakHyphen/>
        <w:t>settlement Counterparty Exposure arising from an SFT which is not covered by a qualifying cross</w:t>
      </w:r>
      <w:r w:rsidRPr="00E4265B">
        <w:rPr>
          <w:rFonts w:ascii="Arial" w:hAnsi="Arial" w:cs="Arial"/>
          <w:sz w:val="22"/>
          <w:szCs w:val="22"/>
        </w:rPr>
        <w:noBreakHyphen/>
        <w:t>product Netting agreement as follows:</w:t>
      </w:r>
    </w:p>
    <w:p w14:paraId="41D5C22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in the case where the </w:t>
      </w:r>
      <w:r w:rsidR="000D1A90" w:rsidRPr="00E4265B">
        <w:rPr>
          <w:rFonts w:ascii="Arial" w:hAnsi="Arial" w:cs="Arial"/>
          <w:sz w:val="22"/>
          <w:szCs w:val="22"/>
        </w:rPr>
        <w:t>Authorised Person</w:t>
      </w:r>
      <w:r w:rsidRPr="00E4265B">
        <w:rPr>
          <w:rFonts w:ascii="Arial" w:hAnsi="Arial" w:cs="Arial"/>
          <w:sz w:val="22"/>
          <w:szCs w:val="22"/>
        </w:rPr>
        <w:t xml:space="preserve"> has lent </w:t>
      </w:r>
      <w:r w:rsidR="00877CEA" w:rsidRPr="00E4265B">
        <w:rPr>
          <w:rFonts w:ascii="Arial" w:hAnsi="Arial" w:cs="Arial"/>
          <w:sz w:val="22"/>
          <w:szCs w:val="22"/>
        </w:rPr>
        <w:t>Securities</w:t>
      </w:r>
      <w:r w:rsidRPr="00E4265B">
        <w:rPr>
          <w:rFonts w:ascii="Arial" w:hAnsi="Arial" w:cs="Arial"/>
          <w:sz w:val="22"/>
          <w:szCs w:val="22"/>
        </w:rPr>
        <w:t xml:space="preserve"> to a Counterparty or sold </w:t>
      </w:r>
      <w:r w:rsidR="00877CEA" w:rsidRPr="00E4265B">
        <w:rPr>
          <w:rFonts w:ascii="Arial" w:hAnsi="Arial" w:cs="Arial"/>
          <w:sz w:val="22"/>
          <w:szCs w:val="22"/>
        </w:rPr>
        <w:t>Securities</w:t>
      </w:r>
      <w:r w:rsidRPr="00E4265B">
        <w:rPr>
          <w:rFonts w:ascii="Arial" w:hAnsi="Arial" w:cs="Arial"/>
          <w:sz w:val="22"/>
          <w:szCs w:val="22"/>
        </w:rPr>
        <w:t xml:space="preserve"> to a Counterparty with a commitment to repurchase those </w:t>
      </w:r>
      <w:r w:rsidR="00877CEA" w:rsidRPr="00E4265B">
        <w:rPr>
          <w:rFonts w:ascii="Arial" w:hAnsi="Arial" w:cs="Arial"/>
          <w:sz w:val="22"/>
          <w:szCs w:val="22"/>
        </w:rPr>
        <w:t>Securities</w:t>
      </w:r>
      <w:r w:rsidRPr="00E4265B">
        <w:rPr>
          <w:rFonts w:ascii="Arial" w:hAnsi="Arial" w:cs="Arial"/>
          <w:sz w:val="22"/>
          <w:szCs w:val="22"/>
        </w:rPr>
        <w:t xml:space="preserve"> at a specified price on a specified future date, the latest fair value of the </w:t>
      </w:r>
      <w:r w:rsidR="00877CEA" w:rsidRPr="00E4265B">
        <w:rPr>
          <w:rFonts w:ascii="Arial" w:hAnsi="Arial" w:cs="Arial"/>
          <w:sz w:val="22"/>
          <w:szCs w:val="22"/>
        </w:rPr>
        <w:t>Securities</w:t>
      </w:r>
      <w:r w:rsidRPr="00E4265B">
        <w:rPr>
          <w:rFonts w:ascii="Arial" w:hAnsi="Arial" w:cs="Arial"/>
          <w:sz w:val="22"/>
          <w:szCs w:val="22"/>
        </w:rPr>
        <w:t xml:space="preserve"> lent or sold; and</w:t>
      </w:r>
    </w:p>
    <w:p w14:paraId="4086335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in the case where the </w:t>
      </w:r>
      <w:r w:rsidR="000D1A90" w:rsidRPr="00E4265B">
        <w:rPr>
          <w:rFonts w:ascii="Arial" w:hAnsi="Arial" w:cs="Arial"/>
          <w:sz w:val="22"/>
          <w:szCs w:val="22"/>
        </w:rPr>
        <w:t>Authorised Person</w:t>
      </w:r>
      <w:r w:rsidRPr="00E4265B">
        <w:rPr>
          <w:rFonts w:ascii="Arial" w:hAnsi="Arial" w:cs="Arial"/>
          <w:sz w:val="22"/>
          <w:szCs w:val="22"/>
        </w:rPr>
        <w:t xml:space="preserve"> has lent cash to a Counterparty through the borrowing of </w:t>
      </w:r>
      <w:r w:rsidR="00877CEA" w:rsidRPr="00E4265B">
        <w:rPr>
          <w:rFonts w:ascii="Arial" w:hAnsi="Arial" w:cs="Arial"/>
          <w:sz w:val="22"/>
          <w:szCs w:val="22"/>
        </w:rPr>
        <w:t>Securities</w:t>
      </w:r>
      <w:r w:rsidRPr="00E4265B">
        <w:rPr>
          <w:rFonts w:ascii="Arial" w:hAnsi="Arial" w:cs="Arial"/>
          <w:sz w:val="22"/>
          <w:szCs w:val="22"/>
        </w:rPr>
        <w:t xml:space="preserve"> from the Counterparty or paid cash for the purchase of </w:t>
      </w:r>
      <w:r w:rsidR="00877CEA" w:rsidRPr="00E4265B">
        <w:rPr>
          <w:rFonts w:ascii="Arial" w:hAnsi="Arial" w:cs="Arial"/>
          <w:sz w:val="22"/>
          <w:szCs w:val="22"/>
        </w:rPr>
        <w:t>Securities</w:t>
      </w:r>
      <w:r w:rsidRPr="00E4265B">
        <w:rPr>
          <w:rFonts w:ascii="Arial" w:hAnsi="Arial" w:cs="Arial"/>
          <w:sz w:val="22"/>
          <w:szCs w:val="22"/>
        </w:rPr>
        <w:t xml:space="preserve"> from a Counterparty with a commitment to resell those </w:t>
      </w:r>
      <w:r w:rsidR="00877CEA" w:rsidRPr="00E4265B">
        <w:rPr>
          <w:rFonts w:ascii="Arial" w:hAnsi="Arial" w:cs="Arial"/>
          <w:sz w:val="22"/>
          <w:szCs w:val="22"/>
        </w:rPr>
        <w:t>Securities</w:t>
      </w:r>
      <w:r w:rsidRPr="00E4265B">
        <w:rPr>
          <w:rFonts w:ascii="Arial" w:hAnsi="Arial" w:cs="Arial"/>
          <w:sz w:val="22"/>
          <w:szCs w:val="22"/>
        </w:rPr>
        <w:t xml:space="preserve"> at a specified price on a specified future date, the amount of cash lent or paid.</w:t>
      </w:r>
    </w:p>
    <w:p w14:paraId="776CCDB9"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which has taken eligible financial Collateral for any SFT where the pre</w:t>
      </w:r>
      <w:r w:rsidRPr="00E4265B">
        <w:rPr>
          <w:rFonts w:ascii="Arial" w:hAnsi="Arial" w:cs="Arial"/>
          <w:sz w:val="22"/>
          <w:szCs w:val="22"/>
        </w:rPr>
        <w:noBreakHyphen/>
        <w:t>settlement Counterparty Exposure is determined in accordance with Rule 4.9.15 may recognise the effect of such Collateral in accordance with Rules 4.9.17 to 4.9.20.</w:t>
      </w:r>
    </w:p>
    <w:p w14:paraId="241D1DBB"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use either the FCSA or the FCCA to recognise the effect of eligible financial Collateral for any SFT in the Non</w:t>
      </w:r>
      <w:r w:rsidRPr="00E4265B">
        <w:rPr>
          <w:rFonts w:ascii="Arial" w:hAnsi="Arial" w:cs="Arial"/>
          <w:sz w:val="22"/>
          <w:szCs w:val="22"/>
        </w:rPr>
        <w:noBreakHyphen/>
        <w:t xml:space="preserve">Trading Book. The </w:t>
      </w:r>
      <w:r w:rsidR="000D1A90" w:rsidRPr="00E4265B">
        <w:rPr>
          <w:rFonts w:ascii="Arial" w:hAnsi="Arial" w:cs="Arial"/>
          <w:sz w:val="22"/>
          <w:szCs w:val="22"/>
        </w:rPr>
        <w:t>Authorised Person</w:t>
      </w:r>
      <w:r w:rsidRPr="00E4265B">
        <w:rPr>
          <w:rFonts w:ascii="Arial" w:hAnsi="Arial" w:cs="Arial"/>
          <w:sz w:val="22"/>
          <w:szCs w:val="22"/>
        </w:rPr>
        <w:t xml:space="preserve"> must apply the chosen approach consistently to the entire Non</w:t>
      </w:r>
      <w:r w:rsidRPr="00E4265B">
        <w:rPr>
          <w:rFonts w:ascii="Arial" w:hAnsi="Arial" w:cs="Arial"/>
          <w:sz w:val="22"/>
          <w:szCs w:val="22"/>
        </w:rPr>
        <w:noBreakHyphen/>
        <w:t>Trading Book and must not use a combination of both approaches. For a pre</w:t>
      </w:r>
      <w:r w:rsidRPr="00E4265B">
        <w:rPr>
          <w:rFonts w:ascii="Arial" w:hAnsi="Arial" w:cs="Arial"/>
          <w:sz w:val="22"/>
          <w:szCs w:val="22"/>
        </w:rPr>
        <w:noBreakHyphen/>
        <w:t xml:space="preserve">settlement Counterparty Exposure arising from any SFT in the Trading Book, an </w:t>
      </w:r>
      <w:r w:rsidR="000D1A90" w:rsidRPr="00E4265B">
        <w:rPr>
          <w:rFonts w:ascii="Arial" w:hAnsi="Arial" w:cs="Arial"/>
          <w:sz w:val="22"/>
          <w:szCs w:val="22"/>
        </w:rPr>
        <w:t>Authorised Person</w:t>
      </w:r>
      <w:r w:rsidRPr="00E4265B">
        <w:rPr>
          <w:rFonts w:ascii="Arial" w:hAnsi="Arial" w:cs="Arial"/>
          <w:sz w:val="22"/>
          <w:szCs w:val="22"/>
        </w:rPr>
        <w:t xml:space="preserve"> must only use the FCCA to recognise the effect of eligible financial Collateral.</w:t>
      </w:r>
    </w:p>
    <w:p w14:paraId="0C0A5B9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using the FCSA may recognise the effect of eligible financial Collateral for any SFT in accordance with Rules A4.3.27 to A4.3.29 in App4.</w:t>
      </w:r>
    </w:p>
    <w:p w14:paraId="04685C5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which has taken eligible financial Collateral for any SFT that is not covered by a qualifying bilateral Netting agreement and using the FCCA, must calculate E* in accordance with Rules A4.3.2 to A4.3.6 in App4, and substitute E* for E when calculating the Credit Risk</w:t>
      </w:r>
      <w:r w:rsidRPr="00E4265B">
        <w:rPr>
          <w:rFonts w:ascii="Arial" w:hAnsi="Arial" w:cs="Arial"/>
          <w:sz w:val="22"/>
          <w:szCs w:val="22"/>
        </w:rPr>
        <w:noBreakHyphen/>
        <w:t>weighted Exposure amount for that CR Exposure under Section 4.8.</w:t>
      </w:r>
    </w:p>
    <w:p w14:paraId="32AC319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lastRenderedPageBreak/>
        <w:t xml:space="preserve">An </w:t>
      </w:r>
      <w:r w:rsidR="000D1A90" w:rsidRPr="00E4265B">
        <w:rPr>
          <w:rFonts w:ascii="Arial" w:hAnsi="Arial" w:cs="Arial"/>
          <w:sz w:val="22"/>
          <w:szCs w:val="22"/>
        </w:rPr>
        <w:t>Authorised Person</w:t>
      </w:r>
      <w:r w:rsidRPr="00E4265B">
        <w:rPr>
          <w:rFonts w:ascii="Arial" w:hAnsi="Arial" w:cs="Arial"/>
          <w:sz w:val="22"/>
          <w:szCs w:val="22"/>
        </w:rPr>
        <w:t xml:space="preserve"> which has taken eligible financial Collateral for an SFT that is covered by a qualifying bilateral Netting agreement and using the FCCA, must calculate E* for all its CR Exposures to any single Counterparty covered by the qualifying bilateral Netting agreement, in accordance with Rules A4.3.2 to A4.3.6 in App4 (if the </w:t>
      </w:r>
      <w:r w:rsidR="000D1A90" w:rsidRPr="00E4265B">
        <w:rPr>
          <w:rFonts w:ascii="Arial" w:hAnsi="Arial" w:cs="Arial"/>
          <w:sz w:val="22"/>
          <w:szCs w:val="22"/>
        </w:rPr>
        <w:t>Authorised Person</w:t>
      </w:r>
      <w:r w:rsidRPr="00E4265B">
        <w:rPr>
          <w:rFonts w:ascii="Arial" w:hAnsi="Arial" w:cs="Arial"/>
          <w:sz w:val="22"/>
          <w:szCs w:val="22"/>
        </w:rPr>
        <w:t xml:space="preserve"> is using supervisory haircuts or own</w:t>
      </w:r>
      <w:r w:rsidRPr="00E4265B">
        <w:rPr>
          <w:rFonts w:ascii="Arial" w:hAnsi="Arial" w:cs="Arial"/>
          <w:sz w:val="22"/>
          <w:szCs w:val="22"/>
        </w:rPr>
        <w:noBreakHyphen/>
        <w:t>estimate haircuts), and substitute E* for E when calculating the Credit Risk</w:t>
      </w:r>
      <w:r w:rsidRPr="00E4265B">
        <w:rPr>
          <w:rFonts w:ascii="Arial" w:hAnsi="Arial" w:cs="Arial"/>
          <w:sz w:val="22"/>
          <w:szCs w:val="22"/>
        </w:rPr>
        <w:noBreakHyphen/>
        <w:t>weighted Exposure amount for its CR Exposures to that Counterparty under Section 4.8.</w:t>
      </w:r>
    </w:p>
    <w:p w14:paraId="12F6D3C9"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Exceptions to the measurement of E</w:t>
      </w:r>
    </w:p>
    <w:p w14:paraId="2227716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may attribute a value of zero to E for:</w:t>
      </w:r>
    </w:p>
    <w:p w14:paraId="5E365CC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any pre</w:t>
      </w:r>
      <w:r w:rsidRPr="00E4265B">
        <w:rPr>
          <w:rFonts w:ascii="Arial" w:hAnsi="Arial" w:cs="Arial"/>
          <w:sz w:val="22"/>
          <w:szCs w:val="22"/>
        </w:rPr>
        <w:noBreakHyphen/>
        <w:t xml:space="preserve">settlement Counterparty Exposure arising from any Derivative transaction or SFT outstanding with a </w:t>
      </w:r>
      <w:r w:rsidR="00067165" w:rsidRPr="00E4265B">
        <w:rPr>
          <w:rFonts w:ascii="Arial" w:hAnsi="Arial" w:cs="Arial"/>
          <w:sz w:val="22"/>
          <w:szCs w:val="22"/>
        </w:rPr>
        <w:t>central counterparty</w:t>
      </w:r>
      <w:r w:rsidRPr="00E4265B">
        <w:rPr>
          <w:rFonts w:ascii="Arial" w:hAnsi="Arial" w:cs="Arial"/>
          <w:sz w:val="22"/>
          <w:szCs w:val="22"/>
        </w:rPr>
        <w:t xml:space="preserve"> and which has not been rejected by that </w:t>
      </w:r>
      <w:r w:rsidR="00067165" w:rsidRPr="00E4265B">
        <w:rPr>
          <w:rFonts w:ascii="Arial" w:hAnsi="Arial" w:cs="Arial"/>
          <w:sz w:val="22"/>
          <w:szCs w:val="22"/>
        </w:rPr>
        <w:t>central counterparty</w:t>
      </w:r>
      <w:r w:rsidRPr="00E4265B">
        <w:rPr>
          <w:rFonts w:ascii="Arial" w:hAnsi="Arial" w:cs="Arial"/>
          <w:sz w:val="22"/>
          <w:szCs w:val="22"/>
        </w:rPr>
        <w:t>, provided that the Exposure is fully collateralised on a daily basis;</w:t>
      </w:r>
    </w:p>
    <w:p w14:paraId="6692086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any Credit Risk Exposure arising from any Derivative transaction, SFT or spot transaction which an </w:t>
      </w:r>
      <w:r w:rsidR="000D1A90" w:rsidRPr="00E4265B">
        <w:rPr>
          <w:rFonts w:ascii="Arial" w:hAnsi="Arial" w:cs="Arial"/>
          <w:sz w:val="22"/>
          <w:szCs w:val="22"/>
        </w:rPr>
        <w:t>Authorised Person</w:t>
      </w:r>
      <w:r w:rsidRPr="00E4265B">
        <w:rPr>
          <w:rFonts w:ascii="Arial" w:hAnsi="Arial" w:cs="Arial"/>
          <w:sz w:val="22"/>
          <w:szCs w:val="22"/>
        </w:rPr>
        <w:t xml:space="preserve"> has outstanding with a </w:t>
      </w:r>
      <w:r w:rsidR="00067165" w:rsidRPr="00E4265B">
        <w:rPr>
          <w:rFonts w:ascii="Arial" w:hAnsi="Arial" w:cs="Arial"/>
          <w:sz w:val="22"/>
          <w:szCs w:val="22"/>
        </w:rPr>
        <w:t xml:space="preserve">central counterparty </w:t>
      </w:r>
      <w:r w:rsidRPr="00E4265B">
        <w:rPr>
          <w:rFonts w:ascii="Arial" w:hAnsi="Arial" w:cs="Arial"/>
          <w:sz w:val="22"/>
          <w:szCs w:val="22"/>
        </w:rPr>
        <w:t xml:space="preserve">for which the latter acts as a custodian on the </w:t>
      </w:r>
      <w:r w:rsidR="000D1A90" w:rsidRPr="00E4265B">
        <w:rPr>
          <w:rFonts w:ascii="Arial" w:hAnsi="Arial" w:cs="Arial"/>
          <w:sz w:val="22"/>
          <w:szCs w:val="22"/>
        </w:rPr>
        <w:t>Authorised Person</w:t>
      </w:r>
      <w:r w:rsidRPr="00E4265B">
        <w:rPr>
          <w:rFonts w:ascii="Arial" w:hAnsi="Arial" w:cs="Arial"/>
          <w:sz w:val="22"/>
          <w:szCs w:val="22"/>
        </w:rPr>
        <w:t>'s behalf, provided that the Exposure is fully collateralised on a daily basis;</w:t>
      </w:r>
    </w:p>
    <w:p w14:paraId="0B58FD2F" w14:textId="5D2E63E0" w:rsidR="00E22FF2" w:rsidRPr="00E4265B" w:rsidRDefault="00E22FF2" w:rsidP="008432F8">
      <w:pPr>
        <w:pStyle w:val="Heading5"/>
        <w:rPr>
          <w:rFonts w:ascii="Arial" w:hAnsi="Arial" w:cs="Arial"/>
          <w:sz w:val="22"/>
          <w:szCs w:val="22"/>
        </w:rPr>
      </w:pPr>
      <w:r w:rsidRPr="00E4265B">
        <w:rPr>
          <w:rFonts w:ascii="Arial" w:hAnsi="Arial" w:cs="Arial"/>
          <w:sz w:val="22"/>
          <w:szCs w:val="22"/>
        </w:rPr>
        <w:t>any pre</w:t>
      </w:r>
      <w:r w:rsidRPr="00E4265B">
        <w:rPr>
          <w:rFonts w:ascii="Arial" w:hAnsi="Arial" w:cs="Arial"/>
          <w:sz w:val="22"/>
          <w:szCs w:val="22"/>
        </w:rPr>
        <w:noBreakHyphen/>
        <w:t xml:space="preserve">settlement Counterparty Exposure arising from any Credit Derivative which an </w:t>
      </w:r>
      <w:r w:rsidR="000D1A90" w:rsidRPr="00E4265B">
        <w:rPr>
          <w:rFonts w:ascii="Arial" w:hAnsi="Arial" w:cs="Arial"/>
          <w:sz w:val="22"/>
          <w:szCs w:val="22"/>
        </w:rPr>
        <w:t>Authorised Person</w:t>
      </w:r>
      <w:r w:rsidRPr="00E4265B">
        <w:rPr>
          <w:rFonts w:ascii="Arial" w:hAnsi="Arial" w:cs="Arial"/>
          <w:sz w:val="22"/>
          <w:szCs w:val="22"/>
        </w:rPr>
        <w:t xml:space="preserve"> may recognise as eligible credit protection for a Non</w:t>
      </w:r>
      <w:r w:rsidRPr="00E4265B">
        <w:rPr>
          <w:rFonts w:ascii="Arial" w:hAnsi="Arial" w:cs="Arial"/>
          <w:sz w:val="22"/>
          <w:szCs w:val="22"/>
        </w:rPr>
        <w:noBreakHyphen/>
        <w:t>Trad</w:t>
      </w:r>
      <w:r w:rsidR="00E61DBE" w:rsidRPr="00E4265B">
        <w:rPr>
          <w:rFonts w:ascii="Arial" w:hAnsi="Arial" w:cs="Arial"/>
          <w:sz w:val="22"/>
          <w:szCs w:val="22"/>
        </w:rPr>
        <w:t xml:space="preserve">ing Book Exposure or another </w:t>
      </w:r>
      <w:r w:rsidRPr="00E4265B">
        <w:rPr>
          <w:rFonts w:ascii="Arial" w:hAnsi="Arial" w:cs="Arial"/>
          <w:sz w:val="22"/>
          <w:szCs w:val="22"/>
        </w:rPr>
        <w:t>CR Exposure; and</w:t>
      </w:r>
    </w:p>
    <w:p w14:paraId="6FF5BC8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any pre</w:t>
      </w:r>
      <w:r w:rsidRPr="00E4265B">
        <w:rPr>
          <w:rFonts w:ascii="Arial" w:hAnsi="Arial" w:cs="Arial"/>
          <w:sz w:val="22"/>
          <w:szCs w:val="22"/>
        </w:rPr>
        <w:noBreakHyphen/>
        <w:t>settlement Counterparty Exposure arising from any sold credit default swap in the Non</w:t>
      </w:r>
      <w:r w:rsidRPr="00E4265B">
        <w:rPr>
          <w:rFonts w:ascii="Arial" w:hAnsi="Arial" w:cs="Arial"/>
          <w:sz w:val="22"/>
          <w:szCs w:val="22"/>
        </w:rPr>
        <w:noBreakHyphen/>
        <w:t xml:space="preserve">Trading Book, where the credit default swap is treated as credit protection sold by the </w:t>
      </w:r>
      <w:r w:rsidR="000D1A90" w:rsidRPr="00E4265B">
        <w:rPr>
          <w:rFonts w:ascii="Arial" w:hAnsi="Arial" w:cs="Arial"/>
          <w:sz w:val="22"/>
          <w:szCs w:val="22"/>
        </w:rPr>
        <w:t>Authorised Person</w:t>
      </w:r>
      <w:r w:rsidRPr="00E4265B">
        <w:rPr>
          <w:rFonts w:ascii="Arial" w:hAnsi="Arial" w:cs="Arial"/>
          <w:sz w:val="22"/>
          <w:szCs w:val="22"/>
        </w:rPr>
        <w:t>.</w:t>
      </w:r>
    </w:p>
    <w:p w14:paraId="414E79AF"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7A9F051D" w14:textId="77777777" w:rsidR="00E22FF2" w:rsidRPr="00E4265B" w:rsidRDefault="00E22FF2" w:rsidP="00067165">
      <w:pPr>
        <w:pStyle w:val="UK12Block05"/>
        <w:rPr>
          <w:rFonts w:ascii="Arial" w:hAnsi="Arial" w:cs="Arial"/>
          <w:sz w:val="22"/>
          <w:szCs w:val="22"/>
          <w:lang w:val="en-GB"/>
        </w:rPr>
      </w:pPr>
      <w:r w:rsidRPr="00E4265B">
        <w:rPr>
          <w:rFonts w:ascii="Arial" w:hAnsi="Arial" w:cs="Arial"/>
          <w:sz w:val="22"/>
          <w:szCs w:val="22"/>
          <w:lang w:val="en-GB"/>
        </w:rPr>
        <w:t xml:space="preserve">Credit Risk (CR) Exposures outstanding with a </w:t>
      </w:r>
      <w:r w:rsidR="00067165" w:rsidRPr="00E4265B">
        <w:rPr>
          <w:rFonts w:ascii="Arial" w:hAnsi="Arial" w:cs="Arial"/>
          <w:sz w:val="22"/>
          <w:szCs w:val="22"/>
          <w:lang w:val="en-GB"/>
        </w:rPr>
        <w:t xml:space="preserve">central counterparty </w:t>
      </w:r>
      <w:r w:rsidRPr="00E4265B">
        <w:rPr>
          <w:rFonts w:ascii="Arial" w:hAnsi="Arial" w:cs="Arial"/>
          <w:sz w:val="22"/>
          <w:szCs w:val="22"/>
          <w:lang w:val="en-GB"/>
        </w:rPr>
        <w:t>would, for example, include credit Exposures arising from monies placed and from Collateral posted, with the Counterparty.</w:t>
      </w:r>
    </w:p>
    <w:p w14:paraId="419421DF" w14:textId="77777777" w:rsidR="00E22FF2" w:rsidRPr="00E4265B" w:rsidRDefault="00E22FF2" w:rsidP="00246497">
      <w:pPr>
        <w:pStyle w:val="Heading3"/>
        <w:rPr>
          <w:rFonts w:ascii="Arial" w:hAnsi="Arial" w:cs="Arial"/>
          <w:sz w:val="22"/>
          <w:szCs w:val="22"/>
        </w:rPr>
      </w:pPr>
      <w:bookmarkStart w:id="385" w:name="_Toc403223950"/>
      <w:bookmarkStart w:id="386" w:name="_Toc403253988"/>
      <w:bookmarkStart w:id="387" w:name="_Toc403273388"/>
      <w:bookmarkStart w:id="388" w:name="_Toc403273537"/>
      <w:bookmarkStart w:id="389" w:name="_Toc403274496"/>
      <w:bookmarkStart w:id="390" w:name="_Toc403279992"/>
      <w:bookmarkStart w:id="391" w:name="_Toc404285793"/>
      <w:bookmarkStart w:id="392" w:name="_Toc404621742"/>
      <w:bookmarkStart w:id="393" w:name="_Toc404624383"/>
      <w:bookmarkStart w:id="394" w:name="_Toc33622409"/>
      <w:r w:rsidRPr="00E4265B">
        <w:rPr>
          <w:rFonts w:ascii="Arial" w:hAnsi="Arial" w:cs="Arial"/>
          <w:sz w:val="22"/>
          <w:szCs w:val="22"/>
        </w:rPr>
        <w:t>Categorisation of Credit Risk Exposures (CR Exposures)</w:t>
      </w:r>
      <w:bookmarkEnd w:id="385"/>
      <w:bookmarkEnd w:id="386"/>
      <w:bookmarkEnd w:id="387"/>
      <w:bookmarkEnd w:id="388"/>
      <w:bookmarkEnd w:id="389"/>
      <w:bookmarkEnd w:id="390"/>
      <w:bookmarkEnd w:id="391"/>
      <w:bookmarkEnd w:id="392"/>
      <w:bookmarkEnd w:id="393"/>
      <w:bookmarkEnd w:id="394"/>
    </w:p>
    <w:p w14:paraId="6AE4370F"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50212C7D"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This Section categorises Exposures for the purpose of determining the CRW for CR Exposures, as provided in Rule 4.8.3.</w:t>
      </w:r>
    </w:p>
    <w:p w14:paraId="23B4A2E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categorise any CR Exposure that is not past due for more than 90 days into one of the following asset classes:</w:t>
      </w:r>
    </w:p>
    <w:p w14:paraId="63DB776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cash items, which consist of:</w:t>
      </w:r>
    </w:p>
    <w:p w14:paraId="75807651"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cash and cash equivalents;</w:t>
      </w:r>
    </w:p>
    <w:p w14:paraId="5C4801B4"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 xml:space="preserve">gold bullion held in the vaults of the </w:t>
      </w:r>
      <w:r w:rsidR="000D1A90" w:rsidRPr="00E4265B">
        <w:rPr>
          <w:rFonts w:ascii="Arial" w:hAnsi="Arial" w:cs="Arial"/>
          <w:sz w:val="22"/>
          <w:szCs w:val="22"/>
        </w:rPr>
        <w:t>Authorised Person</w:t>
      </w:r>
      <w:r w:rsidRPr="00E4265B">
        <w:rPr>
          <w:rFonts w:ascii="Arial" w:hAnsi="Arial" w:cs="Arial"/>
          <w:sz w:val="22"/>
          <w:szCs w:val="22"/>
        </w:rPr>
        <w:t xml:space="preserve"> or on an allocated basis in the vaults of another entity to the extent that it is backed by gold bullion liabilities; and</w:t>
      </w:r>
    </w:p>
    <w:p w14:paraId="51762F08"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lastRenderedPageBreak/>
        <w:t>all receivable funds arising from transactions that are settled on a DvP basis which are outstanding up to and including the 4</w:t>
      </w:r>
      <w:r w:rsidRPr="00E4265B">
        <w:rPr>
          <w:rFonts w:ascii="Arial" w:hAnsi="Arial" w:cs="Arial"/>
          <w:sz w:val="22"/>
          <w:szCs w:val="22"/>
          <w:vertAlign w:val="superscript"/>
        </w:rPr>
        <w:t>th</w:t>
      </w:r>
      <w:r w:rsidRPr="00E4265B">
        <w:rPr>
          <w:rFonts w:ascii="Arial" w:hAnsi="Arial" w:cs="Arial"/>
          <w:sz w:val="22"/>
          <w:szCs w:val="22"/>
        </w:rPr>
        <w:t xml:space="preserve"> business day after the settlement date;</w:t>
      </w:r>
    </w:p>
    <w:p w14:paraId="3DF71B2D" w14:textId="4FDFFF74" w:rsidR="00E22FF2" w:rsidRPr="00E4265B" w:rsidRDefault="00E22FF2" w:rsidP="00030214">
      <w:pPr>
        <w:pStyle w:val="Heading5"/>
        <w:rPr>
          <w:rFonts w:ascii="Arial" w:hAnsi="Arial" w:cs="Arial"/>
          <w:sz w:val="22"/>
          <w:szCs w:val="22"/>
        </w:rPr>
      </w:pPr>
      <w:r w:rsidRPr="00E4265B">
        <w:rPr>
          <w:rFonts w:ascii="Arial" w:hAnsi="Arial" w:cs="Arial"/>
          <w:sz w:val="22"/>
          <w:szCs w:val="22"/>
        </w:rPr>
        <w:t xml:space="preserve">central government and </w:t>
      </w:r>
      <w:r w:rsidR="00030214" w:rsidRPr="00E4265B">
        <w:rPr>
          <w:rFonts w:ascii="Arial" w:hAnsi="Arial" w:cs="Arial"/>
          <w:sz w:val="22"/>
          <w:szCs w:val="22"/>
        </w:rPr>
        <w:t>c</w:t>
      </w:r>
      <w:r w:rsidRPr="00E4265B">
        <w:rPr>
          <w:rFonts w:ascii="Arial" w:hAnsi="Arial" w:cs="Arial"/>
          <w:sz w:val="22"/>
          <w:szCs w:val="22"/>
        </w:rPr>
        <w:t xml:space="preserve">entral Bank asset class, which consists of any CR Exposure to a central government or </w:t>
      </w:r>
      <w:r w:rsidR="00030214" w:rsidRPr="00E4265B">
        <w:rPr>
          <w:rFonts w:ascii="Arial" w:hAnsi="Arial" w:cs="Arial"/>
          <w:sz w:val="22"/>
          <w:szCs w:val="22"/>
        </w:rPr>
        <w:t>c</w:t>
      </w:r>
      <w:r w:rsidRPr="00E4265B">
        <w:rPr>
          <w:rFonts w:ascii="Arial" w:hAnsi="Arial" w:cs="Arial"/>
          <w:sz w:val="22"/>
          <w:szCs w:val="22"/>
        </w:rPr>
        <w:t xml:space="preserve">entral </w:t>
      </w:r>
      <w:r w:rsidR="00030214" w:rsidRPr="00E4265B">
        <w:rPr>
          <w:rFonts w:ascii="Arial" w:hAnsi="Arial" w:cs="Arial"/>
          <w:sz w:val="22"/>
          <w:szCs w:val="22"/>
        </w:rPr>
        <w:t>b</w:t>
      </w:r>
      <w:r w:rsidRPr="00E4265B">
        <w:rPr>
          <w:rFonts w:ascii="Arial" w:hAnsi="Arial" w:cs="Arial"/>
          <w:sz w:val="22"/>
          <w:szCs w:val="22"/>
        </w:rPr>
        <w:t>ank;</w:t>
      </w:r>
    </w:p>
    <w:p w14:paraId="4BDA5BF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PSE asset class, which consists of any CR Exposure to a PSE; </w:t>
      </w:r>
    </w:p>
    <w:p w14:paraId="1306418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MDB asset class, which consists of any CR Exposure to an MDB;</w:t>
      </w:r>
    </w:p>
    <w:p w14:paraId="720BF5F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bank asset class, which consists of any CR Exposure to a banking institution;</w:t>
      </w:r>
    </w:p>
    <w:p w14:paraId="4FE7C11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corporate asset class, which consists of any CR Exposure to any corporation, </w:t>
      </w:r>
      <w:r w:rsidR="00BC49E0" w:rsidRPr="00E4265B">
        <w:rPr>
          <w:rFonts w:ascii="Arial" w:hAnsi="Arial" w:cs="Arial"/>
          <w:sz w:val="22"/>
          <w:szCs w:val="22"/>
        </w:rPr>
        <w:t>Partner</w:t>
      </w:r>
      <w:r w:rsidR="00834CCE" w:rsidRPr="00E4265B">
        <w:rPr>
          <w:rFonts w:ascii="Arial" w:hAnsi="Arial" w:cs="Arial"/>
          <w:sz w:val="22"/>
          <w:szCs w:val="22"/>
        </w:rPr>
        <w:t>ship, sole proprietorship or Tr</w:t>
      </w:r>
      <w:r w:rsidRPr="00E4265B">
        <w:rPr>
          <w:rFonts w:ascii="Arial" w:hAnsi="Arial" w:cs="Arial"/>
          <w:sz w:val="22"/>
          <w:szCs w:val="22"/>
        </w:rPr>
        <w:t>ustee in respect of a trust, other than Exposures categorised in sub</w:t>
      </w:r>
      <w:r w:rsidRPr="00E4265B">
        <w:rPr>
          <w:rFonts w:ascii="Arial" w:hAnsi="Arial" w:cs="Arial"/>
          <w:sz w:val="22"/>
          <w:szCs w:val="22"/>
        </w:rPr>
        <w:noBreakHyphen/>
        <w:t>paragraphs (a) to (e), (g) and (h);</w:t>
      </w:r>
    </w:p>
    <w:p w14:paraId="08E8ABB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regulatory retail asset class, which consists of any CR Exposure meeting all of the following conditions:</w:t>
      </w:r>
    </w:p>
    <w:p w14:paraId="610F4837"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the Exposure is to an individual, a group of individuals, or a small business;</w:t>
      </w:r>
    </w:p>
    <w:p w14:paraId="2252588C"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the Exposure takes the form of any of the following:</w:t>
      </w:r>
    </w:p>
    <w:p w14:paraId="4C1BC248" w14:textId="77777777" w:rsidR="00E22FF2" w:rsidRPr="00E4265B" w:rsidRDefault="00E22FF2" w:rsidP="00D136B3">
      <w:pPr>
        <w:pStyle w:val="Heading7"/>
        <w:rPr>
          <w:rFonts w:ascii="Arial" w:hAnsi="Arial" w:cs="Arial"/>
          <w:sz w:val="22"/>
          <w:szCs w:val="22"/>
          <w:lang w:val="en-GB"/>
        </w:rPr>
      </w:pPr>
      <w:r w:rsidRPr="00E4265B">
        <w:rPr>
          <w:rFonts w:ascii="Arial" w:hAnsi="Arial" w:cs="Arial"/>
          <w:sz w:val="22"/>
          <w:szCs w:val="22"/>
          <w:lang w:val="en-GB"/>
        </w:rPr>
        <w:t>revolving credit and lines of credit, including credit cards and overdrafts;</w:t>
      </w:r>
    </w:p>
    <w:p w14:paraId="5FF932AD" w14:textId="77777777" w:rsidR="00E22FF2" w:rsidRPr="00E4265B" w:rsidRDefault="00E22FF2" w:rsidP="00D136B3">
      <w:pPr>
        <w:pStyle w:val="Heading7"/>
        <w:rPr>
          <w:rFonts w:ascii="Arial" w:hAnsi="Arial" w:cs="Arial"/>
          <w:sz w:val="22"/>
          <w:szCs w:val="22"/>
          <w:lang w:val="en-GB"/>
        </w:rPr>
      </w:pPr>
      <w:r w:rsidRPr="00E4265B">
        <w:rPr>
          <w:rFonts w:ascii="Arial" w:hAnsi="Arial" w:cs="Arial"/>
          <w:sz w:val="22"/>
          <w:szCs w:val="22"/>
          <w:lang w:val="en-GB"/>
        </w:rPr>
        <w:t>personal term loans and leases, including instalment loans, vehicle loans and leases, student and educational loans;</w:t>
      </w:r>
    </w:p>
    <w:p w14:paraId="7619ED9D" w14:textId="77777777" w:rsidR="00E22FF2" w:rsidRPr="00E4265B" w:rsidRDefault="00E22FF2" w:rsidP="00D136B3">
      <w:pPr>
        <w:pStyle w:val="Heading7"/>
        <w:rPr>
          <w:rFonts w:ascii="Arial" w:hAnsi="Arial" w:cs="Arial"/>
          <w:sz w:val="22"/>
          <w:szCs w:val="22"/>
          <w:lang w:val="en-GB"/>
        </w:rPr>
      </w:pPr>
      <w:r w:rsidRPr="00E4265B">
        <w:rPr>
          <w:rFonts w:ascii="Arial" w:hAnsi="Arial" w:cs="Arial"/>
          <w:sz w:val="22"/>
          <w:szCs w:val="22"/>
          <w:lang w:val="en-GB"/>
        </w:rPr>
        <w:t>small business credit facilities and commitments; or</w:t>
      </w:r>
    </w:p>
    <w:p w14:paraId="5BBD86E9" w14:textId="77777777" w:rsidR="00E22FF2" w:rsidRPr="00E4265B" w:rsidRDefault="00E22FF2" w:rsidP="008F5C01">
      <w:pPr>
        <w:pStyle w:val="Heading7"/>
        <w:rPr>
          <w:rFonts w:ascii="Arial" w:hAnsi="Arial" w:cs="Arial"/>
          <w:sz w:val="22"/>
          <w:szCs w:val="22"/>
          <w:lang w:val="en-GB"/>
        </w:rPr>
      </w:pPr>
      <w:r w:rsidRPr="00E4265B">
        <w:rPr>
          <w:rFonts w:ascii="Arial" w:hAnsi="Arial" w:cs="Arial"/>
          <w:sz w:val="22"/>
          <w:szCs w:val="22"/>
          <w:lang w:val="en-GB"/>
        </w:rPr>
        <w:t>any other product which the Regulator may specify from time to time;</w:t>
      </w:r>
    </w:p>
    <w:p w14:paraId="10ED819F"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the Exposure is one of a sufficient number of Exposures with similar characteristics such that the risks associated with such lending are reduced; and</w:t>
      </w:r>
    </w:p>
    <w:p w14:paraId="02927699"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the total Exposure to any obligor or group of obligors is not more than $2 million;</w:t>
      </w:r>
    </w:p>
    <w:p w14:paraId="47DC8A2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residential mortgage asset class, which consists of any CR Exposure meeting all of the following conditions:</w:t>
      </w:r>
    </w:p>
    <w:p w14:paraId="72ACA0FB"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 xml:space="preserve">the Exposure is to an individual or a group of individuals, or if the Exposure is to an entity other than an individual, the </w:t>
      </w:r>
      <w:r w:rsidR="000D1A90" w:rsidRPr="00E4265B">
        <w:rPr>
          <w:rFonts w:ascii="Arial" w:hAnsi="Arial" w:cs="Arial"/>
          <w:sz w:val="22"/>
          <w:szCs w:val="22"/>
        </w:rPr>
        <w:t>Authorised Person</w:t>
      </w:r>
      <w:r w:rsidRPr="00E4265B">
        <w:rPr>
          <w:rFonts w:ascii="Arial" w:hAnsi="Arial" w:cs="Arial"/>
          <w:sz w:val="22"/>
          <w:szCs w:val="22"/>
        </w:rPr>
        <w:t xml:space="preserve"> can demonstrate to the Regulator (if required to do so) that it has robust processes to ascertain that the Exposure is structured to replicate the risk profile of an Exposure to an individual or a group of individuals and that it is able to identify and manage the legal risks that arise in such structures;</w:t>
      </w:r>
    </w:p>
    <w:p w14:paraId="63A8B178"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 xml:space="preserve">the Exposure is secured against a first lien mortgage: </w:t>
      </w:r>
    </w:p>
    <w:p w14:paraId="59AD4533" w14:textId="77777777" w:rsidR="00E22FF2" w:rsidRPr="00E4265B" w:rsidRDefault="00E22FF2" w:rsidP="0062322D">
      <w:pPr>
        <w:pStyle w:val="Heading7"/>
        <w:rPr>
          <w:rFonts w:ascii="Arial" w:hAnsi="Arial" w:cs="Arial"/>
          <w:sz w:val="22"/>
          <w:szCs w:val="22"/>
          <w:lang w:val="en-GB"/>
        </w:rPr>
      </w:pPr>
      <w:r w:rsidRPr="00E4265B">
        <w:rPr>
          <w:rFonts w:ascii="Arial" w:hAnsi="Arial" w:cs="Arial"/>
          <w:sz w:val="22"/>
          <w:szCs w:val="22"/>
          <w:lang w:val="en-GB"/>
        </w:rPr>
        <w:lastRenderedPageBreak/>
        <w:t>of a completed residential property; or</w:t>
      </w:r>
    </w:p>
    <w:p w14:paraId="674491FD" w14:textId="77777777" w:rsidR="00E22FF2" w:rsidRPr="00E4265B" w:rsidRDefault="00E22FF2" w:rsidP="008F5C01">
      <w:pPr>
        <w:pStyle w:val="Heading7"/>
        <w:rPr>
          <w:rFonts w:ascii="Arial" w:hAnsi="Arial" w:cs="Arial"/>
          <w:sz w:val="22"/>
          <w:szCs w:val="22"/>
          <w:lang w:val="en-GB"/>
        </w:rPr>
      </w:pPr>
      <w:r w:rsidRPr="00E4265B">
        <w:rPr>
          <w:rFonts w:ascii="Arial" w:hAnsi="Arial" w:cs="Arial"/>
          <w:sz w:val="22"/>
          <w:szCs w:val="22"/>
          <w:lang w:val="en-GB"/>
        </w:rPr>
        <w:t>on an exceptional basis of an uncompleted residential property in a jurisdiction approved by the Regulator;</w:t>
      </w:r>
    </w:p>
    <w:p w14:paraId="4CA1764B"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the Exposure is not classified as an impaired asset in accordance with these Rules; and</w:t>
      </w:r>
    </w:p>
    <w:p w14:paraId="6943FDD9"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 xml:space="preserve">the Exposure is not to a corporation, </w:t>
      </w:r>
      <w:r w:rsidR="00BC49E0" w:rsidRPr="00E4265B">
        <w:rPr>
          <w:rFonts w:ascii="Arial" w:hAnsi="Arial" w:cs="Arial"/>
          <w:sz w:val="22"/>
          <w:szCs w:val="22"/>
        </w:rPr>
        <w:t>Partner</w:t>
      </w:r>
      <w:r w:rsidR="00C44495" w:rsidRPr="00E4265B">
        <w:rPr>
          <w:rFonts w:ascii="Arial" w:hAnsi="Arial" w:cs="Arial"/>
          <w:sz w:val="22"/>
          <w:szCs w:val="22"/>
        </w:rPr>
        <w:t>ship, sole proprietorship or T</w:t>
      </w:r>
      <w:r w:rsidRPr="00E4265B">
        <w:rPr>
          <w:rFonts w:ascii="Arial" w:hAnsi="Arial" w:cs="Arial"/>
          <w:sz w:val="22"/>
          <w:szCs w:val="22"/>
        </w:rPr>
        <w:t xml:space="preserve">rustee in respect of a trust where such corporation, </w:t>
      </w:r>
      <w:r w:rsidR="00BC49E0" w:rsidRPr="00E4265B">
        <w:rPr>
          <w:rFonts w:ascii="Arial" w:hAnsi="Arial" w:cs="Arial"/>
          <w:sz w:val="22"/>
          <w:szCs w:val="22"/>
        </w:rPr>
        <w:t>Partner</w:t>
      </w:r>
      <w:r w:rsidRPr="00E4265B">
        <w:rPr>
          <w:rFonts w:ascii="Arial" w:hAnsi="Arial" w:cs="Arial"/>
          <w:sz w:val="22"/>
          <w:szCs w:val="22"/>
        </w:rPr>
        <w:t>ship, sole proprietorship or trust is engaged in residential building, development or management;</w:t>
      </w:r>
    </w:p>
    <w:p w14:paraId="706E6F8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commercial real estate</w:t>
      </w:r>
      <w:r w:rsidRPr="00E4265B">
        <w:rPr>
          <w:rFonts w:ascii="Arial" w:hAnsi="Arial" w:cs="Arial"/>
          <w:sz w:val="22"/>
          <w:szCs w:val="22"/>
        </w:rPr>
        <w:tab/>
        <w:t>asset class, which consists of any CR Exposure meeting all of the following conditions:</w:t>
      </w:r>
    </w:p>
    <w:p w14:paraId="57B99E5B"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 xml:space="preserve">the Exposure is to a corporation, </w:t>
      </w:r>
      <w:r w:rsidR="00BC49E0" w:rsidRPr="00E4265B">
        <w:rPr>
          <w:rFonts w:ascii="Arial" w:hAnsi="Arial" w:cs="Arial"/>
          <w:sz w:val="22"/>
          <w:szCs w:val="22"/>
        </w:rPr>
        <w:t>Partner</w:t>
      </w:r>
      <w:r w:rsidR="00C44495" w:rsidRPr="00E4265B">
        <w:rPr>
          <w:rFonts w:ascii="Arial" w:hAnsi="Arial" w:cs="Arial"/>
          <w:sz w:val="22"/>
          <w:szCs w:val="22"/>
        </w:rPr>
        <w:t>ship, sole proprietorship or T</w:t>
      </w:r>
      <w:r w:rsidRPr="00E4265B">
        <w:rPr>
          <w:rFonts w:ascii="Arial" w:hAnsi="Arial" w:cs="Arial"/>
          <w:sz w:val="22"/>
          <w:szCs w:val="22"/>
        </w:rPr>
        <w:t>rustee in respect of a trust; and</w:t>
      </w:r>
    </w:p>
    <w:p w14:paraId="06FCDCE8"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the Exposure is secured by commercial real estate; or</w:t>
      </w:r>
    </w:p>
    <w:p w14:paraId="2DB36D9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other Exposures asset class, which consists of any CR Exposure which does not fall within any of the categories in sub</w:t>
      </w:r>
      <w:r w:rsidRPr="00E4265B">
        <w:rPr>
          <w:rFonts w:ascii="Arial" w:hAnsi="Arial" w:cs="Arial"/>
          <w:sz w:val="22"/>
          <w:szCs w:val="22"/>
        </w:rPr>
        <w:noBreakHyphen/>
        <w:t>paragraphs (a) to (i).</w:t>
      </w:r>
    </w:p>
    <w:p w14:paraId="577F6A35"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4E1A49DF" w14:textId="787E12E8" w:rsidR="00D84350" w:rsidRPr="00E4265B" w:rsidRDefault="00E22FF2" w:rsidP="008F5C01">
      <w:pPr>
        <w:pStyle w:val="UK12Block05"/>
        <w:rPr>
          <w:rFonts w:ascii="Arial" w:hAnsi="Arial" w:cs="Arial"/>
          <w:sz w:val="22"/>
          <w:szCs w:val="22"/>
          <w:lang w:val="en-GB"/>
        </w:rPr>
      </w:pPr>
      <w:r w:rsidRPr="00E4265B">
        <w:rPr>
          <w:rFonts w:ascii="Arial" w:hAnsi="Arial" w:cs="Arial"/>
          <w:sz w:val="22"/>
          <w:szCs w:val="22"/>
          <w:lang w:val="en-GB"/>
        </w:rPr>
        <w:t>The Exposures listed under item (f) include transactions settled on a payment</w:t>
      </w:r>
      <w:r w:rsidRPr="00E4265B">
        <w:rPr>
          <w:rFonts w:ascii="Arial" w:hAnsi="Arial" w:cs="Arial"/>
          <w:sz w:val="22"/>
          <w:szCs w:val="22"/>
          <w:lang w:val="en-GB"/>
        </w:rPr>
        <w:noBreakHyphen/>
        <w:t>versus</w:t>
      </w:r>
      <w:r w:rsidRPr="00E4265B">
        <w:rPr>
          <w:rFonts w:ascii="Arial" w:hAnsi="Arial" w:cs="Arial"/>
          <w:sz w:val="22"/>
          <w:szCs w:val="22"/>
          <w:lang w:val="en-GB"/>
        </w:rPr>
        <w:noBreakHyphen/>
        <w:t xml:space="preserve">payment basis. For avoidance of doubt, the Regulator expects that a CR Exposure to a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firm should be categorised within the corporate asset class.</w:t>
      </w:r>
    </w:p>
    <w:p w14:paraId="6190C8F3" w14:textId="77777777" w:rsidR="00E22FF2" w:rsidRPr="00E4265B" w:rsidRDefault="00E22FF2" w:rsidP="00246497">
      <w:pPr>
        <w:pStyle w:val="Heading3"/>
        <w:rPr>
          <w:rFonts w:ascii="Arial" w:hAnsi="Arial" w:cs="Arial"/>
          <w:sz w:val="22"/>
          <w:szCs w:val="22"/>
        </w:rPr>
      </w:pPr>
      <w:bookmarkStart w:id="395" w:name="_Toc403223951"/>
      <w:bookmarkStart w:id="396" w:name="_Toc403253989"/>
      <w:bookmarkStart w:id="397" w:name="_Toc403273389"/>
      <w:bookmarkStart w:id="398" w:name="_Toc403273538"/>
      <w:bookmarkStart w:id="399" w:name="_Toc403274497"/>
      <w:bookmarkStart w:id="400" w:name="_Toc403279993"/>
      <w:bookmarkStart w:id="401" w:name="_Toc404285794"/>
      <w:bookmarkStart w:id="402" w:name="_Toc404621743"/>
      <w:bookmarkStart w:id="403" w:name="_Toc404624384"/>
      <w:bookmarkStart w:id="404" w:name="_Toc33622410"/>
      <w:r w:rsidRPr="00E4265B">
        <w:rPr>
          <w:rFonts w:ascii="Arial" w:hAnsi="Arial" w:cs="Arial"/>
          <w:sz w:val="22"/>
          <w:szCs w:val="22"/>
        </w:rPr>
        <w:t>Credit Quality Grade</w:t>
      </w:r>
      <w:r w:rsidR="00FE5AF5" w:rsidRPr="00E4265B">
        <w:rPr>
          <w:rFonts w:ascii="Arial" w:hAnsi="Arial" w:cs="Arial"/>
          <w:sz w:val="22"/>
          <w:szCs w:val="22"/>
        </w:rPr>
        <w:t>s</w:t>
      </w:r>
      <w:r w:rsidRPr="00E4265B">
        <w:rPr>
          <w:rFonts w:ascii="Arial" w:hAnsi="Arial" w:cs="Arial"/>
          <w:sz w:val="22"/>
          <w:szCs w:val="22"/>
        </w:rPr>
        <w:t xml:space="preserve"> and External Credit Assessments</w:t>
      </w:r>
      <w:bookmarkEnd w:id="395"/>
      <w:bookmarkEnd w:id="396"/>
      <w:bookmarkEnd w:id="397"/>
      <w:bookmarkEnd w:id="398"/>
      <w:bookmarkEnd w:id="399"/>
      <w:bookmarkEnd w:id="400"/>
      <w:bookmarkEnd w:id="401"/>
      <w:bookmarkEnd w:id="402"/>
      <w:bookmarkEnd w:id="403"/>
      <w:bookmarkEnd w:id="404"/>
    </w:p>
    <w:p w14:paraId="0A7A036C"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05E2045B"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This Section governs credit assessments of Exposures for the purpose of determining the CRW for Credit Risk (CR) Exposures as provided in Rule 4.8.3 and for securitisation (SE) Exposures as provided in Rule 4.8.4.</w:t>
      </w:r>
    </w:p>
    <w:p w14:paraId="4ACDBA6D" w14:textId="77777777" w:rsidR="00E22FF2" w:rsidRPr="00E4265B" w:rsidRDefault="00FE5AF5" w:rsidP="00246497">
      <w:pPr>
        <w:pStyle w:val="Heading4"/>
        <w:rPr>
          <w:rFonts w:ascii="Arial" w:hAnsi="Arial" w:cs="Arial"/>
          <w:sz w:val="22"/>
          <w:szCs w:val="22"/>
        </w:rPr>
      </w:pPr>
      <w:r w:rsidRPr="00E4265B">
        <w:rPr>
          <w:rFonts w:ascii="Arial" w:hAnsi="Arial" w:cs="Arial"/>
          <w:sz w:val="22"/>
          <w:szCs w:val="22"/>
        </w:rPr>
        <w:t>Where possible, a</w:t>
      </w:r>
      <w:r w:rsidR="00E22FF2" w:rsidRPr="00E4265B">
        <w:rPr>
          <w:rFonts w:ascii="Arial" w:hAnsi="Arial" w:cs="Arial"/>
          <w:sz w:val="22"/>
          <w:szCs w:val="22"/>
        </w:rPr>
        <w:t xml:space="preserve">n </w:t>
      </w:r>
      <w:r w:rsidR="000D1A90" w:rsidRPr="00E4265B">
        <w:rPr>
          <w:rFonts w:ascii="Arial" w:hAnsi="Arial" w:cs="Arial"/>
          <w:sz w:val="22"/>
          <w:szCs w:val="22"/>
        </w:rPr>
        <w:t>Authorised Person</w:t>
      </w:r>
      <w:r w:rsidR="00E22FF2" w:rsidRPr="00E4265B">
        <w:rPr>
          <w:rFonts w:ascii="Arial" w:hAnsi="Arial" w:cs="Arial"/>
          <w:sz w:val="22"/>
          <w:szCs w:val="22"/>
        </w:rPr>
        <w:t xml:space="preserve"> must assign a CR Exposure to a Credit Quality Grade based on the external credit assessment that is applicable to the CR Exposure in accordance with tables mapping the ratings from an ECAI</w:t>
      </w:r>
      <w:r w:rsidRPr="00E4265B">
        <w:rPr>
          <w:rFonts w:ascii="Arial" w:hAnsi="Arial" w:cs="Arial"/>
          <w:sz w:val="22"/>
          <w:szCs w:val="22"/>
        </w:rPr>
        <w:t xml:space="preserve"> recognised by the Regulator</w:t>
      </w:r>
      <w:r w:rsidR="00E22FF2" w:rsidRPr="00E4265B">
        <w:rPr>
          <w:rFonts w:ascii="Arial" w:hAnsi="Arial" w:cs="Arial"/>
          <w:sz w:val="22"/>
          <w:szCs w:val="22"/>
        </w:rPr>
        <w:t xml:space="preserve"> to Credit Quality Grades, </w:t>
      </w:r>
      <w:r w:rsidRPr="00E4265B">
        <w:rPr>
          <w:rFonts w:ascii="Arial" w:hAnsi="Arial" w:cs="Arial"/>
          <w:sz w:val="22"/>
          <w:szCs w:val="22"/>
        </w:rPr>
        <w:t>as</w:t>
      </w:r>
      <w:r w:rsidR="00E22FF2" w:rsidRPr="00E4265B">
        <w:rPr>
          <w:rFonts w:ascii="Arial" w:hAnsi="Arial" w:cs="Arial"/>
          <w:sz w:val="22"/>
          <w:szCs w:val="22"/>
        </w:rPr>
        <w:t xml:space="preserve"> published by the Regulator.</w:t>
      </w:r>
    </w:p>
    <w:p w14:paraId="72A37138" w14:textId="328BCFEF" w:rsidR="006D4397" w:rsidRPr="00E4265B" w:rsidRDefault="00A23E1F" w:rsidP="006D4397">
      <w:pPr>
        <w:pStyle w:val="Heading4"/>
        <w:rPr>
          <w:rFonts w:ascii="Arial" w:hAnsi="Arial" w:cs="Arial"/>
          <w:sz w:val="22"/>
          <w:szCs w:val="22"/>
        </w:rPr>
      </w:pPr>
      <w:r w:rsidRPr="00E4265B">
        <w:rPr>
          <w:rFonts w:ascii="Arial" w:hAnsi="Arial" w:cs="Arial"/>
          <w:sz w:val="22"/>
          <w:szCs w:val="22"/>
        </w:rPr>
        <w:t>CR</w:t>
      </w:r>
      <w:r w:rsidR="006D4397" w:rsidRPr="00E4265B">
        <w:rPr>
          <w:rFonts w:ascii="Arial" w:hAnsi="Arial" w:cs="Arial"/>
          <w:sz w:val="22"/>
          <w:szCs w:val="22"/>
        </w:rPr>
        <w:t xml:space="preserve"> Exposures with external credit assessments from external credit rating agencies that are not recognised by the Regulator in the tables mapping the ratings to the Credit Quality Grades must be assigned to the Credit Quality Grade associated with "unrated" Exposures. </w:t>
      </w:r>
    </w:p>
    <w:p w14:paraId="5175B73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only use an external credit assessment which is accessible to the public. An </w:t>
      </w:r>
      <w:r w:rsidR="000D1A90" w:rsidRPr="00E4265B">
        <w:rPr>
          <w:rFonts w:ascii="Arial" w:hAnsi="Arial" w:cs="Arial"/>
          <w:sz w:val="22"/>
          <w:szCs w:val="22"/>
        </w:rPr>
        <w:t>Authorised Person</w:t>
      </w:r>
      <w:r w:rsidRPr="00E4265B">
        <w:rPr>
          <w:rFonts w:ascii="Arial" w:hAnsi="Arial" w:cs="Arial"/>
          <w:sz w:val="22"/>
          <w:szCs w:val="22"/>
        </w:rPr>
        <w:t xml:space="preserve"> may not use a credit assessment that is made available only to the parties to a transaction.</w:t>
      </w:r>
    </w:p>
    <w:p w14:paraId="2C03C8F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only use external credit assessments by a recognised ECAI</w:t>
      </w:r>
      <w:r w:rsidR="00FE5AF5" w:rsidRPr="00E4265B">
        <w:rPr>
          <w:rFonts w:ascii="Arial" w:hAnsi="Arial" w:cs="Arial"/>
          <w:sz w:val="22"/>
          <w:szCs w:val="22"/>
        </w:rPr>
        <w:t xml:space="preserve"> for the purposes of mapping the ratings from that ECAI to Credit Quality </w:t>
      </w:r>
      <w:r w:rsidR="00FE5AF5" w:rsidRPr="00E4265B">
        <w:rPr>
          <w:rFonts w:ascii="Arial" w:hAnsi="Arial" w:cs="Arial"/>
          <w:sz w:val="22"/>
          <w:szCs w:val="22"/>
        </w:rPr>
        <w:lastRenderedPageBreak/>
        <w:t>Grades</w:t>
      </w:r>
      <w:r w:rsidRPr="00E4265B">
        <w:rPr>
          <w:rFonts w:ascii="Arial" w:hAnsi="Arial" w:cs="Arial"/>
          <w:sz w:val="22"/>
          <w:szCs w:val="22"/>
        </w:rPr>
        <w:t>. The Regulator may impose conditions on the use of such external credit assessments.</w:t>
      </w:r>
    </w:p>
    <w:p w14:paraId="2840DCA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use its chosen recognised external credit rating agencies and their external credit assessments consistently for each type of Exposure, for both risk weighting and risk management purposes. Where an </w:t>
      </w:r>
      <w:r w:rsidR="000D1A90" w:rsidRPr="00E4265B">
        <w:rPr>
          <w:rFonts w:ascii="Arial" w:hAnsi="Arial" w:cs="Arial"/>
          <w:sz w:val="22"/>
          <w:szCs w:val="22"/>
        </w:rPr>
        <w:t>Authorised Person</w:t>
      </w:r>
      <w:r w:rsidRPr="00E4265B">
        <w:rPr>
          <w:rFonts w:ascii="Arial" w:hAnsi="Arial" w:cs="Arial"/>
          <w:sz w:val="22"/>
          <w:szCs w:val="22"/>
        </w:rPr>
        <w:t xml:space="preserve"> has two external credit assessments which map into different Credit Quality Grades, it must assign the CR Exposure to the Credit Quality Grade associated with the higher risk weight. Where an </w:t>
      </w:r>
      <w:r w:rsidR="000D1A90" w:rsidRPr="00E4265B">
        <w:rPr>
          <w:rFonts w:ascii="Arial" w:hAnsi="Arial" w:cs="Arial"/>
          <w:sz w:val="22"/>
          <w:szCs w:val="22"/>
        </w:rPr>
        <w:t>Authorised Person</w:t>
      </w:r>
      <w:r w:rsidRPr="00E4265B">
        <w:rPr>
          <w:rFonts w:ascii="Arial" w:hAnsi="Arial" w:cs="Arial"/>
          <w:sz w:val="22"/>
          <w:szCs w:val="22"/>
        </w:rPr>
        <w:t xml:space="preserve"> has three or more external credit assessments which map into two or more different Credit Quality Grades, it must assign the CR Exposure to the Credit Quality Grade associated with the higher of the two lowest risk weights.</w:t>
      </w:r>
    </w:p>
    <w:p w14:paraId="5B5EE736"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62D8E0F3" w14:textId="54E01552" w:rsidR="00E22FF2" w:rsidRPr="00E4265B" w:rsidRDefault="00E22FF2" w:rsidP="006D4397">
      <w:pPr>
        <w:pStyle w:val="Heading4"/>
        <w:numPr>
          <w:ilvl w:val="0"/>
          <w:numId w:val="0"/>
        </w:numPr>
        <w:ind w:left="993"/>
        <w:rPr>
          <w:rFonts w:ascii="Arial" w:hAnsi="Arial" w:cs="Arial"/>
          <w:sz w:val="22"/>
          <w:szCs w:val="22"/>
        </w:rPr>
      </w:pPr>
      <w:r w:rsidRPr="00E4265B">
        <w:rPr>
          <w:rFonts w:ascii="Arial" w:hAnsi="Arial" w:cs="Arial"/>
          <w:sz w:val="22"/>
          <w:szCs w:val="22"/>
        </w:rPr>
        <w:t>For illustration, if there are three extern</w:t>
      </w:r>
      <w:r w:rsidR="00E61DBE" w:rsidRPr="00E4265B">
        <w:rPr>
          <w:rFonts w:ascii="Arial" w:hAnsi="Arial" w:cs="Arial"/>
          <w:sz w:val="22"/>
          <w:szCs w:val="22"/>
        </w:rPr>
        <w:t xml:space="preserve">al credit assessments mapping </w:t>
      </w:r>
      <w:r w:rsidRPr="00E4265B">
        <w:rPr>
          <w:rFonts w:ascii="Arial" w:hAnsi="Arial" w:cs="Arial"/>
          <w:sz w:val="22"/>
          <w:szCs w:val="22"/>
        </w:rPr>
        <w:t>to Credit Quality Grades with risk weights of 0%, 20% and 50%, then the applicable risk weight is 20%. If the external credit assessments map into Credit Quality Grades with</w:t>
      </w:r>
      <w:r w:rsidR="00FE5AF5" w:rsidRPr="00E4265B">
        <w:rPr>
          <w:rFonts w:ascii="Arial" w:hAnsi="Arial" w:cs="Arial"/>
          <w:sz w:val="22"/>
          <w:szCs w:val="22"/>
        </w:rPr>
        <w:t xml:space="preserve"> </w:t>
      </w:r>
      <w:r w:rsidRPr="00E4265B">
        <w:rPr>
          <w:rFonts w:ascii="Arial" w:hAnsi="Arial" w:cs="Arial"/>
          <w:sz w:val="22"/>
          <w:szCs w:val="22"/>
        </w:rPr>
        <w:t>risk weights of 20%, 50% and 50%, then the applicable risk weight is 50%.</w:t>
      </w:r>
    </w:p>
    <w:p w14:paraId="29A7D72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not recognise the effects of CRM if such mitigation is already reflected in the issue</w:t>
      </w:r>
      <w:r w:rsidRPr="00E4265B">
        <w:rPr>
          <w:rFonts w:ascii="Arial" w:hAnsi="Arial" w:cs="Arial"/>
          <w:sz w:val="22"/>
          <w:szCs w:val="22"/>
        </w:rPr>
        <w:noBreakHyphen/>
        <w:t>specific external credit assessment of the CR Exposure.</w:t>
      </w:r>
    </w:p>
    <w:p w14:paraId="26F6BE0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Where a CR Exposure has an issue</w:t>
      </w:r>
      <w:r w:rsidRPr="00E4265B">
        <w:rPr>
          <w:rFonts w:ascii="Arial" w:hAnsi="Arial" w:cs="Arial"/>
          <w:sz w:val="22"/>
          <w:szCs w:val="22"/>
        </w:rPr>
        <w:noBreakHyphen/>
        <w:t xml:space="preserve">specific external credit assessment from a recognised ECAI, an </w:t>
      </w:r>
      <w:r w:rsidR="000D1A90" w:rsidRPr="00E4265B">
        <w:rPr>
          <w:rFonts w:ascii="Arial" w:hAnsi="Arial" w:cs="Arial"/>
          <w:sz w:val="22"/>
          <w:szCs w:val="22"/>
        </w:rPr>
        <w:t>Authorised Person</w:t>
      </w:r>
      <w:r w:rsidRPr="00E4265B">
        <w:rPr>
          <w:rFonts w:ascii="Arial" w:hAnsi="Arial" w:cs="Arial"/>
          <w:sz w:val="22"/>
          <w:szCs w:val="22"/>
        </w:rPr>
        <w:t xml:space="preserve"> must use such assessment. Where a CR Exposure does not have an issue</w:t>
      </w:r>
      <w:r w:rsidRPr="00E4265B">
        <w:rPr>
          <w:rFonts w:ascii="Arial" w:hAnsi="Arial" w:cs="Arial"/>
          <w:sz w:val="22"/>
          <w:szCs w:val="22"/>
        </w:rPr>
        <w:noBreakHyphen/>
        <w:t xml:space="preserve">specific external credit assessment, an </w:t>
      </w:r>
      <w:r w:rsidR="000D1A90" w:rsidRPr="00E4265B">
        <w:rPr>
          <w:rFonts w:ascii="Arial" w:hAnsi="Arial" w:cs="Arial"/>
          <w:sz w:val="22"/>
          <w:szCs w:val="22"/>
        </w:rPr>
        <w:t>Authorised Person</w:t>
      </w:r>
      <w:r w:rsidRPr="00E4265B">
        <w:rPr>
          <w:rFonts w:ascii="Arial" w:hAnsi="Arial" w:cs="Arial"/>
          <w:sz w:val="22"/>
          <w:szCs w:val="22"/>
        </w:rPr>
        <w:t xml:space="preserve"> must:</w:t>
      </w:r>
    </w:p>
    <w:p w14:paraId="62E5D75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if there is an issue</w:t>
      </w:r>
      <w:r w:rsidRPr="00E4265B">
        <w:rPr>
          <w:rFonts w:ascii="Arial" w:hAnsi="Arial" w:cs="Arial"/>
          <w:sz w:val="22"/>
          <w:szCs w:val="22"/>
        </w:rPr>
        <w:noBreakHyphen/>
        <w:t>specific external credit assessment for another Exposure to the same obligor, use the issue</w:t>
      </w:r>
      <w:r w:rsidRPr="00E4265B">
        <w:rPr>
          <w:rFonts w:ascii="Arial" w:hAnsi="Arial" w:cs="Arial"/>
          <w:sz w:val="22"/>
          <w:szCs w:val="22"/>
        </w:rPr>
        <w:noBreakHyphen/>
        <w:t>specific assessment for the other Exposure only if the Exposure without an issue</w:t>
      </w:r>
      <w:r w:rsidRPr="00E4265B">
        <w:rPr>
          <w:rFonts w:ascii="Arial" w:hAnsi="Arial" w:cs="Arial"/>
          <w:sz w:val="22"/>
          <w:szCs w:val="22"/>
        </w:rPr>
        <w:noBreakHyphen/>
        <w:t>specific assessment ranks pari passu with or is senior to the Exposure with the issue</w:t>
      </w:r>
      <w:r w:rsidRPr="00E4265B">
        <w:rPr>
          <w:rFonts w:ascii="Arial" w:hAnsi="Arial" w:cs="Arial"/>
          <w:sz w:val="22"/>
          <w:szCs w:val="22"/>
        </w:rPr>
        <w:noBreakHyphen/>
        <w:t>specific assessment;</w:t>
      </w:r>
    </w:p>
    <w:p w14:paraId="2683A7B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if the obligor has an Issuer external credit assessment, use the Issuer assessment of the obligor only if the Exposure without an issue</w:t>
      </w:r>
      <w:r w:rsidRPr="00E4265B">
        <w:rPr>
          <w:rFonts w:ascii="Arial" w:hAnsi="Arial" w:cs="Arial"/>
          <w:sz w:val="22"/>
          <w:szCs w:val="22"/>
        </w:rPr>
        <w:noBreakHyphen/>
        <w:t>specific assessment ranks pari passu with or is senior to any unsecured claim that is not subordinated to any other claim on the obligor; or</w:t>
      </w:r>
    </w:p>
    <w:p w14:paraId="23C5A8F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in all other cases, apply a risk weight equal to the higher of the risk weight that is applicable to an unrated Exposure and the risk weight associated with the external credit assessment, if any, of the obligor or another Exposure to the same obligor.</w:t>
      </w:r>
    </w:p>
    <w:p w14:paraId="70EEE563" w14:textId="2357C70E" w:rsidR="00E22FF2" w:rsidRPr="00E4265B" w:rsidRDefault="00E22FF2" w:rsidP="00A23E1F">
      <w:pPr>
        <w:pStyle w:val="Heading4"/>
        <w:rPr>
          <w:rFonts w:ascii="Arial" w:hAnsi="Arial" w:cs="Arial"/>
          <w:sz w:val="22"/>
          <w:szCs w:val="22"/>
        </w:rPr>
      </w:pPr>
      <w:r w:rsidRPr="00E4265B">
        <w:rPr>
          <w:rFonts w:ascii="Arial" w:hAnsi="Arial" w:cs="Arial"/>
          <w:sz w:val="22"/>
          <w:szCs w:val="22"/>
        </w:rPr>
        <w:t>Where a CR Exposure is risk</w:t>
      </w:r>
      <w:r w:rsidRPr="00E4265B">
        <w:rPr>
          <w:rFonts w:ascii="Arial" w:hAnsi="Arial" w:cs="Arial"/>
          <w:sz w:val="22"/>
          <w:szCs w:val="22"/>
        </w:rPr>
        <w:noBreakHyphen/>
        <w:t>weighted in accordance with Rules 4.11.</w:t>
      </w:r>
      <w:r w:rsidR="00A23E1F" w:rsidRPr="00E4265B">
        <w:rPr>
          <w:rFonts w:ascii="Arial" w:hAnsi="Arial" w:cs="Arial"/>
          <w:sz w:val="22"/>
          <w:szCs w:val="22"/>
        </w:rPr>
        <w:t>7</w:t>
      </w:r>
      <w:r w:rsidRPr="00E4265B">
        <w:rPr>
          <w:rFonts w:ascii="Arial" w:hAnsi="Arial" w:cs="Arial"/>
          <w:sz w:val="22"/>
          <w:szCs w:val="22"/>
        </w:rPr>
        <w:t xml:space="preserve">(a) or (b), an </w:t>
      </w:r>
      <w:r w:rsidR="000D1A90" w:rsidRPr="00E4265B">
        <w:rPr>
          <w:rFonts w:ascii="Arial" w:hAnsi="Arial" w:cs="Arial"/>
          <w:sz w:val="22"/>
          <w:szCs w:val="22"/>
        </w:rPr>
        <w:t>Authorised Person</w:t>
      </w:r>
      <w:r w:rsidRPr="00E4265B">
        <w:rPr>
          <w:rFonts w:ascii="Arial" w:hAnsi="Arial" w:cs="Arial"/>
          <w:sz w:val="22"/>
          <w:szCs w:val="22"/>
        </w:rPr>
        <w:t xml:space="preserve"> may use a domestic currency external credit assessment only if the CR Exposure is denominated in that domestic currency.</w:t>
      </w:r>
    </w:p>
    <w:p w14:paraId="17E2FDE1"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may use an external credit assessment to risk weight a CR Exposure only if the external credit assessment has taken into account and reflects the entire amount of Credit Risk Exposure the </w:t>
      </w:r>
      <w:r w:rsidR="000D1A90" w:rsidRPr="00E4265B">
        <w:rPr>
          <w:rFonts w:ascii="Arial" w:hAnsi="Arial" w:cs="Arial"/>
          <w:sz w:val="22"/>
          <w:szCs w:val="22"/>
        </w:rPr>
        <w:t>Authorised Person</w:t>
      </w:r>
      <w:r w:rsidRPr="00E4265B">
        <w:rPr>
          <w:rFonts w:ascii="Arial" w:hAnsi="Arial" w:cs="Arial"/>
          <w:sz w:val="22"/>
          <w:szCs w:val="22"/>
        </w:rPr>
        <w:t xml:space="preserve"> has with regard to all payments owed to it.</w:t>
      </w:r>
    </w:p>
    <w:p w14:paraId="7A325E6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not use unsolicited external credit assessments to assign any CR Exposure to a Credit Quality Grade, unless:</w:t>
      </w:r>
    </w:p>
    <w:p w14:paraId="795C821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lastRenderedPageBreak/>
        <w:t>it has assessed the quality of the unsolicited external credit assessments that it intends to use and is satisfied that these are comparable in performance with solicited external credit assessments and maintains relevant records and documents to be made available to the Regulator upon request; and</w:t>
      </w:r>
    </w:p>
    <w:p w14:paraId="6CF6885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it uses unsolicited external credit assessments consistently for each type of Exposures, for both risk weighting and risk management purposes.</w:t>
      </w:r>
    </w:p>
    <w:p w14:paraId="48D93411" w14:textId="77777777" w:rsidR="00E22FF2" w:rsidRPr="00E4265B" w:rsidRDefault="00E22FF2" w:rsidP="00246497">
      <w:pPr>
        <w:pStyle w:val="Heading3"/>
        <w:rPr>
          <w:rFonts w:ascii="Arial" w:hAnsi="Arial" w:cs="Arial"/>
          <w:sz w:val="22"/>
          <w:szCs w:val="22"/>
        </w:rPr>
      </w:pPr>
      <w:bookmarkStart w:id="405" w:name="_Toc403223952"/>
      <w:bookmarkStart w:id="406" w:name="_Toc403253990"/>
      <w:bookmarkStart w:id="407" w:name="_Toc403273390"/>
      <w:bookmarkStart w:id="408" w:name="_Toc403273539"/>
      <w:bookmarkStart w:id="409" w:name="_Toc403274498"/>
      <w:bookmarkStart w:id="410" w:name="_Toc403279994"/>
      <w:bookmarkStart w:id="411" w:name="_Toc404285795"/>
      <w:bookmarkStart w:id="412" w:name="_Toc404621744"/>
      <w:bookmarkStart w:id="413" w:name="_Toc404624385"/>
      <w:bookmarkStart w:id="414" w:name="_Toc33622411"/>
      <w:r w:rsidRPr="00E4265B">
        <w:rPr>
          <w:rFonts w:ascii="Arial" w:hAnsi="Arial" w:cs="Arial"/>
          <w:sz w:val="22"/>
          <w:szCs w:val="22"/>
        </w:rPr>
        <w:t>Risk weights</w:t>
      </w:r>
      <w:bookmarkEnd w:id="405"/>
      <w:bookmarkEnd w:id="406"/>
      <w:bookmarkEnd w:id="407"/>
      <w:bookmarkEnd w:id="408"/>
      <w:bookmarkEnd w:id="409"/>
      <w:bookmarkEnd w:id="410"/>
      <w:bookmarkEnd w:id="411"/>
      <w:bookmarkEnd w:id="412"/>
      <w:bookmarkEnd w:id="413"/>
      <w:bookmarkEnd w:id="414"/>
    </w:p>
    <w:p w14:paraId="4FAF4E8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with a CR Exposure must:</w:t>
      </w:r>
    </w:p>
    <w:p w14:paraId="1363C55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for a CR Exposure that is not past due for more than 90 days, determine the applicable risk weight in accordance with Rules 4.12.2 to 4.12.23;</w:t>
      </w:r>
    </w:p>
    <w:p w14:paraId="75976F7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for a CR Exposure that is past due for more than 90 days, determine the applicable risk weight in accordance with Rules 4.12.24 to 4.12.26; and</w:t>
      </w:r>
    </w:p>
    <w:p w14:paraId="4D9B99D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for a CR Exposure arising from an Unsettled Transaction, determine the </w:t>
      </w:r>
      <w:r w:rsidR="006B304D" w:rsidRPr="00E4265B">
        <w:rPr>
          <w:rFonts w:ascii="Arial" w:hAnsi="Arial" w:cs="Arial"/>
          <w:sz w:val="22"/>
          <w:szCs w:val="22"/>
        </w:rPr>
        <w:t xml:space="preserve">Credit RWA </w:t>
      </w:r>
      <w:r w:rsidRPr="00E4265B">
        <w:rPr>
          <w:rFonts w:ascii="Arial" w:hAnsi="Arial" w:cs="Arial"/>
          <w:sz w:val="22"/>
          <w:szCs w:val="22"/>
        </w:rPr>
        <w:t>in accordance with Rules A4.6.5 to A4.6.8.</w:t>
      </w:r>
    </w:p>
    <w:p w14:paraId="6569D21A"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27AE1919"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 xml:space="preserve">Where a CR Exposure which is not past due has a Credit Quality Grade which corresponds to a risk weight of 150%,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apply the appropriate treatment and risk weights set out in Rules 4.12.24 to 4.12.26.</w:t>
      </w:r>
    </w:p>
    <w:p w14:paraId="5D058BE7"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Cash items</w:t>
      </w:r>
    </w:p>
    <w:p w14:paraId="38D5031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Subject to Rule 4.12.3, an </w:t>
      </w:r>
      <w:r w:rsidR="000D1A90" w:rsidRPr="00E4265B">
        <w:rPr>
          <w:rFonts w:ascii="Arial" w:hAnsi="Arial" w:cs="Arial"/>
          <w:sz w:val="22"/>
          <w:szCs w:val="22"/>
        </w:rPr>
        <w:t>Authorised Person</w:t>
      </w:r>
      <w:r w:rsidRPr="00E4265B">
        <w:rPr>
          <w:rFonts w:ascii="Arial" w:hAnsi="Arial" w:cs="Arial"/>
          <w:sz w:val="22"/>
          <w:szCs w:val="22"/>
        </w:rPr>
        <w:t xml:space="preserve"> may apply a 0% risk weight to any CR Exposure categorised as a cash item.</w:t>
      </w:r>
    </w:p>
    <w:p w14:paraId="5EE58CC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apply a 20% risk weight to cheques, drafts and other items drawn on other banking institutions that are either payable immediately upon presentation or that are in the process of collection.</w:t>
      </w:r>
    </w:p>
    <w:p w14:paraId="2757C528" w14:textId="589D3507" w:rsidR="00E22FF2" w:rsidRPr="00E4265B" w:rsidRDefault="00E22FF2" w:rsidP="00030214">
      <w:pPr>
        <w:pStyle w:val="TitleL5"/>
        <w:rPr>
          <w:rFonts w:ascii="Arial" w:hAnsi="Arial" w:cs="Arial"/>
          <w:sz w:val="22"/>
          <w:szCs w:val="22"/>
          <w:lang w:val="en-GB"/>
        </w:rPr>
      </w:pPr>
      <w:r w:rsidRPr="00E4265B">
        <w:rPr>
          <w:rFonts w:ascii="Arial" w:hAnsi="Arial" w:cs="Arial"/>
          <w:sz w:val="22"/>
          <w:szCs w:val="22"/>
          <w:lang w:val="en-GB"/>
        </w:rPr>
        <w:t xml:space="preserve">Central government and </w:t>
      </w:r>
      <w:r w:rsidR="00030214" w:rsidRPr="00E4265B">
        <w:rPr>
          <w:rFonts w:ascii="Arial" w:hAnsi="Arial" w:cs="Arial"/>
          <w:sz w:val="22"/>
          <w:szCs w:val="22"/>
          <w:lang w:val="en-GB"/>
        </w:rPr>
        <w:t>c</w:t>
      </w:r>
      <w:r w:rsidRPr="00E4265B">
        <w:rPr>
          <w:rFonts w:ascii="Arial" w:hAnsi="Arial" w:cs="Arial"/>
          <w:sz w:val="22"/>
          <w:szCs w:val="22"/>
          <w:lang w:val="en-GB"/>
        </w:rPr>
        <w:t xml:space="preserve">entral </w:t>
      </w:r>
      <w:r w:rsidR="00030214" w:rsidRPr="00E4265B">
        <w:rPr>
          <w:rFonts w:ascii="Arial" w:hAnsi="Arial" w:cs="Arial"/>
          <w:sz w:val="22"/>
          <w:szCs w:val="22"/>
          <w:lang w:val="en-GB"/>
        </w:rPr>
        <w:t>b</w:t>
      </w:r>
      <w:r w:rsidRPr="00E4265B">
        <w:rPr>
          <w:rFonts w:ascii="Arial" w:hAnsi="Arial" w:cs="Arial"/>
          <w:sz w:val="22"/>
          <w:szCs w:val="22"/>
          <w:lang w:val="en-GB"/>
        </w:rPr>
        <w:t>ank asset class</w:t>
      </w:r>
    </w:p>
    <w:p w14:paraId="6D334ED8" w14:textId="47C2D8E9" w:rsidR="00E22FF2" w:rsidRPr="00E4265B" w:rsidRDefault="00E22FF2" w:rsidP="00030214">
      <w:pPr>
        <w:pStyle w:val="Heading4"/>
        <w:rPr>
          <w:rFonts w:ascii="Arial" w:hAnsi="Arial" w:cs="Arial"/>
          <w:sz w:val="22"/>
          <w:szCs w:val="22"/>
        </w:rPr>
      </w:pPr>
      <w:r w:rsidRPr="00E4265B">
        <w:rPr>
          <w:rFonts w:ascii="Arial" w:hAnsi="Arial" w:cs="Arial"/>
          <w:sz w:val="22"/>
          <w:szCs w:val="22"/>
        </w:rPr>
        <w:t xml:space="preserve">Subject to Rules 4.12.5, an </w:t>
      </w:r>
      <w:r w:rsidR="000D1A90" w:rsidRPr="00E4265B">
        <w:rPr>
          <w:rFonts w:ascii="Arial" w:hAnsi="Arial" w:cs="Arial"/>
          <w:sz w:val="22"/>
          <w:szCs w:val="22"/>
        </w:rPr>
        <w:t>Authorised Person</w:t>
      </w:r>
      <w:r w:rsidRPr="00E4265B">
        <w:rPr>
          <w:rFonts w:ascii="Arial" w:hAnsi="Arial" w:cs="Arial"/>
          <w:sz w:val="22"/>
          <w:szCs w:val="22"/>
        </w:rPr>
        <w:t xml:space="preserve"> must risk</w:t>
      </w:r>
      <w:r w:rsidRPr="00E4265B">
        <w:rPr>
          <w:rFonts w:ascii="Arial" w:hAnsi="Arial" w:cs="Arial"/>
          <w:sz w:val="22"/>
          <w:szCs w:val="22"/>
        </w:rPr>
        <w:noBreakHyphen/>
        <w:t xml:space="preserve">weight any CR Exposure in the central government and </w:t>
      </w:r>
      <w:r w:rsidR="00030214" w:rsidRPr="00E4265B">
        <w:rPr>
          <w:rFonts w:ascii="Arial" w:hAnsi="Arial" w:cs="Arial"/>
          <w:sz w:val="22"/>
          <w:szCs w:val="22"/>
        </w:rPr>
        <w:t>c</w:t>
      </w:r>
      <w:r w:rsidRPr="00E4265B">
        <w:rPr>
          <w:rFonts w:ascii="Arial" w:hAnsi="Arial" w:cs="Arial"/>
          <w:sz w:val="22"/>
          <w:szCs w:val="22"/>
        </w:rPr>
        <w:t xml:space="preserve">entral </w:t>
      </w:r>
      <w:r w:rsidR="00030214" w:rsidRPr="00E4265B">
        <w:rPr>
          <w:rFonts w:ascii="Arial" w:hAnsi="Arial" w:cs="Arial"/>
          <w:sz w:val="22"/>
          <w:szCs w:val="22"/>
        </w:rPr>
        <w:t>b</w:t>
      </w:r>
      <w:r w:rsidRPr="00E4265B">
        <w:rPr>
          <w:rFonts w:ascii="Arial" w:hAnsi="Arial" w:cs="Arial"/>
          <w:sz w:val="22"/>
          <w:szCs w:val="22"/>
        </w:rPr>
        <w:t>ank asset class in accordance with the table below.</w:t>
      </w:r>
    </w:p>
    <w:p w14:paraId="6464A0F7" w14:textId="3995FF90" w:rsidR="00E22FF2" w:rsidRPr="00E4265B" w:rsidRDefault="00E22FF2" w:rsidP="00030214">
      <w:pPr>
        <w:pStyle w:val="UK12Block05"/>
        <w:rPr>
          <w:rFonts w:ascii="Arial" w:hAnsi="Arial" w:cs="Arial"/>
          <w:sz w:val="22"/>
          <w:szCs w:val="22"/>
          <w:lang w:val="en-GB"/>
        </w:rPr>
      </w:pPr>
      <w:r w:rsidRPr="00E4265B">
        <w:rPr>
          <w:rFonts w:ascii="Arial" w:hAnsi="Arial" w:cs="Arial"/>
          <w:sz w:val="22"/>
          <w:szCs w:val="22"/>
          <w:lang w:val="en-GB"/>
        </w:rPr>
        <w:t xml:space="preserve">Risk weights for the central government and </w:t>
      </w:r>
      <w:r w:rsidR="00030214" w:rsidRPr="00E4265B">
        <w:rPr>
          <w:rFonts w:ascii="Arial" w:hAnsi="Arial" w:cs="Arial"/>
          <w:sz w:val="22"/>
          <w:szCs w:val="22"/>
          <w:lang w:val="en-GB"/>
        </w:rPr>
        <w:t>c</w:t>
      </w:r>
      <w:r w:rsidRPr="00E4265B">
        <w:rPr>
          <w:rFonts w:ascii="Arial" w:hAnsi="Arial" w:cs="Arial"/>
          <w:sz w:val="22"/>
          <w:szCs w:val="22"/>
          <w:lang w:val="en-GB"/>
        </w:rPr>
        <w:t xml:space="preserve">entral </w:t>
      </w:r>
      <w:r w:rsidR="00030214" w:rsidRPr="00E4265B">
        <w:rPr>
          <w:rFonts w:ascii="Arial" w:hAnsi="Arial" w:cs="Arial"/>
          <w:sz w:val="22"/>
          <w:szCs w:val="22"/>
          <w:lang w:val="en-GB"/>
        </w:rPr>
        <w:t>b</w:t>
      </w:r>
      <w:r w:rsidRPr="00E4265B">
        <w:rPr>
          <w:rFonts w:ascii="Arial" w:hAnsi="Arial" w:cs="Arial"/>
          <w:sz w:val="22"/>
          <w:szCs w:val="22"/>
          <w:lang w:val="en-GB"/>
        </w:rPr>
        <w:t>ank asset class</w:t>
      </w:r>
    </w:p>
    <w:tbl>
      <w:tblPr>
        <w:tblStyle w:val="TableGrid"/>
        <w:tblW w:w="0" w:type="auto"/>
        <w:tblInd w:w="1008" w:type="dxa"/>
        <w:tblLayout w:type="fixed"/>
        <w:tblLook w:val="04A0" w:firstRow="1" w:lastRow="0" w:firstColumn="1" w:lastColumn="0" w:noHBand="0" w:noVBand="1"/>
      </w:tblPr>
      <w:tblGrid>
        <w:gridCol w:w="1568"/>
        <w:gridCol w:w="952"/>
        <w:gridCol w:w="952"/>
        <w:gridCol w:w="953"/>
        <w:gridCol w:w="952"/>
        <w:gridCol w:w="953"/>
        <w:gridCol w:w="952"/>
        <w:gridCol w:w="953"/>
      </w:tblGrid>
      <w:tr w:rsidR="00E22FF2" w:rsidRPr="00E4265B" w14:paraId="38259BA1" w14:textId="77777777" w:rsidTr="00E50EFB">
        <w:tc>
          <w:tcPr>
            <w:tcW w:w="1568" w:type="dxa"/>
            <w:shd w:val="clear" w:color="auto" w:fill="D9D9D9" w:themeFill="background1" w:themeFillShade="D9"/>
            <w:noWrap/>
          </w:tcPr>
          <w:p w14:paraId="037FFE2C" w14:textId="77777777" w:rsidR="00E22FF2" w:rsidRPr="00E4265B" w:rsidRDefault="00E22FF2" w:rsidP="00120FD8">
            <w:pPr>
              <w:rPr>
                <w:rFonts w:ascii="Arial" w:hAnsi="Arial" w:cs="Arial"/>
                <w:sz w:val="22"/>
                <w:szCs w:val="22"/>
                <w:lang w:val="en-GB"/>
              </w:rPr>
            </w:pPr>
            <w:r w:rsidRPr="00E4265B">
              <w:rPr>
                <w:rFonts w:ascii="Arial" w:hAnsi="Arial" w:cs="Arial"/>
                <w:sz w:val="22"/>
                <w:szCs w:val="22"/>
                <w:lang w:val="en-GB"/>
              </w:rPr>
              <w:t>Credit Quality Grade</w:t>
            </w:r>
          </w:p>
        </w:tc>
        <w:tc>
          <w:tcPr>
            <w:tcW w:w="952" w:type="dxa"/>
            <w:noWrap/>
          </w:tcPr>
          <w:p w14:paraId="60469AAD"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1</w:t>
            </w:r>
          </w:p>
        </w:tc>
        <w:tc>
          <w:tcPr>
            <w:tcW w:w="952" w:type="dxa"/>
            <w:noWrap/>
          </w:tcPr>
          <w:p w14:paraId="0FA8BDA3"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2</w:t>
            </w:r>
          </w:p>
        </w:tc>
        <w:tc>
          <w:tcPr>
            <w:tcW w:w="953" w:type="dxa"/>
            <w:noWrap/>
          </w:tcPr>
          <w:p w14:paraId="577FC113"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3</w:t>
            </w:r>
          </w:p>
        </w:tc>
        <w:tc>
          <w:tcPr>
            <w:tcW w:w="952" w:type="dxa"/>
            <w:noWrap/>
          </w:tcPr>
          <w:p w14:paraId="5B1ECBD8"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4</w:t>
            </w:r>
          </w:p>
        </w:tc>
        <w:tc>
          <w:tcPr>
            <w:tcW w:w="953" w:type="dxa"/>
            <w:noWrap/>
          </w:tcPr>
          <w:p w14:paraId="477F046C"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5</w:t>
            </w:r>
          </w:p>
        </w:tc>
        <w:tc>
          <w:tcPr>
            <w:tcW w:w="952" w:type="dxa"/>
            <w:noWrap/>
          </w:tcPr>
          <w:p w14:paraId="6ED96CBD"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6</w:t>
            </w:r>
          </w:p>
        </w:tc>
        <w:tc>
          <w:tcPr>
            <w:tcW w:w="953" w:type="dxa"/>
            <w:noWrap/>
          </w:tcPr>
          <w:p w14:paraId="262D6FC5"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Unrated</w:t>
            </w:r>
          </w:p>
        </w:tc>
      </w:tr>
      <w:tr w:rsidR="00E22FF2" w:rsidRPr="00E4265B" w14:paraId="05E960F0" w14:textId="77777777" w:rsidTr="00134903">
        <w:tc>
          <w:tcPr>
            <w:tcW w:w="1568" w:type="dxa"/>
            <w:shd w:val="clear" w:color="auto" w:fill="D9D9D9" w:themeFill="background1" w:themeFillShade="D9"/>
            <w:noWrap/>
          </w:tcPr>
          <w:p w14:paraId="15D038C5" w14:textId="77777777" w:rsidR="00E22FF2" w:rsidRPr="00E4265B" w:rsidRDefault="00E22FF2" w:rsidP="00120FD8">
            <w:pPr>
              <w:rPr>
                <w:rFonts w:ascii="Arial" w:hAnsi="Arial" w:cs="Arial"/>
                <w:sz w:val="22"/>
                <w:szCs w:val="22"/>
                <w:lang w:val="en-GB"/>
              </w:rPr>
            </w:pPr>
            <w:r w:rsidRPr="00E4265B">
              <w:rPr>
                <w:rFonts w:ascii="Arial" w:hAnsi="Arial" w:cs="Arial"/>
                <w:sz w:val="22"/>
                <w:szCs w:val="22"/>
                <w:lang w:val="en-GB"/>
              </w:rPr>
              <w:t>Risk Weight</w:t>
            </w:r>
          </w:p>
        </w:tc>
        <w:tc>
          <w:tcPr>
            <w:tcW w:w="952" w:type="dxa"/>
            <w:noWrap/>
          </w:tcPr>
          <w:p w14:paraId="701EA9C4" w14:textId="797C19BB"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0%</w:t>
            </w:r>
          </w:p>
        </w:tc>
        <w:tc>
          <w:tcPr>
            <w:tcW w:w="952" w:type="dxa"/>
            <w:noWrap/>
          </w:tcPr>
          <w:p w14:paraId="6363B9FD" w14:textId="38125BD7" w:rsidR="00E22FF2" w:rsidRPr="00E4265B" w:rsidRDefault="00A23E1F" w:rsidP="006B304D">
            <w:pPr>
              <w:jc w:val="center"/>
              <w:rPr>
                <w:rFonts w:ascii="Arial" w:hAnsi="Arial" w:cs="Arial"/>
                <w:sz w:val="22"/>
                <w:szCs w:val="22"/>
                <w:lang w:val="en-GB"/>
              </w:rPr>
            </w:pPr>
            <w:r w:rsidRPr="00E4265B">
              <w:rPr>
                <w:rFonts w:ascii="Arial" w:hAnsi="Arial" w:cs="Arial"/>
                <w:sz w:val="22"/>
                <w:szCs w:val="22"/>
                <w:lang w:val="en-GB"/>
              </w:rPr>
              <w:t>2</w:t>
            </w:r>
            <w:r w:rsidR="00E22FF2" w:rsidRPr="00E4265B">
              <w:rPr>
                <w:rFonts w:ascii="Arial" w:hAnsi="Arial" w:cs="Arial"/>
                <w:sz w:val="22"/>
                <w:szCs w:val="22"/>
                <w:lang w:val="en-GB"/>
              </w:rPr>
              <w:t>0%</w:t>
            </w:r>
          </w:p>
        </w:tc>
        <w:tc>
          <w:tcPr>
            <w:tcW w:w="953" w:type="dxa"/>
            <w:noWrap/>
          </w:tcPr>
          <w:p w14:paraId="03E30D6F"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50%</w:t>
            </w:r>
          </w:p>
        </w:tc>
        <w:tc>
          <w:tcPr>
            <w:tcW w:w="952" w:type="dxa"/>
            <w:noWrap/>
          </w:tcPr>
          <w:p w14:paraId="38870BBB"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100%</w:t>
            </w:r>
          </w:p>
        </w:tc>
        <w:tc>
          <w:tcPr>
            <w:tcW w:w="953" w:type="dxa"/>
            <w:noWrap/>
          </w:tcPr>
          <w:p w14:paraId="2FD9C573"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100%</w:t>
            </w:r>
          </w:p>
        </w:tc>
        <w:tc>
          <w:tcPr>
            <w:tcW w:w="952" w:type="dxa"/>
            <w:noWrap/>
          </w:tcPr>
          <w:p w14:paraId="50788F50"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150%</w:t>
            </w:r>
          </w:p>
        </w:tc>
        <w:tc>
          <w:tcPr>
            <w:tcW w:w="953" w:type="dxa"/>
            <w:noWrap/>
          </w:tcPr>
          <w:p w14:paraId="3C1ED54B"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100%</w:t>
            </w:r>
          </w:p>
        </w:tc>
      </w:tr>
    </w:tbl>
    <w:p w14:paraId="65387DA0" w14:textId="77777777" w:rsidR="00E22FF2" w:rsidRPr="00E4265B" w:rsidRDefault="00E22FF2" w:rsidP="00BF0519">
      <w:pPr>
        <w:rPr>
          <w:rFonts w:ascii="Arial" w:hAnsi="Arial" w:cs="Arial"/>
          <w:sz w:val="22"/>
          <w:szCs w:val="22"/>
          <w:lang w:val="en-GB"/>
        </w:rPr>
      </w:pPr>
    </w:p>
    <w:p w14:paraId="433843EF" w14:textId="30606692"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may apply a 0% risk weight to any CR Exposure to central governments or central banks of a GCC member country which are denominated and funded in the domestic currency of the GCC member country. For the purposes of this Rule, individual Emirates of the UAE will be considered as though they were GCC member countries.</w:t>
      </w:r>
    </w:p>
    <w:p w14:paraId="5C500772" w14:textId="77777777" w:rsidR="00E61DBE" w:rsidRPr="00E4265B" w:rsidRDefault="00E61DBE" w:rsidP="00E61DBE">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053A8FFC" w14:textId="77777777" w:rsidR="00E61DBE" w:rsidRPr="00E4265B" w:rsidRDefault="00E61DBE" w:rsidP="00E61DBE">
      <w:pPr>
        <w:pStyle w:val="Heading4"/>
        <w:numPr>
          <w:ilvl w:val="0"/>
          <w:numId w:val="0"/>
        </w:numPr>
        <w:ind w:left="993"/>
        <w:rPr>
          <w:rFonts w:ascii="Arial" w:hAnsi="Arial" w:cs="Arial"/>
          <w:sz w:val="22"/>
          <w:szCs w:val="22"/>
          <w:u w:val="single"/>
        </w:rPr>
      </w:pPr>
      <w:r w:rsidRPr="00E4265B">
        <w:rPr>
          <w:rFonts w:ascii="Arial" w:hAnsi="Arial" w:cs="Arial"/>
          <w:sz w:val="22"/>
          <w:szCs w:val="22"/>
        </w:rPr>
        <w:t>Where the requirements of Rule 4.12.5 are not met the CR Exposure should be treated in accordance with Rule 4.12.4</w:t>
      </w:r>
      <w:r w:rsidRPr="00E4265B">
        <w:rPr>
          <w:rFonts w:ascii="Arial" w:hAnsi="Arial" w:cs="Arial"/>
          <w:sz w:val="22"/>
          <w:szCs w:val="22"/>
          <w:u w:val="single"/>
        </w:rPr>
        <w:t>.</w:t>
      </w:r>
    </w:p>
    <w:p w14:paraId="6092F560"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Public sector enterprises (PSE) asset class</w:t>
      </w:r>
    </w:p>
    <w:p w14:paraId="00DC3DA5" w14:textId="77777777" w:rsidR="00E22FF2" w:rsidRPr="00E4265B" w:rsidRDefault="00E22FF2" w:rsidP="00E4186E">
      <w:pPr>
        <w:pStyle w:val="Heading4"/>
        <w:tabs>
          <w:tab w:val="clear" w:pos="936"/>
          <w:tab w:val="num" w:pos="900"/>
        </w:tabs>
        <w:ind w:left="1800" w:hanging="180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Subject to Rule 4.12.8, an </w:t>
      </w:r>
      <w:r w:rsidR="000D1A90" w:rsidRPr="00E4265B">
        <w:rPr>
          <w:rFonts w:ascii="Arial" w:hAnsi="Arial" w:cs="Arial"/>
          <w:sz w:val="22"/>
          <w:szCs w:val="22"/>
        </w:rPr>
        <w:t>Authorised Person</w:t>
      </w:r>
      <w:r w:rsidRPr="00E4265B">
        <w:rPr>
          <w:rFonts w:ascii="Arial" w:hAnsi="Arial" w:cs="Arial"/>
          <w:sz w:val="22"/>
          <w:szCs w:val="22"/>
        </w:rPr>
        <w:t xml:space="preserve"> must risk</w:t>
      </w:r>
      <w:r w:rsidRPr="00E4265B">
        <w:rPr>
          <w:rFonts w:ascii="Arial" w:hAnsi="Arial" w:cs="Arial"/>
          <w:sz w:val="22"/>
          <w:szCs w:val="22"/>
        </w:rPr>
        <w:noBreakHyphen/>
        <w:t>weight any CR Exposure in the PSE asset class in accordance with the following table:</w:t>
      </w:r>
    </w:p>
    <w:p w14:paraId="1C358749" w14:textId="5FE4079C" w:rsidR="00E22FF2" w:rsidRPr="00E4265B" w:rsidRDefault="00E22FF2" w:rsidP="00E4186E">
      <w:pPr>
        <w:pStyle w:val="UK12Block05"/>
        <w:rPr>
          <w:rFonts w:ascii="Arial" w:hAnsi="Arial" w:cs="Arial"/>
          <w:sz w:val="22"/>
          <w:szCs w:val="22"/>
          <w:lang w:val="en-GB"/>
        </w:rPr>
      </w:pPr>
      <w:r w:rsidRPr="00E4265B">
        <w:rPr>
          <w:rFonts w:ascii="Arial" w:hAnsi="Arial" w:cs="Arial"/>
          <w:sz w:val="22"/>
          <w:szCs w:val="22"/>
          <w:lang w:val="en-GB"/>
        </w:rPr>
        <w:t xml:space="preserve">Risk </w:t>
      </w:r>
      <w:r w:rsidR="00E4186E" w:rsidRPr="00E4265B">
        <w:rPr>
          <w:rFonts w:ascii="Arial" w:hAnsi="Arial" w:cs="Arial"/>
          <w:sz w:val="22"/>
          <w:szCs w:val="22"/>
          <w:lang w:val="en-GB"/>
        </w:rPr>
        <w:t>w</w:t>
      </w:r>
      <w:r w:rsidRPr="00E4265B">
        <w:rPr>
          <w:rFonts w:ascii="Arial" w:hAnsi="Arial" w:cs="Arial"/>
          <w:sz w:val="22"/>
          <w:szCs w:val="22"/>
          <w:lang w:val="en-GB"/>
        </w:rPr>
        <w:t>eights for the PSE asset class</w:t>
      </w:r>
    </w:p>
    <w:tbl>
      <w:tblPr>
        <w:tblStyle w:val="TableGrid"/>
        <w:tblW w:w="0" w:type="auto"/>
        <w:tblInd w:w="1008" w:type="dxa"/>
        <w:tblLayout w:type="fixed"/>
        <w:tblLook w:val="04A0" w:firstRow="1" w:lastRow="0" w:firstColumn="1" w:lastColumn="0" w:noHBand="0" w:noVBand="1"/>
      </w:tblPr>
      <w:tblGrid>
        <w:gridCol w:w="1620"/>
        <w:gridCol w:w="900"/>
        <w:gridCol w:w="900"/>
        <w:gridCol w:w="990"/>
        <w:gridCol w:w="990"/>
        <w:gridCol w:w="900"/>
        <w:gridCol w:w="990"/>
        <w:gridCol w:w="990"/>
      </w:tblGrid>
      <w:tr w:rsidR="00E22FF2" w:rsidRPr="00E4265B" w14:paraId="13784668" w14:textId="77777777" w:rsidTr="004917B1">
        <w:tc>
          <w:tcPr>
            <w:tcW w:w="1620" w:type="dxa"/>
            <w:shd w:val="clear" w:color="auto" w:fill="D9D9D9" w:themeFill="background1" w:themeFillShade="D9"/>
          </w:tcPr>
          <w:p w14:paraId="4C93B2AB" w14:textId="77777777" w:rsidR="00E22FF2" w:rsidRPr="00E4265B" w:rsidRDefault="00E22FF2" w:rsidP="00E733AD">
            <w:pPr>
              <w:rPr>
                <w:rFonts w:ascii="Arial" w:hAnsi="Arial" w:cs="Arial"/>
                <w:sz w:val="22"/>
                <w:szCs w:val="22"/>
                <w:lang w:val="en-GB"/>
              </w:rPr>
            </w:pPr>
            <w:r w:rsidRPr="00E4265B">
              <w:rPr>
                <w:rFonts w:ascii="Arial" w:hAnsi="Arial" w:cs="Arial"/>
                <w:sz w:val="22"/>
                <w:szCs w:val="22"/>
                <w:lang w:val="en-GB"/>
              </w:rPr>
              <w:t>Credit Quality Grade</w:t>
            </w:r>
          </w:p>
        </w:tc>
        <w:tc>
          <w:tcPr>
            <w:tcW w:w="900" w:type="dxa"/>
          </w:tcPr>
          <w:p w14:paraId="593A2379"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1</w:t>
            </w:r>
          </w:p>
        </w:tc>
        <w:tc>
          <w:tcPr>
            <w:tcW w:w="900" w:type="dxa"/>
          </w:tcPr>
          <w:p w14:paraId="266FB6EB"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2</w:t>
            </w:r>
          </w:p>
        </w:tc>
        <w:tc>
          <w:tcPr>
            <w:tcW w:w="990" w:type="dxa"/>
          </w:tcPr>
          <w:p w14:paraId="26C926AC"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3</w:t>
            </w:r>
          </w:p>
        </w:tc>
        <w:tc>
          <w:tcPr>
            <w:tcW w:w="990" w:type="dxa"/>
          </w:tcPr>
          <w:p w14:paraId="0DDD4B09"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4</w:t>
            </w:r>
          </w:p>
        </w:tc>
        <w:tc>
          <w:tcPr>
            <w:tcW w:w="900" w:type="dxa"/>
          </w:tcPr>
          <w:p w14:paraId="7D9454BC"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5</w:t>
            </w:r>
          </w:p>
        </w:tc>
        <w:tc>
          <w:tcPr>
            <w:tcW w:w="990" w:type="dxa"/>
          </w:tcPr>
          <w:p w14:paraId="3E83A08A"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6</w:t>
            </w:r>
          </w:p>
        </w:tc>
        <w:tc>
          <w:tcPr>
            <w:tcW w:w="990" w:type="dxa"/>
          </w:tcPr>
          <w:p w14:paraId="5AB2ABDE"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Unrated</w:t>
            </w:r>
          </w:p>
        </w:tc>
      </w:tr>
      <w:tr w:rsidR="00E22FF2" w:rsidRPr="00E4265B" w14:paraId="1F07E232" w14:textId="77777777" w:rsidTr="004917B1">
        <w:tc>
          <w:tcPr>
            <w:tcW w:w="1620" w:type="dxa"/>
            <w:shd w:val="clear" w:color="auto" w:fill="D9D9D9" w:themeFill="background1" w:themeFillShade="D9"/>
          </w:tcPr>
          <w:p w14:paraId="0831C6B2" w14:textId="77777777" w:rsidR="00E22FF2" w:rsidRPr="00E4265B" w:rsidRDefault="00E22FF2" w:rsidP="00E733AD">
            <w:pPr>
              <w:rPr>
                <w:rFonts w:ascii="Arial" w:hAnsi="Arial" w:cs="Arial"/>
                <w:sz w:val="22"/>
                <w:szCs w:val="22"/>
                <w:lang w:val="en-GB"/>
              </w:rPr>
            </w:pPr>
            <w:r w:rsidRPr="00E4265B">
              <w:rPr>
                <w:rFonts w:ascii="Arial" w:hAnsi="Arial" w:cs="Arial"/>
                <w:sz w:val="22"/>
                <w:szCs w:val="22"/>
                <w:lang w:val="en-GB"/>
              </w:rPr>
              <w:t>Risk Weight</w:t>
            </w:r>
          </w:p>
        </w:tc>
        <w:tc>
          <w:tcPr>
            <w:tcW w:w="900" w:type="dxa"/>
          </w:tcPr>
          <w:p w14:paraId="78A05601" w14:textId="335A272A" w:rsidR="00E22FF2" w:rsidRPr="00E4265B" w:rsidRDefault="00A23E1F" w:rsidP="00120FD8">
            <w:pPr>
              <w:jc w:val="center"/>
              <w:rPr>
                <w:rFonts w:ascii="Arial" w:hAnsi="Arial" w:cs="Arial"/>
                <w:sz w:val="22"/>
                <w:szCs w:val="22"/>
                <w:lang w:val="en-GB"/>
              </w:rPr>
            </w:pPr>
            <w:r w:rsidRPr="00E4265B">
              <w:rPr>
                <w:rFonts w:ascii="Arial" w:hAnsi="Arial" w:cs="Arial"/>
                <w:sz w:val="22"/>
                <w:szCs w:val="22"/>
                <w:lang w:val="en-GB"/>
              </w:rPr>
              <w:t>2</w:t>
            </w:r>
            <w:r w:rsidR="00E22FF2" w:rsidRPr="00E4265B">
              <w:rPr>
                <w:rFonts w:ascii="Arial" w:hAnsi="Arial" w:cs="Arial"/>
                <w:sz w:val="22"/>
                <w:szCs w:val="22"/>
                <w:lang w:val="en-GB"/>
              </w:rPr>
              <w:t>0%</w:t>
            </w:r>
          </w:p>
        </w:tc>
        <w:tc>
          <w:tcPr>
            <w:tcW w:w="900" w:type="dxa"/>
          </w:tcPr>
          <w:p w14:paraId="3A105F2C" w14:textId="414D69CF" w:rsidR="00E22FF2" w:rsidRPr="00E4265B" w:rsidRDefault="00A23E1F" w:rsidP="006B304D">
            <w:pPr>
              <w:jc w:val="center"/>
              <w:rPr>
                <w:rFonts w:ascii="Arial" w:hAnsi="Arial" w:cs="Arial"/>
                <w:sz w:val="22"/>
                <w:szCs w:val="22"/>
                <w:lang w:val="en-GB"/>
              </w:rPr>
            </w:pPr>
            <w:r w:rsidRPr="00E4265B">
              <w:rPr>
                <w:rFonts w:ascii="Arial" w:hAnsi="Arial" w:cs="Arial"/>
                <w:sz w:val="22"/>
                <w:szCs w:val="22"/>
                <w:lang w:val="en-GB"/>
              </w:rPr>
              <w:t>5</w:t>
            </w:r>
            <w:r w:rsidR="006B304D" w:rsidRPr="00E4265B">
              <w:rPr>
                <w:rFonts w:ascii="Arial" w:hAnsi="Arial" w:cs="Arial"/>
                <w:sz w:val="22"/>
                <w:szCs w:val="22"/>
                <w:lang w:val="en-GB"/>
              </w:rPr>
              <w:t>0</w:t>
            </w:r>
            <w:r w:rsidR="00E22FF2" w:rsidRPr="00E4265B">
              <w:rPr>
                <w:rFonts w:ascii="Arial" w:hAnsi="Arial" w:cs="Arial"/>
                <w:sz w:val="22"/>
                <w:szCs w:val="22"/>
                <w:lang w:val="en-GB"/>
              </w:rPr>
              <w:t>%</w:t>
            </w:r>
          </w:p>
        </w:tc>
        <w:tc>
          <w:tcPr>
            <w:tcW w:w="990" w:type="dxa"/>
          </w:tcPr>
          <w:p w14:paraId="211FE9BC"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100%</w:t>
            </w:r>
          </w:p>
        </w:tc>
        <w:tc>
          <w:tcPr>
            <w:tcW w:w="990" w:type="dxa"/>
          </w:tcPr>
          <w:p w14:paraId="6056A776"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100%</w:t>
            </w:r>
          </w:p>
        </w:tc>
        <w:tc>
          <w:tcPr>
            <w:tcW w:w="900" w:type="dxa"/>
          </w:tcPr>
          <w:p w14:paraId="776355B8"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100%</w:t>
            </w:r>
          </w:p>
        </w:tc>
        <w:tc>
          <w:tcPr>
            <w:tcW w:w="990" w:type="dxa"/>
          </w:tcPr>
          <w:p w14:paraId="38DC7DB6"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150%</w:t>
            </w:r>
          </w:p>
        </w:tc>
        <w:tc>
          <w:tcPr>
            <w:tcW w:w="990" w:type="dxa"/>
          </w:tcPr>
          <w:p w14:paraId="7DCF9158" w14:textId="77777777" w:rsidR="00E22FF2" w:rsidRPr="00E4265B" w:rsidRDefault="00E22FF2" w:rsidP="00120FD8">
            <w:pPr>
              <w:jc w:val="center"/>
              <w:rPr>
                <w:rFonts w:ascii="Arial" w:hAnsi="Arial" w:cs="Arial"/>
                <w:sz w:val="22"/>
                <w:szCs w:val="22"/>
                <w:lang w:val="en-GB"/>
              </w:rPr>
            </w:pPr>
            <w:r w:rsidRPr="00E4265B">
              <w:rPr>
                <w:rFonts w:ascii="Arial" w:hAnsi="Arial" w:cs="Arial"/>
                <w:sz w:val="22"/>
                <w:szCs w:val="22"/>
                <w:lang w:val="en-GB"/>
              </w:rPr>
              <w:t>100%</w:t>
            </w:r>
          </w:p>
        </w:tc>
      </w:tr>
    </w:tbl>
    <w:p w14:paraId="0C7D4A25" w14:textId="77777777" w:rsidR="00E22FF2" w:rsidRPr="00E4265B" w:rsidRDefault="00E22FF2" w:rsidP="00BF0519">
      <w:pPr>
        <w:rPr>
          <w:rFonts w:ascii="Arial" w:hAnsi="Arial" w:cs="Arial"/>
          <w:sz w:val="22"/>
          <w:szCs w:val="22"/>
          <w:lang w:val="en-GB"/>
        </w:rPr>
      </w:pPr>
    </w:p>
    <w:p w14:paraId="3D9226D6" w14:textId="62808DC3"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In (1), sovereign PSEs in the UAE and GCC that exhibit Credit Risks comparable to their central government must be treated in accordance with the requirements set out in Rule 4.12.5</w:t>
      </w:r>
      <w:r w:rsidR="00612DAE" w:rsidRPr="00E4265B">
        <w:rPr>
          <w:rFonts w:ascii="Arial" w:hAnsi="Arial" w:cs="Arial"/>
          <w:sz w:val="22"/>
          <w:szCs w:val="22"/>
          <w:lang w:val="en-GB"/>
        </w:rPr>
        <w:t>, where they meet the requirements in relation to the denomination and funding of the CR Exposure, otherwise they must be treated in accordance with Rule 4.12.6(1)</w:t>
      </w:r>
      <w:r w:rsidRPr="00E4265B">
        <w:rPr>
          <w:rFonts w:ascii="Arial" w:hAnsi="Arial" w:cs="Arial"/>
          <w:sz w:val="22"/>
          <w:szCs w:val="22"/>
          <w:lang w:val="en-GB"/>
        </w:rPr>
        <w:t>.</w:t>
      </w:r>
    </w:p>
    <w:p w14:paraId="2AE8BED4"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For the purposes of this Rule, a sovereign PSE is a PSE which has been designated as such by its national authorities.</w:t>
      </w:r>
    </w:p>
    <w:p w14:paraId="3DED91C0"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Any foreign currency claims on sovereign PSEs which are determined to meet the conditions of (2) must be treated as one grade less favourable than the risk weight allocated in accordance with Rules 4.12.4 and 4.12.5.</w:t>
      </w:r>
    </w:p>
    <w:p w14:paraId="5DFD3835"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566231B4"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Any PSE which exhibits risk characteristics of a commercial enterprise should be treated in accordance with Rules 4.12.13 to 4.12.15.</w:t>
      </w:r>
    </w:p>
    <w:p w14:paraId="1019A82D"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Multilateral development bank (MDB) asset class</w:t>
      </w:r>
    </w:p>
    <w:p w14:paraId="43557B66"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Subject to Rules 4.12.8 and 4.12.9, an </w:t>
      </w:r>
      <w:r w:rsidR="000D1A90" w:rsidRPr="00E4265B">
        <w:rPr>
          <w:rFonts w:ascii="Arial" w:hAnsi="Arial" w:cs="Arial"/>
          <w:sz w:val="22"/>
          <w:szCs w:val="22"/>
        </w:rPr>
        <w:t>Authorised Person</w:t>
      </w:r>
      <w:r w:rsidRPr="00E4265B">
        <w:rPr>
          <w:rFonts w:ascii="Arial" w:hAnsi="Arial" w:cs="Arial"/>
          <w:sz w:val="22"/>
          <w:szCs w:val="22"/>
        </w:rPr>
        <w:t xml:space="preserve"> must risk</w:t>
      </w:r>
      <w:r w:rsidRPr="00E4265B">
        <w:rPr>
          <w:rFonts w:ascii="Arial" w:hAnsi="Arial" w:cs="Arial"/>
          <w:sz w:val="22"/>
          <w:szCs w:val="22"/>
        </w:rPr>
        <w:noBreakHyphen/>
        <w:t>weight any CR Exposure in the MDB asset class in accordance with the following table:</w:t>
      </w:r>
    </w:p>
    <w:p w14:paraId="416BC29C"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Risk Weights for the MDB asset class</w:t>
      </w:r>
    </w:p>
    <w:tbl>
      <w:tblPr>
        <w:tblStyle w:val="TableGrid"/>
        <w:tblW w:w="0" w:type="auto"/>
        <w:tblInd w:w="1008" w:type="dxa"/>
        <w:tblLayout w:type="fixed"/>
        <w:tblLook w:val="04A0" w:firstRow="1" w:lastRow="0" w:firstColumn="1" w:lastColumn="0" w:noHBand="0" w:noVBand="1"/>
      </w:tblPr>
      <w:tblGrid>
        <w:gridCol w:w="1566"/>
        <w:gridCol w:w="952"/>
        <w:gridCol w:w="953"/>
        <w:gridCol w:w="953"/>
        <w:gridCol w:w="952"/>
        <w:gridCol w:w="953"/>
        <w:gridCol w:w="953"/>
        <w:gridCol w:w="953"/>
      </w:tblGrid>
      <w:tr w:rsidR="00E22FF2" w:rsidRPr="00E4265B" w14:paraId="7E1636B9" w14:textId="77777777" w:rsidTr="00134903">
        <w:tc>
          <w:tcPr>
            <w:tcW w:w="1566" w:type="dxa"/>
            <w:shd w:val="clear" w:color="auto" w:fill="D9D9D9" w:themeFill="background1" w:themeFillShade="D9"/>
            <w:noWrap/>
          </w:tcPr>
          <w:p w14:paraId="5E15AA3F" w14:textId="77777777" w:rsidR="00E22FF2" w:rsidRPr="00E4265B" w:rsidRDefault="00E22FF2" w:rsidP="00E733AD">
            <w:pPr>
              <w:rPr>
                <w:rFonts w:ascii="Arial" w:hAnsi="Arial" w:cs="Arial"/>
                <w:sz w:val="22"/>
                <w:szCs w:val="22"/>
                <w:lang w:val="en-GB"/>
              </w:rPr>
            </w:pPr>
            <w:r w:rsidRPr="00E4265B">
              <w:rPr>
                <w:rFonts w:ascii="Arial" w:hAnsi="Arial" w:cs="Arial"/>
                <w:sz w:val="22"/>
                <w:szCs w:val="22"/>
                <w:lang w:val="en-GB"/>
              </w:rPr>
              <w:t>Credit Quality Grade</w:t>
            </w:r>
          </w:p>
        </w:tc>
        <w:tc>
          <w:tcPr>
            <w:tcW w:w="952" w:type="dxa"/>
            <w:noWrap/>
          </w:tcPr>
          <w:p w14:paraId="003108FC" w14:textId="77777777" w:rsidR="00E22FF2" w:rsidRPr="00E4265B" w:rsidRDefault="00E22FF2" w:rsidP="00466966">
            <w:pPr>
              <w:jc w:val="center"/>
              <w:rPr>
                <w:rFonts w:ascii="Arial" w:hAnsi="Arial" w:cs="Arial"/>
                <w:sz w:val="22"/>
                <w:szCs w:val="22"/>
                <w:lang w:val="en-GB"/>
              </w:rPr>
            </w:pPr>
            <w:r w:rsidRPr="00E4265B">
              <w:rPr>
                <w:rFonts w:ascii="Arial" w:hAnsi="Arial" w:cs="Arial"/>
                <w:sz w:val="22"/>
                <w:szCs w:val="22"/>
                <w:lang w:val="en-GB"/>
              </w:rPr>
              <w:t>1</w:t>
            </w:r>
          </w:p>
        </w:tc>
        <w:tc>
          <w:tcPr>
            <w:tcW w:w="953" w:type="dxa"/>
            <w:noWrap/>
          </w:tcPr>
          <w:p w14:paraId="743253B5" w14:textId="77777777" w:rsidR="00E22FF2" w:rsidRPr="00E4265B" w:rsidRDefault="00E22FF2" w:rsidP="00466966">
            <w:pPr>
              <w:jc w:val="center"/>
              <w:rPr>
                <w:rFonts w:ascii="Arial" w:hAnsi="Arial" w:cs="Arial"/>
                <w:sz w:val="22"/>
                <w:szCs w:val="22"/>
                <w:lang w:val="en-GB"/>
              </w:rPr>
            </w:pPr>
            <w:r w:rsidRPr="00E4265B">
              <w:rPr>
                <w:rFonts w:ascii="Arial" w:hAnsi="Arial" w:cs="Arial"/>
                <w:sz w:val="22"/>
                <w:szCs w:val="22"/>
                <w:lang w:val="en-GB"/>
              </w:rPr>
              <w:t>2</w:t>
            </w:r>
          </w:p>
        </w:tc>
        <w:tc>
          <w:tcPr>
            <w:tcW w:w="953" w:type="dxa"/>
            <w:noWrap/>
          </w:tcPr>
          <w:p w14:paraId="49C22E62" w14:textId="77777777" w:rsidR="00E22FF2" w:rsidRPr="00E4265B" w:rsidRDefault="00E22FF2" w:rsidP="00466966">
            <w:pPr>
              <w:jc w:val="center"/>
              <w:rPr>
                <w:rFonts w:ascii="Arial" w:hAnsi="Arial" w:cs="Arial"/>
                <w:sz w:val="22"/>
                <w:szCs w:val="22"/>
                <w:lang w:val="en-GB"/>
              </w:rPr>
            </w:pPr>
            <w:r w:rsidRPr="00E4265B">
              <w:rPr>
                <w:rFonts w:ascii="Arial" w:hAnsi="Arial" w:cs="Arial"/>
                <w:sz w:val="22"/>
                <w:szCs w:val="22"/>
                <w:lang w:val="en-GB"/>
              </w:rPr>
              <w:t>3</w:t>
            </w:r>
          </w:p>
        </w:tc>
        <w:tc>
          <w:tcPr>
            <w:tcW w:w="952" w:type="dxa"/>
            <w:noWrap/>
          </w:tcPr>
          <w:p w14:paraId="397A2F8E" w14:textId="77777777" w:rsidR="00E22FF2" w:rsidRPr="00E4265B" w:rsidRDefault="00E22FF2" w:rsidP="00466966">
            <w:pPr>
              <w:jc w:val="center"/>
              <w:rPr>
                <w:rFonts w:ascii="Arial" w:hAnsi="Arial" w:cs="Arial"/>
                <w:sz w:val="22"/>
                <w:szCs w:val="22"/>
                <w:lang w:val="en-GB"/>
              </w:rPr>
            </w:pPr>
            <w:r w:rsidRPr="00E4265B">
              <w:rPr>
                <w:rFonts w:ascii="Arial" w:hAnsi="Arial" w:cs="Arial"/>
                <w:sz w:val="22"/>
                <w:szCs w:val="22"/>
                <w:lang w:val="en-GB"/>
              </w:rPr>
              <w:t>4</w:t>
            </w:r>
          </w:p>
        </w:tc>
        <w:tc>
          <w:tcPr>
            <w:tcW w:w="953" w:type="dxa"/>
            <w:noWrap/>
          </w:tcPr>
          <w:p w14:paraId="1F7F3F24" w14:textId="77777777" w:rsidR="00E22FF2" w:rsidRPr="00E4265B" w:rsidRDefault="00E22FF2" w:rsidP="00466966">
            <w:pPr>
              <w:jc w:val="center"/>
              <w:rPr>
                <w:rFonts w:ascii="Arial" w:hAnsi="Arial" w:cs="Arial"/>
                <w:sz w:val="22"/>
                <w:szCs w:val="22"/>
                <w:lang w:val="en-GB"/>
              </w:rPr>
            </w:pPr>
            <w:r w:rsidRPr="00E4265B">
              <w:rPr>
                <w:rFonts w:ascii="Arial" w:hAnsi="Arial" w:cs="Arial"/>
                <w:sz w:val="22"/>
                <w:szCs w:val="22"/>
                <w:lang w:val="en-GB"/>
              </w:rPr>
              <w:t>5</w:t>
            </w:r>
          </w:p>
        </w:tc>
        <w:tc>
          <w:tcPr>
            <w:tcW w:w="953" w:type="dxa"/>
            <w:noWrap/>
          </w:tcPr>
          <w:p w14:paraId="6FA618C6" w14:textId="77777777" w:rsidR="00E22FF2" w:rsidRPr="00E4265B" w:rsidRDefault="00E22FF2" w:rsidP="00466966">
            <w:pPr>
              <w:jc w:val="center"/>
              <w:rPr>
                <w:rFonts w:ascii="Arial" w:hAnsi="Arial" w:cs="Arial"/>
                <w:sz w:val="22"/>
                <w:szCs w:val="22"/>
                <w:lang w:val="en-GB"/>
              </w:rPr>
            </w:pPr>
            <w:r w:rsidRPr="00E4265B">
              <w:rPr>
                <w:rFonts w:ascii="Arial" w:hAnsi="Arial" w:cs="Arial"/>
                <w:sz w:val="22"/>
                <w:szCs w:val="22"/>
                <w:lang w:val="en-GB"/>
              </w:rPr>
              <w:t>6</w:t>
            </w:r>
          </w:p>
        </w:tc>
        <w:tc>
          <w:tcPr>
            <w:tcW w:w="953" w:type="dxa"/>
            <w:noWrap/>
          </w:tcPr>
          <w:p w14:paraId="521155D2" w14:textId="77777777" w:rsidR="00E22FF2" w:rsidRPr="00E4265B" w:rsidRDefault="00E22FF2" w:rsidP="00466966">
            <w:pPr>
              <w:jc w:val="center"/>
              <w:rPr>
                <w:rFonts w:ascii="Arial" w:hAnsi="Arial" w:cs="Arial"/>
                <w:sz w:val="22"/>
                <w:szCs w:val="22"/>
                <w:lang w:val="en-GB"/>
              </w:rPr>
            </w:pPr>
            <w:r w:rsidRPr="00E4265B">
              <w:rPr>
                <w:rFonts w:ascii="Arial" w:hAnsi="Arial" w:cs="Arial"/>
                <w:sz w:val="22"/>
                <w:szCs w:val="22"/>
                <w:lang w:val="en-GB"/>
              </w:rPr>
              <w:t>Unrated</w:t>
            </w:r>
          </w:p>
        </w:tc>
      </w:tr>
      <w:tr w:rsidR="00E22FF2" w:rsidRPr="00E4265B" w14:paraId="277282E7" w14:textId="77777777" w:rsidTr="00134903">
        <w:tc>
          <w:tcPr>
            <w:tcW w:w="1566" w:type="dxa"/>
            <w:shd w:val="clear" w:color="auto" w:fill="D9D9D9" w:themeFill="background1" w:themeFillShade="D9"/>
            <w:noWrap/>
          </w:tcPr>
          <w:p w14:paraId="353E4474" w14:textId="77777777" w:rsidR="00E22FF2" w:rsidRPr="00E4265B" w:rsidRDefault="00E22FF2" w:rsidP="00E733AD">
            <w:pPr>
              <w:rPr>
                <w:rFonts w:ascii="Arial" w:hAnsi="Arial" w:cs="Arial"/>
                <w:sz w:val="22"/>
                <w:szCs w:val="22"/>
                <w:lang w:val="en-GB"/>
              </w:rPr>
            </w:pPr>
            <w:r w:rsidRPr="00E4265B">
              <w:rPr>
                <w:rFonts w:ascii="Arial" w:hAnsi="Arial" w:cs="Arial"/>
                <w:sz w:val="22"/>
                <w:szCs w:val="22"/>
                <w:lang w:val="en-GB"/>
              </w:rPr>
              <w:t>Risk Weight</w:t>
            </w:r>
          </w:p>
        </w:tc>
        <w:tc>
          <w:tcPr>
            <w:tcW w:w="952" w:type="dxa"/>
            <w:noWrap/>
          </w:tcPr>
          <w:p w14:paraId="30D4E9B0" w14:textId="77777777" w:rsidR="00E22FF2" w:rsidRPr="00E4265B" w:rsidRDefault="00E22FF2" w:rsidP="00466966">
            <w:pPr>
              <w:jc w:val="center"/>
              <w:rPr>
                <w:rFonts w:ascii="Arial" w:hAnsi="Arial" w:cs="Arial"/>
                <w:sz w:val="22"/>
                <w:szCs w:val="22"/>
                <w:lang w:val="en-GB"/>
              </w:rPr>
            </w:pPr>
            <w:r w:rsidRPr="00E4265B">
              <w:rPr>
                <w:rFonts w:ascii="Arial" w:hAnsi="Arial" w:cs="Arial"/>
                <w:sz w:val="22"/>
                <w:szCs w:val="22"/>
                <w:lang w:val="en-GB"/>
              </w:rPr>
              <w:t>0%</w:t>
            </w:r>
          </w:p>
        </w:tc>
        <w:tc>
          <w:tcPr>
            <w:tcW w:w="953" w:type="dxa"/>
            <w:noWrap/>
          </w:tcPr>
          <w:p w14:paraId="7315CCB7" w14:textId="77777777" w:rsidR="00E22FF2" w:rsidRPr="00E4265B" w:rsidRDefault="00E22FF2" w:rsidP="00466966">
            <w:pPr>
              <w:jc w:val="center"/>
              <w:rPr>
                <w:rFonts w:ascii="Arial" w:hAnsi="Arial" w:cs="Arial"/>
                <w:sz w:val="22"/>
                <w:szCs w:val="22"/>
                <w:lang w:val="en-GB"/>
              </w:rPr>
            </w:pPr>
            <w:r w:rsidRPr="00E4265B">
              <w:rPr>
                <w:rFonts w:ascii="Arial" w:hAnsi="Arial" w:cs="Arial"/>
                <w:sz w:val="22"/>
                <w:szCs w:val="22"/>
                <w:lang w:val="en-GB"/>
              </w:rPr>
              <w:t>50%</w:t>
            </w:r>
          </w:p>
        </w:tc>
        <w:tc>
          <w:tcPr>
            <w:tcW w:w="953" w:type="dxa"/>
            <w:noWrap/>
          </w:tcPr>
          <w:p w14:paraId="265B8922" w14:textId="77777777" w:rsidR="00E22FF2" w:rsidRPr="00E4265B" w:rsidRDefault="00E22FF2" w:rsidP="00466966">
            <w:pPr>
              <w:jc w:val="center"/>
              <w:rPr>
                <w:rFonts w:ascii="Arial" w:hAnsi="Arial" w:cs="Arial"/>
                <w:sz w:val="22"/>
                <w:szCs w:val="22"/>
                <w:lang w:val="en-GB"/>
              </w:rPr>
            </w:pPr>
            <w:r w:rsidRPr="00E4265B">
              <w:rPr>
                <w:rFonts w:ascii="Arial" w:hAnsi="Arial" w:cs="Arial"/>
                <w:sz w:val="22"/>
                <w:szCs w:val="22"/>
                <w:lang w:val="en-GB"/>
              </w:rPr>
              <w:t>50%</w:t>
            </w:r>
          </w:p>
        </w:tc>
        <w:tc>
          <w:tcPr>
            <w:tcW w:w="952" w:type="dxa"/>
            <w:noWrap/>
          </w:tcPr>
          <w:p w14:paraId="20A8B28C" w14:textId="77777777" w:rsidR="00E22FF2" w:rsidRPr="00E4265B" w:rsidRDefault="00E22FF2" w:rsidP="00466966">
            <w:pPr>
              <w:jc w:val="center"/>
              <w:rPr>
                <w:rFonts w:ascii="Arial" w:hAnsi="Arial" w:cs="Arial"/>
                <w:sz w:val="22"/>
                <w:szCs w:val="22"/>
                <w:lang w:val="en-GB"/>
              </w:rPr>
            </w:pPr>
            <w:r w:rsidRPr="00E4265B">
              <w:rPr>
                <w:rFonts w:ascii="Arial" w:hAnsi="Arial" w:cs="Arial"/>
                <w:sz w:val="22"/>
                <w:szCs w:val="22"/>
                <w:lang w:val="en-GB"/>
              </w:rPr>
              <w:t>100%</w:t>
            </w:r>
          </w:p>
        </w:tc>
        <w:tc>
          <w:tcPr>
            <w:tcW w:w="953" w:type="dxa"/>
            <w:noWrap/>
          </w:tcPr>
          <w:p w14:paraId="02D66C7F" w14:textId="77777777" w:rsidR="00E22FF2" w:rsidRPr="00E4265B" w:rsidRDefault="00E22FF2" w:rsidP="00466966">
            <w:pPr>
              <w:jc w:val="center"/>
              <w:rPr>
                <w:rFonts w:ascii="Arial" w:hAnsi="Arial" w:cs="Arial"/>
                <w:sz w:val="22"/>
                <w:szCs w:val="22"/>
                <w:lang w:val="en-GB"/>
              </w:rPr>
            </w:pPr>
            <w:r w:rsidRPr="00E4265B">
              <w:rPr>
                <w:rFonts w:ascii="Arial" w:hAnsi="Arial" w:cs="Arial"/>
                <w:sz w:val="22"/>
                <w:szCs w:val="22"/>
                <w:lang w:val="en-GB"/>
              </w:rPr>
              <w:t>100%</w:t>
            </w:r>
          </w:p>
        </w:tc>
        <w:tc>
          <w:tcPr>
            <w:tcW w:w="953" w:type="dxa"/>
            <w:noWrap/>
          </w:tcPr>
          <w:p w14:paraId="770CEA1F" w14:textId="77777777" w:rsidR="00E22FF2" w:rsidRPr="00E4265B" w:rsidRDefault="00E22FF2" w:rsidP="00466966">
            <w:pPr>
              <w:jc w:val="center"/>
              <w:rPr>
                <w:rFonts w:ascii="Arial" w:hAnsi="Arial" w:cs="Arial"/>
                <w:sz w:val="22"/>
                <w:szCs w:val="22"/>
                <w:lang w:val="en-GB"/>
              </w:rPr>
            </w:pPr>
            <w:r w:rsidRPr="00E4265B">
              <w:rPr>
                <w:rFonts w:ascii="Arial" w:hAnsi="Arial" w:cs="Arial"/>
                <w:sz w:val="22"/>
                <w:szCs w:val="22"/>
                <w:lang w:val="en-GB"/>
              </w:rPr>
              <w:t>150%</w:t>
            </w:r>
          </w:p>
        </w:tc>
        <w:tc>
          <w:tcPr>
            <w:tcW w:w="953" w:type="dxa"/>
            <w:noWrap/>
          </w:tcPr>
          <w:p w14:paraId="457EAAFD" w14:textId="77777777" w:rsidR="00E22FF2" w:rsidRPr="00E4265B" w:rsidRDefault="00E22FF2" w:rsidP="00466966">
            <w:pPr>
              <w:jc w:val="center"/>
              <w:rPr>
                <w:rFonts w:ascii="Arial" w:hAnsi="Arial" w:cs="Arial"/>
                <w:sz w:val="22"/>
                <w:szCs w:val="22"/>
                <w:lang w:val="en-GB"/>
              </w:rPr>
            </w:pPr>
            <w:r w:rsidRPr="00E4265B">
              <w:rPr>
                <w:rFonts w:ascii="Arial" w:hAnsi="Arial" w:cs="Arial"/>
                <w:sz w:val="22"/>
                <w:szCs w:val="22"/>
                <w:lang w:val="en-GB"/>
              </w:rPr>
              <w:t>50%</w:t>
            </w:r>
          </w:p>
        </w:tc>
      </w:tr>
    </w:tbl>
    <w:p w14:paraId="6F14AD55" w14:textId="77777777" w:rsidR="00E22FF2" w:rsidRPr="00E4265B" w:rsidRDefault="00E22FF2" w:rsidP="00BF0519">
      <w:pPr>
        <w:rPr>
          <w:rFonts w:ascii="Arial" w:hAnsi="Arial" w:cs="Arial"/>
          <w:sz w:val="22"/>
          <w:szCs w:val="22"/>
          <w:lang w:val="en-GB"/>
        </w:rPr>
      </w:pPr>
    </w:p>
    <w:p w14:paraId="074A98C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apply a 0% risk weight to any CR Exposure to the qualifying MDBs set out below:</w:t>
      </w:r>
    </w:p>
    <w:p w14:paraId="53D3F0B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World Bank Group comprised of the International Bank for Reconstruction and Development (IBRD), the Multilateral Investment Guarantee Agency (MIGA), and the International Finance Corporation (IFC);</w:t>
      </w:r>
    </w:p>
    <w:p w14:paraId="04C6A84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Asian Development Bank (ADB); </w:t>
      </w:r>
    </w:p>
    <w:p w14:paraId="5433433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African Development Bank (AfDB);</w:t>
      </w:r>
    </w:p>
    <w:p w14:paraId="4DA5E25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lastRenderedPageBreak/>
        <w:t xml:space="preserve">The European Bank for Reconstruction and Development (EBRD); </w:t>
      </w:r>
    </w:p>
    <w:p w14:paraId="6FE8927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Inter</w:t>
      </w:r>
      <w:r w:rsidRPr="00E4265B">
        <w:rPr>
          <w:rFonts w:ascii="Arial" w:hAnsi="Arial" w:cs="Arial"/>
          <w:sz w:val="22"/>
          <w:szCs w:val="22"/>
        </w:rPr>
        <w:noBreakHyphen/>
        <w:t>American Development Bank (IADB);</w:t>
      </w:r>
    </w:p>
    <w:p w14:paraId="484708C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European Investment Bank (EIB); </w:t>
      </w:r>
    </w:p>
    <w:p w14:paraId="682809A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European Investment Fund (EIF); </w:t>
      </w:r>
    </w:p>
    <w:p w14:paraId="63079D0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Nordic Investment Bank (NIB);</w:t>
      </w:r>
    </w:p>
    <w:p w14:paraId="361F8FA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Caribbean Development Bank (CDB); </w:t>
      </w:r>
    </w:p>
    <w:p w14:paraId="73D5B98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Islamic Development Bank (IDB); and</w:t>
      </w:r>
    </w:p>
    <w:p w14:paraId="693C3A8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Council of Europe Development Bank (CEDB).</w:t>
      </w:r>
    </w:p>
    <w:p w14:paraId="469F157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apply a 0% risk weight to any CR Exposure to the Bank for International Settlements, the International Monetary Fund, the European Central Bank or the European Commission.</w:t>
      </w:r>
    </w:p>
    <w:p w14:paraId="6006E200"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Bank asset class</w:t>
      </w:r>
    </w:p>
    <w:p w14:paraId="0318F232"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Subject to Rules 4.12.11 and 4.12.12, an </w:t>
      </w:r>
      <w:r w:rsidR="000D1A90" w:rsidRPr="00E4265B">
        <w:rPr>
          <w:rFonts w:ascii="Arial" w:hAnsi="Arial" w:cs="Arial"/>
          <w:sz w:val="22"/>
          <w:szCs w:val="22"/>
        </w:rPr>
        <w:t>Authorised Person</w:t>
      </w:r>
      <w:r w:rsidRPr="00E4265B">
        <w:rPr>
          <w:rFonts w:ascii="Arial" w:hAnsi="Arial" w:cs="Arial"/>
          <w:sz w:val="22"/>
          <w:szCs w:val="22"/>
        </w:rPr>
        <w:t xml:space="preserve"> must risk</w:t>
      </w:r>
      <w:r w:rsidRPr="00E4265B">
        <w:rPr>
          <w:rFonts w:ascii="Arial" w:hAnsi="Arial" w:cs="Arial"/>
          <w:sz w:val="22"/>
          <w:szCs w:val="22"/>
        </w:rPr>
        <w:noBreakHyphen/>
        <w:t>weight any CR Exposure in the bank asset class in accordance with the following table:</w:t>
      </w:r>
    </w:p>
    <w:p w14:paraId="6F10139F"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CRWs for the bank asset class</w:t>
      </w:r>
    </w:p>
    <w:tbl>
      <w:tblPr>
        <w:tblStyle w:val="TableGrid"/>
        <w:tblW w:w="0" w:type="auto"/>
        <w:tblInd w:w="1035" w:type="dxa"/>
        <w:tblLayout w:type="fixed"/>
        <w:tblLook w:val="04A0" w:firstRow="1" w:lastRow="0" w:firstColumn="1" w:lastColumn="0" w:noHBand="0" w:noVBand="1"/>
      </w:tblPr>
      <w:tblGrid>
        <w:gridCol w:w="1839"/>
        <w:gridCol w:w="909"/>
        <w:gridCol w:w="910"/>
        <w:gridCol w:w="910"/>
        <w:gridCol w:w="910"/>
        <w:gridCol w:w="910"/>
        <w:gridCol w:w="910"/>
        <w:gridCol w:w="910"/>
      </w:tblGrid>
      <w:tr w:rsidR="00E22FF2" w:rsidRPr="00E4265B" w14:paraId="6F5F1C5A" w14:textId="77777777" w:rsidTr="00134903">
        <w:trPr>
          <w:cantSplit/>
        </w:trPr>
        <w:tc>
          <w:tcPr>
            <w:tcW w:w="1839" w:type="dxa"/>
            <w:shd w:val="clear" w:color="auto" w:fill="D9D9D9" w:themeFill="background1" w:themeFillShade="D9"/>
          </w:tcPr>
          <w:p w14:paraId="56CDA217" w14:textId="77777777" w:rsidR="00E22FF2" w:rsidRPr="00E4265B" w:rsidRDefault="00E22FF2" w:rsidP="00E733AD">
            <w:pPr>
              <w:rPr>
                <w:rFonts w:ascii="Arial" w:hAnsi="Arial" w:cs="Arial"/>
                <w:sz w:val="22"/>
                <w:szCs w:val="22"/>
                <w:lang w:val="en-GB"/>
              </w:rPr>
            </w:pPr>
            <w:r w:rsidRPr="00E4265B">
              <w:rPr>
                <w:rFonts w:ascii="Arial" w:hAnsi="Arial" w:cs="Arial"/>
                <w:sz w:val="22"/>
                <w:szCs w:val="22"/>
                <w:lang w:val="en-GB"/>
              </w:rPr>
              <w:t>Credit Quality Grade</w:t>
            </w:r>
          </w:p>
        </w:tc>
        <w:tc>
          <w:tcPr>
            <w:tcW w:w="909" w:type="dxa"/>
          </w:tcPr>
          <w:p w14:paraId="29D02958"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1</w:t>
            </w:r>
          </w:p>
        </w:tc>
        <w:tc>
          <w:tcPr>
            <w:tcW w:w="910" w:type="dxa"/>
          </w:tcPr>
          <w:p w14:paraId="31CED868"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2</w:t>
            </w:r>
          </w:p>
        </w:tc>
        <w:tc>
          <w:tcPr>
            <w:tcW w:w="910" w:type="dxa"/>
          </w:tcPr>
          <w:p w14:paraId="6750D38A"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3</w:t>
            </w:r>
          </w:p>
        </w:tc>
        <w:tc>
          <w:tcPr>
            <w:tcW w:w="910" w:type="dxa"/>
          </w:tcPr>
          <w:p w14:paraId="22D03318"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4</w:t>
            </w:r>
          </w:p>
        </w:tc>
        <w:tc>
          <w:tcPr>
            <w:tcW w:w="910" w:type="dxa"/>
          </w:tcPr>
          <w:p w14:paraId="2844F105"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5</w:t>
            </w:r>
          </w:p>
        </w:tc>
        <w:tc>
          <w:tcPr>
            <w:tcW w:w="910" w:type="dxa"/>
          </w:tcPr>
          <w:p w14:paraId="77DF035C"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6</w:t>
            </w:r>
          </w:p>
        </w:tc>
        <w:tc>
          <w:tcPr>
            <w:tcW w:w="910" w:type="dxa"/>
          </w:tcPr>
          <w:p w14:paraId="4190E99E"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Unrated</w:t>
            </w:r>
          </w:p>
        </w:tc>
      </w:tr>
      <w:tr w:rsidR="00E22FF2" w:rsidRPr="00E4265B" w14:paraId="13513C5B" w14:textId="77777777" w:rsidTr="00134903">
        <w:trPr>
          <w:cantSplit/>
        </w:trPr>
        <w:tc>
          <w:tcPr>
            <w:tcW w:w="1839" w:type="dxa"/>
            <w:shd w:val="clear" w:color="auto" w:fill="D9D9D9" w:themeFill="background1" w:themeFillShade="D9"/>
          </w:tcPr>
          <w:p w14:paraId="2ECF8D40" w14:textId="77777777" w:rsidR="00E22FF2" w:rsidRPr="00E4265B" w:rsidRDefault="00E22FF2" w:rsidP="00E733AD">
            <w:pPr>
              <w:rPr>
                <w:rFonts w:ascii="Arial" w:hAnsi="Arial" w:cs="Arial"/>
                <w:sz w:val="22"/>
                <w:szCs w:val="22"/>
                <w:lang w:val="en-GB"/>
              </w:rPr>
            </w:pPr>
            <w:r w:rsidRPr="00E4265B">
              <w:rPr>
                <w:rFonts w:ascii="Arial" w:hAnsi="Arial" w:cs="Arial"/>
                <w:sz w:val="22"/>
                <w:szCs w:val="22"/>
                <w:lang w:val="en-GB"/>
              </w:rPr>
              <w:t>Risk Weight</w:t>
            </w:r>
          </w:p>
        </w:tc>
        <w:tc>
          <w:tcPr>
            <w:tcW w:w="909" w:type="dxa"/>
          </w:tcPr>
          <w:p w14:paraId="6B6AA118"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20%</w:t>
            </w:r>
          </w:p>
        </w:tc>
        <w:tc>
          <w:tcPr>
            <w:tcW w:w="910" w:type="dxa"/>
          </w:tcPr>
          <w:p w14:paraId="74B3158B"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50%</w:t>
            </w:r>
          </w:p>
        </w:tc>
        <w:tc>
          <w:tcPr>
            <w:tcW w:w="910" w:type="dxa"/>
          </w:tcPr>
          <w:p w14:paraId="154E7135"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50%</w:t>
            </w:r>
          </w:p>
        </w:tc>
        <w:tc>
          <w:tcPr>
            <w:tcW w:w="910" w:type="dxa"/>
          </w:tcPr>
          <w:p w14:paraId="7D59AD88"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100%</w:t>
            </w:r>
          </w:p>
        </w:tc>
        <w:tc>
          <w:tcPr>
            <w:tcW w:w="910" w:type="dxa"/>
          </w:tcPr>
          <w:p w14:paraId="74632BD8"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100%</w:t>
            </w:r>
          </w:p>
        </w:tc>
        <w:tc>
          <w:tcPr>
            <w:tcW w:w="910" w:type="dxa"/>
          </w:tcPr>
          <w:p w14:paraId="1B95FDF9"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150%</w:t>
            </w:r>
          </w:p>
        </w:tc>
        <w:tc>
          <w:tcPr>
            <w:tcW w:w="910" w:type="dxa"/>
          </w:tcPr>
          <w:p w14:paraId="643D00B6"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50%</w:t>
            </w:r>
          </w:p>
        </w:tc>
      </w:tr>
      <w:tr w:rsidR="00E22FF2" w:rsidRPr="00E4265B" w14:paraId="42631F7C" w14:textId="77777777" w:rsidTr="00134903">
        <w:trPr>
          <w:cantSplit/>
        </w:trPr>
        <w:tc>
          <w:tcPr>
            <w:tcW w:w="1839" w:type="dxa"/>
            <w:shd w:val="clear" w:color="auto" w:fill="D9D9D9" w:themeFill="background1" w:themeFillShade="D9"/>
          </w:tcPr>
          <w:p w14:paraId="2E853AAA" w14:textId="58C753EF" w:rsidR="00E22FF2" w:rsidRPr="00E4265B" w:rsidRDefault="00E4186E" w:rsidP="00E4186E">
            <w:pPr>
              <w:rPr>
                <w:rFonts w:ascii="Arial" w:hAnsi="Arial" w:cs="Arial"/>
                <w:sz w:val="22"/>
                <w:szCs w:val="22"/>
                <w:lang w:val="en-GB"/>
              </w:rPr>
            </w:pPr>
            <w:r w:rsidRPr="00E4265B">
              <w:rPr>
                <w:rFonts w:ascii="Arial" w:hAnsi="Arial" w:cs="Arial"/>
                <w:sz w:val="22"/>
                <w:szCs w:val="22"/>
                <w:lang w:val="en-GB"/>
              </w:rPr>
              <w:t>Risk Weight for short</w:t>
            </w:r>
            <w:r w:rsidRPr="00E4265B">
              <w:rPr>
                <w:rFonts w:ascii="Arial" w:hAnsi="Arial" w:cs="Arial"/>
                <w:sz w:val="22"/>
                <w:szCs w:val="22"/>
                <w:lang w:val="en-GB"/>
              </w:rPr>
              <w:noBreakHyphen/>
              <w:t>t</w:t>
            </w:r>
            <w:r w:rsidR="00E22FF2" w:rsidRPr="00E4265B">
              <w:rPr>
                <w:rFonts w:ascii="Arial" w:hAnsi="Arial" w:cs="Arial"/>
                <w:sz w:val="22"/>
                <w:szCs w:val="22"/>
                <w:lang w:val="en-GB"/>
              </w:rPr>
              <w:t>erm Exposures</w:t>
            </w:r>
          </w:p>
        </w:tc>
        <w:tc>
          <w:tcPr>
            <w:tcW w:w="909" w:type="dxa"/>
          </w:tcPr>
          <w:p w14:paraId="482849CC"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20%</w:t>
            </w:r>
          </w:p>
        </w:tc>
        <w:tc>
          <w:tcPr>
            <w:tcW w:w="910" w:type="dxa"/>
          </w:tcPr>
          <w:p w14:paraId="4CA4003C"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20%</w:t>
            </w:r>
          </w:p>
        </w:tc>
        <w:tc>
          <w:tcPr>
            <w:tcW w:w="910" w:type="dxa"/>
          </w:tcPr>
          <w:p w14:paraId="4AA9D191"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20%</w:t>
            </w:r>
          </w:p>
        </w:tc>
        <w:tc>
          <w:tcPr>
            <w:tcW w:w="910" w:type="dxa"/>
          </w:tcPr>
          <w:p w14:paraId="6FD9845C"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50%</w:t>
            </w:r>
          </w:p>
        </w:tc>
        <w:tc>
          <w:tcPr>
            <w:tcW w:w="910" w:type="dxa"/>
          </w:tcPr>
          <w:p w14:paraId="06B7B1B7"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50%</w:t>
            </w:r>
          </w:p>
        </w:tc>
        <w:tc>
          <w:tcPr>
            <w:tcW w:w="910" w:type="dxa"/>
          </w:tcPr>
          <w:p w14:paraId="5029695C"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150%</w:t>
            </w:r>
          </w:p>
        </w:tc>
        <w:tc>
          <w:tcPr>
            <w:tcW w:w="910" w:type="dxa"/>
          </w:tcPr>
          <w:p w14:paraId="5FBBCAE2" w14:textId="77777777" w:rsidR="00E22FF2" w:rsidRPr="00E4265B" w:rsidRDefault="00E22FF2" w:rsidP="00983BEF">
            <w:pPr>
              <w:jc w:val="center"/>
              <w:rPr>
                <w:rFonts w:ascii="Arial" w:hAnsi="Arial" w:cs="Arial"/>
                <w:sz w:val="22"/>
                <w:szCs w:val="22"/>
                <w:lang w:val="en-GB"/>
              </w:rPr>
            </w:pPr>
            <w:r w:rsidRPr="00E4265B">
              <w:rPr>
                <w:rFonts w:ascii="Arial" w:hAnsi="Arial" w:cs="Arial"/>
                <w:sz w:val="22"/>
                <w:szCs w:val="22"/>
                <w:lang w:val="en-GB"/>
              </w:rPr>
              <w:t>20%</w:t>
            </w:r>
          </w:p>
        </w:tc>
      </w:tr>
    </w:tbl>
    <w:p w14:paraId="6FBBBAA6" w14:textId="77777777" w:rsidR="00E22FF2" w:rsidRPr="00E4265B" w:rsidRDefault="00E22FF2" w:rsidP="00BF0519">
      <w:pPr>
        <w:rPr>
          <w:rFonts w:ascii="Arial" w:hAnsi="Arial" w:cs="Arial"/>
          <w:sz w:val="22"/>
          <w:szCs w:val="22"/>
          <w:lang w:val="en-GB"/>
        </w:rPr>
      </w:pPr>
    </w:p>
    <w:p w14:paraId="0FF47402"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30133463"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For the purposes of the above table, short</w:t>
      </w:r>
      <w:r w:rsidRPr="00E4265B">
        <w:rPr>
          <w:rFonts w:ascii="Arial" w:hAnsi="Arial" w:cs="Arial"/>
          <w:sz w:val="22"/>
          <w:szCs w:val="22"/>
          <w:lang w:val="en-GB"/>
        </w:rPr>
        <w:noBreakHyphen/>
        <w:t>term Exposures refer to Exposures with an Original Maturity of three months or less and that are not expected to be rolled over.</w:t>
      </w:r>
    </w:p>
    <w:p w14:paraId="6BCD94A0"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risk</w:t>
      </w:r>
      <w:r w:rsidRPr="00E4265B">
        <w:rPr>
          <w:rFonts w:ascii="Arial" w:hAnsi="Arial" w:cs="Arial"/>
          <w:sz w:val="22"/>
          <w:szCs w:val="22"/>
        </w:rPr>
        <w:noBreakHyphen/>
        <w:t>weight any short</w:t>
      </w:r>
      <w:r w:rsidRPr="00E4265B">
        <w:rPr>
          <w:rFonts w:ascii="Arial" w:hAnsi="Arial" w:cs="Arial"/>
          <w:sz w:val="22"/>
          <w:szCs w:val="22"/>
        </w:rPr>
        <w:noBreakHyphen/>
        <w:t>term CR Exposure in the bank asset class with an issue</w:t>
      </w:r>
      <w:r w:rsidRPr="00E4265B">
        <w:rPr>
          <w:rFonts w:ascii="Arial" w:hAnsi="Arial" w:cs="Arial"/>
          <w:sz w:val="22"/>
          <w:szCs w:val="22"/>
        </w:rPr>
        <w:noBreakHyphen/>
        <w:t>specific external credit assessment in accordance with the following table.</w:t>
      </w:r>
    </w:p>
    <w:p w14:paraId="48CBB616"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CRWs for short</w:t>
      </w:r>
      <w:r w:rsidRPr="00E4265B">
        <w:rPr>
          <w:rFonts w:ascii="Arial" w:hAnsi="Arial" w:cs="Arial"/>
          <w:sz w:val="22"/>
          <w:szCs w:val="22"/>
          <w:lang w:val="en-GB"/>
        </w:rPr>
        <w:noBreakHyphen/>
        <w:t>term CR Exposures in the bank asset class with issue</w:t>
      </w:r>
      <w:r w:rsidRPr="00E4265B">
        <w:rPr>
          <w:rFonts w:ascii="Arial" w:hAnsi="Arial" w:cs="Arial"/>
          <w:sz w:val="22"/>
          <w:szCs w:val="22"/>
          <w:lang w:val="en-GB"/>
        </w:rPr>
        <w:noBreakHyphen/>
        <w:t>specific external credit assessments</w:t>
      </w:r>
    </w:p>
    <w:tbl>
      <w:tblPr>
        <w:tblStyle w:val="TableGrid"/>
        <w:tblW w:w="0" w:type="auto"/>
        <w:tblInd w:w="1035" w:type="dxa"/>
        <w:tblLayout w:type="fixed"/>
        <w:tblLook w:val="04A0" w:firstRow="1" w:lastRow="0" w:firstColumn="1" w:lastColumn="0" w:noHBand="0" w:noVBand="1"/>
      </w:tblPr>
      <w:tblGrid>
        <w:gridCol w:w="1773"/>
        <w:gridCol w:w="1608"/>
        <w:gridCol w:w="1609"/>
        <w:gridCol w:w="1609"/>
        <w:gridCol w:w="1609"/>
      </w:tblGrid>
      <w:tr w:rsidR="00E22FF2" w:rsidRPr="00E4265B" w14:paraId="097C905E" w14:textId="77777777" w:rsidTr="00134903">
        <w:tc>
          <w:tcPr>
            <w:tcW w:w="1773" w:type="dxa"/>
            <w:shd w:val="clear" w:color="auto" w:fill="D9D9D9" w:themeFill="background1" w:themeFillShade="D9"/>
            <w:noWrap/>
          </w:tcPr>
          <w:p w14:paraId="4A153C7D" w14:textId="34B6695E" w:rsidR="00E22FF2" w:rsidRPr="00E4265B" w:rsidRDefault="00E4186E" w:rsidP="00E733AD">
            <w:pPr>
              <w:rPr>
                <w:rFonts w:ascii="Arial" w:hAnsi="Arial" w:cs="Arial"/>
                <w:sz w:val="22"/>
                <w:szCs w:val="22"/>
                <w:lang w:val="en-GB"/>
              </w:rPr>
            </w:pPr>
            <w:r w:rsidRPr="00E4265B">
              <w:rPr>
                <w:rFonts w:ascii="Arial" w:hAnsi="Arial" w:cs="Arial"/>
                <w:sz w:val="22"/>
                <w:szCs w:val="22"/>
                <w:lang w:val="en-GB"/>
              </w:rPr>
              <w:t>Short</w:t>
            </w:r>
            <w:r w:rsidRPr="00E4265B">
              <w:rPr>
                <w:rFonts w:ascii="Arial" w:hAnsi="Arial" w:cs="Arial"/>
                <w:sz w:val="22"/>
                <w:szCs w:val="22"/>
                <w:lang w:val="en-GB"/>
              </w:rPr>
              <w:noBreakHyphen/>
              <w:t>t</w:t>
            </w:r>
            <w:r w:rsidR="00E22FF2" w:rsidRPr="00E4265B">
              <w:rPr>
                <w:rFonts w:ascii="Arial" w:hAnsi="Arial" w:cs="Arial"/>
                <w:sz w:val="22"/>
                <w:szCs w:val="22"/>
                <w:lang w:val="en-GB"/>
              </w:rPr>
              <w:t>erm Credit Quality Grade</w:t>
            </w:r>
          </w:p>
        </w:tc>
        <w:tc>
          <w:tcPr>
            <w:tcW w:w="1608" w:type="dxa"/>
            <w:noWrap/>
          </w:tcPr>
          <w:p w14:paraId="2BBE60BA"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I</w:t>
            </w:r>
          </w:p>
        </w:tc>
        <w:tc>
          <w:tcPr>
            <w:tcW w:w="1609" w:type="dxa"/>
            <w:noWrap/>
          </w:tcPr>
          <w:p w14:paraId="419186D4"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II</w:t>
            </w:r>
          </w:p>
        </w:tc>
        <w:tc>
          <w:tcPr>
            <w:tcW w:w="1609" w:type="dxa"/>
            <w:noWrap/>
          </w:tcPr>
          <w:p w14:paraId="06EE42E5"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III</w:t>
            </w:r>
          </w:p>
        </w:tc>
        <w:tc>
          <w:tcPr>
            <w:tcW w:w="1609" w:type="dxa"/>
            <w:noWrap/>
          </w:tcPr>
          <w:p w14:paraId="7D88F06D"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IV</w:t>
            </w:r>
          </w:p>
        </w:tc>
      </w:tr>
      <w:tr w:rsidR="00E22FF2" w:rsidRPr="00E4265B" w14:paraId="6FA1960B" w14:textId="77777777" w:rsidTr="00134903">
        <w:tc>
          <w:tcPr>
            <w:tcW w:w="1773" w:type="dxa"/>
            <w:shd w:val="clear" w:color="auto" w:fill="D9D9D9" w:themeFill="background1" w:themeFillShade="D9"/>
            <w:noWrap/>
          </w:tcPr>
          <w:p w14:paraId="0ABB28EA" w14:textId="77777777" w:rsidR="00E22FF2" w:rsidRPr="00E4265B" w:rsidRDefault="00E22FF2" w:rsidP="00E733AD">
            <w:pPr>
              <w:rPr>
                <w:rFonts w:ascii="Arial" w:hAnsi="Arial" w:cs="Arial"/>
                <w:sz w:val="22"/>
                <w:szCs w:val="22"/>
                <w:lang w:val="en-GB"/>
              </w:rPr>
            </w:pPr>
            <w:r w:rsidRPr="00E4265B">
              <w:rPr>
                <w:rFonts w:ascii="Arial" w:hAnsi="Arial" w:cs="Arial"/>
                <w:sz w:val="22"/>
                <w:szCs w:val="22"/>
                <w:lang w:val="en-GB"/>
              </w:rPr>
              <w:t>Risk Weight</w:t>
            </w:r>
          </w:p>
        </w:tc>
        <w:tc>
          <w:tcPr>
            <w:tcW w:w="1608" w:type="dxa"/>
            <w:noWrap/>
          </w:tcPr>
          <w:p w14:paraId="491D466A"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20%</w:t>
            </w:r>
          </w:p>
        </w:tc>
        <w:tc>
          <w:tcPr>
            <w:tcW w:w="1609" w:type="dxa"/>
            <w:noWrap/>
          </w:tcPr>
          <w:p w14:paraId="03232D33"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50%</w:t>
            </w:r>
          </w:p>
        </w:tc>
        <w:tc>
          <w:tcPr>
            <w:tcW w:w="1609" w:type="dxa"/>
            <w:noWrap/>
          </w:tcPr>
          <w:p w14:paraId="7789A516"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100%</w:t>
            </w:r>
          </w:p>
        </w:tc>
        <w:tc>
          <w:tcPr>
            <w:tcW w:w="1609" w:type="dxa"/>
            <w:noWrap/>
          </w:tcPr>
          <w:p w14:paraId="768F3999"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150%</w:t>
            </w:r>
          </w:p>
        </w:tc>
      </w:tr>
    </w:tbl>
    <w:p w14:paraId="250620C1" w14:textId="77777777" w:rsidR="00E22FF2" w:rsidRPr="00E4265B" w:rsidRDefault="00E22FF2" w:rsidP="00BF0519">
      <w:pPr>
        <w:rPr>
          <w:rFonts w:ascii="Arial" w:hAnsi="Arial" w:cs="Arial"/>
          <w:sz w:val="22"/>
          <w:szCs w:val="22"/>
          <w:lang w:val="en-GB"/>
        </w:rPr>
      </w:pPr>
    </w:p>
    <w:p w14:paraId="7723503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The CRW for any CR Exposure in the bank asset class that does not have an external credit assessment by a recognised external credit rating agency must be the risk weight determined in accordance with the table in Rule 4.12.10 or the risk weight that is applicable to an CR Exposure to the central government of the </w:t>
      </w:r>
      <w:r w:rsidRPr="00E4265B">
        <w:rPr>
          <w:rFonts w:ascii="Arial" w:hAnsi="Arial" w:cs="Arial"/>
          <w:sz w:val="22"/>
          <w:szCs w:val="22"/>
        </w:rPr>
        <w:lastRenderedPageBreak/>
        <w:t>jurisdiction in which the banking institution is incorporated or established, whichever is higher. If a short</w:t>
      </w:r>
      <w:r w:rsidRPr="00E4265B">
        <w:rPr>
          <w:rFonts w:ascii="Arial" w:hAnsi="Arial" w:cs="Arial"/>
          <w:sz w:val="22"/>
          <w:szCs w:val="22"/>
        </w:rPr>
        <w:noBreakHyphen/>
        <w:t>term CR Exposure in the bank asset class with an issue</w:t>
      </w:r>
      <w:r w:rsidRPr="00E4265B">
        <w:rPr>
          <w:rFonts w:ascii="Arial" w:hAnsi="Arial" w:cs="Arial"/>
          <w:sz w:val="22"/>
          <w:szCs w:val="22"/>
        </w:rPr>
        <w:noBreakHyphen/>
        <w:t>specific external credit assessment:</w:t>
      </w:r>
    </w:p>
    <w:p w14:paraId="20C978D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attracts a risk weight of 50% or 100%, then the </w:t>
      </w:r>
      <w:r w:rsidR="000D1A90" w:rsidRPr="00E4265B">
        <w:rPr>
          <w:rFonts w:ascii="Arial" w:hAnsi="Arial" w:cs="Arial"/>
          <w:sz w:val="22"/>
          <w:szCs w:val="22"/>
        </w:rPr>
        <w:t>Authorised Person</w:t>
      </w:r>
      <w:r w:rsidRPr="00E4265B">
        <w:rPr>
          <w:rFonts w:ascii="Arial" w:hAnsi="Arial" w:cs="Arial"/>
          <w:sz w:val="22"/>
          <w:szCs w:val="22"/>
        </w:rPr>
        <w:t xml:space="preserve"> must apply a risk weight of not lower than 100% to any unrated short</w:t>
      </w:r>
      <w:r w:rsidRPr="00E4265B">
        <w:rPr>
          <w:rFonts w:ascii="Arial" w:hAnsi="Arial" w:cs="Arial"/>
          <w:sz w:val="22"/>
          <w:szCs w:val="22"/>
        </w:rPr>
        <w:noBreakHyphen/>
        <w:t>term CR Exposure to the same banking institution; or</w:t>
      </w:r>
    </w:p>
    <w:p w14:paraId="6C2CC92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attracts a risk weight of 150%, then the </w:t>
      </w:r>
      <w:r w:rsidR="000D1A90" w:rsidRPr="00E4265B">
        <w:rPr>
          <w:rFonts w:ascii="Arial" w:hAnsi="Arial" w:cs="Arial"/>
          <w:sz w:val="22"/>
          <w:szCs w:val="22"/>
        </w:rPr>
        <w:t>Authorised Person</w:t>
      </w:r>
      <w:r w:rsidRPr="00E4265B">
        <w:rPr>
          <w:rFonts w:ascii="Arial" w:hAnsi="Arial" w:cs="Arial"/>
          <w:sz w:val="22"/>
          <w:szCs w:val="22"/>
        </w:rPr>
        <w:t xml:space="preserve"> must apply a risk weight of 150% to any unrated CR Exposure (whether long</w:t>
      </w:r>
      <w:r w:rsidRPr="00E4265B">
        <w:rPr>
          <w:rFonts w:ascii="Arial" w:hAnsi="Arial" w:cs="Arial"/>
          <w:sz w:val="22"/>
          <w:szCs w:val="22"/>
        </w:rPr>
        <w:noBreakHyphen/>
        <w:t>term or short-term) to the same banking institution.</w:t>
      </w:r>
    </w:p>
    <w:p w14:paraId="0D2DFE91"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Corporate asset class</w:t>
      </w:r>
    </w:p>
    <w:p w14:paraId="388BBE0B"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Subject to Rules 4.12.14 and 4.12.15, an </w:t>
      </w:r>
      <w:r w:rsidR="000D1A90" w:rsidRPr="00E4265B">
        <w:rPr>
          <w:rFonts w:ascii="Arial" w:hAnsi="Arial" w:cs="Arial"/>
          <w:sz w:val="22"/>
          <w:szCs w:val="22"/>
        </w:rPr>
        <w:t>Authorised Person</w:t>
      </w:r>
      <w:r w:rsidRPr="00E4265B">
        <w:rPr>
          <w:rFonts w:ascii="Arial" w:hAnsi="Arial" w:cs="Arial"/>
          <w:sz w:val="22"/>
          <w:szCs w:val="22"/>
        </w:rPr>
        <w:t xml:space="preserve"> must risk</w:t>
      </w:r>
      <w:r w:rsidRPr="00E4265B">
        <w:rPr>
          <w:rFonts w:ascii="Arial" w:hAnsi="Arial" w:cs="Arial"/>
          <w:sz w:val="22"/>
          <w:szCs w:val="22"/>
        </w:rPr>
        <w:noBreakHyphen/>
        <w:t>weight any CR Exposure in the corporate asset class in accordance with the following table:</w:t>
      </w:r>
    </w:p>
    <w:p w14:paraId="64067CC4"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Risk Weights for the corporate asset class</w:t>
      </w:r>
    </w:p>
    <w:tbl>
      <w:tblPr>
        <w:tblStyle w:val="TableGrid"/>
        <w:tblW w:w="0" w:type="auto"/>
        <w:tblInd w:w="1101" w:type="dxa"/>
        <w:tblLayout w:type="fixed"/>
        <w:tblLook w:val="04A0" w:firstRow="1" w:lastRow="0" w:firstColumn="1" w:lastColumn="0" w:noHBand="0" w:noVBand="1"/>
      </w:tblPr>
      <w:tblGrid>
        <w:gridCol w:w="1526"/>
        <w:gridCol w:w="930"/>
        <w:gridCol w:w="930"/>
        <w:gridCol w:w="930"/>
        <w:gridCol w:w="930"/>
        <w:gridCol w:w="930"/>
        <w:gridCol w:w="931"/>
        <w:gridCol w:w="1035"/>
      </w:tblGrid>
      <w:tr w:rsidR="00E22FF2" w:rsidRPr="00E4265B" w14:paraId="3BDF68D9" w14:textId="77777777" w:rsidTr="00972924">
        <w:tc>
          <w:tcPr>
            <w:tcW w:w="1526" w:type="dxa"/>
            <w:shd w:val="clear" w:color="auto" w:fill="D9D9D9" w:themeFill="background1" w:themeFillShade="D9"/>
            <w:noWrap/>
          </w:tcPr>
          <w:p w14:paraId="67ED640F" w14:textId="77777777" w:rsidR="00E22FF2" w:rsidRPr="00E4265B" w:rsidRDefault="00E22FF2" w:rsidP="00E733AD">
            <w:pPr>
              <w:rPr>
                <w:rFonts w:ascii="Arial" w:hAnsi="Arial" w:cs="Arial"/>
                <w:sz w:val="22"/>
                <w:szCs w:val="22"/>
                <w:lang w:val="en-GB"/>
              </w:rPr>
            </w:pPr>
            <w:r w:rsidRPr="00E4265B">
              <w:rPr>
                <w:rFonts w:ascii="Arial" w:hAnsi="Arial" w:cs="Arial"/>
                <w:sz w:val="22"/>
                <w:szCs w:val="22"/>
                <w:lang w:val="en-GB"/>
              </w:rPr>
              <w:t>Credit Quality Grade</w:t>
            </w:r>
          </w:p>
        </w:tc>
        <w:tc>
          <w:tcPr>
            <w:tcW w:w="930" w:type="dxa"/>
            <w:noWrap/>
          </w:tcPr>
          <w:p w14:paraId="19249321"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1</w:t>
            </w:r>
          </w:p>
        </w:tc>
        <w:tc>
          <w:tcPr>
            <w:tcW w:w="930" w:type="dxa"/>
            <w:noWrap/>
          </w:tcPr>
          <w:p w14:paraId="2B2D203F"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2</w:t>
            </w:r>
          </w:p>
        </w:tc>
        <w:tc>
          <w:tcPr>
            <w:tcW w:w="930" w:type="dxa"/>
            <w:noWrap/>
          </w:tcPr>
          <w:p w14:paraId="7D3AE0C2"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3</w:t>
            </w:r>
          </w:p>
        </w:tc>
        <w:tc>
          <w:tcPr>
            <w:tcW w:w="930" w:type="dxa"/>
            <w:noWrap/>
          </w:tcPr>
          <w:p w14:paraId="56CD6471"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4</w:t>
            </w:r>
          </w:p>
        </w:tc>
        <w:tc>
          <w:tcPr>
            <w:tcW w:w="930" w:type="dxa"/>
            <w:noWrap/>
          </w:tcPr>
          <w:p w14:paraId="20932788"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5</w:t>
            </w:r>
          </w:p>
        </w:tc>
        <w:tc>
          <w:tcPr>
            <w:tcW w:w="931" w:type="dxa"/>
            <w:noWrap/>
          </w:tcPr>
          <w:p w14:paraId="48605623"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6</w:t>
            </w:r>
          </w:p>
        </w:tc>
        <w:tc>
          <w:tcPr>
            <w:tcW w:w="1035" w:type="dxa"/>
            <w:noWrap/>
          </w:tcPr>
          <w:p w14:paraId="32D54C5D"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Unrated</w:t>
            </w:r>
          </w:p>
        </w:tc>
      </w:tr>
      <w:tr w:rsidR="00E22FF2" w:rsidRPr="00E4265B" w14:paraId="4A582C1D" w14:textId="77777777" w:rsidTr="00972924">
        <w:tc>
          <w:tcPr>
            <w:tcW w:w="1526" w:type="dxa"/>
            <w:shd w:val="clear" w:color="auto" w:fill="D9D9D9" w:themeFill="background1" w:themeFillShade="D9"/>
            <w:noWrap/>
          </w:tcPr>
          <w:p w14:paraId="04C6173D" w14:textId="77777777" w:rsidR="00E22FF2" w:rsidRPr="00E4265B" w:rsidRDefault="00E22FF2" w:rsidP="00E733AD">
            <w:pPr>
              <w:rPr>
                <w:rFonts w:ascii="Arial" w:hAnsi="Arial" w:cs="Arial"/>
                <w:sz w:val="22"/>
                <w:szCs w:val="22"/>
                <w:lang w:val="en-GB"/>
              </w:rPr>
            </w:pPr>
            <w:r w:rsidRPr="00E4265B">
              <w:rPr>
                <w:rFonts w:ascii="Arial" w:hAnsi="Arial" w:cs="Arial"/>
                <w:sz w:val="22"/>
                <w:szCs w:val="22"/>
                <w:lang w:val="en-GB"/>
              </w:rPr>
              <w:t>Risk Weight</w:t>
            </w:r>
          </w:p>
        </w:tc>
        <w:tc>
          <w:tcPr>
            <w:tcW w:w="930" w:type="dxa"/>
            <w:noWrap/>
          </w:tcPr>
          <w:p w14:paraId="3E7640CC"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20%</w:t>
            </w:r>
          </w:p>
        </w:tc>
        <w:tc>
          <w:tcPr>
            <w:tcW w:w="930" w:type="dxa"/>
            <w:noWrap/>
          </w:tcPr>
          <w:p w14:paraId="59A0B071"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50%</w:t>
            </w:r>
          </w:p>
        </w:tc>
        <w:tc>
          <w:tcPr>
            <w:tcW w:w="930" w:type="dxa"/>
            <w:noWrap/>
          </w:tcPr>
          <w:p w14:paraId="049DD332"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100%</w:t>
            </w:r>
          </w:p>
        </w:tc>
        <w:tc>
          <w:tcPr>
            <w:tcW w:w="930" w:type="dxa"/>
            <w:noWrap/>
          </w:tcPr>
          <w:p w14:paraId="35BBC71C"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100%</w:t>
            </w:r>
          </w:p>
        </w:tc>
        <w:tc>
          <w:tcPr>
            <w:tcW w:w="930" w:type="dxa"/>
            <w:noWrap/>
          </w:tcPr>
          <w:p w14:paraId="7FD23B82"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150%</w:t>
            </w:r>
          </w:p>
        </w:tc>
        <w:tc>
          <w:tcPr>
            <w:tcW w:w="931" w:type="dxa"/>
            <w:noWrap/>
          </w:tcPr>
          <w:p w14:paraId="3F41EF3A"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150%</w:t>
            </w:r>
          </w:p>
        </w:tc>
        <w:tc>
          <w:tcPr>
            <w:tcW w:w="1035" w:type="dxa"/>
            <w:noWrap/>
          </w:tcPr>
          <w:p w14:paraId="5F83476E"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100%</w:t>
            </w:r>
          </w:p>
        </w:tc>
      </w:tr>
    </w:tbl>
    <w:p w14:paraId="33A1369E" w14:textId="77777777" w:rsidR="00E22FF2" w:rsidRPr="00E4265B" w:rsidRDefault="00E22FF2" w:rsidP="00BF0519">
      <w:pPr>
        <w:rPr>
          <w:rFonts w:ascii="Arial" w:hAnsi="Arial" w:cs="Arial"/>
          <w:sz w:val="22"/>
          <w:szCs w:val="22"/>
          <w:lang w:val="en-GB"/>
        </w:rPr>
      </w:pPr>
    </w:p>
    <w:p w14:paraId="4AB91C52"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risk</w:t>
      </w:r>
      <w:r w:rsidRPr="00E4265B">
        <w:rPr>
          <w:rFonts w:ascii="Arial" w:hAnsi="Arial" w:cs="Arial"/>
          <w:sz w:val="22"/>
          <w:szCs w:val="22"/>
        </w:rPr>
        <w:noBreakHyphen/>
        <w:t>weight any short</w:t>
      </w:r>
      <w:r w:rsidRPr="00E4265B">
        <w:rPr>
          <w:rFonts w:ascii="Arial" w:hAnsi="Arial" w:cs="Arial"/>
          <w:sz w:val="22"/>
          <w:szCs w:val="22"/>
        </w:rPr>
        <w:noBreakHyphen/>
        <w:t>term CR Exposure in the corporate asset class with an issue</w:t>
      </w:r>
      <w:r w:rsidRPr="00E4265B">
        <w:rPr>
          <w:rFonts w:ascii="Arial" w:hAnsi="Arial" w:cs="Arial"/>
          <w:sz w:val="22"/>
          <w:szCs w:val="22"/>
        </w:rPr>
        <w:noBreakHyphen/>
        <w:t>specific external credit assessment in accordance with the following table:</w:t>
      </w:r>
    </w:p>
    <w:p w14:paraId="3A805639"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Risk Weights for short</w:t>
      </w:r>
      <w:r w:rsidRPr="00E4265B">
        <w:rPr>
          <w:rFonts w:ascii="Arial" w:hAnsi="Arial" w:cs="Arial"/>
          <w:sz w:val="22"/>
          <w:szCs w:val="22"/>
          <w:lang w:val="en-GB"/>
        </w:rPr>
        <w:noBreakHyphen/>
        <w:t>term CR Exposures in the corporate asset class with issue</w:t>
      </w:r>
      <w:r w:rsidRPr="00E4265B">
        <w:rPr>
          <w:rFonts w:ascii="Arial" w:hAnsi="Arial" w:cs="Arial"/>
          <w:sz w:val="22"/>
          <w:szCs w:val="22"/>
          <w:lang w:val="en-GB"/>
        </w:rPr>
        <w:noBreakHyphen/>
        <w:t>specific external credit assessments.</w:t>
      </w:r>
    </w:p>
    <w:tbl>
      <w:tblPr>
        <w:tblStyle w:val="TableGrid"/>
        <w:tblW w:w="0" w:type="auto"/>
        <w:tblInd w:w="1026" w:type="dxa"/>
        <w:tblLayout w:type="fixed"/>
        <w:tblLook w:val="04A0" w:firstRow="1" w:lastRow="0" w:firstColumn="1" w:lastColumn="0" w:noHBand="0" w:noVBand="1"/>
      </w:tblPr>
      <w:tblGrid>
        <w:gridCol w:w="1602"/>
        <w:gridCol w:w="1653"/>
        <w:gridCol w:w="1654"/>
        <w:gridCol w:w="1654"/>
        <w:gridCol w:w="1654"/>
      </w:tblGrid>
      <w:tr w:rsidR="00E22FF2" w:rsidRPr="00E4265B" w14:paraId="1CD4AC90" w14:textId="77777777" w:rsidTr="00134903">
        <w:tc>
          <w:tcPr>
            <w:tcW w:w="1602" w:type="dxa"/>
            <w:shd w:val="clear" w:color="auto" w:fill="D9D9D9" w:themeFill="background1" w:themeFillShade="D9"/>
            <w:noWrap/>
          </w:tcPr>
          <w:p w14:paraId="687899C7" w14:textId="154F5632" w:rsidR="00E22FF2" w:rsidRPr="00E4265B" w:rsidRDefault="00E4186E" w:rsidP="00E733AD">
            <w:pPr>
              <w:rPr>
                <w:rFonts w:ascii="Arial" w:hAnsi="Arial" w:cs="Arial"/>
                <w:sz w:val="22"/>
                <w:szCs w:val="22"/>
                <w:lang w:val="en-GB"/>
              </w:rPr>
            </w:pPr>
            <w:r w:rsidRPr="00E4265B">
              <w:rPr>
                <w:rFonts w:ascii="Arial" w:hAnsi="Arial" w:cs="Arial"/>
                <w:sz w:val="22"/>
                <w:szCs w:val="22"/>
                <w:lang w:val="en-GB"/>
              </w:rPr>
              <w:t>Short</w:t>
            </w:r>
            <w:r w:rsidRPr="00E4265B">
              <w:rPr>
                <w:rFonts w:ascii="Arial" w:hAnsi="Arial" w:cs="Arial"/>
                <w:sz w:val="22"/>
                <w:szCs w:val="22"/>
                <w:lang w:val="en-GB"/>
              </w:rPr>
              <w:noBreakHyphen/>
              <w:t>t</w:t>
            </w:r>
            <w:r w:rsidR="00E22FF2" w:rsidRPr="00E4265B">
              <w:rPr>
                <w:rFonts w:ascii="Arial" w:hAnsi="Arial" w:cs="Arial"/>
                <w:sz w:val="22"/>
                <w:szCs w:val="22"/>
                <w:lang w:val="en-GB"/>
              </w:rPr>
              <w:t>erm Credit Quality Grade</w:t>
            </w:r>
          </w:p>
        </w:tc>
        <w:tc>
          <w:tcPr>
            <w:tcW w:w="1653" w:type="dxa"/>
            <w:noWrap/>
          </w:tcPr>
          <w:p w14:paraId="75B055A9"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I</w:t>
            </w:r>
          </w:p>
        </w:tc>
        <w:tc>
          <w:tcPr>
            <w:tcW w:w="1654" w:type="dxa"/>
            <w:noWrap/>
          </w:tcPr>
          <w:p w14:paraId="08D32398"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II</w:t>
            </w:r>
          </w:p>
        </w:tc>
        <w:tc>
          <w:tcPr>
            <w:tcW w:w="1654" w:type="dxa"/>
            <w:noWrap/>
          </w:tcPr>
          <w:p w14:paraId="2709209D"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III</w:t>
            </w:r>
          </w:p>
        </w:tc>
        <w:tc>
          <w:tcPr>
            <w:tcW w:w="1654" w:type="dxa"/>
            <w:noWrap/>
          </w:tcPr>
          <w:p w14:paraId="2434E8D3"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IV</w:t>
            </w:r>
          </w:p>
        </w:tc>
      </w:tr>
      <w:tr w:rsidR="00E22FF2" w:rsidRPr="00E4265B" w14:paraId="5EE68B77" w14:textId="77777777" w:rsidTr="00134903">
        <w:tc>
          <w:tcPr>
            <w:tcW w:w="1602" w:type="dxa"/>
            <w:shd w:val="clear" w:color="auto" w:fill="D9D9D9" w:themeFill="background1" w:themeFillShade="D9"/>
            <w:noWrap/>
          </w:tcPr>
          <w:p w14:paraId="25ECD5D9" w14:textId="77777777" w:rsidR="00E22FF2" w:rsidRPr="00E4265B" w:rsidRDefault="00E22FF2" w:rsidP="00E733AD">
            <w:pPr>
              <w:rPr>
                <w:rFonts w:ascii="Arial" w:hAnsi="Arial" w:cs="Arial"/>
                <w:sz w:val="22"/>
                <w:szCs w:val="22"/>
                <w:lang w:val="en-GB"/>
              </w:rPr>
            </w:pPr>
            <w:r w:rsidRPr="00E4265B">
              <w:rPr>
                <w:rFonts w:ascii="Arial" w:hAnsi="Arial" w:cs="Arial"/>
                <w:sz w:val="22"/>
                <w:szCs w:val="22"/>
                <w:lang w:val="en-GB"/>
              </w:rPr>
              <w:t>Risk Weight</w:t>
            </w:r>
          </w:p>
        </w:tc>
        <w:tc>
          <w:tcPr>
            <w:tcW w:w="1653" w:type="dxa"/>
            <w:noWrap/>
          </w:tcPr>
          <w:p w14:paraId="09D4AEE4"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20%</w:t>
            </w:r>
          </w:p>
        </w:tc>
        <w:tc>
          <w:tcPr>
            <w:tcW w:w="1654" w:type="dxa"/>
            <w:noWrap/>
          </w:tcPr>
          <w:p w14:paraId="3F461820"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50%</w:t>
            </w:r>
          </w:p>
        </w:tc>
        <w:tc>
          <w:tcPr>
            <w:tcW w:w="1654" w:type="dxa"/>
            <w:noWrap/>
          </w:tcPr>
          <w:p w14:paraId="7F185F69"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100%</w:t>
            </w:r>
          </w:p>
        </w:tc>
        <w:tc>
          <w:tcPr>
            <w:tcW w:w="1654" w:type="dxa"/>
            <w:noWrap/>
          </w:tcPr>
          <w:p w14:paraId="65112C8A"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150%</w:t>
            </w:r>
          </w:p>
        </w:tc>
      </w:tr>
    </w:tbl>
    <w:p w14:paraId="4D812C32" w14:textId="77777777" w:rsidR="00E22FF2" w:rsidRPr="00E4265B" w:rsidRDefault="00E22FF2" w:rsidP="00BF0519">
      <w:pPr>
        <w:rPr>
          <w:rFonts w:ascii="Arial" w:hAnsi="Arial" w:cs="Arial"/>
          <w:sz w:val="22"/>
          <w:szCs w:val="22"/>
          <w:lang w:val="en-GB"/>
        </w:rPr>
      </w:pPr>
    </w:p>
    <w:p w14:paraId="6F895D71"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The risk weight for any CR Exposure in the corporate asset class that does not have an external credit assessment by a recognised external credit rating agency must be the risk weight determined in accordance with the table under Rule 4.12.13 or the risk weight that is applicable to an CR Exposure to the central government of the jurisdiction in which the corporate is incorporated or established, whichever is higher. If a short</w:t>
      </w:r>
      <w:r w:rsidRPr="00E4265B">
        <w:rPr>
          <w:rFonts w:ascii="Arial" w:hAnsi="Arial" w:cs="Arial"/>
          <w:sz w:val="22"/>
          <w:szCs w:val="22"/>
        </w:rPr>
        <w:noBreakHyphen/>
        <w:t>term CR Exposure in the corporate asset class with an issue</w:t>
      </w:r>
      <w:r w:rsidRPr="00E4265B">
        <w:rPr>
          <w:rFonts w:ascii="Arial" w:hAnsi="Arial" w:cs="Arial"/>
          <w:sz w:val="22"/>
          <w:szCs w:val="22"/>
        </w:rPr>
        <w:noBreakHyphen/>
        <w:t>specific external credit assessment:</w:t>
      </w:r>
    </w:p>
    <w:p w14:paraId="03D2ABB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attracts a risk weight of 50% or 100%, then the </w:t>
      </w:r>
      <w:r w:rsidR="000D1A90" w:rsidRPr="00E4265B">
        <w:rPr>
          <w:rFonts w:ascii="Arial" w:hAnsi="Arial" w:cs="Arial"/>
          <w:sz w:val="22"/>
          <w:szCs w:val="22"/>
        </w:rPr>
        <w:t>Authorised Person</w:t>
      </w:r>
      <w:r w:rsidRPr="00E4265B">
        <w:rPr>
          <w:rFonts w:ascii="Arial" w:hAnsi="Arial" w:cs="Arial"/>
          <w:sz w:val="22"/>
          <w:szCs w:val="22"/>
        </w:rPr>
        <w:t xml:space="preserve"> must apply a risk weight of not lower than 100% to any unrated short</w:t>
      </w:r>
      <w:r w:rsidRPr="00E4265B">
        <w:rPr>
          <w:rFonts w:ascii="Arial" w:hAnsi="Arial" w:cs="Arial"/>
          <w:sz w:val="22"/>
          <w:szCs w:val="22"/>
        </w:rPr>
        <w:noBreakHyphen/>
        <w:t>term CR Exposure to the same corporate; or</w:t>
      </w:r>
    </w:p>
    <w:p w14:paraId="44135CE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attracts a risk weight of 150%, then the </w:t>
      </w:r>
      <w:r w:rsidR="000D1A90" w:rsidRPr="00E4265B">
        <w:rPr>
          <w:rFonts w:ascii="Arial" w:hAnsi="Arial" w:cs="Arial"/>
          <w:sz w:val="22"/>
          <w:szCs w:val="22"/>
        </w:rPr>
        <w:t>Authorised Person</w:t>
      </w:r>
      <w:r w:rsidRPr="00E4265B">
        <w:rPr>
          <w:rFonts w:ascii="Arial" w:hAnsi="Arial" w:cs="Arial"/>
          <w:sz w:val="22"/>
          <w:szCs w:val="22"/>
        </w:rPr>
        <w:t xml:space="preserve"> must apply a risk weight of 150% to any unrated CR Exposure (whether long</w:t>
      </w:r>
      <w:r w:rsidRPr="00E4265B">
        <w:rPr>
          <w:rFonts w:ascii="Arial" w:hAnsi="Arial" w:cs="Arial"/>
          <w:sz w:val="22"/>
          <w:szCs w:val="22"/>
        </w:rPr>
        <w:noBreakHyphen/>
        <w:t>term or short</w:t>
      </w:r>
      <w:r w:rsidRPr="00E4265B">
        <w:rPr>
          <w:rFonts w:ascii="Arial" w:hAnsi="Arial" w:cs="Arial"/>
          <w:sz w:val="22"/>
          <w:szCs w:val="22"/>
        </w:rPr>
        <w:noBreakHyphen/>
        <w:t>term) to the same corporate.</w:t>
      </w:r>
    </w:p>
    <w:p w14:paraId="35DF212B"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lastRenderedPageBreak/>
        <w:t>Regulatory retail asset class</w:t>
      </w:r>
    </w:p>
    <w:p w14:paraId="4C084B02"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apply a 100% risk weight to any CR Exposure in the retail asset class.</w:t>
      </w:r>
    </w:p>
    <w:p w14:paraId="75326424"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Residential mortgage asset class</w:t>
      </w:r>
    </w:p>
    <w:p w14:paraId="29389FCE" w14:textId="073BD644" w:rsidR="00207963"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risk weight any CR Exposure in the residential mortgage asset class in accordance with the following table:</w:t>
      </w:r>
    </w:p>
    <w:p w14:paraId="7C577CDF"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Risk weights for the residential mortgage asset class</w:t>
      </w:r>
    </w:p>
    <w:tbl>
      <w:tblPr>
        <w:tblStyle w:val="TableGrid"/>
        <w:tblW w:w="0" w:type="auto"/>
        <w:tblInd w:w="1008" w:type="dxa"/>
        <w:tblLook w:val="04A0" w:firstRow="1" w:lastRow="0" w:firstColumn="1" w:lastColumn="0" w:noHBand="0" w:noVBand="1"/>
      </w:tblPr>
      <w:tblGrid>
        <w:gridCol w:w="6386"/>
        <w:gridCol w:w="1623"/>
      </w:tblGrid>
      <w:tr w:rsidR="00E22FF2" w:rsidRPr="00E4265B" w14:paraId="5CE390F7" w14:textId="77777777" w:rsidTr="00134903">
        <w:tc>
          <w:tcPr>
            <w:tcW w:w="6570" w:type="dxa"/>
            <w:shd w:val="clear" w:color="auto" w:fill="D9D9D9" w:themeFill="background1" w:themeFillShade="D9"/>
            <w:noWrap/>
          </w:tcPr>
          <w:p w14:paraId="435E6B73" w14:textId="77777777" w:rsidR="00E22FF2" w:rsidRPr="00E4265B" w:rsidRDefault="00E22FF2" w:rsidP="00E733AD">
            <w:pPr>
              <w:rPr>
                <w:rFonts w:ascii="Arial" w:hAnsi="Arial" w:cs="Arial"/>
                <w:sz w:val="22"/>
                <w:szCs w:val="22"/>
                <w:lang w:val="en-GB"/>
              </w:rPr>
            </w:pPr>
            <w:r w:rsidRPr="00E4265B">
              <w:rPr>
                <w:rFonts w:ascii="Arial" w:hAnsi="Arial" w:cs="Arial"/>
                <w:sz w:val="22"/>
                <w:szCs w:val="22"/>
                <w:lang w:val="en-GB"/>
              </w:rPr>
              <w:t>Condition</w:t>
            </w:r>
          </w:p>
        </w:tc>
        <w:tc>
          <w:tcPr>
            <w:tcW w:w="1665" w:type="dxa"/>
            <w:shd w:val="clear" w:color="auto" w:fill="D9D9D9" w:themeFill="background1" w:themeFillShade="D9"/>
            <w:noWrap/>
          </w:tcPr>
          <w:p w14:paraId="184CFF1C"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Risk Weight</w:t>
            </w:r>
          </w:p>
        </w:tc>
      </w:tr>
      <w:tr w:rsidR="00E22FF2" w:rsidRPr="00E4265B" w14:paraId="40495D5A" w14:textId="77777777" w:rsidTr="00560764">
        <w:tc>
          <w:tcPr>
            <w:tcW w:w="6570" w:type="dxa"/>
            <w:noWrap/>
          </w:tcPr>
          <w:p w14:paraId="213D2BA0" w14:textId="77777777" w:rsidR="00E22FF2" w:rsidRPr="00E4265B" w:rsidRDefault="00E22FF2" w:rsidP="00E733AD">
            <w:pPr>
              <w:rPr>
                <w:rFonts w:ascii="Arial" w:hAnsi="Arial" w:cs="Arial"/>
                <w:sz w:val="22"/>
                <w:szCs w:val="22"/>
                <w:lang w:val="en-GB"/>
              </w:rPr>
            </w:pPr>
            <w:r w:rsidRPr="00E4265B">
              <w:rPr>
                <w:rFonts w:ascii="Arial" w:hAnsi="Arial" w:cs="Arial"/>
                <w:sz w:val="22"/>
                <w:szCs w:val="22"/>
                <w:lang w:val="en-GB"/>
              </w:rPr>
              <w:t>Loans fully secured on residential property to a maximum loan to value of 80%</w:t>
            </w:r>
          </w:p>
        </w:tc>
        <w:tc>
          <w:tcPr>
            <w:tcW w:w="1665" w:type="dxa"/>
            <w:noWrap/>
          </w:tcPr>
          <w:p w14:paraId="42BF4F13"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50%</w:t>
            </w:r>
          </w:p>
        </w:tc>
      </w:tr>
      <w:tr w:rsidR="00E22FF2" w:rsidRPr="00E4265B" w14:paraId="414F919A" w14:textId="77777777" w:rsidTr="00560764">
        <w:tc>
          <w:tcPr>
            <w:tcW w:w="6570" w:type="dxa"/>
            <w:noWrap/>
          </w:tcPr>
          <w:p w14:paraId="598F0A2E" w14:textId="77777777" w:rsidR="00E22FF2" w:rsidRPr="00E4265B" w:rsidRDefault="00E22FF2" w:rsidP="00E733AD">
            <w:pPr>
              <w:rPr>
                <w:rFonts w:ascii="Arial" w:hAnsi="Arial" w:cs="Arial"/>
                <w:sz w:val="22"/>
                <w:szCs w:val="22"/>
                <w:lang w:val="en-GB"/>
              </w:rPr>
            </w:pPr>
            <w:r w:rsidRPr="00E4265B">
              <w:rPr>
                <w:rFonts w:ascii="Arial" w:hAnsi="Arial" w:cs="Arial"/>
                <w:sz w:val="22"/>
                <w:szCs w:val="22"/>
                <w:lang w:val="en-GB"/>
              </w:rPr>
              <w:t>Loans secured on residential property in excess of a loan to value of 80%</w:t>
            </w:r>
          </w:p>
        </w:tc>
        <w:tc>
          <w:tcPr>
            <w:tcW w:w="1665" w:type="dxa"/>
            <w:noWrap/>
          </w:tcPr>
          <w:p w14:paraId="5F86614C"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100%</w:t>
            </w:r>
          </w:p>
        </w:tc>
      </w:tr>
    </w:tbl>
    <w:p w14:paraId="2491977D" w14:textId="77777777" w:rsidR="00E22FF2" w:rsidRPr="00E4265B" w:rsidRDefault="00E22FF2" w:rsidP="00BF0519">
      <w:pPr>
        <w:rPr>
          <w:rFonts w:ascii="Arial" w:hAnsi="Arial" w:cs="Arial"/>
          <w:sz w:val="22"/>
          <w:szCs w:val="22"/>
          <w:lang w:val="en-GB"/>
        </w:rPr>
      </w:pPr>
    </w:p>
    <w:p w14:paraId="006D6863"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Commercial real estate asset class</w:t>
      </w:r>
    </w:p>
    <w:p w14:paraId="004A4681"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apply a 100% risk weight to any CR Exposure in the commercial real estate asset class.</w:t>
      </w:r>
    </w:p>
    <w:p w14:paraId="3C7F809B" w14:textId="77777777" w:rsidR="006B304D" w:rsidRPr="00E4265B" w:rsidRDefault="006B304D" w:rsidP="006B304D">
      <w:pPr>
        <w:pStyle w:val="TitleL5"/>
        <w:rPr>
          <w:rFonts w:ascii="Arial" w:hAnsi="Arial" w:cs="Arial"/>
          <w:sz w:val="22"/>
          <w:szCs w:val="22"/>
          <w:lang w:val="en-GB"/>
        </w:rPr>
      </w:pPr>
      <w:r w:rsidRPr="00E4265B">
        <w:rPr>
          <w:rFonts w:ascii="Arial" w:hAnsi="Arial" w:cs="Arial"/>
          <w:sz w:val="22"/>
          <w:szCs w:val="22"/>
          <w:lang w:val="en-GB"/>
        </w:rPr>
        <w:t>Exposures associated with particularly high risks</w:t>
      </w:r>
    </w:p>
    <w:p w14:paraId="02759310" w14:textId="745BAB0F"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apply a risk weight of 150% to Exposures, including Exposures in the form of Shares or Units in a Collective Investment Fund</w:t>
      </w:r>
      <w:r w:rsidR="000E649A" w:rsidRPr="00E4265B">
        <w:rPr>
          <w:rFonts w:ascii="Arial" w:hAnsi="Arial" w:cs="Arial"/>
          <w:sz w:val="22"/>
          <w:szCs w:val="22"/>
        </w:rPr>
        <w:t>,</w:t>
      </w:r>
      <w:r w:rsidRPr="00E4265B">
        <w:rPr>
          <w:rFonts w:ascii="Arial" w:hAnsi="Arial" w:cs="Arial"/>
          <w:sz w:val="22"/>
          <w:szCs w:val="22"/>
        </w:rPr>
        <w:t xml:space="preserve"> that are associated with particularly high risks.</w:t>
      </w:r>
    </w:p>
    <w:p w14:paraId="7397853B"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For the purposes of Rule 4.12.19, Exposures with particularly high risks must include the following </w:t>
      </w:r>
      <w:r w:rsidR="00E0751B" w:rsidRPr="00E4265B">
        <w:rPr>
          <w:rFonts w:ascii="Arial" w:hAnsi="Arial" w:cs="Arial"/>
          <w:sz w:val="22"/>
          <w:szCs w:val="22"/>
        </w:rPr>
        <w:t>I</w:t>
      </w:r>
      <w:r w:rsidR="00834CCE" w:rsidRPr="00E4265B">
        <w:rPr>
          <w:rFonts w:ascii="Arial" w:hAnsi="Arial" w:cs="Arial"/>
          <w:sz w:val="22"/>
          <w:szCs w:val="22"/>
        </w:rPr>
        <w:t>nvestment</w:t>
      </w:r>
      <w:r w:rsidRPr="00E4265B">
        <w:rPr>
          <w:rFonts w:ascii="Arial" w:hAnsi="Arial" w:cs="Arial"/>
          <w:sz w:val="22"/>
          <w:szCs w:val="22"/>
        </w:rPr>
        <w:t>s:</w:t>
      </w:r>
    </w:p>
    <w:p w14:paraId="16DF2006" w14:textId="77777777" w:rsidR="00E22FF2" w:rsidRPr="00E4265B" w:rsidRDefault="00E0751B" w:rsidP="008432F8">
      <w:pPr>
        <w:pStyle w:val="Heading5"/>
        <w:rPr>
          <w:rFonts w:ascii="Arial" w:hAnsi="Arial" w:cs="Arial"/>
          <w:sz w:val="22"/>
          <w:szCs w:val="22"/>
        </w:rPr>
      </w:pPr>
      <w:r w:rsidRPr="00E4265B">
        <w:rPr>
          <w:rFonts w:ascii="Arial" w:hAnsi="Arial" w:cs="Arial"/>
          <w:sz w:val="22"/>
          <w:szCs w:val="22"/>
        </w:rPr>
        <w:t>I</w:t>
      </w:r>
      <w:r w:rsidR="00834CCE" w:rsidRPr="00E4265B">
        <w:rPr>
          <w:rFonts w:ascii="Arial" w:hAnsi="Arial" w:cs="Arial"/>
          <w:sz w:val="22"/>
          <w:szCs w:val="22"/>
        </w:rPr>
        <w:t>nvestment</w:t>
      </w:r>
      <w:r w:rsidR="00E22FF2" w:rsidRPr="00E4265B">
        <w:rPr>
          <w:rFonts w:ascii="Arial" w:hAnsi="Arial" w:cs="Arial"/>
          <w:sz w:val="22"/>
          <w:szCs w:val="22"/>
        </w:rPr>
        <w:t>s in venture capital funds</w:t>
      </w:r>
      <w:r w:rsidR="00A0090A" w:rsidRPr="00E4265B">
        <w:rPr>
          <w:rFonts w:ascii="Arial" w:hAnsi="Arial" w:cs="Arial"/>
          <w:sz w:val="22"/>
          <w:szCs w:val="22"/>
        </w:rPr>
        <w:t>;</w:t>
      </w:r>
    </w:p>
    <w:p w14:paraId="08DC4CD7" w14:textId="77777777" w:rsidR="00E22FF2" w:rsidRPr="00E4265B" w:rsidRDefault="00E0751B" w:rsidP="008432F8">
      <w:pPr>
        <w:pStyle w:val="Heading5"/>
        <w:rPr>
          <w:rFonts w:ascii="Arial" w:hAnsi="Arial" w:cs="Arial"/>
          <w:sz w:val="22"/>
          <w:szCs w:val="22"/>
        </w:rPr>
      </w:pPr>
      <w:r w:rsidRPr="00E4265B">
        <w:rPr>
          <w:rFonts w:ascii="Arial" w:hAnsi="Arial" w:cs="Arial"/>
          <w:sz w:val="22"/>
          <w:szCs w:val="22"/>
        </w:rPr>
        <w:t>I</w:t>
      </w:r>
      <w:r w:rsidR="00834CCE" w:rsidRPr="00E4265B">
        <w:rPr>
          <w:rFonts w:ascii="Arial" w:hAnsi="Arial" w:cs="Arial"/>
          <w:sz w:val="22"/>
          <w:szCs w:val="22"/>
        </w:rPr>
        <w:t>nvestment</w:t>
      </w:r>
      <w:r w:rsidR="00E22FF2" w:rsidRPr="00E4265B">
        <w:rPr>
          <w:rFonts w:ascii="Arial" w:hAnsi="Arial" w:cs="Arial"/>
          <w:sz w:val="22"/>
          <w:szCs w:val="22"/>
        </w:rPr>
        <w:t>s in hedge funds or alternative investment funds</w:t>
      </w:r>
      <w:r w:rsidR="0005735E" w:rsidRPr="00E4265B">
        <w:rPr>
          <w:rFonts w:ascii="Arial" w:hAnsi="Arial" w:cs="Arial"/>
          <w:sz w:val="22"/>
          <w:szCs w:val="22"/>
        </w:rPr>
        <w:t>, including but not limited to Private Equity F</w:t>
      </w:r>
      <w:r w:rsidR="00E22FF2" w:rsidRPr="00E4265B">
        <w:rPr>
          <w:rFonts w:ascii="Arial" w:hAnsi="Arial" w:cs="Arial"/>
          <w:sz w:val="22"/>
          <w:szCs w:val="22"/>
        </w:rPr>
        <w:t>unds;</w:t>
      </w:r>
    </w:p>
    <w:p w14:paraId="067C929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speculative immovable property financing; and</w:t>
      </w:r>
    </w:p>
    <w:p w14:paraId="7410BDC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any </w:t>
      </w:r>
      <w:r w:rsidR="00834CCE" w:rsidRPr="00E4265B">
        <w:rPr>
          <w:rFonts w:ascii="Arial" w:hAnsi="Arial" w:cs="Arial"/>
          <w:sz w:val="22"/>
          <w:szCs w:val="22"/>
        </w:rPr>
        <w:t>Investment</w:t>
      </w:r>
      <w:r w:rsidRPr="00E4265B">
        <w:rPr>
          <w:rFonts w:ascii="Arial" w:hAnsi="Arial" w:cs="Arial"/>
          <w:sz w:val="22"/>
          <w:szCs w:val="22"/>
        </w:rPr>
        <w:t>s declared by the Regulator to constitute high risk for the purpose of this Rule.</w:t>
      </w:r>
    </w:p>
    <w:p w14:paraId="414DCFCA"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When assessing whether an Exposure other than Exposures referred to in Rule 4.12.20 is associated with particularly high risks, an </w:t>
      </w:r>
      <w:r w:rsidR="000D1A90" w:rsidRPr="00E4265B">
        <w:rPr>
          <w:rFonts w:ascii="Arial" w:hAnsi="Arial" w:cs="Arial"/>
          <w:sz w:val="22"/>
          <w:szCs w:val="22"/>
        </w:rPr>
        <w:t>Authorised Person</w:t>
      </w:r>
      <w:r w:rsidRPr="00E4265B">
        <w:rPr>
          <w:rFonts w:ascii="Arial" w:hAnsi="Arial" w:cs="Arial"/>
          <w:sz w:val="22"/>
          <w:szCs w:val="22"/>
        </w:rPr>
        <w:t xml:space="preserve"> must take into account the following risk characteristics:</w:t>
      </w:r>
    </w:p>
    <w:p w14:paraId="6129575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there is a high risk of loss as a result of a default of the obligor; and</w:t>
      </w:r>
    </w:p>
    <w:p w14:paraId="0A079D9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it is impossible to assess adequately whether the Exposure falls under (a).</w:t>
      </w:r>
    </w:p>
    <w:p w14:paraId="61355131"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Other Exposures asset class</w:t>
      </w:r>
    </w:p>
    <w:p w14:paraId="5578AC80"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apply a 100% risk weight to any CR Exposure in the other Exposures asset class.</w:t>
      </w:r>
    </w:p>
    <w:p w14:paraId="117E935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lastRenderedPageBreak/>
        <w:t xml:space="preserve">Investments in equity or regulatory capital instruments issued by banks or </w:t>
      </w:r>
      <w:r w:rsidR="00877CEA" w:rsidRPr="00E4265B">
        <w:rPr>
          <w:rFonts w:ascii="Arial" w:hAnsi="Arial" w:cs="Arial"/>
          <w:sz w:val="22"/>
          <w:szCs w:val="22"/>
        </w:rPr>
        <w:t>Securities</w:t>
      </w:r>
      <w:r w:rsidRPr="00E4265B">
        <w:rPr>
          <w:rFonts w:ascii="Arial" w:hAnsi="Arial" w:cs="Arial"/>
          <w:sz w:val="22"/>
          <w:szCs w:val="22"/>
        </w:rPr>
        <w:t xml:space="preserve"> firms must be risk weighted at 100%, unless deducted from the capital base.</w:t>
      </w:r>
    </w:p>
    <w:p w14:paraId="3FE6B56A"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Past due Exposures</w:t>
      </w:r>
    </w:p>
    <w:p w14:paraId="10CA6A51"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Subject to Rules 4.12.25 and 4.12.26, an </w:t>
      </w:r>
      <w:r w:rsidR="000D1A90" w:rsidRPr="00E4265B">
        <w:rPr>
          <w:rFonts w:ascii="Arial" w:hAnsi="Arial" w:cs="Arial"/>
          <w:sz w:val="22"/>
          <w:szCs w:val="22"/>
        </w:rPr>
        <w:t>Authorised Person</w:t>
      </w:r>
      <w:r w:rsidRPr="00E4265B">
        <w:rPr>
          <w:rFonts w:ascii="Arial" w:hAnsi="Arial" w:cs="Arial"/>
          <w:sz w:val="22"/>
          <w:szCs w:val="22"/>
        </w:rPr>
        <w:t xml:space="preserve"> must risk</w:t>
      </w:r>
      <w:r w:rsidRPr="00E4265B">
        <w:rPr>
          <w:rFonts w:ascii="Arial" w:hAnsi="Arial" w:cs="Arial"/>
          <w:sz w:val="22"/>
          <w:szCs w:val="22"/>
        </w:rPr>
        <w:noBreakHyphen/>
        <w:t>weight the unsecured portion of any CR Exposure that is past due for more than 90 days in accordance with the following table.</w:t>
      </w:r>
    </w:p>
    <w:p w14:paraId="405D71DA" w14:textId="77777777" w:rsidR="00E22FF2" w:rsidRPr="00E4265B" w:rsidRDefault="00E22FF2" w:rsidP="006B304D">
      <w:pPr>
        <w:pStyle w:val="TitleL5"/>
        <w:rPr>
          <w:rFonts w:ascii="Arial" w:hAnsi="Arial" w:cs="Arial"/>
          <w:sz w:val="22"/>
          <w:szCs w:val="22"/>
          <w:lang w:val="en-GB"/>
        </w:rPr>
      </w:pPr>
      <w:r w:rsidRPr="00E4265B">
        <w:rPr>
          <w:rFonts w:ascii="Arial" w:hAnsi="Arial" w:cs="Arial"/>
          <w:sz w:val="22"/>
          <w:szCs w:val="22"/>
          <w:lang w:val="en-GB"/>
        </w:rPr>
        <w:t>Risk weights for past due Exposures</w:t>
      </w:r>
    </w:p>
    <w:tbl>
      <w:tblPr>
        <w:tblStyle w:val="TableGrid"/>
        <w:tblW w:w="0" w:type="auto"/>
        <w:tblInd w:w="1008" w:type="dxa"/>
        <w:tblLook w:val="04A0" w:firstRow="1" w:lastRow="0" w:firstColumn="1" w:lastColumn="0" w:noHBand="0" w:noVBand="1"/>
      </w:tblPr>
      <w:tblGrid>
        <w:gridCol w:w="6386"/>
        <w:gridCol w:w="1623"/>
      </w:tblGrid>
      <w:tr w:rsidR="00E22FF2" w:rsidRPr="00E4265B" w14:paraId="6A1DC3A1" w14:textId="77777777" w:rsidTr="00134903">
        <w:tc>
          <w:tcPr>
            <w:tcW w:w="6570" w:type="dxa"/>
            <w:shd w:val="clear" w:color="auto" w:fill="D9D9D9" w:themeFill="background1" w:themeFillShade="D9"/>
            <w:noWrap/>
          </w:tcPr>
          <w:p w14:paraId="5BE59C86" w14:textId="77777777" w:rsidR="00E22FF2" w:rsidRPr="00E4265B" w:rsidRDefault="00E22FF2" w:rsidP="00E733AD">
            <w:pPr>
              <w:rPr>
                <w:rFonts w:ascii="Arial" w:hAnsi="Arial" w:cs="Arial"/>
                <w:sz w:val="22"/>
                <w:szCs w:val="22"/>
                <w:lang w:val="en-GB"/>
              </w:rPr>
            </w:pPr>
            <w:r w:rsidRPr="00E4265B">
              <w:rPr>
                <w:rFonts w:ascii="Arial" w:hAnsi="Arial" w:cs="Arial"/>
                <w:sz w:val="22"/>
                <w:szCs w:val="22"/>
                <w:lang w:val="en-GB"/>
              </w:rPr>
              <w:t>Condition</w:t>
            </w:r>
          </w:p>
        </w:tc>
        <w:tc>
          <w:tcPr>
            <w:tcW w:w="1665" w:type="dxa"/>
            <w:shd w:val="clear" w:color="auto" w:fill="D9D9D9" w:themeFill="background1" w:themeFillShade="D9"/>
            <w:noWrap/>
          </w:tcPr>
          <w:p w14:paraId="12B2A2D7"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Risk Weight</w:t>
            </w:r>
          </w:p>
        </w:tc>
      </w:tr>
      <w:tr w:rsidR="00E22FF2" w:rsidRPr="00E4265B" w14:paraId="2B2D5A3D" w14:textId="77777777" w:rsidTr="00560764">
        <w:tc>
          <w:tcPr>
            <w:tcW w:w="6570" w:type="dxa"/>
            <w:noWrap/>
          </w:tcPr>
          <w:p w14:paraId="12E6FA2B" w14:textId="77777777" w:rsidR="00E22FF2" w:rsidRPr="00E4265B" w:rsidRDefault="00E22FF2" w:rsidP="00E733AD">
            <w:pPr>
              <w:rPr>
                <w:rFonts w:ascii="Arial" w:hAnsi="Arial" w:cs="Arial"/>
                <w:sz w:val="22"/>
                <w:szCs w:val="22"/>
                <w:lang w:val="en-GB"/>
              </w:rPr>
            </w:pPr>
            <w:r w:rsidRPr="00E4265B">
              <w:rPr>
                <w:rFonts w:ascii="Arial" w:hAnsi="Arial" w:cs="Arial"/>
                <w:sz w:val="22"/>
                <w:szCs w:val="22"/>
                <w:lang w:val="en-GB"/>
              </w:rPr>
              <w:t>Where specific provisions are less than 20% of the outstanding amount of the Exposure</w:t>
            </w:r>
          </w:p>
        </w:tc>
        <w:tc>
          <w:tcPr>
            <w:tcW w:w="1665" w:type="dxa"/>
            <w:noWrap/>
          </w:tcPr>
          <w:p w14:paraId="4217EEB4"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150%</w:t>
            </w:r>
          </w:p>
        </w:tc>
      </w:tr>
      <w:tr w:rsidR="00E22FF2" w:rsidRPr="00E4265B" w14:paraId="1B91DFC8" w14:textId="77777777" w:rsidTr="00560764">
        <w:tc>
          <w:tcPr>
            <w:tcW w:w="6570" w:type="dxa"/>
            <w:noWrap/>
          </w:tcPr>
          <w:p w14:paraId="05EBB0C1" w14:textId="77777777" w:rsidR="00E22FF2" w:rsidRPr="00E4265B" w:rsidRDefault="00E22FF2" w:rsidP="00E733AD">
            <w:pPr>
              <w:rPr>
                <w:rFonts w:ascii="Arial" w:hAnsi="Arial" w:cs="Arial"/>
                <w:sz w:val="22"/>
                <w:szCs w:val="22"/>
                <w:lang w:val="en-GB"/>
              </w:rPr>
            </w:pPr>
            <w:r w:rsidRPr="00E4265B">
              <w:rPr>
                <w:rFonts w:ascii="Arial" w:hAnsi="Arial" w:cs="Arial"/>
                <w:sz w:val="22"/>
                <w:szCs w:val="22"/>
                <w:lang w:val="en-GB"/>
              </w:rPr>
              <w:t>Where specific provisions are no less than 20% of the outstanding amount of the Exposure</w:t>
            </w:r>
          </w:p>
        </w:tc>
        <w:tc>
          <w:tcPr>
            <w:tcW w:w="1665" w:type="dxa"/>
            <w:noWrap/>
          </w:tcPr>
          <w:p w14:paraId="3DE88061" w14:textId="77777777" w:rsidR="00E22FF2" w:rsidRPr="00E4265B" w:rsidRDefault="00E22FF2" w:rsidP="00D030A6">
            <w:pPr>
              <w:jc w:val="center"/>
              <w:rPr>
                <w:rFonts w:ascii="Arial" w:hAnsi="Arial" w:cs="Arial"/>
                <w:sz w:val="22"/>
                <w:szCs w:val="22"/>
                <w:lang w:val="en-GB"/>
              </w:rPr>
            </w:pPr>
            <w:r w:rsidRPr="00E4265B">
              <w:rPr>
                <w:rFonts w:ascii="Arial" w:hAnsi="Arial" w:cs="Arial"/>
                <w:sz w:val="22"/>
                <w:szCs w:val="22"/>
                <w:lang w:val="en-GB"/>
              </w:rPr>
              <w:t>100%</w:t>
            </w:r>
          </w:p>
        </w:tc>
      </w:tr>
    </w:tbl>
    <w:p w14:paraId="4642CDA1" w14:textId="77777777" w:rsidR="00E22FF2" w:rsidRPr="00E4265B" w:rsidRDefault="00E22FF2" w:rsidP="00BF0519">
      <w:pPr>
        <w:rPr>
          <w:rFonts w:ascii="Arial" w:hAnsi="Arial" w:cs="Arial"/>
          <w:sz w:val="22"/>
          <w:szCs w:val="22"/>
          <w:lang w:val="en-GB"/>
        </w:rPr>
      </w:pPr>
    </w:p>
    <w:p w14:paraId="0BD7686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For the purposes of Rule 4.12.24, an </w:t>
      </w:r>
      <w:r w:rsidR="000D1A90" w:rsidRPr="00E4265B">
        <w:rPr>
          <w:rFonts w:ascii="Arial" w:hAnsi="Arial" w:cs="Arial"/>
          <w:sz w:val="22"/>
          <w:szCs w:val="22"/>
        </w:rPr>
        <w:t>Authorised Person</w:t>
      </w:r>
      <w:r w:rsidRPr="00E4265B">
        <w:rPr>
          <w:rFonts w:ascii="Arial" w:hAnsi="Arial" w:cs="Arial"/>
          <w:sz w:val="22"/>
          <w:szCs w:val="22"/>
        </w:rPr>
        <w:t xml:space="preserve"> must calculate the unsecured portion of any CR Exposure that is past due for more than 90 days as follows:</w:t>
      </w:r>
    </w:p>
    <w:p w14:paraId="61CC821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for an </w:t>
      </w:r>
      <w:r w:rsidR="000D1A90" w:rsidRPr="00E4265B">
        <w:rPr>
          <w:rFonts w:ascii="Arial" w:hAnsi="Arial" w:cs="Arial"/>
          <w:sz w:val="22"/>
          <w:szCs w:val="22"/>
        </w:rPr>
        <w:t>Authorised Person</w:t>
      </w:r>
      <w:r w:rsidRPr="00E4265B">
        <w:rPr>
          <w:rFonts w:ascii="Arial" w:hAnsi="Arial" w:cs="Arial"/>
          <w:sz w:val="22"/>
          <w:szCs w:val="22"/>
        </w:rPr>
        <w:t xml:space="preserve"> using the FCSA: Unsecured Portion = E – P – C</w:t>
      </w:r>
      <w:r w:rsidRPr="00E4265B">
        <w:rPr>
          <w:rFonts w:ascii="Arial" w:hAnsi="Arial" w:cs="Arial"/>
          <w:sz w:val="22"/>
          <w:szCs w:val="22"/>
          <w:vertAlign w:val="subscript"/>
        </w:rPr>
        <w:t>f</w:t>
      </w:r>
    </w:p>
    <w:p w14:paraId="7DA6B9C9" w14:textId="77777777" w:rsidR="00E22FF2" w:rsidRPr="00E4265B" w:rsidRDefault="00E22FF2" w:rsidP="00791F81">
      <w:pPr>
        <w:pStyle w:val="UK12Block10"/>
        <w:rPr>
          <w:rFonts w:ascii="Arial" w:hAnsi="Arial" w:cs="Arial"/>
          <w:sz w:val="22"/>
          <w:szCs w:val="22"/>
          <w:lang w:val="en-GB"/>
        </w:rPr>
      </w:pPr>
      <w:r w:rsidRPr="00E4265B">
        <w:rPr>
          <w:rFonts w:ascii="Arial" w:hAnsi="Arial" w:cs="Arial"/>
          <w:sz w:val="22"/>
          <w:szCs w:val="22"/>
          <w:lang w:val="en-GB"/>
        </w:rPr>
        <w:t>where:</w:t>
      </w:r>
    </w:p>
    <w:p w14:paraId="00325EA4"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E = E calculated in accordance with Section 4.9;</w:t>
      </w:r>
    </w:p>
    <w:p w14:paraId="27656E8E"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P = notional amount of eligible credit protection received; and</w:t>
      </w:r>
    </w:p>
    <w:p w14:paraId="794F012B"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C</w:t>
      </w:r>
      <w:r w:rsidRPr="00E4265B">
        <w:rPr>
          <w:rFonts w:ascii="Arial" w:hAnsi="Arial" w:cs="Arial"/>
          <w:sz w:val="22"/>
          <w:szCs w:val="22"/>
          <w:vertAlign w:val="subscript"/>
        </w:rPr>
        <w:t>f</w:t>
      </w:r>
      <w:r w:rsidRPr="00E4265B">
        <w:rPr>
          <w:rFonts w:ascii="Arial" w:hAnsi="Arial" w:cs="Arial"/>
          <w:sz w:val="22"/>
          <w:szCs w:val="22"/>
        </w:rPr>
        <w:t xml:space="preserve"> = fair value of eligible financial Collateral received; or</w:t>
      </w:r>
    </w:p>
    <w:p w14:paraId="66ECD71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for an </w:t>
      </w:r>
      <w:r w:rsidR="000D1A90" w:rsidRPr="00E4265B">
        <w:rPr>
          <w:rFonts w:ascii="Arial" w:hAnsi="Arial" w:cs="Arial"/>
          <w:sz w:val="22"/>
          <w:szCs w:val="22"/>
        </w:rPr>
        <w:t>Authorised Person</w:t>
      </w:r>
      <w:r w:rsidRPr="00E4265B">
        <w:rPr>
          <w:rFonts w:ascii="Arial" w:hAnsi="Arial" w:cs="Arial"/>
          <w:sz w:val="22"/>
          <w:szCs w:val="22"/>
        </w:rPr>
        <w:t xml:space="preserve"> using the FCCA: </w:t>
      </w:r>
    </w:p>
    <w:p w14:paraId="2703782D" w14:textId="77777777" w:rsidR="00E22FF2" w:rsidRPr="00E4265B" w:rsidRDefault="00E22FF2" w:rsidP="00CE1A5F">
      <w:pPr>
        <w:pStyle w:val="UK12Block15"/>
        <w:rPr>
          <w:rFonts w:ascii="Arial" w:hAnsi="Arial" w:cs="Arial"/>
          <w:sz w:val="22"/>
          <w:szCs w:val="22"/>
          <w:lang w:val="en-GB"/>
        </w:rPr>
      </w:pPr>
      <w:r w:rsidRPr="00E4265B">
        <w:rPr>
          <w:rFonts w:ascii="Arial" w:hAnsi="Arial" w:cs="Arial"/>
          <w:sz w:val="22"/>
          <w:szCs w:val="22"/>
          <w:lang w:val="en-GB"/>
        </w:rPr>
        <w:t>Unsecured Portion = E*– P</w:t>
      </w:r>
    </w:p>
    <w:p w14:paraId="4B261763" w14:textId="77777777" w:rsidR="00E22FF2" w:rsidRPr="00E4265B" w:rsidRDefault="00E22FF2" w:rsidP="00791F81">
      <w:pPr>
        <w:pStyle w:val="UK12Block10"/>
        <w:rPr>
          <w:rFonts w:ascii="Arial" w:hAnsi="Arial" w:cs="Arial"/>
          <w:sz w:val="22"/>
          <w:szCs w:val="22"/>
          <w:lang w:val="en-GB"/>
        </w:rPr>
      </w:pPr>
      <w:r w:rsidRPr="00E4265B">
        <w:rPr>
          <w:rFonts w:ascii="Arial" w:hAnsi="Arial" w:cs="Arial"/>
          <w:sz w:val="22"/>
          <w:szCs w:val="22"/>
          <w:lang w:val="en-GB"/>
        </w:rPr>
        <w:t>where</w:t>
      </w:r>
      <w:r w:rsidR="003A1122" w:rsidRPr="00E4265B">
        <w:rPr>
          <w:rFonts w:ascii="Arial" w:hAnsi="Arial" w:cs="Arial"/>
          <w:sz w:val="22"/>
          <w:szCs w:val="22"/>
          <w:lang w:val="en-GB"/>
        </w:rPr>
        <w:t>:</w:t>
      </w:r>
    </w:p>
    <w:p w14:paraId="0F5BFDEB"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E* = E* calculated in accordance with Section 4.9; and</w:t>
      </w:r>
    </w:p>
    <w:p w14:paraId="5728E8C0"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P = notional amount of eligible credit protection received.</w:t>
      </w:r>
    </w:p>
    <w:p w14:paraId="5775F96C"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apply a 100% risk weight to any CR Exposure in the residential mortgage asset class that is past due for more than 90 days.</w:t>
      </w:r>
    </w:p>
    <w:p w14:paraId="63EE7EBF" w14:textId="77777777" w:rsidR="00E22FF2" w:rsidRPr="00E4265B" w:rsidRDefault="00E22FF2" w:rsidP="00246497">
      <w:pPr>
        <w:pStyle w:val="Heading3"/>
        <w:rPr>
          <w:rFonts w:ascii="Arial" w:hAnsi="Arial" w:cs="Arial"/>
          <w:sz w:val="22"/>
          <w:szCs w:val="22"/>
        </w:rPr>
      </w:pPr>
      <w:bookmarkStart w:id="415" w:name="_Toc403223953"/>
      <w:bookmarkStart w:id="416" w:name="_Toc403253991"/>
      <w:bookmarkStart w:id="417" w:name="_Toc403273391"/>
      <w:bookmarkStart w:id="418" w:name="_Toc403273540"/>
      <w:bookmarkStart w:id="419" w:name="_Toc403274499"/>
      <w:bookmarkStart w:id="420" w:name="_Toc403279995"/>
      <w:bookmarkStart w:id="421" w:name="_Toc404285796"/>
      <w:bookmarkStart w:id="422" w:name="_Toc404621745"/>
      <w:bookmarkStart w:id="423" w:name="_Toc404624386"/>
      <w:bookmarkStart w:id="424" w:name="_Toc33622412"/>
      <w:r w:rsidRPr="00E4265B">
        <w:rPr>
          <w:rFonts w:ascii="Arial" w:hAnsi="Arial" w:cs="Arial"/>
          <w:sz w:val="22"/>
          <w:szCs w:val="22"/>
        </w:rPr>
        <w:t>Credit Risk mitigation</w:t>
      </w:r>
      <w:bookmarkEnd w:id="415"/>
      <w:bookmarkEnd w:id="416"/>
      <w:bookmarkEnd w:id="417"/>
      <w:bookmarkEnd w:id="418"/>
      <w:bookmarkEnd w:id="419"/>
      <w:bookmarkEnd w:id="420"/>
      <w:bookmarkEnd w:id="421"/>
      <w:bookmarkEnd w:id="422"/>
      <w:bookmarkEnd w:id="423"/>
      <w:bookmarkEnd w:id="424"/>
    </w:p>
    <w:p w14:paraId="4F814F69"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2ED049CF"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This Section sets out the principles and methodologies for the recognition of CRM in the calculation of Credit RWA.</w:t>
      </w:r>
    </w:p>
    <w:p w14:paraId="07AC5BCD"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General Requirements</w:t>
      </w:r>
    </w:p>
    <w:p w14:paraId="7A4A7387"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may not recognise the effects of CRM unless:</w:t>
      </w:r>
    </w:p>
    <w:p w14:paraId="153EFAC1"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t>all documentation relating to that mitigation is binding on all relevant parties and legally enforceable in all relevant jurisdictions; and</w:t>
      </w:r>
    </w:p>
    <w:p w14:paraId="2C268991"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complies with the Rules set out in this Section, as applicable.</w:t>
      </w:r>
    </w:p>
    <w:p w14:paraId="5D785624"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Where the calculation of Credit RWA already takes into account the Credit Risk mitigant, the provisions of this Section do not apply.</w:t>
      </w:r>
    </w:p>
    <w:p w14:paraId="6C8D9471"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0E84AC70" w14:textId="10E7A562" w:rsidR="00E22FF2" w:rsidRPr="00E4265B" w:rsidRDefault="00E22FF2" w:rsidP="000E649A">
      <w:pPr>
        <w:pStyle w:val="UK12Block05"/>
        <w:rPr>
          <w:rFonts w:ascii="Arial" w:hAnsi="Arial" w:cs="Arial"/>
          <w:sz w:val="22"/>
          <w:szCs w:val="22"/>
          <w:lang w:val="en-GB"/>
        </w:rPr>
      </w:pP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conduct sufficient legal review to verify this and have a well</w:t>
      </w:r>
      <w:r w:rsidRPr="00E4265B">
        <w:rPr>
          <w:rFonts w:ascii="Arial" w:hAnsi="Arial" w:cs="Arial"/>
          <w:sz w:val="22"/>
          <w:szCs w:val="22"/>
          <w:lang w:val="en-GB"/>
        </w:rPr>
        <w:noBreakHyphen/>
        <w:t xml:space="preserve">founded legal basis to reach this conclusion, and undertake such further review as necessary to ensure continuing enforceability. The review should cover relevant jurisdictions such as the jurisdiction whose law governs the credit protection or Collateral agreement and the jurisdiction whose law governs the transaction subject to the credit protection or Collateral agreement. There should be sufficient written documentary evidence to adequately support the conclusion drawn and rebut any legal challenge. While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use either in</w:t>
      </w:r>
      <w:r w:rsidRPr="00E4265B">
        <w:rPr>
          <w:rFonts w:ascii="Arial" w:hAnsi="Arial" w:cs="Arial"/>
          <w:sz w:val="22"/>
          <w:szCs w:val="22"/>
          <w:lang w:val="en-GB"/>
        </w:rPr>
        <w:noBreakHyphen/>
        <w:t>house or external legal counsel, it should consider whether or not in</w:t>
      </w:r>
      <w:r w:rsidRPr="00E4265B">
        <w:rPr>
          <w:rFonts w:ascii="Arial" w:hAnsi="Arial" w:cs="Arial"/>
          <w:sz w:val="22"/>
          <w:szCs w:val="22"/>
          <w:lang w:val="en-GB"/>
        </w:rPr>
        <w:noBreakHyphen/>
        <w:t xml:space="preserve">house counsel opinion is appropriate. The senior management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ensure that an officer of the </w:t>
      </w:r>
      <w:r w:rsidR="00363CED" w:rsidRPr="00E4265B">
        <w:rPr>
          <w:rFonts w:ascii="Arial" w:hAnsi="Arial" w:cs="Arial"/>
          <w:sz w:val="22"/>
          <w:szCs w:val="22"/>
          <w:lang w:val="en-GB"/>
        </w:rPr>
        <w:t>Authorised Person wh</w:t>
      </w:r>
      <w:r w:rsidR="000E649A" w:rsidRPr="00E4265B">
        <w:rPr>
          <w:rFonts w:ascii="Arial" w:hAnsi="Arial" w:cs="Arial"/>
          <w:sz w:val="22"/>
          <w:szCs w:val="22"/>
          <w:lang w:val="en-GB"/>
        </w:rPr>
        <w:t>o</w:t>
      </w:r>
      <w:r w:rsidRPr="00E4265B">
        <w:rPr>
          <w:rFonts w:ascii="Arial" w:hAnsi="Arial" w:cs="Arial"/>
          <w:sz w:val="22"/>
          <w:szCs w:val="22"/>
          <w:lang w:val="en-GB"/>
        </w:rPr>
        <w:t xml:space="preserve"> is legally qualified and independent of the parties originating the transaction reviews the legal opinion and confirms that he is satisfied that an adequate review has been completed and that he agrees with the conclusions drawn. The Regulator may request a copy of any documentation to support the CRM used by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12D8020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Where an </w:t>
      </w:r>
      <w:r w:rsidR="000D1A90" w:rsidRPr="00E4265B">
        <w:rPr>
          <w:rFonts w:ascii="Arial" w:hAnsi="Arial" w:cs="Arial"/>
          <w:sz w:val="22"/>
          <w:szCs w:val="22"/>
        </w:rPr>
        <w:t>Authorised Person</w:t>
      </w:r>
      <w:r w:rsidRPr="00E4265B">
        <w:rPr>
          <w:rFonts w:ascii="Arial" w:hAnsi="Arial" w:cs="Arial"/>
          <w:sz w:val="22"/>
          <w:szCs w:val="22"/>
        </w:rPr>
        <w:t xml:space="preserve"> uses multiple CRM for a single Exposure, the </w:t>
      </w:r>
      <w:r w:rsidR="000D1A90" w:rsidRPr="00E4265B">
        <w:rPr>
          <w:rFonts w:ascii="Arial" w:hAnsi="Arial" w:cs="Arial"/>
          <w:sz w:val="22"/>
          <w:szCs w:val="22"/>
        </w:rPr>
        <w:t>Authorised Person</w:t>
      </w:r>
      <w:r w:rsidRPr="00E4265B">
        <w:rPr>
          <w:rFonts w:ascii="Arial" w:hAnsi="Arial" w:cs="Arial"/>
          <w:sz w:val="22"/>
          <w:szCs w:val="22"/>
        </w:rPr>
        <w:t xml:space="preserve"> must divide the Exposure into portions covered by each mitigation and must calculate the Credit Risk</w:t>
      </w:r>
      <w:r w:rsidRPr="00E4265B">
        <w:rPr>
          <w:rFonts w:ascii="Arial" w:hAnsi="Arial" w:cs="Arial"/>
          <w:sz w:val="22"/>
          <w:szCs w:val="22"/>
        </w:rPr>
        <w:noBreakHyphen/>
        <w:t xml:space="preserve">weighted Exposure amount of each portion separately. An </w:t>
      </w:r>
      <w:r w:rsidR="000D1A90" w:rsidRPr="00E4265B">
        <w:rPr>
          <w:rFonts w:ascii="Arial" w:hAnsi="Arial" w:cs="Arial"/>
          <w:sz w:val="22"/>
          <w:szCs w:val="22"/>
        </w:rPr>
        <w:t>Authorised Person</w:t>
      </w:r>
      <w:r w:rsidRPr="00E4265B">
        <w:rPr>
          <w:rFonts w:ascii="Arial" w:hAnsi="Arial" w:cs="Arial"/>
          <w:sz w:val="22"/>
          <w:szCs w:val="22"/>
        </w:rPr>
        <w:t xml:space="preserve"> must apply the same approach when recognising eligible credit protection by a single protection provider where the eligible credit protection has differing maturities.</w:t>
      </w:r>
    </w:p>
    <w:p w14:paraId="03D3A3DD"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take all appropriate steps to ensure the effectiveness of the CRM arrangements it employs and to address related risks.</w:t>
      </w:r>
    </w:p>
    <w:p w14:paraId="6942016A"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reduces or transfers Credit Risk by the use of CRM,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employ appropriate and effective policies and procedures to identify and control other risks which arise as a consequence of the transfer.</w:t>
      </w:r>
    </w:p>
    <w:p w14:paraId="243D3F30"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5CADDBB1" w14:textId="77777777" w:rsidR="00E22FF2" w:rsidRPr="00E4265B" w:rsidRDefault="00E22FF2" w:rsidP="008F5C01">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The use of techniques to reduce or transfer Credit Risk may simultaneously increase other risks (residual risks) which include legal, operational, liquidity and Market Risks. The Regulator expects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employ methods to identify and control these risks, including:</w:t>
      </w:r>
    </w:p>
    <w:p w14:paraId="14D20B8A"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strategy;</w:t>
      </w:r>
    </w:p>
    <w:p w14:paraId="591178BC"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consideration of the underlying credit;</w:t>
      </w:r>
    </w:p>
    <w:p w14:paraId="0E51A8B4"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valuation;</w:t>
      </w:r>
    </w:p>
    <w:p w14:paraId="6DC1C426"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lastRenderedPageBreak/>
        <w:t>d.</w:t>
      </w:r>
      <w:r w:rsidRPr="00E4265B">
        <w:rPr>
          <w:rFonts w:ascii="Arial" w:hAnsi="Arial" w:cs="Arial"/>
          <w:sz w:val="22"/>
          <w:szCs w:val="22"/>
          <w:lang w:val="en-GB"/>
        </w:rPr>
        <w:tab/>
        <w:t>policies and procedures;</w:t>
      </w:r>
    </w:p>
    <w:p w14:paraId="3D8EDFF0"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systems;</w:t>
      </w:r>
    </w:p>
    <w:p w14:paraId="2D31D706"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control of roll</w:t>
      </w:r>
      <w:r w:rsidRPr="00E4265B">
        <w:rPr>
          <w:rFonts w:ascii="Arial" w:hAnsi="Arial" w:cs="Arial"/>
          <w:sz w:val="22"/>
          <w:szCs w:val="22"/>
          <w:lang w:val="en-GB"/>
        </w:rPr>
        <w:noBreakHyphen/>
        <w:t>off risks; and</w:t>
      </w:r>
    </w:p>
    <w:p w14:paraId="6C12DD0A" w14:textId="0843C5F2" w:rsidR="00E22FF2" w:rsidRPr="00E4265B" w:rsidRDefault="00E22FF2" w:rsidP="00612DAE">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 xml:space="preserve">management of </w:t>
      </w:r>
      <w:r w:rsidR="00612DAE" w:rsidRPr="00E4265B">
        <w:rPr>
          <w:rFonts w:ascii="Arial" w:hAnsi="Arial" w:cs="Arial"/>
          <w:sz w:val="22"/>
          <w:szCs w:val="22"/>
          <w:lang w:val="en-GB"/>
        </w:rPr>
        <w:t>any Large Exposures and other concentration risks, e.g. sectoral or geographic,</w:t>
      </w:r>
      <w:r w:rsidRPr="00E4265B">
        <w:rPr>
          <w:rFonts w:ascii="Arial" w:hAnsi="Arial" w:cs="Arial"/>
          <w:sz w:val="22"/>
          <w:szCs w:val="22"/>
          <w:lang w:val="en-GB"/>
        </w:rPr>
        <w:t xml:space="preserve"> arising from the use of CRM and the interaction of such risk with the overall Credit Risk profile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2AB6BD00"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In order to fulfil the above,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ensure a clearly articulated strategy for the use of CRM as an intrinsic part of the general credit strategy of an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3F7D5FEC"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Where an Exposure is subject to CRM, credit managers should continue to assess the Exposure on the basis of the obligor's creditworthiness. Credit managers should obtain and analyse sufficient financial information to determine the obligor's risk profile and its management and operational capabilities.</w:t>
      </w:r>
    </w:p>
    <w:p w14:paraId="47D5C00B"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Collateral should be revalued frequently, and the unsecured Exposure should also be monitored frequently. Frequent revaluation is prudent, and the revaluation of marketable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should occur on at least a daily basis. Furthermore, measures of the potential unsecured Exposure under collateralised transactions should be calculated under stressed and normal conditions. One such measure would take account of the time and cost involved if the obligor or Counterparty were to default and the Collateral had to be liquidated. Furthermore, the setting of limits for collateralised Counterparties should take account of the potential unsecured Exposure. Stress tests and scenario analysis should be conducted to enable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understand the behaviour of its portfolio of CRM arrangements under unusual market conditions. Any unusual or disproportionate risk identified should be managed and controlled.</w:t>
      </w:r>
    </w:p>
    <w:p w14:paraId="6E3541A2"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Clear policies and procedures should be established in respect of Collateral management, including:</w:t>
      </w:r>
    </w:p>
    <w:p w14:paraId="0C23C350"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terms of Collateral agreements;</w:t>
      </w:r>
    </w:p>
    <w:p w14:paraId="5308976C"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types of Collateral and enforcement of Collateral terms (e.g. waivers of posting deadlines);</w:t>
      </w:r>
    </w:p>
    <w:p w14:paraId="0BA5EF64"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management of legal risks;</w:t>
      </w:r>
    </w:p>
    <w:p w14:paraId="77DD8B0B"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the administration of agreement</w:t>
      </w:r>
      <w:r w:rsidR="003A1122" w:rsidRPr="00E4265B">
        <w:rPr>
          <w:rFonts w:ascii="Arial" w:hAnsi="Arial" w:cs="Arial"/>
          <w:sz w:val="22"/>
          <w:szCs w:val="22"/>
          <w:lang w:val="en-GB"/>
        </w:rPr>
        <w:t>s</w:t>
      </w:r>
      <w:r w:rsidRPr="00E4265B">
        <w:rPr>
          <w:rFonts w:ascii="Arial" w:hAnsi="Arial" w:cs="Arial"/>
          <w:sz w:val="22"/>
          <w:szCs w:val="22"/>
          <w:lang w:val="en-GB"/>
        </w:rPr>
        <w:t xml:space="preserve"> (e.g. detailed plans for determining default and liquidating Collateral); and</w:t>
      </w:r>
    </w:p>
    <w:p w14:paraId="092C1C49"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the prompt resolution of disputes, such as valuation of Collateral or positions, acceptability of Collateral, fulfilment of legal obligations and the interpretation of contract terms.</w:t>
      </w:r>
    </w:p>
    <w:p w14:paraId="7C45D696"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6.</w:t>
      </w:r>
      <w:r w:rsidRPr="00E4265B">
        <w:rPr>
          <w:rFonts w:ascii="Arial" w:hAnsi="Arial" w:cs="Arial"/>
          <w:sz w:val="22"/>
          <w:szCs w:val="22"/>
          <w:lang w:val="en-GB"/>
        </w:rPr>
        <w:tab/>
        <w:t>The policies and procedures referred to under Guidance note 1.d. should be supported by Collateral management systems capable of tracking the location and status of posted Collateral (including re</w:t>
      </w:r>
      <w:r w:rsidRPr="00E4265B">
        <w:rPr>
          <w:rFonts w:ascii="Arial" w:hAnsi="Arial" w:cs="Arial"/>
          <w:sz w:val="22"/>
          <w:szCs w:val="22"/>
          <w:lang w:val="en-GB"/>
        </w:rPr>
        <w:noBreakHyphen/>
        <w:t>hypothecated Collateral), outstanding Collateral calls and settlement problems.</w:t>
      </w:r>
    </w:p>
    <w:p w14:paraId="1E462FEE"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lastRenderedPageBreak/>
        <w:t>7.</w:t>
      </w:r>
      <w:r w:rsidRPr="00E4265B">
        <w:rPr>
          <w:rFonts w:ascii="Arial" w:hAnsi="Arial" w:cs="Arial"/>
          <w:sz w:val="22"/>
          <w:szCs w:val="22"/>
          <w:lang w:val="en-GB"/>
        </w:rPr>
        <w:tab/>
        <w:t xml:space="preserve">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obtains credit protection that differs in maturity from the underlying credit Exposure,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monitor and control its roll</w:t>
      </w:r>
      <w:r w:rsidRPr="00E4265B">
        <w:rPr>
          <w:rFonts w:ascii="Arial" w:hAnsi="Arial" w:cs="Arial"/>
          <w:sz w:val="22"/>
          <w:szCs w:val="22"/>
          <w:lang w:val="en-GB"/>
        </w:rPr>
        <w:noBreakHyphen/>
        <w:t xml:space="preserve">off risks, i.e. the fact that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will be fully exposed when the protection expires, and the risk that it will be unable to purchase credit protection or ensure its capital adequacy when the credit protection expires.</w:t>
      </w:r>
    </w:p>
    <w:p w14:paraId="05A9859F" w14:textId="361EA047" w:rsidR="00E22FF2" w:rsidRPr="00E4265B" w:rsidRDefault="00E22FF2" w:rsidP="00612DAE">
      <w:pPr>
        <w:pStyle w:val="1List0"/>
        <w:rPr>
          <w:rFonts w:ascii="Arial" w:hAnsi="Arial" w:cs="Arial"/>
          <w:sz w:val="22"/>
          <w:szCs w:val="22"/>
          <w:lang w:val="en-GB"/>
        </w:rPr>
      </w:pPr>
      <w:r w:rsidRPr="00E4265B">
        <w:rPr>
          <w:rFonts w:ascii="Arial" w:hAnsi="Arial" w:cs="Arial"/>
          <w:sz w:val="22"/>
          <w:szCs w:val="22"/>
          <w:lang w:val="en-GB"/>
        </w:rPr>
        <w:t>8.</w:t>
      </w:r>
      <w:r w:rsidRPr="00E4265B">
        <w:rPr>
          <w:rFonts w:ascii="Arial" w:hAnsi="Arial" w:cs="Arial"/>
          <w:sz w:val="22"/>
          <w:szCs w:val="22"/>
          <w:lang w:val="en-GB"/>
        </w:rPr>
        <w:tab/>
        <w:t xml:space="preserve">Taking as Collateral large quantities of instruments issued by one obligor </w:t>
      </w:r>
      <w:r w:rsidR="00612DAE" w:rsidRPr="00E4265B">
        <w:rPr>
          <w:rFonts w:ascii="Arial" w:hAnsi="Arial" w:cs="Arial"/>
          <w:sz w:val="22"/>
          <w:szCs w:val="22"/>
          <w:lang w:val="en-GB"/>
        </w:rPr>
        <w:t xml:space="preserve">potentially </w:t>
      </w:r>
      <w:r w:rsidRPr="00E4265B">
        <w:rPr>
          <w:rFonts w:ascii="Arial" w:hAnsi="Arial" w:cs="Arial"/>
          <w:sz w:val="22"/>
          <w:szCs w:val="22"/>
          <w:lang w:val="en-GB"/>
        </w:rPr>
        <w:t xml:space="preserve">creates </w:t>
      </w:r>
      <w:r w:rsidR="00612DAE" w:rsidRPr="00E4265B">
        <w:rPr>
          <w:rFonts w:ascii="Arial" w:hAnsi="Arial" w:cs="Arial"/>
          <w:sz w:val="22"/>
          <w:szCs w:val="22"/>
          <w:lang w:val="en-GB"/>
        </w:rPr>
        <w:t>Large Exposures and other concentration risks, e.g. sectoral or geographic</w:t>
      </w:r>
      <w:r w:rsidRPr="00E4265B">
        <w:rPr>
          <w:rFonts w:ascii="Arial" w:hAnsi="Arial" w:cs="Arial"/>
          <w:sz w:val="22"/>
          <w:szCs w:val="22"/>
          <w:lang w:val="en-GB"/>
        </w:rPr>
        <w:t xml:space="preserv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a clearly defined policy with respect to the amount of </w:t>
      </w:r>
      <w:r w:rsidR="00612DAE" w:rsidRPr="00E4265B">
        <w:rPr>
          <w:rFonts w:ascii="Arial" w:hAnsi="Arial" w:cs="Arial"/>
          <w:sz w:val="22"/>
          <w:szCs w:val="22"/>
          <w:lang w:val="en-GB"/>
        </w:rPr>
        <w:t>those r</w:t>
      </w:r>
      <w:r w:rsidRPr="00E4265B">
        <w:rPr>
          <w:rFonts w:ascii="Arial" w:hAnsi="Arial" w:cs="Arial"/>
          <w:sz w:val="22"/>
          <w:szCs w:val="22"/>
          <w:lang w:val="en-GB"/>
        </w:rPr>
        <w:t>isk</w:t>
      </w:r>
      <w:r w:rsidR="00612DAE" w:rsidRPr="00E4265B">
        <w:rPr>
          <w:rFonts w:ascii="Arial" w:hAnsi="Arial" w:cs="Arial"/>
          <w:sz w:val="22"/>
          <w:szCs w:val="22"/>
          <w:lang w:val="en-GB"/>
        </w:rPr>
        <w:t>s</w:t>
      </w:r>
      <w:r w:rsidRPr="00E4265B">
        <w:rPr>
          <w:rFonts w:ascii="Arial" w:hAnsi="Arial" w:cs="Arial"/>
          <w:sz w:val="22"/>
          <w:szCs w:val="22"/>
          <w:lang w:val="en-GB"/>
        </w:rPr>
        <w:t xml:space="preserve"> it is prepared to run. Such a policy might, for example, include a cap on the amount of Collateral it would be prepared to take from a particular Issuer or market.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also take Collateral and purchased credit protection into account when assessing the potential concentrations in its overall credit profile.</w:t>
      </w:r>
    </w:p>
    <w:p w14:paraId="5377D52A"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9.</w:t>
      </w:r>
      <w:r w:rsidRPr="00E4265B">
        <w:rPr>
          <w:rFonts w:ascii="Arial" w:hAnsi="Arial" w:cs="Arial"/>
          <w:sz w:val="22"/>
          <w:szCs w:val="22"/>
          <w:lang w:val="en-GB"/>
        </w:rPr>
        <w:tab/>
        <w:t xml:space="preserve">Notwithstanding the presence of CRM considered for the purposes of calculating Credit RWA amounts,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continue to undertake a full Credit Risk assessment of the underlying Exposure.</w:t>
      </w:r>
    </w:p>
    <w:p w14:paraId="37399323" w14:textId="77777777" w:rsidR="00E22FF2" w:rsidRPr="00E4265B" w:rsidRDefault="00E22FF2" w:rsidP="00397BE3">
      <w:pPr>
        <w:pStyle w:val="Heading4"/>
        <w:tabs>
          <w:tab w:val="clear" w:pos="936"/>
          <w:tab w:val="left" w:pos="900"/>
        </w:tabs>
        <w:ind w:left="1710" w:hanging="171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be able to satisfy the Regulator that it has systems in place to manage potential concentration of risk arising from its use of guarantees and Credit Derivatives.</w:t>
      </w:r>
    </w:p>
    <w:p w14:paraId="36CE6841" w14:textId="77777777" w:rsidR="00E22FF2" w:rsidRPr="00E4265B" w:rsidRDefault="00E22FF2" w:rsidP="00397BE3">
      <w:pPr>
        <w:pStyle w:val="1List"/>
        <w:ind w:left="1710" w:hanging="81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be able to demonstrate how its strategy in respect of its use of CRM techniques, and in particular use of Credit Derivatives and guarantees interacts with its management of its overall risk profile.</w:t>
      </w:r>
    </w:p>
    <w:p w14:paraId="2782447B"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Collateral</w:t>
      </w:r>
    </w:p>
    <w:p w14:paraId="4B89E55F"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04313A51" w14:textId="67A1DE47" w:rsidR="00E22FF2" w:rsidRPr="00E4265B" w:rsidRDefault="00E22FF2" w:rsidP="00A23E1F">
      <w:pPr>
        <w:pStyle w:val="UK12Block05"/>
        <w:rPr>
          <w:rFonts w:ascii="Arial" w:hAnsi="Arial" w:cs="Arial"/>
          <w:sz w:val="22"/>
          <w:szCs w:val="22"/>
          <w:lang w:val="en-GB"/>
        </w:rPr>
      </w:pPr>
      <w:r w:rsidRPr="00E4265B">
        <w:rPr>
          <w:rFonts w:ascii="Arial" w:hAnsi="Arial" w:cs="Arial"/>
          <w:sz w:val="22"/>
          <w:szCs w:val="22"/>
          <w:lang w:val="en-GB"/>
        </w:rPr>
        <w:t xml:space="preserve">In order to recognise the effects of CRM of the types of Collateral set out in Rules 4.13.5 to 4.13.7,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t>
      </w:r>
      <w:r w:rsidR="00A23E1F" w:rsidRPr="00E4265B">
        <w:rPr>
          <w:rFonts w:ascii="Arial" w:hAnsi="Arial" w:cs="Arial"/>
          <w:sz w:val="22"/>
          <w:szCs w:val="22"/>
          <w:lang w:val="en-GB"/>
        </w:rPr>
        <w:t>must</w:t>
      </w:r>
      <w:r w:rsidRPr="00E4265B">
        <w:rPr>
          <w:rFonts w:ascii="Arial" w:hAnsi="Arial" w:cs="Arial"/>
          <w:sz w:val="22"/>
          <w:szCs w:val="22"/>
          <w:lang w:val="en-GB"/>
        </w:rPr>
        <w:t xml:space="preserve"> ensure that the relevant requirements in Rule 4.13.8 are complied with.</w:t>
      </w:r>
    </w:p>
    <w:p w14:paraId="6F96EFDE" w14:textId="77777777" w:rsidR="00E22FF2" w:rsidRPr="00E4265B" w:rsidRDefault="00E22FF2" w:rsidP="00397BE3">
      <w:pPr>
        <w:pStyle w:val="Heading4"/>
        <w:tabs>
          <w:tab w:val="clear" w:pos="936"/>
          <w:tab w:val="left" w:pos="900"/>
        </w:tabs>
        <w:ind w:left="1710" w:hanging="171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For an </w:t>
      </w:r>
      <w:r w:rsidR="000D1A90" w:rsidRPr="00E4265B">
        <w:rPr>
          <w:rFonts w:ascii="Arial" w:hAnsi="Arial" w:cs="Arial"/>
          <w:sz w:val="22"/>
          <w:szCs w:val="22"/>
        </w:rPr>
        <w:t>Authorised Person</w:t>
      </w:r>
      <w:r w:rsidRPr="00E4265B">
        <w:rPr>
          <w:rFonts w:ascii="Arial" w:hAnsi="Arial" w:cs="Arial"/>
          <w:sz w:val="22"/>
          <w:szCs w:val="22"/>
        </w:rPr>
        <w:t xml:space="preserve"> using the FCSA, eligible financial Collateral comp</w:t>
      </w:r>
      <w:r w:rsidR="006B304D" w:rsidRPr="00E4265B">
        <w:rPr>
          <w:rFonts w:ascii="Arial" w:hAnsi="Arial" w:cs="Arial"/>
          <w:sz w:val="22"/>
          <w:szCs w:val="22"/>
        </w:rPr>
        <w:t>rises</w:t>
      </w:r>
      <w:r w:rsidRPr="00E4265B">
        <w:rPr>
          <w:rFonts w:ascii="Arial" w:hAnsi="Arial" w:cs="Arial"/>
          <w:sz w:val="22"/>
          <w:szCs w:val="22"/>
        </w:rPr>
        <w:t>:</w:t>
      </w:r>
    </w:p>
    <w:p w14:paraId="0C7D0B91" w14:textId="77777777" w:rsidR="00E22FF2" w:rsidRPr="00E4265B" w:rsidRDefault="00E22FF2" w:rsidP="00397BE3">
      <w:pPr>
        <w:pStyle w:val="aList"/>
        <w:ind w:left="2430"/>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cash (as well as certificates of </w:t>
      </w:r>
      <w:r w:rsidR="006C764B" w:rsidRPr="00E4265B">
        <w:rPr>
          <w:rFonts w:ascii="Arial" w:hAnsi="Arial" w:cs="Arial"/>
          <w:sz w:val="22"/>
          <w:szCs w:val="22"/>
          <w:lang w:val="en-GB"/>
        </w:rPr>
        <w:t>Deposit</w:t>
      </w:r>
      <w:r w:rsidRPr="00E4265B">
        <w:rPr>
          <w:rFonts w:ascii="Arial" w:hAnsi="Arial" w:cs="Arial"/>
          <w:sz w:val="22"/>
          <w:szCs w:val="22"/>
          <w:lang w:val="en-GB"/>
        </w:rPr>
        <w:t xml:space="preserve"> or other similar instruments issued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on </w:t>
      </w:r>
      <w:r w:rsidR="006C764B" w:rsidRPr="00E4265B">
        <w:rPr>
          <w:rFonts w:ascii="Arial" w:hAnsi="Arial" w:cs="Arial"/>
          <w:sz w:val="22"/>
          <w:szCs w:val="22"/>
          <w:lang w:val="en-GB"/>
        </w:rPr>
        <w:t>Deposit</w:t>
      </w:r>
      <w:r w:rsidRPr="00E4265B">
        <w:rPr>
          <w:rFonts w:ascii="Arial" w:hAnsi="Arial" w:cs="Arial"/>
          <w:sz w:val="22"/>
          <w:szCs w:val="22"/>
          <w:lang w:val="en-GB"/>
        </w:rPr>
        <w:t xml:space="preserve"> with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34316D27" w14:textId="77777777" w:rsidR="00E22FF2" w:rsidRPr="00E4265B" w:rsidRDefault="00E22FF2" w:rsidP="00397BE3">
      <w:pPr>
        <w:pStyle w:val="aList"/>
        <w:ind w:left="2430"/>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gold;</w:t>
      </w:r>
    </w:p>
    <w:p w14:paraId="673542D6" w14:textId="77777777" w:rsidR="00E22FF2" w:rsidRPr="00E4265B" w:rsidRDefault="00E22FF2" w:rsidP="00397BE3">
      <w:pPr>
        <w:pStyle w:val="aList"/>
        <w:ind w:left="2430"/>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any debt security:</w:t>
      </w:r>
    </w:p>
    <w:p w14:paraId="01520B80" w14:textId="77777777" w:rsidR="00E22FF2" w:rsidRPr="00E4265B" w:rsidRDefault="00E22FF2" w:rsidP="00397BE3">
      <w:pPr>
        <w:pStyle w:val="iList"/>
        <w:ind w:left="3150"/>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with an Original Maturity of one year or less that has a short</w:t>
      </w:r>
      <w:r w:rsidRPr="00E4265B">
        <w:rPr>
          <w:rFonts w:ascii="Arial" w:hAnsi="Arial" w:cs="Arial"/>
          <w:sz w:val="22"/>
          <w:szCs w:val="22"/>
          <w:lang w:val="en-GB"/>
        </w:rPr>
        <w:noBreakHyphen/>
        <w:t>term Credit Quality Grade of 3 or better as set out in Section 4.12; or</w:t>
      </w:r>
    </w:p>
    <w:p w14:paraId="438FD55D" w14:textId="7E144B9B" w:rsidR="00E22FF2" w:rsidRPr="00E4265B" w:rsidRDefault="00E22FF2" w:rsidP="00397BE3">
      <w:pPr>
        <w:pStyle w:val="iList"/>
        <w:ind w:left="3150"/>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with an Original Maturity of more than one year that has a Credit Quality Grade of 4 or better as set out in Section 4.12 if it is issued by a central government or </w:t>
      </w:r>
      <w:r w:rsidR="00030214" w:rsidRPr="00E4265B">
        <w:rPr>
          <w:rFonts w:ascii="Arial" w:hAnsi="Arial" w:cs="Arial"/>
          <w:sz w:val="22"/>
          <w:szCs w:val="22"/>
          <w:lang w:val="en-GB"/>
        </w:rPr>
        <w:t>c</w:t>
      </w:r>
      <w:r w:rsidRPr="00E4265B">
        <w:rPr>
          <w:rFonts w:ascii="Arial" w:hAnsi="Arial" w:cs="Arial"/>
          <w:sz w:val="22"/>
          <w:szCs w:val="22"/>
          <w:lang w:val="en-GB"/>
        </w:rPr>
        <w:t xml:space="preserve">entral </w:t>
      </w:r>
      <w:r w:rsidR="00030214" w:rsidRPr="00E4265B">
        <w:rPr>
          <w:rFonts w:ascii="Arial" w:hAnsi="Arial" w:cs="Arial"/>
          <w:sz w:val="22"/>
          <w:szCs w:val="22"/>
          <w:lang w:val="en-GB"/>
        </w:rPr>
        <w:t>b</w:t>
      </w:r>
      <w:r w:rsidRPr="00E4265B">
        <w:rPr>
          <w:rFonts w:ascii="Arial" w:hAnsi="Arial" w:cs="Arial"/>
          <w:sz w:val="22"/>
          <w:szCs w:val="22"/>
          <w:lang w:val="en-GB"/>
        </w:rPr>
        <w:t xml:space="preserve">ank, or a </w:t>
      </w:r>
      <w:r w:rsidRPr="00E4265B">
        <w:rPr>
          <w:rFonts w:ascii="Arial" w:hAnsi="Arial" w:cs="Arial"/>
          <w:sz w:val="22"/>
          <w:szCs w:val="22"/>
          <w:lang w:val="en-GB"/>
        </w:rPr>
        <w:lastRenderedPageBreak/>
        <w:t>Credit Quality Grade of 3 or better as set out in Section 4.12 if it is issued by any other entity;</w:t>
      </w:r>
    </w:p>
    <w:p w14:paraId="7FF91C89" w14:textId="77777777" w:rsidR="00E22FF2" w:rsidRPr="00E4265B" w:rsidRDefault="00E22FF2" w:rsidP="00397BE3">
      <w:pPr>
        <w:pStyle w:val="aList"/>
        <w:ind w:left="2430"/>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any debt security issued by a bank that does not have an external credit assessment by a recognised ECAI if it fulfils the following criteria:</w:t>
      </w:r>
    </w:p>
    <w:p w14:paraId="12C8B194" w14:textId="77777777" w:rsidR="00E22FF2" w:rsidRPr="00E4265B" w:rsidRDefault="00E22FF2" w:rsidP="00397BE3">
      <w:pPr>
        <w:pStyle w:val="iList"/>
        <w:ind w:left="3150"/>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any debt security which is listed on a regulated exchange;</w:t>
      </w:r>
    </w:p>
    <w:p w14:paraId="38512D58" w14:textId="6DC62DD6" w:rsidR="00E22FF2" w:rsidRPr="00E4265B" w:rsidRDefault="00E22FF2" w:rsidP="00397BE3">
      <w:pPr>
        <w:pStyle w:val="iList"/>
        <w:ind w:left="3150"/>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the debt security is classified as senior debt, not subordinated to any other debt obligations of </w:t>
      </w:r>
      <w:r w:rsidR="00A23E1F" w:rsidRPr="00E4265B">
        <w:rPr>
          <w:rFonts w:ascii="Arial" w:hAnsi="Arial" w:cs="Arial"/>
          <w:sz w:val="22"/>
          <w:szCs w:val="22"/>
          <w:lang w:val="en-GB"/>
        </w:rPr>
        <w:t>its</w:t>
      </w:r>
      <w:r w:rsidRPr="00E4265B">
        <w:rPr>
          <w:rFonts w:ascii="Arial" w:hAnsi="Arial" w:cs="Arial"/>
          <w:sz w:val="22"/>
          <w:szCs w:val="22"/>
          <w:lang w:val="en-GB"/>
        </w:rPr>
        <w:t xml:space="preserve"> Issuer;</w:t>
      </w:r>
    </w:p>
    <w:p w14:paraId="1D4553C0" w14:textId="77777777" w:rsidR="00E22FF2" w:rsidRPr="00E4265B" w:rsidRDefault="00E22FF2" w:rsidP="00397BE3">
      <w:pPr>
        <w:pStyle w:val="iList"/>
        <w:ind w:left="3150"/>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all other rated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issued by the same Issuer which rank equally with the mentioned debt security have a long term or short term (as applicable) Credit Quality Grade by a recognised ECAI of "3" or better;</w:t>
      </w:r>
    </w:p>
    <w:p w14:paraId="07AAAADF" w14:textId="77777777" w:rsidR="00E22FF2" w:rsidRPr="00E4265B" w:rsidRDefault="00E22FF2" w:rsidP="00397BE3">
      <w:pPr>
        <w:pStyle w:val="iList"/>
        <w:ind w:left="3150"/>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not aware of information to suggest that the issue would justify a Credit Quality Grade of below "3" as indicated in (iii) above; and</w:t>
      </w:r>
    </w:p>
    <w:p w14:paraId="3969D061" w14:textId="77777777" w:rsidR="00E22FF2" w:rsidRPr="00E4265B" w:rsidRDefault="00E22FF2" w:rsidP="00397BE3">
      <w:pPr>
        <w:pStyle w:val="iList"/>
        <w:ind w:left="3150"/>
        <w:rPr>
          <w:rFonts w:ascii="Arial" w:hAnsi="Arial" w:cs="Arial"/>
          <w:sz w:val="22"/>
          <w:szCs w:val="22"/>
          <w:lang w:val="en-GB"/>
        </w:rPr>
      </w:pPr>
      <w:r w:rsidRPr="00E4265B">
        <w:rPr>
          <w:rFonts w:ascii="Arial" w:hAnsi="Arial" w:cs="Arial"/>
          <w:sz w:val="22"/>
          <w:szCs w:val="22"/>
          <w:lang w:val="en-GB"/>
        </w:rPr>
        <w:t>(v)</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can demonstrate to the Regulator that the market liquidity of the debt security is sufficient to enable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dispose the debt security at market price</w:t>
      </w:r>
      <w:r w:rsidR="003A1122" w:rsidRPr="00E4265B">
        <w:rPr>
          <w:rFonts w:ascii="Arial" w:hAnsi="Arial" w:cs="Arial"/>
          <w:sz w:val="22"/>
          <w:szCs w:val="22"/>
          <w:lang w:val="en-GB"/>
        </w:rPr>
        <w:t>;</w:t>
      </w:r>
    </w:p>
    <w:p w14:paraId="2B6BE8E3" w14:textId="77777777" w:rsidR="00E22FF2" w:rsidRPr="00E4265B" w:rsidRDefault="00E22FF2" w:rsidP="00397BE3">
      <w:pPr>
        <w:pStyle w:val="aList"/>
        <w:ind w:left="2430"/>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any equity security (including convertible bonds) that is included in a main index; or</w:t>
      </w:r>
    </w:p>
    <w:p w14:paraId="65D22986" w14:textId="77777777" w:rsidR="00E22FF2" w:rsidRPr="00E4265B" w:rsidRDefault="00E22FF2" w:rsidP="00397BE3">
      <w:pPr>
        <w:pStyle w:val="aList"/>
        <w:ind w:left="2430"/>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any Unit in a Collective Investment Fund where:</w:t>
      </w:r>
    </w:p>
    <w:p w14:paraId="4A8FEA72" w14:textId="77777777" w:rsidR="00E22FF2" w:rsidRPr="00E4265B" w:rsidRDefault="00E22FF2" w:rsidP="00397BE3">
      <w:pPr>
        <w:pStyle w:val="iList"/>
        <w:ind w:left="3150"/>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a price for the units is publicly quoted daily; and</w:t>
      </w:r>
    </w:p>
    <w:p w14:paraId="0E21FF6B" w14:textId="77777777" w:rsidR="00E22FF2" w:rsidRPr="00E4265B" w:rsidRDefault="00E22FF2" w:rsidP="00397BE3">
      <w:pPr>
        <w:pStyle w:val="iList"/>
        <w:ind w:left="3150"/>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at least 90% of the deposited property of the Fund is invested in instruments listed in this Rule.</w:t>
      </w:r>
    </w:p>
    <w:p w14:paraId="495063D8"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Cash</w:t>
      </w:r>
      <w:r w:rsidRPr="00E4265B">
        <w:rPr>
          <w:rFonts w:ascii="Arial" w:hAnsi="Arial" w:cs="Arial"/>
          <w:sz w:val="22"/>
          <w:szCs w:val="22"/>
          <w:lang w:val="en-GB"/>
        </w:rPr>
        <w:noBreakHyphen/>
        <w:t xml:space="preserve">funded CLNs issued by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against Exposures in the Non</w:t>
      </w:r>
      <w:r w:rsidRPr="00E4265B">
        <w:rPr>
          <w:rFonts w:ascii="Arial" w:hAnsi="Arial" w:cs="Arial"/>
          <w:sz w:val="22"/>
          <w:szCs w:val="22"/>
          <w:lang w:val="en-GB"/>
        </w:rPr>
        <w:noBreakHyphen/>
        <w:t>Trading Book which fulfil the criteria for eligible Credit Derivatives must be treated as cash collateralised transactions.</w:t>
      </w:r>
    </w:p>
    <w:p w14:paraId="2C13233F"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Cash, mentioned in (1)(a), includes cash on </w:t>
      </w:r>
      <w:r w:rsidR="006C764B" w:rsidRPr="00E4265B">
        <w:rPr>
          <w:rFonts w:ascii="Arial" w:hAnsi="Arial" w:cs="Arial"/>
          <w:sz w:val="22"/>
          <w:szCs w:val="22"/>
          <w:lang w:val="en-GB"/>
        </w:rPr>
        <w:t>Deposit</w:t>
      </w:r>
      <w:r w:rsidRPr="00E4265B">
        <w:rPr>
          <w:rFonts w:ascii="Arial" w:hAnsi="Arial" w:cs="Arial"/>
          <w:sz w:val="22"/>
          <w:szCs w:val="22"/>
          <w:lang w:val="en-GB"/>
        </w:rPr>
        <w:t xml:space="preserve">, certificates of </w:t>
      </w:r>
      <w:r w:rsidR="006C764B" w:rsidRPr="00E4265B">
        <w:rPr>
          <w:rFonts w:ascii="Arial" w:hAnsi="Arial" w:cs="Arial"/>
          <w:sz w:val="22"/>
          <w:szCs w:val="22"/>
          <w:lang w:val="en-GB"/>
        </w:rPr>
        <w:t>Deposit</w:t>
      </w:r>
      <w:r w:rsidRPr="00E4265B">
        <w:rPr>
          <w:rFonts w:ascii="Arial" w:hAnsi="Arial" w:cs="Arial"/>
          <w:sz w:val="22"/>
          <w:szCs w:val="22"/>
          <w:lang w:val="en-GB"/>
        </w:rPr>
        <w:t xml:space="preserve"> or other similar instruments issued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that are held as Collateral at a third</w:t>
      </w:r>
      <w:r w:rsidRPr="00E4265B">
        <w:rPr>
          <w:rFonts w:ascii="Arial" w:hAnsi="Arial" w:cs="Arial"/>
          <w:sz w:val="22"/>
          <w:szCs w:val="22"/>
          <w:lang w:val="en-GB"/>
        </w:rPr>
        <w:noBreakHyphen/>
        <w:t>party bank in a non</w:t>
      </w:r>
      <w:r w:rsidRPr="00E4265B">
        <w:rPr>
          <w:rFonts w:ascii="Arial" w:hAnsi="Arial" w:cs="Arial"/>
          <w:sz w:val="22"/>
          <w:szCs w:val="22"/>
          <w:lang w:val="en-GB"/>
        </w:rPr>
        <w:noBreakHyphen/>
        <w:t xml:space="preserve">custodial arrangement and that are pledged or assigned to the </w:t>
      </w:r>
      <w:r w:rsidR="000D1A90" w:rsidRPr="00E4265B">
        <w:rPr>
          <w:rFonts w:ascii="Arial" w:hAnsi="Arial" w:cs="Arial"/>
          <w:sz w:val="22"/>
          <w:szCs w:val="22"/>
          <w:lang w:val="en-GB"/>
        </w:rPr>
        <w:t>Authorised Person</w:t>
      </w:r>
      <w:r w:rsidRPr="00E4265B">
        <w:rPr>
          <w:rFonts w:ascii="Arial" w:hAnsi="Arial" w:cs="Arial"/>
          <w:sz w:val="22"/>
          <w:szCs w:val="22"/>
          <w:lang w:val="en-GB"/>
        </w:rPr>
        <w:t>. This is subject to the pledge or assignment being unconditional and irrevocable. Under the FCSA, the risk weight to be applied to the Exposure covered by such Collateral must be the risk weight of the third</w:t>
      </w:r>
      <w:r w:rsidRPr="00E4265B">
        <w:rPr>
          <w:rFonts w:ascii="Arial" w:hAnsi="Arial" w:cs="Arial"/>
          <w:sz w:val="22"/>
          <w:szCs w:val="22"/>
          <w:lang w:val="en-GB"/>
        </w:rPr>
        <w:noBreakHyphen/>
        <w:t>party bank.</w:t>
      </w:r>
    </w:p>
    <w:p w14:paraId="753BF031"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177A6C82"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For the purposes of Rule 4.13.5 and 4.13.6, eligible financial Collateral excludes any T1 Capital instrument or T2 Capital instrument issued by any entity in the Financial Group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which is held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any of its Financial Group entities as Collateral.</w:t>
      </w:r>
    </w:p>
    <w:p w14:paraId="4EA16F7F" w14:textId="77777777" w:rsidR="00E22FF2" w:rsidRPr="00E4265B" w:rsidRDefault="00E22FF2" w:rsidP="006A2A2D">
      <w:pPr>
        <w:pStyle w:val="1List0"/>
        <w:rPr>
          <w:rFonts w:ascii="Arial" w:hAnsi="Arial" w:cs="Arial"/>
          <w:sz w:val="22"/>
          <w:szCs w:val="22"/>
          <w:lang w:val="en-GB"/>
        </w:rPr>
      </w:pPr>
      <w:r w:rsidRPr="00E4265B">
        <w:rPr>
          <w:rFonts w:ascii="Arial" w:hAnsi="Arial" w:cs="Arial"/>
          <w:sz w:val="22"/>
          <w:szCs w:val="22"/>
          <w:lang w:val="en-GB"/>
        </w:rPr>
        <w:lastRenderedPageBreak/>
        <w:t>2.</w:t>
      </w:r>
      <w:r w:rsidRPr="00E4265B">
        <w:rPr>
          <w:rFonts w:ascii="Arial" w:hAnsi="Arial" w:cs="Arial"/>
          <w:sz w:val="22"/>
          <w:szCs w:val="22"/>
          <w:lang w:val="en-GB"/>
        </w:rPr>
        <w:tab/>
        <w:t xml:space="preserve">For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using Units of a Fund under the FCSA approach, the use or potential use by that Fund of Derivative instruments solely to hedge </w:t>
      </w:r>
      <w:r w:rsidR="00834CCE" w:rsidRPr="00E4265B">
        <w:rPr>
          <w:rFonts w:ascii="Arial" w:hAnsi="Arial" w:cs="Arial"/>
          <w:sz w:val="22"/>
          <w:szCs w:val="22"/>
          <w:lang w:val="en-GB"/>
        </w:rPr>
        <w:t>Investment</w:t>
      </w:r>
      <w:r w:rsidRPr="00E4265B">
        <w:rPr>
          <w:rFonts w:ascii="Arial" w:hAnsi="Arial" w:cs="Arial"/>
          <w:sz w:val="22"/>
          <w:szCs w:val="22"/>
          <w:lang w:val="en-GB"/>
        </w:rPr>
        <w:t>s listed in Rule 4.13.5 should not preclude the Units in that Fund from being recognised as eligible financial Collateral.</w:t>
      </w:r>
    </w:p>
    <w:p w14:paraId="223F44CA"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For an </w:t>
      </w:r>
      <w:r w:rsidR="000D1A90" w:rsidRPr="00E4265B">
        <w:rPr>
          <w:rFonts w:ascii="Arial" w:hAnsi="Arial" w:cs="Arial"/>
          <w:sz w:val="22"/>
          <w:szCs w:val="22"/>
        </w:rPr>
        <w:t>Authorised Person</w:t>
      </w:r>
      <w:r w:rsidRPr="00E4265B">
        <w:rPr>
          <w:rFonts w:ascii="Arial" w:hAnsi="Arial" w:cs="Arial"/>
          <w:sz w:val="22"/>
          <w:szCs w:val="22"/>
        </w:rPr>
        <w:t xml:space="preserve"> using the FCCA, eligible financial Collateral comprises:</w:t>
      </w:r>
    </w:p>
    <w:p w14:paraId="703EB13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any instrument listed in Rule 4.13.5;</w:t>
      </w:r>
    </w:p>
    <w:p w14:paraId="3020FE1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any equity </w:t>
      </w:r>
      <w:r w:rsidR="00877CEA" w:rsidRPr="00E4265B">
        <w:rPr>
          <w:rFonts w:ascii="Arial" w:hAnsi="Arial" w:cs="Arial"/>
          <w:sz w:val="22"/>
          <w:szCs w:val="22"/>
        </w:rPr>
        <w:t>Security</w:t>
      </w:r>
      <w:r w:rsidRPr="00E4265B">
        <w:rPr>
          <w:rFonts w:ascii="Arial" w:hAnsi="Arial" w:cs="Arial"/>
          <w:sz w:val="22"/>
          <w:szCs w:val="22"/>
        </w:rPr>
        <w:t xml:space="preserve"> (including a convertible bond) that is traded on a regulated exchange;</w:t>
      </w:r>
      <w:r w:rsidR="00AD3FE0" w:rsidRPr="00E4265B">
        <w:rPr>
          <w:rFonts w:ascii="Arial" w:hAnsi="Arial" w:cs="Arial"/>
          <w:sz w:val="22"/>
          <w:szCs w:val="22"/>
        </w:rPr>
        <w:t xml:space="preserve"> and</w:t>
      </w:r>
    </w:p>
    <w:p w14:paraId="7CC0AF4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any Unit in a Collective Investment Fund which invests in equity </w:t>
      </w:r>
      <w:r w:rsidR="00877CEA" w:rsidRPr="00E4265B">
        <w:rPr>
          <w:rFonts w:ascii="Arial" w:hAnsi="Arial" w:cs="Arial"/>
          <w:sz w:val="22"/>
          <w:szCs w:val="22"/>
        </w:rPr>
        <w:t>Securities</w:t>
      </w:r>
      <w:r w:rsidRPr="00E4265B">
        <w:rPr>
          <w:rFonts w:ascii="Arial" w:hAnsi="Arial" w:cs="Arial"/>
          <w:sz w:val="22"/>
          <w:szCs w:val="22"/>
        </w:rPr>
        <w:t xml:space="preserve"> referred to in (b), where:</w:t>
      </w:r>
    </w:p>
    <w:p w14:paraId="0710A7A9"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a price for the Units is publicly quoted daily; and</w:t>
      </w:r>
    </w:p>
    <w:p w14:paraId="24FCBDDC"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at least 90% of the deposited property of the Fund is invested in instruments listed in this Rule and Rule 4.13.5.</w:t>
      </w:r>
    </w:p>
    <w:p w14:paraId="0F0C74F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In the case of any Counterparty Risk Exposures in Rules 4.13.5 and 4.13.6 arising from an SFT which are included in the Trading Book, eligible financial Collateral includes all instruments which an </w:t>
      </w:r>
      <w:r w:rsidR="000D1A90" w:rsidRPr="00E4265B">
        <w:rPr>
          <w:rFonts w:ascii="Arial" w:hAnsi="Arial" w:cs="Arial"/>
          <w:sz w:val="22"/>
          <w:szCs w:val="22"/>
        </w:rPr>
        <w:t>Authorised Person</w:t>
      </w:r>
      <w:r w:rsidRPr="00E4265B">
        <w:rPr>
          <w:rFonts w:ascii="Arial" w:hAnsi="Arial" w:cs="Arial"/>
          <w:sz w:val="22"/>
          <w:szCs w:val="22"/>
        </w:rPr>
        <w:t xml:space="preserve"> may include in its Trading Book.</w:t>
      </w:r>
    </w:p>
    <w:p w14:paraId="6BF10678"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18920D67" w14:textId="77777777" w:rsidR="00E22FF2" w:rsidRPr="00E4265B" w:rsidRDefault="00E22FF2" w:rsidP="00B61E82">
      <w:pPr>
        <w:pStyle w:val="UK12Block05"/>
        <w:rPr>
          <w:rFonts w:ascii="Arial" w:hAnsi="Arial" w:cs="Arial"/>
          <w:sz w:val="22"/>
          <w:szCs w:val="22"/>
          <w:lang w:val="en-GB"/>
        </w:rPr>
      </w:pPr>
      <w:r w:rsidRPr="00E4265B">
        <w:rPr>
          <w:rFonts w:ascii="Arial" w:hAnsi="Arial" w:cs="Arial"/>
          <w:sz w:val="22"/>
          <w:szCs w:val="22"/>
          <w:lang w:val="en-GB"/>
        </w:rPr>
        <w:t xml:space="preserve">For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using Units of a Fund under the FCSA approach, the use or potential use by that Fund of Derivative instruments solely to hedge </w:t>
      </w:r>
      <w:r w:rsidR="00834CCE" w:rsidRPr="00E4265B">
        <w:rPr>
          <w:rFonts w:ascii="Arial" w:hAnsi="Arial" w:cs="Arial"/>
          <w:sz w:val="22"/>
          <w:szCs w:val="22"/>
          <w:lang w:val="en-GB"/>
        </w:rPr>
        <w:t>Investment</w:t>
      </w:r>
      <w:r w:rsidRPr="00E4265B">
        <w:rPr>
          <w:rFonts w:ascii="Arial" w:hAnsi="Arial" w:cs="Arial"/>
          <w:sz w:val="22"/>
          <w:szCs w:val="22"/>
          <w:lang w:val="en-GB"/>
        </w:rPr>
        <w:t>s listed in Rule 4.13.5 should not preclude the Units in that Fund from being recognised as eligible financial Collateral.</w:t>
      </w:r>
    </w:p>
    <w:p w14:paraId="3618D9CC"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Requirements for Recognition of Collateral</w:t>
      </w:r>
    </w:p>
    <w:p w14:paraId="7268357B"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ensure that the following requirements are complied with before it recognises the effects of CRM of any Collateral:</w:t>
      </w:r>
    </w:p>
    <w:p w14:paraId="22D8AFB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legal mechanism by which Collateral is pledged, assigned or transferred must confer on the </w:t>
      </w:r>
      <w:r w:rsidR="000D1A90" w:rsidRPr="00E4265B">
        <w:rPr>
          <w:rFonts w:ascii="Arial" w:hAnsi="Arial" w:cs="Arial"/>
          <w:sz w:val="22"/>
          <w:szCs w:val="22"/>
        </w:rPr>
        <w:t>Authorised Person</w:t>
      </w:r>
      <w:r w:rsidRPr="00E4265B">
        <w:rPr>
          <w:rFonts w:ascii="Arial" w:hAnsi="Arial" w:cs="Arial"/>
          <w:sz w:val="22"/>
          <w:szCs w:val="22"/>
        </w:rPr>
        <w:t xml:space="preserve"> the right to liquidate or take legal possession of the Collateral, in a timely manner, in the event of the default, insolvency or bankruptcy (or one or more otherwise</w:t>
      </w:r>
      <w:r w:rsidRPr="00E4265B">
        <w:rPr>
          <w:rFonts w:ascii="Arial" w:hAnsi="Arial" w:cs="Arial"/>
          <w:sz w:val="22"/>
          <w:szCs w:val="22"/>
        </w:rPr>
        <w:noBreakHyphen/>
        <w:t>defined credit events set out in the transaction documentation) of the Counterparty (and, where applicable, of the custodian holding the Collateral);</w:t>
      </w:r>
    </w:p>
    <w:p w14:paraId="6DDAA97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has taken all steps necessary to fulfil those requirements under the law applicable to the </w:t>
      </w:r>
      <w:r w:rsidR="000D1A90" w:rsidRPr="00E4265B">
        <w:rPr>
          <w:rFonts w:ascii="Arial" w:hAnsi="Arial" w:cs="Arial"/>
          <w:sz w:val="22"/>
          <w:szCs w:val="22"/>
        </w:rPr>
        <w:t>Authorised Person</w:t>
      </w:r>
      <w:r w:rsidRPr="00E4265B">
        <w:rPr>
          <w:rFonts w:ascii="Arial" w:hAnsi="Arial" w:cs="Arial"/>
          <w:sz w:val="22"/>
          <w:szCs w:val="22"/>
        </w:rPr>
        <w:t>'s interest in the Collateral for obtaining and maintaining an enforceable security interest by registering it with a registrar or for exercising a right to net or set off in relation to title transfer Collateral;</w:t>
      </w:r>
    </w:p>
    <w:p w14:paraId="78A4493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credit quality of the Counterparty and the value of the Collateral do not have a material positive correlation;</w:t>
      </w:r>
    </w:p>
    <w:p w14:paraId="5198CC85" w14:textId="77777777" w:rsidR="00E22FF2" w:rsidRPr="00E4265B" w:rsidRDefault="00877CEA" w:rsidP="008432F8">
      <w:pPr>
        <w:pStyle w:val="Heading5"/>
        <w:rPr>
          <w:rFonts w:ascii="Arial" w:hAnsi="Arial" w:cs="Arial"/>
          <w:sz w:val="22"/>
          <w:szCs w:val="22"/>
        </w:rPr>
      </w:pPr>
      <w:r w:rsidRPr="00E4265B">
        <w:rPr>
          <w:rFonts w:ascii="Arial" w:hAnsi="Arial" w:cs="Arial"/>
          <w:sz w:val="22"/>
          <w:szCs w:val="22"/>
        </w:rPr>
        <w:t>Securities</w:t>
      </w:r>
      <w:r w:rsidR="00E22FF2" w:rsidRPr="00E4265B">
        <w:rPr>
          <w:rFonts w:ascii="Arial" w:hAnsi="Arial" w:cs="Arial"/>
          <w:sz w:val="22"/>
          <w:szCs w:val="22"/>
        </w:rPr>
        <w:t xml:space="preserve"> issued by the Counterparty or any Closely Related Counterparty are not eligible;</w:t>
      </w:r>
    </w:p>
    <w:p w14:paraId="6DEADD8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lastRenderedPageBreak/>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has implemented procedures for the timely liquidation of Collateral to ensure that any legal conditions required for declaring default of Counterparty and liquidating the Collateral are observed, and that the Collateral can be liquidated promptly; and</w:t>
      </w:r>
    </w:p>
    <w:p w14:paraId="6642AF9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where the Collateral is held by a custodian, the </w:t>
      </w:r>
      <w:r w:rsidR="000D1A90" w:rsidRPr="00E4265B">
        <w:rPr>
          <w:rFonts w:ascii="Arial" w:hAnsi="Arial" w:cs="Arial"/>
          <w:sz w:val="22"/>
          <w:szCs w:val="22"/>
        </w:rPr>
        <w:t>Authorised Person</w:t>
      </w:r>
      <w:r w:rsidRPr="00E4265B">
        <w:rPr>
          <w:rFonts w:ascii="Arial" w:hAnsi="Arial" w:cs="Arial"/>
          <w:sz w:val="22"/>
          <w:szCs w:val="22"/>
        </w:rPr>
        <w:t xml:space="preserve"> has taken reasonable steps to ensure that the custodian segregates the Collateral from its own assets.</w:t>
      </w:r>
    </w:p>
    <w:p w14:paraId="2756D20E" w14:textId="77777777" w:rsidR="00E22FF2" w:rsidRPr="00E4265B" w:rsidRDefault="00E22FF2" w:rsidP="0008739E">
      <w:pPr>
        <w:pStyle w:val="TitleL5"/>
        <w:rPr>
          <w:rFonts w:ascii="Arial" w:hAnsi="Arial" w:cs="Arial"/>
          <w:sz w:val="22"/>
          <w:szCs w:val="22"/>
          <w:lang w:val="en-GB"/>
        </w:rPr>
      </w:pPr>
      <w:r w:rsidRPr="00E4265B">
        <w:rPr>
          <w:rFonts w:ascii="Arial" w:hAnsi="Arial" w:cs="Arial"/>
          <w:sz w:val="22"/>
          <w:szCs w:val="22"/>
          <w:lang w:val="en-GB"/>
        </w:rPr>
        <w:t>Guarantees</w:t>
      </w:r>
    </w:p>
    <w:p w14:paraId="48C51E47" w14:textId="77777777" w:rsidR="00E22FF2" w:rsidRPr="00E4265B" w:rsidRDefault="00E22FF2" w:rsidP="00F2388B">
      <w:pPr>
        <w:pStyle w:val="Heading4"/>
        <w:tabs>
          <w:tab w:val="clear" w:pos="936"/>
          <w:tab w:val="num" w:pos="900"/>
        </w:tabs>
        <w:ind w:left="1800" w:hanging="180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may recognise the effects of CRM of a guarantee only if it is provided by any of the following entities:</w:t>
      </w:r>
    </w:p>
    <w:p w14:paraId="4D2776AA" w14:textId="55BD1209" w:rsidR="00E22FF2" w:rsidRPr="00E4265B" w:rsidRDefault="00E22FF2" w:rsidP="00030214">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central government or </w:t>
      </w:r>
      <w:r w:rsidR="00030214" w:rsidRPr="00E4265B">
        <w:rPr>
          <w:rFonts w:ascii="Arial" w:hAnsi="Arial" w:cs="Arial"/>
          <w:sz w:val="22"/>
          <w:szCs w:val="22"/>
          <w:lang w:val="en-GB"/>
        </w:rPr>
        <w:t>c</w:t>
      </w:r>
      <w:r w:rsidRPr="00E4265B">
        <w:rPr>
          <w:rFonts w:ascii="Arial" w:hAnsi="Arial" w:cs="Arial"/>
          <w:sz w:val="22"/>
          <w:szCs w:val="22"/>
          <w:lang w:val="en-GB"/>
        </w:rPr>
        <w:t xml:space="preserve">entral </w:t>
      </w:r>
      <w:r w:rsidR="00030214" w:rsidRPr="00E4265B">
        <w:rPr>
          <w:rFonts w:ascii="Arial" w:hAnsi="Arial" w:cs="Arial"/>
          <w:sz w:val="22"/>
          <w:szCs w:val="22"/>
          <w:lang w:val="en-GB"/>
        </w:rPr>
        <w:t>b</w:t>
      </w:r>
      <w:r w:rsidRPr="00E4265B">
        <w:rPr>
          <w:rFonts w:ascii="Arial" w:hAnsi="Arial" w:cs="Arial"/>
          <w:sz w:val="22"/>
          <w:szCs w:val="22"/>
          <w:lang w:val="en-GB"/>
        </w:rPr>
        <w:t>ank</w:t>
      </w:r>
      <w:r w:rsidR="00AD3FE0" w:rsidRPr="00E4265B">
        <w:rPr>
          <w:rFonts w:ascii="Arial" w:hAnsi="Arial" w:cs="Arial"/>
          <w:sz w:val="22"/>
          <w:szCs w:val="22"/>
          <w:lang w:val="en-GB"/>
        </w:rPr>
        <w:t>;</w:t>
      </w:r>
    </w:p>
    <w:p w14:paraId="7E002EAC"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MDB referred to in Rule 4.12.8</w:t>
      </w:r>
      <w:r w:rsidR="00AD3FE0" w:rsidRPr="00E4265B">
        <w:rPr>
          <w:rFonts w:ascii="Arial" w:hAnsi="Arial" w:cs="Arial"/>
          <w:sz w:val="22"/>
          <w:szCs w:val="22"/>
          <w:lang w:val="en-GB"/>
        </w:rPr>
        <w:t>;</w:t>
      </w:r>
    </w:p>
    <w:p w14:paraId="680B714C"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International Organisations referred to in Rule 4.12.9;</w:t>
      </w:r>
    </w:p>
    <w:p w14:paraId="1A065158"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PSE;</w:t>
      </w:r>
    </w:p>
    <w:p w14:paraId="7F6B638C"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banks and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firms which qualify for inclusion in bank asset class; or</w:t>
      </w:r>
    </w:p>
    <w:p w14:paraId="55D6F61B" w14:textId="06A67391" w:rsidR="00E22FF2" w:rsidRPr="00E4265B" w:rsidRDefault="00E22FF2" w:rsidP="00612DAE">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 xml:space="preserve">any other entity that has </w:t>
      </w:r>
      <w:r w:rsidR="00612DAE" w:rsidRPr="00E4265B">
        <w:rPr>
          <w:rFonts w:ascii="Arial" w:hAnsi="Arial" w:cs="Arial"/>
          <w:sz w:val="22"/>
          <w:szCs w:val="22"/>
          <w:lang w:val="en-GB"/>
        </w:rPr>
        <w:t>an external credit assessment from a recognised credit rating agency that maps to a Credit Quality Grade 3</w:t>
      </w:r>
      <w:r w:rsidRPr="00E4265B">
        <w:rPr>
          <w:rFonts w:ascii="Arial" w:hAnsi="Arial" w:cs="Arial"/>
          <w:sz w:val="22"/>
          <w:szCs w:val="22"/>
          <w:lang w:val="en-GB"/>
        </w:rPr>
        <w:t xml:space="preserve"> or </w:t>
      </w:r>
      <w:r w:rsidR="00612DAE" w:rsidRPr="00E4265B">
        <w:rPr>
          <w:rFonts w:ascii="Arial" w:hAnsi="Arial" w:cs="Arial"/>
          <w:sz w:val="22"/>
          <w:szCs w:val="22"/>
          <w:lang w:val="en-GB"/>
        </w:rPr>
        <w:t>better</w:t>
      </w:r>
      <w:r w:rsidRPr="00E4265B">
        <w:rPr>
          <w:rFonts w:ascii="Arial" w:hAnsi="Arial" w:cs="Arial"/>
          <w:sz w:val="22"/>
          <w:szCs w:val="22"/>
          <w:lang w:val="en-GB"/>
        </w:rPr>
        <w:t>.</w:t>
      </w:r>
    </w:p>
    <w:p w14:paraId="32AC5A94" w14:textId="77777777" w:rsidR="00E22FF2" w:rsidRPr="00E4265B" w:rsidRDefault="00E22FF2" w:rsidP="00036C5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not recognise the effects of CRM of a guarantee unless all of the following requirements are complied with:</w:t>
      </w:r>
    </w:p>
    <w:p w14:paraId="191BA168"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guarantee is an explicitly documented obligation assumed by the guarantor;</w:t>
      </w:r>
    </w:p>
    <w:p w14:paraId="540BCAC0"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guarantee represents a direct claim on the guarantor;</w:t>
      </w:r>
    </w:p>
    <w:p w14:paraId="636E1BE3"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extent of the credit protection cover is clearly defined and incontrovertible;</w:t>
      </w:r>
    </w:p>
    <w:p w14:paraId="1230C223"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other than in the event of non</w:t>
      </w:r>
      <w:r w:rsidRPr="00E4265B">
        <w:rPr>
          <w:rFonts w:ascii="Arial" w:hAnsi="Arial" w:cs="Arial"/>
          <w:sz w:val="22"/>
          <w:szCs w:val="22"/>
          <w:lang w:val="en-GB"/>
        </w:rPr>
        <w:noBreakHyphen/>
        <w:t xml:space="preserve">payment by the </w:t>
      </w:r>
      <w:r w:rsidR="000D1A90" w:rsidRPr="00E4265B">
        <w:rPr>
          <w:rFonts w:ascii="Arial" w:hAnsi="Arial" w:cs="Arial"/>
          <w:sz w:val="22"/>
          <w:szCs w:val="22"/>
          <w:lang w:val="en-GB"/>
        </w:rPr>
        <w:t>Authorised Person</w:t>
      </w:r>
      <w:r w:rsidR="005D344E" w:rsidRPr="00E4265B">
        <w:rPr>
          <w:rFonts w:ascii="Arial" w:hAnsi="Arial" w:cs="Arial"/>
          <w:sz w:val="22"/>
          <w:szCs w:val="22"/>
          <w:lang w:val="en-GB"/>
        </w:rPr>
        <w:t xml:space="preserve"> of M</w:t>
      </w:r>
      <w:r w:rsidRPr="00E4265B">
        <w:rPr>
          <w:rFonts w:ascii="Arial" w:hAnsi="Arial" w:cs="Arial"/>
          <w:sz w:val="22"/>
          <w:szCs w:val="22"/>
          <w:lang w:val="en-GB"/>
        </w:rPr>
        <w:t>oney due in respect of the guarantee if applicable, there is an irrevocable obligation on the part of the guarantor to pay out a pre</w:t>
      </w:r>
      <w:r w:rsidRPr="00E4265B">
        <w:rPr>
          <w:rFonts w:ascii="Arial" w:hAnsi="Arial" w:cs="Arial"/>
          <w:sz w:val="22"/>
          <w:szCs w:val="22"/>
          <w:lang w:val="en-GB"/>
        </w:rPr>
        <w:noBreakHyphen/>
        <w:t>determined amount upon the occurrence of a credit event, as defined under the guarantee;</w:t>
      </w:r>
    </w:p>
    <w:p w14:paraId="7394770D"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the guarantee does not contain any clause, the fulfilment of which is outside the direct control of the </w:t>
      </w:r>
      <w:r w:rsidR="000D1A90" w:rsidRPr="00E4265B">
        <w:rPr>
          <w:rFonts w:ascii="Arial" w:hAnsi="Arial" w:cs="Arial"/>
          <w:sz w:val="22"/>
          <w:szCs w:val="22"/>
          <w:lang w:val="en-GB"/>
        </w:rPr>
        <w:t>Authorised Person</w:t>
      </w:r>
      <w:r w:rsidRPr="00E4265B">
        <w:rPr>
          <w:rFonts w:ascii="Arial" w:hAnsi="Arial" w:cs="Arial"/>
          <w:sz w:val="22"/>
          <w:szCs w:val="22"/>
          <w:lang w:val="en-GB"/>
        </w:rPr>
        <w:t>, that:</w:t>
      </w:r>
    </w:p>
    <w:p w14:paraId="21A832B9"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would allow the guarantor to cancel the guarantee unilaterally;</w:t>
      </w:r>
    </w:p>
    <w:p w14:paraId="4CAEA691"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would increase the effective cost of the guarantee as a result of deteriorating credit quality of the underlying Exposure;</w:t>
      </w:r>
    </w:p>
    <w:p w14:paraId="6338EDD4"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lastRenderedPageBreak/>
        <w:t>(iii)</w:t>
      </w:r>
      <w:r w:rsidRPr="00E4265B">
        <w:rPr>
          <w:rFonts w:ascii="Arial" w:hAnsi="Arial" w:cs="Arial"/>
          <w:sz w:val="22"/>
          <w:szCs w:val="22"/>
          <w:lang w:val="en-GB"/>
        </w:rPr>
        <w:tab/>
        <w:t>could prevent the guarantor from being obliged to pay out in a timely manner in the event that the underlying obligor fails to make any payment due; or</w:t>
      </w:r>
    </w:p>
    <w:p w14:paraId="1A08C019" w14:textId="77777777" w:rsidR="00E22FF2" w:rsidRPr="00E4265B" w:rsidRDefault="00E22FF2" w:rsidP="00036C5A">
      <w:pPr>
        <w:pStyle w:val="iList"/>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could allow the maturity of the guarantee agreed ex</w:t>
      </w:r>
      <w:r w:rsidRPr="00E4265B">
        <w:rPr>
          <w:rFonts w:ascii="Arial" w:hAnsi="Arial" w:cs="Arial"/>
          <w:sz w:val="22"/>
          <w:szCs w:val="22"/>
          <w:lang w:val="en-GB"/>
        </w:rPr>
        <w:noBreakHyphen/>
        <w:t>ante to be reduced ex</w:t>
      </w:r>
      <w:r w:rsidRPr="00E4265B">
        <w:rPr>
          <w:rFonts w:ascii="Arial" w:hAnsi="Arial" w:cs="Arial"/>
          <w:sz w:val="22"/>
          <w:szCs w:val="22"/>
          <w:lang w:val="en-GB"/>
        </w:rPr>
        <w:noBreakHyphen/>
        <w:t>post by the guarantor;</w:t>
      </w:r>
    </w:p>
    <w:p w14:paraId="5CBE5001"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able in a timely manner to pursue the guarantor for any monies outstanding under the documentation governing the transaction on the default of, or non</w:t>
      </w:r>
      <w:r w:rsidRPr="00E4265B">
        <w:rPr>
          <w:rFonts w:ascii="Arial" w:hAnsi="Arial" w:cs="Arial"/>
          <w:sz w:val="22"/>
          <w:szCs w:val="22"/>
          <w:lang w:val="en-GB"/>
        </w:rPr>
        <w:noBreakHyphen/>
        <w:t>payment by, the underlying obligor without first having to take legal action to pursue the underlying obligor for payment; and</w:t>
      </w:r>
    </w:p>
    <w:p w14:paraId="0C1016CD"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the guarantee covers all types of payments that the underlying obligor is expected to make under the documentation governing the transaction, except in the case of accrued interest, accrued expenses or fees outstanding, where these are deemed immaterial.</w:t>
      </w:r>
    </w:p>
    <w:p w14:paraId="6047612E"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Guidance</w:t>
      </w:r>
    </w:p>
    <w:p w14:paraId="2D681015"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Rule 4.13.9(2)(e) does not include any guarantee with a cancellation clause where it is provided that any obligation incurred or transaction entered into prior to any cancellation, unilateral or otherwise, continues to be guaranteed by the guarantor.</w:t>
      </w:r>
    </w:p>
    <w:p w14:paraId="0C3DBE76" w14:textId="77777777" w:rsidR="00E22FF2" w:rsidRPr="00E4265B" w:rsidRDefault="00E22FF2" w:rsidP="0023775A">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guarantee payments may be in the form of the guarantor making a lump sum payment of all monies to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the guarantor assuming the future payment obligations of the Counterparty covered by the guarantee, as specified in the relevant documentation governing the guarantee.</w:t>
      </w:r>
    </w:p>
    <w:p w14:paraId="37C07DA0" w14:textId="17551AF0"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In addition to the requirements in Rule 4.13.9, where an </w:t>
      </w:r>
      <w:r w:rsidR="000D1A90" w:rsidRPr="00E4265B">
        <w:rPr>
          <w:rFonts w:ascii="Arial" w:hAnsi="Arial" w:cs="Arial"/>
          <w:sz w:val="22"/>
          <w:szCs w:val="22"/>
        </w:rPr>
        <w:t>Authorised Person</w:t>
      </w:r>
      <w:r w:rsidRPr="00E4265B">
        <w:rPr>
          <w:rFonts w:ascii="Arial" w:hAnsi="Arial" w:cs="Arial"/>
          <w:sz w:val="22"/>
          <w:szCs w:val="22"/>
        </w:rPr>
        <w:t xml:space="preserve"> has an Exposure that is protected by a guarantee or that is counter</w:t>
      </w:r>
      <w:r w:rsidRPr="00E4265B">
        <w:rPr>
          <w:rFonts w:ascii="Arial" w:hAnsi="Arial" w:cs="Arial"/>
          <w:sz w:val="22"/>
          <w:szCs w:val="22"/>
        </w:rPr>
        <w:noBreakHyphen/>
        <w:t xml:space="preserve">guaranteed by a central government or </w:t>
      </w:r>
      <w:r w:rsidR="00030214" w:rsidRPr="00E4265B">
        <w:rPr>
          <w:rFonts w:ascii="Arial" w:hAnsi="Arial" w:cs="Arial"/>
          <w:sz w:val="22"/>
          <w:szCs w:val="22"/>
        </w:rPr>
        <w:t>central bank</w:t>
      </w:r>
      <w:r w:rsidRPr="00E4265B">
        <w:rPr>
          <w:rFonts w:ascii="Arial" w:hAnsi="Arial" w:cs="Arial"/>
          <w:sz w:val="22"/>
          <w:szCs w:val="22"/>
        </w:rPr>
        <w:t xml:space="preserve">, a regional government or local authority or a PSE claims on which are treated as claims on the central government in whose jurisdiction they are established, a MDB or an international organisation to which a 0% risk weight is assigned under Section 4.12, an </w:t>
      </w:r>
      <w:r w:rsidR="000D1A90" w:rsidRPr="00E4265B">
        <w:rPr>
          <w:rFonts w:ascii="Arial" w:hAnsi="Arial" w:cs="Arial"/>
          <w:sz w:val="22"/>
          <w:szCs w:val="22"/>
        </w:rPr>
        <w:t>Authorised Person</w:t>
      </w:r>
      <w:r w:rsidRPr="00E4265B">
        <w:rPr>
          <w:rFonts w:ascii="Arial" w:hAnsi="Arial" w:cs="Arial"/>
          <w:sz w:val="22"/>
          <w:szCs w:val="22"/>
        </w:rPr>
        <w:t xml:space="preserve"> may treat the Exposure as being protected by a direct guarantee from the central government or </w:t>
      </w:r>
      <w:r w:rsidR="00030214" w:rsidRPr="00E4265B">
        <w:rPr>
          <w:rFonts w:ascii="Arial" w:hAnsi="Arial" w:cs="Arial"/>
          <w:sz w:val="22"/>
          <w:szCs w:val="22"/>
        </w:rPr>
        <w:t>central bank</w:t>
      </w:r>
      <w:r w:rsidRPr="00E4265B">
        <w:rPr>
          <w:rFonts w:ascii="Arial" w:hAnsi="Arial" w:cs="Arial"/>
          <w:sz w:val="22"/>
          <w:szCs w:val="22"/>
        </w:rPr>
        <w:t xml:space="preserve"> in question, provided the following requirements are complied with:</w:t>
      </w:r>
    </w:p>
    <w:p w14:paraId="6EA024E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counter</w:t>
      </w:r>
      <w:r w:rsidRPr="00E4265B">
        <w:rPr>
          <w:rFonts w:ascii="Arial" w:hAnsi="Arial" w:cs="Arial"/>
          <w:sz w:val="22"/>
          <w:szCs w:val="22"/>
        </w:rPr>
        <w:noBreakHyphen/>
        <w:t>guarantee covers all Credit Risk elements of the Exposure;</w:t>
      </w:r>
    </w:p>
    <w:p w14:paraId="10B4EAE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both the original guarantee and the counter</w:t>
      </w:r>
      <w:r w:rsidRPr="00E4265B">
        <w:rPr>
          <w:rFonts w:ascii="Arial" w:hAnsi="Arial" w:cs="Arial"/>
          <w:sz w:val="22"/>
          <w:szCs w:val="22"/>
        </w:rPr>
        <w:noBreakHyphen/>
        <w:t>guarantee comply with all the requirements for guarantees set out in this Section, except that the counter</w:t>
      </w:r>
      <w:r w:rsidRPr="00E4265B">
        <w:rPr>
          <w:rFonts w:ascii="Arial" w:hAnsi="Arial" w:cs="Arial"/>
          <w:sz w:val="22"/>
          <w:szCs w:val="22"/>
        </w:rPr>
        <w:noBreakHyphen/>
        <w:t>guarantee need not be direct and explicit with respect to the original Exposure; and</w:t>
      </w:r>
    </w:p>
    <w:p w14:paraId="07A4FEF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is able to satisfy the Regulator that the cover is robust and that nothing in the historical evidence suggests that the coverage of the counter</w:t>
      </w:r>
      <w:r w:rsidRPr="00E4265B">
        <w:rPr>
          <w:rFonts w:ascii="Arial" w:hAnsi="Arial" w:cs="Arial"/>
          <w:sz w:val="22"/>
          <w:szCs w:val="22"/>
        </w:rPr>
        <w:noBreakHyphen/>
        <w:t>guarantee is less than effectively equivalent to that of a direct guarantee by the entity in question.</w:t>
      </w:r>
    </w:p>
    <w:p w14:paraId="5FD6B335" w14:textId="77777777" w:rsidR="00E22FF2" w:rsidRPr="00E4265B" w:rsidRDefault="00E22FF2" w:rsidP="0097615D">
      <w:pPr>
        <w:pStyle w:val="TitleL5"/>
        <w:rPr>
          <w:rFonts w:ascii="Arial" w:hAnsi="Arial" w:cs="Arial"/>
          <w:sz w:val="22"/>
          <w:szCs w:val="22"/>
          <w:lang w:val="en-GB"/>
        </w:rPr>
      </w:pPr>
      <w:r w:rsidRPr="00E4265B">
        <w:rPr>
          <w:rFonts w:ascii="Arial" w:hAnsi="Arial" w:cs="Arial"/>
          <w:sz w:val="22"/>
          <w:szCs w:val="22"/>
          <w:lang w:val="en-GB"/>
        </w:rPr>
        <w:t>Credit Derivatives</w:t>
      </w:r>
    </w:p>
    <w:p w14:paraId="4AA5D1CB"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may recognise the effects of CRM of a Credit Derivative only if it is provided by any of the following entities:</w:t>
      </w:r>
    </w:p>
    <w:p w14:paraId="566E34E8" w14:textId="43525D91"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t xml:space="preserve">central government or </w:t>
      </w:r>
      <w:r w:rsidR="00030214" w:rsidRPr="00E4265B">
        <w:rPr>
          <w:rFonts w:ascii="Arial" w:hAnsi="Arial" w:cs="Arial"/>
          <w:sz w:val="22"/>
          <w:szCs w:val="22"/>
          <w:lang w:val="en-GB"/>
        </w:rPr>
        <w:t>central bank</w:t>
      </w:r>
      <w:r w:rsidRPr="00E4265B">
        <w:rPr>
          <w:rFonts w:ascii="Arial" w:hAnsi="Arial" w:cs="Arial"/>
          <w:sz w:val="22"/>
          <w:szCs w:val="22"/>
          <w:lang w:val="en-GB"/>
        </w:rPr>
        <w:t>;</w:t>
      </w:r>
    </w:p>
    <w:p w14:paraId="5CF09227"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MDB referred to in Rules 4.12.7 to 4.12.9;</w:t>
      </w:r>
    </w:p>
    <w:p w14:paraId="1423D543"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International Organisations referred to in Rule 4.12.9;</w:t>
      </w:r>
    </w:p>
    <w:p w14:paraId="3DB91ED1"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PSE;</w:t>
      </w:r>
    </w:p>
    <w:p w14:paraId="01E0099A"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banks and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firms which qualify for inclusion in bank asset class; or</w:t>
      </w:r>
    </w:p>
    <w:p w14:paraId="0ADD0BFA" w14:textId="620ECF82" w:rsidR="00E22FF2" w:rsidRPr="00E4265B" w:rsidRDefault="00E22FF2" w:rsidP="003A6C6F">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any other entity t</w:t>
      </w:r>
      <w:r w:rsidR="003A6C6F" w:rsidRPr="00E4265B">
        <w:rPr>
          <w:rFonts w:ascii="Arial" w:hAnsi="Arial" w:cs="Arial"/>
          <w:sz w:val="22"/>
          <w:szCs w:val="22"/>
          <w:lang w:val="en-GB"/>
        </w:rPr>
        <w:t xml:space="preserve">hat has an external credit assessment from a recognised credit rating agency that maps to a Credit Quality Grade </w:t>
      </w:r>
      <w:r w:rsidRPr="00E4265B">
        <w:rPr>
          <w:rFonts w:ascii="Arial" w:hAnsi="Arial" w:cs="Arial"/>
          <w:sz w:val="22"/>
          <w:szCs w:val="22"/>
          <w:lang w:val="en-GB"/>
        </w:rPr>
        <w:t>3 or better.</w:t>
      </w:r>
    </w:p>
    <w:p w14:paraId="5D211DAF" w14:textId="77777777" w:rsidR="00E22FF2" w:rsidRPr="00E4265B" w:rsidRDefault="00E22FF2" w:rsidP="0008739E">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recognise the effects of CRM of only the following types of Credit Derivatives:</w:t>
      </w:r>
    </w:p>
    <w:p w14:paraId="5A7CA552"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credit default swaps;</w:t>
      </w:r>
    </w:p>
    <w:p w14:paraId="7ADF14C6"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Total Return Swaps;</w:t>
      </w:r>
    </w:p>
    <w:p w14:paraId="5B2CF5E6"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CLNs which are cash funded; and</w:t>
      </w:r>
    </w:p>
    <w:p w14:paraId="66E27010" w14:textId="77777777" w:rsidR="00E22FF2" w:rsidRPr="00E4265B" w:rsidRDefault="00E22FF2" w:rsidP="00E25FD1">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instruments that are composed of, or are similar in economic substance, to one or more of the Credit Derivatives in (a) to (c).</w:t>
      </w:r>
    </w:p>
    <w:p w14:paraId="17F20B2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not recognise the effects of CRM of any Credit Derivative unless all of the following requirements are complied with:</w:t>
      </w:r>
    </w:p>
    <w:p w14:paraId="3BA29BE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terms and conditions of any credit protection obtained via a Credit Derivative must be set out in writing by both the </w:t>
      </w:r>
      <w:r w:rsidR="000D1A90" w:rsidRPr="00E4265B">
        <w:rPr>
          <w:rFonts w:ascii="Arial" w:hAnsi="Arial" w:cs="Arial"/>
          <w:sz w:val="22"/>
          <w:szCs w:val="22"/>
        </w:rPr>
        <w:t>Authorised Person</w:t>
      </w:r>
      <w:r w:rsidRPr="00E4265B">
        <w:rPr>
          <w:rFonts w:ascii="Arial" w:hAnsi="Arial" w:cs="Arial"/>
          <w:sz w:val="22"/>
          <w:szCs w:val="22"/>
        </w:rPr>
        <w:t xml:space="preserve"> and the provider of credit protection;</w:t>
      </w:r>
    </w:p>
    <w:p w14:paraId="6842CFD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Credit Derivative must represent a direct claim on the provider of credit protection;</w:t>
      </w:r>
    </w:p>
    <w:p w14:paraId="662D5C4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extent of the credit protection cover is clearly defined and incontrovertible;</w:t>
      </w:r>
    </w:p>
    <w:p w14:paraId="7539E77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other than in the event of non</w:t>
      </w:r>
      <w:r w:rsidRPr="00E4265B">
        <w:rPr>
          <w:rFonts w:ascii="Arial" w:hAnsi="Arial" w:cs="Arial"/>
          <w:sz w:val="22"/>
          <w:szCs w:val="22"/>
        </w:rPr>
        <w:noBreakHyphen/>
        <w:t xml:space="preserve">payment by the </w:t>
      </w:r>
      <w:r w:rsidR="000D1A90" w:rsidRPr="00E4265B">
        <w:rPr>
          <w:rFonts w:ascii="Arial" w:hAnsi="Arial" w:cs="Arial"/>
          <w:sz w:val="22"/>
          <w:szCs w:val="22"/>
        </w:rPr>
        <w:t>Authorised Person</w:t>
      </w:r>
      <w:r w:rsidR="005D344E" w:rsidRPr="00E4265B">
        <w:rPr>
          <w:rFonts w:ascii="Arial" w:hAnsi="Arial" w:cs="Arial"/>
          <w:sz w:val="22"/>
          <w:szCs w:val="22"/>
        </w:rPr>
        <w:t xml:space="preserve"> of M</w:t>
      </w:r>
      <w:r w:rsidRPr="00E4265B">
        <w:rPr>
          <w:rFonts w:ascii="Arial" w:hAnsi="Arial" w:cs="Arial"/>
          <w:sz w:val="22"/>
          <w:szCs w:val="22"/>
        </w:rPr>
        <w:t>oney due in respect of the Credit Derivative, there is an irrevocable obligation on the part of the provider of the credit protection to pay out a pre</w:t>
      </w:r>
      <w:r w:rsidRPr="00E4265B">
        <w:rPr>
          <w:rFonts w:ascii="Arial" w:hAnsi="Arial" w:cs="Arial"/>
          <w:sz w:val="22"/>
          <w:szCs w:val="22"/>
        </w:rPr>
        <w:noBreakHyphen/>
        <w:t>determined amount upon the occurrence of a credit event, as defined under the Credit Derivative contract;</w:t>
      </w:r>
    </w:p>
    <w:p w14:paraId="4971614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Credit Derivative contract must not contain any clause, the fulfilment of which is outside the direct control of the </w:t>
      </w:r>
      <w:r w:rsidR="000D1A90" w:rsidRPr="00E4265B">
        <w:rPr>
          <w:rFonts w:ascii="Arial" w:hAnsi="Arial" w:cs="Arial"/>
          <w:sz w:val="22"/>
          <w:szCs w:val="22"/>
        </w:rPr>
        <w:t>Authorised Person</w:t>
      </w:r>
      <w:r w:rsidRPr="00E4265B">
        <w:rPr>
          <w:rFonts w:ascii="Arial" w:hAnsi="Arial" w:cs="Arial"/>
          <w:sz w:val="22"/>
          <w:szCs w:val="22"/>
        </w:rPr>
        <w:t>, that:</w:t>
      </w:r>
    </w:p>
    <w:p w14:paraId="1DAD9851"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would allow the provider of credit protection to cancel the credit protection cover unilaterally;</w:t>
      </w:r>
    </w:p>
    <w:p w14:paraId="27B925C2"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would increase the effective cost of the credit protection cover as a result of deteriorating credit quality of the underlying Exposure;</w:t>
      </w:r>
    </w:p>
    <w:p w14:paraId="04EA3E26"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lastRenderedPageBreak/>
        <w:t>could prevent the provider of credit protection from being obliged to pay out in a timely manner in the event that the underlying obligor fails to make any payment due; or</w:t>
      </w:r>
    </w:p>
    <w:p w14:paraId="295EF3E6"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could allow the maturity of the credit protection agreed ex</w:t>
      </w:r>
      <w:r w:rsidRPr="00E4265B">
        <w:rPr>
          <w:rFonts w:ascii="Arial" w:hAnsi="Arial" w:cs="Arial"/>
          <w:sz w:val="22"/>
          <w:szCs w:val="22"/>
        </w:rPr>
        <w:noBreakHyphen/>
        <w:t>ante to be reduced ex</w:t>
      </w:r>
      <w:r w:rsidRPr="00E4265B">
        <w:rPr>
          <w:rFonts w:ascii="Arial" w:hAnsi="Arial" w:cs="Arial"/>
          <w:sz w:val="22"/>
          <w:szCs w:val="22"/>
        </w:rPr>
        <w:noBreakHyphen/>
        <w:t>post by the provider of credit protection;</w:t>
      </w:r>
    </w:p>
    <w:p w14:paraId="3ABF8BF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credit events specified by the contracting parties must at a minimum cover:</w:t>
      </w:r>
    </w:p>
    <w:p w14:paraId="616901D4"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failure to pay the amounts due under terms of the underlying Exposure that are in effect at the time of such failure (with a grace period, if any, that is closely in line with the grace period in the underlying Exposure);</w:t>
      </w:r>
    </w:p>
    <w:p w14:paraId="14781B54"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bankruptcy, insolvency or inability of the underlying obligor to pay its debts, or its failure or admission in writing of its inability generally to pay its debts as they become due, and analogous events; and</w:t>
      </w:r>
    </w:p>
    <w:p w14:paraId="5EBD1BE9"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restructuring of the underlying Exposure involving forgiveness or postponement of principal, interest or fees that results in a credit loss event (i.e. charge</w:t>
      </w:r>
      <w:r w:rsidRPr="00E4265B">
        <w:rPr>
          <w:rFonts w:ascii="Arial" w:hAnsi="Arial" w:cs="Arial"/>
          <w:sz w:val="22"/>
          <w:szCs w:val="22"/>
        </w:rPr>
        <w:noBreakHyphen/>
        <w:t>off, specific provision or other similar debit to the profit and loss account);</w:t>
      </w:r>
    </w:p>
    <w:p w14:paraId="17E4B4E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Credit Derivative must not terminate prior to the maturity of the underlying Exposure or expiration of any grace period required for a default on the underlying Exposure to occur as a result of a failure to pay;</w:t>
      </w:r>
    </w:p>
    <w:p w14:paraId="3BFCD40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 robust valuation process to estimate loss reliably must be in place in order to estimate loss reliably for any Credit Derivative that allows for cash settlement. There must be a clearly specified period for obtaining post</w:t>
      </w:r>
      <w:r w:rsidRPr="00E4265B">
        <w:rPr>
          <w:rFonts w:ascii="Arial" w:hAnsi="Arial" w:cs="Arial"/>
          <w:sz w:val="22"/>
          <w:szCs w:val="22"/>
        </w:rPr>
        <w:noBreakHyphen/>
        <w:t>credit event valuations of the underlying obligation;</w:t>
      </w:r>
    </w:p>
    <w:p w14:paraId="6D5F607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where the right or ability of the </w:t>
      </w:r>
      <w:r w:rsidR="000D1A90" w:rsidRPr="00E4265B">
        <w:rPr>
          <w:rFonts w:ascii="Arial" w:hAnsi="Arial" w:cs="Arial"/>
          <w:sz w:val="22"/>
          <w:szCs w:val="22"/>
        </w:rPr>
        <w:t>Authorised Person</w:t>
      </w:r>
      <w:r w:rsidRPr="00E4265B">
        <w:rPr>
          <w:rFonts w:ascii="Arial" w:hAnsi="Arial" w:cs="Arial"/>
          <w:sz w:val="22"/>
          <w:szCs w:val="22"/>
        </w:rPr>
        <w:t xml:space="preserve"> to transfer the underlying Exposure to the credit protection provider is required for settlement, the terms of the underlying Exposure must provide that any required consent to such transfer may not be unreasonably withheld;</w:t>
      </w:r>
    </w:p>
    <w:p w14:paraId="7F04B77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identity of the parties responsible for determining whether a credit event has occurred must be clearly defined. This determination must not be the sole responsibility of the credit protection provider. The </w:t>
      </w:r>
      <w:r w:rsidR="000D1A90" w:rsidRPr="00E4265B">
        <w:rPr>
          <w:rFonts w:ascii="Arial" w:hAnsi="Arial" w:cs="Arial"/>
          <w:sz w:val="22"/>
          <w:szCs w:val="22"/>
        </w:rPr>
        <w:t>Authorised Person</w:t>
      </w:r>
      <w:r w:rsidRPr="00E4265B">
        <w:rPr>
          <w:rFonts w:ascii="Arial" w:hAnsi="Arial" w:cs="Arial"/>
          <w:sz w:val="22"/>
          <w:szCs w:val="22"/>
        </w:rPr>
        <w:t xml:space="preserve"> must have the right or ability to inform the credit protection provider of the occurrence of a credit event; and</w:t>
      </w:r>
    </w:p>
    <w:p w14:paraId="72FED1A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underlying obligation and the reference obligation specified in the Credit Derivative contract for the purpose of determining the cash settlement value or the deliverable obligation or for the purpose of determining whether a credit event has occurred may be different only if:</w:t>
      </w:r>
    </w:p>
    <w:p w14:paraId="34BDDEE4" w14:textId="77777777" w:rsidR="00E22FF2" w:rsidRPr="00E4265B" w:rsidRDefault="00E22FF2" w:rsidP="003A6C6F">
      <w:pPr>
        <w:pStyle w:val="Heading5"/>
        <w:tabs>
          <w:tab w:val="clear" w:pos="1656"/>
          <w:tab w:val="left" w:pos="1701"/>
        </w:tabs>
        <w:ind w:left="2552" w:hanging="1559"/>
        <w:rPr>
          <w:rFonts w:ascii="Arial" w:hAnsi="Arial" w:cs="Arial"/>
          <w:sz w:val="22"/>
          <w:szCs w:val="22"/>
        </w:rPr>
      </w:pPr>
      <w:r w:rsidRPr="00E4265B">
        <w:rPr>
          <w:rFonts w:ascii="Arial" w:hAnsi="Arial" w:cs="Arial"/>
          <w:sz w:val="22"/>
          <w:szCs w:val="22"/>
        </w:rPr>
        <w:fldChar w:fldCharType="begin"/>
      </w:r>
      <w:r w:rsidRPr="00E4265B">
        <w:rPr>
          <w:rFonts w:ascii="Arial" w:hAnsi="Arial" w:cs="Arial"/>
          <w:sz w:val="22"/>
          <w:szCs w:val="22"/>
        </w:rPr>
        <w:instrText xml:space="preserve"> LISTNUM "Scheme 12(c) UK12" \l 6 </w:instrText>
      </w:r>
      <w:r w:rsidRPr="00E4265B">
        <w:rPr>
          <w:rFonts w:ascii="Arial" w:hAnsi="Arial" w:cs="Arial"/>
          <w:sz w:val="22"/>
          <w:szCs w:val="22"/>
        </w:rPr>
        <w:fldChar w:fldCharType="end"/>
      </w:r>
      <w:r w:rsidRPr="00E4265B">
        <w:rPr>
          <w:rFonts w:ascii="Arial" w:hAnsi="Arial" w:cs="Arial"/>
          <w:sz w:val="22"/>
          <w:szCs w:val="22"/>
        </w:rPr>
        <w:tab/>
        <w:t>the reference obligation ranks pari passu with or is junior to the underlying obligation; and</w:t>
      </w:r>
    </w:p>
    <w:p w14:paraId="731CA7F8" w14:textId="77777777" w:rsidR="00E22FF2" w:rsidRPr="00E4265B" w:rsidRDefault="00E22FF2" w:rsidP="0019712D">
      <w:pPr>
        <w:pStyle w:val="Heading6"/>
        <w:numPr>
          <w:ilvl w:val="5"/>
          <w:numId w:val="68"/>
        </w:numPr>
        <w:rPr>
          <w:rFonts w:ascii="Arial" w:hAnsi="Arial" w:cs="Arial"/>
          <w:sz w:val="22"/>
          <w:szCs w:val="22"/>
        </w:rPr>
      </w:pPr>
      <w:r w:rsidRPr="00E4265B">
        <w:rPr>
          <w:rFonts w:ascii="Arial" w:hAnsi="Arial" w:cs="Arial"/>
          <w:sz w:val="22"/>
          <w:szCs w:val="22"/>
        </w:rPr>
        <w:t>the underlying obligation and reference obligation share the same obligor (i.e. the same legal entity) and legally enforceable cross</w:t>
      </w:r>
      <w:r w:rsidRPr="00E4265B">
        <w:rPr>
          <w:rFonts w:ascii="Arial" w:hAnsi="Arial" w:cs="Arial"/>
          <w:sz w:val="22"/>
          <w:szCs w:val="22"/>
        </w:rPr>
        <w:noBreakHyphen/>
        <w:t>default or cross</w:t>
      </w:r>
      <w:r w:rsidRPr="00E4265B">
        <w:rPr>
          <w:rFonts w:ascii="Arial" w:hAnsi="Arial" w:cs="Arial"/>
          <w:sz w:val="22"/>
          <w:szCs w:val="22"/>
        </w:rPr>
        <w:noBreakHyphen/>
        <w:t>acceleration clauses are in place.</w:t>
      </w:r>
    </w:p>
    <w:p w14:paraId="2D64B873" w14:textId="77777777" w:rsidR="00E22FF2" w:rsidRPr="00E4265B" w:rsidRDefault="00E22FF2" w:rsidP="00560764">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0C04E83A" w14:textId="77777777" w:rsidR="00E22FF2" w:rsidRPr="00E4265B" w:rsidRDefault="00E22FF2" w:rsidP="00560764">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not recognise the effects of CRM of a Total Return Swap if it purchases credit protection through a Total Return Swap and records the net payments received on the swap as net income, but does not record offsetting deterioration in the value of the underlying asset that is protected (either through reductions in its marked</w:t>
      </w:r>
      <w:r w:rsidRPr="00E4265B">
        <w:rPr>
          <w:rFonts w:ascii="Arial" w:hAnsi="Arial" w:cs="Arial"/>
          <w:sz w:val="22"/>
          <w:szCs w:val="22"/>
          <w:lang w:val="en-GB"/>
        </w:rPr>
        <w:noBreakHyphen/>
        <w:t>to</w:t>
      </w:r>
      <w:r w:rsidRPr="00E4265B">
        <w:rPr>
          <w:rFonts w:ascii="Arial" w:hAnsi="Arial" w:cs="Arial"/>
          <w:sz w:val="22"/>
          <w:szCs w:val="22"/>
          <w:lang w:val="en-GB"/>
        </w:rPr>
        <w:noBreakHyphen/>
        <w:t>market value or by an addition to reserves).</w:t>
      </w:r>
    </w:p>
    <w:p w14:paraId="334DA162" w14:textId="77777777" w:rsidR="00E22FF2" w:rsidRPr="00E4265B" w:rsidRDefault="00E22FF2" w:rsidP="008F5C01">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Regulator would generally consider the requirements in (f) to have been complied with even if the requirements are not specifically set out so long as the obligations of the credit protection provider under the Credit Derivative contract would include those requirements.</w:t>
      </w:r>
    </w:p>
    <w:p w14:paraId="4434FBCD" w14:textId="77777777" w:rsidR="00E22FF2" w:rsidRPr="00E4265B" w:rsidRDefault="00E22FF2" w:rsidP="008F5C01">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The Regulator would generally consider the cash settlement methodology provided in the ISDA Credit Derivatives Definitions as satisfying the requirement for obtaining post</w:t>
      </w:r>
      <w:r w:rsidRPr="00E4265B">
        <w:rPr>
          <w:rFonts w:ascii="Arial" w:hAnsi="Arial" w:cs="Arial"/>
          <w:sz w:val="22"/>
          <w:szCs w:val="22"/>
          <w:lang w:val="en-GB"/>
        </w:rPr>
        <w:noBreakHyphen/>
        <w:t>credit event valuations of the underlying obligation.</w:t>
      </w:r>
    </w:p>
    <w:p w14:paraId="3FACC116" w14:textId="77777777" w:rsidR="00E22FF2" w:rsidRPr="00E4265B" w:rsidRDefault="00E22FF2" w:rsidP="00560764">
      <w:pPr>
        <w:pStyle w:val="TitleL5"/>
        <w:rPr>
          <w:rFonts w:ascii="Arial" w:hAnsi="Arial" w:cs="Arial"/>
          <w:sz w:val="22"/>
          <w:szCs w:val="22"/>
          <w:lang w:val="en-GB"/>
        </w:rPr>
      </w:pPr>
      <w:r w:rsidRPr="00E4265B">
        <w:rPr>
          <w:rFonts w:ascii="Arial" w:hAnsi="Arial" w:cs="Arial"/>
          <w:sz w:val="22"/>
          <w:szCs w:val="22"/>
          <w:lang w:val="en-GB"/>
        </w:rPr>
        <w:t>Currency mismatches</w:t>
      </w:r>
    </w:p>
    <w:p w14:paraId="61784C1F"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In the case where there is a currency mismatch between the credit protection and the underlying Exposure, an </w:t>
      </w:r>
      <w:r w:rsidR="000D1A90" w:rsidRPr="00E4265B">
        <w:rPr>
          <w:rFonts w:ascii="Arial" w:hAnsi="Arial" w:cs="Arial"/>
          <w:sz w:val="22"/>
          <w:szCs w:val="22"/>
        </w:rPr>
        <w:t>Authorised Person</w:t>
      </w:r>
      <w:r w:rsidRPr="00E4265B">
        <w:rPr>
          <w:rFonts w:ascii="Arial" w:hAnsi="Arial" w:cs="Arial"/>
          <w:sz w:val="22"/>
          <w:szCs w:val="22"/>
        </w:rPr>
        <w:t xml:space="preserve"> must reduce the amount of the Exposure deemed to be protected by applying a haircut, as follows: </w:t>
      </w:r>
    </w:p>
    <w:p w14:paraId="5F0D2703" w14:textId="77777777" w:rsidR="00E22FF2" w:rsidRPr="00E4265B" w:rsidRDefault="00E22FF2" w:rsidP="00E45D3D">
      <w:pPr>
        <w:pStyle w:val="UK12Block15"/>
        <w:ind w:left="3600"/>
        <w:rPr>
          <w:rFonts w:ascii="Arial" w:hAnsi="Arial" w:cs="Arial"/>
          <w:sz w:val="22"/>
          <w:szCs w:val="22"/>
          <w:lang w:val="en-GB"/>
        </w:rPr>
      </w:pPr>
      <w:r w:rsidRPr="00E4265B">
        <w:rPr>
          <w:rFonts w:ascii="Arial" w:hAnsi="Arial" w:cs="Arial"/>
          <w:sz w:val="22"/>
          <w:szCs w:val="22"/>
          <w:lang w:val="en-GB"/>
        </w:rPr>
        <w:t>Protected portion GA = G (1</w:t>
      </w:r>
      <w:r w:rsidRPr="00E4265B">
        <w:rPr>
          <w:rFonts w:ascii="Arial" w:hAnsi="Arial" w:cs="Arial"/>
          <w:sz w:val="22"/>
          <w:szCs w:val="22"/>
          <w:lang w:val="en-GB"/>
        </w:rPr>
        <w:noBreakHyphen/>
        <w:t xml:space="preserve"> H</w:t>
      </w:r>
      <w:r w:rsidRPr="00E4265B">
        <w:rPr>
          <w:rFonts w:ascii="Arial" w:hAnsi="Arial" w:cs="Arial"/>
          <w:sz w:val="22"/>
          <w:szCs w:val="22"/>
          <w:vertAlign w:val="subscript"/>
          <w:lang w:val="en-GB"/>
        </w:rPr>
        <w:t>FX</w:t>
      </w:r>
      <w:r w:rsidRPr="00E4265B">
        <w:rPr>
          <w:rFonts w:ascii="Arial" w:hAnsi="Arial" w:cs="Arial"/>
          <w:sz w:val="22"/>
          <w:szCs w:val="22"/>
          <w:lang w:val="en-GB"/>
        </w:rPr>
        <w:t>)</w:t>
      </w:r>
    </w:p>
    <w:p w14:paraId="169E918F" w14:textId="77777777" w:rsidR="00E22FF2" w:rsidRPr="00E4265B" w:rsidRDefault="00E22FF2" w:rsidP="008875FC">
      <w:pPr>
        <w:pStyle w:val="UK12Block10"/>
        <w:ind w:left="1800"/>
        <w:rPr>
          <w:rFonts w:ascii="Arial" w:hAnsi="Arial" w:cs="Arial"/>
          <w:sz w:val="22"/>
          <w:szCs w:val="22"/>
          <w:lang w:val="en-GB"/>
        </w:rPr>
      </w:pPr>
      <w:r w:rsidRPr="00E4265B">
        <w:rPr>
          <w:rFonts w:ascii="Arial" w:hAnsi="Arial" w:cs="Arial"/>
          <w:sz w:val="22"/>
          <w:szCs w:val="22"/>
          <w:lang w:val="en-GB"/>
        </w:rPr>
        <w:t>where:</w:t>
      </w:r>
    </w:p>
    <w:p w14:paraId="5C42CAE7" w14:textId="77777777" w:rsidR="00E22FF2" w:rsidRPr="00E4265B" w:rsidRDefault="00E22FF2" w:rsidP="008875F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G = notional amount of the credit protection; and</w:t>
      </w:r>
    </w:p>
    <w:p w14:paraId="096EE35A" w14:textId="77777777" w:rsidR="00E22FF2" w:rsidRPr="00E4265B" w:rsidRDefault="00E22FF2" w:rsidP="008875F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H</w:t>
      </w:r>
      <w:r w:rsidRPr="00E4265B">
        <w:rPr>
          <w:rFonts w:ascii="Arial" w:hAnsi="Arial" w:cs="Arial"/>
          <w:sz w:val="22"/>
          <w:szCs w:val="22"/>
          <w:vertAlign w:val="subscript"/>
          <w:lang w:val="en-GB"/>
        </w:rPr>
        <w:t>FX</w:t>
      </w:r>
      <w:r w:rsidRPr="00E4265B">
        <w:rPr>
          <w:rFonts w:ascii="Arial" w:hAnsi="Arial" w:cs="Arial"/>
          <w:sz w:val="22"/>
          <w:szCs w:val="22"/>
          <w:lang w:val="en-GB"/>
        </w:rPr>
        <w:t xml:space="preserve"> = haircut appropriate for currency mismatch between the credit protection and underlying obligation Exposure based on a ten</w:t>
      </w:r>
      <w:r w:rsidRPr="00E4265B">
        <w:rPr>
          <w:rFonts w:ascii="Arial" w:hAnsi="Arial" w:cs="Arial"/>
          <w:sz w:val="22"/>
          <w:szCs w:val="22"/>
          <w:lang w:val="en-GB"/>
        </w:rPr>
        <w:noBreakHyphen/>
        <w:t>business day holding period, assuming daily mark</w:t>
      </w:r>
      <w:r w:rsidRPr="00E4265B">
        <w:rPr>
          <w:rFonts w:ascii="Arial" w:hAnsi="Arial" w:cs="Arial"/>
          <w:sz w:val="22"/>
          <w:szCs w:val="22"/>
          <w:lang w:val="en-GB"/>
        </w:rPr>
        <w:noBreakHyphen/>
        <w:t>to</w:t>
      </w:r>
      <w:r w:rsidRPr="00E4265B">
        <w:rPr>
          <w:rFonts w:ascii="Arial" w:hAnsi="Arial" w:cs="Arial"/>
          <w:sz w:val="22"/>
          <w:szCs w:val="22"/>
          <w:lang w:val="en-GB"/>
        </w:rPr>
        <w:noBreakHyphen/>
        <w:t>market.</w:t>
      </w:r>
    </w:p>
    <w:p w14:paraId="7E14A897" w14:textId="77777777" w:rsidR="00E22FF2" w:rsidRPr="00E4265B" w:rsidRDefault="00E22FF2" w:rsidP="0038681C">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determine H</w:t>
      </w:r>
      <w:r w:rsidRPr="00E4265B">
        <w:rPr>
          <w:rFonts w:ascii="Arial" w:hAnsi="Arial" w:cs="Arial"/>
          <w:sz w:val="22"/>
          <w:szCs w:val="22"/>
          <w:vertAlign w:val="subscript"/>
          <w:lang w:val="en-GB"/>
        </w:rPr>
        <w:t>FX</w:t>
      </w:r>
      <w:r w:rsidRPr="00E4265B">
        <w:rPr>
          <w:rFonts w:ascii="Arial" w:hAnsi="Arial" w:cs="Arial"/>
          <w:sz w:val="22"/>
          <w:szCs w:val="22"/>
          <w:lang w:val="en-GB"/>
        </w:rPr>
        <w:t xml:space="preserve"> in the following manner:</w:t>
      </w:r>
    </w:p>
    <w:p w14:paraId="7994B232"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if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uses standard supervisory haircuts, H</w:t>
      </w:r>
      <w:r w:rsidRPr="00E4265B">
        <w:rPr>
          <w:rFonts w:ascii="Arial" w:hAnsi="Arial" w:cs="Arial"/>
          <w:sz w:val="22"/>
          <w:szCs w:val="22"/>
          <w:vertAlign w:val="subscript"/>
          <w:lang w:val="en-GB"/>
        </w:rPr>
        <w:t>FX</w:t>
      </w:r>
      <w:r w:rsidRPr="00E4265B">
        <w:rPr>
          <w:rFonts w:ascii="Arial" w:hAnsi="Arial" w:cs="Arial"/>
          <w:sz w:val="22"/>
          <w:szCs w:val="22"/>
          <w:lang w:val="en-GB"/>
        </w:rPr>
        <w:t xml:space="preserve"> is 8%; and</w:t>
      </w:r>
    </w:p>
    <w:p w14:paraId="5885266B"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if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uses own</w:t>
      </w:r>
      <w:r w:rsidRPr="00E4265B">
        <w:rPr>
          <w:rFonts w:ascii="Arial" w:hAnsi="Arial" w:cs="Arial"/>
          <w:sz w:val="22"/>
          <w:szCs w:val="22"/>
          <w:lang w:val="en-GB"/>
        </w:rPr>
        <w:noBreakHyphen/>
        <w:t>estimate haircuts, it must estimate H</w:t>
      </w:r>
      <w:r w:rsidRPr="00E4265B">
        <w:rPr>
          <w:rFonts w:ascii="Arial" w:hAnsi="Arial" w:cs="Arial"/>
          <w:sz w:val="22"/>
          <w:szCs w:val="22"/>
          <w:vertAlign w:val="subscript"/>
          <w:lang w:val="en-GB"/>
        </w:rPr>
        <w:t>FX</w:t>
      </w:r>
      <w:r w:rsidRPr="00E4265B">
        <w:rPr>
          <w:rFonts w:ascii="Arial" w:hAnsi="Arial" w:cs="Arial"/>
          <w:sz w:val="22"/>
          <w:szCs w:val="22"/>
          <w:lang w:val="en-GB"/>
        </w:rPr>
        <w:t xml:space="preserve"> according to Rules A4.3.6 to A4.3.26 in App4 based on a ten</w:t>
      </w:r>
      <w:r w:rsidRPr="00E4265B">
        <w:rPr>
          <w:rFonts w:ascii="Arial" w:hAnsi="Arial" w:cs="Arial"/>
          <w:sz w:val="22"/>
          <w:szCs w:val="22"/>
          <w:lang w:val="en-GB"/>
        </w:rPr>
        <w:noBreakHyphen/>
        <w:t>business day holding period, assuming daily mark</w:t>
      </w:r>
      <w:r w:rsidRPr="00E4265B">
        <w:rPr>
          <w:rFonts w:ascii="Arial" w:hAnsi="Arial" w:cs="Arial"/>
          <w:sz w:val="22"/>
          <w:szCs w:val="22"/>
          <w:lang w:val="en-GB"/>
        </w:rPr>
        <w:noBreakHyphen/>
        <w:t>to</w:t>
      </w:r>
      <w:r w:rsidRPr="00E4265B">
        <w:rPr>
          <w:rFonts w:ascii="Arial" w:hAnsi="Arial" w:cs="Arial"/>
          <w:sz w:val="22"/>
          <w:szCs w:val="22"/>
          <w:lang w:val="en-GB"/>
        </w:rPr>
        <w:noBreakHyphen/>
        <w:t>market.</w:t>
      </w:r>
    </w:p>
    <w:p w14:paraId="071FB343" w14:textId="77777777" w:rsidR="00E22FF2" w:rsidRPr="00E4265B" w:rsidRDefault="00E22FF2" w:rsidP="0038681C">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If the credit protection is not marked</w:t>
      </w:r>
      <w:r w:rsidRPr="00E4265B">
        <w:rPr>
          <w:rFonts w:ascii="Arial" w:hAnsi="Arial" w:cs="Arial"/>
          <w:sz w:val="22"/>
          <w:szCs w:val="22"/>
          <w:lang w:val="en-GB"/>
        </w:rPr>
        <w:noBreakHyphen/>
        <w:t>to</w:t>
      </w:r>
      <w:r w:rsidRPr="00E4265B">
        <w:rPr>
          <w:rFonts w:ascii="Arial" w:hAnsi="Arial" w:cs="Arial"/>
          <w:sz w:val="22"/>
          <w:szCs w:val="22"/>
          <w:lang w:val="en-GB"/>
        </w:rPr>
        <w:noBreakHyphen/>
        <w:t>market daily, H</w:t>
      </w:r>
      <w:r w:rsidRPr="00E4265B">
        <w:rPr>
          <w:rFonts w:ascii="Arial" w:hAnsi="Arial" w:cs="Arial"/>
          <w:sz w:val="22"/>
          <w:szCs w:val="22"/>
          <w:vertAlign w:val="subscript"/>
          <w:lang w:val="en-GB"/>
        </w:rPr>
        <w:t>FX</w:t>
      </w:r>
      <w:r w:rsidRPr="00E4265B">
        <w:rPr>
          <w:rFonts w:ascii="Arial" w:hAnsi="Arial" w:cs="Arial"/>
          <w:sz w:val="22"/>
          <w:szCs w:val="22"/>
          <w:lang w:val="en-GB"/>
        </w:rPr>
        <w:t xml:space="preserve"> must be scaled in accordance with Rule A4.3.25.</w:t>
      </w:r>
    </w:p>
    <w:p w14:paraId="662CC364" w14:textId="77777777" w:rsidR="00E22FF2" w:rsidRPr="00E4265B" w:rsidRDefault="005D344E" w:rsidP="0038681C">
      <w:pPr>
        <w:pStyle w:val="TitleL5"/>
        <w:rPr>
          <w:rFonts w:ascii="Arial" w:hAnsi="Arial" w:cs="Arial"/>
          <w:sz w:val="22"/>
          <w:szCs w:val="22"/>
          <w:lang w:val="en-GB"/>
        </w:rPr>
      </w:pPr>
      <w:r w:rsidRPr="00E4265B">
        <w:rPr>
          <w:rFonts w:ascii="Arial" w:hAnsi="Arial" w:cs="Arial"/>
          <w:sz w:val="22"/>
          <w:szCs w:val="22"/>
          <w:lang w:val="en-GB"/>
        </w:rPr>
        <w:t>Maturity M</w:t>
      </w:r>
      <w:r w:rsidR="00E22FF2" w:rsidRPr="00E4265B">
        <w:rPr>
          <w:rFonts w:ascii="Arial" w:hAnsi="Arial" w:cs="Arial"/>
          <w:sz w:val="22"/>
          <w:szCs w:val="22"/>
          <w:lang w:val="en-GB"/>
        </w:rPr>
        <w:t>ismatches</w:t>
      </w:r>
    </w:p>
    <w:p w14:paraId="5E50BA0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may recognise the effects of CRM for an Exposure where there is a </w:t>
      </w:r>
      <w:r w:rsidR="005D344E" w:rsidRPr="00E4265B">
        <w:rPr>
          <w:rFonts w:ascii="Arial" w:hAnsi="Arial" w:cs="Arial"/>
          <w:sz w:val="22"/>
          <w:szCs w:val="22"/>
        </w:rPr>
        <w:t>Maturity Mismatch</w:t>
      </w:r>
      <w:r w:rsidRPr="00E4265B">
        <w:rPr>
          <w:rFonts w:ascii="Arial" w:hAnsi="Arial" w:cs="Arial"/>
          <w:sz w:val="22"/>
          <w:szCs w:val="22"/>
        </w:rPr>
        <w:t xml:space="preserve"> only if the Credit Risk mitigant has an Original Maturity of at least one year and a residual maturity of more than three months. For the purposes of calculating Credit RWA, a </w:t>
      </w:r>
      <w:r w:rsidR="005D344E" w:rsidRPr="00E4265B">
        <w:rPr>
          <w:rFonts w:ascii="Arial" w:hAnsi="Arial" w:cs="Arial"/>
          <w:sz w:val="22"/>
          <w:szCs w:val="22"/>
        </w:rPr>
        <w:t>Maturity Mismatch</w:t>
      </w:r>
      <w:r w:rsidRPr="00E4265B">
        <w:rPr>
          <w:rFonts w:ascii="Arial" w:hAnsi="Arial" w:cs="Arial"/>
          <w:sz w:val="22"/>
          <w:szCs w:val="22"/>
        </w:rPr>
        <w:t xml:space="preserve"> occurs when the residual maturity of the Credit Risk mitigant is less than that of the underlying Exposure.</w:t>
      </w:r>
    </w:p>
    <w:p w14:paraId="59FE860C"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lastRenderedPageBreak/>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determine the maturity of the underlying Exposure and the maturity of the Credit Risk mitigant conservatively. The residual maturity of the underlying Exposure must be gauged as the longest possible remaining time before the Counterparty is scheduled to fulfil its obligation, taking into account any applicable grace period.</w:t>
      </w:r>
    </w:p>
    <w:p w14:paraId="146967D5" w14:textId="77777777" w:rsidR="00E22FF2" w:rsidRPr="00E4265B" w:rsidRDefault="00E22FF2" w:rsidP="0038681C">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In the case of Credit Risk</w:t>
      </w:r>
      <w:r w:rsidR="00572344" w:rsidRPr="00E4265B">
        <w:rPr>
          <w:rFonts w:ascii="Arial" w:hAnsi="Arial" w:cs="Arial"/>
          <w:sz w:val="22"/>
          <w:szCs w:val="22"/>
          <w:lang w:val="en-GB"/>
        </w:rPr>
        <w:t xml:space="preserve"> the</w:t>
      </w:r>
      <w:r w:rsidRPr="00E4265B">
        <w:rPr>
          <w:rFonts w:ascii="Arial" w:hAnsi="Arial" w:cs="Arial"/>
          <w:sz w:val="22"/>
          <w:szCs w:val="22"/>
          <w:lang w:val="en-GB"/>
        </w:rPr>
        <w:t xml:space="preserve"> mitigant, embedded </w:t>
      </w:r>
      <w:r w:rsidR="00BC49E0" w:rsidRPr="00E4265B">
        <w:rPr>
          <w:rFonts w:ascii="Arial" w:hAnsi="Arial" w:cs="Arial"/>
          <w:sz w:val="22"/>
          <w:szCs w:val="22"/>
          <w:lang w:val="en-GB"/>
        </w:rPr>
        <w:t>Option</w:t>
      </w:r>
      <w:r w:rsidRPr="00E4265B">
        <w:rPr>
          <w:rFonts w:ascii="Arial" w:hAnsi="Arial" w:cs="Arial"/>
          <w:sz w:val="22"/>
          <w:szCs w:val="22"/>
          <w:lang w:val="en-GB"/>
        </w:rPr>
        <w:t xml:space="preserve">s which may reduce the term of the credit protection must be taken into account so that the shortest possible residual maturity is used. Where a call is at the discretion of the protection seller, the residual maturity will be at the first call date. If the call is at the discretion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but the terms of the arrangement at origination of the Credit Derivative contain a positive incentive for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call the transaction before contractual maturity, the remaining time to the first call date will be deemed to be the residual maturity.</w:t>
      </w:r>
    </w:p>
    <w:p w14:paraId="2AC11851"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calculate the value of the CRM adjusted for any </w:t>
      </w:r>
      <w:r w:rsidR="005D344E" w:rsidRPr="00E4265B">
        <w:rPr>
          <w:rFonts w:ascii="Arial" w:hAnsi="Arial" w:cs="Arial"/>
          <w:sz w:val="22"/>
          <w:szCs w:val="22"/>
        </w:rPr>
        <w:t>Maturity Mismatch</w:t>
      </w:r>
      <w:r w:rsidRPr="00E4265B">
        <w:rPr>
          <w:rFonts w:ascii="Arial" w:hAnsi="Arial" w:cs="Arial"/>
          <w:sz w:val="22"/>
          <w:szCs w:val="22"/>
        </w:rPr>
        <w:t xml:space="preserve"> (referred to as "PA"), using the following formula: </w:t>
      </w:r>
    </w:p>
    <w:p w14:paraId="4CCEAF45" w14:textId="77777777" w:rsidR="00E22FF2" w:rsidRPr="00E4265B" w:rsidRDefault="00E22FF2" w:rsidP="00E45D3D">
      <w:pPr>
        <w:pStyle w:val="UK12Block15"/>
        <w:ind w:left="1710"/>
        <w:jc w:val="center"/>
        <w:rPr>
          <w:rFonts w:ascii="Arial" w:hAnsi="Arial" w:cs="Arial"/>
          <w:sz w:val="22"/>
          <w:szCs w:val="22"/>
          <w:lang w:val="en-GB"/>
        </w:rPr>
      </w:pPr>
      <w:r w:rsidRPr="00E4265B">
        <w:rPr>
          <w:rFonts w:ascii="Arial" w:hAnsi="Arial" w:cs="Arial"/>
          <w:sz w:val="22"/>
          <w:szCs w:val="22"/>
          <w:lang w:val="en-GB"/>
        </w:rPr>
        <w:t>PA = P(t</w:t>
      </w:r>
      <w:r w:rsidRPr="00E4265B">
        <w:rPr>
          <w:rFonts w:ascii="Arial" w:hAnsi="Arial" w:cs="Arial"/>
          <w:sz w:val="22"/>
          <w:szCs w:val="22"/>
          <w:lang w:val="en-GB"/>
        </w:rPr>
        <w:noBreakHyphen/>
        <w:t>0.25)/(T</w:t>
      </w:r>
      <w:r w:rsidRPr="00E4265B">
        <w:rPr>
          <w:rFonts w:ascii="Arial" w:hAnsi="Arial" w:cs="Arial"/>
          <w:sz w:val="22"/>
          <w:szCs w:val="22"/>
          <w:lang w:val="en-GB"/>
        </w:rPr>
        <w:noBreakHyphen/>
        <w:t>0.25)</w:t>
      </w:r>
    </w:p>
    <w:p w14:paraId="3026CDB9" w14:textId="77777777" w:rsidR="00E22FF2" w:rsidRPr="00E4265B" w:rsidRDefault="00E22FF2" w:rsidP="0038681C">
      <w:pPr>
        <w:pStyle w:val="UK12Block10"/>
        <w:ind w:left="1800"/>
        <w:rPr>
          <w:rFonts w:ascii="Arial" w:hAnsi="Arial" w:cs="Arial"/>
          <w:sz w:val="22"/>
          <w:szCs w:val="22"/>
          <w:lang w:val="en-GB"/>
        </w:rPr>
      </w:pPr>
      <w:r w:rsidRPr="00E4265B">
        <w:rPr>
          <w:rFonts w:ascii="Arial" w:hAnsi="Arial" w:cs="Arial"/>
          <w:sz w:val="22"/>
          <w:szCs w:val="22"/>
          <w:lang w:val="en-GB"/>
        </w:rPr>
        <w:t xml:space="preserve">where </w:t>
      </w:r>
      <w:r w:rsidRPr="00E4265B">
        <w:rPr>
          <w:rFonts w:ascii="Arial" w:hAnsi="Arial" w:cs="Arial"/>
          <w:sz w:val="22"/>
          <w:szCs w:val="22"/>
          <w:lang w:val="en-GB"/>
        </w:rPr>
        <w:noBreakHyphen/>
      </w:r>
    </w:p>
    <w:p w14:paraId="5BAEFC03"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P = value of the credit protection (e.g. Collateral amount, guarantee amount) adjusted for any haircuts;</w:t>
      </w:r>
    </w:p>
    <w:p w14:paraId="6306D5B5"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 = min (T, residual maturity of the Credit Risk mitigant) expressed in years; and</w:t>
      </w:r>
    </w:p>
    <w:p w14:paraId="184159B2"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 = min (5, residual maturity of the Exposure) expressed in years.</w:t>
      </w:r>
    </w:p>
    <w:p w14:paraId="1E1ACC72" w14:textId="77777777" w:rsidR="00E22FF2" w:rsidRPr="00E4265B" w:rsidRDefault="00E22FF2" w:rsidP="0038681C">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For residual maturity of the Exposure in the case of a basket of Exposures with different maturities,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use the longest maturity of any of the Exposures as the maturity of all the Exposures being hedged.</w:t>
      </w:r>
    </w:p>
    <w:p w14:paraId="0521EF89" w14:textId="77777777" w:rsidR="00E22FF2" w:rsidRPr="00E4265B" w:rsidRDefault="00E22FF2" w:rsidP="0038681C">
      <w:pPr>
        <w:pStyle w:val="TitleL5"/>
        <w:rPr>
          <w:rFonts w:ascii="Arial" w:hAnsi="Arial" w:cs="Arial"/>
          <w:sz w:val="22"/>
          <w:szCs w:val="22"/>
          <w:lang w:val="en-GB"/>
        </w:rPr>
      </w:pPr>
      <w:r w:rsidRPr="00E4265B">
        <w:rPr>
          <w:rFonts w:ascii="Arial" w:hAnsi="Arial" w:cs="Arial"/>
          <w:sz w:val="22"/>
          <w:szCs w:val="22"/>
          <w:lang w:val="en-GB"/>
        </w:rPr>
        <w:t>Guidance</w:t>
      </w:r>
    </w:p>
    <w:p w14:paraId="01EEFE24" w14:textId="77777777" w:rsidR="00E22FF2" w:rsidRPr="00E4265B" w:rsidRDefault="00E22FF2" w:rsidP="0038681C">
      <w:pPr>
        <w:pStyle w:val="UK12Block05"/>
        <w:rPr>
          <w:rFonts w:ascii="Arial" w:hAnsi="Arial" w:cs="Arial"/>
          <w:sz w:val="22"/>
          <w:szCs w:val="22"/>
          <w:lang w:val="en-GB"/>
        </w:rPr>
      </w:pPr>
      <w:r w:rsidRPr="00E4265B">
        <w:rPr>
          <w:rFonts w:ascii="Arial" w:hAnsi="Arial" w:cs="Arial"/>
          <w:sz w:val="22"/>
          <w:szCs w:val="22"/>
          <w:lang w:val="en-GB"/>
        </w:rPr>
        <w:t xml:space="preserve">The positive incentive for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call the transaction before contractual maturity as referred in Rule 4.13.15 would be, for example, a situation wherein there is a step</w:t>
      </w:r>
      <w:r w:rsidRPr="00E4265B">
        <w:rPr>
          <w:rFonts w:ascii="Arial" w:hAnsi="Arial" w:cs="Arial"/>
          <w:sz w:val="22"/>
          <w:szCs w:val="22"/>
          <w:lang w:val="en-GB"/>
        </w:rPr>
        <w:noBreakHyphen/>
        <w:t>up in cost in conjunction with a call feature or where the effective cost of cover remains the same even if credit quality remains the same or increases.</w:t>
      </w:r>
    </w:p>
    <w:p w14:paraId="4898545D" w14:textId="77777777" w:rsidR="00E22FF2" w:rsidRPr="00E4265B" w:rsidRDefault="00E22FF2" w:rsidP="0038681C">
      <w:pPr>
        <w:pStyle w:val="TitleL5"/>
        <w:rPr>
          <w:rFonts w:ascii="Arial" w:hAnsi="Arial" w:cs="Arial"/>
          <w:sz w:val="22"/>
          <w:szCs w:val="22"/>
          <w:lang w:val="en-GB"/>
        </w:rPr>
      </w:pPr>
      <w:r w:rsidRPr="00E4265B">
        <w:rPr>
          <w:rFonts w:ascii="Arial" w:hAnsi="Arial" w:cs="Arial"/>
          <w:sz w:val="22"/>
          <w:szCs w:val="22"/>
          <w:lang w:val="en-GB"/>
        </w:rPr>
        <w:t>On</w:t>
      </w:r>
      <w:r w:rsidRPr="00E4265B">
        <w:rPr>
          <w:rFonts w:ascii="Arial" w:hAnsi="Arial" w:cs="Arial"/>
          <w:sz w:val="22"/>
          <w:szCs w:val="22"/>
          <w:lang w:val="en-GB"/>
        </w:rPr>
        <w:noBreakHyphen/>
        <w:t>balance sheet Netting</w:t>
      </w:r>
    </w:p>
    <w:p w14:paraId="16E950DA"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may recognise as eligible the Netting of an on</w:t>
      </w:r>
      <w:r w:rsidRPr="00E4265B">
        <w:rPr>
          <w:rFonts w:ascii="Arial" w:hAnsi="Arial" w:cs="Arial"/>
          <w:sz w:val="22"/>
          <w:szCs w:val="22"/>
        </w:rPr>
        <w:noBreakHyphen/>
        <w:t>balance sheet Exposure against an offsetting on</w:t>
      </w:r>
      <w:r w:rsidRPr="00E4265B">
        <w:rPr>
          <w:rFonts w:ascii="Arial" w:hAnsi="Arial" w:cs="Arial"/>
          <w:sz w:val="22"/>
          <w:szCs w:val="22"/>
        </w:rPr>
        <w:noBreakHyphen/>
        <w:t>balance sheet item if the related Netting agreement meets the condition in Rule 4.13.19.</w:t>
      </w:r>
    </w:p>
    <w:p w14:paraId="0FCF763E" w14:textId="77777777" w:rsidR="00E22FF2" w:rsidRPr="00E4265B" w:rsidRDefault="00E22FF2" w:rsidP="0038681C">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Eligibility for Netting is limited to reciprocal cash balances between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its Counterparty. Only loans and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xml:space="preserve">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be subject to a modification of their Credit RWAs as a result of an on</w:t>
      </w:r>
      <w:r w:rsidRPr="00E4265B">
        <w:rPr>
          <w:rFonts w:ascii="Arial" w:hAnsi="Arial" w:cs="Arial"/>
          <w:sz w:val="22"/>
          <w:szCs w:val="22"/>
          <w:lang w:val="en-GB"/>
        </w:rPr>
        <w:noBreakHyphen/>
        <w:t>balance sheet Netting agreement.</w:t>
      </w:r>
    </w:p>
    <w:p w14:paraId="24F7E119"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lastRenderedPageBreak/>
        <w:t>(1)</w:t>
      </w:r>
      <w:r w:rsidRPr="00E4265B">
        <w:rPr>
          <w:rFonts w:ascii="Arial" w:hAnsi="Arial" w:cs="Arial"/>
          <w:sz w:val="22"/>
          <w:szCs w:val="22"/>
        </w:rPr>
        <w:tab/>
        <w:t>Assets (loans) and liabilities (</w:t>
      </w:r>
      <w:r w:rsidR="006C764B" w:rsidRPr="00E4265B">
        <w:rPr>
          <w:rFonts w:ascii="Arial" w:hAnsi="Arial" w:cs="Arial"/>
          <w:sz w:val="22"/>
          <w:szCs w:val="22"/>
        </w:rPr>
        <w:t>Deposit</w:t>
      </w:r>
      <w:r w:rsidR="00A72B66" w:rsidRPr="00E4265B">
        <w:rPr>
          <w:rFonts w:ascii="Arial" w:hAnsi="Arial" w:cs="Arial"/>
          <w:sz w:val="22"/>
          <w:szCs w:val="22"/>
        </w:rPr>
        <w:t>s</w:t>
      </w:r>
      <w:r w:rsidRPr="00E4265B">
        <w:rPr>
          <w:rFonts w:ascii="Arial" w:hAnsi="Arial" w:cs="Arial"/>
          <w:sz w:val="22"/>
          <w:szCs w:val="22"/>
        </w:rPr>
        <w:t>) subject to recognised on</w:t>
      </w:r>
      <w:r w:rsidRPr="00E4265B">
        <w:rPr>
          <w:rFonts w:ascii="Arial" w:hAnsi="Arial" w:cs="Arial"/>
          <w:sz w:val="22"/>
          <w:szCs w:val="22"/>
        </w:rPr>
        <w:noBreakHyphen/>
        <w:t xml:space="preserve">balance sheet Netting are to be treated as cash Collateral using the formula in A4.3.6, under which an </w:t>
      </w:r>
      <w:r w:rsidR="000D1A90" w:rsidRPr="00E4265B">
        <w:rPr>
          <w:rFonts w:ascii="Arial" w:hAnsi="Arial" w:cs="Arial"/>
          <w:sz w:val="22"/>
          <w:szCs w:val="22"/>
        </w:rPr>
        <w:t>Authorised Person</w:t>
      </w:r>
      <w:r w:rsidRPr="00E4265B">
        <w:rPr>
          <w:rFonts w:ascii="Arial" w:hAnsi="Arial" w:cs="Arial"/>
          <w:sz w:val="22"/>
          <w:szCs w:val="22"/>
        </w:rPr>
        <w:t xml:space="preserve"> may use zero haircuts for Exposure and Collateral.</w:t>
      </w:r>
    </w:p>
    <w:p w14:paraId="548334E0" w14:textId="77777777" w:rsidR="00E22FF2" w:rsidRPr="00E4265B" w:rsidRDefault="00E22FF2" w:rsidP="0038681C">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When a currency mismatch exists,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apply the standard supervisory haircut of 8% for currency mismatch.</w:t>
      </w:r>
    </w:p>
    <w:p w14:paraId="48906970" w14:textId="77777777" w:rsidR="00E22FF2" w:rsidRPr="00E4265B" w:rsidRDefault="00E22FF2" w:rsidP="0038681C">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When a </w:t>
      </w:r>
      <w:r w:rsidR="005D344E" w:rsidRPr="00E4265B">
        <w:rPr>
          <w:rFonts w:ascii="Arial" w:hAnsi="Arial" w:cs="Arial"/>
          <w:sz w:val="22"/>
          <w:szCs w:val="22"/>
          <w:lang w:val="en-GB"/>
        </w:rPr>
        <w:t>Maturity Mismatch</w:t>
      </w:r>
      <w:r w:rsidRPr="00E4265B">
        <w:rPr>
          <w:rFonts w:ascii="Arial" w:hAnsi="Arial" w:cs="Arial"/>
          <w:sz w:val="22"/>
          <w:szCs w:val="22"/>
          <w:lang w:val="en-GB"/>
        </w:rPr>
        <w:t xml:space="preserve"> exists between the off</w:t>
      </w:r>
      <w:r w:rsidRPr="00E4265B">
        <w:rPr>
          <w:rFonts w:ascii="Arial" w:hAnsi="Arial" w:cs="Arial"/>
          <w:sz w:val="22"/>
          <w:szCs w:val="22"/>
          <w:lang w:val="en-GB"/>
        </w:rPr>
        <w:noBreakHyphen/>
        <w:t xml:space="preserve">setting items,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apply the Rules 4.13.14 to 4.13.16 to address the </w:t>
      </w:r>
      <w:r w:rsidR="005D344E" w:rsidRPr="00E4265B">
        <w:rPr>
          <w:rFonts w:ascii="Arial" w:hAnsi="Arial" w:cs="Arial"/>
          <w:sz w:val="22"/>
          <w:szCs w:val="22"/>
          <w:lang w:val="en-GB"/>
        </w:rPr>
        <w:t>Maturity Mismatch</w:t>
      </w:r>
      <w:r w:rsidRPr="00E4265B">
        <w:rPr>
          <w:rFonts w:ascii="Arial" w:hAnsi="Arial" w:cs="Arial"/>
          <w:sz w:val="22"/>
          <w:szCs w:val="22"/>
          <w:lang w:val="en-GB"/>
        </w:rPr>
        <w:t>.</w:t>
      </w:r>
    </w:p>
    <w:p w14:paraId="6729D563" w14:textId="77777777" w:rsidR="00E22FF2" w:rsidRPr="00E4265B" w:rsidRDefault="00E22FF2" w:rsidP="0038681C">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Net credit Exposure, after taking into account recognised Netting, will be subject to the applicable CRW for the Counterparty.</w:t>
      </w:r>
    </w:p>
    <w:p w14:paraId="4AEC1FCA"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For an </w:t>
      </w:r>
      <w:r w:rsidR="000D1A90" w:rsidRPr="00E4265B">
        <w:rPr>
          <w:rFonts w:ascii="Arial" w:hAnsi="Arial" w:cs="Arial"/>
          <w:sz w:val="22"/>
          <w:szCs w:val="22"/>
        </w:rPr>
        <w:t>Authorised Person</w:t>
      </w:r>
      <w:r w:rsidRPr="00E4265B">
        <w:rPr>
          <w:rFonts w:ascii="Arial" w:hAnsi="Arial" w:cs="Arial"/>
          <w:sz w:val="22"/>
          <w:szCs w:val="22"/>
        </w:rPr>
        <w:t xml:space="preserve"> to recognise an on</w:t>
      </w:r>
      <w:r w:rsidRPr="00E4265B">
        <w:rPr>
          <w:rFonts w:ascii="Arial" w:hAnsi="Arial" w:cs="Arial"/>
          <w:sz w:val="22"/>
          <w:szCs w:val="22"/>
        </w:rPr>
        <w:noBreakHyphen/>
        <w:t>balance sheet Netting agreement for the purposes of Rule 4.13.17, all of the following conditions must be satisfied:</w:t>
      </w:r>
    </w:p>
    <w:p w14:paraId="5F8C66A4" w14:textId="77777777" w:rsidR="00E22FF2" w:rsidRPr="00E4265B" w:rsidRDefault="00E22FF2" w:rsidP="0038681C">
      <w:pPr>
        <w:pStyle w:val="1List"/>
        <w:tabs>
          <w:tab w:val="left" w:pos="1710"/>
          <w:tab w:val="left" w:pos="2520"/>
        </w:tabs>
        <w:ind w:left="2520" w:hanging="1584"/>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(a)</w:t>
      </w:r>
      <w:r w:rsidRPr="00E4265B">
        <w:rPr>
          <w:rFonts w:ascii="Arial" w:hAnsi="Arial" w:cs="Arial"/>
          <w:sz w:val="22"/>
          <w:szCs w:val="22"/>
          <w:lang w:val="en-GB"/>
        </w:rPr>
        <w:tab/>
        <w:t>both the on</w:t>
      </w:r>
      <w:r w:rsidRPr="00E4265B">
        <w:rPr>
          <w:rFonts w:ascii="Arial" w:hAnsi="Arial" w:cs="Arial"/>
          <w:sz w:val="22"/>
          <w:szCs w:val="22"/>
          <w:lang w:val="en-GB"/>
        </w:rPr>
        <w:noBreakHyphen/>
        <w:t>balance sheet Exposure (asset) and the offsetting on</w:t>
      </w:r>
      <w:r w:rsidRPr="00E4265B">
        <w:rPr>
          <w:rFonts w:ascii="Arial" w:hAnsi="Arial" w:cs="Arial"/>
          <w:sz w:val="22"/>
          <w:szCs w:val="22"/>
          <w:lang w:val="en-GB"/>
        </w:rPr>
        <w:noBreakHyphen/>
        <w:t xml:space="preserve">balance sheet item (liability) are owing between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the same Counterparty;</w:t>
      </w:r>
    </w:p>
    <w:p w14:paraId="284A8EC0"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nets the on</w:t>
      </w:r>
      <w:r w:rsidRPr="00E4265B">
        <w:rPr>
          <w:rFonts w:ascii="Arial" w:hAnsi="Arial" w:cs="Arial"/>
          <w:sz w:val="22"/>
          <w:szCs w:val="22"/>
          <w:lang w:val="en-GB"/>
        </w:rPr>
        <w:noBreakHyphen/>
        <w:t>balance sheet Exposure (asset) and the offsetting on</w:t>
      </w:r>
      <w:r w:rsidRPr="00E4265B">
        <w:rPr>
          <w:rFonts w:ascii="Arial" w:hAnsi="Arial" w:cs="Arial"/>
          <w:sz w:val="22"/>
          <w:szCs w:val="22"/>
          <w:lang w:val="en-GB"/>
        </w:rPr>
        <w:noBreakHyphen/>
        <w:t>balance sheet item (liability) in a way that is consistent with its legal rights against the Counterparty;</w:t>
      </w:r>
    </w:p>
    <w:p w14:paraId="4F53282D"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a legal right of set</w:t>
      </w:r>
      <w:r w:rsidRPr="00E4265B">
        <w:rPr>
          <w:rFonts w:ascii="Arial" w:hAnsi="Arial" w:cs="Arial"/>
          <w:sz w:val="22"/>
          <w:szCs w:val="22"/>
          <w:lang w:val="en-GB"/>
        </w:rPr>
        <w:noBreakHyphen/>
        <w:t>off exists;</w:t>
      </w:r>
    </w:p>
    <w:p w14:paraId="44392AAD"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the agreement between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the Counterparty does not contain a Walkaway Clause;</w:t>
      </w:r>
    </w:p>
    <w:p w14:paraId="60271101"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the Netting provided for in the agreement between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the Counterparty is effective and enforceable in the event of default, bankruptcy, liquidation or other similar circumstances affecting either the Counterparty or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55C42B41"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the on</w:t>
      </w:r>
      <w:r w:rsidRPr="00E4265B">
        <w:rPr>
          <w:rFonts w:ascii="Arial" w:hAnsi="Arial" w:cs="Arial"/>
          <w:sz w:val="22"/>
          <w:szCs w:val="22"/>
          <w:lang w:val="en-GB"/>
        </w:rPr>
        <w:noBreakHyphen/>
        <w:t>balance sheet Exposure (asset) and the offsetting on</w:t>
      </w:r>
      <w:r w:rsidRPr="00E4265B">
        <w:rPr>
          <w:rFonts w:ascii="Arial" w:hAnsi="Arial" w:cs="Arial"/>
          <w:sz w:val="22"/>
          <w:szCs w:val="22"/>
          <w:lang w:val="en-GB"/>
        </w:rPr>
        <w:noBreakHyphen/>
        <w:t>balance sheet item (liability) are monitored, controlled and managed on a net basis; and</w:t>
      </w:r>
    </w:p>
    <w:p w14:paraId="61BC38EC"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the potential for roll</w:t>
      </w:r>
      <w:r w:rsidRPr="00E4265B">
        <w:rPr>
          <w:rFonts w:ascii="Arial" w:hAnsi="Arial" w:cs="Arial"/>
          <w:sz w:val="22"/>
          <w:szCs w:val="22"/>
          <w:lang w:val="en-GB"/>
        </w:rPr>
        <w:noBreakHyphen/>
        <w:t xml:space="preserve">off Exposure is monitored and controlled where there is a </w:t>
      </w:r>
      <w:r w:rsidR="005D344E" w:rsidRPr="00E4265B">
        <w:rPr>
          <w:rFonts w:ascii="Arial" w:hAnsi="Arial" w:cs="Arial"/>
          <w:sz w:val="22"/>
          <w:szCs w:val="22"/>
          <w:lang w:val="en-GB"/>
        </w:rPr>
        <w:t>Maturity Mismatch</w:t>
      </w:r>
      <w:r w:rsidRPr="00E4265B">
        <w:rPr>
          <w:rFonts w:ascii="Arial" w:hAnsi="Arial" w:cs="Arial"/>
          <w:sz w:val="22"/>
          <w:szCs w:val="22"/>
          <w:lang w:val="en-GB"/>
        </w:rPr>
        <w:t>; and</w:t>
      </w:r>
    </w:p>
    <w:p w14:paraId="0CE0AD8C" w14:textId="77777777" w:rsidR="00E22FF2" w:rsidRPr="00E4265B" w:rsidRDefault="00E22FF2" w:rsidP="0038681C">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it has, in respect of each relevant jurisdiction, a written and reasoned legal opinion which:</w:t>
      </w:r>
    </w:p>
    <w:p w14:paraId="226E9859"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has been provided by an external source of legal advice of appropriate professional standing;</w:t>
      </w:r>
    </w:p>
    <w:p w14:paraId="07D74290"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confirms that the requirements of (1)(a)</w:t>
      </w:r>
      <w:r w:rsidRPr="00E4265B">
        <w:rPr>
          <w:rFonts w:ascii="Arial" w:hAnsi="Arial" w:cs="Arial"/>
          <w:sz w:val="22"/>
          <w:szCs w:val="22"/>
          <w:lang w:val="en-GB"/>
        </w:rPr>
        <w:noBreakHyphen/>
        <w:t>(e) are met for all relevant jurisdictions; and</w:t>
      </w:r>
    </w:p>
    <w:p w14:paraId="68213293"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is kept under review to ensure that it remains correct and up to date in the event of changes to the relevant laws.</w:t>
      </w:r>
    </w:p>
    <w:p w14:paraId="5C9E2E4E" w14:textId="77777777" w:rsidR="00E22FF2" w:rsidRPr="00E4265B" w:rsidRDefault="00E22FF2" w:rsidP="0038681C">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3B635EAC" w14:textId="77777777" w:rsidR="00E22FF2" w:rsidRPr="00E4265B" w:rsidRDefault="00E22FF2" w:rsidP="0038681C">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assess whether any qualifications, assumptions or reservations contained in the legal opinion cast doubt upon the enforceability of the Netting agreement. If, as a result of the qualifications, assumptions or reservations, there is material doubt about the enforceability of the agreement,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assume that the requirements for Netting have not been met.</w:t>
      </w:r>
    </w:p>
    <w:p w14:paraId="6E33BB62" w14:textId="77777777" w:rsidR="00E22FF2" w:rsidRPr="00E4265B" w:rsidRDefault="00E22FF2" w:rsidP="0038681C">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using a standard form Netting agreement and a supporting legal opinion should ensure that the relevant requirements in Rules 4.13.17 to 4.13.19 are met. A standard form Netting agreement is a form of agreement which is prepared by a reputable, internationally recognised industry association and is supported by its own legal opinion. Where additional clauses are added to a standard form Netting agreement,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satisfy itself that the amended Netting agreement continues to meet the legal and contractual requirements in Rules 4.13.17 to 4.13.19. For instance, in such cases,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wish to obtain a second legal opinion to confirm that the relevant requirements in Rules 4.13.17 to 4.13.19 are still satisfied.</w:t>
      </w:r>
    </w:p>
    <w:p w14:paraId="51A882B4" w14:textId="77777777" w:rsidR="00E22FF2" w:rsidRPr="00E4265B" w:rsidRDefault="00E22FF2" w:rsidP="0038681C">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App4 sets out the calculation of the PFCE arising from OTC </w:t>
      </w:r>
      <w:r w:rsidR="005F3B3B" w:rsidRPr="00E4265B">
        <w:rPr>
          <w:rFonts w:ascii="Arial" w:hAnsi="Arial" w:cs="Arial"/>
          <w:sz w:val="22"/>
          <w:szCs w:val="22"/>
          <w:lang w:val="en-GB"/>
        </w:rPr>
        <w:t>Derivative</w:t>
      </w:r>
      <w:r w:rsidRPr="00E4265B">
        <w:rPr>
          <w:rFonts w:ascii="Arial" w:hAnsi="Arial" w:cs="Arial"/>
          <w:sz w:val="22"/>
          <w:szCs w:val="22"/>
          <w:lang w:val="en-GB"/>
        </w:rPr>
        <w:t xml:space="preserve"> contracts, on a net basis.</w:t>
      </w:r>
    </w:p>
    <w:p w14:paraId="48AB2701" w14:textId="77777777" w:rsidR="00E22FF2" w:rsidRPr="00E4265B" w:rsidRDefault="00E22FF2" w:rsidP="00246497">
      <w:pPr>
        <w:pStyle w:val="Heading3"/>
        <w:rPr>
          <w:rFonts w:ascii="Arial" w:hAnsi="Arial" w:cs="Arial"/>
          <w:sz w:val="22"/>
          <w:szCs w:val="22"/>
        </w:rPr>
      </w:pPr>
      <w:bookmarkStart w:id="425" w:name="_Toc403223954"/>
      <w:bookmarkStart w:id="426" w:name="_Toc403253992"/>
      <w:bookmarkStart w:id="427" w:name="_Toc403273392"/>
      <w:bookmarkStart w:id="428" w:name="_Toc403273541"/>
      <w:bookmarkStart w:id="429" w:name="_Toc403274500"/>
      <w:bookmarkStart w:id="430" w:name="_Toc403279996"/>
      <w:bookmarkStart w:id="431" w:name="_Toc404285797"/>
      <w:bookmarkStart w:id="432" w:name="_Toc404621746"/>
      <w:bookmarkStart w:id="433" w:name="_Toc404624387"/>
      <w:bookmarkStart w:id="434" w:name="_Toc33622413"/>
      <w:r w:rsidRPr="00E4265B">
        <w:rPr>
          <w:rFonts w:ascii="Arial" w:hAnsi="Arial" w:cs="Arial"/>
          <w:sz w:val="22"/>
          <w:szCs w:val="22"/>
        </w:rPr>
        <w:t>Securitisation</w:t>
      </w:r>
      <w:bookmarkEnd w:id="425"/>
      <w:bookmarkEnd w:id="426"/>
      <w:bookmarkEnd w:id="427"/>
      <w:bookmarkEnd w:id="428"/>
      <w:bookmarkEnd w:id="429"/>
      <w:bookmarkEnd w:id="430"/>
      <w:bookmarkEnd w:id="431"/>
      <w:bookmarkEnd w:id="432"/>
      <w:bookmarkEnd w:id="433"/>
      <w:bookmarkEnd w:id="434"/>
    </w:p>
    <w:p w14:paraId="6904359D" w14:textId="77777777" w:rsidR="00E22FF2" w:rsidRPr="00E4265B" w:rsidRDefault="00E22FF2" w:rsidP="0038681C">
      <w:pPr>
        <w:pStyle w:val="TitleL5"/>
        <w:rPr>
          <w:rFonts w:ascii="Arial" w:hAnsi="Arial" w:cs="Arial"/>
          <w:sz w:val="22"/>
          <w:szCs w:val="22"/>
          <w:lang w:val="en-GB"/>
        </w:rPr>
      </w:pPr>
      <w:r w:rsidRPr="00E4265B">
        <w:rPr>
          <w:rFonts w:ascii="Arial" w:hAnsi="Arial" w:cs="Arial"/>
          <w:sz w:val="22"/>
          <w:szCs w:val="22"/>
          <w:lang w:val="en-GB"/>
        </w:rPr>
        <w:t>Application</w:t>
      </w:r>
    </w:p>
    <w:p w14:paraId="6189C996" w14:textId="3D3C1F6C" w:rsidR="00E22FF2" w:rsidRPr="00E4265B" w:rsidRDefault="00E22FF2" w:rsidP="00A23E1F">
      <w:pPr>
        <w:pStyle w:val="Heading4"/>
        <w:rPr>
          <w:rFonts w:ascii="Arial" w:hAnsi="Arial" w:cs="Arial"/>
          <w:sz w:val="22"/>
          <w:szCs w:val="22"/>
        </w:rPr>
      </w:pPr>
      <w:r w:rsidRPr="00E4265B">
        <w:rPr>
          <w:rFonts w:ascii="Arial" w:hAnsi="Arial" w:cs="Arial"/>
          <w:sz w:val="22"/>
          <w:szCs w:val="22"/>
        </w:rPr>
        <w:t xml:space="preserve">This Section applies to an </w:t>
      </w:r>
      <w:r w:rsidR="000D1A90" w:rsidRPr="00E4265B">
        <w:rPr>
          <w:rFonts w:ascii="Arial" w:hAnsi="Arial" w:cs="Arial"/>
          <w:sz w:val="22"/>
          <w:szCs w:val="22"/>
        </w:rPr>
        <w:t>Authorised Person</w:t>
      </w:r>
      <w:r w:rsidRPr="00E4265B">
        <w:rPr>
          <w:rFonts w:ascii="Arial" w:hAnsi="Arial" w:cs="Arial"/>
          <w:sz w:val="22"/>
          <w:szCs w:val="22"/>
        </w:rPr>
        <w:t xml:space="preserve"> </w:t>
      </w:r>
      <w:r w:rsidR="006B304D" w:rsidRPr="00E4265B">
        <w:rPr>
          <w:rFonts w:ascii="Arial" w:hAnsi="Arial" w:cs="Arial"/>
          <w:sz w:val="22"/>
          <w:szCs w:val="22"/>
        </w:rPr>
        <w:t>wh</w:t>
      </w:r>
      <w:r w:rsidR="00A23E1F" w:rsidRPr="00E4265B">
        <w:rPr>
          <w:rFonts w:ascii="Arial" w:hAnsi="Arial" w:cs="Arial"/>
          <w:sz w:val="22"/>
          <w:szCs w:val="22"/>
        </w:rPr>
        <w:t>ich</w:t>
      </w:r>
      <w:r w:rsidRPr="00E4265B">
        <w:rPr>
          <w:rFonts w:ascii="Arial" w:hAnsi="Arial" w:cs="Arial"/>
          <w:sz w:val="22"/>
          <w:szCs w:val="22"/>
        </w:rPr>
        <w:t xml:space="preserve">: </w:t>
      </w:r>
    </w:p>
    <w:p w14:paraId="7E075B8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acts as an Originator in a securitisation;</w:t>
      </w:r>
    </w:p>
    <w:p w14:paraId="7B4E3FC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transfers Credit Risk on a single item or on a pool of items by any of the legal transfer methods set out in Rule A4.10.1;</w:t>
      </w:r>
    </w:p>
    <w:p w14:paraId="03F2708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acts as a Sponsor in a securitisation; or</w:t>
      </w:r>
    </w:p>
    <w:p w14:paraId="06D3581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provides Credit Enhancement, liquidity support, or Underwriting or dealing facilities relating to the items being transferred.</w:t>
      </w:r>
    </w:p>
    <w:p w14:paraId="74E71F8D" w14:textId="77777777" w:rsidR="00E22FF2" w:rsidRPr="00E4265B" w:rsidRDefault="00E22FF2" w:rsidP="0038681C">
      <w:pPr>
        <w:pStyle w:val="TitleL5"/>
        <w:rPr>
          <w:rFonts w:ascii="Arial" w:hAnsi="Arial" w:cs="Arial"/>
          <w:sz w:val="22"/>
          <w:szCs w:val="22"/>
          <w:lang w:val="en-GB"/>
        </w:rPr>
      </w:pPr>
      <w:r w:rsidRPr="00E4265B">
        <w:rPr>
          <w:rFonts w:ascii="Arial" w:hAnsi="Arial" w:cs="Arial"/>
          <w:sz w:val="22"/>
          <w:szCs w:val="22"/>
          <w:lang w:val="en-GB"/>
        </w:rPr>
        <w:t>Interpretation</w:t>
      </w:r>
    </w:p>
    <w:p w14:paraId="61B2631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For the purposes of this Chapter and App4, "securitisation" includes Traditional Securitisation, Synthetic Securitisation and Re</w:t>
      </w:r>
      <w:r w:rsidRPr="00E4265B">
        <w:rPr>
          <w:rFonts w:ascii="Arial" w:hAnsi="Arial" w:cs="Arial"/>
          <w:sz w:val="22"/>
          <w:szCs w:val="22"/>
        </w:rPr>
        <w:noBreakHyphen/>
        <w:t>securitisation, as defined below:</w:t>
      </w:r>
    </w:p>
    <w:p w14:paraId="138FBDA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 Traditional Securitisation is a structure where the cash flow from an underlying pool of Exposures is used to service at least two different stratified risk positions or tranches reflecting different degrees of Credit Risk. Payments to the investors depend upon the performance of the specified underlying Exposures, as opposed to being derived from an obligation of the entity originating those Exposures. A Traditional Securitisation will generally assume the movement of assets off balance sheet.</w:t>
      </w:r>
    </w:p>
    <w:p w14:paraId="0C6C4D4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 Synthetic Securitisation is a structure with at least two different stratified risk positions or tranches that reflect different degrees of Credit Risk where Credit Risk of an underlying pool of Exposures is transferred, in whole or in </w:t>
      </w:r>
      <w:r w:rsidRPr="00E4265B">
        <w:rPr>
          <w:rFonts w:ascii="Arial" w:hAnsi="Arial" w:cs="Arial"/>
          <w:sz w:val="22"/>
          <w:szCs w:val="22"/>
        </w:rPr>
        <w:lastRenderedPageBreak/>
        <w:t>part, through the use of funded (e.g. CLNs) or unfunded (e.g. credit default swaps) Credit Derivatives or guarantees that serve to hedge the Credit Risk of the portfolio. Accordingly, the investors' potential risk is dependent upon the performance of the underlying pool. A Synthetic Securitisation may or may not involve the removal of assets off balance sheet.</w:t>
      </w:r>
    </w:p>
    <w:p w14:paraId="31DE1FF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 Re</w:t>
      </w:r>
      <w:r w:rsidRPr="00E4265B">
        <w:rPr>
          <w:rFonts w:ascii="Arial" w:hAnsi="Arial" w:cs="Arial"/>
          <w:sz w:val="22"/>
          <w:szCs w:val="22"/>
        </w:rPr>
        <w:noBreakHyphen/>
        <w:t>securitisation Exposure is a securitisation Exposure in which the associated underlying pool of Exposures is tranched and at least one of the underlying Exposures is a securitisation Exposure. In addition, an Exposure to one or more Re</w:t>
      </w:r>
      <w:r w:rsidRPr="00E4265B">
        <w:rPr>
          <w:rFonts w:ascii="Arial" w:hAnsi="Arial" w:cs="Arial"/>
          <w:sz w:val="22"/>
          <w:szCs w:val="22"/>
        </w:rPr>
        <w:noBreakHyphen/>
        <w:t>securitisation Exposures is a Re</w:t>
      </w:r>
      <w:r w:rsidRPr="00E4265B">
        <w:rPr>
          <w:rFonts w:ascii="Arial" w:hAnsi="Arial" w:cs="Arial"/>
          <w:sz w:val="22"/>
          <w:szCs w:val="22"/>
        </w:rPr>
        <w:noBreakHyphen/>
        <w:t>securitisation Exposure.</w:t>
      </w:r>
    </w:p>
    <w:p w14:paraId="317D5240" w14:textId="77777777" w:rsidR="00E22FF2" w:rsidRPr="00E4265B" w:rsidRDefault="00E22FF2" w:rsidP="0038681C">
      <w:pPr>
        <w:pStyle w:val="TitleL5"/>
        <w:rPr>
          <w:rFonts w:ascii="Arial" w:hAnsi="Arial" w:cs="Arial"/>
          <w:sz w:val="22"/>
          <w:szCs w:val="22"/>
          <w:lang w:val="en-GB"/>
        </w:rPr>
      </w:pPr>
      <w:r w:rsidRPr="00E4265B">
        <w:rPr>
          <w:rFonts w:ascii="Arial" w:hAnsi="Arial" w:cs="Arial"/>
          <w:sz w:val="22"/>
          <w:szCs w:val="22"/>
          <w:lang w:val="en-GB"/>
        </w:rPr>
        <w:t>Guidance</w:t>
      </w:r>
    </w:p>
    <w:p w14:paraId="2FC91CF8" w14:textId="77777777" w:rsidR="00E22FF2" w:rsidRPr="00E4265B" w:rsidRDefault="00E22FF2" w:rsidP="008F5C01">
      <w:pPr>
        <w:pStyle w:val="UK12Block05"/>
        <w:rPr>
          <w:rFonts w:ascii="Arial" w:hAnsi="Arial" w:cs="Arial"/>
          <w:sz w:val="22"/>
          <w:szCs w:val="22"/>
          <w:lang w:val="en-GB"/>
        </w:rPr>
      </w:pPr>
      <w:r w:rsidRPr="00E4265B">
        <w:rPr>
          <w:rFonts w:ascii="Arial" w:hAnsi="Arial" w:cs="Arial"/>
          <w:sz w:val="22"/>
          <w:szCs w:val="22"/>
          <w:lang w:val="en-GB"/>
        </w:rPr>
        <w:t>The Regulator would treat other techniques to achieve the financing or re</w:t>
      </w:r>
      <w:r w:rsidRPr="00E4265B">
        <w:rPr>
          <w:rFonts w:ascii="Arial" w:hAnsi="Arial" w:cs="Arial"/>
          <w:sz w:val="22"/>
          <w:szCs w:val="22"/>
          <w:lang w:val="en-GB"/>
        </w:rPr>
        <w:noBreakHyphen/>
        <w:t xml:space="preserve">financing of assets which are legally transferred to a scheme, by packaging them into a tradable form through the issue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which are secured on the assets and serviced from the cashflows which they yield as "securitisation".</w:t>
      </w:r>
    </w:p>
    <w:p w14:paraId="51692704" w14:textId="77777777" w:rsidR="00E22FF2" w:rsidRPr="00E4265B" w:rsidRDefault="00E22FF2" w:rsidP="0038681C">
      <w:pPr>
        <w:pStyle w:val="TitleL5"/>
        <w:rPr>
          <w:rFonts w:ascii="Arial" w:hAnsi="Arial" w:cs="Arial"/>
          <w:sz w:val="22"/>
          <w:szCs w:val="22"/>
          <w:lang w:val="en-GB"/>
        </w:rPr>
      </w:pPr>
      <w:r w:rsidRPr="00E4265B">
        <w:rPr>
          <w:rFonts w:ascii="Arial" w:hAnsi="Arial" w:cs="Arial"/>
          <w:sz w:val="22"/>
          <w:szCs w:val="22"/>
          <w:lang w:val="en-GB"/>
        </w:rPr>
        <w:t>Systems and controls for the use of securitisations</w:t>
      </w:r>
    </w:p>
    <w:p w14:paraId="4A0AA4E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implement and maintain appropriate risk management systems to identify, manage, monitor and, where applicable, control all risks in relation to a securitisation transaction whether the firm is an investor, Originator or Sponsor. In particular, such risk management systems should effectively address the following risks:</w:t>
      </w:r>
    </w:p>
    <w:p w14:paraId="1564698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liquidity and capital implications that may arise from the items returning to the balance sheet;</w:t>
      </w:r>
    </w:p>
    <w:p w14:paraId="48319B2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Operational Risks that may arise under a securitisation; and</w:t>
      </w:r>
    </w:p>
    <w:p w14:paraId="32197CE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reputational risks that may arise as a result of its securitisation activities.</w:t>
      </w:r>
    </w:p>
    <w:p w14:paraId="16D9BF6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have appropriate policies and procedures to ensure that the economic substance of the transaction is fully reflected in the process of managing the risks arising from such transactions. An </w:t>
      </w:r>
      <w:r w:rsidR="000D1A90" w:rsidRPr="00E4265B">
        <w:rPr>
          <w:rFonts w:ascii="Arial" w:hAnsi="Arial" w:cs="Arial"/>
          <w:sz w:val="22"/>
          <w:szCs w:val="22"/>
        </w:rPr>
        <w:t>Authorised Person</w:t>
      </w:r>
      <w:r w:rsidRPr="00E4265B">
        <w:rPr>
          <w:rFonts w:ascii="Arial" w:hAnsi="Arial" w:cs="Arial"/>
          <w:sz w:val="22"/>
          <w:szCs w:val="22"/>
        </w:rPr>
        <w:t xml:space="preserve"> must have appropriate policies and procedures in place to document its systems and controls in relation to securitisation risks. These policies should include details on the capital effects of the securitisation as set out in this Chapter.</w:t>
      </w:r>
    </w:p>
    <w:p w14:paraId="3A90943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conduct periodic stress tests in relation to its securitisation activities and off balance sheet Exposures, including testing of future ability to transact securitisation as a means of CRM or for liquidity purposes.</w:t>
      </w:r>
    </w:p>
    <w:p w14:paraId="57927B29" w14:textId="77777777" w:rsidR="00E22FF2" w:rsidRPr="00E4265B" w:rsidRDefault="00E22FF2" w:rsidP="0038681C">
      <w:pPr>
        <w:pStyle w:val="TitleL5"/>
        <w:rPr>
          <w:rFonts w:ascii="Arial" w:hAnsi="Arial" w:cs="Arial"/>
          <w:sz w:val="22"/>
          <w:szCs w:val="22"/>
          <w:lang w:val="en-GB"/>
        </w:rPr>
      </w:pPr>
      <w:r w:rsidRPr="00E4265B">
        <w:rPr>
          <w:rFonts w:ascii="Arial" w:hAnsi="Arial" w:cs="Arial"/>
          <w:sz w:val="22"/>
          <w:szCs w:val="22"/>
          <w:lang w:val="en-GB"/>
        </w:rPr>
        <w:t>Guidance</w:t>
      </w:r>
    </w:p>
    <w:p w14:paraId="298BBFCB" w14:textId="77777777" w:rsidR="00E22FF2" w:rsidRPr="00E4265B" w:rsidRDefault="00E22FF2" w:rsidP="0038681C">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The periodic stress testing in relation to securitisation activities referred to in Rule 4.14.5 should consider the firm</w:t>
      </w:r>
      <w:r w:rsidRPr="00E4265B">
        <w:rPr>
          <w:rFonts w:ascii="Arial" w:hAnsi="Arial" w:cs="Arial"/>
          <w:sz w:val="22"/>
          <w:szCs w:val="22"/>
          <w:lang w:val="en-GB"/>
        </w:rPr>
        <w:noBreakHyphen/>
        <w:t>wide impact of those activities and Exposures in stressed market conditions and the implications for other sources of risk. Such stress tests should include both existing securitisation Exposures and transactions in the pipeline, as there is a risk of the pipeline transactions not being completed in a stressed market scenario.</w:t>
      </w:r>
    </w:p>
    <w:p w14:paraId="714997CC" w14:textId="77777777" w:rsidR="00E22FF2" w:rsidRPr="00E4265B" w:rsidRDefault="00E22FF2" w:rsidP="0038681C">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frequency and extent of stress testing to fulfil the requirements of Rule 4.14.5 should be determined on the basis of the materiality of the </w:t>
      </w:r>
      <w:r w:rsidR="000D1A90" w:rsidRPr="00E4265B">
        <w:rPr>
          <w:rFonts w:ascii="Arial" w:hAnsi="Arial" w:cs="Arial"/>
          <w:sz w:val="22"/>
          <w:szCs w:val="22"/>
          <w:lang w:val="en-GB"/>
        </w:rPr>
        <w:lastRenderedPageBreak/>
        <w:t>Authorised Person</w:t>
      </w:r>
      <w:r w:rsidRPr="00E4265B">
        <w:rPr>
          <w:rFonts w:ascii="Arial" w:hAnsi="Arial" w:cs="Arial"/>
          <w:sz w:val="22"/>
          <w:szCs w:val="22"/>
          <w:lang w:val="en-GB"/>
        </w:rPr>
        <w:t>'s securitisation volumes and its off</w:t>
      </w:r>
      <w:r w:rsidRPr="00E4265B">
        <w:rPr>
          <w:rFonts w:ascii="Arial" w:hAnsi="Arial" w:cs="Arial"/>
          <w:sz w:val="22"/>
          <w:szCs w:val="22"/>
          <w:lang w:val="en-GB"/>
        </w:rPr>
        <w:noBreakHyphen/>
        <w:t>balance sheet Exposures.</w:t>
      </w:r>
    </w:p>
    <w:p w14:paraId="2F517122" w14:textId="77777777" w:rsidR="00E22FF2" w:rsidRPr="00E4265B" w:rsidRDefault="00E22FF2" w:rsidP="0038681C">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procedures in place to assess and respond to the results produced from the stress testing and these should be taken into account under the ICAAP.</w:t>
      </w:r>
    </w:p>
    <w:p w14:paraId="626E0149"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In order to qualify for using the Rules specified in this Section, and particularly the risk weighting approach outlined below, an </w:t>
      </w:r>
      <w:r w:rsidR="000D1A90" w:rsidRPr="00E4265B">
        <w:rPr>
          <w:rFonts w:ascii="Arial" w:hAnsi="Arial" w:cs="Arial"/>
          <w:sz w:val="22"/>
          <w:szCs w:val="22"/>
        </w:rPr>
        <w:t>Authorised Person</w:t>
      </w:r>
      <w:r w:rsidRPr="00E4265B">
        <w:rPr>
          <w:rFonts w:ascii="Arial" w:hAnsi="Arial" w:cs="Arial"/>
          <w:sz w:val="22"/>
          <w:szCs w:val="22"/>
        </w:rPr>
        <w:t xml:space="preserve"> must demonstrate the following:</w:t>
      </w:r>
    </w:p>
    <w:p w14:paraId="313448D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 comprehensive understanding of the risk characteristics of its individual securitisation Exposures, whether on balance sheet or off balance sheet, as well as the risk characteristics of the pools underlying securitisation Exposures;</w:t>
      </w:r>
    </w:p>
    <w:p w14:paraId="3DDBAC4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ability to access the performance information on the underlying pools on an on</w:t>
      </w:r>
      <w:r w:rsidRPr="00E4265B">
        <w:rPr>
          <w:rFonts w:ascii="Arial" w:hAnsi="Arial" w:cs="Arial"/>
          <w:sz w:val="22"/>
          <w:szCs w:val="22"/>
        </w:rPr>
        <w:noBreakHyphen/>
        <w:t>going basis in a timely manner; and</w:t>
      </w:r>
    </w:p>
    <w:p w14:paraId="2F6D453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 thorough understanding of all structural features of a securitisation transaction that would materially impact the performance of the </w:t>
      </w:r>
      <w:r w:rsidR="000D1A90" w:rsidRPr="00E4265B">
        <w:rPr>
          <w:rFonts w:ascii="Arial" w:hAnsi="Arial" w:cs="Arial"/>
          <w:sz w:val="22"/>
          <w:szCs w:val="22"/>
        </w:rPr>
        <w:t>Authorised Person</w:t>
      </w:r>
      <w:r w:rsidRPr="00E4265B">
        <w:rPr>
          <w:rFonts w:ascii="Arial" w:hAnsi="Arial" w:cs="Arial"/>
          <w:sz w:val="22"/>
          <w:szCs w:val="22"/>
        </w:rPr>
        <w:t>'s Exposure to the transaction, such as waterfall triggers, Credit Enhancements, liquidity enhancements, market value triggers and deal specific definitions of default.</w:t>
      </w:r>
    </w:p>
    <w:p w14:paraId="0E05EB09" w14:textId="77777777" w:rsidR="00E22FF2" w:rsidRPr="00E4265B" w:rsidRDefault="00E22FF2" w:rsidP="00945022">
      <w:pPr>
        <w:pStyle w:val="TitleL5"/>
        <w:rPr>
          <w:rFonts w:ascii="Arial" w:hAnsi="Arial" w:cs="Arial"/>
          <w:sz w:val="22"/>
          <w:szCs w:val="22"/>
          <w:lang w:val="en-GB"/>
        </w:rPr>
      </w:pPr>
      <w:r w:rsidRPr="00E4265B">
        <w:rPr>
          <w:rFonts w:ascii="Arial" w:hAnsi="Arial" w:cs="Arial"/>
          <w:sz w:val="22"/>
          <w:szCs w:val="22"/>
          <w:lang w:val="en-GB"/>
        </w:rPr>
        <w:t>Guidance</w:t>
      </w:r>
    </w:p>
    <w:p w14:paraId="141682C0" w14:textId="59D3000D" w:rsidR="00E22FF2" w:rsidRPr="00E4265B" w:rsidRDefault="00E22FF2" w:rsidP="00A23E1F">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t>
      </w:r>
      <w:r w:rsidR="00EE4115" w:rsidRPr="00E4265B">
        <w:rPr>
          <w:rFonts w:ascii="Arial" w:hAnsi="Arial" w:cs="Arial"/>
          <w:sz w:val="22"/>
          <w:szCs w:val="22"/>
          <w:lang w:val="en-GB"/>
        </w:rPr>
        <w:t>wh</w:t>
      </w:r>
      <w:r w:rsidR="00A23E1F" w:rsidRPr="00E4265B">
        <w:rPr>
          <w:rFonts w:ascii="Arial" w:hAnsi="Arial" w:cs="Arial"/>
          <w:sz w:val="22"/>
          <w:szCs w:val="22"/>
          <w:lang w:val="en-GB"/>
        </w:rPr>
        <w:t>ich</w:t>
      </w:r>
      <w:r w:rsidRPr="00E4265B">
        <w:rPr>
          <w:rFonts w:ascii="Arial" w:hAnsi="Arial" w:cs="Arial"/>
          <w:sz w:val="22"/>
          <w:szCs w:val="22"/>
          <w:lang w:val="en-GB"/>
        </w:rPr>
        <w:t xml:space="preserve"> is an investor, Originator or Sponsor of a Securitisation should fully understand the risks it has assumed in order to ensure that it can accurately determine the Capital Requirements for the Exposures arising from the securitisation in accordance with the Rules in this Section.</w:t>
      </w:r>
    </w:p>
    <w:p w14:paraId="3EA2C85B" w14:textId="77777777" w:rsidR="00E22FF2" w:rsidRPr="00E4265B" w:rsidRDefault="00E22FF2" w:rsidP="00945022">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For the purposes of Rule 4.14.6(b) information should include the percentage of loans 30, 60, 90 days past due, default rates, prepayment rates, loans in foreclosure, property type, occupancy, average credit score etc. For Re</w:t>
      </w:r>
      <w:r w:rsidRPr="00E4265B">
        <w:rPr>
          <w:rFonts w:ascii="Arial" w:hAnsi="Arial" w:cs="Arial"/>
          <w:sz w:val="22"/>
          <w:szCs w:val="22"/>
          <w:lang w:val="en-GB"/>
        </w:rPr>
        <w:noBreakHyphen/>
        <w:t xml:space="preserve">securitisations, </w:t>
      </w:r>
      <w:r w:rsidR="000D1A90" w:rsidRPr="00E4265B">
        <w:rPr>
          <w:rFonts w:ascii="Arial" w:hAnsi="Arial" w:cs="Arial"/>
          <w:sz w:val="22"/>
          <w:szCs w:val="22"/>
          <w:lang w:val="en-GB"/>
        </w:rPr>
        <w:t>Authorised Person</w:t>
      </w:r>
      <w:r w:rsidRPr="00E4265B">
        <w:rPr>
          <w:rFonts w:ascii="Arial" w:hAnsi="Arial" w:cs="Arial"/>
          <w:sz w:val="22"/>
          <w:szCs w:val="22"/>
          <w:lang w:val="en-GB"/>
        </w:rPr>
        <w:t>s should have information relating to not only the underlying securitisation transactions but also the characteristics and performance of the underlying pools of such transactions.</w:t>
      </w:r>
    </w:p>
    <w:p w14:paraId="05ED254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Where an </w:t>
      </w:r>
      <w:r w:rsidR="000D1A90" w:rsidRPr="00E4265B">
        <w:rPr>
          <w:rFonts w:ascii="Arial" w:hAnsi="Arial" w:cs="Arial"/>
          <w:sz w:val="22"/>
          <w:szCs w:val="22"/>
        </w:rPr>
        <w:t>Authorised Person</w:t>
      </w:r>
      <w:r w:rsidRPr="00E4265B">
        <w:rPr>
          <w:rFonts w:ascii="Arial" w:hAnsi="Arial" w:cs="Arial"/>
          <w:sz w:val="22"/>
          <w:szCs w:val="22"/>
        </w:rPr>
        <w:t xml:space="preserve"> is either an Originator or a Sponsor of a Traditional Securitisation or a Synthetic Securitisation:</w:t>
      </w:r>
    </w:p>
    <w:p w14:paraId="75BBBC9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intending to conduct the securitisation must notify the Regulator at least 30 days in advance of the proposed execution of the securitisation;</w:t>
      </w:r>
    </w:p>
    <w:p w14:paraId="3E3E64E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conducting the securitisation must calculate its Credit RWAs for all resultant Exposures from that securitisation, in accordance with Section 4.8, provided the requirements of this Section are met; and</w:t>
      </w:r>
    </w:p>
    <w:p w14:paraId="7AB2354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conducting the securitisation must produce documentation reflecting the execution and economic substance of the transaction.</w:t>
      </w:r>
    </w:p>
    <w:p w14:paraId="21B1ED0F" w14:textId="77777777" w:rsidR="00E22FF2" w:rsidRPr="00E4265B" w:rsidRDefault="00E22FF2" w:rsidP="00945022">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41E02866" w14:textId="77777777" w:rsidR="00E22FF2" w:rsidRPr="00E4265B" w:rsidRDefault="00E22FF2" w:rsidP="008F5C01">
      <w:pPr>
        <w:pStyle w:val="UK12Block05"/>
        <w:rPr>
          <w:rFonts w:ascii="Arial" w:hAnsi="Arial" w:cs="Arial"/>
          <w:sz w:val="22"/>
          <w:szCs w:val="22"/>
          <w:lang w:val="en-GB"/>
        </w:rPr>
      </w:pPr>
      <w:r w:rsidRPr="00E4265B">
        <w:rPr>
          <w:rFonts w:ascii="Arial" w:hAnsi="Arial" w:cs="Arial"/>
          <w:sz w:val="22"/>
          <w:szCs w:val="22"/>
          <w:lang w:val="en-GB"/>
        </w:rPr>
        <w:t xml:space="preserve">The notification made to the Regulator under (a) should include, inter alia, amounts of assets subject to securitisation, amounts retained, details of securitisation including legal structure, rating, tranches, details of legal transfer and any CRM applied and implications on the capital and liquidity position on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4F7AA3A0" w14:textId="77777777" w:rsidR="00E22FF2" w:rsidRPr="00E4265B" w:rsidRDefault="00E22FF2" w:rsidP="00945022">
      <w:pPr>
        <w:pStyle w:val="TitleL5"/>
        <w:rPr>
          <w:rFonts w:ascii="Arial" w:hAnsi="Arial" w:cs="Arial"/>
          <w:sz w:val="22"/>
          <w:szCs w:val="22"/>
          <w:lang w:val="en-GB"/>
        </w:rPr>
      </w:pPr>
      <w:r w:rsidRPr="00E4265B">
        <w:rPr>
          <w:rFonts w:ascii="Arial" w:hAnsi="Arial" w:cs="Arial"/>
          <w:sz w:val="22"/>
          <w:szCs w:val="22"/>
          <w:lang w:val="en-GB"/>
        </w:rPr>
        <w:t>Calculation of Credit RWA arising from securitisations</w:t>
      </w:r>
    </w:p>
    <w:p w14:paraId="2EE41169"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calculate the Credit RWA amounts for Exposures arising from securitisations according to the requirements in this Section.</w:t>
      </w:r>
    </w:p>
    <w:p w14:paraId="7E7CAC47" w14:textId="77777777" w:rsidR="00E22FF2" w:rsidRPr="00E4265B" w:rsidRDefault="00E22FF2" w:rsidP="00945022">
      <w:pPr>
        <w:pStyle w:val="TitleL5"/>
        <w:rPr>
          <w:rFonts w:ascii="Arial" w:hAnsi="Arial" w:cs="Arial"/>
          <w:sz w:val="22"/>
          <w:szCs w:val="22"/>
          <w:lang w:val="en-GB"/>
        </w:rPr>
      </w:pPr>
      <w:r w:rsidRPr="00E4265B">
        <w:rPr>
          <w:rFonts w:ascii="Arial" w:hAnsi="Arial" w:cs="Arial"/>
          <w:sz w:val="22"/>
          <w:szCs w:val="22"/>
          <w:lang w:val="en-GB"/>
        </w:rPr>
        <w:t>Guidance</w:t>
      </w:r>
    </w:p>
    <w:p w14:paraId="0FEA1668" w14:textId="77777777" w:rsidR="00E22FF2" w:rsidRPr="00E4265B" w:rsidRDefault="00E22FF2" w:rsidP="00945022">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apply the securitisation framework set out in this Section for determining the Capital Requirements on Exposures arising from traditional and Synthetic Securitisations or similar structures that contain features common to both.</w:t>
      </w:r>
    </w:p>
    <w:p w14:paraId="226A5BF0" w14:textId="77777777" w:rsidR="00E22FF2" w:rsidRPr="00E4265B" w:rsidRDefault="00E22FF2" w:rsidP="00945022">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This Section sets out the requirements for Originators, </w:t>
      </w:r>
      <w:r w:rsidR="000D1A90" w:rsidRPr="00E4265B">
        <w:rPr>
          <w:rFonts w:ascii="Arial" w:hAnsi="Arial" w:cs="Arial"/>
          <w:sz w:val="22"/>
          <w:szCs w:val="22"/>
          <w:lang w:val="en-GB"/>
        </w:rPr>
        <w:t>Authorised Person</w:t>
      </w:r>
      <w:r w:rsidRPr="00E4265B">
        <w:rPr>
          <w:rFonts w:ascii="Arial" w:hAnsi="Arial" w:cs="Arial"/>
          <w:sz w:val="22"/>
          <w:szCs w:val="22"/>
          <w:lang w:val="en-GB"/>
        </w:rPr>
        <w:t>s which transfer Credit Risk from their balance sheets and Sponsors in a securitisation transaction involving Non</w:t>
      </w:r>
      <w:r w:rsidRPr="00E4265B">
        <w:rPr>
          <w:rFonts w:ascii="Arial" w:hAnsi="Arial" w:cs="Arial"/>
          <w:sz w:val="22"/>
          <w:szCs w:val="22"/>
          <w:lang w:val="en-GB"/>
        </w:rPr>
        <w:noBreakHyphen/>
        <w:t>Trading Book Exposures. This Section also sets out the methodologies for calculation of RWA amounts for securitisation Exposures. The Rules setting out the methodologies for calculation of Market Risk Capital Requirement amounts for securitisation Exposures held in the Trading Book are specified in Chapter 5 and App</w:t>
      </w:r>
      <w:r w:rsidR="00EE4115" w:rsidRPr="00E4265B">
        <w:rPr>
          <w:rFonts w:ascii="Arial" w:hAnsi="Arial" w:cs="Arial"/>
          <w:sz w:val="22"/>
          <w:szCs w:val="22"/>
          <w:lang w:val="en-GB"/>
        </w:rPr>
        <w:t>6</w:t>
      </w:r>
      <w:r w:rsidRPr="00E4265B">
        <w:rPr>
          <w:rFonts w:ascii="Arial" w:hAnsi="Arial" w:cs="Arial"/>
          <w:sz w:val="22"/>
          <w:szCs w:val="22"/>
          <w:lang w:val="en-GB"/>
        </w:rPr>
        <w:t> of these Rules.</w:t>
      </w:r>
    </w:p>
    <w:p w14:paraId="6555DCF4" w14:textId="372F6C05" w:rsidR="00E22FF2" w:rsidRPr="00E4265B" w:rsidRDefault="00E22FF2" w:rsidP="00363CED">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As securitisations may be structured in many different ways,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engaging in the activities relating to securitisations (whether traditional or a Synthetic Securitisation) </w:t>
      </w:r>
      <w:r w:rsidR="00363CED" w:rsidRPr="00E4265B">
        <w:rPr>
          <w:rFonts w:ascii="Arial" w:hAnsi="Arial" w:cs="Arial"/>
          <w:sz w:val="22"/>
          <w:szCs w:val="22"/>
          <w:lang w:val="en-GB"/>
        </w:rPr>
        <w:t>must</w:t>
      </w:r>
      <w:r w:rsidRPr="00E4265B">
        <w:rPr>
          <w:rFonts w:ascii="Arial" w:hAnsi="Arial" w:cs="Arial"/>
          <w:sz w:val="22"/>
          <w:szCs w:val="22"/>
          <w:lang w:val="en-GB"/>
        </w:rPr>
        <w:t xml:space="preserve"> ensure that the economic substance of the transaction is fully considered, and reflected, in determining the capital treatment of a securitisation, rather than relying on the legal form of the Securitisation.</w:t>
      </w:r>
    </w:p>
    <w:p w14:paraId="2A0A638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is required, subject to Rule 4.14.12, to include all securitisation Exposures in its calculation of Credit RWAs relating to securitisations, including the following:</w:t>
      </w:r>
    </w:p>
    <w:p w14:paraId="6B98A7D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those arising from the provision of Credit Risk mitigants to a securitisation;</w:t>
      </w:r>
    </w:p>
    <w:p w14:paraId="5A6C3B6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investments in asset backed </w:t>
      </w:r>
      <w:r w:rsidR="00877CEA" w:rsidRPr="00E4265B">
        <w:rPr>
          <w:rFonts w:ascii="Arial" w:hAnsi="Arial" w:cs="Arial"/>
          <w:sz w:val="22"/>
          <w:szCs w:val="22"/>
        </w:rPr>
        <w:t>Securities</w:t>
      </w:r>
      <w:r w:rsidRPr="00E4265B">
        <w:rPr>
          <w:rFonts w:ascii="Arial" w:hAnsi="Arial" w:cs="Arial"/>
          <w:sz w:val="22"/>
          <w:szCs w:val="22"/>
        </w:rPr>
        <w:t>;</w:t>
      </w:r>
    </w:p>
    <w:p w14:paraId="0530875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retention of a subordinated tranche;</w:t>
      </w:r>
    </w:p>
    <w:p w14:paraId="31C5A83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extension of a liquidity facility; and</w:t>
      </w:r>
    </w:p>
    <w:p w14:paraId="06D23C7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extension of Credit Enhancement.</w:t>
      </w:r>
    </w:p>
    <w:p w14:paraId="4A675556"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include in its calculation of Credit RWA all of its securitisation Exposures held in the Non</w:t>
      </w:r>
      <w:r w:rsidRPr="00E4265B">
        <w:rPr>
          <w:rFonts w:ascii="Arial" w:hAnsi="Arial" w:cs="Arial"/>
          <w:sz w:val="22"/>
          <w:szCs w:val="22"/>
        </w:rPr>
        <w:noBreakHyphen/>
        <w:t xml:space="preserve">Trading Book, except for those securitisation Exposures which the </w:t>
      </w:r>
      <w:r w:rsidR="000D1A90" w:rsidRPr="00E4265B">
        <w:rPr>
          <w:rFonts w:ascii="Arial" w:hAnsi="Arial" w:cs="Arial"/>
          <w:sz w:val="22"/>
          <w:szCs w:val="22"/>
        </w:rPr>
        <w:t>Authorised Person</w:t>
      </w:r>
      <w:r w:rsidRPr="00E4265B">
        <w:rPr>
          <w:rFonts w:ascii="Arial" w:hAnsi="Arial" w:cs="Arial"/>
          <w:sz w:val="22"/>
          <w:szCs w:val="22"/>
        </w:rPr>
        <w:t xml:space="preserve"> is required to include as deductions from T1 Capital and deductions from T2 Capital.</w:t>
      </w:r>
    </w:p>
    <w:p w14:paraId="79419A7B"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lastRenderedPageBreak/>
        <w:t>Repurchased securitisation transactions must be treated as retained securiti</w:t>
      </w:r>
      <w:r w:rsidR="00260D26" w:rsidRPr="00E4265B">
        <w:rPr>
          <w:rFonts w:ascii="Arial" w:hAnsi="Arial" w:cs="Arial"/>
          <w:sz w:val="22"/>
          <w:szCs w:val="22"/>
        </w:rPr>
        <w:t>s</w:t>
      </w:r>
      <w:r w:rsidRPr="00E4265B">
        <w:rPr>
          <w:rFonts w:ascii="Arial" w:hAnsi="Arial" w:cs="Arial"/>
          <w:sz w:val="22"/>
          <w:szCs w:val="22"/>
        </w:rPr>
        <w:t>ation Exposures.</w:t>
      </w:r>
    </w:p>
    <w:p w14:paraId="64D06382" w14:textId="77777777" w:rsidR="00E22FF2" w:rsidRPr="00E4265B" w:rsidRDefault="00E22FF2" w:rsidP="00945022">
      <w:pPr>
        <w:pStyle w:val="TitleL5"/>
        <w:rPr>
          <w:rFonts w:ascii="Arial" w:hAnsi="Arial" w:cs="Arial"/>
          <w:sz w:val="22"/>
          <w:szCs w:val="22"/>
          <w:lang w:val="en-GB"/>
        </w:rPr>
      </w:pPr>
      <w:r w:rsidRPr="00E4265B">
        <w:rPr>
          <w:rFonts w:ascii="Arial" w:hAnsi="Arial" w:cs="Arial"/>
          <w:sz w:val="22"/>
          <w:szCs w:val="22"/>
          <w:lang w:val="en-GB"/>
        </w:rPr>
        <w:t>Deductions</w:t>
      </w:r>
    </w:p>
    <w:p w14:paraId="298651C3"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may deduct SE Exposures which it has chosen not to treat in accordance with Rules 4.14.8 to 4.14.11 from Capital Resources </w:t>
      </w:r>
      <w:r w:rsidRPr="00E4265B">
        <w:rPr>
          <w:rFonts w:ascii="Arial" w:hAnsi="Arial" w:cs="Arial"/>
          <w:sz w:val="22"/>
          <w:szCs w:val="22"/>
        </w:rPr>
        <w:noBreakHyphen/>
        <w:t xml:space="preserve"> 100% from CET1.</w:t>
      </w:r>
    </w:p>
    <w:p w14:paraId="20FB7005" w14:textId="77777777" w:rsidR="00E22FF2" w:rsidRPr="00E4265B" w:rsidRDefault="00E22FF2" w:rsidP="00945022">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Credit</w:t>
      </w:r>
      <w:r w:rsidRPr="00E4265B">
        <w:rPr>
          <w:rFonts w:ascii="Arial" w:hAnsi="Arial" w:cs="Arial"/>
          <w:sz w:val="22"/>
          <w:szCs w:val="22"/>
          <w:lang w:val="en-GB"/>
        </w:rPr>
        <w:noBreakHyphen/>
        <w:t>Enhancing Interest</w:t>
      </w:r>
      <w:r w:rsidRPr="00E4265B">
        <w:rPr>
          <w:rFonts w:ascii="Arial" w:hAnsi="Arial" w:cs="Arial"/>
          <w:sz w:val="22"/>
          <w:szCs w:val="22"/>
          <w:lang w:val="en-GB"/>
        </w:rPr>
        <w:noBreakHyphen/>
        <w:t>Only Strips (net of the deductions from CET1 Capital required at Rule 4.14.13) are deducted 100% from CET1 Capital.</w:t>
      </w:r>
    </w:p>
    <w:p w14:paraId="690542E9" w14:textId="77777777" w:rsidR="00E22FF2" w:rsidRPr="00E4265B" w:rsidRDefault="00E22FF2" w:rsidP="00945022">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Deductions from capital may be calculated net of specific provisions taken against relevant securitisation Exposures.</w:t>
      </w:r>
    </w:p>
    <w:p w14:paraId="09E4CF59"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include as deductions from CET1 Capital any increase in issued capital or reserves resulting from a securitisation, such as that associated with expected future margin income resulting in a gain</w:t>
      </w:r>
      <w:r w:rsidRPr="00E4265B">
        <w:rPr>
          <w:rFonts w:ascii="Arial" w:hAnsi="Arial" w:cs="Arial"/>
          <w:sz w:val="22"/>
          <w:szCs w:val="22"/>
        </w:rPr>
        <w:noBreakHyphen/>
        <w:t>on</w:t>
      </w:r>
      <w:r w:rsidRPr="00E4265B">
        <w:rPr>
          <w:rFonts w:ascii="Arial" w:hAnsi="Arial" w:cs="Arial"/>
          <w:sz w:val="22"/>
          <w:szCs w:val="22"/>
        </w:rPr>
        <w:noBreakHyphen/>
        <w:t>sale that is recognised as issued capital or reserves.</w:t>
      </w:r>
    </w:p>
    <w:p w14:paraId="29F32F9F" w14:textId="77777777" w:rsidR="00E22FF2" w:rsidRPr="00E4265B" w:rsidRDefault="00E22FF2" w:rsidP="00945022">
      <w:pPr>
        <w:pStyle w:val="TitleL5"/>
        <w:rPr>
          <w:rFonts w:ascii="Arial" w:hAnsi="Arial" w:cs="Arial"/>
          <w:sz w:val="22"/>
          <w:szCs w:val="22"/>
          <w:lang w:val="en-GB"/>
        </w:rPr>
      </w:pPr>
      <w:r w:rsidRPr="00E4265B">
        <w:rPr>
          <w:rFonts w:ascii="Arial" w:hAnsi="Arial" w:cs="Arial"/>
          <w:sz w:val="22"/>
          <w:szCs w:val="22"/>
          <w:lang w:val="en-GB"/>
        </w:rPr>
        <w:t>Guidance</w:t>
      </w:r>
    </w:p>
    <w:p w14:paraId="7176B9A1" w14:textId="77777777" w:rsidR="00E22FF2" w:rsidRPr="00E4265B" w:rsidRDefault="00E22FF2" w:rsidP="00945022">
      <w:pPr>
        <w:pStyle w:val="UK12Block05"/>
        <w:rPr>
          <w:rFonts w:ascii="Arial" w:hAnsi="Arial" w:cs="Arial"/>
          <w:sz w:val="22"/>
          <w:szCs w:val="22"/>
          <w:lang w:val="en-GB"/>
        </w:rPr>
      </w:pPr>
      <w:r w:rsidRPr="00E4265B">
        <w:rPr>
          <w:rFonts w:ascii="Arial" w:hAnsi="Arial" w:cs="Arial"/>
          <w:sz w:val="22"/>
          <w:szCs w:val="22"/>
          <w:lang w:val="en-GB"/>
        </w:rPr>
        <w:t>Gain</w:t>
      </w:r>
      <w:r w:rsidRPr="00E4265B">
        <w:rPr>
          <w:rFonts w:ascii="Arial" w:hAnsi="Arial" w:cs="Arial"/>
          <w:sz w:val="22"/>
          <w:szCs w:val="22"/>
          <w:lang w:val="en-GB"/>
        </w:rPr>
        <w:noBreakHyphen/>
        <w:t>on</w:t>
      </w:r>
      <w:r w:rsidRPr="00E4265B">
        <w:rPr>
          <w:rFonts w:ascii="Arial" w:hAnsi="Arial" w:cs="Arial"/>
          <w:sz w:val="22"/>
          <w:szCs w:val="22"/>
          <w:lang w:val="en-GB"/>
        </w:rPr>
        <w:noBreakHyphen/>
        <w:t xml:space="preserve">sale arises when there has been an increase in equity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associated with recognising the discounted value of the expected future margin income</w:t>
      </w:r>
      <w:r w:rsidR="00DF7CAF" w:rsidRPr="00E4265B">
        <w:rPr>
          <w:rFonts w:ascii="Arial" w:hAnsi="Arial" w:cs="Arial"/>
          <w:sz w:val="22"/>
          <w:szCs w:val="22"/>
          <w:lang w:val="en-GB"/>
        </w:rPr>
        <w:t xml:space="preserve"> </w:t>
      </w:r>
      <w:r w:rsidR="005E21A3" w:rsidRPr="00E4265B">
        <w:rPr>
          <w:rFonts w:ascii="Arial" w:hAnsi="Arial" w:cs="Arial"/>
          <w:sz w:val="22"/>
          <w:szCs w:val="22"/>
          <w:lang w:val="en-GB"/>
        </w:rPr>
        <w:t>as part of</w:t>
      </w:r>
      <w:r w:rsidRPr="00E4265B">
        <w:rPr>
          <w:rFonts w:ascii="Arial" w:hAnsi="Arial" w:cs="Arial"/>
          <w:sz w:val="22"/>
          <w:szCs w:val="22"/>
          <w:lang w:val="en-GB"/>
        </w:rPr>
        <w:t xml:space="preserve"> </w:t>
      </w:r>
      <w:r w:rsidR="00DF7CAF" w:rsidRPr="00E4265B">
        <w:rPr>
          <w:rFonts w:ascii="Arial" w:hAnsi="Arial" w:cs="Arial"/>
          <w:sz w:val="22"/>
          <w:szCs w:val="22"/>
          <w:lang w:val="en-GB"/>
        </w:rPr>
        <w:t>r</w:t>
      </w:r>
      <w:r w:rsidRPr="00E4265B">
        <w:rPr>
          <w:rFonts w:ascii="Arial" w:hAnsi="Arial" w:cs="Arial"/>
          <w:sz w:val="22"/>
          <w:szCs w:val="22"/>
          <w:lang w:val="en-GB"/>
        </w:rPr>
        <w:t>egulatory capital.</w:t>
      </w:r>
    </w:p>
    <w:p w14:paraId="72BC51A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assign a securitisation Exposure to a Credit Quality Grade based on the external credit assessment (where available) that is applicable to the securitisation Exposure in accordance with relevant Rules in this Chapter.</w:t>
      </w:r>
    </w:p>
    <w:p w14:paraId="3D950008" w14:textId="77777777" w:rsidR="00E22FF2" w:rsidRPr="00E4265B" w:rsidRDefault="00E22FF2" w:rsidP="00945022">
      <w:pPr>
        <w:pStyle w:val="TitleL5"/>
        <w:rPr>
          <w:rFonts w:ascii="Arial" w:hAnsi="Arial" w:cs="Arial"/>
          <w:sz w:val="22"/>
          <w:szCs w:val="22"/>
          <w:lang w:val="en-GB"/>
        </w:rPr>
      </w:pPr>
      <w:r w:rsidRPr="00E4265B">
        <w:rPr>
          <w:rFonts w:ascii="Arial" w:hAnsi="Arial" w:cs="Arial"/>
          <w:sz w:val="22"/>
          <w:szCs w:val="22"/>
          <w:lang w:val="en-GB"/>
        </w:rPr>
        <w:t>Implicit Support</w:t>
      </w:r>
    </w:p>
    <w:p w14:paraId="182F0BB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An Originator or a Sponsor of a securitisation must not provide Implicit Support to a securitisation transaction with a view to reducing potential or actual losses to investors outside of its contractual obligations;</w:t>
      </w:r>
    </w:p>
    <w:p w14:paraId="5FE08ED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If an Originator fails to comply with Rule 4.14.15 in respect of a securitisation, it:</w:t>
      </w:r>
    </w:p>
    <w:p w14:paraId="44D5C75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must include all the underlying Exposures of the securitisation in its calculation of Credit RWAs as if those Exposures had not been securitised and were on the balance sheet of the </w:t>
      </w:r>
      <w:r w:rsidR="000D1A90" w:rsidRPr="00E4265B">
        <w:rPr>
          <w:rFonts w:ascii="Arial" w:hAnsi="Arial" w:cs="Arial"/>
          <w:sz w:val="22"/>
          <w:szCs w:val="22"/>
        </w:rPr>
        <w:t>Authorised Person</w:t>
      </w:r>
      <w:r w:rsidRPr="00E4265B">
        <w:rPr>
          <w:rFonts w:ascii="Arial" w:hAnsi="Arial" w:cs="Arial"/>
          <w:sz w:val="22"/>
          <w:szCs w:val="22"/>
        </w:rPr>
        <w:t>;</w:t>
      </w:r>
    </w:p>
    <w:p w14:paraId="584E507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must not recognise any gain</w:t>
      </w:r>
      <w:r w:rsidRPr="00E4265B">
        <w:rPr>
          <w:rFonts w:ascii="Arial" w:hAnsi="Arial" w:cs="Arial"/>
          <w:sz w:val="22"/>
          <w:szCs w:val="22"/>
        </w:rPr>
        <w:noBreakHyphen/>
        <w:t>on</w:t>
      </w:r>
      <w:r w:rsidRPr="00E4265B">
        <w:rPr>
          <w:rFonts w:ascii="Arial" w:hAnsi="Arial" w:cs="Arial"/>
          <w:sz w:val="22"/>
          <w:szCs w:val="22"/>
        </w:rPr>
        <w:noBreakHyphen/>
        <w:t>sale of assets to the securitisation; and</w:t>
      </w:r>
    </w:p>
    <w:p w14:paraId="4F72C87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must disclose to investors that the </w:t>
      </w:r>
      <w:r w:rsidR="000D1A90" w:rsidRPr="00E4265B">
        <w:rPr>
          <w:rFonts w:ascii="Arial" w:hAnsi="Arial" w:cs="Arial"/>
          <w:sz w:val="22"/>
          <w:szCs w:val="22"/>
        </w:rPr>
        <w:t>Authorised Person</w:t>
      </w:r>
      <w:r w:rsidRPr="00E4265B">
        <w:rPr>
          <w:rFonts w:ascii="Arial" w:hAnsi="Arial" w:cs="Arial"/>
          <w:sz w:val="22"/>
          <w:szCs w:val="22"/>
        </w:rPr>
        <w:t xml:space="preserve"> has provided non-contractual support and the</w:t>
      </w:r>
      <w:r w:rsidR="00DF7CAF" w:rsidRPr="00E4265B">
        <w:rPr>
          <w:rFonts w:ascii="Arial" w:hAnsi="Arial" w:cs="Arial"/>
          <w:sz w:val="22"/>
          <w:szCs w:val="22"/>
        </w:rPr>
        <w:t xml:space="preserve"> regulatory</w:t>
      </w:r>
      <w:r w:rsidRPr="00E4265B">
        <w:rPr>
          <w:rFonts w:ascii="Arial" w:hAnsi="Arial" w:cs="Arial"/>
          <w:sz w:val="22"/>
          <w:szCs w:val="22"/>
        </w:rPr>
        <w:t xml:space="preserve"> capital impact of doing so.</w:t>
      </w:r>
    </w:p>
    <w:p w14:paraId="01815D25" w14:textId="77777777" w:rsidR="00E22FF2" w:rsidRPr="00E4265B" w:rsidRDefault="00E22FF2" w:rsidP="00945022">
      <w:pPr>
        <w:pStyle w:val="TitleL5"/>
        <w:rPr>
          <w:rFonts w:ascii="Arial" w:hAnsi="Arial" w:cs="Arial"/>
          <w:sz w:val="22"/>
          <w:szCs w:val="22"/>
          <w:lang w:val="en-GB"/>
        </w:rPr>
      </w:pPr>
      <w:r w:rsidRPr="00E4265B">
        <w:rPr>
          <w:rFonts w:ascii="Arial" w:hAnsi="Arial" w:cs="Arial"/>
          <w:sz w:val="22"/>
          <w:szCs w:val="22"/>
          <w:lang w:val="en-GB"/>
        </w:rPr>
        <w:t>Requirements in order for a Traditional Securitisation to be excluded from the calculation of RWA</w:t>
      </w:r>
    </w:p>
    <w:p w14:paraId="5ADEF4BC" w14:textId="2B58BEDB"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363CED" w:rsidRPr="00E4265B">
        <w:rPr>
          <w:rFonts w:ascii="Arial" w:hAnsi="Arial" w:cs="Arial"/>
          <w:sz w:val="22"/>
          <w:szCs w:val="22"/>
        </w:rPr>
        <w:t>Authorised Person which</w:t>
      </w:r>
      <w:r w:rsidRPr="00E4265B">
        <w:rPr>
          <w:rFonts w:ascii="Arial" w:hAnsi="Arial" w:cs="Arial"/>
          <w:sz w:val="22"/>
          <w:szCs w:val="22"/>
        </w:rPr>
        <w:t xml:space="preserve"> is an Originator or a Sponsor of a Traditional Securitisation may exclude securitised </w:t>
      </w:r>
      <w:r w:rsidR="005F3B3B" w:rsidRPr="00E4265B">
        <w:rPr>
          <w:rFonts w:ascii="Arial" w:hAnsi="Arial" w:cs="Arial"/>
          <w:sz w:val="22"/>
          <w:szCs w:val="22"/>
        </w:rPr>
        <w:t>Exposure</w:t>
      </w:r>
      <w:r w:rsidRPr="00E4265B">
        <w:rPr>
          <w:rFonts w:ascii="Arial" w:hAnsi="Arial" w:cs="Arial"/>
          <w:sz w:val="22"/>
          <w:szCs w:val="22"/>
        </w:rPr>
        <w:t>s from the calculation of Credit RWA amounts only if all of the conditions detailed in Rule A4.10.1 have been complied with.</w:t>
      </w:r>
    </w:p>
    <w:p w14:paraId="365FB527" w14:textId="77777777" w:rsidR="00E22FF2" w:rsidRPr="00E4265B" w:rsidRDefault="00E22FF2" w:rsidP="00945022">
      <w:pPr>
        <w:pStyle w:val="1List"/>
        <w:rPr>
          <w:rFonts w:ascii="Arial" w:hAnsi="Arial" w:cs="Arial"/>
          <w:sz w:val="22"/>
          <w:szCs w:val="22"/>
          <w:lang w:val="en-GB"/>
        </w:rPr>
      </w:pPr>
      <w:r w:rsidRPr="00E4265B">
        <w:rPr>
          <w:rFonts w:ascii="Arial" w:hAnsi="Arial" w:cs="Arial"/>
          <w:sz w:val="22"/>
          <w:szCs w:val="22"/>
          <w:lang w:val="en-GB"/>
        </w:rPr>
        <w:lastRenderedPageBreak/>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meeting the requirements specified in Rule A4.10.1 must hold regulatory capital against any securitisation Exposures it retains.</w:t>
      </w:r>
    </w:p>
    <w:p w14:paraId="10B56AD8" w14:textId="77777777" w:rsidR="00E22FF2" w:rsidRPr="00E4265B" w:rsidRDefault="00E22FF2" w:rsidP="00945022">
      <w:pPr>
        <w:pStyle w:val="TitleL5"/>
        <w:rPr>
          <w:rFonts w:ascii="Arial" w:hAnsi="Arial" w:cs="Arial"/>
          <w:sz w:val="22"/>
          <w:szCs w:val="22"/>
          <w:lang w:val="en-GB"/>
        </w:rPr>
      </w:pPr>
      <w:r w:rsidRPr="00E4265B">
        <w:rPr>
          <w:rFonts w:ascii="Arial" w:hAnsi="Arial" w:cs="Arial"/>
          <w:sz w:val="22"/>
          <w:szCs w:val="22"/>
          <w:lang w:val="en-GB"/>
        </w:rPr>
        <w:t>Requirements in order for a Synthetic Securitisation to be excluded from the calculation of RWA</w:t>
      </w:r>
    </w:p>
    <w:p w14:paraId="1AD0937F" w14:textId="0F593B21"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363CED" w:rsidRPr="00E4265B">
        <w:rPr>
          <w:rFonts w:ascii="Arial" w:hAnsi="Arial" w:cs="Arial"/>
          <w:sz w:val="22"/>
          <w:szCs w:val="22"/>
        </w:rPr>
        <w:t>Authorised Person which</w:t>
      </w:r>
      <w:r w:rsidRPr="00E4265B">
        <w:rPr>
          <w:rFonts w:ascii="Arial" w:hAnsi="Arial" w:cs="Arial"/>
          <w:sz w:val="22"/>
          <w:szCs w:val="22"/>
        </w:rPr>
        <w:t xml:space="preserve"> is an Originator or a Sponsor of a Synthetic Securitisation may recognise the effects of CRM of the Synthetic Securitisation in calculating its SE Exposure RWAs, only if:</w:t>
      </w:r>
    </w:p>
    <w:p w14:paraId="4EB73D5C"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all of the conditions detailed in Rule A4.10.2 have been complied with;</w:t>
      </w:r>
    </w:p>
    <w:p w14:paraId="66B9E489"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effects of CRM are obtained through eligible credit protection, eligible financial Collateral or both; and</w:t>
      </w:r>
    </w:p>
    <w:p w14:paraId="04814E1D"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Credit Risk is transferred to third parties.</w:t>
      </w:r>
    </w:p>
    <w:p w14:paraId="6F9E690D" w14:textId="77777777" w:rsidR="00E22FF2" w:rsidRPr="00E4265B" w:rsidRDefault="00E22FF2" w:rsidP="00945022">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In relation to (b), the CRM techniques used must meet the requirements of Section 4.13.</w:t>
      </w:r>
    </w:p>
    <w:p w14:paraId="2B31129B" w14:textId="77777777" w:rsidR="00E22FF2" w:rsidRPr="00E4265B" w:rsidRDefault="00E22FF2" w:rsidP="00945022">
      <w:pPr>
        <w:pStyle w:val="TitleL5"/>
        <w:rPr>
          <w:rFonts w:ascii="Arial" w:hAnsi="Arial" w:cs="Arial"/>
          <w:sz w:val="22"/>
          <w:szCs w:val="22"/>
          <w:lang w:val="en-GB"/>
        </w:rPr>
      </w:pPr>
      <w:r w:rsidRPr="00E4265B">
        <w:rPr>
          <w:rFonts w:ascii="Arial" w:hAnsi="Arial" w:cs="Arial"/>
          <w:sz w:val="22"/>
          <w:szCs w:val="22"/>
          <w:lang w:val="en-GB"/>
        </w:rPr>
        <w:t>Guidance</w:t>
      </w:r>
    </w:p>
    <w:p w14:paraId="14A399F4" w14:textId="77777777" w:rsidR="00E22FF2" w:rsidRPr="00E4265B" w:rsidRDefault="00E22FF2" w:rsidP="00945022">
      <w:pPr>
        <w:pStyle w:val="UK12Block05"/>
        <w:rPr>
          <w:rFonts w:ascii="Arial" w:hAnsi="Arial" w:cs="Arial"/>
          <w:sz w:val="22"/>
          <w:szCs w:val="22"/>
          <w:lang w:val="en-GB"/>
        </w:rPr>
      </w:pPr>
      <w:r w:rsidRPr="00E4265B">
        <w:rPr>
          <w:rFonts w:ascii="Arial" w:hAnsi="Arial" w:cs="Arial"/>
          <w:sz w:val="22"/>
          <w:szCs w:val="22"/>
          <w:lang w:val="en-GB"/>
        </w:rPr>
        <w:t>In relation to (1)(c) the transferor is deemed to have effective control over the transferred Credit Risk Exposures if it has the ability to repurchase the assets, or is obliged to retain the risk of the transferred assets. This does not include the retention of servicing rights.</w:t>
      </w:r>
    </w:p>
    <w:p w14:paraId="6355F0B8"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meeting the conditions in Rule 4.14.18 must still hold regulatory capital against any securitisation Exposures it retains.</w:t>
      </w:r>
    </w:p>
    <w:p w14:paraId="73009CD4" w14:textId="77777777" w:rsidR="00E22FF2" w:rsidRPr="00E4265B" w:rsidRDefault="00E22FF2" w:rsidP="00945022">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recognise the effects of CRM of eligible financial Collateral pledged by any SPE, but it may not recognise any SPE which is an Issuer of securitisation Exposures as an eligible protection provider.</w:t>
      </w:r>
    </w:p>
    <w:p w14:paraId="798D76FC" w14:textId="77777777" w:rsidR="00E22FF2" w:rsidRPr="00E4265B" w:rsidRDefault="00E22FF2" w:rsidP="00945022">
      <w:pPr>
        <w:pStyle w:val="TitleL5"/>
        <w:rPr>
          <w:rFonts w:ascii="Arial" w:hAnsi="Arial" w:cs="Arial"/>
          <w:sz w:val="22"/>
          <w:szCs w:val="22"/>
          <w:lang w:val="en-GB"/>
        </w:rPr>
      </w:pPr>
      <w:r w:rsidRPr="00E4265B">
        <w:rPr>
          <w:rFonts w:ascii="Arial" w:hAnsi="Arial" w:cs="Arial"/>
          <w:sz w:val="22"/>
          <w:szCs w:val="22"/>
          <w:lang w:val="en-GB"/>
        </w:rPr>
        <w:t>Operational requirements for use of external credit assessments</w:t>
      </w:r>
    </w:p>
    <w:p w14:paraId="431A990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The external credit assessment used for determining the applicable risk weight for a CR Exposure must be determined by taking into account the entire amount of Credit Risk (principal and interest) an </w:t>
      </w:r>
      <w:r w:rsidR="000D1A90" w:rsidRPr="00E4265B">
        <w:rPr>
          <w:rFonts w:ascii="Arial" w:hAnsi="Arial" w:cs="Arial"/>
          <w:sz w:val="22"/>
          <w:szCs w:val="22"/>
        </w:rPr>
        <w:t>Authorised Person</w:t>
      </w:r>
      <w:r w:rsidRPr="00E4265B">
        <w:rPr>
          <w:rFonts w:ascii="Arial" w:hAnsi="Arial" w:cs="Arial"/>
          <w:sz w:val="22"/>
          <w:szCs w:val="22"/>
        </w:rPr>
        <w:t xml:space="preserve"> is exposed to.</w:t>
      </w:r>
    </w:p>
    <w:p w14:paraId="6E6EA37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Credit assessments can only be considered from an ECAI, and must meet the following criteria:</w:t>
      </w:r>
    </w:p>
    <w:p w14:paraId="2583312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any credit assessments used for the purposes of risk weighting must be publicly available;</w:t>
      </w:r>
    </w:p>
    <w:p w14:paraId="350276D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external credit rating agencies must have expertise and market acceptance in rating securitisations of the nature being used for risk weighting purposes;</w:t>
      </w:r>
    </w:p>
    <w:p w14:paraId="3A971597" w14:textId="77777777" w:rsidR="00E22FF2" w:rsidRPr="00E4265B" w:rsidRDefault="000D1A90" w:rsidP="008432F8">
      <w:pPr>
        <w:pStyle w:val="Heading5"/>
        <w:rPr>
          <w:rFonts w:ascii="Arial" w:hAnsi="Arial" w:cs="Arial"/>
          <w:sz w:val="22"/>
          <w:szCs w:val="22"/>
        </w:rPr>
      </w:pPr>
      <w:r w:rsidRPr="00E4265B">
        <w:rPr>
          <w:rFonts w:ascii="Arial" w:hAnsi="Arial" w:cs="Arial"/>
          <w:sz w:val="22"/>
          <w:szCs w:val="22"/>
        </w:rPr>
        <w:t>Authorised Person</w:t>
      </w:r>
      <w:r w:rsidR="00E22FF2" w:rsidRPr="00E4265B">
        <w:rPr>
          <w:rFonts w:ascii="Arial" w:hAnsi="Arial" w:cs="Arial"/>
          <w:sz w:val="22"/>
          <w:szCs w:val="22"/>
        </w:rPr>
        <w:t>s must apply external credit rating agency ratings consistently to all tranches of securitisations;</w:t>
      </w:r>
    </w:p>
    <w:p w14:paraId="51240DC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lastRenderedPageBreak/>
        <w:t>where an Exposure has two ratings from external credit rating agencies the less favourable rating must be used; and</w:t>
      </w:r>
    </w:p>
    <w:p w14:paraId="6F30A56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where an Exposure has more than two assessments by external credit rating agencies the two most favourable ratings can be selected, the review of these assessments is then determined in line with (d).</w:t>
      </w:r>
    </w:p>
    <w:p w14:paraId="3845C5F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Where any CRM has been considered as part of any rating applied to a tranche of a securitisation, the risk weighting should be used and no additional capital recognition is permitted.</w:t>
      </w:r>
    </w:p>
    <w:p w14:paraId="67C8906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treat any securitisation Exposure as an unrated Exposure where:</w:t>
      </w:r>
    </w:p>
    <w:p w14:paraId="1459EE4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external credit assessment incorporates the credit protection provided directly to the SPE by a protection provider which is not an eligible protection provider;</w:t>
      </w:r>
    </w:p>
    <w:p w14:paraId="59161E1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external credit assessment is at least partly based on unfunded support provided by the </w:t>
      </w:r>
      <w:r w:rsidR="000D1A90" w:rsidRPr="00E4265B">
        <w:rPr>
          <w:rFonts w:ascii="Arial" w:hAnsi="Arial" w:cs="Arial"/>
          <w:sz w:val="22"/>
          <w:szCs w:val="22"/>
        </w:rPr>
        <w:t>Authorised Person</w:t>
      </w:r>
      <w:r w:rsidRPr="00E4265B">
        <w:rPr>
          <w:rFonts w:ascii="Arial" w:hAnsi="Arial" w:cs="Arial"/>
          <w:sz w:val="22"/>
          <w:szCs w:val="22"/>
        </w:rPr>
        <w:t xml:space="preserve"> itself (e.g. if an </w:t>
      </w:r>
      <w:r w:rsidR="000D1A90" w:rsidRPr="00E4265B">
        <w:rPr>
          <w:rFonts w:ascii="Arial" w:hAnsi="Arial" w:cs="Arial"/>
          <w:sz w:val="22"/>
          <w:szCs w:val="22"/>
        </w:rPr>
        <w:t>Authorised Person</w:t>
      </w:r>
      <w:r w:rsidRPr="00E4265B">
        <w:rPr>
          <w:rFonts w:ascii="Arial" w:hAnsi="Arial" w:cs="Arial"/>
          <w:sz w:val="22"/>
          <w:szCs w:val="22"/>
        </w:rPr>
        <w:t xml:space="preserve"> buys ABCP) where it provides an unfunded securitisation Exposure extended to the ABCP Programme, such as a liquidity facility or Credit Enhancement, and that Exposure plays a role in determining the credit assessment on the ABCP, the </w:t>
      </w:r>
      <w:r w:rsidR="000D1A90" w:rsidRPr="00E4265B">
        <w:rPr>
          <w:rFonts w:ascii="Arial" w:hAnsi="Arial" w:cs="Arial"/>
          <w:sz w:val="22"/>
          <w:szCs w:val="22"/>
        </w:rPr>
        <w:t>Authorised Person</w:t>
      </w:r>
      <w:r w:rsidRPr="00E4265B">
        <w:rPr>
          <w:rFonts w:ascii="Arial" w:hAnsi="Arial" w:cs="Arial"/>
          <w:sz w:val="22"/>
          <w:szCs w:val="22"/>
        </w:rPr>
        <w:t xml:space="preserve"> must treat the ABCP as if it were not rated and continue to hold capital against the other securitisation Exposures it provides);</w:t>
      </w:r>
    </w:p>
    <w:p w14:paraId="408D101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Credit Risk mitigant is not obtained by the SPE but is separately obtained and applied to a specific securitisation Exposure (e.g. a particular tranche); or</w:t>
      </w:r>
    </w:p>
    <w:p w14:paraId="7EAF94A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CRM does not meet the eligibility criteria for mitigation specified in Section 4.13.</w:t>
      </w:r>
    </w:p>
    <w:p w14:paraId="30E7ABE2"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Where CRM is applied to a specific Exposure within a securitisation the </w:t>
      </w:r>
      <w:r w:rsidR="000D1A90" w:rsidRPr="00E4265B">
        <w:rPr>
          <w:rFonts w:ascii="Arial" w:hAnsi="Arial" w:cs="Arial"/>
          <w:sz w:val="22"/>
          <w:szCs w:val="22"/>
        </w:rPr>
        <w:t>Authorised Person</w:t>
      </w:r>
      <w:r w:rsidRPr="00E4265B">
        <w:rPr>
          <w:rFonts w:ascii="Arial" w:hAnsi="Arial" w:cs="Arial"/>
          <w:sz w:val="22"/>
          <w:szCs w:val="22"/>
        </w:rPr>
        <w:t xml:space="preserve"> must treat the Exposure as unrated, and then use the mitigation as set out in Section 4.13 should the Rules contained in that Section apply.</w:t>
      </w:r>
    </w:p>
    <w:p w14:paraId="42B9BA7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not use an external credit rating agency rating for risk weighting purposes where the assessment is at least partly based on unfunded support provided by the </w:t>
      </w:r>
      <w:r w:rsidR="000D1A90" w:rsidRPr="00E4265B">
        <w:rPr>
          <w:rFonts w:ascii="Arial" w:hAnsi="Arial" w:cs="Arial"/>
          <w:sz w:val="22"/>
          <w:szCs w:val="22"/>
        </w:rPr>
        <w:t>Authorised Person</w:t>
      </w:r>
      <w:r w:rsidRPr="00E4265B">
        <w:rPr>
          <w:rFonts w:ascii="Arial" w:hAnsi="Arial" w:cs="Arial"/>
          <w:sz w:val="22"/>
          <w:szCs w:val="22"/>
        </w:rPr>
        <w:t xml:space="preserve"> itself.</w:t>
      </w:r>
    </w:p>
    <w:p w14:paraId="6A335E5D"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The treatment outlined in Rule 4.14.24 also applies to Exposures in the </w:t>
      </w:r>
      <w:r w:rsidR="000D1A90" w:rsidRPr="00E4265B">
        <w:rPr>
          <w:rFonts w:ascii="Arial" w:hAnsi="Arial" w:cs="Arial"/>
          <w:sz w:val="22"/>
          <w:szCs w:val="22"/>
        </w:rPr>
        <w:t>Authorised Person</w:t>
      </w:r>
      <w:r w:rsidRPr="00E4265B">
        <w:rPr>
          <w:rFonts w:ascii="Arial" w:hAnsi="Arial" w:cs="Arial"/>
          <w:sz w:val="22"/>
          <w:szCs w:val="22"/>
        </w:rPr>
        <w:t xml:space="preserve">'s Trading Book. An </w:t>
      </w:r>
      <w:r w:rsidR="000D1A90" w:rsidRPr="00E4265B">
        <w:rPr>
          <w:rFonts w:ascii="Arial" w:hAnsi="Arial" w:cs="Arial"/>
          <w:sz w:val="22"/>
          <w:szCs w:val="22"/>
        </w:rPr>
        <w:t>Authorised Person</w:t>
      </w:r>
      <w:r w:rsidRPr="00E4265B">
        <w:rPr>
          <w:rFonts w:ascii="Arial" w:hAnsi="Arial" w:cs="Arial"/>
          <w:sz w:val="22"/>
          <w:szCs w:val="22"/>
        </w:rPr>
        <w:t>'s Capital Requirement for such Exposures held in the Trading Book can be no less than the amount required under the Non</w:t>
      </w:r>
      <w:r w:rsidRPr="00E4265B">
        <w:rPr>
          <w:rFonts w:ascii="Arial" w:hAnsi="Arial" w:cs="Arial"/>
          <w:sz w:val="22"/>
          <w:szCs w:val="22"/>
        </w:rPr>
        <w:noBreakHyphen/>
        <w:t>Trading Book.</w:t>
      </w:r>
    </w:p>
    <w:p w14:paraId="4FB80EA5" w14:textId="77777777" w:rsidR="00E22FF2" w:rsidRPr="00E4265B" w:rsidRDefault="00E22FF2" w:rsidP="00945022">
      <w:pPr>
        <w:pStyle w:val="TitleL5"/>
        <w:rPr>
          <w:rFonts w:ascii="Arial" w:hAnsi="Arial" w:cs="Arial"/>
          <w:sz w:val="22"/>
          <w:szCs w:val="22"/>
          <w:lang w:val="en-GB"/>
        </w:rPr>
      </w:pPr>
      <w:r w:rsidRPr="00E4265B">
        <w:rPr>
          <w:rFonts w:ascii="Arial" w:hAnsi="Arial" w:cs="Arial"/>
          <w:sz w:val="22"/>
          <w:szCs w:val="22"/>
          <w:lang w:val="en-GB"/>
        </w:rPr>
        <w:t>Calculation of RWA amounts for securitisation Exposures</w:t>
      </w:r>
    </w:p>
    <w:p w14:paraId="6316A941"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In order to calculate the RWA amount for a securitisation position, the relevant risk weight must be assigned to the Exposure value of the position in accordance with this Section, based on the credit quality of the position.</w:t>
      </w:r>
    </w:p>
    <w:p w14:paraId="7768103B" w14:textId="77777777" w:rsidR="00E22FF2" w:rsidRPr="00E4265B" w:rsidRDefault="00E22FF2" w:rsidP="00945022">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For the purposes of this Rule, the credit quality of a position must be determined by reference to the applicable credit quality assessment from a recognised external credit rating agency.</w:t>
      </w:r>
    </w:p>
    <w:p w14:paraId="6E439DAB"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lastRenderedPageBreak/>
        <w:t>In cases where there are Exposures to different tranches in a securitisation, the Exposure to each tranche must be considered a separate securitisation position.</w:t>
      </w:r>
    </w:p>
    <w:p w14:paraId="33049B3D"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Exposure value of an off</w:t>
      </w:r>
      <w:r w:rsidRPr="00E4265B">
        <w:rPr>
          <w:rFonts w:ascii="Arial" w:hAnsi="Arial" w:cs="Arial"/>
          <w:sz w:val="22"/>
          <w:szCs w:val="22"/>
        </w:rPr>
        <w:noBreakHyphen/>
        <w:t>balance sheet securitisation position must, subject to A4.2.2, be its nominal value multiplied by a CCF of 100%, wherever applicable.</w:t>
      </w:r>
    </w:p>
    <w:p w14:paraId="52C43F36"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The Exposure value of a securitisation position arising from a financial </w:t>
      </w:r>
      <w:r w:rsidR="005F3B3B" w:rsidRPr="00E4265B">
        <w:rPr>
          <w:rFonts w:ascii="Arial" w:hAnsi="Arial" w:cs="Arial"/>
          <w:sz w:val="22"/>
          <w:szCs w:val="22"/>
        </w:rPr>
        <w:t>Derivative</w:t>
      </w:r>
      <w:r w:rsidRPr="00E4265B">
        <w:rPr>
          <w:rFonts w:ascii="Arial" w:hAnsi="Arial" w:cs="Arial"/>
          <w:sz w:val="22"/>
          <w:szCs w:val="22"/>
        </w:rPr>
        <w:t xml:space="preserve"> must be determined in accordance with Rules 4.6.14 to 4.6.21 dealing with treatment of financial </w:t>
      </w:r>
      <w:r w:rsidR="005F3B3B" w:rsidRPr="00E4265B">
        <w:rPr>
          <w:rFonts w:ascii="Arial" w:hAnsi="Arial" w:cs="Arial"/>
          <w:sz w:val="22"/>
          <w:szCs w:val="22"/>
        </w:rPr>
        <w:t>Derivative</w:t>
      </w:r>
      <w:r w:rsidRPr="00E4265B">
        <w:rPr>
          <w:rFonts w:ascii="Arial" w:hAnsi="Arial" w:cs="Arial"/>
          <w:sz w:val="22"/>
          <w:szCs w:val="22"/>
        </w:rPr>
        <w:t>s.</w:t>
      </w:r>
    </w:p>
    <w:p w14:paraId="4DB9E278" w14:textId="77777777" w:rsidR="00E22FF2" w:rsidRPr="00E4265B" w:rsidRDefault="00E22FF2" w:rsidP="00945022">
      <w:pPr>
        <w:pStyle w:val="TitleL5"/>
        <w:rPr>
          <w:rFonts w:ascii="Arial" w:hAnsi="Arial" w:cs="Arial"/>
          <w:sz w:val="22"/>
          <w:szCs w:val="22"/>
          <w:lang w:val="en-GB"/>
        </w:rPr>
      </w:pPr>
      <w:r w:rsidRPr="00E4265B">
        <w:rPr>
          <w:rFonts w:ascii="Arial" w:hAnsi="Arial" w:cs="Arial"/>
          <w:sz w:val="22"/>
          <w:szCs w:val="22"/>
          <w:lang w:val="en-GB"/>
        </w:rPr>
        <w:t>Assigning risk weights</w:t>
      </w:r>
    </w:p>
    <w:p w14:paraId="6F31E5FD" w14:textId="3EFB7A27" w:rsidR="003A2A15"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assign a risk weight for any SE Exposure in accordance with the tables below, to calculate the Credit RWA amounts for that Exposure.</w:t>
      </w:r>
    </w:p>
    <w:p w14:paraId="6851174A" w14:textId="77777777" w:rsidR="00E22FF2" w:rsidRPr="00E4265B" w:rsidRDefault="00E22FF2" w:rsidP="00945022">
      <w:pPr>
        <w:pStyle w:val="UK12Block05"/>
        <w:rPr>
          <w:rFonts w:ascii="Arial" w:hAnsi="Arial" w:cs="Arial"/>
          <w:sz w:val="22"/>
          <w:szCs w:val="22"/>
          <w:lang w:val="en-GB"/>
        </w:rPr>
      </w:pPr>
      <w:r w:rsidRPr="00E4265B">
        <w:rPr>
          <w:rFonts w:ascii="Arial" w:hAnsi="Arial" w:cs="Arial"/>
          <w:sz w:val="22"/>
          <w:szCs w:val="22"/>
          <w:lang w:val="en-GB"/>
        </w:rPr>
        <w:t>Risk Weights for Long</w:t>
      </w:r>
      <w:r w:rsidRPr="00E4265B">
        <w:rPr>
          <w:rFonts w:ascii="Arial" w:hAnsi="Arial" w:cs="Arial"/>
          <w:sz w:val="22"/>
          <w:szCs w:val="22"/>
          <w:lang w:val="en-GB"/>
        </w:rPr>
        <w:noBreakHyphen/>
        <w:t>Term securitisation Exposures</w:t>
      </w:r>
    </w:p>
    <w:tbl>
      <w:tblPr>
        <w:tblStyle w:val="TableGrid"/>
        <w:tblW w:w="0" w:type="auto"/>
        <w:tblInd w:w="1008" w:type="dxa"/>
        <w:tblLook w:val="04A0" w:firstRow="1" w:lastRow="0" w:firstColumn="1" w:lastColumn="0" w:noHBand="0" w:noVBand="1"/>
      </w:tblPr>
      <w:tblGrid>
        <w:gridCol w:w="1855"/>
        <w:gridCol w:w="1152"/>
        <w:gridCol w:w="1172"/>
        <w:gridCol w:w="1172"/>
        <w:gridCol w:w="1172"/>
        <w:gridCol w:w="1486"/>
      </w:tblGrid>
      <w:tr w:rsidR="00E22FF2" w:rsidRPr="00E4265B" w14:paraId="72232738" w14:textId="77777777" w:rsidTr="00E50EFB">
        <w:tc>
          <w:tcPr>
            <w:tcW w:w="8235" w:type="dxa"/>
            <w:gridSpan w:val="6"/>
            <w:shd w:val="clear" w:color="auto" w:fill="D9D9D9" w:themeFill="background1" w:themeFillShade="D9"/>
          </w:tcPr>
          <w:p w14:paraId="09F75FCE" w14:textId="77777777" w:rsidR="00E22FF2" w:rsidRPr="00E4265B" w:rsidRDefault="00E22FF2" w:rsidP="00EF0112">
            <w:pPr>
              <w:spacing w:after="60"/>
              <w:rPr>
                <w:rFonts w:ascii="Arial" w:hAnsi="Arial" w:cs="Arial"/>
                <w:sz w:val="22"/>
                <w:szCs w:val="22"/>
                <w:lang w:val="en-GB"/>
              </w:rPr>
            </w:pPr>
            <w:r w:rsidRPr="00E4265B">
              <w:rPr>
                <w:rFonts w:ascii="Arial" w:hAnsi="Arial" w:cs="Arial"/>
                <w:sz w:val="22"/>
                <w:szCs w:val="22"/>
                <w:lang w:val="en-GB"/>
              </w:rPr>
              <w:t xml:space="preserve">Long </w:t>
            </w:r>
            <w:r w:rsidRPr="00E4265B">
              <w:rPr>
                <w:rFonts w:ascii="Arial" w:hAnsi="Arial" w:cs="Arial"/>
                <w:sz w:val="22"/>
                <w:szCs w:val="22"/>
                <w:shd w:val="clear" w:color="auto" w:fill="D9D9D9" w:themeFill="background1" w:themeFillShade="D9"/>
                <w:lang w:val="en-GB"/>
              </w:rPr>
              <w:t>Term rating category</w:t>
            </w:r>
          </w:p>
        </w:tc>
      </w:tr>
      <w:tr w:rsidR="00E22FF2" w:rsidRPr="00E4265B" w14:paraId="5E6D507F" w14:textId="77777777" w:rsidTr="00E50EFB">
        <w:tc>
          <w:tcPr>
            <w:tcW w:w="1710" w:type="dxa"/>
            <w:shd w:val="clear" w:color="auto" w:fill="D9D9D9" w:themeFill="background1" w:themeFillShade="D9"/>
          </w:tcPr>
          <w:p w14:paraId="49A470D3" w14:textId="77777777" w:rsidR="00E22FF2" w:rsidRPr="00E4265B" w:rsidRDefault="00E22FF2" w:rsidP="00EF0112">
            <w:pPr>
              <w:spacing w:after="60"/>
              <w:rPr>
                <w:rFonts w:ascii="Arial" w:hAnsi="Arial" w:cs="Arial"/>
                <w:sz w:val="22"/>
                <w:szCs w:val="22"/>
                <w:lang w:val="en-GB"/>
              </w:rPr>
            </w:pPr>
            <w:r w:rsidRPr="00E4265B">
              <w:rPr>
                <w:rFonts w:ascii="Arial" w:hAnsi="Arial" w:cs="Arial"/>
                <w:sz w:val="22"/>
                <w:szCs w:val="22"/>
                <w:lang w:val="en-GB"/>
              </w:rPr>
              <w:t>Credit Quality Grade</w:t>
            </w:r>
          </w:p>
        </w:tc>
        <w:tc>
          <w:tcPr>
            <w:tcW w:w="1249" w:type="dxa"/>
          </w:tcPr>
          <w:p w14:paraId="448934A1"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1</w:t>
            </w:r>
          </w:p>
        </w:tc>
        <w:tc>
          <w:tcPr>
            <w:tcW w:w="1249" w:type="dxa"/>
          </w:tcPr>
          <w:p w14:paraId="5EB4E67E"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2</w:t>
            </w:r>
          </w:p>
        </w:tc>
        <w:tc>
          <w:tcPr>
            <w:tcW w:w="1249" w:type="dxa"/>
          </w:tcPr>
          <w:p w14:paraId="5CFB6017"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3</w:t>
            </w:r>
          </w:p>
        </w:tc>
        <w:tc>
          <w:tcPr>
            <w:tcW w:w="1249" w:type="dxa"/>
          </w:tcPr>
          <w:p w14:paraId="32A236E9"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4</w:t>
            </w:r>
          </w:p>
        </w:tc>
        <w:tc>
          <w:tcPr>
            <w:tcW w:w="1529" w:type="dxa"/>
          </w:tcPr>
          <w:p w14:paraId="14215958" w14:textId="6E3F9B68" w:rsidR="00E22FF2" w:rsidRPr="00E4265B" w:rsidRDefault="00E22FF2" w:rsidP="000E649A">
            <w:pPr>
              <w:spacing w:after="60"/>
              <w:jc w:val="center"/>
              <w:rPr>
                <w:rFonts w:ascii="Arial" w:hAnsi="Arial" w:cs="Arial"/>
                <w:sz w:val="22"/>
                <w:szCs w:val="22"/>
                <w:lang w:val="en-GB"/>
              </w:rPr>
            </w:pPr>
            <w:r w:rsidRPr="00E4265B">
              <w:rPr>
                <w:rFonts w:ascii="Arial" w:hAnsi="Arial" w:cs="Arial"/>
                <w:sz w:val="22"/>
                <w:szCs w:val="22"/>
                <w:lang w:val="en-GB"/>
              </w:rPr>
              <w:t xml:space="preserve">5 and </w:t>
            </w:r>
            <w:r w:rsidR="000E649A" w:rsidRPr="00E4265B">
              <w:rPr>
                <w:rFonts w:ascii="Arial" w:hAnsi="Arial" w:cs="Arial"/>
                <w:sz w:val="22"/>
                <w:szCs w:val="22"/>
                <w:lang w:val="en-GB"/>
              </w:rPr>
              <w:t xml:space="preserve">above including </w:t>
            </w:r>
            <w:r w:rsidRPr="00E4265B">
              <w:rPr>
                <w:rFonts w:ascii="Arial" w:hAnsi="Arial" w:cs="Arial"/>
                <w:sz w:val="22"/>
                <w:szCs w:val="22"/>
                <w:lang w:val="en-GB"/>
              </w:rPr>
              <w:t>unrated</w:t>
            </w:r>
          </w:p>
        </w:tc>
      </w:tr>
      <w:tr w:rsidR="00E22FF2" w:rsidRPr="00E4265B" w14:paraId="6A6B495E" w14:textId="77777777" w:rsidTr="00E50EFB">
        <w:tc>
          <w:tcPr>
            <w:tcW w:w="1710" w:type="dxa"/>
            <w:shd w:val="clear" w:color="auto" w:fill="D9D9D9" w:themeFill="background1" w:themeFillShade="D9"/>
          </w:tcPr>
          <w:p w14:paraId="22B5F593" w14:textId="77777777" w:rsidR="00E22FF2" w:rsidRPr="00E4265B" w:rsidRDefault="00E22FF2" w:rsidP="00EF0112">
            <w:pPr>
              <w:spacing w:after="60"/>
              <w:rPr>
                <w:rFonts w:ascii="Arial" w:hAnsi="Arial" w:cs="Arial"/>
                <w:sz w:val="22"/>
                <w:szCs w:val="22"/>
                <w:lang w:val="en-GB"/>
              </w:rPr>
            </w:pPr>
            <w:r w:rsidRPr="00E4265B">
              <w:rPr>
                <w:rFonts w:ascii="Arial" w:hAnsi="Arial" w:cs="Arial"/>
                <w:sz w:val="22"/>
                <w:szCs w:val="22"/>
                <w:lang w:val="en-GB"/>
              </w:rPr>
              <w:t>Risk Weight to be applied to securitisation Exposures (excluding Re</w:t>
            </w:r>
            <w:r w:rsidRPr="00E4265B">
              <w:rPr>
                <w:rFonts w:ascii="Arial" w:hAnsi="Arial" w:cs="Arial"/>
                <w:sz w:val="22"/>
                <w:szCs w:val="22"/>
                <w:lang w:val="en-GB"/>
              </w:rPr>
              <w:noBreakHyphen/>
              <w:t>securitisation Exposures)</w:t>
            </w:r>
          </w:p>
        </w:tc>
        <w:tc>
          <w:tcPr>
            <w:tcW w:w="1249" w:type="dxa"/>
          </w:tcPr>
          <w:p w14:paraId="399ACF49"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20%</w:t>
            </w:r>
          </w:p>
        </w:tc>
        <w:tc>
          <w:tcPr>
            <w:tcW w:w="1249" w:type="dxa"/>
          </w:tcPr>
          <w:p w14:paraId="030EF6EB"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50%</w:t>
            </w:r>
          </w:p>
        </w:tc>
        <w:tc>
          <w:tcPr>
            <w:tcW w:w="1249" w:type="dxa"/>
          </w:tcPr>
          <w:p w14:paraId="70234F37"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100%</w:t>
            </w:r>
          </w:p>
        </w:tc>
        <w:tc>
          <w:tcPr>
            <w:tcW w:w="1249" w:type="dxa"/>
          </w:tcPr>
          <w:p w14:paraId="15A2D384"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350%</w:t>
            </w:r>
          </w:p>
        </w:tc>
        <w:tc>
          <w:tcPr>
            <w:tcW w:w="1529" w:type="dxa"/>
          </w:tcPr>
          <w:p w14:paraId="229933F7" w14:textId="77777777" w:rsidR="00E22FF2" w:rsidRPr="00E4265B" w:rsidRDefault="00E22FF2" w:rsidP="00EE4115">
            <w:pPr>
              <w:spacing w:after="60"/>
              <w:jc w:val="center"/>
              <w:rPr>
                <w:rFonts w:ascii="Arial" w:hAnsi="Arial" w:cs="Arial"/>
                <w:sz w:val="22"/>
                <w:szCs w:val="22"/>
                <w:lang w:val="en-GB"/>
              </w:rPr>
            </w:pPr>
            <w:r w:rsidRPr="00E4265B">
              <w:rPr>
                <w:rFonts w:ascii="Arial" w:hAnsi="Arial" w:cs="Arial"/>
                <w:sz w:val="22"/>
                <w:szCs w:val="22"/>
                <w:lang w:val="en-GB"/>
              </w:rPr>
              <w:t>1</w:t>
            </w:r>
            <w:r w:rsidR="00EE4115" w:rsidRPr="00E4265B">
              <w:rPr>
                <w:rFonts w:ascii="Arial" w:hAnsi="Arial" w:cs="Arial"/>
                <w:sz w:val="22"/>
                <w:szCs w:val="22"/>
                <w:lang w:val="en-GB"/>
              </w:rPr>
              <w:t>00</w:t>
            </w:r>
            <w:r w:rsidRPr="00E4265B">
              <w:rPr>
                <w:rFonts w:ascii="Arial" w:hAnsi="Arial" w:cs="Arial"/>
                <w:sz w:val="22"/>
                <w:szCs w:val="22"/>
                <w:lang w:val="en-GB"/>
              </w:rPr>
              <w:t xml:space="preserve">0% or </w:t>
            </w:r>
            <w:r w:rsidR="00EE4115" w:rsidRPr="00E4265B">
              <w:rPr>
                <w:rFonts w:ascii="Arial" w:hAnsi="Arial" w:cs="Arial"/>
                <w:sz w:val="22"/>
                <w:szCs w:val="22"/>
                <w:lang w:val="en-GB"/>
              </w:rPr>
              <w:t>deduction</w:t>
            </w:r>
            <w:r w:rsidR="00E0608F" w:rsidRPr="00E4265B">
              <w:rPr>
                <w:rFonts w:ascii="Arial" w:hAnsi="Arial" w:cs="Arial"/>
                <w:sz w:val="22"/>
                <w:szCs w:val="22"/>
                <w:lang w:val="en-GB"/>
              </w:rPr>
              <w:t xml:space="preserve"> from Capital Resources</w:t>
            </w:r>
          </w:p>
        </w:tc>
      </w:tr>
      <w:tr w:rsidR="00E22FF2" w:rsidRPr="00E4265B" w14:paraId="748E484B" w14:textId="77777777" w:rsidTr="00E50EFB">
        <w:tc>
          <w:tcPr>
            <w:tcW w:w="1710" w:type="dxa"/>
            <w:shd w:val="clear" w:color="auto" w:fill="D9D9D9" w:themeFill="background1" w:themeFillShade="D9"/>
          </w:tcPr>
          <w:p w14:paraId="30EA95A8" w14:textId="77777777" w:rsidR="00E22FF2" w:rsidRPr="00E4265B" w:rsidRDefault="00E22FF2" w:rsidP="00EF0112">
            <w:pPr>
              <w:spacing w:after="60"/>
              <w:rPr>
                <w:rFonts w:ascii="Arial" w:hAnsi="Arial" w:cs="Arial"/>
                <w:sz w:val="22"/>
                <w:szCs w:val="22"/>
                <w:lang w:val="en-GB"/>
              </w:rPr>
            </w:pPr>
            <w:r w:rsidRPr="00E4265B">
              <w:rPr>
                <w:rFonts w:ascii="Arial" w:hAnsi="Arial" w:cs="Arial"/>
                <w:sz w:val="22"/>
                <w:szCs w:val="22"/>
                <w:lang w:val="en-GB"/>
              </w:rPr>
              <w:t>Risk weight applied to Re</w:t>
            </w:r>
            <w:r w:rsidRPr="00E4265B">
              <w:rPr>
                <w:rFonts w:ascii="Arial" w:hAnsi="Arial" w:cs="Arial"/>
                <w:sz w:val="22"/>
                <w:szCs w:val="22"/>
                <w:lang w:val="en-GB"/>
              </w:rPr>
              <w:noBreakHyphen/>
              <w:t>securitisation Exposures</w:t>
            </w:r>
          </w:p>
        </w:tc>
        <w:tc>
          <w:tcPr>
            <w:tcW w:w="1249" w:type="dxa"/>
          </w:tcPr>
          <w:p w14:paraId="327C2732"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40%</w:t>
            </w:r>
          </w:p>
        </w:tc>
        <w:tc>
          <w:tcPr>
            <w:tcW w:w="1249" w:type="dxa"/>
          </w:tcPr>
          <w:p w14:paraId="5FF888D9"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100%</w:t>
            </w:r>
          </w:p>
        </w:tc>
        <w:tc>
          <w:tcPr>
            <w:tcW w:w="1249" w:type="dxa"/>
          </w:tcPr>
          <w:p w14:paraId="5CA6C4F2"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225%</w:t>
            </w:r>
          </w:p>
        </w:tc>
        <w:tc>
          <w:tcPr>
            <w:tcW w:w="1249" w:type="dxa"/>
          </w:tcPr>
          <w:p w14:paraId="04DE6922"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650%</w:t>
            </w:r>
          </w:p>
        </w:tc>
        <w:tc>
          <w:tcPr>
            <w:tcW w:w="1529" w:type="dxa"/>
          </w:tcPr>
          <w:p w14:paraId="6374026F"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 xml:space="preserve">1000% or </w:t>
            </w:r>
            <w:r w:rsidR="00EE4115" w:rsidRPr="00E4265B">
              <w:rPr>
                <w:rFonts w:ascii="Arial" w:hAnsi="Arial" w:cs="Arial"/>
                <w:sz w:val="22"/>
                <w:szCs w:val="22"/>
                <w:lang w:val="en-GB"/>
              </w:rPr>
              <w:t xml:space="preserve">deduction </w:t>
            </w:r>
            <w:r w:rsidRPr="00E4265B">
              <w:rPr>
                <w:rFonts w:ascii="Arial" w:hAnsi="Arial" w:cs="Arial"/>
                <w:sz w:val="22"/>
                <w:szCs w:val="22"/>
                <w:lang w:val="en-GB"/>
              </w:rPr>
              <w:t>from Capital Resources</w:t>
            </w:r>
          </w:p>
        </w:tc>
      </w:tr>
    </w:tbl>
    <w:p w14:paraId="11785BA3" w14:textId="77777777" w:rsidR="00E22FF2" w:rsidRPr="00E4265B" w:rsidRDefault="00E22FF2" w:rsidP="00EF0112">
      <w:pPr>
        <w:rPr>
          <w:rFonts w:ascii="Arial" w:hAnsi="Arial" w:cs="Arial"/>
          <w:sz w:val="22"/>
          <w:szCs w:val="22"/>
          <w:lang w:val="en-GB"/>
        </w:rPr>
      </w:pPr>
    </w:p>
    <w:p w14:paraId="51602F64" w14:textId="77777777" w:rsidR="00E22FF2" w:rsidRPr="00E4265B" w:rsidRDefault="00E22FF2" w:rsidP="0008739E">
      <w:pPr>
        <w:pStyle w:val="UK12Block05"/>
        <w:rPr>
          <w:rFonts w:ascii="Arial" w:hAnsi="Arial" w:cs="Arial"/>
          <w:sz w:val="22"/>
          <w:szCs w:val="22"/>
          <w:lang w:val="en-GB"/>
        </w:rPr>
      </w:pPr>
      <w:r w:rsidRPr="00E4265B">
        <w:rPr>
          <w:rFonts w:ascii="Arial" w:hAnsi="Arial" w:cs="Arial"/>
          <w:sz w:val="22"/>
          <w:szCs w:val="22"/>
          <w:lang w:val="en-GB"/>
        </w:rPr>
        <w:t>Risk Weights for Short</w:t>
      </w:r>
      <w:r w:rsidRPr="00E4265B">
        <w:rPr>
          <w:rFonts w:ascii="Arial" w:hAnsi="Arial" w:cs="Arial"/>
          <w:sz w:val="22"/>
          <w:szCs w:val="22"/>
          <w:lang w:val="en-GB"/>
        </w:rPr>
        <w:noBreakHyphen/>
        <w:t>Term securitisation Exposures</w:t>
      </w:r>
    </w:p>
    <w:tbl>
      <w:tblPr>
        <w:tblStyle w:val="TableGrid"/>
        <w:tblW w:w="4455" w:type="pct"/>
        <w:tblInd w:w="1008" w:type="dxa"/>
        <w:tblLook w:val="04A0" w:firstRow="1" w:lastRow="0" w:firstColumn="1" w:lastColumn="0" w:noHBand="0" w:noVBand="1"/>
      </w:tblPr>
      <w:tblGrid>
        <w:gridCol w:w="1855"/>
        <w:gridCol w:w="1544"/>
        <w:gridCol w:w="1544"/>
        <w:gridCol w:w="1544"/>
        <w:gridCol w:w="1547"/>
      </w:tblGrid>
      <w:tr w:rsidR="00E22FF2" w:rsidRPr="00E4265B" w14:paraId="0E85044A" w14:textId="77777777" w:rsidTr="00E50EFB">
        <w:tc>
          <w:tcPr>
            <w:tcW w:w="5000" w:type="pct"/>
            <w:gridSpan w:val="5"/>
            <w:shd w:val="clear" w:color="auto" w:fill="D9D9D9" w:themeFill="background1" w:themeFillShade="D9"/>
          </w:tcPr>
          <w:p w14:paraId="7206EB7D" w14:textId="77777777" w:rsidR="00E22FF2" w:rsidRPr="00E4265B" w:rsidRDefault="00E22FF2" w:rsidP="0008739E">
            <w:pPr>
              <w:spacing w:after="60"/>
              <w:rPr>
                <w:rFonts w:ascii="Arial" w:hAnsi="Arial" w:cs="Arial"/>
                <w:sz w:val="22"/>
                <w:szCs w:val="22"/>
                <w:lang w:val="en-GB"/>
              </w:rPr>
            </w:pPr>
            <w:r w:rsidRPr="00E4265B">
              <w:rPr>
                <w:rFonts w:ascii="Arial" w:hAnsi="Arial" w:cs="Arial"/>
                <w:sz w:val="22"/>
                <w:szCs w:val="22"/>
                <w:lang w:val="en-GB"/>
              </w:rPr>
              <w:t>Short</w:t>
            </w:r>
            <w:r w:rsidRPr="00E4265B">
              <w:rPr>
                <w:rFonts w:ascii="Arial" w:hAnsi="Arial" w:cs="Arial"/>
                <w:sz w:val="22"/>
                <w:szCs w:val="22"/>
                <w:lang w:val="en-GB"/>
              </w:rPr>
              <w:noBreakHyphen/>
              <w:t>term rating category</w:t>
            </w:r>
          </w:p>
        </w:tc>
      </w:tr>
      <w:tr w:rsidR="00E22FF2" w:rsidRPr="00E4265B" w14:paraId="2E478633" w14:textId="77777777" w:rsidTr="00E50EFB">
        <w:tc>
          <w:tcPr>
            <w:tcW w:w="1038" w:type="pct"/>
            <w:shd w:val="clear" w:color="auto" w:fill="D9D9D9" w:themeFill="background1" w:themeFillShade="D9"/>
          </w:tcPr>
          <w:p w14:paraId="20023153" w14:textId="77777777" w:rsidR="00E22FF2" w:rsidRPr="00E4265B" w:rsidRDefault="00E22FF2" w:rsidP="00EF0112">
            <w:pPr>
              <w:spacing w:after="60"/>
              <w:rPr>
                <w:rFonts w:ascii="Arial" w:hAnsi="Arial" w:cs="Arial"/>
                <w:sz w:val="22"/>
                <w:szCs w:val="22"/>
                <w:lang w:val="en-GB"/>
              </w:rPr>
            </w:pPr>
            <w:r w:rsidRPr="00E4265B">
              <w:rPr>
                <w:rFonts w:ascii="Arial" w:hAnsi="Arial" w:cs="Arial"/>
                <w:sz w:val="22"/>
                <w:szCs w:val="22"/>
                <w:lang w:val="en-GB"/>
              </w:rPr>
              <w:t>Credit Quality Grade</w:t>
            </w:r>
          </w:p>
        </w:tc>
        <w:tc>
          <w:tcPr>
            <w:tcW w:w="990" w:type="pct"/>
          </w:tcPr>
          <w:p w14:paraId="0F2AF79A"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I</w:t>
            </w:r>
          </w:p>
        </w:tc>
        <w:tc>
          <w:tcPr>
            <w:tcW w:w="990" w:type="pct"/>
          </w:tcPr>
          <w:p w14:paraId="7E697621"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II</w:t>
            </w:r>
          </w:p>
        </w:tc>
        <w:tc>
          <w:tcPr>
            <w:tcW w:w="990" w:type="pct"/>
          </w:tcPr>
          <w:p w14:paraId="2EE5D01E"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III</w:t>
            </w:r>
          </w:p>
        </w:tc>
        <w:tc>
          <w:tcPr>
            <w:tcW w:w="992" w:type="pct"/>
          </w:tcPr>
          <w:p w14:paraId="416DD9C1" w14:textId="27148B6E" w:rsidR="00E22FF2" w:rsidRPr="00E4265B" w:rsidRDefault="00E22FF2" w:rsidP="00EE4115">
            <w:pPr>
              <w:spacing w:after="60"/>
              <w:jc w:val="center"/>
              <w:rPr>
                <w:rFonts w:ascii="Arial" w:hAnsi="Arial" w:cs="Arial"/>
                <w:sz w:val="22"/>
                <w:szCs w:val="22"/>
                <w:lang w:val="en-GB"/>
              </w:rPr>
            </w:pPr>
            <w:r w:rsidRPr="00E4265B">
              <w:rPr>
                <w:rFonts w:ascii="Arial" w:hAnsi="Arial" w:cs="Arial"/>
                <w:sz w:val="22"/>
                <w:szCs w:val="22"/>
                <w:lang w:val="en-GB"/>
              </w:rPr>
              <w:t xml:space="preserve">IV and </w:t>
            </w:r>
            <w:r w:rsidR="000E649A" w:rsidRPr="00E4265B">
              <w:rPr>
                <w:rFonts w:ascii="Arial" w:hAnsi="Arial" w:cs="Arial"/>
                <w:sz w:val="22"/>
                <w:szCs w:val="22"/>
                <w:lang w:val="en-GB"/>
              </w:rPr>
              <w:t xml:space="preserve">above including </w:t>
            </w:r>
            <w:r w:rsidRPr="00E4265B">
              <w:rPr>
                <w:rFonts w:ascii="Arial" w:hAnsi="Arial" w:cs="Arial"/>
                <w:sz w:val="22"/>
                <w:szCs w:val="22"/>
                <w:lang w:val="en-GB"/>
              </w:rPr>
              <w:t>unrated</w:t>
            </w:r>
          </w:p>
        </w:tc>
      </w:tr>
      <w:tr w:rsidR="00E22FF2" w:rsidRPr="00E4265B" w14:paraId="22077F4B" w14:textId="77777777" w:rsidTr="00E50EFB">
        <w:tc>
          <w:tcPr>
            <w:tcW w:w="1038" w:type="pct"/>
            <w:shd w:val="clear" w:color="auto" w:fill="D9D9D9" w:themeFill="background1" w:themeFillShade="D9"/>
          </w:tcPr>
          <w:p w14:paraId="08F41824" w14:textId="77777777" w:rsidR="00E22FF2" w:rsidRPr="00E4265B" w:rsidRDefault="00E22FF2" w:rsidP="00EF0112">
            <w:pPr>
              <w:spacing w:after="60"/>
              <w:rPr>
                <w:rFonts w:ascii="Arial" w:hAnsi="Arial" w:cs="Arial"/>
                <w:sz w:val="22"/>
                <w:szCs w:val="22"/>
                <w:lang w:val="en-GB"/>
              </w:rPr>
            </w:pPr>
            <w:r w:rsidRPr="00E4265B">
              <w:rPr>
                <w:rFonts w:ascii="Arial" w:hAnsi="Arial" w:cs="Arial"/>
                <w:sz w:val="22"/>
                <w:szCs w:val="22"/>
                <w:lang w:val="en-GB"/>
              </w:rPr>
              <w:t>Risk Weight to be applied</w:t>
            </w:r>
          </w:p>
        </w:tc>
        <w:tc>
          <w:tcPr>
            <w:tcW w:w="990" w:type="pct"/>
          </w:tcPr>
          <w:p w14:paraId="174EC6BE"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20%</w:t>
            </w:r>
          </w:p>
        </w:tc>
        <w:tc>
          <w:tcPr>
            <w:tcW w:w="990" w:type="pct"/>
          </w:tcPr>
          <w:p w14:paraId="442B1A33"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50%</w:t>
            </w:r>
          </w:p>
        </w:tc>
        <w:tc>
          <w:tcPr>
            <w:tcW w:w="990" w:type="pct"/>
          </w:tcPr>
          <w:p w14:paraId="4498F2B0"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100%</w:t>
            </w:r>
          </w:p>
        </w:tc>
        <w:tc>
          <w:tcPr>
            <w:tcW w:w="992" w:type="pct"/>
          </w:tcPr>
          <w:p w14:paraId="3AA333D0" w14:textId="77777777" w:rsidR="00E22FF2" w:rsidRPr="00E4265B" w:rsidRDefault="00C07C10" w:rsidP="00EF0112">
            <w:pPr>
              <w:spacing w:after="60"/>
              <w:jc w:val="center"/>
              <w:rPr>
                <w:rFonts w:ascii="Arial" w:hAnsi="Arial" w:cs="Arial"/>
                <w:sz w:val="22"/>
                <w:szCs w:val="22"/>
                <w:lang w:val="en-GB"/>
              </w:rPr>
            </w:pPr>
            <w:r w:rsidRPr="00E4265B">
              <w:rPr>
                <w:rFonts w:ascii="Arial" w:hAnsi="Arial" w:cs="Arial"/>
                <w:sz w:val="22"/>
                <w:szCs w:val="22"/>
                <w:lang w:val="en-GB"/>
              </w:rPr>
              <w:t xml:space="preserve">1000% </w:t>
            </w:r>
          </w:p>
        </w:tc>
      </w:tr>
      <w:tr w:rsidR="00E22FF2" w:rsidRPr="00E4265B" w14:paraId="06698B93" w14:textId="77777777" w:rsidTr="00E50EFB">
        <w:tc>
          <w:tcPr>
            <w:tcW w:w="1038" w:type="pct"/>
            <w:shd w:val="clear" w:color="auto" w:fill="D9D9D9" w:themeFill="background1" w:themeFillShade="D9"/>
          </w:tcPr>
          <w:p w14:paraId="14AB13BA" w14:textId="4B2EE819" w:rsidR="00E22FF2" w:rsidRPr="00E4265B" w:rsidRDefault="00E22FF2" w:rsidP="00EF0112">
            <w:pPr>
              <w:spacing w:after="60"/>
              <w:rPr>
                <w:rFonts w:ascii="Arial" w:hAnsi="Arial" w:cs="Arial"/>
                <w:sz w:val="22"/>
                <w:szCs w:val="22"/>
                <w:lang w:val="en-GB"/>
              </w:rPr>
            </w:pPr>
            <w:r w:rsidRPr="00E4265B">
              <w:rPr>
                <w:rFonts w:ascii="Arial" w:hAnsi="Arial" w:cs="Arial"/>
                <w:sz w:val="22"/>
                <w:szCs w:val="22"/>
                <w:lang w:val="en-GB"/>
              </w:rPr>
              <w:t>Risk Weight applied to Re</w:t>
            </w:r>
            <w:r w:rsidRPr="00E4265B">
              <w:rPr>
                <w:rFonts w:ascii="Arial" w:hAnsi="Arial" w:cs="Arial"/>
                <w:sz w:val="22"/>
                <w:szCs w:val="22"/>
                <w:lang w:val="en-GB"/>
              </w:rPr>
              <w:noBreakHyphen/>
              <w:t>securitisation Exposures</w:t>
            </w:r>
          </w:p>
        </w:tc>
        <w:tc>
          <w:tcPr>
            <w:tcW w:w="990" w:type="pct"/>
          </w:tcPr>
          <w:p w14:paraId="022071E2"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40%</w:t>
            </w:r>
          </w:p>
        </w:tc>
        <w:tc>
          <w:tcPr>
            <w:tcW w:w="990" w:type="pct"/>
          </w:tcPr>
          <w:p w14:paraId="31BD9E21"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100%</w:t>
            </w:r>
          </w:p>
        </w:tc>
        <w:tc>
          <w:tcPr>
            <w:tcW w:w="990" w:type="pct"/>
          </w:tcPr>
          <w:p w14:paraId="52682637"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225%</w:t>
            </w:r>
          </w:p>
        </w:tc>
        <w:tc>
          <w:tcPr>
            <w:tcW w:w="992" w:type="pct"/>
          </w:tcPr>
          <w:p w14:paraId="008EEEBD" w14:textId="77777777" w:rsidR="00E22FF2" w:rsidRPr="00E4265B" w:rsidRDefault="00E22FF2" w:rsidP="00EF0112">
            <w:pPr>
              <w:spacing w:after="60"/>
              <w:jc w:val="center"/>
              <w:rPr>
                <w:rFonts w:ascii="Arial" w:hAnsi="Arial" w:cs="Arial"/>
                <w:sz w:val="22"/>
                <w:szCs w:val="22"/>
                <w:lang w:val="en-GB"/>
              </w:rPr>
            </w:pPr>
            <w:r w:rsidRPr="00E4265B">
              <w:rPr>
                <w:rFonts w:ascii="Arial" w:hAnsi="Arial" w:cs="Arial"/>
                <w:sz w:val="22"/>
                <w:szCs w:val="22"/>
                <w:lang w:val="en-GB"/>
              </w:rPr>
              <w:t>1000% or deduction from Capital Resources</w:t>
            </w:r>
          </w:p>
        </w:tc>
      </w:tr>
    </w:tbl>
    <w:p w14:paraId="1A1C41C0" w14:textId="77777777" w:rsidR="00E22FF2" w:rsidRPr="00E4265B" w:rsidRDefault="00E22FF2" w:rsidP="00EF0112">
      <w:pPr>
        <w:rPr>
          <w:rFonts w:ascii="Arial" w:hAnsi="Arial" w:cs="Arial"/>
          <w:sz w:val="22"/>
          <w:szCs w:val="22"/>
          <w:lang w:val="en-GB"/>
        </w:rPr>
      </w:pPr>
    </w:p>
    <w:p w14:paraId="49131C54"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In respect of securitisation positions which are assigned a 1</w:t>
      </w:r>
      <w:r w:rsidR="000E3BF8" w:rsidRPr="00E4265B">
        <w:rPr>
          <w:rFonts w:ascii="Arial" w:hAnsi="Arial" w:cs="Arial"/>
          <w:sz w:val="22"/>
          <w:szCs w:val="22"/>
        </w:rPr>
        <w:t>00</w:t>
      </w:r>
      <w:r w:rsidRPr="00E4265B">
        <w:rPr>
          <w:rFonts w:ascii="Arial" w:hAnsi="Arial" w:cs="Arial"/>
          <w:sz w:val="22"/>
          <w:szCs w:val="22"/>
        </w:rPr>
        <w:t xml:space="preserve">0% risk weighting pursuant to the tables in Rule 4.14.31, an </w:t>
      </w:r>
      <w:r w:rsidR="000D1A90" w:rsidRPr="00E4265B">
        <w:rPr>
          <w:rFonts w:ascii="Arial" w:hAnsi="Arial" w:cs="Arial"/>
          <w:sz w:val="22"/>
          <w:szCs w:val="22"/>
        </w:rPr>
        <w:t>Authorised Person</w:t>
      </w:r>
      <w:r w:rsidRPr="00E4265B">
        <w:rPr>
          <w:rFonts w:ascii="Arial" w:hAnsi="Arial" w:cs="Arial"/>
          <w:sz w:val="22"/>
          <w:szCs w:val="22"/>
        </w:rPr>
        <w:t xml:space="preserve"> may as an alternative to including the position in its calculation of Credit RWA amounts, deduct from its CET1 Capital the Exposure value of such positions.</w:t>
      </w:r>
    </w:p>
    <w:p w14:paraId="7D329836" w14:textId="77777777" w:rsidR="00E22FF2" w:rsidRPr="00E4265B" w:rsidRDefault="00E22FF2" w:rsidP="00EF0112">
      <w:pPr>
        <w:pStyle w:val="1List"/>
        <w:rPr>
          <w:rFonts w:ascii="Arial" w:hAnsi="Arial" w:cs="Arial"/>
          <w:sz w:val="22"/>
          <w:szCs w:val="22"/>
          <w:lang w:val="en-GB"/>
        </w:rPr>
      </w:pPr>
      <w:r w:rsidRPr="00E4265B">
        <w:rPr>
          <w:rFonts w:ascii="Arial" w:hAnsi="Arial" w:cs="Arial"/>
          <w:sz w:val="22"/>
          <w:szCs w:val="22"/>
          <w:lang w:val="en-GB"/>
        </w:rPr>
        <w:lastRenderedPageBreak/>
        <w:t>(2)</w:t>
      </w:r>
      <w:r w:rsidRPr="00E4265B">
        <w:rPr>
          <w:rFonts w:ascii="Arial" w:hAnsi="Arial" w:cs="Arial"/>
          <w:sz w:val="22"/>
          <w:szCs w:val="22"/>
          <w:lang w:val="en-GB"/>
        </w:rPr>
        <w:tab/>
        <w:t>For the purposes of this Rule, the calculation of the Exposure value may reflect eligible funded credit protection consistent with applicable Rules in this Chapter.</w:t>
      </w:r>
    </w:p>
    <w:p w14:paraId="19064FE6"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For an </w:t>
      </w:r>
      <w:r w:rsidR="000D1A90" w:rsidRPr="00E4265B">
        <w:rPr>
          <w:rFonts w:ascii="Arial" w:hAnsi="Arial" w:cs="Arial"/>
          <w:sz w:val="22"/>
          <w:szCs w:val="22"/>
        </w:rPr>
        <w:t>Authorised Person</w:t>
      </w:r>
      <w:r w:rsidRPr="00E4265B">
        <w:rPr>
          <w:rFonts w:ascii="Arial" w:hAnsi="Arial" w:cs="Arial"/>
          <w:sz w:val="22"/>
          <w:szCs w:val="22"/>
        </w:rPr>
        <w:t xml:space="preserve"> that is an Originator or Sponsor of a securitisation, the Credit RWA amounts calculated for its securitisation positions may be limited to the RWA amounts which would be calculated for the SE Exposures had they not been securitised subject to the presumed application of a 150% risk weight to all past due items and items belonging to regulatory high risk categories.</w:t>
      </w:r>
    </w:p>
    <w:p w14:paraId="2233DCD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Not currently in use.</w:t>
      </w:r>
    </w:p>
    <w:p w14:paraId="3AABACA6"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Not currently in use.</w:t>
      </w:r>
    </w:p>
    <w:p w14:paraId="670B2AE7" w14:textId="77777777" w:rsidR="00E22FF2" w:rsidRPr="00E4265B" w:rsidRDefault="00E22FF2" w:rsidP="00EF0112">
      <w:pPr>
        <w:pStyle w:val="TitleL5"/>
        <w:rPr>
          <w:rFonts w:ascii="Arial" w:hAnsi="Arial" w:cs="Arial"/>
          <w:sz w:val="22"/>
          <w:szCs w:val="22"/>
          <w:lang w:val="en-GB"/>
        </w:rPr>
      </w:pPr>
      <w:r w:rsidRPr="00E4265B">
        <w:rPr>
          <w:rFonts w:ascii="Arial" w:hAnsi="Arial" w:cs="Arial"/>
          <w:sz w:val="22"/>
          <w:szCs w:val="22"/>
          <w:lang w:val="en-GB"/>
        </w:rPr>
        <w:t>Exceptions to deduction of unrated securitisation Exposures</w:t>
      </w:r>
    </w:p>
    <w:p w14:paraId="3279CE8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In accordance with the tables under Rule 4.14.31, all unrated securitisation positions must be deducted or risk weighted at 1000% with the following exceptions:</w:t>
      </w:r>
    </w:p>
    <w:p w14:paraId="05F4555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most senior Exposure in a securitisation;</w:t>
      </w:r>
    </w:p>
    <w:p w14:paraId="097A33E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Exposures that are in a second loss position or better of an ABCP and meet the requirements of Rule 4.14.41; and</w:t>
      </w:r>
    </w:p>
    <w:p w14:paraId="3026348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eligible liquidity positions.</w:t>
      </w:r>
    </w:p>
    <w:p w14:paraId="44BB0D4B" w14:textId="77777777" w:rsidR="00E22FF2" w:rsidRPr="00E4265B" w:rsidRDefault="00E22FF2" w:rsidP="00EF0112">
      <w:pPr>
        <w:pStyle w:val="TitleL5"/>
        <w:rPr>
          <w:rFonts w:ascii="Arial" w:hAnsi="Arial" w:cs="Arial"/>
          <w:sz w:val="22"/>
          <w:szCs w:val="22"/>
          <w:lang w:val="en-GB"/>
        </w:rPr>
      </w:pPr>
      <w:r w:rsidRPr="00E4265B">
        <w:rPr>
          <w:rFonts w:ascii="Arial" w:hAnsi="Arial" w:cs="Arial"/>
          <w:sz w:val="22"/>
          <w:szCs w:val="22"/>
          <w:lang w:val="en-GB"/>
        </w:rPr>
        <w:t>Most senior Exposure in a securitisation</w:t>
      </w:r>
    </w:p>
    <w:p w14:paraId="56F9CAB0" w14:textId="77777777" w:rsidR="00E22FF2" w:rsidRPr="00E4265B" w:rsidRDefault="00E22FF2" w:rsidP="00210135">
      <w:pPr>
        <w:pStyle w:val="Heading5"/>
        <w:numPr>
          <w:ilvl w:val="0"/>
          <w:numId w:val="0"/>
        </w:numPr>
        <w:ind w:left="1843" w:hanging="907"/>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Where an </w:t>
      </w:r>
      <w:r w:rsidR="000D1A90" w:rsidRPr="00E4265B">
        <w:rPr>
          <w:rFonts w:ascii="Arial" w:hAnsi="Arial" w:cs="Arial"/>
          <w:sz w:val="22"/>
          <w:szCs w:val="22"/>
        </w:rPr>
        <w:t>Authorised Person</w:t>
      </w:r>
      <w:r w:rsidRPr="00E4265B">
        <w:rPr>
          <w:rFonts w:ascii="Arial" w:hAnsi="Arial" w:cs="Arial"/>
          <w:sz w:val="22"/>
          <w:szCs w:val="22"/>
        </w:rPr>
        <w:t xml:space="preserve"> holds or guarantees unrated securitisation Exposure from the most senior tranche in a securitisation, the </w:t>
      </w:r>
      <w:r w:rsidR="000D1A90" w:rsidRPr="00E4265B">
        <w:rPr>
          <w:rFonts w:ascii="Arial" w:hAnsi="Arial" w:cs="Arial"/>
          <w:sz w:val="22"/>
          <w:szCs w:val="22"/>
        </w:rPr>
        <w:t>Authorised Person</w:t>
      </w:r>
      <w:r w:rsidRPr="00E4265B">
        <w:rPr>
          <w:rFonts w:ascii="Arial" w:hAnsi="Arial" w:cs="Arial"/>
          <w:sz w:val="22"/>
          <w:szCs w:val="22"/>
        </w:rPr>
        <w:t xml:space="preserve"> may apply the "look through" treatment, provided the composition of the underlying pool of Exposures securitised is known at all times and the </w:t>
      </w:r>
      <w:r w:rsidR="000D1A90" w:rsidRPr="00E4265B">
        <w:rPr>
          <w:rFonts w:ascii="Arial" w:hAnsi="Arial" w:cs="Arial"/>
          <w:sz w:val="22"/>
          <w:szCs w:val="22"/>
        </w:rPr>
        <w:t>Authorised Person</w:t>
      </w:r>
      <w:r w:rsidRPr="00E4265B">
        <w:rPr>
          <w:rFonts w:ascii="Arial" w:hAnsi="Arial" w:cs="Arial"/>
          <w:sz w:val="22"/>
          <w:szCs w:val="22"/>
        </w:rPr>
        <w:t xml:space="preserve"> is able to determine the applicable risk weights for the underlying Exposures.</w:t>
      </w:r>
    </w:p>
    <w:p w14:paraId="47E1B6FA" w14:textId="77777777" w:rsidR="00E22FF2" w:rsidRPr="00E4265B" w:rsidRDefault="00E22FF2" w:rsidP="00EF0112">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applying the look</w:t>
      </w:r>
      <w:r w:rsidRPr="00E4265B">
        <w:rPr>
          <w:rFonts w:ascii="Arial" w:hAnsi="Arial" w:cs="Arial"/>
          <w:sz w:val="22"/>
          <w:szCs w:val="22"/>
          <w:lang w:val="en-GB"/>
        </w:rPr>
        <w:noBreakHyphen/>
        <w:t>through treatment to an unrated securitisation Exposure, pursuant to (1), must apply to that securitisation Exposure the weighted average of the risk weights of the underlying Exposures determined in accordance with the Rules in this Chapter, multiplied by a concentration factor.</w:t>
      </w:r>
    </w:p>
    <w:p w14:paraId="39356405" w14:textId="77777777" w:rsidR="00E22FF2" w:rsidRPr="00E4265B" w:rsidRDefault="00E22FF2" w:rsidP="00EF0112">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For the purposes of (2), the concentration factor is calculated as the sum of the nominal amounts of all the tranches in that securitisation divided by the sum of the nominal amounts of the tranches junior to, or pari</w:t>
      </w:r>
      <w:r w:rsidRPr="00E4265B">
        <w:rPr>
          <w:rFonts w:ascii="Arial" w:hAnsi="Arial" w:cs="Arial"/>
          <w:sz w:val="22"/>
          <w:szCs w:val="22"/>
          <w:lang w:val="en-GB"/>
        </w:rPr>
        <w:noBreakHyphen/>
        <w:t>passu with, the tranche in which the position is held, including that tranche itself. The resulting weighted average risk weight must not be higher than 1</w:t>
      </w:r>
      <w:r w:rsidR="000E3BF8" w:rsidRPr="00E4265B">
        <w:rPr>
          <w:rFonts w:ascii="Arial" w:hAnsi="Arial" w:cs="Arial"/>
          <w:sz w:val="22"/>
          <w:szCs w:val="22"/>
          <w:lang w:val="en-GB"/>
        </w:rPr>
        <w:t>000</w:t>
      </w:r>
      <w:r w:rsidRPr="00E4265B">
        <w:rPr>
          <w:rFonts w:ascii="Arial" w:hAnsi="Arial" w:cs="Arial"/>
          <w:sz w:val="22"/>
          <w:szCs w:val="22"/>
          <w:lang w:val="en-GB"/>
        </w:rPr>
        <w:t>% or lower than the risk weight applicable to a more senior tranche which is rated.</w:t>
      </w:r>
    </w:p>
    <w:p w14:paraId="504AED6E" w14:textId="77777777" w:rsidR="00E22FF2" w:rsidRPr="00E4265B" w:rsidRDefault="00E22FF2" w:rsidP="00EF0112">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Where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unable to determine the risk weights for the underlying</w:t>
      </w:r>
      <w:r w:rsidRPr="00E4265B">
        <w:rPr>
          <w:rFonts w:ascii="Arial" w:hAnsi="Arial" w:cs="Arial"/>
          <w:sz w:val="22"/>
          <w:szCs w:val="22"/>
          <w:lang w:val="en-GB"/>
        </w:rPr>
        <w:tab/>
        <w:t xml:space="preserve">Exposures in accordance with this Rule, the unrated securitisation position will not be eligible for the relief and must be deducted from CET 1 Capital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6583781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wishing to apply the treatment referred to in Rule 4.14.37 must notify the Regulator, in writing, at least 30 days in advance, of the </w:t>
      </w:r>
      <w:r w:rsidRPr="00E4265B">
        <w:rPr>
          <w:rFonts w:ascii="Arial" w:hAnsi="Arial" w:cs="Arial"/>
          <w:sz w:val="22"/>
          <w:szCs w:val="22"/>
        </w:rPr>
        <w:lastRenderedPageBreak/>
        <w:t>intention to adopt this treatment. The notification should include the treatments being adopted and the weightings applied under the provision.</w:t>
      </w:r>
    </w:p>
    <w:p w14:paraId="7FA2F01B"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The resulting weighted average risk weight must not be higher than 1000% or lower than the risk weight applicable to a more senior tranche which is rated.</w:t>
      </w:r>
    </w:p>
    <w:p w14:paraId="28E22F46"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have systems and controls in place to monitor effectively the composition of Exposures where the look</w:t>
      </w:r>
      <w:r w:rsidRPr="00E4265B">
        <w:rPr>
          <w:rFonts w:ascii="Arial" w:hAnsi="Arial" w:cs="Arial"/>
          <w:sz w:val="22"/>
          <w:szCs w:val="22"/>
        </w:rPr>
        <w:noBreakHyphen/>
        <w:t>through provision has been applied on an ongoing basis.</w:t>
      </w:r>
    </w:p>
    <w:p w14:paraId="083C66D3" w14:textId="77777777" w:rsidR="00E22FF2" w:rsidRPr="00E4265B" w:rsidRDefault="00E22FF2" w:rsidP="00EF0112">
      <w:pPr>
        <w:pStyle w:val="TitleL5"/>
        <w:rPr>
          <w:rFonts w:ascii="Arial" w:hAnsi="Arial" w:cs="Arial"/>
          <w:sz w:val="22"/>
          <w:szCs w:val="22"/>
          <w:lang w:val="en-GB"/>
        </w:rPr>
      </w:pPr>
      <w:r w:rsidRPr="00E4265B">
        <w:rPr>
          <w:rFonts w:ascii="Arial" w:hAnsi="Arial" w:cs="Arial"/>
          <w:sz w:val="22"/>
          <w:szCs w:val="22"/>
          <w:lang w:val="en-GB"/>
        </w:rPr>
        <w:t>Exposures that are in a second loss position or better of an ABCP</w:t>
      </w:r>
    </w:p>
    <w:p w14:paraId="104170B1"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may apply a risk weight of 100% or the highest risk weight assigned to any of the underlying Exposures in the ABCP Programme, whichever is higher, to an unrated securitisation Exposure arising from the ABCP Programme, provided the securitisation position complies with the following conditions:</w:t>
      </w:r>
    </w:p>
    <w:p w14:paraId="398CE71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subject securitisation Exposure must be in a tranche which is economically in a second loss position or better and the First Loss Position must provide meaningful credit protection to the second loss tranche;</w:t>
      </w:r>
    </w:p>
    <w:p w14:paraId="6D89CD9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associated Credit Risk of the securitisation Exposure is the equivalent of a Credit Quality Grade of III or better in the short</w:t>
      </w:r>
      <w:r w:rsidRPr="00E4265B">
        <w:rPr>
          <w:rFonts w:ascii="Arial" w:hAnsi="Arial" w:cs="Arial"/>
          <w:sz w:val="22"/>
          <w:szCs w:val="22"/>
        </w:rPr>
        <w:noBreakHyphen/>
        <w:t>term rating category; and</w:t>
      </w:r>
    </w:p>
    <w:p w14:paraId="5AA2210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must not hold a position in the First Loss Position.</w:t>
      </w:r>
    </w:p>
    <w:p w14:paraId="18DAFD44" w14:textId="77777777" w:rsidR="00E22FF2" w:rsidRPr="00E4265B" w:rsidRDefault="00E22FF2" w:rsidP="00EF0112">
      <w:pPr>
        <w:pStyle w:val="TitleL5"/>
        <w:rPr>
          <w:rFonts w:ascii="Arial" w:hAnsi="Arial" w:cs="Arial"/>
          <w:sz w:val="22"/>
          <w:szCs w:val="22"/>
          <w:lang w:val="en-GB"/>
        </w:rPr>
      </w:pPr>
      <w:r w:rsidRPr="00E4265B">
        <w:rPr>
          <w:rFonts w:ascii="Arial" w:hAnsi="Arial" w:cs="Arial"/>
          <w:sz w:val="22"/>
          <w:szCs w:val="22"/>
          <w:lang w:val="en-GB"/>
        </w:rPr>
        <w:t>Eligible liquidity positions</w:t>
      </w:r>
    </w:p>
    <w:p w14:paraId="2432D1C0"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providing an unrated eligible liquidity facility may assign to the resulting securitisation Exposure the highest risk weight that would be applied to any of the underlying Exposures covered by the facility.</w:t>
      </w:r>
    </w:p>
    <w:p w14:paraId="4CA5877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An off balance sheet SE Exposure will receive a 100% CCF unless:</w:t>
      </w:r>
    </w:p>
    <w:p w14:paraId="054BD753" w14:textId="77777777" w:rsidR="00E22FF2" w:rsidRPr="00E4265B" w:rsidRDefault="00E22FF2" w:rsidP="00245F59">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Exposure qualifies as an eligible liquidity facility, or</w:t>
      </w:r>
    </w:p>
    <w:p w14:paraId="499049DE" w14:textId="77777777" w:rsidR="00E22FF2" w:rsidRPr="00E4265B" w:rsidRDefault="00E22FF2" w:rsidP="00245F59">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Exposure is an eligible Servicer cash advance facility.</w:t>
      </w:r>
    </w:p>
    <w:p w14:paraId="3F6EA4C3" w14:textId="77777777" w:rsidR="00E22FF2" w:rsidRPr="00E4265B" w:rsidRDefault="00E22FF2" w:rsidP="00245F59">
      <w:pPr>
        <w:pStyle w:val="1List"/>
        <w:rPr>
          <w:rFonts w:ascii="Arial" w:eastAsiaTheme="majorEastAsia" w:hAnsi="Arial" w:cs="Arial"/>
          <w:bCs/>
          <w:iCs/>
          <w:sz w:val="22"/>
          <w:szCs w:val="22"/>
          <w:lang w:val="en-GB"/>
        </w:rPr>
      </w:pPr>
      <w:r w:rsidRPr="00E4265B">
        <w:rPr>
          <w:rFonts w:ascii="Arial" w:eastAsiaTheme="majorEastAsia" w:hAnsi="Arial" w:cs="Arial"/>
          <w:bCs/>
          <w:iCs/>
          <w:sz w:val="22"/>
          <w:szCs w:val="22"/>
          <w:lang w:val="en-GB"/>
        </w:rPr>
        <w:t>(2)</w:t>
      </w:r>
      <w:r w:rsidRPr="00E4265B">
        <w:rPr>
          <w:rFonts w:ascii="Arial" w:eastAsiaTheme="majorEastAsia" w:hAnsi="Arial" w:cs="Arial"/>
          <w:bCs/>
          <w:iCs/>
          <w:sz w:val="22"/>
          <w:szCs w:val="22"/>
          <w:lang w:val="en-GB"/>
        </w:rPr>
        <w:tab/>
        <w:t>In relation to (1), an eligible Servicer cash advance facility is a facility provided to a securitisation in order to ensure uninterrupted flow of payments to investors. As long as the Servicer is entitled to full reimbursement and this right is senior to all other claims on cash flows from the underlying pool of Exposures, and where these facilities meet the requirements of 4.14.44 and are unconditionally cancellable at any time, any undrawn commitments can then have a 0% CCF applied.</w:t>
      </w:r>
    </w:p>
    <w:p w14:paraId="12B3A1E3"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For the purposes of Rule 4.14.42, an </w:t>
      </w:r>
      <w:r w:rsidR="000D1A90" w:rsidRPr="00E4265B">
        <w:rPr>
          <w:rFonts w:ascii="Arial" w:hAnsi="Arial" w:cs="Arial"/>
          <w:sz w:val="22"/>
          <w:szCs w:val="22"/>
        </w:rPr>
        <w:t>Authorised Person</w:t>
      </w:r>
      <w:r w:rsidRPr="00E4265B">
        <w:rPr>
          <w:rFonts w:ascii="Arial" w:hAnsi="Arial" w:cs="Arial"/>
          <w:sz w:val="22"/>
          <w:szCs w:val="22"/>
        </w:rPr>
        <w:t xml:space="preserve"> may treat an Exposure as an eligible liquidity facility provided the following requirements are met:</w:t>
      </w:r>
    </w:p>
    <w:p w14:paraId="10563B2A"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liquidity facility documentation must clearly identify and limit the circumstances under which it may be drawn;</w:t>
      </w:r>
    </w:p>
    <w:p w14:paraId="5728687D"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lastRenderedPageBreak/>
        <w:t>(b)</w:t>
      </w:r>
      <w:r w:rsidRPr="00E4265B">
        <w:rPr>
          <w:rFonts w:ascii="Arial" w:hAnsi="Arial" w:cs="Arial"/>
          <w:sz w:val="22"/>
          <w:szCs w:val="22"/>
          <w:lang w:val="en-GB"/>
        </w:rPr>
        <w:tab/>
        <w:t>draws must be limited to the amount that is likely to be repaid from the liquidation of the underlying Exposures and any seller provided Credit Enhancements;</w:t>
      </w:r>
    </w:p>
    <w:p w14:paraId="443D6006"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facility must not provide credit support by covering for any losses incurred in the underlying pool of Exposures prior to drawdown;</w:t>
      </w:r>
    </w:p>
    <w:p w14:paraId="01998D24"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the facility must not be structured to provide regular or permanent funding;</w:t>
      </w:r>
    </w:p>
    <w:p w14:paraId="7AC85213"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the facility must be subject to an asset quality test to preclude it being used to cover Credit Risk Exposures that are in default;</w:t>
      </w:r>
    </w:p>
    <w:p w14:paraId="7201A55A"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 xml:space="preserve">where the facility is used to fund externally rated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the facility can only be used to fund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that are externally rated Investment Grade at the time of funding;</w:t>
      </w:r>
    </w:p>
    <w:p w14:paraId="44315C37"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the facility cannot be drawn after all Credit Enhancements from which the liquidity facility would benefit have been exhausted; and</w:t>
      </w:r>
    </w:p>
    <w:p w14:paraId="34AB80D3"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(h)</w:t>
      </w:r>
      <w:r w:rsidRPr="00E4265B">
        <w:rPr>
          <w:rFonts w:ascii="Arial" w:hAnsi="Arial" w:cs="Arial"/>
          <w:sz w:val="22"/>
          <w:szCs w:val="22"/>
          <w:lang w:val="en-GB"/>
        </w:rPr>
        <w:tab/>
        <w:t>repayment of draws of the facility cannot be subordinated to any interests of any note holder in the programme or be subject to deferral or waiver.</w:t>
      </w:r>
    </w:p>
    <w:p w14:paraId="3279E623" w14:textId="77777777" w:rsidR="00E22FF2" w:rsidRPr="00E4265B" w:rsidRDefault="00E22FF2" w:rsidP="00245F59">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Where the Exposure meets the requirements as set out in (1), the following CCF will apply:</w:t>
      </w:r>
    </w:p>
    <w:p w14:paraId="097E8B22"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50% to the eligible liquidity facility regardless of maturity; and</w:t>
      </w:r>
    </w:p>
    <w:p w14:paraId="56AC5697"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100% if an external rating of the liquidity facility is used for the risk weighting.</w:t>
      </w:r>
    </w:p>
    <w:p w14:paraId="2C82C463"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which provides credit protection for a basket of reference Exposures through an unrated first</w:t>
      </w:r>
      <w:r w:rsidRPr="00E4265B">
        <w:rPr>
          <w:rFonts w:ascii="Arial" w:hAnsi="Arial" w:cs="Arial"/>
          <w:sz w:val="22"/>
          <w:szCs w:val="22"/>
        </w:rPr>
        <w:noBreakHyphen/>
        <w:t>to</w:t>
      </w:r>
      <w:r w:rsidRPr="00E4265B">
        <w:rPr>
          <w:rFonts w:ascii="Arial" w:hAnsi="Arial" w:cs="Arial"/>
          <w:sz w:val="22"/>
          <w:szCs w:val="22"/>
        </w:rPr>
        <w:noBreakHyphen/>
        <w:t>default Credit Derivative may apply to the securitisation Exposure the aggregate of the risk weights that would be assigned to the reference Exposures, provided that the resulting Capital Requirement does not exceed the notional amount of the credit protection.</w:t>
      </w:r>
    </w:p>
    <w:p w14:paraId="2FB4C22A" w14:textId="77777777" w:rsidR="00E22FF2" w:rsidRPr="00E4265B" w:rsidRDefault="00E22FF2" w:rsidP="00245F59">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which provides credit protection for a basket of reference Exposures through an unrated second</w:t>
      </w:r>
      <w:r w:rsidRPr="00E4265B">
        <w:rPr>
          <w:rFonts w:ascii="Arial" w:hAnsi="Arial" w:cs="Arial"/>
          <w:sz w:val="22"/>
          <w:szCs w:val="22"/>
          <w:lang w:val="en-GB"/>
        </w:rPr>
        <w:noBreakHyphen/>
        <w:t>to</w:t>
      </w:r>
      <w:r w:rsidRPr="00E4265B">
        <w:rPr>
          <w:rFonts w:ascii="Arial" w:hAnsi="Arial" w:cs="Arial"/>
          <w:sz w:val="22"/>
          <w:szCs w:val="22"/>
          <w:lang w:val="en-GB"/>
        </w:rPr>
        <w:noBreakHyphen/>
        <w:t>default Credit Derivative may apply the treatment referred to in (1), except that in aggregating the risk weights, the reference Exposure with the lowest risk-weighted amount may be excluded.</w:t>
      </w:r>
    </w:p>
    <w:p w14:paraId="44898193" w14:textId="77777777" w:rsidR="00E22FF2" w:rsidRPr="00E4265B" w:rsidRDefault="00E22FF2" w:rsidP="00245F59">
      <w:pPr>
        <w:pStyle w:val="TitleL5"/>
        <w:rPr>
          <w:rFonts w:ascii="Arial" w:hAnsi="Arial" w:cs="Arial"/>
          <w:sz w:val="22"/>
          <w:szCs w:val="22"/>
          <w:lang w:val="en-GB"/>
        </w:rPr>
      </w:pPr>
      <w:r w:rsidRPr="00E4265B">
        <w:rPr>
          <w:rFonts w:ascii="Arial" w:hAnsi="Arial" w:cs="Arial"/>
          <w:sz w:val="22"/>
          <w:szCs w:val="22"/>
          <w:lang w:val="en-GB"/>
        </w:rPr>
        <w:t>Overlapping Exposures</w:t>
      </w:r>
    </w:p>
    <w:p w14:paraId="6A3CC6B5"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Where an </w:t>
      </w:r>
      <w:r w:rsidR="000D1A90" w:rsidRPr="00E4265B">
        <w:rPr>
          <w:rFonts w:ascii="Arial" w:hAnsi="Arial" w:cs="Arial"/>
          <w:sz w:val="22"/>
          <w:szCs w:val="22"/>
        </w:rPr>
        <w:t>Authorised Person</w:t>
      </w:r>
      <w:r w:rsidRPr="00E4265B">
        <w:rPr>
          <w:rFonts w:ascii="Arial" w:hAnsi="Arial" w:cs="Arial"/>
          <w:sz w:val="22"/>
          <w:szCs w:val="22"/>
        </w:rPr>
        <w:t xml:space="preserve"> has two or more overlapping Exposures to a securitisation, the firm must, to the extent that the positions overlap, include in its calculation of Credit RWA amounts only the Exposure, or portion of the Exposure, producing the higher Credit RWA amounts.</w:t>
      </w:r>
    </w:p>
    <w:p w14:paraId="389FF395" w14:textId="77777777" w:rsidR="00E22FF2" w:rsidRPr="00E4265B" w:rsidRDefault="00E22FF2" w:rsidP="00245F59">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For the purposes of (1), overlapping Exposures result 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provides two or more facilities (whether they are liquidity facilities or Credit Enhancements) in relation to a securitisation that can be drawn under various conditions with different triggers, with the result that the </w:t>
      </w:r>
      <w:r w:rsidR="000D1A90" w:rsidRPr="00E4265B">
        <w:rPr>
          <w:rFonts w:ascii="Arial" w:hAnsi="Arial" w:cs="Arial"/>
          <w:sz w:val="22"/>
          <w:szCs w:val="22"/>
          <w:lang w:val="en-GB"/>
        </w:rPr>
        <w:lastRenderedPageBreak/>
        <w:t>Authorised Person</w:t>
      </w:r>
      <w:r w:rsidRPr="00E4265B">
        <w:rPr>
          <w:rFonts w:ascii="Arial" w:hAnsi="Arial" w:cs="Arial"/>
          <w:sz w:val="22"/>
          <w:szCs w:val="22"/>
          <w:lang w:val="en-GB"/>
        </w:rPr>
        <w:t xml:space="preserve"> provides duplicate coverage to the underlying Exposures. The facilities provided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overlap since a draw on one facility may preclude (in part) a draw on the other facility.</w:t>
      </w:r>
    </w:p>
    <w:p w14:paraId="6B506F32" w14:textId="77777777" w:rsidR="00E22FF2" w:rsidRPr="00E4265B" w:rsidRDefault="00E22FF2" w:rsidP="00245F59">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Where the overlapping Exposures are subject to different conversion factors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apply the higher of the conversion factors to the Exposure.</w:t>
      </w:r>
    </w:p>
    <w:p w14:paraId="07C6C9BA" w14:textId="77777777" w:rsidR="00E22FF2" w:rsidRPr="00E4265B" w:rsidRDefault="00E22FF2" w:rsidP="00245F59">
      <w:pPr>
        <w:pStyle w:val="TitleL5"/>
        <w:rPr>
          <w:rFonts w:ascii="Arial" w:hAnsi="Arial" w:cs="Arial"/>
          <w:sz w:val="22"/>
          <w:szCs w:val="22"/>
          <w:lang w:val="en-GB"/>
        </w:rPr>
      </w:pPr>
      <w:r w:rsidRPr="00E4265B">
        <w:rPr>
          <w:rFonts w:ascii="Arial" w:hAnsi="Arial" w:cs="Arial"/>
          <w:sz w:val="22"/>
          <w:szCs w:val="22"/>
          <w:lang w:val="en-GB"/>
        </w:rPr>
        <w:t>Guidance</w:t>
      </w:r>
    </w:p>
    <w:p w14:paraId="7035A215" w14:textId="77777777" w:rsidR="00E22FF2" w:rsidRPr="00E4265B" w:rsidRDefault="00E22FF2" w:rsidP="00B21EA4">
      <w:pPr>
        <w:pStyle w:val="UK12Block05"/>
        <w:rPr>
          <w:rFonts w:ascii="Arial" w:hAnsi="Arial" w:cs="Arial"/>
          <w:sz w:val="22"/>
          <w:szCs w:val="22"/>
          <w:lang w:val="en-GB"/>
        </w:rPr>
      </w:pPr>
      <w:r w:rsidRPr="00E4265B">
        <w:rPr>
          <w:rFonts w:ascii="Arial" w:hAnsi="Arial" w:cs="Arial"/>
          <w:sz w:val="22"/>
          <w:szCs w:val="22"/>
          <w:lang w:val="en-GB"/>
        </w:rPr>
        <w:t>The firm may also recognise such an overlap between capital charges for Specific Risk i</w:t>
      </w:r>
      <w:r w:rsidR="00F346EF" w:rsidRPr="00E4265B">
        <w:rPr>
          <w:rFonts w:ascii="Arial" w:hAnsi="Arial" w:cs="Arial"/>
          <w:sz w:val="22"/>
          <w:szCs w:val="22"/>
          <w:lang w:val="en-GB"/>
        </w:rPr>
        <w:t>n relation to positions in the Trading B</w:t>
      </w:r>
      <w:r w:rsidRPr="00E4265B">
        <w:rPr>
          <w:rFonts w:ascii="Arial" w:hAnsi="Arial" w:cs="Arial"/>
          <w:sz w:val="22"/>
          <w:szCs w:val="22"/>
          <w:lang w:val="en-GB"/>
        </w:rPr>
        <w:t>ook and capital charges for positions in the Non</w:t>
      </w:r>
      <w:r w:rsidRPr="00E4265B">
        <w:rPr>
          <w:rFonts w:ascii="Arial" w:hAnsi="Arial" w:cs="Arial"/>
          <w:sz w:val="22"/>
          <w:szCs w:val="22"/>
          <w:lang w:val="en-GB"/>
        </w:rPr>
        <w:noBreakHyphen/>
        <w:t>Trading Book, provided that the firm is able to calculate and compare the capital charges for the relevant positions.</w:t>
      </w:r>
    </w:p>
    <w:p w14:paraId="549804B3" w14:textId="620A1789" w:rsidR="00E22FF2" w:rsidRPr="00E4265B" w:rsidRDefault="00E22FF2" w:rsidP="00363CED">
      <w:pPr>
        <w:pStyle w:val="UK12Block05"/>
        <w:rPr>
          <w:rFonts w:ascii="Arial" w:hAnsi="Arial" w:cs="Arial"/>
          <w:sz w:val="22"/>
          <w:szCs w:val="22"/>
          <w:lang w:val="en-GB"/>
        </w:rPr>
      </w:pPr>
      <w:r w:rsidRPr="00E4265B">
        <w:rPr>
          <w:rFonts w:ascii="Arial" w:hAnsi="Arial" w:cs="Arial"/>
          <w:sz w:val="22"/>
          <w:szCs w:val="22"/>
          <w:lang w:val="en-GB"/>
        </w:rPr>
        <w:t xml:space="preserve">However, if overlapping facilities are provided by different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each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t>
      </w:r>
      <w:r w:rsidR="00363CED" w:rsidRPr="00E4265B">
        <w:rPr>
          <w:rFonts w:ascii="Arial" w:hAnsi="Arial" w:cs="Arial"/>
          <w:sz w:val="22"/>
          <w:szCs w:val="22"/>
          <w:lang w:val="en-GB"/>
        </w:rPr>
        <w:t>must</w:t>
      </w:r>
      <w:r w:rsidRPr="00E4265B">
        <w:rPr>
          <w:rFonts w:ascii="Arial" w:hAnsi="Arial" w:cs="Arial"/>
          <w:sz w:val="22"/>
          <w:szCs w:val="22"/>
          <w:lang w:val="en-GB"/>
        </w:rPr>
        <w:t xml:space="preserve"> calculate Capital Requirement for the maximum amount of its Exposure.</w:t>
      </w:r>
    </w:p>
    <w:p w14:paraId="66F937A4" w14:textId="77777777" w:rsidR="00E22FF2" w:rsidRPr="00E4265B" w:rsidRDefault="00E22FF2" w:rsidP="00B21EA4">
      <w:pPr>
        <w:pStyle w:val="TitleL5"/>
        <w:rPr>
          <w:rFonts w:ascii="Arial" w:hAnsi="Arial" w:cs="Arial"/>
          <w:sz w:val="22"/>
          <w:szCs w:val="22"/>
          <w:lang w:val="en-GB"/>
        </w:rPr>
      </w:pPr>
      <w:r w:rsidRPr="00E4265B">
        <w:rPr>
          <w:rFonts w:ascii="Arial" w:hAnsi="Arial" w:cs="Arial"/>
          <w:sz w:val="22"/>
          <w:szCs w:val="22"/>
          <w:lang w:val="en-GB"/>
        </w:rPr>
        <w:t>Credit Risk mitigation</w:t>
      </w:r>
    </w:p>
    <w:p w14:paraId="01D88F02"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Where an </w:t>
      </w:r>
      <w:r w:rsidR="000D1A90" w:rsidRPr="00E4265B">
        <w:rPr>
          <w:rFonts w:ascii="Arial" w:hAnsi="Arial" w:cs="Arial"/>
          <w:sz w:val="22"/>
          <w:szCs w:val="22"/>
        </w:rPr>
        <w:t>Authorised Person</w:t>
      </w:r>
      <w:r w:rsidRPr="00E4265B">
        <w:rPr>
          <w:rFonts w:ascii="Arial" w:hAnsi="Arial" w:cs="Arial"/>
          <w:sz w:val="22"/>
          <w:szCs w:val="22"/>
        </w:rPr>
        <w:t xml:space="preserve"> obtains credit protection on a securitisation Exposure, the calculation of Credit RWA amounts must be in accordance with the Rules in CRM in Section 4.13.</w:t>
      </w:r>
    </w:p>
    <w:p w14:paraId="6BF2FFF0"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Where an </w:t>
      </w:r>
      <w:r w:rsidR="000D1A90" w:rsidRPr="00E4265B">
        <w:rPr>
          <w:rFonts w:ascii="Arial" w:hAnsi="Arial" w:cs="Arial"/>
          <w:sz w:val="22"/>
          <w:szCs w:val="22"/>
        </w:rPr>
        <w:t>Authorised Person</w:t>
      </w:r>
      <w:r w:rsidRPr="00E4265B">
        <w:rPr>
          <w:rFonts w:ascii="Arial" w:hAnsi="Arial" w:cs="Arial"/>
          <w:sz w:val="22"/>
          <w:szCs w:val="22"/>
        </w:rPr>
        <w:t xml:space="preserve"> provides credit protection to a securitisation Exposure it must calculate a Capital Requirement as if it were an investor in the securitisation in line with Section 4.13.</w:t>
      </w:r>
    </w:p>
    <w:p w14:paraId="64518D9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not recognise any SPE which is an Issuer of securitisation Exposures, as an eligible credit protection provider. Guarantees provided must meet the requirements of Section 4.13.</w:t>
      </w:r>
    </w:p>
    <w:p w14:paraId="27B14D32"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For the purpose of setting regulatory capital against a </w:t>
      </w:r>
      <w:r w:rsidR="005D344E" w:rsidRPr="00E4265B">
        <w:rPr>
          <w:rFonts w:ascii="Arial" w:hAnsi="Arial" w:cs="Arial"/>
          <w:sz w:val="22"/>
          <w:szCs w:val="22"/>
        </w:rPr>
        <w:t>Maturity Mismatch</w:t>
      </w:r>
      <w:r w:rsidRPr="00E4265B">
        <w:rPr>
          <w:rFonts w:ascii="Arial" w:hAnsi="Arial" w:cs="Arial"/>
          <w:sz w:val="22"/>
          <w:szCs w:val="22"/>
        </w:rPr>
        <w:t>, the Capital Requirement must be determined in accordance with Section 4.13. When Exposures being hedged have different maturities, the longest maturity must be used. Maturity of credit protection must be calculated in accordance with Section 4.13.</w:t>
      </w:r>
    </w:p>
    <w:p w14:paraId="57EB3641" w14:textId="77777777" w:rsidR="00E22FF2" w:rsidRPr="00E4265B" w:rsidRDefault="00E22FF2" w:rsidP="00B21EA4">
      <w:pPr>
        <w:pStyle w:val="TitleL5"/>
        <w:rPr>
          <w:rFonts w:ascii="Arial" w:hAnsi="Arial" w:cs="Arial"/>
          <w:sz w:val="22"/>
          <w:szCs w:val="22"/>
          <w:lang w:val="en-GB"/>
        </w:rPr>
      </w:pPr>
      <w:r w:rsidRPr="00E4265B">
        <w:rPr>
          <w:rFonts w:ascii="Arial" w:hAnsi="Arial" w:cs="Arial"/>
          <w:sz w:val="22"/>
          <w:szCs w:val="22"/>
          <w:lang w:val="en-GB"/>
        </w:rPr>
        <w:t>Capital Requirements for securitisations with Early Amortisation provisions</w:t>
      </w:r>
    </w:p>
    <w:p w14:paraId="758D333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which is the Originator or Sponsor of a securitisation involving revolving Exposures as well as an Early Amortisation provision, must calculate an additional RWA amount in accordance with Rule 4.14.57 to address the possibility that its Credit Risk Exposure levels may increase following the operation of the Early Amortisation provision.</w:t>
      </w:r>
    </w:p>
    <w:p w14:paraId="44F238B1" w14:textId="77777777" w:rsidR="00E22FF2" w:rsidRPr="00E4265B" w:rsidRDefault="00E22FF2" w:rsidP="00B21EA4">
      <w:pPr>
        <w:pStyle w:val="TitleL5"/>
        <w:rPr>
          <w:rFonts w:ascii="Arial" w:hAnsi="Arial" w:cs="Arial"/>
          <w:sz w:val="22"/>
          <w:szCs w:val="22"/>
          <w:lang w:val="en-GB"/>
        </w:rPr>
      </w:pPr>
      <w:r w:rsidRPr="00E4265B">
        <w:rPr>
          <w:rFonts w:ascii="Arial" w:hAnsi="Arial" w:cs="Arial"/>
          <w:sz w:val="22"/>
          <w:szCs w:val="22"/>
          <w:lang w:val="en-GB"/>
        </w:rPr>
        <w:t>Guidance</w:t>
      </w:r>
    </w:p>
    <w:p w14:paraId="1B75C03C" w14:textId="77777777" w:rsidR="00E22FF2" w:rsidRPr="00E4265B" w:rsidRDefault="00E22FF2" w:rsidP="00B21EA4">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This Section sets out the methodology for calculation of the Credit RWA amount by an Originator, when it sells revolving Exposures into a securitisation that contains an Early Amortisation provision.</w:t>
      </w:r>
    </w:p>
    <w:p w14:paraId="0F5C80C9" w14:textId="77777777" w:rsidR="00E22FF2" w:rsidRPr="00E4265B" w:rsidRDefault="00E22FF2" w:rsidP="00B21EA4">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Early Amortisation of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describes the process whereby the repayment of the investors' interest is brought forward upon the occurrence </w:t>
      </w:r>
      <w:r w:rsidRPr="00E4265B">
        <w:rPr>
          <w:rFonts w:ascii="Arial" w:hAnsi="Arial" w:cs="Arial"/>
          <w:sz w:val="22"/>
          <w:szCs w:val="22"/>
          <w:lang w:val="en-GB"/>
        </w:rPr>
        <w:lastRenderedPageBreak/>
        <w:t>of specified events. Events that are economic in nature by reference to the financial performance of the transferred assets are known as economic triggers.</w:t>
      </w:r>
    </w:p>
    <w:p w14:paraId="6AC56154"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which is the Originator or Sponsor of a securitisation involving revolving Exposures, must calculate Credit RWA amounts in respect of the total Exposure related to a securitisation (both drawn and undrawn balances) when:</w:t>
      </w:r>
    </w:p>
    <w:p w14:paraId="3133CA34"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sells Exposures into a structure that contains an Early Amortisation feature; and</w:t>
      </w:r>
    </w:p>
    <w:p w14:paraId="2AE0FBF1"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Exposures are of a revolving nature.</w:t>
      </w:r>
    </w:p>
    <w:p w14:paraId="142E183B" w14:textId="77777777" w:rsidR="00E22FF2" w:rsidRPr="00E4265B" w:rsidRDefault="00E22FF2" w:rsidP="00B21EA4">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Where the underlying pool of a securitisation comprises revolving and term Exposures,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apply the amortisation treatment outlined below for determining applicable regulatory capital only to that portion of the underlying pool containing revolving Exposures.</w:t>
      </w:r>
    </w:p>
    <w:p w14:paraId="47645471"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which is the Originator of a Revolving Securitisation that includes economic triggers for Early Amortisation may regard the Exposures as transferred for the period up to the point of repayment, provided that:</w:t>
      </w:r>
    </w:p>
    <w:p w14:paraId="6F08580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during the amortisation period there is full sharing of interest, principal, expenses, losses and recoveries; and</w:t>
      </w:r>
    </w:p>
    <w:p w14:paraId="2E26E53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's risk management system provides warning indicators when economic or non</w:t>
      </w:r>
      <w:r w:rsidRPr="00E4265B">
        <w:rPr>
          <w:rFonts w:ascii="Arial" w:hAnsi="Arial" w:cs="Arial"/>
          <w:sz w:val="22"/>
          <w:szCs w:val="22"/>
        </w:rPr>
        <w:noBreakHyphen/>
        <w:t>economic triggers may be activated.</w:t>
      </w:r>
    </w:p>
    <w:p w14:paraId="2534E1AD" w14:textId="77777777" w:rsidR="00E22FF2" w:rsidRPr="00E4265B" w:rsidRDefault="00E22FF2" w:rsidP="00B21EA4">
      <w:pPr>
        <w:pStyle w:val="TitleL5"/>
        <w:rPr>
          <w:rFonts w:ascii="Arial" w:hAnsi="Arial" w:cs="Arial"/>
          <w:sz w:val="22"/>
          <w:szCs w:val="22"/>
          <w:lang w:val="en-GB"/>
        </w:rPr>
      </w:pPr>
      <w:r w:rsidRPr="00E4265B">
        <w:rPr>
          <w:rFonts w:ascii="Arial" w:hAnsi="Arial" w:cs="Arial"/>
          <w:sz w:val="22"/>
          <w:szCs w:val="22"/>
          <w:lang w:val="en-GB"/>
        </w:rPr>
        <w:t>Guidance</w:t>
      </w:r>
    </w:p>
    <w:p w14:paraId="78C26A22" w14:textId="77777777" w:rsidR="00E22FF2" w:rsidRPr="00E4265B" w:rsidRDefault="00E22FF2" w:rsidP="00B21EA4">
      <w:pPr>
        <w:pStyle w:val="UK12Block05"/>
        <w:rPr>
          <w:rFonts w:ascii="Arial" w:hAnsi="Arial" w:cs="Arial"/>
          <w:sz w:val="22"/>
          <w:szCs w:val="22"/>
          <w:lang w:val="en-GB"/>
        </w:rPr>
      </w:pPr>
      <w:r w:rsidRPr="00E4265B">
        <w:rPr>
          <w:rFonts w:ascii="Arial" w:hAnsi="Arial" w:cs="Arial"/>
          <w:sz w:val="22"/>
          <w:szCs w:val="22"/>
          <w:lang w:val="en-GB"/>
        </w:rPr>
        <w:t xml:space="preserve">Examples of such triggers include tax events, legal changes resulting in an </w:t>
      </w:r>
      <w:r w:rsidR="000D1A90" w:rsidRPr="00E4265B">
        <w:rPr>
          <w:rFonts w:ascii="Arial" w:hAnsi="Arial" w:cs="Arial"/>
          <w:sz w:val="22"/>
          <w:szCs w:val="22"/>
          <w:lang w:val="en-GB"/>
        </w:rPr>
        <w:t>Authorised Person</w:t>
      </w:r>
      <w:r w:rsidRPr="00E4265B">
        <w:rPr>
          <w:rFonts w:ascii="Arial" w:hAnsi="Arial" w:cs="Arial"/>
          <w:sz w:val="22"/>
          <w:szCs w:val="22"/>
          <w:lang w:val="en-GB"/>
        </w:rPr>
        <w:t>'s non</w:t>
      </w:r>
      <w:r w:rsidRPr="00E4265B">
        <w:rPr>
          <w:rFonts w:ascii="Arial" w:hAnsi="Arial" w:cs="Arial"/>
          <w:sz w:val="22"/>
          <w:szCs w:val="22"/>
          <w:lang w:val="en-GB"/>
        </w:rPr>
        <w:noBreakHyphen/>
        <w:t>performance in its role as a servicing agent, and triggers relating to the insolvency of the Originator.</w:t>
      </w:r>
    </w:p>
    <w:p w14:paraId="556E94B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is not required to calculate a Capital Requirement for Early Amortisation in the following situations:</w:t>
      </w:r>
    </w:p>
    <w:p w14:paraId="0E4BD56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replenishment structures where the underlying Exposures do not revolve and the Early Amortisation ends the ability of the </w:t>
      </w:r>
      <w:r w:rsidR="000D1A90" w:rsidRPr="00E4265B">
        <w:rPr>
          <w:rFonts w:ascii="Arial" w:hAnsi="Arial" w:cs="Arial"/>
          <w:sz w:val="22"/>
          <w:szCs w:val="22"/>
        </w:rPr>
        <w:t>Authorised Person</w:t>
      </w:r>
      <w:r w:rsidRPr="00E4265B">
        <w:rPr>
          <w:rFonts w:ascii="Arial" w:hAnsi="Arial" w:cs="Arial"/>
          <w:sz w:val="22"/>
          <w:szCs w:val="22"/>
        </w:rPr>
        <w:t xml:space="preserve"> to add new Exposures;</w:t>
      </w:r>
    </w:p>
    <w:p w14:paraId="0E4758C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where the risk associated with revolving assets containing amortisation features that mimic term structures, where the risk does not return to the </w:t>
      </w:r>
      <w:r w:rsidR="000D1A90" w:rsidRPr="00E4265B">
        <w:rPr>
          <w:rFonts w:ascii="Arial" w:hAnsi="Arial" w:cs="Arial"/>
          <w:sz w:val="22"/>
          <w:szCs w:val="22"/>
        </w:rPr>
        <w:t>Authorised Person</w:t>
      </w:r>
      <w:r w:rsidRPr="00E4265B">
        <w:rPr>
          <w:rFonts w:ascii="Arial" w:hAnsi="Arial" w:cs="Arial"/>
          <w:sz w:val="22"/>
          <w:szCs w:val="22"/>
        </w:rPr>
        <w:t>;</w:t>
      </w:r>
    </w:p>
    <w:p w14:paraId="62252A7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structures where the </w:t>
      </w:r>
      <w:r w:rsidR="000D1A90" w:rsidRPr="00E4265B">
        <w:rPr>
          <w:rFonts w:ascii="Arial" w:hAnsi="Arial" w:cs="Arial"/>
          <w:sz w:val="22"/>
          <w:szCs w:val="22"/>
        </w:rPr>
        <w:t>Authorised Person</w:t>
      </w:r>
      <w:r w:rsidRPr="00E4265B">
        <w:rPr>
          <w:rFonts w:ascii="Arial" w:hAnsi="Arial" w:cs="Arial"/>
          <w:sz w:val="22"/>
          <w:szCs w:val="22"/>
        </w:rPr>
        <w:t xml:space="preserve"> securitises one or more credit lines and where investors remain fully exposed to future draws by borrowers so that the risk on the underlying facilities does not return to the Originator even after an Early Amortisation event has occurred; or</w:t>
      </w:r>
    </w:p>
    <w:p w14:paraId="46DA500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where the Early Amortisation clause is solely triggered by events not related to the performance of the securitised assets or the </w:t>
      </w:r>
      <w:r w:rsidR="000D1A90" w:rsidRPr="00E4265B">
        <w:rPr>
          <w:rFonts w:ascii="Arial" w:hAnsi="Arial" w:cs="Arial"/>
          <w:sz w:val="22"/>
          <w:szCs w:val="22"/>
        </w:rPr>
        <w:t>Authorised Person</w:t>
      </w:r>
      <w:r w:rsidRPr="00E4265B">
        <w:rPr>
          <w:rFonts w:ascii="Arial" w:hAnsi="Arial" w:cs="Arial"/>
          <w:sz w:val="22"/>
          <w:szCs w:val="22"/>
        </w:rPr>
        <w:t>, such as material changes in tax laws or regulations.</w:t>
      </w:r>
    </w:p>
    <w:p w14:paraId="403DC722"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lastRenderedPageBreak/>
        <w:t xml:space="preserve">For an </w:t>
      </w:r>
      <w:r w:rsidR="000D1A90" w:rsidRPr="00E4265B">
        <w:rPr>
          <w:rFonts w:ascii="Arial" w:hAnsi="Arial" w:cs="Arial"/>
          <w:sz w:val="22"/>
          <w:szCs w:val="22"/>
        </w:rPr>
        <w:t>Authorised Person</w:t>
      </w:r>
      <w:r w:rsidRPr="00E4265B">
        <w:rPr>
          <w:rFonts w:ascii="Arial" w:hAnsi="Arial" w:cs="Arial"/>
          <w:sz w:val="22"/>
          <w:szCs w:val="22"/>
        </w:rPr>
        <w:t xml:space="preserve"> subject to the Capital Requirement referred to in Rule 4.14.51, the maximum Credit RWA calculated under that Rule must not exceed the greater of the following:</w:t>
      </w:r>
    </w:p>
    <w:p w14:paraId="1D0D36F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RWA amounts calculated in respect of its positions in the investors' interest; or</w:t>
      </w:r>
    </w:p>
    <w:p w14:paraId="1F02BD3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RWA amounts that would be calculated in respect of the securitised </w:t>
      </w:r>
      <w:r w:rsidR="005F3B3B" w:rsidRPr="00E4265B">
        <w:rPr>
          <w:rFonts w:ascii="Arial" w:hAnsi="Arial" w:cs="Arial"/>
          <w:sz w:val="22"/>
          <w:szCs w:val="22"/>
        </w:rPr>
        <w:t>Exposure</w:t>
      </w:r>
      <w:r w:rsidRPr="00E4265B">
        <w:rPr>
          <w:rFonts w:ascii="Arial" w:hAnsi="Arial" w:cs="Arial"/>
          <w:sz w:val="22"/>
          <w:szCs w:val="22"/>
        </w:rPr>
        <w:t>s, if those had not been securitised.</w:t>
      </w:r>
    </w:p>
    <w:p w14:paraId="4721706C"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deduct from its CET1 Capital any gain</w:t>
      </w:r>
      <w:r w:rsidRPr="00E4265B">
        <w:rPr>
          <w:rFonts w:ascii="Arial" w:hAnsi="Arial" w:cs="Arial"/>
          <w:sz w:val="22"/>
          <w:szCs w:val="22"/>
        </w:rPr>
        <w:noBreakHyphen/>
        <w:t>on</w:t>
      </w:r>
      <w:r w:rsidRPr="00E4265B">
        <w:rPr>
          <w:rFonts w:ascii="Arial" w:hAnsi="Arial" w:cs="Arial"/>
          <w:sz w:val="22"/>
          <w:szCs w:val="22"/>
        </w:rPr>
        <w:noBreakHyphen/>
        <w:t>sale and Credit</w:t>
      </w:r>
      <w:r w:rsidRPr="00E4265B">
        <w:rPr>
          <w:rFonts w:ascii="Arial" w:hAnsi="Arial" w:cs="Arial"/>
          <w:sz w:val="22"/>
          <w:szCs w:val="22"/>
        </w:rPr>
        <w:noBreakHyphen/>
        <w:t>Enhancing Interest</w:t>
      </w:r>
      <w:r w:rsidRPr="00E4265B">
        <w:rPr>
          <w:rFonts w:ascii="Arial" w:hAnsi="Arial" w:cs="Arial"/>
          <w:sz w:val="22"/>
          <w:szCs w:val="22"/>
        </w:rPr>
        <w:noBreakHyphen/>
        <w:t>Only Strips arising from any securitisation subject to the provisions of the Rules above.</w:t>
      </w:r>
    </w:p>
    <w:p w14:paraId="68E2B4BA" w14:textId="77777777" w:rsidR="00E22FF2" w:rsidRPr="00E4265B" w:rsidRDefault="00E22FF2" w:rsidP="0008739E">
      <w:pPr>
        <w:pStyle w:val="TitleL5"/>
        <w:rPr>
          <w:rFonts w:ascii="Arial" w:hAnsi="Arial" w:cs="Arial"/>
          <w:sz w:val="22"/>
          <w:szCs w:val="22"/>
          <w:lang w:val="en-GB"/>
        </w:rPr>
      </w:pPr>
      <w:r w:rsidRPr="00E4265B">
        <w:rPr>
          <w:rFonts w:ascii="Arial" w:hAnsi="Arial" w:cs="Arial"/>
          <w:sz w:val="22"/>
          <w:szCs w:val="22"/>
          <w:lang w:val="en-GB"/>
        </w:rPr>
        <w:t>Calculation of Credit RWA amounts for securitisation positions subject to Early Amortisation clause</w:t>
      </w:r>
    </w:p>
    <w:p w14:paraId="5C3C271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In regard to securitisation positions subject to an Early Amortisation clause, the Credit RWA amounts for an </w:t>
      </w:r>
      <w:r w:rsidR="000D1A90" w:rsidRPr="00E4265B">
        <w:rPr>
          <w:rFonts w:ascii="Arial" w:hAnsi="Arial" w:cs="Arial"/>
          <w:sz w:val="22"/>
          <w:szCs w:val="22"/>
        </w:rPr>
        <w:t>Authorised Person</w:t>
      </w:r>
      <w:r w:rsidRPr="00E4265B">
        <w:rPr>
          <w:rFonts w:ascii="Arial" w:hAnsi="Arial" w:cs="Arial"/>
          <w:sz w:val="22"/>
          <w:szCs w:val="22"/>
        </w:rPr>
        <w:t xml:space="preserve"> acting as the Originator are calculated as the product of the following:</w:t>
      </w:r>
    </w:p>
    <w:p w14:paraId="0AB3E62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investors' interest</w:t>
      </w:r>
      <w:r w:rsidR="00E54B95" w:rsidRPr="00E4265B">
        <w:rPr>
          <w:rFonts w:ascii="Arial" w:hAnsi="Arial" w:cs="Arial"/>
          <w:sz w:val="22"/>
          <w:szCs w:val="22"/>
        </w:rPr>
        <w:t>;</w:t>
      </w:r>
    </w:p>
    <w:p w14:paraId="3290853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appropriate CCF (in accordance with the table in Rule 4.14.61); and</w:t>
      </w:r>
    </w:p>
    <w:p w14:paraId="6D5340C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appropriate risk weight for the underlying Exposure type.</w:t>
      </w:r>
    </w:p>
    <w:p w14:paraId="2DEA1706" w14:textId="77777777" w:rsidR="00E22FF2" w:rsidRPr="00E4265B" w:rsidRDefault="00E22FF2" w:rsidP="00B21EA4">
      <w:pPr>
        <w:pStyle w:val="TitleL5"/>
        <w:rPr>
          <w:rFonts w:ascii="Arial" w:hAnsi="Arial" w:cs="Arial"/>
          <w:sz w:val="22"/>
          <w:szCs w:val="22"/>
          <w:lang w:val="en-GB"/>
        </w:rPr>
      </w:pPr>
      <w:r w:rsidRPr="00E4265B">
        <w:rPr>
          <w:rFonts w:ascii="Arial" w:hAnsi="Arial" w:cs="Arial"/>
          <w:sz w:val="22"/>
          <w:szCs w:val="22"/>
          <w:lang w:val="en-GB"/>
        </w:rPr>
        <w:t>Guidance</w:t>
      </w:r>
    </w:p>
    <w:p w14:paraId="08820225" w14:textId="77777777" w:rsidR="00E22FF2" w:rsidRPr="00E4265B" w:rsidRDefault="00E22FF2" w:rsidP="00B21EA4">
      <w:pPr>
        <w:pStyle w:val="UK12Block05"/>
        <w:rPr>
          <w:rFonts w:ascii="Arial" w:hAnsi="Arial" w:cs="Arial"/>
          <w:sz w:val="22"/>
          <w:szCs w:val="22"/>
          <w:lang w:val="en-GB"/>
        </w:rPr>
      </w:pPr>
      <w:r w:rsidRPr="00E4265B">
        <w:rPr>
          <w:rFonts w:ascii="Arial" w:hAnsi="Arial" w:cs="Arial"/>
          <w:sz w:val="22"/>
          <w:szCs w:val="22"/>
          <w:lang w:val="en-GB"/>
        </w:rPr>
        <w:t xml:space="preserve">In relation to Rule 4.14.57(c),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also consider whether a line, or facility, is committed or uncommitted. A line is considered to be uncommitted if it is unconditionally cancellable without prior notice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They also differ according to whether the securitised </w:t>
      </w:r>
      <w:r w:rsidR="005F3B3B" w:rsidRPr="00E4265B">
        <w:rPr>
          <w:rFonts w:ascii="Arial" w:hAnsi="Arial" w:cs="Arial"/>
          <w:sz w:val="22"/>
          <w:szCs w:val="22"/>
          <w:lang w:val="en-GB"/>
        </w:rPr>
        <w:t>Exposure</w:t>
      </w:r>
      <w:r w:rsidRPr="00E4265B">
        <w:rPr>
          <w:rFonts w:ascii="Arial" w:hAnsi="Arial" w:cs="Arial"/>
          <w:sz w:val="22"/>
          <w:szCs w:val="22"/>
          <w:lang w:val="en-GB"/>
        </w:rPr>
        <w:t>s are committed retail credit lines or credit lines (such as revolving credit facilities).</w:t>
      </w:r>
    </w:p>
    <w:p w14:paraId="7E990B6C"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An Early Amortisation provision that does not satisfy the conditions for a Controlled Early Amortisation provision will be treated as a non</w:t>
      </w:r>
      <w:r w:rsidRPr="00E4265B">
        <w:rPr>
          <w:rFonts w:ascii="Arial" w:hAnsi="Arial" w:cs="Arial"/>
          <w:sz w:val="22"/>
          <w:szCs w:val="22"/>
        </w:rPr>
        <w:noBreakHyphen/>
        <w:t>Controlled Early Amortisation provision.</w:t>
      </w:r>
    </w:p>
    <w:p w14:paraId="50582119" w14:textId="77777777" w:rsidR="00E22FF2" w:rsidRPr="00E4265B" w:rsidRDefault="00E22FF2" w:rsidP="00B21EA4">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For the purpose of (1), the conditions for a Controlled Early Amortisation provision are as follows:</w:t>
      </w:r>
    </w:p>
    <w:p w14:paraId="5FFAA774"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have an appropriate capital/liquidity plan in place to ensure that it has sufficient capital and liquidity available in the event of an Early Amortisation;</w:t>
      </w:r>
    </w:p>
    <w:p w14:paraId="2DF6F225"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throughout the duration of the transaction, including the amortisation period, there is the same pro rata sharing of interest, principal, expenses, losses and recoveries based on the firm's and investors' relative shares of the receivables outstanding at the beginning of each month;</w:t>
      </w:r>
    </w:p>
    <w:p w14:paraId="75B44995"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firm must set a period for amortisation that would be sufficient for at least 90% of the total debt outstanding at the beginning of the Early Amortisation period to have been repaid or recognised as in default; and</w:t>
      </w:r>
    </w:p>
    <w:p w14:paraId="2077D8A9"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lastRenderedPageBreak/>
        <w:t>(d)</w:t>
      </w:r>
      <w:r w:rsidRPr="00E4265B">
        <w:rPr>
          <w:rFonts w:ascii="Arial" w:hAnsi="Arial" w:cs="Arial"/>
          <w:sz w:val="22"/>
          <w:szCs w:val="22"/>
          <w:lang w:val="en-GB"/>
        </w:rPr>
        <w:tab/>
        <w:t>the pace of repayment should not be any more rapid than would be allowed by straight</w:t>
      </w:r>
      <w:r w:rsidRPr="00E4265B">
        <w:rPr>
          <w:rFonts w:ascii="Arial" w:hAnsi="Arial" w:cs="Arial"/>
          <w:sz w:val="22"/>
          <w:szCs w:val="22"/>
          <w:lang w:val="en-GB"/>
        </w:rPr>
        <w:noBreakHyphen/>
        <w:t>line amortisation over the period set out in (c).</w:t>
      </w:r>
    </w:p>
    <w:p w14:paraId="30BF84D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For uncommitted retail credit lines in securitisations containing Controlled Early Amortisation which is triggered by the Excess Spread level falling to a specified level, an </w:t>
      </w:r>
      <w:r w:rsidR="000D1A90" w:rsidRPr="00E4265B">
        <w:rPr>
          <w:rFonts w:ascii="Arial" w:hAnsi="Arial" w:cs="Arial"/>
          <w:sz w:val="22"/>
          <w:szCs w:val="22"/>
        </w:rPr>
        <w:t>Authorised Person</w:t>
      </w:r>
      <w:r w:rsidRPr="00E4265B">
        <w:rPr>
          <w:rFonts w:ascii="Arial" w:hAnsi="Arial" w:cs="Arial"/>
          <w:sz w:val="22"/>
          <w:szCs w:val="22"/>
        </w:rPr>
        <w:t xml:space="preserve"> must compare the three month average Excess Spread level with the Excess Spread levels at which the Excess Spread is required to be trapped.</w:t>
      </w:r>
    </w:p>
    <w:p w14:paraId="3E58F85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Where the securitisation does not require Excess Spread to be trapped, the trapping point is deemed to be 4.5 percentage points greater than the Excess Spread level at which Early Amortisation is triggered.</w:t>
      </w:r>
    </w:p>
    <w:p w14:paraId="763BE43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divide the Excess Spread level by the transaction's Excess Spread trapping point to determine the appropriate segments and apply corresponding conversion factors as set out in the following table:</w:t>
      </w:r>
    </w:p>
    <w:tbl>
      <w:tblPr>
        <w:tblStyle w:val="TableGrid"/>
        <w:tblW w:w="0" w:type="auto"/>
        <w:tblInd w:w="1008" w:type="dxa"/>
        <w:tblLook w:val="04A0" w:firstRow="1" w:lastRow="0" w:firstColumn="1" w:lastColumn="0" w:noHBand="0" w:noVBand="1"/>
      </w:tblPr>
      <w:tblGrid>
        <w:gridCol w:w="3126"/>
        <w:gridCol w:w="2385"/>
        <w:gridCol w:w="2498"/>
      </w:tblGrid>
      <w:tr w:rsidR="00E22FF2" w:rsidRPr="00E4265B" w14:paraId="3E59E947" w14:textId="77777777" w:rsidTr="00E50EFB">
        <w:trPr>
          <w:tblHeader/>
        </w:trPr>
        <w:tc>
          <w:tcPr>
            <w:tcW w:w="8235" w:type="dxa"/>
            <w:gridSpan w:val="3"/>
            <w:shd w:val="clear" w:color="auto" w:fill="D9D9D9" w:themeFill="background1" w:themeFillShade="D9"/>
          </w:tcPr>
          <w:p w14:paraId="72AEFE2D" w14:textId="77777777" w:rsidR="00E22FF2" w:rsidRPr="00E4265B" w:rsidRDefault="00E22FF2" w:rsidP="00E54BD6">
            <w:pPr>
              <w:spacing w:after="100"/>
              <w:rPr>
                <w:rFonts w:ascii="Arial" w:hAnsi="Arial" w:cs="Arial"/>
                <w:b/>
                <w:sz w:val="22"/>
                <w:szCs w:val="22"/>
                <w:lang w:val="en-GB"/>
              </w:rPr>
            </w:pPr>
            <w:r w:rsidRPr="00E4265B">
              <w:rPr>
                <w:rFonts w:ascii="Arial" w:hAnsi="Arial" w:cs="Arial"/>
                <w:b/>
                <w:sz w:val="22"/>
                <w:szCs w:val="22"/>
                <w:lang w:val="en-GB"/>
              </w:rPr>
              <w:t>Controlled Early Amortisation Features</w:t>
            </w:r>
          </w:p>
        </w:tc>
      </w:tr>
      <w:tr w:rsidR="00E22FF2" w:rsidRPr="00E4265B" w14:paraId="6660D6B3" w14:textId="77777777" w:rsidTr="00F73156">
        <w:trPr>
          <w:tblHeader/>
        </w:trPr>
        <w:tc>
          <w:tcPr>
            <w:tcW w:w="3240" w:type="dxa"/>
          </w:tcPr>
          <w:p w14:paraId="1A57160C" w14:textId="77777777" w:rsidR="00E22FF2" w:rsidRPr="00E4265B" w:rsidRDefault="00E22FF2" w:rsidP="00E54BD6">
            <w:pPr>
              <w:spacing w:after="100"/>
              <w:rPr>
                <w:rFonts w:ascii="Arial" w:eastAsia="Arial" w:hAnsi="Arial" w:cs="Arial"/>
                <w:b/>
                <w:sz w:val="22"/>
                <w:szCs w:val="22"/>
                <w:lang w:val="en-GB"/>
              </w:rPr>
            </w:pPr>
          </w:p>
        </w:tc>
        <w:tc>
          <w:tcPr>
            <w:tcW w:w="2430" w:type="dxa"/>
            <w:shd w:val="pct15" w:color="auto" w:fill="auto"/>
          </w:tcPr>
          <w:p w14:paraId="19F58841" w14:textId="77777777" w:rsidR="00E22FF2" w:rsidRPr="00E4265B" w:rsidRDefault="00E22FF2" w:rsidP="00E54BD6">
            <w:pPr>
              <w:spacing w:after="100"/>
              <w:jc w:val="center"/>
              <w:rPr>
                <w:rFonts w:ascii="Arial" w:eastAsia="Arial" w:hAnsi="Arial" w:cs="Arial"/>
                <w:b/>
                <w:sz w:val="22"/>
                <w:szCs w:val="22"/>
                <w:lang w:val="en-GB"/>
              </w:rPr>
            </w:pPr>
            <w:r w:rsidRPr="00E4265B">
              <w:rPr>
                <w:rFonts w:ascii="Arial" w:hAnsi="Arial" w:cs="Arial"/>
                <w:b/>
                <w:sz w:val="22"/>
                <w:szCs w:val="22"/>
                <w:lang w:val="en-GB"/>
              </w:rPr>
              <w:t>Uncommitted</w:t>
            </w:r>
          </w:p>
        </w:tc>
        <w:tc>
          <w:tcPr>
            <w:tcW w:w="2565" w:type="dxa"/>
            <w:shd w:val="pct15" w:color="auto" w:fill="auto"/>
          </w:tcPr>
          <w:p w14:paraId="7B78DA6F" w14:textId="77777777" w:rsidR="00E22FF2" w:rsidRPr="00E4265B" w:rsidRDefault="00E22FF2" w:rsidP="00E54BD6">
            <w:pPr>
              <w:spacing w:after="100"/>
              <w:jc w:val="center"/>
              <w:rPr>
                <w:rFonts w:ascii="Arial" w:hAnsi="Arial" w:cs="Arial"/>
                <w:b/>
                <w:sz w:val="22"/>
                <w:szCs w:val="22"/>
                <w:lang w:val="en-GB"/>
              </w:rPr>
            </w:pPr>
            <w:r w:rsidRPr="00E4265B">
              <w:rPr>
                <w:rFonts w:ascii="Arial" w:hAnsi="Arial" w:cs="Arial"/>
                <w:b/>
                <w:sz w:val="22"/>
                <w:szCs w:val="22"/>
                <w:lang w:val="en-GB"/>
              </w:rPr>
              <w:t>Committed</w:t>
            </w:r>
          </w:p>
        </w:tc>
      </w:tr>
      <w:tr w:rsidR="00E22FF2" w:rsidRPr="00E4265B" w14:paraId="677C879D" w14:textId="77777777" w:rsidTr="00F73156">
        <w:tc>
          <w:tcPr>
            <w:tcW w:w="3240" w:type="dxa"/>
          </w:tcPr>
          <w:p w14:paraId="2C196CF7" w14:textId="77777777" w:rsidR="00E22FF2" w:rsidRPr="00E4265B" w:rsidRDefault="00E22FF2" w:rsidP="00E54BD6">
            <w:pPr>
              <w:spacing w:after="100"/>
              <w:rPr>
                <w:rFonts w:ascii="Arial" w:hAnsi="Arial" w:cs="Arial"/>
                <w:sz w:val="22"/>
                <w:szCs w:val="22"/>
                <w:lang w:val="en-GB"/>
              </w:rPr>
            </w:pPr>
            <w:r w:rsidRPr="00E4265B">
              <w:rPr>
                <w:rFonts w:ascii="Arial" w:hAnsi="Arial" w:cs="Arial"/>
                <w:sz w:val="22"/>
                <w:szCs w:val="22"/>
                <w:lang w:val="en-GB"/>
              </w:rPr>
              <w:t>Retail Credit Lines</w:t>
            </w:r>
          </w:p>
        </w:tc>
        <w:tc>
          <w:tcPr>
            <w:tcW w:w="2430" w:type="dxa"/>
          </w:tcPr>
          <w:p w14:paraId="667614B2" w14:textId="77777777" w:rsidR="00E22FF2" w:rsidRPr="00E4265B" w:rsidRDefault="00E22FF2" w:rsidP="00E54BD6">
            <w:pPr>
              <w:spacing w:after="100"/>
              <w:jc w:val="center"/>
              <w:rPr>
                <w:rFonts w:ascii="Arial" w:hAnsi="Arial" w:cs="Arial"/>
                <w:sz w:val="22"/>
                <w:szCs w:val="22"/>
                <w:lang w:val="en-GB"/>
              </w:rPr>
            </w:pPr>
            <w:r w:rsidRPr="00E4265B">
              <w:rPr>
                <w:rFonts w:ascii="Arial" w:hAnsi="Arial" w:cs="Arial"/>
                <w:sz w:val="22"/>
                <w:szCs w:val="22"/>
                <w:lang w:val="en-GB"/>
              </w:rPr>
              <w:t>3 Month average Excess Spread CCF</w:t>
            </w:r>
          </w:p>
        </w:tc>
        <w:tc>
          <w:tcPr>
            <w:tcW w:w="2565" w:type="dxa"/>
            <w:vMerge w:val="restart"/>
          </w:tcPr>
          <w:p w14:paraId="5B04F01E" w14:textId="77777777" w:rsidR="00E22FF2" w:rsidRPr="00E4265B" w:rsidRDefault="00E22FF2" w:rsidP="00E54BD6">
            <w:pPr>
              <w:spacing w:after="100"/>
              <w:jc w:val="center"/>
              <w:rPr>
                <w:rFonts w:ascii="Arial" w:hAnsi="Arial" w:cs="Arial"/>
                <w:sz w:val="22"/>
                <w:szCs w:val="22"/>
                <w:lang w:val="en-GB"/>
              </w:rPr>
            </w:pPr>
            <w:r w:rsidRPr="00E4265B">
              <w:rPr>
                <w:rFonts w:ascii="Arial" w:hAnsi="Arial" w:cs="Arial"/>
                <w:sz w:val="22"/>
                <w:szCs w:val="22"/>
                <w:lang w:val="en-GB"/>
              </w:rPr>
              <w:t>90%</w:t>
            </w:r>
          </w:p>
        </w:tc>
      </w:tr>
      <w:tr w:rsidR="00E22FF2" w:rsidRPr="00E4265B" w14:paraId="02B75D78" w14:textId="77777777" w:rsidTr="00F73156">
        <w:tc>
          <w:tcPr>
            <w:tcW w:w="3240" w:type="dxa"/>
          </w:tcPr>
          <w:p w14:paraId="2F6B6E46" w14:textId="77777777" w:rsidR="00E22FF2" w:rsidRPr="00E4265B" w:rsidRDefault="00E22FF2" w:rsidP="00E54BD6">
            <w:pPr>
              <w:spacing w:after="100"/>
              <w:rPr>
                <w:rFonts w:ascii="Arial" w:hAnsi="Arial" w:cs="Arial"/>
                <w:sz w:val="22"/>
                <w:szCs w:val="22"/>
                <w:lang w:val="en-GB"/>
              </w:rPr>
            </w:pPr>
            <w:r w:rsidRPr="00E4265B">
              <w:rPr>
                <w:rFonts w:ascii="Arial" w:hAnsi="Arial" w:cs="Arial"/>
                <w:sz w:val="22"/>
                <w:szCs w:val="22"/>
                <w:lang w:val="en-GB"/>
              </w:rPr>
              <w:t>133.33% of trapping point or more</w:t>
            </w:r>
          </w:p>
        </w:tc>
        <w:tc>
          <w:tcPr>
            <w:tcW w:w="2430" w:type="dxa"/>
          </w:tcPr>
          <w:p w14:paraId="47723DE9" w14:textId="77777777" w:rsidR="00E22FF2" w:rsidRPr="00E4265B" w:rsidRDefault="00E22FF2" w:rsidP="00E54BD6">
            <w:pPr>
              <w:spacing w:after="100"/>
              <w:jc w:val="center"/>
              <w:rPr>
                <w:rFonts w:ascii="Arial" w:hAnsi="Arial" w:cs="Arial"/>
                <w:sz w:val="22"/>
                <w:szCs w:val="22"/>
                <w:lang w:val="en-GB"/>
              </w:rPr>
            </w:pPr>
            <w:r w:rsidRPr="00E4265B">
              <w:rPr>
                <w:rFonts w:ascii="Arial" w:hAnsi="Arial" w:cs="Arial"/>
                <w:sz w:val="22"/>
                <w:szCs w:val="22"/>
                <w:lang w:val="en-GB"/>
              </w:rPr>
              <w:t>0%</w:t>
            </w:r>
          </w:p>
        </w:tc>
        <w:tc>
          <w:tcPr>
            <w:tcW w:w="2565" w:type="dxa"/>
            <w:vMerge/>
          </w:tcPr>
          <w:p w14:paraId="04BDDC41" w14:textId="77777777" w:rsidR="00E22FF2" w:rsidRPr="00E4265B" w:rsidRDefault="00E22FF2" w:rsidP="00E54BD6">
            <w:pPr>
              <w:spacing w:after="100"/>
              <w:jc w:val="center"/>
              <w:rPr>
                <w:rFonts w:ascii="Arial" w:hAnsi="Arial" w:cs="Arial"/>
                <w:sz w:val="22"/>
                <w:szCs w:val="22"/>
                <w:lang w:val="en-GB"/>
              </w:rPr>
            </w:pPr>
          </w:p>
        </w:tc>
      </w:tr>
      <w:tr w:rsidR="00E22FF2" w:rsidRPr="00E4265B" w14:paraId="19723C9F" w14:textId="77777777" w:rsidTr="00F73156">
        <w:tc>
          <w:tcPr>
            <w:tcW w:w="3240" w:type="dxa"/>
          </w:tcPr>
          <w:p w14:paraId="4F896C61" w14:textId="77777777" w:rsidR="00E22FF2" w:rsidRPr="00E4265B" w:rsidRDefault="00E22FF2" w:rsidP="00E54BD6">
            <w:pPr>
              <w:spacing w:after="100"/>
              <w:rPr>
                <w:rFonts w:ascii="Arial" w:hAnsi="Arial" w:cs="Arial"/>
                <w:sz w:val="22"/>
                <w:szCs w:val="22"/>
                <w:lang w:val="en-GB"/>
              </w:rPr>
            </w:pPr>
            <w:r w:rsidRPr="00E4265B">
              <w:rPr>
                <w:rFonts w:ascii="Arial" w:hAnsi="Arial" w:cs="Arial"/>
                <w:sz w:val="22"/>
                <w:szCs w:val="22"/>
                <w:lang w:val="en-GB"/>
              </w:rPr>
              <w:t>&lt;133.33% to 100% of trapping point</w:t>
            </w:r>
          </w:p>
        </w:tc>
        <w:tc>
          <w:tcPr>
            <w:tcW w:w="2430" w:type="dxa"/>
          </w:tcPr>
          <w:p w14:paraId="660FB063" w14:textId="77777777" w:rsidR="00E22FF2" w:rsidRPr="00E4265B" w:rsidRDefault="00E22FF2" w:rsidP="00E54BD6">
            <w:pPr>
              <w:spacing w:after="100"/>
              <w:jc w:val="center"/>
              <w:rPr>
                <w:rFonts w:ascii="Arial" w:hAnsi="Arial" w:cs="Arial"/>
                <w:sz w:val="22"/>
                <w:szCs w:val="22"/>
                <w:lang w:val="en-GB"/>
              </w:rPr>
            </w:pPr>
            <w:r w:rsidRPr="00E4265B">
              <w:rPr>
                <w:rFonts w:ascii="Arial" w:hAnsi="Arial" w:cs="Arial"/>
                <w:sz w:val="22"/>
                <w:szCs w:val="22"/>
                <w:lang w:val="en-GB"/>
              </w:rPr>
              <w:t>1%</w:t>
            </w:r>
          </w:p>
        </w:tc>
        <w:tc>
          <w:tcPr>
            <w:tcW w:w="2565" w:type="dxa"/>
            <w:vMerge/>
          </w:tcPr>
          <w:p w14:paraId="02EEAD12" w14:textId="77777777" w:rsidR="00E22FF2" w:rsidRPr="00E4265B" w:rsidRDefault="00E22FF2" w:rsidP="00E54BD6">
            <w:pPr>
              <w:spacing w:after="100"/>
              <w:jc w:val="center"/>
              <w:rPr>
                <w:rFonts w:ascii="Arial" w:hAnsi="Arial" w:cs="Arial"/>
                <w:sz w:val="22"/>
                <w:szCs w:val="22"/>
                <w:lang w:val="en-GB"/>
              </w:rPr>
            </w:pPr>
          </w:p>
        </w:tc>
      </w:tr>
      <w:tr w:rsidR="00E22FF2" w:rsidRPr="00E4265B" w14:paraId="0ACA6DAB" w14:textId="77777777" w:rsidTr="00F73156">
        <w:tc>
          <w:tcPr>
            <w:tcW w:w="3240" w:type="dxa"/>
          </w:tcPr>
          <w:p w14:paraId="4E8C5244" w14:textId="77777777" w:rsidR="00E22FF2" w:rsidRPr="00E4265B" w:rsidRDefault="00E22FF2" w:rsidP="00E54BD6">
            <w:pPr>
              <w:spacing w:after="100"/>
              <w:rPr>
                <w:rFonts w:ascii="Arial" w:hAnsi="Arial" w:cs="Arial"/>
                <w:sz w:val="22"/>
                <w:szCs w:val="22"/>
                <w:lang w:val="en-GB"/>
              </w:rPr>
            </w:pPr>
            <w:r w:rsidRPr="00E4265B">
              <w:rPr>
                <w:rFonts w:ascii="Arial" w:hAnsi="Arial" w:cs="Arial"/>
                <w:sz w:val="22"/>
                <w:szCs w:val="22"/>
                <w:lang w:val="en-GB"/>
              </w:rPr>
              <w:t>&lt;100% to 75% of trapping point</w:t>
            </w:r>
          </w:p>
        </w:tc>
        <w:tc>
          <w:tcPr>
            <w:tcW w:w="2430" w:type="dxa"/>
          </w:tcPr>
          <w:p w14:paraId="783CD583" w14:textId="77777777" w:rsidR="00E22FF2" w:rsidRPr="00E4265B" w:rsidRDefault="00E22FF2" w:rsidP="00E54BD6">
            <w:pPr>
              <w:spacing w:after="100"/>
              <w:jc w:val="center"/>
              <w:rPr>
                <w:rFonts w:ascii="Arial" w:hAnsi="Arial" w:cs="Arial"/>
                <w:sz w:val="22"/>
                <w:szCs w:val="22"/>
                <w:lang w:val="en-GB"/>
              </w:rPr>
            </w:pPr>
            <w:r w:rsidRPr="00E4265B">
              <w:rPr>
                <w:rFonts w:ascii="Arial" w:hAnsi="Arial" w:cs="Arial"/>
                <w:sz w:val="22"/>
                <w:szCs w:val="22"/>
                <w:lang w:val="en-GB"/>
              </w:rPr>
              <w:t>2%</w:t>
            </w:r>
          </w:p>
        </w:tc>
        <w:tc>
          <w:tcPr>
            <w:tcW w:w="2565" w:type="dxa"/>
            <w:vMerge/>
          </w:tcPr>
          <w:p w14:paraId="50D8087C" w14:textId="77777777" w:rsidR="00E22FF2" w:rsidRPr="00E4265B" w:rsidRDefault="00E22FF2" w:rsidP="00E54BD6">
            <w:pPr>
              <w:spacing w:after="100"/>
              <w:jc w:val="center"/>
              <w:rPr>
                <w:rFonts w:ascii="Arial" w:hAnsi="Arial" w:cs="Arial"/>
                <w:sz w:val="22"/>
                <w:szCs w:val="22"/>
                <w:lang w:val="en-GB"/>
              </w:rPr>
            </w:pPr>
          </w:p>
        </w:tc>
      </w:tr>
      <w:tr w:rsidR="00E22FF2" w:rsidRPr="00E4265B" w14:paraId="4D5A5332" w14:textId="77777777" w:rsidTr="00F73156">
        <w:tc>
          <w:tcPr>
            <w:tcW w:w="3240" w:type="dxa"/>
          </w:tcPr>
          <w:p w14:paraId="12DDECD3" w14:textId="77777777" w:rsidR="00E22FF2" w:rsidRPr="00E4265B" w:rsidRDefault="00E22FF2" w:rsidP="00E54BD6">
            <w:pPr>
              <w:spacing w:after="100"/>
              <w:rPr>
                <w:rFonts w:ascii="Arial" w:hAnsi="Arial" w:cs="Arial"/>
                <w:sz w:val="22"/>
                <w:szCs w:val="22"/>
                <w:lang w:val="en-GB"/>
              </w:rPr>
            </w:pPr>
            <w:r w:rsidRPr="00E4265B">
              <w:rPr>
                <w:rFonts w:ascii="Arial" w:hAnsi="Arial" w:cs="Arial"/>
                <w:sz w:val="22"/>
                <w:szCs w:val="22"/>
                <w:lang w:val="en-GB"/>
              </w:rPr>
              <w:t>&lt;75% to 50% trapping point</w:t>
            </w:r>
          </w:p>
        </w:tc>
        <w:tc>
          <w:tcPr>
            <w:tcW w:w="2430" w:type="dxa"/>
          </w:tcPr>
          <w:p w14:paraId="66D31ADD" w14:textId="77777777" w:rsidR="00E22FF2" w:rsidRPr="00E4265B" w:rsidRDefault="00E22FF2" w:rsidP="00E54BD6">
            <w:pPr>
              <w:spacing w:after="100"/>
              <w:jc w:val="center"/>
              <w:rPr>
                <w:rFonts w:ascii="Arial" w:hAnsi="Arial" w:cs="Arial"/>
                <w:sz w:val="22"/>
                <w:szCs w:val="22"/>
                <w:lang w:val="en-GB"/>
              </w:rPr>
            </w:pPr>
            <w:r w:rsidRPr="00E4265B">
              <w:rPr>
                <w:rFonts w:ascii="Arial" w:hAnsi="Arial" w:cs="Arial"/>
                <w:sz w:val="22"/>
                <w:szCs w:val="22"/>
                <w:lang w:val="en-GB"/>
              </w:rPr>
              <w:t>10%</w:t>
            </w:r>
          </w:p>
        </w:tc>
        <w:tc>
          <w:tcPr>
            <w:tcW w:w="2565" w:type="dxa"/>
            <w:vMerge/>
          </w:tcPr>
          <w:p w14:paraId="4BBA83AD" w14:textId="77777777" w:rsidR="00E22FF2" w:rsidRPr="00E4265B" w:rsidRDefault="00E22FF2" w:rsidP="00E54BD6">
            <w:pPr>
              <w:spacing w:after="100"/>
              <w:jc w:val="center"/>
              <w:rPr>
                <w:rFonts w:ascii="Arial" w:hAnsi="Arial" w:cs="Arial"/>
                <w:sz w:val="22"/>
                <w:szCs w:val="22"/>
                <w:lang w:val="en-GB"/>
              </w:rPr>
            </w:pPr>
          </w:p>
        </w:tc>
      </w:tr>
      <w:tr w:rsidR="00E22FF2" w:rsidRPr="00E4265B" w14:paraId="10D6D3BB" w14:textId="77777777" w:rsidTr="00F73156">
        <w:tc>
          <w:tcPr>
            <w:tcW w:w="3240" w:type="dxa"/>
          </w:tcPr>
          <w:p w14:paraId="1D368CB8" w14:textId="77777777" w:rsidR="00E22FF2" w:rsidRPr="00E4265B" w:rsidRDefault="00E22FF2" w:rsidP="00E54BD6">
            <w:pPr>
              <w:spacing w:after="100"/>
              <w:rPr>
                <w:rFonts w:ascii="Arial" w:hAnsi="Arial" w:cs="Arial"/>
                <w:sz w:val="22"/>
                <w:szCs w:val="22"/>
                <w:lang w:val="en-GB"/>
              </w:rPr>
            </w:pPr>
            <w:r w:rsidRPr="00E4265B">
              <w:rPr>
                <w:rFonts w:ascii="Arial" w:hAnsi="Arial" w:cs="Arial"/>
                <w:sz w:val="22"/>
                <w:szCs w:val="22"/>
                <w:lang w:val="en-GB"/>
              </w:rPr>
              <w:t>&lt;50% to 25% of trapping point</w:t>
            </w:r>
          </w:p>
        </w:tc>
        <w:tc>
          <w:tcPr>
            <w:tcW w:w="2430" w:type="dxa"/>
          </w:tcPr>
          <w:p w14:paraId="50C1235E" w14:textId="77777777" w:rsidR="00E22FF2" w:rsidRPr="00E4265B" w:rsidRDefault="00E22FF2" w:rsidP="00E54BD6">
            <w:pPr>
              <w:spacing w:after="100"/>
              <w:jc w:val="center"/>
              <w:rPr>
                <w:rFonts w:ascii="Arial" w:hAnsi="Arial" w:cs="Arial"/>
                <w:sz w:val="22"/>
                <w:szCs w:val="22"/>
                <w:lang w:val="en-GB"/>
              </w:rPr>
            </w:pPr>
            <w:r w:rsidRPr="00E4265B">
              <w:rPr>
                <w:rFonts w:ascii="Arial" w:hAnsi="Arial" w:cs="Arial"/>
                <w:sz w:val="22"/>
                <w:szCs w:val="22"/>
                <w:lang w:val="en-GB"/>
              </w:rPr>
              <w:t>20%</w:t>
            </w:r>
          </w:p>
        </w:tc>
        <w:tc>
          <w:tcPr>
            <w:tcW w:w="2565" w:type="dxa"/>
            <w:vMerge/>
          </w:tcPr>
          <w:p w14:paraId="1C76B3A7" w14:textId="77777777" w:rsidR="00E22FF2" w:rsidRPr="00E4265B" w:rsidRDefault="00E22FF2" w:rsidP="00E54BD6">
            <w:pPr>
              <w:spacing w:after="100"/>
              <w:jc w:val="center"/>
              <w:rPr>
                <w:rFonts w:ascii="Arial" w:hAnsi="Arial" w:cs="Arial"/>
                <w:sz w:val="22"/>
                <w:szCs w:val="22"/>
                <w:lang w:val="en-GB"/>
              </w:rPr>
            </w:pPr>
          </w:p>
        </w:tc>
      </w:tr>
      <w:tr w:rsidR="00E22FF2" w:rsidRPr="00E4265B" w14:paraId="624E846A" w14:textId="77777777" w:rsidTr="00F73156">
        <w:tc>
          <w:tcPr>
            <w:tcW w:w="3240" w:type="dxa"/>
          </w:tcPr>
          <w:p w14:paraId="1C855A0B" w14:textId="77777777" w:rsidR="00E22FF2" w:rsidRPr="00E4265B" w:rsidRDefault="00E22FF2" w:rsidP="00E54BD6">
            <w:pPr>
              <w:spacing w:after="100"/>
              <w:rPr>
                <w:rFonts w:ascii="Arial" w:hAnsi="Arial" w:cs="Arial"/>
                <w:sz w:val="22"/>
                <w:szCs w:val="22"/>
                <w:lang w:val="en-GB"/>
              </w:rPr>
            </w:pPr>
            <w:r w:rsidRPr="00E4265B">
              <w:rPr>
                <w:rFonts w:ascii="Arial" w:hAnsi="Arial" w:cs="Arial"/>
                <w:sz w:val="22"/>
                <w:szCs w:val="22"/>
                <w:lang w:val="en-GB"/>
              </w:rPr>
              <w:t>&lt;25%</w:t>
            </w:r>
          </w:p>
        </w:tc>
        <w:tc>
          <w:tcPr>
            <w:tcW w:w="2430" w:type="dxa"/>
          </w:tcPr>
          <w:p w14:paraId="42DC18CF" w14:textId="77777777" w:rsidR="00E22FF2" w:rsidRPr="00E4265B" w:rsidRDefault="00E22FF2" w:rsidP="00E54BD6">
            <w:pPr>
              <w:spacing w:after="100"/>
              <w:jc w:val="center"/>
              <w:rPr>
                <w:rFonts w:ascii="Arial" w:hAnsi="Arial" w:cs="Arial"/>
                <w:sz w:val="22"/>
                <w:szCs w:val="22"/>
                <w:lang w:val="en-GB"/>
              </w:rPr>
            </w:pPr>
            <w:r w:rsidRPr="00E4265B">
              <w:rPr>
                <w:rFonts w:ascii="Arial" w:hAnsi="Arial" w:cs="Arial"/>
                <w:sz w:val="22"/>
                <w:szCs w:val="22"/>
                <w:lang w:val="en-GB"/>
              </w:rPr>
              <w:t>40%</w:t>
            </w:r>
          </w:p>
        </w:tc>
        <w:tc>
          <w:tcPr>
            <w:tcW w:w="2565" w:type="dxa"/>
            <w:vMerge/>
          </w:tcPr>
          <w:p w14:paraId="10B09B9D" w14:textId="77777777" w:rsidR="00E22FF2" w:rsidRPr="00E4265B" w:rsidRDefault="00E22FF2" w:rsidP="00E54BD6">
            <w:pPr>
              <w:spacing w:after="100"/>
              <w:jc w:val="center"/>
              <w:rPr>
                <w:rFonts w:ascii="Arial" w:hAnsi="Arial" w:cs="Arial"/>
                <w:sz w:val="22"/>
                <w:szCs w:val="22"/>
                <w:lang w:val="en-GB"/>
              </w:rPr>
            </w:pPr>
          </w:p>
        </w:tc>
      </w:tr>
      <w:tr w:rsidR="00E22FF2" w:rsidRPr="00E4265B" w14:paraId="72EFF26C" w14:textId="77777777" w:rsidTr="00F73156">
        <w:tc>
          <w:tcPr>
            <w:tcW w:w="3240" w:type="dxa"/>
          </w:tcPr>
          <w:p w14:paraId="793AC10D" w14:textId="77777777" w:rsidR="00E22FF2" w:rsidRPr="00E4265B" w:rsidRDefault="00E22FF2" w:rsidP="00E54BD6">
            <w:pPr>
              <w:spacing w:after="100"/>
              <w:rPr>
                <w:rFonts w:ascii="Arial" w:hAnsi="Arial" w:cs="Arial"/>
                <w:sz w:val="22"/>
                <w:szCs w:val="22"/>
                <w:lang w:val="en-GB"/>
              </w:rPr>
            </w:pPr>
            <w:r w:rsidRPr="00E4265B">
              <w:rPr>
                <w:rFonts w:ascii="Arial" w:hAnsi="Arial" w:cs="Arial"/>
                <w:sz w:val="22"/>
                <w:szCs w:val="22"/>
                <w:lang w:val="en-GB"/>
              </w:rPr>
              <w:t>Non</w:t>
            </w:r>
            <w:r w:rsidRPr="00E4265B">
              <w:rPr>
                <w:rFonts w:ascii="Arial" w:hAnsi="Arial" w:cs="Arial"/>
                <w:sz w:val="22"/>
                <w:szCs w:val="22"/>
                <w:lang w:val="en-GB"/>
              </w:rPr>
              <w:noBreakHyphen/>
              <w:t>retail credit lines</w:t>
            </w:r>
          </w:p>
        </w:tc>
        <w:tc>
          <w:tcPr>
            <w:tcW w:w="2430" w:type="dxa"/>
          </w:tcPr>
          <w:p w14:paraId="5E0D1B2A" w14:textId="77777777" w:rsidR="00E22FF2" w:rsidRPr="00E4265B" w:rsidRDefault="00E22FF2" w:rsidP="00E54BD6">
            <w:pPr>
              <w:spacing w:after="100"/>
              <w:jc w:val="center"/>
              <w:rPr>
                <w:rFonts w:ascii="Arial" w:hAnsi="Arial" w:cs="Arial"/>
                <w:sz w:val="22"/>
                <w:szCs w:val="22"/>
                <w:lang w:val="en-GB"/>
              </w:rPr>
            </w:pPr>
            <w:r w:rsidRPr="00E4265B">
              <w:rPr>
                <w:rFonts w:ascii="Arial" w:hAnsi="Arial" w:cs="Arial"/>
                <w:sz w:val="22"/>
                <w:szCs w:val="22"/>
                <w:lang w:val="en-GB"/>
              </w:rPr>
              <w:t>90%</w:t>
            </w:r>
          </w:p>
        </w:tc>
        <w:tc>
          <w:tcPr>
            <w:tcW w:w="2565" w:type="dxa"/>
          </w:tcPr>
          <w:p w14:paraId="37D7F572" w14:textId="77777777" w:rsidR="00E22FF2" w:rsidRPr="00E4265B" w:rsidRDefault="00E22FF2" w:rsidP="00E54BD6">
            <w:pPr>
              <w:spacing w:after="100"/>
              <w:jc w:val="center"/>
              <w:rPr>
                <w:rFonts w:ascii="Arial" w:hAnsi="Arial" w:cs="Arial"/>
                <w:sz w:val="22"/>
                <w:szCs w:val="22"/>
                <w:lang w:val="en-GB"/>
              </w:rPr>
            </w:pPr>
            <w:r w:rsidRPr="00E4265B">
              <w:rPr>
                <w:rFonts w:ascii="Arial" w:hAnsi="Arial" w:cs="Arial"/>
                <w:sz w:val="22"/>
                <w:szCs w:val="22"/>
                <w:lang w:val="en-GB"/>
              </w:rPr>
              <w:t>90%</w:t>
            </w:r>
          </w:p>
        </w:tc>
      </w:tr>
    </w:tbl>
    <w:p w14:paraId="7A341B88" w14:textId="77777777" w:rsidR="00E22FF2" w:rsidRPr="00E4265B" w:rsidRDefault="00E22FF2" w:rsidP="00F73156">
      <w:pPr>
        <w:rPr>
          <w:rFonts w:ascii="Arial" w:hAnsi="Arial" w:cs="Arial"/>
          <w:sz w:val="22"/>
          <w:szCs w:val="22"/>
          <w:lang w:val="en-GB"/>
        </w:rPr>
      </w:pPr>
    </w:p>
    <w:p w14:paraId="3C112BD0" w14:textId="77777777" w:rsidR="00E22FF2" w:rsidRPr="00E4265B" w:rsidRDefault="00E22FF2" w:rsidP="00F73156">
      <w:pPr>
        <w:pStyle w:val="TitleL5"/>
        <w:rPr>
          <w:rFonts w:ascii="Arial" w:hAnsi="Arial" w:cs="Arial"/>
          <w:sz w:val="22"/>
          <w:szCs w:val="22"/>
          <w:lang w:val="en-GB"/>
        </w:rPr>
      </w:pPr>
      <w:r w:rsidRPr="00E4265B">
        <w:rPr>
          <w:rFonts w:ascii="Arial" w:hAnsi="Arial" w:cs="Arial"/>
          <w:sz w:val="22"/>
          <w:szCs w:val="22"/>
          <w:lang w:val="en-GB"/>
        </w:rPr>
        <w:t>Non</w:t>
      </w:r>
      <w:r w:rsidRPr="00E4265B">
        <w:rPr>
          <w:rFonts w:ascii="Arial" w:hAnsi="Arial" w:cs="Arial"/>
          <w:sz w:val="22"/>
          <w:szCs w:val="22"/>
          <w:lang w:val="en-GB"/>
        </w:rPr>
        <w:noBreakHyphen/>
        <w:t>Controlled Early Amortisation</w:t>
      </w:r>
    </w:p>
    <w:p w14:paraId="79CAAAB1"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In regard to non</w:t>
      </w:r>
      <w:r w:rsidRPr="00E4265B">
        <w:rPr>
          <w:rFonts w:ascii="Arial" w:hAnsi="Arial" w:cs="Arial"/>
          <w:sz w:val="22"/>
          <w:szCs w:val="22"/>
        </w:rPr>
        <w:noBreakHyphen/>
        <w:t xml:space="preserve">Controlled Early Amortisation, an </w:t>
      </w:r>
      <w:r w:rsidR="000D1A90" w:rsidRPr="00E4265B">
        <w:rPr>
          <w:rFonts w:ascii="Arial" w:hAnsi="Arial" w:cs="Arial"/>
          <w:sz w:val="22"/>
          <w:szCs w:val="22"/>
        </w:rPr>
        <w:t>Authorised Person</w:t>
      </w:r>
      <w:r w:rsidRPr="00E4265B">
        <w:rPr>
          <w:rFonts w:ascii="Arial" w:hAnsi="Arial" w:cs="Arial"/>
          <w:sz w:val="22"/>
          <w:szCs w:val="22"/>
        </w:rPr>
        <w:t xml:space="preserve"> must apply the same steps as set out at Rules 4.14.59 to 4.14.61 and determine appropriate segments and apply the corresponding conversion factors as set out in the following table:</w:t>
      </w:r>
    </w:p>
    <w:tbl>
      <w:tblPr>
        <w:tblStyle w:val="TableGrid"/>
        <w:tblW w:w="0" w:type="auto"/>
        <w:tblInd w:w="1008" w:type="dxa"/>
        <w:tblLook w:val="04A0" w:firstRow="1" w:lastRow="0" w:firstColumn="1" w:lastColumn="0" w:noHBand="0" w:noVBand="1"/>
      </w:tblPr>
      <w:tblGrid>
        <w:gridCol w:w="3128"/>
        <w:gridCol w:w="2384"/>
        <w:gridCol w:w="2497"/>
      </w:tblGrid>
      <w:tr w:rsidR="00E22FF2" w:rsidRPr="00E4265B" w14:paraId="6C436BB5" w14:textId="77777777" w:rsidTr="00E50EFB">
        <w:trPr>
          <w:tblHeader/>
        </w:trPr>
        <w:tc>
          <w:tcPr>
            <w:tcW w:w="8235" w:type="dxa"/>
            <w:gridSpan w:val="3"/>
            <w:shd w:val="clear" w:color="auto" w:fill="D9D9D9" w:themeFill="background1" w:themeFillShade="D9"/>
          </w:tcPr>
          <w:p w14:paraId="6F034A39" w14:textId="77777777" w:rsidR="00E22FF2" w:rsidRPr="00E4265B" w:rsidRDefault="00E22FF2" w:rsidP="00F73156">
            <w:pPr>
              <w:spacing w:after="100"/>
              <w:rPr>
                <w:rFonts w:ascii="Arial" w:hAnsi="Arial" w:cs="Arial"/>
                <w:b/>
                <w:sz w:val="22"/>
                <w:szCs w:val="22"/>
                <w:lang w:val="en-GB"/>
              </w:rPr>
            </w:pPr>
            <w:r w:rsidRPr="00E4265B">
              <w:rPr>
                <w:rFonts w:ascii="Arial" w:hAnsi="Arial" w:cs="Arial"/>
                <w:b/>
                <w:sz w:val="22"/>
                <w:szCs w:val="22"/>
                <w:lang w:val="en-GB"/>
              </w:rPr>
              <w:t>Non</w:t>
            </w:r>
            <w:r w:rsidRPr="00E4265B">
              <w:rPr>
                <w:rFonts w:ascii="Arial" w:hAnsi="Arial" w:cs="Arial"/>
                <w:b/>
                <w:sz w:val="22"/>
                <w:szCs w:val="22"/>
                <w:lang w:val="en-GB"/>
              </w:rPr>
              <w:noBreakHyphen/>
              <w:t>Controlled Early Amortisation Features</w:t>
            </w:r>
          </w:p>
        </w:tc>
      </w:tr>
      <w:tr w:rsidR="00E22FF2" w:rsidRPr="00E4265B" w14:paraId="155A1BFC" w14:textId="77777777" w:rsidTr="00E50EFB">
        <w:trPr>
          <w:tblHeader/>
        </w:trPr>
        <w:tc>
          <w:tcPr>
            <w:tcW w:w="3240" w:type="dxa"/>
          </w:tcPr>
          <w:p w14:paraId="7187FA75" w14:textId="77777777" w:rsidR="00E22FF2" w:rsidRPr="00E4265B" w:rsidRDefault="00E22FF2" w:rsidP="00F73156">
            <w:pPr>
              <w:spacing w:after="100"/>
              <w:rPr>
                <w:rFonts w:ascii="Arial" w:eastAsia="Arial" w:hAnsi="Arial" w:cs="Arial"/>
                <w:b/>
                <w:sz w:val="22"/>
                <w:szCs w:val="22"/>
                <w:lang w:val="en-GB"/>
              </w:rPr>
            </w:pPr>
          </w:p>
        </w:tc>
        <w:tc>
          <w:tcPr>
            <w:tcW w:w="2430" w:type="dxa"/>
            <w:shd w:val="clear" w:color="auto" w:fill="D9D9D9" w:themeFill="background1" w:themeFillShade="D9"/>
          </w:tcPr>
          <w:p w14:paraId="08A05684" w14:textId="77777777" w:rsidR="00E22FF2" w:rsidRPr="00E4265B" w:rsidRDefault="00E22FF2" w:rsidP="00F73156">
            <w:pPr>
              <w:spacing w:after="100"/>
              <w:jc w:val="center"/>
              <w:rPr>
                <w:rFonts w:ascii="Arial" w:eastAsia="Arial" w:hAnsi="Arial" w:cs="Arial"/>
                <w:b/>
                <w:sz w:val="22"/>
                <w:szCs w:val="22"/>
                <w:lang w:val="en-GB"/>
              </w:rPr>
            </w:pPr>
            <w:r w:rsidRPr="00E4265B">
              <w:rPr>
                <w:rFonts w:ascii="Arial" w:hAnsi="Arial" w:cs="Arial"/>
                <w:b/>
                <w:sz w:val="22"/>
                <w:szCs w:val="22"/>
                <w:lang w:val="en-GB"/>
              </w:rPr>
              <w:t>Uncommitted</w:t>
            </w:r>
          </w:p>
        </w:tc>
        <w:tc>
          <w:tcPr>
            <w:tcW w:w="2565" w:type="dxa"/>
            <w:shd w:val="clear" w:color="auto" w:fill="D9D9D9" w:themeFill="background1" w:themeFillShade="D9"/>
          </w:tcPr>
          <w:p w14:paraId="0A23AABF" w14:textId="77777777" w:rsidR="00E22FF2" w:rsidRPr="00E4265B" w:rsidRDefault="00E22FF2" w:rsidP="00F73156">
            <w:pPr>
              <w:spacing w:after="100"/>
              <w:jc w:val="center"/>
              <w:rPr>
                <w:rFonts w:ascii="Arial" w:hAnsi="Arial" w:cs="Arial"/>
                <w:b/>
                <w:sz w:val="22"/>
                <w:szCs w:val="22"/>
                <w:lang w:val="en-GB"/>
              </w:rPr>
            </w:pPr>
            <w:r w:rsidRPr="00E4265B">
              <w:rPr>
                <w:rFonts w:ascii="Arial" w:hAnsi="Arial" w:cs="Arial"/>
                <w:b/>
                <w:sz w:val="22"/>
                <w:szCs w:val="22"/>
                <w:lang w:val="en-GB"/>
              </w:rPr>
              <w:t>Committed</w:t>
            </w:r>
          </w:p>
        </w:tc>
      </w:tr>
      <w:tr w:rsidR="00E22FF2" w:rsidRPr="00E4265B" w14:paraId="05142E2F" w14:textId="77777777" w:rsidTr="00F73156">
        <w:tc>
          <w:tcPr>
            <w:tcW w:w="3240" w:type="dxa"/>
          </w:tcPr>
          <w:p w14:paraId="3CF047AC" w14:textId="77777777" w:rsidR="00E22FF2" w:rsidRPr="00E4265B" w:rsidRDefault="00E22FF2" w:rsidP="00F73156">
            <w:pPr>
              <w:spacing w:after="100"/>
              <w:rPr>
                <w:rFonts w:ascii="Arial" w:eastAsia="Arial" w:hAnsi="Arial" w:cs="Arial"/>
                <w:sz w:val="22"/>
                <w:szCs w:val="22"/>
                <w:lang w:val="en-GB"/>
              </w:rPr>
            </w:pPr>
            <w:r w:rsidRPr="00E4265B">
              <w:rPr>
                <w:rFonts w:ascii="Arial" w:hAnsi="Arial" w:cs="Arial"/>
                <w:sz w:val="22"/>
                <w:szCs w:val="22"/>
                <w:lang w:val="en-GB"/>
              </w:rPr>
              <w:t>Retail Credit Lines</w:t>
            </w:r>
          </w:p>
        </w:tc>
        <w:tc>
          <w:tcPr>
            <w:tcW w:w="2430" w:type="dxa"/>
          </w:tcPr>
          <w:p w14:paraId="68FA6301" w14:textId="77777777" w:rsidR="00E22FF2" w:rsidRPr="00E4265B" w:rsidRDefault="00E22FF2" w:rsidP="00F73156">
            <w:pPr>
              <w:spacing w:after="100"/>
              <w:jc w:val="center"/>
              <w:rPr>
                <w:rFonts w:ascii="Arial" w:hAnsi="Arial" w:cs="Arial"/>
                <w:b/>
                <w:sz w:val="22"/>
                <w:szCs w:val="22"/>
                <w:lang w:val="en-GB"/>
              </w:rPr>
            </w:pPr>
            <w:r w:rsidRPr="00E4265B">
              <w:rPr>
                <w:rFonts w:ascii="Arial" w:hAnsi="Arial" w:cs="Arial"/>
                <w:b/>
                <w:sz w:val="22"/>
                <w:szCs w:val="22"/>
                <w:lang w:val="en-GB"/>
              </w:rPr>
              <w:t>3 Month average Excess Spread CCF</w:t>
            </w:r>
          </w:p>
        </w:tc>
        <w:tc>
          <w:tcPr>
            <w:tcW w:w="2565" w:type="dxa"/>
            <w:vMerge w:val="restart"/>
          </w:tcPr>
          <w:p w14:paraId="68B50F2D" w14:textId="77777777" w:rsidR="00E22FF2" w:rsidRPr="00E4265B" w:rsidRDefault="00E22FF2" w:rsidP="00F73156">
            <w:pPr>
              <w:spacing w:after="100"/>
              <w:jc w:val="center"/>
              <w:rPr>
                <w:rFonts w:ascii="Arial" w:hAnsi="Arial" w:cs="Arial"/>
                <w:sz w:val="22"/>
                <w:szCs w:val="22"/>
                <w:lang w:val="en-GB"/>
              </w:rPr>
            </w:pPr>
            <w:r w:rsidRPr="00E4265B">
              <w:rPr>
                <w:rFonts w:ascii="Arial" w:hAnsi="Arial" w:cs="Arial"/>
                <w:sz w:val="22"/>
                <w:szCs w:val="22"/>
                <w:lang w:val="en-GB"/>
              </w:rPr>
              <w:t>100%</w:t>
            </w:r>
          </w:p>
        </w:tc>
      </w:tr>
      <w:tr w:rsidR="00E22FF2" w:rsidRPr="00E4265B" w14:paraId="6B9AA234" w14:textId="77777777" w:rsidTr="00F73156">
        <w:tc>
          <w:tcPr>
            <w:tcW w:w="3240" w:type="dxa"/>
          </w:tcPr>
          <w:p w14:paraId="723C65B6" w14:textId="77777777" w:rsidR="00E22FF2" w:rsidRPr="00E4265B" w:rsidRDefault="00E22FF2" w:rsidP="00F73156">
            <w:pPr>
              <w:spacing w:after="100"/>
              <w:rPr>
                <w:rFonts w:ascii="Arial" w:hAnsi="Arial" w:cs="Arial"/>
                <w:sz w:val="22"/>
                <w:szCs w:val="22"/>
                <w:lang w:val="en-GB"/>
              </w:rPr>
            </w:pPr>
            <w:r w:rsidRPr="00E4265B">
              <w:rPr>
                <w:rFonts w:ascii="Arial" w:hAnsi="Arial" w:cs="Arial"/>
                <w:sz w:val="22"/>
                <w:szCs w:val="22"/>
                <w:lang w:val="en-GB"/>
              </w:rPr>
              <w:t>133.33% of trapping point or more</w:t>
            </w:r>
          </w:p>
        </w:tc>
        <w:tc>
          <w:tcPr>
            <w:tcW w:w="2430" w:type="dxa"/>
          </w:tcPr>
          <w:p w14:paraId="1216F081" w14:textId="77777777" w:rsidR="00E22FF2" w:rsidRPr="00E4265B" w:rsidRDefault="00E22FF2" w:rsidP="00F73156">
            <w:pPr>
              <w:spacing w:after="100"/>
              <w:jc w:val="center"/>
              <w:rPr>
                <w:rFonts w:ascii="Arial" w:hAnsi="Arial" w:cs="Arial"/>
                <w:sz w:val="22"/>
                <w:szCs w:val="22"/>
                <w:lang w:val="en-GB"/>
              </w:rPr>
            </w:pPr>
            <w:r w:rsidRPr="00E4265B">
              <w:rPr>
                <w:rFonts w:ascii="Arial" w:hAnsi="Arial" w:cs="Arial"/>
                <w:sz w:val="22"/>
                <w:szCs w:val="22"/>
                <w:lang w:val="en-GB"/>
              </w:rPr>
              <w:t>0%</w:t>
            </w:r>
          </w:p>
        </w:tc>
        <w:tc>
          <w:tcPr>
            <w:tcW w:w="2565" w:type="dxa"/>
            <w:vMerge/>
          </w:tcPr>
          <w:p w14:paraId="1515423C" w14:textId="77777777" w:rsidR="00E22FF2" w:rsidRPr="00E4265B" w:rsidRDefault="00E22FF2" w:rsidP="00F73156">
            <w:pPr>
              <w:spacing w:after="100"/>
              <w:jc w:val="center"/>
              <w:rPr>
                <w:rFonts w:ascii="Arial" w:hAnsi="Arial" w:cs="Arial"/>
                <w:sz w:val="22"/>
                <w:szCs w:val="22"/>
                <w:lang w:val="en-GB"/>
              </w:rPr>
            </w:pPr>
          </w:p>
        </w:tc>
      </w:tr>
      <w:tr w:rsidR="00E22FF2" w:rsidRPr="00E4265B" w14:paraId="1C83EB17" w14:textId="77777777" w:rsidTr="00F73156">
        <w:tc>
          <w:tcPr>
            <w:tcW w:w="3240" w:type="dxa"/>
          </w:tcPr>
          <w:p w14:paraId="264D9DC0" w14:textId="77777777" w:rsidR="00E22FF2" w:rsidRPr="00E4265B" w:rsidRDefault="00E22FF2" w:rsidP="00F73156">
            <w:pPr>
              <w:spacing w:after="100"/>
              <w:rPr>
                <w:rFonts w:ascii="Arial" w:hAnsi="Arial" w:cs="Arial"/>
                <w:sz w:val="22"/>
                <w:szCs w:val="22"/>
                <w:lang w:val="en-GB"/>
              </w:rPr>
            </w:pPr>
            <w:r w:rsidRPr="00E4265B">
              <w:rPr>
                <w:rFonts w:ascii="Arial" w:hAnsi="Arial" w:cs="Arial"/>
                <w:sz w:val="22"/>
                <w:szCs w:val="22"/>
                <w:lang w:val="en-GB"/>
              </w:rPr>
              <w:t>&lt;133.33% to 100% of trapping point</w:t>
            </w:r>
          </w:p>
        </w:tc>
        <w:tc>
          <w:tcPr>
            <w:tcW w:w="2430" w:type="dxa"/>
          </w:tcPr>
          <w:p w14:paraId="0AA9A825" w14:textId="77777777" w:rsidR="00E22FF2" w:rsidRPr="00E4265B" w:rsidRDefault="00E22FF2" w:rsidP="00F73156">
            <w:pPr>
              <w:spacing w:after="100"/>
              <w:jc w:val="center"/>
              <w:rPr>
                <w:rFonts w:ascii="Arial" w:hAnsi="Arial" w:cs="Arial"/>
                <w:sz w:val="22"/>
                <w:szCs w:val="22"/>
                <w:lang w:val="en-GB"/>
              </w:rPr>
            </w:pPr>
            <w:r w:rsidRPr="00E4265B">
              <w:rPr>
                <w:rFonts w:ascii="Arial" w:hAnsi="Arial" w:cs="Arial"/>
                <w:sz w:val="22"/>
                <w:szCs w:val="22"/>
                <w:lang w:val="en-GB"/>
              </w:rPr>
              <w:t>5%</w:t>
            </w:r>
          </w:p>
        </w:tc>
        <w:tc>
          <w:tcPr>
            <w:tcW w:w="2565" w:type="dxa"/>
            <w:vMerge/>
          </w:tcPr>
          <w:p w14:paraId="29A43B4E" w14:textId="77777777" w:rsidR="00E22FF2" w:rsidRPr="00E4265B" w:rsidRDefault="00E22FF2" w:rsidP="00F73156">
            <w:pPr>
              <w:spacing w:after="100"/>
              <w:jc w:val="center"/>
              <w:rPr>
                <w:rFonts w:ascii="Arial" w:hAnsi="Arial" w:cs="Arial"/>
                <w:sz w:val="22"/>
                <w:szCs w:val="22"/>
                <w:lang w:val="en-GB"/>
              </w:rPr>
            </w:pPr>
          </w:p>
        </w:tc>
      </w:tr>
      <w:tr w:rsidR="00E22FF2" w:rsidRPr="00E4265B" w14:paraId="1755AE11" w14:textId="77777777" w:rsidTr="00F73156">
        <w:tc>
          <w:tcPr>
            <w:tcW w:w="3240" w:type="dxa"/>
          </w:tcPr>
          <w:p w14:paraId="0BDE9D56" w14:textId="77777777" w:rsidR="00E22FF2" w:rsidRPr="00E4265B" w:rsidRDefault="00E22FF2" w:rsidP="00F73156">
            <w:pPr>
              <w:spacing w:after="100"/>
              <w:rPr>
                <w:rFonts w:ascii="Arial" w:hAnsi="Arial" w:cs="Arial"/>
                <w:sz w:val="22"/>
                <w:szCs w:val="22"/>
                <w:lang w:val="en-GB"/>
              </w:rPr>
            </w:pPr>
            <w:r w:rsidRPr="00E4265B">
              <w:rPr>
                <w:rFonts w:ascii="Arial" w:hAnsi="Arial" w:cs="Arial"/>
                <w:sz w:val="22"/>
                <w:szCs w:val="22"/>
                <w:lang w:val="en-GB"/>
              </w:rPr>
              <w:lastRenderedPageBreak/>
              <w:t>&lt;100% to 75% of trapping point</w:t>
            </w:r>
          </w:p>
        </w:tc>
        <w:tc>
          <w:tcPr>
            <w:tcW w:w="2430" w:type="dxa"/>
          </w:tcPr>
          <w:p w14:paraId="7646A6C2" w14:textId="77777777" w:rsidR="00E22FF2" w:rsidRPr="00E4265B" w:rsidRDefault="00E22FF2" w:rsidP="00F73156">
            <w:pPr>
              <w:spacing w:after="100"/>
              <w:jc w:val="center"/>
              <w:rPr>
                <w:rFonts w:ascii="Arial" w:hAnsi="Arial" w:cs="Arial"/>
                <w:sz w:val="22"/>
                <w:szCs w:val="22"/>
                <w:lang w:val="en-GB"/>
              </w:rPr>
            </w:pPr>
            <w:r w:rsidRPr="00E4265B">
              <w:rPr>
                <w:rFonts w:ascii="Arial" w:hAnsi="Arial" w:cs="Arial"/>
                <w:sz w:val="22"/>
                <w:szCs w:val="22"/>
                <w:lang w:val="en-GB"/>
              </w:rPr>
              <w:t>15%</w:t>
            </w:r>
          </w:p>
        </w:tc>
        <w:tc>
          <w:tcPr>
            <w:tcW w:w="2565" w:type="dxa"/>
            <w:vMerge/>
          </w:tcPr>
          <w:p w14:paraId="0F785B5D" w14:textId="77777777" w:rsidR="00E22FF2" w:rsidRPr="00E4265B" w:rsidRDefault="00E22FF2" w:rsidP="00F73156">
            <w:pPr>
              <w:spacing w:after="100"/>
              <w:jc w:val="center"/>
              <w:rPr>
                <w:rFonts w:ascii="Arial" w:hAnsi="Arial" w:cs="Arial"/>
                <w:sz w:val="22"/>
                <w:szCs w:val="22"/>
                <w:lang w:val="en-GB"/>
              </w:rPr>
            </w:pPr>
          </w:p>
        </w:tc>
      </w:tr>
      <w:tr w:rsidR="00E22FF2" w:rsidRPr="00E4265B" w14:paraId="66B4AFBB" w14:textId="77777777" w:rsidTr="00F73156">
        <w:tc>
          <w:tcPr>
            <w:tcW w:w="3240" w:type="dxa"/>
          </w:tcPr>
          <w:p w14:paraId="4D038D41" w14:textId="77777777" w:rsidR="00E22FF2" w:rsidRPr="00E4265B" w:rsidRDefault="00E22FF2" w:rsidP="00F73156">
            <w:pPr>
              <w:spacing w:after="100"/>
              <w:rPr>
                <w:rFonts w:ascii="Arial" w:hAnsi="Arial" w:cs="Arial"/>
                <w:sz w:val="22"/>
                <w:szCs w:val="22"/>
                <w:lang w:val="en-GB"/>
              </w:rPr>
            </w:pPr>
            <w:r w:rsidRPr="00E4265B">
              <w:rPr>
                <w:rFonts w:ascii="Arial" w:hAnsi="Arial" w:cs="Arial"/>
                <w:sz w:val="22"/>
                <w:szCs w:val="22"/>
                <w:lang w:val="en-GB"/>
              </w:rPr>
              <w:t>&lt;75% to 50% trapping point</w:t>
            </w:r>
          </w:p>
        </w:tc>
        <w:tc>
          <w:tcPr>
            <w:tcW w:w="2430" w:type="dxa"/>
          </w:tcPr>
          <w:p w14:paraId="1C4ED09B" w14:textId="77777777" w:rsidR="00E22FF2" w:rsidRPr="00E4265B" w:rsidRDefault="00E22FF2" w:rsidP="00F73156">
            <w:pPr>
              <w:spacing w:after="100"/>
              <w:jc w:val="center"/>
              <w:rPr>
                <w:rFonts w:ascii="Arial" w:hAnsi="Arial" w:cs="Arial"/>
                <w:sz w:val="22"/>
                <w:szCs w:val="22"/>
                <w:lang w:val="en-GB"/>
              </w:rPr>
            </w:pPr>
            <w:r w:rsidRPr="00E4265B">
              <w:rPr>
                <w:rFonts w:ascii="Arial" w:hAnsi="Arial" w:cs="Arial"/>
                <w:sz w:val="22"/>
                <w:szCs w:val="22"/>
                <w:lang w:val="en-GB"/>
              </w:rPr>
              <w:t>50%</w:t>
            </w:r>
          </w:p>
        </w:tc>
        <w:tc>
          <w:tcPr>
            <w:tcW w:w="2565" w:type="dxa"/>
            <w:vMerge/>
          </w:tcPr>
          <w:p w14:paraId="16A5838F" w14:textId="77777777" w:rsidR="00E22FF2" w:rsidRPr="00E4265B" w:rsidRDefault="00E22FF2" w:rsidP="00F73156">
            <w:pPr>
              <w:spacing w:after="100"/>
              <w:jc w:val="center"/>
              <w:rPr>
                <w:rFonts w:ascii="Arial" w:hAnsi="Arial" w:cs="Arial"/>
                <w:sz w:val="22"/>
                <w:szCs w:val="22"/>
                <w:lang w:val="en-GB"/>
              </w:rPr>
            </w:pPr>
          </w:p>
        </w:tc>
      </w:tr>
      <w:tr w:rsidR="00E22FF2" w:rsidRPr="00E4265B" w14:paraId="2B5123E2" w14:textId="77777777" w:rsidTr="00F73156">
        <w:tc>
          <w:tcPr>
            <w:tcW w:w="3240" w:type="dxa"/>
          </w:tcPr>
          <w:p w14:paraId="3CC68E46" w14:textId="77777777" w:rsidR="00E22FF2" w:rsidRPr="00E4265B" w:rsidRDefault="00E22FF2" w:rsidP="00F73156">
            <w:pPr>
              <w:spacing w:after="100"/>
              <w:rPr>
                <w:rFonts w:ascii="Arial" w:hAnsi="Arial" w:cs="Arial"/>
                <w:sz w:val="22"/>
                <w:szCs w:val="22"/>
                <w:lang w:val="en-GB"/>
              </w:rPr>
            </w:pPr>
            <w:r w:rsidRPr="00E4265B">
              <w:rPr>
                <w:rFonts w:ascii="Arial" w:hAnsi="Arial" w:cs="Arial"/>
                <w:sz w:val="22"/>
                <w:szCs w:val="22"/>
                <w:lang w:val="en-GB"/>
              </w:rPr>
              <w:t>&lt;50% of trapping point</w:t>
            </w:r>
          </w:p>
        </w:tc>
        <w:tc>
          <w:tcPr>
            <w:tcW w:w="2430" w:type="dxa"/>
          </w:tcPr>
          <w:p w14:paraId="284CD824" w14:textId="77777777" w:rsidR="00E22FF2" w:rsidRPr="00E4265B" w:rsidRDefault="00E22FF2" w:rsidP="00F73156">
            <w:pPr>
              <w:spacing w:after="100"/>
              <w:jc w:val="center"/>
              <w:rPr>
                <w:rFonts w:ascii="Arial" w:hAnsi="Arial" w:cs="Arial"/>
                <w:sz w:val="22"/>
                <w:szCs w:val="22"/>
                <w:lang w:val="en-GB"/>
              </w:rPr>
            </w:pPr>
            <w:r w:rsidRPr="00E4265B">
              <w:rPr>
                <w:rFonts w:ascii="Arial" w:hAnsi="Arial" w:cs="Arial"/>
                <w:sz w:val="22"/>
                <w:szCs w:val="22"/>
                <w:lang w:val="en-GB"/>
              </w:rPr>
              <w:t>100%</w:t>
            </w:r>
          </w:p>
        </w:tc>
        <w:tc>
          <w:tcPr>
            <w:tcW w:w="2565" w:type="dxa"/>
            <w:vMerge/>
          </w:tcPr>
          <w:p w14:paraId="270CA636" w14:textId="77777777" w:rsidR="00E22FF2" w:rsidRPr="00E4265B" w:rsidRDefault="00E22FF2" w:rsidP="00F73156">
            <w:pPr>
              <w:spacing w:after="100"/>
              <w:jc w:val="center"/>
              <w:rPr>
                <w:rFonts w:ascii="Arial" w:hAnsi="Arial" w:cs="Arial"/>
                <w:sz w:val="22"/>
                <w:szCs w:val="22"/>
                <w:lang w:val="en-GB"/>
              </w:rPr>
            </w:pPr>
          </w:p>
        </w:tc>
      </w:tr>
      <w:tr w:rsidR="00E22FF2" w:rsidRPr="00E4265B" w14:paraId="481B986D" w14:textId="77777777" w:rsidTr="00F73156">
        <w:tc>
          <w:tcPr>
            <w:tcW w:w="3240" w:type="dxa"/>
          </w:tcPr>
          <w:p w14:paraId="62DA6CC4" w14:textId="77777777" w:rsidR="00E22FF2" w:rsidRPr="00E4265B" w:rsidRDefault="00E22FF2" w:rsidP="00F73156">
            <w:pPr>
              <w:spacing w:after="100"/>
              <w:rPr>
                <w:rFonts w:ascii="Arial" w:eastAsia="Arial" w:hAnsi="Arial" w:cs="Arial"/>
                <w:b/>
                <w:sz w:val="22"/>
                <w:szCs w:val="22"/>
                <w:lang w:val="en-GB"/>
              </w:rPr>
            </w:pPr>
            <w:r w:rsidRPr="00E4265B">
              <w:rPr>
                <w:rFonts w:ascii="Arial" w:hAnsi="Arial" w:cs="Arial"/>
                <w:b/>
                <w:sz w:val="22"/>
                <w:szCs w:val="22"/>
                <w:lang w:val="en-GB"/>
              </w:rPr>
              <w:t>Non</w:t>
            </w:r>
            <w:r w:rsidRPr="00E4265B">
              <w:rPr>
                <w:rFonts w:ascii="Arial" w:hAnsi="Arial" w:cs="Arial"/>
                <w:b/>
                <w:sz w:val="22"/>
                <w:szCs w:val="22"/>
                <w:lang w:val="en-GB"/>
              </w:rPr>
              <w:noBreakHyphen/>
              <w:t>retail credit lines</w:t>
            </w:r>
          </w:p>
        </w:tc>
        <w:tc>
          <w:tcPr>
            <w:tcW w:w="2430" w:type="dxa"/>
          </w:tcPr>
          <w:p w14:paraId="708B88F8" w14:textId="77777777" w:rsidR="00E22FF2" w:rsidRPr="00E4265B" w:rsidRDefault="00E22FF2" w:rsidP="00F73156">
            <w:pPr>
              <w:spacing w:after="100"/>
              <w:jc w:val="center"/>
              <w:rPr>
                <w:rFonts w:ascii="Arial" w:eastAsia="Arial" w:hAnsi="Arial" w:cs="Arial"/>
                <w:b/>
                <w:sz w:val="22"/>
                <w:szCs w:val="22"/>
                <w:lang w:val="en-GB"/>
              </w:rPr>
            </w:pPr>
            <w:r w:rsidRPr="00E4265B">
              <w:rPr>
                <w:rFonts w:ascii="Arial" w:hAnsi="Arial" w:cs="Arial"/>
                <w:b/>
                <w:sz w:val="22"/>
                <w:szCs w:val="22"/>
                <w:lang w:val="en-GB"/>
              </w:rPr>
              <w:t>100%</w:t>
            </w:r>
          </w:p>
        </w:tc>
        <w:tc>
          <w:tcPr>
            <w:tcW w:w="2565" w:type="dxa"/>
          </w:tcPr>
          <w:p w14:paraId="34129645" w14:textId="77777777" w:rsidR="00E22FF2" w:rsidRPr="00E4265B" w:rsidRDefault="00E22FF2" w:rsidP="00F73156">
            <w:pPr>
              <w:spacing w:after="100"/>
              <w:jc w:val="center"/>
              <w:rPr>
                <w:rFonts w:ascii="Arial" w:hAnsi="Arial" w:cs="Arial"/>
                <w:b/>
                <w:sz w:val="22"/>
                <w:szCs w:val="22"/>
                <w:lang w:val="en-GB"/>
              </w:rPr>
            </w:pPr>
            <w:r w:rsidRPr="00E4265B">
              <w:rPr>
                <w:rFonts w:ascii="Arial" w:hAnsi="Arial" w:cs="Arial"/>
                <w:b/>
                <w:sz w:val="22"/>
                <w:szCs w:val="22"/>
                <w:lang w:val="en-GB"/>
              </w:rPr>
              <w:t>100%</w:t>
            </w:r>
          </w:p>
        </w:tc>
      </w:tr>
    </w:tbl>
    <w:p w14:paraId="65B372C0" w14:textId="77777777" w:rsidR="00E22FF2" w:rsidRPr="00E4265B" w:rsidRDefault="00E22FF2" w:rsidP="00F73156">
      <w:pPr>
        <w:rPr>
          <w:rFonts w:ascii="Arial" w:hAnsi="Arial" w:cs="Arial"/>
          <w:sz w:val="22"/>
          <w:szCs w:val="22"/>
          <w:lang w:val="en-GB"/>
        </w:rPr>
      </w:pPr>
    </w:p>
    <w:p w14:paraId="304611D5" w14:textId="77777777" w:rsidR="00E22FF2" w:rsidRPr="00E4265B" w:rsidRDefault="00E22FF2" w:rsidP="00F73156">
      <w:pPr>
        <w:pStyle w:val="TitleL5"/>
        <w:rPr>
          <w:rFonts w:ascii="Arial" w:hAnsi="Arial" w:cs="Arial"/>
          <w:sz w:val="22"/>
          <w:szCs w:val="22"/>
          <w:lang w:val="en-GB"/>
        </w:rPr>
      </w:pPr>
      <w:r w:rsidRPr="00E4265B">
        <w:rPr>
          <w:rFonts w:ascii="Arial" w:hAnsi="Arial" w:cs="Arial"/>
          <w:sz w:val="22"/>
          <w:szCs w:val="22"/>
          <w:lang w:val="en-GB"/>
        </w:rPr>
        <w:t>Transfers to Special Purpose Entities (SPEs)</w:t>
      </w:r>
    </w:p>
    <w:p w14:paraId="0B26E94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need not include in its calculation of Capital Resources or Credit RWA amounts, assets transferred to:</w:t>
      </w:r>
    </w:p>
    <w:p w14:paraId="6ED10F6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an SPE; or</w:t>
      </w:r>
    </w:p>
    <w:p w14:paraId="6548D9D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any Person, if the transfer is in connection with a securitisation under which the Issuer of the </w:t>
      </w:r>
      <w:r w:rsidR="00877CEA" w:rsidRPr="00E4265B">
        <w:rPr>
          <w:rFonts w:ascii="Arial" w:hAnsi="Arial" w:cs="Arial"/>
          <w:sz w:val="22"/>
          <w:szCs w:val="22"/>
        </w:rPr>
        <w:t>Securities</w:t>
      </w:r>
      <w:r w:rsidRPr="00E4265B">
        <w:rPr>
          <w:rFonts w:ascii="Arial" w:hAnsi="Arial" w:cs="Arial"/>
          <w:sz w:val="22"/>
          <w:szCs w:val="22"/>
        </w:rPr>
        <w:t xml:space="preserve"> is an SPE</w:t>
      </w:r>
      <w:r w:rsidR="00FE30D6" w:rsidRPr="00E4265B">
        <w:rPr>
          <w:rFonts w:ascii="Arial" w:hAnsi="Arial" w:cs="Arial"/>
          <w:sz w:val="22"/>
          <w:szCs w:val="22"/>
        </w:rPr>
        <w:t>,</w:t>
      </w:r>
    </w:p>
    <w:p w14:paraId="36DA6EB7" w14:textId="77777777" w:rsidR="00E22FF2" w:rsidRPr="00E4265B" w:rsidRDefault="00E22FF2" w:rsidP="00F73156">
      <w:pPr>
        <w:pStyle w:val="UK12Block05"/>
        <w:rPr>
          <w:rFonts w:ascii="Arial" w:hAnsi="Arial" w:cs="Arial"/>
          <w:sz w:val="22"/>
          <w:szCs w:val="22"/>
          <w:lang w:val="en-GB"/>
        </w:rPr>
      </w:pPr>
      <w:r w:rsidRPr="00E4265B">
        <w:rPr>
          <w:rFonts w:ascii="Arial" w:hAnsi="Arial" w:cs="Arial"/>
          <w:sz w:val="22"/>
          <w:szCs w:val="22"/>
          <w:lang w:val="en-GB"/>
        </w:rPr>
        <w:t>provided that:</w:t>
      </w:r>
    </w:p>
    <w:p w14:paraId="74D6393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does not own any </w:t>
      </w:r>
      <w:r w:rsidR="00202EF6" w:rsidRPr="00E4265B">
        <w:rPr>
          <w:rFonts w:ascii="Arial" w:hAnsi="Arial" w:cs="Arial"/>
          <w:sz w:val="22"/>
          <w:szCs w:val="22"/>
        </w:rPr>
        <w:t>Share</w:t>
      </w:r>
      <w:r w:rsidRPr="00E4265B">
        <w:rPr>
          <w:rFonts w:ascii="Arial" w:hAnsi="Arial" w:cs="Arial"/>
          <w:sz w:val="22"/>
          <w:szCs w:val="22"/>
        </w:rPr>
        <w:t xml:space="preserve"> or proprietary interest in the SPE;</w:t>
      </w:r>
    </w:p>
    <w:p w14:paraId="595F0CC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no more than one member of the Governing Body of the SPE is an officer, </w:t>
      </w:r>
      <w:r w:rsidR="00BC49E0" w:rsidRPr="00E4265B">
        <w:rPr>
          <w:rFonts w:ascii="Arial" w:hAnsi="Arial" w:cs="Arial"/>
          <w:sz w:val="22"/>
          <w:szCs w:val="22"/>
        </w:rPr>
        <w:t>Partner</w:t>
      </w:r>
      <w:r w:rsidRPr="00E4265B">
        <w:rPr>
          <w:rFonts w:ascii="Arial" w:hAnsi="Arial" w:cs="Arial"/>
          <w:sz w:val="22"/>
          <w:szCs w:val="22"/>
        </w:rPr>
        <w:t xml:space="preserve">, or Employee of the </w:t>
      </w:r>
      <w:r w:rsidR="000D1A90" w:rsidRPr="00E4265B">
        <w:rPr>
          <w:rFonts w:ascii="Arial" w:hAnsi="Arial" w:cs="Arial"/>
          <w:sz w:val="22"/>
          <w:szCs w:val="22"/>
        </w:rPr>
        <w:t>Authorised Person</w:t>
      </w:r>
      <w:r w:rsidRPr="00E4265B">
        <w:rPr>
          <w:rFonts w:ascii="Arial" w:hAnsi="Arial" w:cs="Arial"/>
          <w:sz w:val="22"/>
          <w:szCs w:val="22"/>
        </w:rPr>
        <w:t>;</w:t>
      </w:r>
    </w:p>
    <w:p w14:paraId="2E797DD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SPE does not have a name that implies any connection with the </w:t>
      </w:r>
      <w:r w:rsidR="000D1A90" w:rsidRPr="00E4265B">
        <w:rPr>
          <w:rFonts w:ascii="Arial" w:hAnsi="Arial" w:cs="Arial"/>
          <w:sz w:val="22"/>
          <w:szCs w:val="22"/>
        </w:rPr>
        <w:t>Authorised Person</w:t>
      </w:r>
      <w:r w:rsidRPr="00E4265B">
        <w:rPr>
          <w:rFonts w:ascii="Arial" w:hAnsi="Arial" w:cs="Arial"/>
          <w:sz w:val="22"/>
          <w:szCs w:val="22"/>
        </w:rPr>
        <w:t xml:space="preserve"> or any other member of the </w:t>
      </w:r>
      <w:r w:rsidR="000D1A90" w:rsidRPr="00E4265B">
        <w:rPr>
          <w:rFonts w:ascii="Arial" w:hAnsi="Arial" w:cs="Arial"/>
          <w:sz w:val="22"/>
          <w:szCs w:val="22"/>
        </w:rPr>
        <w:t>Authorised Person</w:t>
      </w:r>
      <w:r w:rsidRPr="00E4265B">
        <w:rPr>
          <w:rFonts w:ascii="Arial" w:hAnsi="Arial" w:cs="Arial"/>
          <w:sz w:val="22"/>
          <w:szCs w:val="22"/>
        </w:rPr>
        <w:t>'s Group;</w:t>
      </w:r>
    </w:p>
    <w:p w14:paraId="05DC80C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does not fund the SPE except where permitted under the requirements for Credit Enhancement below;</w:t>
      </w:r>
    </w:p>
    <w:p w14:paraId="7744776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does not provide temporary finance to the SPE to cover cash shortfalls arising from delayed payments or non</w:t>
      </w:r>
      <w:r w:rsidRPr="00E4265B">
        <w:rPr>
          <w:rFonts w:ascii="Arial" w:hAnsi="Arial" w:cs="Arial"/>
          <w:sz w:val="22"/>
          <w:szCs w:val="22"/>
        </w:rPr>
        <w:noBreakHyphen/>
        <w:t>performance of loans transferred except where it meets the requirements for liquidity support below;</w:t>
      </w:r>
    </w:p>
    <w:p w14:paraId="18A59DF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does not bear any of the recurring expenses of the SPE; and</w:t>
      </w:r>
    </w:p>
    <w:p w14:paraId="24A99D7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any agreements between the </w:t>
      </w:r>
      <w:r w:rsidR="000D1A90" w:rsidRPr="00E4265B">
        <w:rPr>
          <w:rFonts w:ascii="Arial" w:hAnsi="Arial" w:cs="Arial"/>
          <w:sz w:val="22"/>
          <w:szCs w:val="22"/>
        </w:rPr>
        <w:t>Authorised Person</w:t>
      </w:r>
      <w:r w:rsidRPr="00E4265B">
        <w:rPr>
          <w:rFonts w:ascii="Arial" w:hAnsi="Arial" w:cs="Arial"/>
          <w:sz w:val="22"/>
          <w:szCs w:val="22"/>
        </w:rPr>
        <w:t xml:space="preserve"> and the SPE are at market rates and at arm's length.</w:t>
      </w:r>
    </w:p>
    <w:p w14:paraId="1A09BEF0"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Where an Originator acts as Underwriter for the </w:t>
      </w:r>
      <w:r w:rsidR="00877CEA" w:rsidRPr="00E4265B">
        <w:rPr>
          <w:rFonts w:ascii="Arial" w:hAnsi="Arial" w:cs="Arial"/>
          <w:sz w:val="22"/>
          <w:szCs w:val="22"/>
        </w:rPr>
        <w:t>Securities</w:t>
      </w:r>
      <w:r w:rsidRPr="00E4265B">
        <w:rPr>
          <w:rFonts w:ascii="Arial" w:hAnsi="Arial" w:cs="Arial"/>
          <w:sz w:val="22"/>
          <w:szCs w:val="22"/>
        </w:rPr>
        <w:t xml:space="preserve"> issued, the underlying items will not be regarded as being transferred until 90% of the total issuance has been sold to third parties.</w:t>
      </w:r>
    </w:p>
    <w:p w14:paraId="02EEAA39" w14:textId="77777777" w:rsidR="00E22FF2" w:rsidRPr="00E4265B" w:rsidRDefault="00E22FF2" w:rsidP="00F73156">
      <w:pPr>
        <w:pStyle w:val="TitleL5"/>
        <w:rPr>
          <w:rFonts w:ascii="Arial" w:hAnsi="Arial" w:cs="Arial"/>
          <w:sz w:val="22"/>
          <w:szCs w:val="22"/>
          <w:lang w:val="en-GB"/>
        </w:rPr>
      </w:pPr>
      <w:r w:rsidRPr="00E4265B">
        <w:rPr>
          <w:rFonts w:ascii="Arial" w:hAnsi="Arial" w:cs="Arial"/>
          <w:sz w:val="22"/>
          <w:szCs w:val="22"/>
          <w:lang w:val="en-GB"/>
        </w:rPr>
        <w:t>Dealing</w:t>
      </w:r>
    </w:p>
    <w:p w14:paraId="1905068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Originator dealing in </w:t>
      </w:r>
      <w:r w:rsidR="00877CEA" w:rsidRPr="00E4265B">
        <w:rPr>
          <w:rFonts w:ascii="Arial" w:hAnsi="Arial" w:cs="Arial"/>
          <w:sz w:val="22"/>
          <w:szCs w:val="22"/>
        </w:rPr>
        <w:t>Securities</w:t>
      </w:r>
      <w:r w:rsidRPr="00E4265B">
        <w:rPr>
          <w:rFonts w:ascii="Arial" w:hAnsi="Arial" w:cs="Arial"/>
          <w:sz w:val="22"/>
          <w:szCs w:val="22"/>
        </w:rPr>
        <w:t xml:space="preserve"> which would attract a Credit Quality Grade of 4 or better and issued by an SPE must deduct any holdings in such </w:t>
      </w:r>
      <w:r w:rsidR="00877CEA" w:rsidRPr="00E4265B">
        <w:rPr>
          <w:rFonts w:ascii="Arial" w:hAnsi="Arial" w:cs="Arial"/>
          <w:sz w:val="22"/>
          <w:szCs w:val="22"/>
        </w:rPr>
        <w:t>Securities</w:t>
      </w:r>
      <w:r w:rsidRPr="00E4265B">
        <w:rPr>
          <w:rFonts w:ascii="Arial" w:hAnsi="Arial" w:cs="Arial"/>
          <w:sz w:val="22"/>
          <w:szCs w:val="22"/>
        </w:rPr>
        <w:t xml:space="preserve"> from its CET1 Capital unless the holding is subject to:</w:t>
      </w:r>
    </w:p>
    <w:p w14:paraId="70D931C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lastRenderedPageBreak/>
        <w:t xml:space="preserve">an ongoing limit of 3% of the </w:t>
      </w:r>
      <w:r w:rsidR="00877CEA" w:rsidRPr="00E4265B">
        <w:rPr>
          <w:rFonts w:ascii="Arial" w:hAnsi="Arial" w:cs="Arial"/>
          <w:sz w:val="22"/>
          <w:szCs w:val="22"/>
        </w:rPr>
        <w:t>Securities</w:t>
      </w:r>
      <w:r w:rsidRPr="00E4265B">
        <w:rPr>
          <w:rFonts w:ascii="Arial" w:hAnsi="Arial" w:cs="Arial"/>
          <w:sz w:val="22"/>
          <w:szCs w:val="22"/>
        </w:rPr>
        <w:t xml:space="preserve"> issued; and</w:t>
      </w:r>
    </w:p>
    <w:p w14:paraId="5756A47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 limit of 10% of the </w:t>
      </w:r>
      <w:r w:rsidR="00877CEA" w:rsidRPr="00E4265B">
        <w:rPr>
          <w:rFonts w:ascii="Arial" w:hAnsi="Arial" w:cs="Arial"/>
          <w:sz w:val="22"/>
          <w:szCs w:val="22"/>
        </w:rPr>
        <w:t>Securities</w:t>
      </w:r>
      <w:r w:rsidRPr="00E4265B">
        <w:rPr>
          <w:rFonts w:ascii="Arial" w:hAnsi="Arial" w:cs="Arial"/>
          <w:sz w:val="22"/>
          <w:szCs w:val="22"/>
        </w:rPr>
        <w:t xml:space="preserve"> issued for a period of five business days:</w:t>
      </w:r>
    </w:p>
    <w:p w14:paraId="31F10E20"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immediately following close of the transaction; or</w:t>
      </w:r>
    </w:p>
    <w:p w14:paraId="07B7BCBE"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in the case of Revolving Securitisations only, at the beginning of the scheduled amortisation period.</w:t>
      </w:r>
    </w:p>
    <w:p w14:paraId="2ED073B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acting as the Originator and holding in excess of the dealing limits in Rule 4.14.65 must either:</w:t>
      </w:r>
    </w:p>
    <w:p w14:paraId="0DF3A07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where the holding is less than 10%, deduct from its CET1 Capital the excess over the dealing limit; or</w:t>
      </w:r>
    </w:p>
    <w:p w14:paraId="565F305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where the holding is greater than 10%, regard the transferred risks associated with the items as being back on its balance sheet.</w:t>
      </w:r>
    </w:p>
    <w:p w14:paraId="1CCF8920"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acting as the Originator must not deal in the </w:t>
      </w:r>
      <w:r w:rsidR="00877CEA" w:rsidRPr="00E4265B">
        <w:rPr>
          <w:rFonts w:ascii="Arial" w:hAnsi="Arial" w:cs="Arial"/>
          <w:sz w:val="22"/>
          <w:szCs w:val="22"/>
        </w:rPr>
        <w:t>Securities</w:t>
      </w:r>
      <w:r w:rsidRPr="00E4265B">
        <w:rPr>
          <w:rFonts w:ascii="Arial" w:hAnsi="Arial" w:cs="Arial"/>
          <w:sz w:val="22"/>
          <w:szCs w:val="22"/>
        </w:rPr>
        <w:t xml:space="preserve"> during the amortisation period.</w:t>
      </w:r>
    </w:p>
    <w:p w14:paraId="60CC579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acting as the Sponsor dealing in the </w:t>
      </w:r>
      <w:r w:rsidR="00877CEA" w:rsidRPr="00E4265B">
        <w:rPr>
          <w:rFonts w:ascii="Arial" w:hAnsi="Arial" w:cs="Arial"/>
          <w:sz w:val="22"/>
          <w:szCs w:val="22"/>
        </w:rPr>
        <w:t>Securities</w:t>
      </w:r>
      <w:r w:rsidRPr="00E4265B">
        <w:rPr>
          <w:rFonts w:ascii="Arial" w:hAnsi="Arial" w:cs="Arial"/>
          <w:sz w:val="22"/>
          <w:szCs w:val="22"/>
        </w:rPr>
        <w:t xml:space="preserve"> issued by the SPE must include these </w:t>
      </w:r>
      <w:r w:rsidR="00877CEA" w:rsidRPr="00E4265B">
        <w:rPr>
          <w:rFonts w:ascii="Arial" w:hAnsi="Arial" w:cs="Arial"/>
          <w:sz w:val="22"/>
          <w:szCs w:val="22"/>
        </w:rPr>
        <w:t>Securities</w:t>
      </w:r>
      <w:r w:rsidRPr="00E4265B">
        <w:rPr>
          <w:rFonts w:ascii="Arial" w:hAnsi="Arial" w:cs="Arial"/>
          <w:sz w:val="22"/>
          <w:szCs w:val="22"/>
        </w:rPr>
        <w:t xml:space="preserve"> in the calculation of its Credit RWAs.</w:t>
      </w:r>
    </w:p>
    <w:p w14:paraId="1A48C97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involved in Synthetic Securitisations must seek individual guidance on a case</w:t>
      </w:r>
      <w:r w:rsidRPr="00E4265B">
        <w:rPr>
          <w:rFonts w:ascii="Arial" w:hAnsi="Arial" w:cs="Arial"/>
          <w:sz w:val="22"/>
          <w:szCs w:val="22"/>
        </w:rPr>
        <w:noBreakHyphen/>
        <w:t>by</w:t>
      </w:r>
      <w:r w:rsidRPr="00E4265B">
        <w:rPr>
          <w:rFonts w:ascii="Arial" w:hAnsi="Arial" w:cs="Arial"/>
          <w:sz w:val="22"/>
          <w:szCs w:val="22"/>
        </w:rPr>
        <w:noBreakHyphen/>
        <w:t xml:space="preserve">case basis from the Regulator regarding the </w:t>
      </w:r>
      <w:r w:rsidR="00DF7CAF" w:rsidRPr="00E4265B">
        <w:rPr>
          <w:rFonts w:ascii="Arial" w:hAnsi="Arial" w:cs="Arial"/>
          <w:sz w:val="22"/>
          <w:szCs w:val="22"/>
        </w:rPr>
        <w:t>regulatory capital</w:t>
      </w:r>
      <w:r w:rsidRPr="00E4265B">
        <w:rPr>
          <w:rFonts w:ascii="Arial" w:hAnsi="Arial" w:cs="Arial"/>
          <w:sz w:val="22"/>
          <w:szCs w:val="22"/>
        </w:rPr>
        <w:t xml:space="preserve"> treatment of such transactions.</w:t>
      </w:r>
    </w:p>
    <w:p w14:paraId="7566C2DB" w14:textId="77777777" w:rsidR="00E22FF2" w:rsidRPr="00E4265B" w:rsidRDefault="00E22FF2" w:rsidP="00F73156">
      <w:pPr>
        <w:pStyle w:val="TitleL5"/>
        <w:rPr>
          <w:rFonts w:ascii="Arial" w:hAnsi="Arial" w:cs="Arial"/>
          <w:sz w:val="22"/>
          <w:szCs w:val="22"/>
          <w:lang w:val="en-GB"/>
        </w:rPr>
      </w:pPr>
      <w:r w:rsidRPr="00E4265B">
        <w:rPr>
          <w:rFonts w:ascii="Arial" w:hAnsi="Arial" w:cs="Arial"/>
          <w:sz w:val="22"/>
          <w:szCs w:val="22"/>
          <w:lang w:val="en-GB"/>
        </w:rPr>
        <w:t>Recognition of eligible financial Collateral under FCSA Approach</w:t>
      </w:r>
    </w:p>
    <w:p w14:paraId="024E54D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which has taken eligible financial Collateral for an SE Exposure and is using the FCSA may recognise the effect of the eligible financial Collateral as follows:</w:t>
      </w:r>
    </w:p>
    <w:p w14:paraId="121919D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break down the SE Exposure into:</w:t>
      </w:r>
    </w:p>
    <w:p w14:paraId="68020CC0"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a collateralised portion with E equal to the latest fair market value of the eligible financial Collateral; and</w:t>
      </w:r>
    </w:p>
    <w:p w14:paraId="31B00DF3"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an uncollateralised portion whose Exposure value equals the E of the SE Exposure less the latest fair market value of the eligible financial Collateral; and</w:t>
      </w:r>
    </w:p>
    <w:p w14:paraId="4A13E1D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apply the CRW that is applicable to the eligible financial Collateral to the collateralised portion calculated in accordance with (a)(i) to calculate the Credit RWA amount of the collateralised portion as though the </w:t>
      </w:r>
      <w:r w:rsidR="000D1A90" w:rsidRPr="00E4265B">
        <w:rPr>
          <w:rFonts w:ascii="Arial" w:hAnsi="Arial" w:cs="Arial"/>
          <w:sz w:val="22"/>
          <w:szCs w:val="22"/>
        </w:rPr>
        <w:t>Authorised Person</w:t>
      </w:r>
      <w:r w:rsidRPr="00E4265B">
        <w:rPr>
          <w:rFonts w:ascii="Arial" w:hAnsi="Arial" w:cs="Arial"/>
          <w:sz w:val="22"/>
          <w:szCs w:val="22"/>
        </w:rPr>
        <w:t xml:space="preserve"> had a direct Exposure to the eligible financial Collateral; and</w:t>
      </w:r>
    </w:p>
    <w:p w14:paraId="77CBE8A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either:</w:t>
      </w:r>
    </w:p>
    <w:p w14:paraId="64A8DF3A"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apply the CRW that is applicable to the SE Exposure to the uncollateralised portion calculated in accordance with (a)(ii) to calculate the Credit RWA amount of the uncollateralised portion; or</w:t>
      </w:r>
    </w:p>
    <w:p w14:paraId="3D889374"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include the uncollateralised portion as a deduction from CET1 Capital.</w:t>
      </w:r>
    </w:p>
    <w:p w14:paraId="3B8DABBF" w14:textId="77777777" w:rsidR="00E22FF2" w:rsidRPr="00E4265B" w:rsidRDefault="00E22FF2" w:rsidP="00F73156">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450299B9" w14:textId="77777777" w:rsidR="00E22FF2" w:rsidRPr="00E4265B" w:rsidRDefault="00E22FF2" w:rsidP="00F73156">
      <w:pPr>
        <w:pStyle w:val="UK12Block05"/>
        <w:rPr>
          <w:rFonts w:ascii="Arial" w:hAnsi="Arial" w:cs="Arial"/>
          <w:sz w:val="22"/>
          <w:szCs w:val="22"/>
          <w:lang w:val="en-GB"/>
        </w:rPr>
      </w:pPr>
      <w:r w:rsidRPr="00E4265B">
        <w:rPr>
          <w:rFonts w:ascii="Arial" w:hAnsi="Arial" w:cs="Arial"/>
          <w:sz w:val="22"/>
          <w:szCs w:val="22"/>
          <w:lang w:val="en-GB"/>
        </w:rPr>
        <w:t>Collateral in the context of a SE Exposure refers to assets used to hedge the Credit Risk of a securitisation Exposure rather than the underlying Exposures of the securitisation, including Collateral pledged by an SPE.</w:t>
      </w:r>
    </w:p>
    <w:p w14:paraId="0FD03829" w14:textId="5A3D6B3B" w:rsidR="00E22FF2" w:rsidRPr="00E4265B" w:rsidRDefault="003A6C6F" w:rsidP="00246497">
      <w:pPr>
        <w:pStyle w:val="Heading3"/>
        <w:rPr>
          <w:rFonts w:ascii="Arial" w:hAnsi="Arial" w:cs="Arial"/>
          <w:sz w:val="22"/>
          <w:szCs w:val="22"/>
        </w:rPr>
      </w:pPr>
      <w:bookmarkStart w:id="435" w:name="_Toc33622414"/>
      <w:r w:rsidRPr="00E4265B">
        <w:rPr>
          <w:rFonts w:ascii="Arial" w:hAnsi="Arial" w:cs="Arial"/>
          <w:sz w:val="22"/>
          <w:szCs w:val="22"/>
        </w:rPr>
        <w:t>Large Exposures</w:t>
      </w:r>
      <w:bookmarkEnd w:id="435"/>
    </w:p>
    <w:p w14:paraId="42072A3A" w14:textId="77777777" w:rsidR="00E22FF2" w:rsidRPr="00E4265B" w:rsidRDefault="00E22FF2" w:rsidP="00F73156">
      <w:pPr>
        <w:pStyle w:val="TitleL5"/>
        <w:rPr>
          <w:rFonts w:ascii="Arial" w:hAnsi="Arial" w:cs="Arial"/>
          <w:sz w:val="22"/>
          <w:szCs w:val="22"/>
          <w:lang w:val="en-GB"/>
        </w:rPr>
      </w:pPr>
      <w:r w:rsidRPr="00E4265B">
        <w:rPr>
          <w:rFonts w:ascii="Arial" w:hAnsi="Arial" w:cs="Arial"/>
          <w:sz w:val="22"/>
          <w:szCs w:val="22"/>
          <w:lang w:val="en-GB"/>
        </w:rPr>
        <w:t>Applicability and limits</w:t>
      </w:r>
    </w:p>
    <w:p w14:paraId="27EBC8CA"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This Section applies with respect to Trading Book transactions as calculated in App2 and Non</w:t>
      </w:r>
      <w:r w:rsidRPr="00E4265B">
        <w:rPr>
          <w:rFonts w:ascii="Arial" w:hAnsi="Arial" w:cs="Arial"/>
          <w:sz w:val="22"/>
          <w:szCs w:val="22"/>
        </w:rPr>
        <w:noBreakHyphen/>
        <w:t>Trading Book transactions as calculated in Section 4.8.</w:t>
      </w:r>
    </w:p>
    <w:p w14:paraId="1B82BF6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For the purposes of this Section an Exposure that arises in the Trading Book is calculated by summing the following:</w:t>
      </w:r>
    </w:p>
    <w:p w14:paraId="01F6B4D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net positive position (long positions net of short positions) for each </w:t>
      </w:r>
      <w:r w:rsidR="00690BF6" w:rsidRPr="00E4265B">
        <w:rPr>
          <w:rFonts w:ascii="Arial" w:hAnsi="Arial" w:cs="Arial"/>
          <w:sz w:val="22"/>
          <w:szCs w:val="22"/>
        </w:rPr>
        <w:t>Financial Instrument</w:t>
      </w:r>
      <w:r w:rsidRPr="00E4265B">
        <w:rPr>
          <w:rFonts w:ascii="Arial" w:hAnsi="Arial" w:cs="Arial"/>
          <w:sz w:val="22"/>
          <w:szCs w:val="22"/>
        </w:rPr>
        <w:t xml:space="preserve"> as set out in Rules A4.11.10 to A4.11.28;</w:t>
      </w:r>
    </w:p>
    <w:p w14:paraId="708408F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firm's net Underwriting Exposures for any Counterparty; and</w:t>
      </w:r>
    </w:p>
    <w:p w14:paraId="145A12A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any other Exposures arising from transactions, agreements and contracts that would give rise to Counterparty Credit Risk.</w:t>
      </w:r>
    </w:p>
    <w:p w14:paraId="5E897BE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For the purposes of this Section an </w:t>
      </w:r>
      <w:r w:rsidR="000D1A90" w:rsidRPr="00E4265B">
        <w:rPr>
          <w:rFonts w:ascii="Arial" w:hAnsi="Arial" w:cs="Arial"/>
          <w:sz w:val="22"/>
          <w:szCs w:val="22"/>
        </w:rPr>
        <w:t>Authorised Person</w:t>
      </w:r>
      <w:r w:rsidRPr="00E4265B">
        <w:rPr>
          <w:rFonts w:ascii="Arial" w:hAnsi="Arial" w:cs="Arial"/>
          <w:sz w:val="22"/>
          <w:szCs w:val="22"/>
        </w:rPr>
        <w:t xml:space="preserve"> must:</w:t>
      </w:r>
    </w:p>
    <w:p w14:paraId="5B646AA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identify its Exposures;</w:t>
      </w:r>
    </w:p>
    <w:p w14:paraId="365D231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identify its Counterparties, including whether any are Closely Related to each other or Connected to the </w:t>
      </w:r>
      <w:r w:rsidR="000D1A90" w:rsidRPr="00E4265B">
        <w:rPr>
          <w:rFonts w:ascii="Arial" w:hAnsi="Arial" w:cs="Arial"/>
          <w:sz w:val="22"/>
          <w:szCs w:val="22"/>
        </w:rPr>
        <w:t>Authorised Person</w:t>
      </w:r>
      <w:r w:rsidRPr="00E4265B">
        <w:rPr>
          <w:rFonts w:ascii="Arial" w:hAnsi="Arial" w:cs="Arial"/>
          <w:sz w:val="22"/>
          <w:szCs w:val="22"/>
        </w:rPr>
        <w:t>;</w:t>
      </w:r>
    </w:p>
    <w:p w14:paraId="2E175A8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measure the size of its Exposures;</w:t>
      </w:r>
    </w:p>
    <w:p w14:paraId="50F8E9F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establish the value of its Exposures;</w:t>
      </w:r>
    </w:p>
    <w:p w14:paraId="7833E13F" w14:textId="21F88973" w:rsidR="00E22FF2" w:rsidRPr="00E4265B" w:rsidRDefault="00E22FF2" w:rsidP="000E6818">
      <w:pPr>
        <w:pStyle w:val="Heading5"/>
        <w:rPr>
          <w:rFonts w:ascii="Arial" w:hAnsi="Arial" w:cs="Arial"/>
          <w:sz w:val="22"/>
          <w:szCs w:val="22"/>
        </w:rPr>
      </w:pPr>
      <w:r w:rsidRPr="00E4265B">
        <w:rPr>
          <w:rFonts w:ascii="Arial" w:hAnsi="Arial" w:cs="Arial"/>
          <w:sz w:val="22"/>
          <w:szCs w:val="22"/>
        </w:rPr>
        <w:t xml:space="preserve">determine the size of its Exposures as a proportion of its </w:t>
      </w:r>
      <w:r w:rsidR="000E6818" w:rsidRPr="00E4265B">
        <w:rPr>
          <w:rFonts w:ascii="Arial" w:hAnsi="Arial" w:cs="Arial"/>
          <w:sz w:val="22"/>
          <w:szCs w:val="22"/>
        </w:rPr>
        <w:t>Tier 1</w:t>
      </w:r>
      <w:r w:rsidRPr="00E4265B">
        <w:rPr>
          <w:rFonts w:ascii="Arial" w:hAnsi="Arial" w:cs="Arial"/>
          <w:sz w:val="22"/>
          <w:szCs w:val="22"/>
        </w:rPr>
        <w:t>;</w:t>
      </w:r>
    </w:p>
    <w:p w14:paraId="7955232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identify whether it has Exposures which are subject to the requirements of Section 4.13 (CRM);</w:t>
      </w:r>
    </w:p>
    <w:p w14:paraId="52324CF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identify which, if any, of its Exposures are exempt in accordance with Section A4.11 from the limits set out in Rules 4.15.4 to 4.15.7;</w:t>
      </w:r>
    </w:p>
    <w:p w14:paraId="6EC033D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aggregate its Exposures to the same Counterparty or group of Closely Related Counterparties or group of Connected Counterparties;</w:t>
      </w:r>
    </w:p>
    <w:p w14:paraId="5E91A635" w14:textId="2971B2FD" w:rsidR="00E22FF2" w:rsidRPr="00E4265B" w:rsidRDefault="00E22FF2" w:rsidP="000E6818">
      <w:pPr>
        <w:pStyle w:val="Heading5"/>
        <w:rPr>
          <w:rFonts w:ascii="Arial" w:hAnsi="Arial" w:cs="Arial"/>
          <w:sz w:val="22"/>
          <w:szCs w:val="22"/>
        </w:rPr>
      </w:pPr>
      <w:r w:rsidRPr="00E4265B">
        <w:rPr>
          <w:rFonts w:ascii="Arial" w:hAnsi="Arial" w:cs="Arial"/>
          <w:sz w:val="22"/>
          <w:szCs w:val="22"/>
        </w:rPr>
        <w:t xml:space="preserve">monitor and control its Exposures on a daily basis within the </w:t>
      </w:r>
      <w:r w:rsidR="000E6818" w:rsidRPr="00E4265B">
        <w:rPr>
          <w:rFonts w:ascii="Arial" w:hAnsi="Arial" w:cs="Arial"/>
          <w:sz w:val="22"/>
          <w:szCs w:val="22"/>
        </w:rPr>
        <w:t>Large Exposures</w:t>
      </w:r>
      <w:r w:rsidRPr="00E4265B">
        <w:rPr>
          <w:rFonts w:ascii="Arial" w:hAnsi="Arial" w:cs="Arial"/>
          <w:sz w:val="22"/>
          <w:szCs w:val="22"/>
        </w:rPr>
        <w:t xml:space="preserve"> limits; and</w:t>
      </w:r>
    </w:p>
    <w:p w14:paraId="14A216B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notify the Regulator immediately of any breach of the limits set out in this Section and confirm it in writing.</w:t>
      </w:r>
    </w:p>
    <w:p w14:paraId="294D8388" w14:textId="5069745A" w:rsidR="00E22FF2" w:rsidRPr="00E4265B" w:rsidRDefault="00E22FF2" w:rsidP="00080B41">
      <w:pPr>
        <w:pStyle w:val="TitleL5"/>
        <w:rPr>
          <w:rFonts w:ascii="Arial" w:hAnsi="Arial" w:cs="Arial"/>
          <w:sz w:val="22"/>
          <w:szCs w:val="22"/>
          <w:lang w:val="en-GB"/>
        </w:rPr>
      </w:pPr>
      <w:r w:rsidRPr="00E4265B">
        <w:rPr>
          <w:rFonts w:ascii="Arial" w:hAnsi="Arial" w:cs="Arial"/>
          <w:sz w:val="22"/>
          <w:szCs w:val="22"/>
          <w:lang w:val="en-GB"/>
        </w:rPr>
        <w:t>Large Exposure</w:t>
      </w:r>
      <w:r w:rsidR="000E6818" w:rsidRPr="00E4265B">
        <w:rPr>
          <w:rFonts w:ascii="Arial" w:hAnsi="Arial" w:cs="Arial"/>
          <w:sz w:val="22"/>
          <w:szCs w:val="22"/>
          <w:lang w:val="en-GB"/>
        </w:rPr>
        <w:t>s</w:t>
      </w:r>
      <w:r w:rsidRPr="00E4265B">
        <w:rPr>
          <w:rFonts w:ascii="Arial" w:hAnsi="Arial" w:cs="Arial"/>
          <w:sz w:val="22"/>
          <w:szCs w:val="22"/>
          <w:lang w:val="en-GB"/>
        </w:rPr>
        <w:t xml:space="preserve"> limits</w:t>
      </w:r>
    </w:p>
    <w:p w14:paraId="1DBBBC38" w14:textId="284CED8E" w:rsidR="00E22FF2" w:rsidRPr="00E4265B" w:rsidRDefault="00E22FF2" w:rsidP="000E6818">
      <w:pPr>
        <w:pStyle w:val="Heading4"/>
        <w:rPr>
          <w:rFonts w:ascii="Arial" w:hAnsi="Arial" w:cs="Arial"/>
          <w:sz w:val="22"/>
          <w:szCs w:val="22"/>
        </w:rPr>
      </w:pPr>
      <w:r w:rsidRPr="00E4265B">
        <w:rPr>
          <w:rFonts w:ascii="Arial" w:hAnsi="Arial" w:cs="Arial"/>
          <w:sz w:val="22"/>
          <w:szCs w:val="22"/>
        </w:rPr>
        <w:t xml:space="preserve">A Large Exposure of an </w:t>
      </w:r>
      <w:r w:rsidR="000D1A90" w:rsidRPr="00E4265B">
        <w:rPr>
          <w:rFonts w:ascii="Arial" w:hAnsi="Arial" w:cs="Arial"/>
          <w:sz w:val="22"/>
          <w:szCs w:val="22"/>
        </w:rPr>
        <w:t>Authorised Person</w:t>
      </w:r>
      <w:r w:rsidRPr="00E4265B">
        <w:rPr>
          <w:rFonts w:ascii="Arial" w:hAnsi="Arial" w:cs="Arial"/>
          <w:sz w:val="22"/>
          <w:szCs w:val="22"/>
        </w:rPr>
        <w:t xml:space="preserve"> means a total Exposure which is </w:t>
      </w:r>
      <w:r w:rsidR="000E6818" w:rsidRPr="00E4265B">
        <w:rPr>
          <w:rFonts w:ascii="Arial" w:hAnsi="Arial" w:cs="Arial"/>
          <w:sz w:val="22"/>
          <w:szCs w:val="22"/>
        </w:rPr>
        <w:t xml:space="preserve">equal to or </w:t>
      </w:r>
      <w:r w:rsidRPr="00E4265B">
        <w:rPr>
          <w:rFonts w:ascii="Arial" w:hAnsi="Arial" w:cs="Arial"/>
          <w:sz w:val="22"/>
          <w:szCs w:val="22"/>
        </w:rPr>
        <w:t xml:space="preserve">greater than 10% of the firm's </w:t>
      </w:r>
      <w:r w:rsidR="000E6818" w:rsidRPr="00E4265B">
        <w:rPr>
          <w:rFonts w:ascii="Arial" w:hAnsi="Arial" w:cs="Arial"/>
          <w:sz w:val="22"/>
          <w:szCs w:val="22"/>
        </w:rPr>
        <w:t>Tier 1</w:t>
      </w:r>
      <w:r w:rsidRPr="00E4265B">
        <w:rPr>
          <w:rFonts w:ascii="Arial" w:hAnsi="Arial" w:cs="Arial"/>
          <w:sz w:val="22"/>
          <w:szCs w:val="22"/>
        </w:rPr>
        <w:t xml:space="preserve">, to any Counterparty, group of Connected </w:t>
      </w:r>
      <w:r w:rsidRPr="00E4265B">
        <w:rPr>
          <w:rFonts w:ascii="Arial" w:hAnsi="Arial" w:cs="Arial"/>
          <w:sz w:val="22"/>
          <w:szCs w:val="22"/>
        </w:rPr>
        <w:lastRenderedPageBreak/>
        <w:t xml:space="preserve">Counterparties, or group of Closely Related Counterparties, </w:t>
      </w:r>
      <w:r w:rsidR="000E6818" w:rsidRPr="00E4265B">
        <w:rPr>
          <w:rFonts w:ascii="Arial" w:hAnsi="Arial" w:cs="Arial"/>
          <w:sz w:val="22"/>
          <w:szCs w:val="22"/>
        </w:rPr>
        <w:t>aggregated across</w:t>
      </w:r>
      <w:r w:rsidRPr="00E4265B">
        <w:rPr>
          <w:rFonts w:ascii="Arial" w:hAnsi="Arial" w:cs="Arial"/>
          <w:sz w:val="22"/>
          <w:szCs w:val="22"/>
        </w:rPr>
        <w:t xml:space="preserve"> the </w:t>
      </w:r>
      <w:r w:rsidR="000D1A90" w:rsidRPr="00E4265B">
        <w:rPr>
          <w:rFonts w:ascii="Arial" w:hAnsi="Arial" w:cs="Arial"/>
          <w:sz w:val="22"/>
          <w:szCs w:val="22"/>
        </w:rPr>
        <w:t>Authorised Person</w:t>
      </w:r>
      <w:r w:rsidRPr="00E4265B">
        <w:rPr>
          <w:rFonts w:ascii="Arial" w:hAnsi="Arial" w:cs="Arial"/>
          <w:sz w:val="22"/>
          <w:szCs w:val="22"/>
        </w:rPr>
        <w:t xml:space="preserve">'s Trading Book </w:t>
      </w:r>
      <w:r w:rsidR="000E6818" w:rsidRPr="00E4265B">
        <w:rPr>
          <w:rFonts w:ascii="Arial" w:hAnsi="Arial" w:cs="Arial"/>
          <w:sz w:val="22"/>
          <w:szCs w:val="22"/>
        </w:rPr>
        <w:t>and</w:t>
      </w:r>
      <w:r w:rsidRPr="00E4265B">
        <w:rPr>
          <w:rFonts w:ascii="Arial" w:hAnsi="Arial" w:cs="Arial"/>
          <w:sz w:val="22"/>
          <w:szCs w:val="22"/>
        </w:rPr>
        <w:t xml:space="preserve"> Non</w:t>
      </w:r>
      <w:r w:rsidRPr="00E4265B">
        <w:rPr>
          <w:rFonts w:ascii="Arial" w:hAnsi="Arial" w:cs="Arial"/>
          <w:sz w:val="22"/>
          <w:szCs w:val="22"/>
        </w:rPr>
        <w:noBreakHyphen/>
        <w:t>Trading Book.</w:t>
      </w:r>
    </w:p>
    <w:p w14:paraId="46307295" w14:textId="194B6398" w:rsidR="00E22FF2" w:rsidRPr="00E4265B" w:rsidRDefault="00E22FF2" w:rsidP="000E6818">
      <w:pPr>
        <w:pStyle w:val="Heading4"/>
        <w:rPr>
          <w:rFonts w:ascii="Arial" w:hAnsi="Arial" w:cs="Arial"/>
          <w:sz w:val="22"/>
          <w:szCs w:val="22"/>
        </w:rPr>
      </w:pPr>
      <w:r w:rsidRPr="00E4265B">
        <w:rPr>
          <w:rFonts w:ascii="Arial" w:hAnsi="Arial" w:cs="Arial"/>
          <w:sz w:val="22"/>
          <w:szCs w:val="22"/>
        </w:rPr>
        <w:t xml:space="preserve">Subject to IFR Rule 5.4.15, an </w:t>
      </w:r>
      <w:r w:rsidR="000D1A90" w:rsidRPr="00E4265B">
        <w:rPr>
          <w:rFonts w:ascii="Arial" w:hAnsi="Arial" w:cs="Arial"/>
          <w:sz w:val="22"/>
          <w:szCs w:val="22"/>
        </w:rPr>
        <w:t>Authorised Person</w:t>
      </w:r>
      <w:r w:rsidRPr="00E4265B">
        <w:rPr>
          <w:rFonts w:ascii="Arial" w:hAnsi="Arial" w:cs="Arial"/>
          <w:sz w:val="22"/>
          <w:szCs w:val="22"/>
        </w:rPr>
        <w:t xml:space="preserve"> must </w:t>
      </w:r>
      <w:r w:rsidR="000E6818" w:rsidRPr="00E4265B">
        <w:rPr>
          <w:rFonts w:ascii="Arial" w:hAnsi="Arial" w:cs="Arial"/>
          <w:sz w:val="22"/>
          <w:szCs w:val="22"/>
        </w:rPr>
        <w:t>not incur any Large</w:t>
      </w:r>
      <w:r w:rsidRPr="00E4265B">
        <w:rPr>
          <w:rFonts w:ascii="Arial" w:hAnsi="Arial" w:cs="Arial"/>
          <w:sz w:val="22"/>
          <w:szCs w:val="22"/>
        </w:rPr>
        <w:t xml:space="preserve"> Exposures in its Non</w:t>
      </w:r>
      <w:r w:rsidRPr="00E4265B">
        <w:rPr>
          <w:rFonts w:ascii="Arial" w:hAnsi="Arial" w:cs="Arial"/>
          <w:sz w:val="22"/>
          <w:szCs w:val="22"/>
        </w:rPr>
        <w:noBreakHyphen/>
        <w:t xml:space="preserve">Trading Book and, subject to Rule 4.15.6, Trading Book after taking into account the effect of any eligible CRM, </w:t>
      </w:r>
      <w:r w:rsidR="000E6818" w:rsidRPr="00E4265B">
        <w:rPr>
          <w:rFonts w:ascii="Arial" w:hAnsi="Arial" w:cs="Arial"/>
          <w:sz w:val="22"/>
          <w:szCs w:val="22"/>
        </w:rPr>
        <w:t>that</w:t>
      </w:r>
      <w:r w:rsidRPr="00E4265B">
        <w:rPr>
          <w:rFonts w:ascii="Arial" w:hAnsi="Arial" w:cs="Arial"/>
          <w:sz w:val="22"/>
          <w:szCs w:val="22"/>
        </w:rPr>
        <w:t xml:space="preserve"> exceed</w:t>
      </w:r>
      <w:r w:rsidR="000E6818" w:rsidRPr="00E4265B">
        <w:rPr>
          <w:rFonts w:ascii="Arial" w:hAnsi="Arial" w:cs="Arial"/>
          <w:sz w:val="22"/>
          <w:szCs w:val="22"/>
        </w:rPr>
        <w:t>s</w:t>
      </w:r>
      <w:r w:rsidRPr="00E4265B">
        <w:rPr>
          <w:rFonts w:ascii="Arial" w:hAnsi="Arial" w:cs="Arial"/>
          <w:sz w:val="22"/>
          <w:szCs w:val="22"/>
        </w:rPr>
        <w:t xml:space="preserve"> 25% of its </w:t>
      </w:r>
      <w:r w:rsidR="000E6818" w:rsidRPr="00E4265B">
        <w:rPr>
          <w:rFonts w:ascii="Arial" w:hAnsi="Arial" w:cs="Arial"/>
          <w:sz w:val="22"/>
          <w:szCs w:val="22"/>
        </w:rPr>
        <w:t>Tier 1</w:t>
      </w:r>
      <w:r w:rsidRPr="00E4265B">
        <w:rPr>
          <w:rFonts w:ascii="Arial" w:hAnsi="Arial" w:cs="Arial"/>
          <w:sz w:val="22"/>
          <w:szCs w:val="22"/>
        </w:rPr>
        <w:t>.</w:t>
      </w:r>
    </w:p>
    <w:p w14:paraId="4BA8877C" w14:textId="2D6D9E95" w:rsidR="00E22FF2" w:rsidRPr="00E4265B" w:rsidRDefault="00E22FF2" w:rsidP="000E6818">
      <w:pPr>
        <w:pStyle w:val="Heading4"/>
        <w:rPr>
          <w:rFonts w:ascii="Arial" w:hAnsi="Arial" w:cs="Arial"/>
          <w:sz w:val="22"/>
          <w:szCs w:val="22"/>
        </w:rPr>
      </w:pPr>
      <w:r w:rsidRPr="00E4265B">
        <w:rPr>
          <w:rFonts w:ascii="Arial" w:hAnsi="Arial" w:cs="Arial"/>
          <w:sz w:val="22"/>
          <w:szCs w:val="22"/>
        </w:rPr>
        <w:t xml:space="preserve">Where </w:t>
      </w:r>
      <w:r w:rsidR="000E6818" w:rsidRPr="00E4265B">
        <w:rPr>
          <w:rFonts w:ascii="Arial" w:hAnsi="Arial" w:cs="Arial"/>
          <w:sz w:val="22"/>
          <w:szCs w:val="22"/>
        </w:rPr>
        <w:t xml:space="preserve">the portion of a Large Exposure in </w:t>
      </w: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's Trading Book on its own or when added to any Non</w:t>
      </w:r>
      <w:r w:rsidRPr="00E4265B">
        <w:rPr>
          <w:rFonts w:ascii="Arial" w:hAnsi="Arial" w:cs="Arial"/>
          <w:sz w:val="22"/>
          <w:szCs w:val="22"/>
        </w:rPr>
        <w:noBreakHyphen/>
        <w:t xml:space="preserve">Trading Book </w:t>
      </w:r>
      <w:r w:rsidR="000E6818" w:rsidRPr="00E4265B">
        <w:rPr>
          <w:rFonts w:ascii="Arial" w:hAnsi="Arial" w:cs="Arial"/>
          <w:sz w:val="22"/>
          <w:szCs w:val="22"/>
        </w:rPr>
        <w:t xml:space="preserve">portion of a Large </w:t>
      </w:r>
      <w:r w:rsidRPr="00E4265B">
        <w:rPr>
          <w:rFonts w:ascii="Arial" w:hAnsi="Arial" w:cs="Arial"/>
          <w:sz w:val="22"/>
          <w:szCs w:val="22"/>
        </w:rPr>
        <w:t xml:space="preserve">Exposure, is likely to </w:t>
      </w:r>
      <w:r w:rsidR="000E6818" w:rsidRPr="00E4265B">
        <w:rPr>
          <w:rFonts w:ascii="Arial" w:hAnsi="Arial" w:cs="Arial"/>
          <w:sz w:val="22"/>
          <w:szCs w:val="22"/>
        </w:rPr>
        <w:t xml:space="preserve">cause the </w:t>
      </w:r>
      <w:r w:rsidRPr="00E4265B">
        <w:rPr>
          <w:rFonts w:ascii="Arial" w:hAnsi="Arial" w:cs="Arial"/>
          <w:sz w:val="22"/>
          <w:szCs w:val="22"/>
        </w:rPr>
        <w:t xml:space="preserve">25% </w:t>
      </w:r>
      <w:r w:rsidR="000E6818" w:rsidRPr="00E4265B">
        <w:rPr>
          <w:rFonts w:ascii="Arial" w:hAnsi="Arial" w:cs="Arial"/>
          <w:sz w:val="22"/>
          <w:szCs w:val="22"/>
        </w:rPr>
        <w:t xml:space="preserve">limit </w:t>
      </w:r>
      <w:r w:rsidRPr="00E4265B">
        <w:rPr>
          <w:rFonts w:ascii="Arial" w:hAnsi="Arial" w:cs="Arial"/>
          <w:sz w:val="22"/>
          <w:szCs w:val="22"/>
        </w:rPr>
        <w:t xml:space="preserve">of its </w:t>
      </w:r>
      <w:r w:rsidR="000E6818" w:rsidRPr="00E4265B">
        <w:rPr>
          <w:rFonts w:ascii="Arial" w:hAnsi="Arial" w:cs="Arial"/>
          <w:sz w:val="22"/>
          <w:szCs w:val="22"/>
        </w:rPr>
        <w:t>Tier 1 to be exceeded</w:t>
      </w:r>
      <w:r w:rsidRPr="00E4265B">
        <w:rPr>
          <w:rFonts w:ascii="Arial" w:hAnsi="Arial" w:cs="Arial"/>
          <w:sz w:val="22"/>
          <w:szCs w:val="22"/>
        </w:rPr>
        <w:t xml:space="preserve">, the </w:t>
      </w:r>
      <w:r w:rsidR="000D1A90" w:rsidRPr="00E4265B">
        <w:rPr>
          <w:rFonts w:ascii="Arial" w:hAnsi="Arial" w:cs="Arial"/>
          <w:sz w:val="22"/>
          <w:szCs w:val="22"/>
        </w:rPr>
        <w:t>Authorised Person</w:t>
      </w:r>
      <w:r w:rsidRPr="00E4265B">
        <w:rPr>
          <w:rFonts w:ascii="Arial" w:hAnsi="Arial" w:cs="Arial"/>
          <w:sz w:val="22"/>
          <w:szCs w:val="22"/>
        </w:rPr>
        <w:t xml:space="preserve"> must immediately give the Regulator written notice, explaining the nature of its Trading Book Exposure and seeking specific guidance from the Regulator regarding the prudential treatment of any such Exposure.</w:t>
      </w:r>
    </w:p>
    <w:p w14:paraId="6169880D" w14:textId="766164F4" w:rsidR="000E6818" w:rsidRPr="00E4265B" w:rsidRDefault="000E6818" w:rsidP="000E6818">
      <w:pPr>
        <w:pStyle w:val="TitleL5"/>
        <w:rPr>
          <w:rFonts w:ascii="Arial" w:hAnsi="Arial" w:cs="Arial"/>
          <w:sz w:val="22"/>
          <w:szCs w:val="22"/>
          <w:lang w:val="en-GB"/>
        </w:rPr>
      </w:pPr>
      <w:r w:rsidRPr="00E4265B">
        <w:rPr>
          <w:rFonts w:ascii="Arial" w:hAnsi="Arial" w:cs="Arial"/>
          <w:sz w:val="22"/>
          <w:szCs w:val="22"/>
          <w:lang w:val="en-GB"/>
        </w:rPr>
        <w:t>Guidance</w:t>
      </w:r>
    </w:p>
    <w:p w14:paraId="04F34A07" w14:textId="3B3812B8" w:rsidR="000E6818" w:rsidRPr="00E4265B" w:rsidRDefault="000E6818" w:rsidP="000E6818">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The effect of Rules 4.15.5 and 4.15.6, when taken together, impose a binding upper limit of 25% of Tier 1 on the portion of a Large Exposure in the Non-Trading Book.</w:t>
      </w:r>
    </w:p>
    <w:p w14:paraId="046B97FB" w14:textId="77777777" w:rsidR="000E6818" w:rsidRPr="00E4265B" w:rsidRDefault="000E6818" w:rsidP="000E6818">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Where, under exceptional circumstances, the portion of the Large Exposure arising in the Trading Book causes the aggregate limit of 25% to be exceeded the Authorised Person is obliged to notify the Regulator in order to agree remedial actions to resolve the breach at the earliest opportunity.</w:t>
      </w:r>
    </w:p>
    <w:p w14:paraId="1B627338" w14:textId="2A480CD9" w:rsidR="00E22FF2" w:rsidRPr="00E4265B" w:rsidRDefault="00E22FF2" w:rsidP="000E6818">
      <w:pPr>
        <w:pStyle w:val="Heading4"/>
        <w:rPr>
          <w:rFonts w:ascii="Arial" w:hAnsi="Arial" w:cs="Arial"/>
          <w:sz w:val="22"/>
          <w:szCs w:val="22"/>
        </w:rPr>
      </w:pPr>
      <w:r w:rsidRPr="00E4265B">
        <w:rPr>
          <w:rFonts w:ascii="Arial" w:hAnsi="Arial" w:cs="Arial"/>
          <w:sz w:val="22"/>
          <w:szCs w:val="22"/>
        </w:rPr>
        <w:t xml:space="preserve">Subject to IFR Rule 5.4.16 an </w:t>
      </w:r>
      <w:r w:rsidR="000D1A90" w:rsidRPr="00E4265B">
        <w:rPr>
          <w:rFonts w:ascii="Arial" w:hAnsi="Arial" w:cs="Arial"/>
          <w:sz w:val="22"/>
          <w:szCs w:val="22"/>
        </w:rPr>
        <w:t>Authorised Person</w:t>
      </w:r>
      <w:r w:rsidRPr="00E4265B">
        <w:rPr>
          <w:rFonts w:ascii="Arial" w:hAnsi="Arial" w:cs="Arial"/>
          <w:sz w:val="22"/>
          <w:szCs w:val="22"/>
        </w:rPr>
        <w:t xml:space="preserve"> must ensure that the sum of its Large Exposures does not exceed 800% of its </w:t>
      </w:r>
      <w:r w:rsidR="000E6818" w:rsidRPr="00E4265B">
        <w:rPr>
          <w:rFonts w:ascii="Arial" w:hAnsi="Arial" w:cs="Arial"/>
          <w:sz w:val="22"/>
          <w:szCs w:val="22"/>
        </w:rPr>
        <w:t>Tier 1</w:t>
      </w:r>
      <w:r w:rsidRPr="00E4265B">
        <w:rPr>
          <w:rFonts w:ascii="Arial" w:hAnsi="Arial" w:cs="Arial"/>
          <w:sz w:val="22"/>
          <w:szCs w:val="22"/>
        </w:rPr>
        <w:t>.</w:t>
      </w:r>
    </w:p>
    <w:p w14:paraId="2AEAF6A6" w14:textId="77777777" w:rsidR="00E22FF2" w:rsidRPr="00E4265B" w:rsidRDefault="00E22FF2" w:rsidP="00080B41">
      <w:pPr>
        <w:pStyle w:val="TitleL5"/>
        <w:rPr>
          <w:rFonts w:ascii="Arial" w:hAnsi="Arial" w:cs="Arial"/>
          <w:sz w:val="22"/>
          <w:szCs w:val="22"/>
          <w:lang w:val="en-GB"/>
        </w:rPr>
      </w:pPr>
      <w:r w:rsidRPr="00E4265B">
        <w:rPr>
          <w:rFonts w:ascii="Arial" w:hAnsi="Arial" w:cs="Arial"/>
          <w:sz w:val="22"/>
          <w:szCs w:val="22"/>
          <w:lang w:val="en-GB"/>
        </w:rPr>
        <w:t>Guidance</w:t>
      </w:r>
    </w:p>
    <w:p w14:paraId="130506D7" w14:textId="77777777" w:rsidR="00E22FF2" w:rsidRPr="00E4265B" w:rsidRDefault="00E22FF2" w:rsidP="00080B41">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Exposures can arise in the Non</w:t>
      </w:r>
      <w:r w:rsidRPr="00E4265B">
        <w:rPr>
          <w:rFonts w:ascii="Arial" w:hAnsi="Arial" w:cs="Arial"/>
          <w:sz w:val="22"/>
          <w:szCs w:val="22"/>
          <w:lang w:val="en-GB"/>
        </w:rPr>
        <w:noBreakHyphen/>
        <w:t>Trading Book and in the Trading Book from Credit Risk (for example on loans and advances) Counterparty Risk (for example, on unsettled trades and on Derivative contracts) and from Issuer risk (for example, on holdings of equities and bonds).</w:t>
      </w:r>
    </w:p>
    <w:p w14:paraId="42E412FD" w14:textId="77777777" w:rsidR="00E22FF2" w:rsidRPr="00E4265B" w:rsidRDefault="00E22FF2" w:rsidP="00080B41">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Some Derivatives contracts may result in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being exposed to an Issuer as well as the Derivatives Counterparty. For example, a Derivative referenced on a </w:t>
      </w:r>
      <w:r w:rsidR="00877CEA" w:rsidRPr="00E4265B">
        <w:rPr>
          <w:rFonts w:ascii="Arial" w:hAnsi="Arial" w:cs="Arial"/>
          <w:sz w:val="22"/>
          <w:szCs w:val="22"/>
          <w:lang w:val="en-GB"/>
        </w:rPr>
        <w:t>Security</w:t>
      </w:r>
      <w:r w:rsidRPr="00E4265B">
        <w:rPr>
          <w:rFonts w:ascii="Arial" w:hAnsi="Arial" w:cs="Arial"/>
          <w:sz w:val="22"/>
          <w:szCs w:val="22"/>
          <w:lang w:val="en-GB"/>
        </w:rPr>
        <w:t xml:space="preserve"> may result in an Exposure to the Counterparty, to the transaction and to the Issuer of the underlying </w:t>
      </w:r>
      <w:r w:rsidR="00877CEA" w:rsidRPr="00E4265B">
        <w:rPr>
          <w:rFonts w:ascii="Arial" w:hAnsi="Arial" w:cs="Arial"/>
          <w:sz w:val="22"/>
          <w:szCs w:val="22"/>
          <w:lang w:val="en-GB"/>
        </w:rPr>
        <w:t>Security</w:t>
      </w:r>
      <w:r w:rsidRPr="00E4265B">
        <w:rPr>
          <w:rFonts w:ascii="Arial" w:hAnsi="Arial" w:cs="Arial"/>
          <w:sz w:val="22"/>
          <w:szCs w:val="22"/>
          <w:lang w:val="en-GB"/>
        </w:rPr>
        <w:t>.</w:t>
      </w:r>
    </w:p>
    <w:p w14:paraId="42B9462E" w14:textId="77777777" w:rsidR="00E22FF2" w:rsidRPr="00E4265B" w:rsidRDefault="00E22FF2" w:rsidP="00080B41">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Examples of an Exposure are actual or potential claims on a Counterparty including contingent liabilities arising in the normal course of an </w:t>
      </w:r>
      <w:r w:rsidR="000D1A90" w:rsidRPr="00E4265B">
        <w:rPr>
          <w:rFonts w:ascii="Arial" w:hAnsi="Arial" w:cs="Arial"/>
          <w:sz w:val="22"/>
          <w:szCs w:val="22"/>
          <w:lang w:val="en-GB"/>
        </w:rPr>
        <w:t>Authorised Person</w:t>
      </w:r>
      <w:r w:rsidRPr="00E4265B">
        <w:rPr>
          <w:rFonts w:ascii="Arial" w:hAnsi="Arial" w:cs="Arial"/>
          <w:sz w:val="22"/>
          <w:szCs w:val="22"/>
          <w:lang w:val="en-GB"/>
        </w:rPr>
        <w:t>'s business.</w:t>
      </w:r>
    </w:p>
    <w:p w14:paraId="58C63D7C" w14:textId="77777777" w:rsidR="00E22FF2" w:rsidRPr="00E4265B" w:rsidRDefault="00E22FF2" w:rsidP="00080B41">
      <w:pPr>
        <w:pStyle w:val="1List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App4 includes further Rules and Guidance on:</w:t>
      </w:r>
    </w:p>
    <w:p w14:paraId="483191AB"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fully and partially exempt Exposures, Exposures to undisclosed Counterparties, parental guarantees and capital maintenance agreements;</w:t>
      </w:r>
    </w:p>
    <w:p w14:paraId="30AE1BDF"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identification of Exposures;</w:t>
      </w:r>
    </w:p>
    <w:p w14:paraId="2270102E"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identification of Closely Related and Connected Counterparties, and exemptions for Connected Counterparties;</w:t>
      </w:r>
    </w:p>
    <w:p w14:paraId="40298A34"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lastRenderedPageBreak/>
        <w:t>d.</w:t>
      </w:r>
      <w:r w:rsidRPr="00E4265B">
        <w:rPr>
          <w:rFonts w:ascii="Arial" w:hAnsi="Arial" w:cs="Arial"/>
          <w:sz w:val="22"/>
          <w:szCs w:val="22"/>
          <w:lang w:val="en-GB"/>
        </w:rPr>
        <w:tab/>
        <w:t>measuring Exposures to Counterparties and Issuers in relation to Derivatives, equity indices, and other items; and</w:t>
      </w:r>
    </w:p>
    <w:p w14:paraId="14A7D066"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country risk Exposure.</w:t>
      </w:r>
    </w:p>
    <w:p w14:paraId="04F294ED" w14:textId="5784096A" w:rsidR="00E22FF2" w:rsidRPr="00E4265B" w:rsidRDefault="00E22FF2" w:rsidP="00080B41">
      <w:pPr>
        <w:pStyle w:val="TitleL5"/>
        <w:rPr>
          <w:rFonts w:ascii="Arial" w:hAnsi="Arial" w:cs="Arial"/>
          <w:sz w:val="22"/>
          <w:szCs w:val="22"/>
          <w:lang w:val="en-GB"/>
        </w:rPr>
      </w:pPr>
      <w:r w:rsidRPr="00E4265B">
        <w:rPr>
          <w:rFonts w:ascii="Arial" w:hAnsi="Arial" w:cs="Arial"/>
          <w:sz w:val="22"/>
          <w:szCs w:val="22"/>
          <w:lang w:val="en-GB"/>
        </w:rPr>
        <w:t>Exclusions from the Large Exposure</w:t>
      </w:r>
      <w:r w:rsidR="000E6818" w:rsidRPr="00E4265B">
        <w:rPr>
          <w:rFonts w:ascii="Arial" w:hAnsi="Arial" w:cs="Arial"/>
          <w:sz w:val="22"/>
          <w:szCs w:val="22"/>
          <w:lang w:val="en-GB"/>
        </w:rPr>
        <w:t>s</w:t>
      </w:r>
      <w:r w:rsidRPr="00E4265B">
        <w:rPr>
          <w:rFonts w:ascii="Arial" w:hAnsi="Arial" w:cs="Arial"/>
          <w:sz w:val="22"/>
          <w:szCs w:val="22"/>
          <w:lang w:val="en-GB"/>
        </w:rPr>
        <w:t xml:space="preserve"> limits</w:t>
      </w:r>
    </w:p>
    <w:p w14:paraId="6948009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For the purposes of this Section, Exposure excludes:</w:t>
      </w:r>
    </w:p>
    <w:p w14:paraId="0A4B9F6A" w14:textId="55DCDC22" w:rsidR="00E22FF2" w:rsidRPr="00E4265B" w:rsidRDefault="00E22FF2" w:rsidP="000E6818">
      <w:pPr>
        <w:pStyle w:val="aList"/>
        <w:ind w:left="2127" w:hanging="709"/>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claims and other assets required to be deducted for the purposes of calculating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w:t>
      </w:r>
      <w:r w:rsidR="000E6818" w:rsidRPr="00E4265B">
        <w:rPr>
          <w:rFonts w:ascii="Arial" w:hAnsi="Arial" w:cs="Arial"/>
          <w:sz w:val="22"/>
          <w:szCs w:val="22"/>
          <w:lang w:val="en-GB"/>
        </w:rPr>
        <w:t>Tier 1</w:t>
      </w:r>
      <w:r w:rsidRPr="00E4265B">
        <w:rPr>
          <w:rFonts w:ascii="Arial" w:hAnsi="Arial" w:cs="Arial"/>
          <w:sz w:val="22"/>
          <w:szCs w:val="22"/>
          <w:lang w:val="en-GB"/>
        </w:rPr>
        <w:t>;</w:t>
      </w:r>
    </w:p>
    <w:p w14:paraId="122F50F8" w14:textId="77777777" w:rsidR="00E22FF2" w:rsidRPr="00E4265B" w:rsidRDefault="00E22FF2" w:rsidP="000E6818">
      <w:pPr>
        <w:pStyle w:val="aList"/>
        <w:ind w:left="2127" w:hanging="709"/>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a transaction entered into by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as depository or as agent that does not create any legal liability on the part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3C41FB0F" w14:textId="77777777" w:rsidR="00E22FF2" w:rsidRPr="00E4265B" w:rsidRDefault="00E22FF2" w:rsidP="000E6818">
      <w:pPr>
        <w:pStyle w:val="aList"/>
        <w:ind w:left="2127" w:hanging="709"/>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claims resulting from foreign exchange transactions 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paid its side of the transaction and the countervalue remains unsettled during the two business days following the due payment or due delivery date. After two business days the claim becomes an Exposure;</w:t>
      </w:r>
    </w:p>
    <w:p w14:paraId="4A49346F" w14:textId="77777777" w:rsidR="00E22FF2" w:rsidRPr="00E4265B" w:rsidRDefault="00E22FF2" w:rsidP="000E6818">
      <w:pPr>
        <w:pStyle w:val="aList"/>
        <w:ind w:left="2127" w:hanging="709"/>
        <w:rPr>
          <w:rFonts w:ascii="Arial" w:hAnsi="Arial" w:cs="Arial"/>
          <w:sz w:val="22"/>
          <w:szCs w:val="22"/>
          <w:lang w:val="en-GB"/>
        </w:rPr>
      </w:pPr>
      <w:r w:rsidRPr="00E4265B">
        <w:rPr>
          <w:rFonts w:ascii="Arial" w:hAnsi="Arial" w:cs="Arial"/>
          <w:sz w:val="22"/>
          <w:szCs w:val="22"/>
          <w:lang w:val="en-GB"/>
        </w:rPr>
        <w:t>(d)</w:t>
      </w:r>
      <w:r w:rsidR="005D344E" w:rsidRPr="00E4265B">
        <w:rPr>
          <w:rFonts w:ascii="Arial" w:hAnsi="Arial" w:cs="Arial"/>
          <w:sz w:val="22"/>
          <w:szCs w:val="22"/>
          <w:lang w:val="en-GB"/>
        </w:rPr>
        <w:tab/>
        <w:t>claims arising as a result of M</w:t>
      </w:r>
      <w:r w:rsidRPr="00E4265B">
        <w:rPr>
          <w:rFonts w:ascii="Arial" w:hAnsi="Arial" w:cs="Arial"/>
          <w:sz w:val="22"/>
          <w:szCs w:val="22"/>
          <w:lang w:val="en-GB"/>
        </w:rPr>
        <w:t>oney transmission, payment services, clearing</w:t>
      </w:r>
      <w:r w:rsidRPr="00E4265B">
        <w:rPr>
          <w:rFonts w:ascii="Arial" w:hAnsi="Arial" w:cs="Arial"/>
          <w:sz w:val="22"/>
          <w:szCs w:val="22"/>
          <w:lang w:val="en-GB"/>
        </w:rPr>
        <w:tab/>
        <w:t xml:space="preserve">and settlement, correspondent banking or </w:t>
      </w:r>
      <w:r w:rsidR="00690BF6" w:rsidRPr="00E4265B">
        <w:rPr>
          <w:rFonts w:ascii="Arial" w:hAnsi="Arial" w:cs="Arial"/>
          <w:sz w:val="22"/>
          <w:szCs w:val="22"/>
          <w:lang w:val="en-GB"/>
        </w:rPr>
        <w:t>Financial Instruments</w:t>
      </w:r>
      <w:r w:rsidRPr="00E4265B">
        <w:rPr>
          <w:rFonts w:ascii="Arial" w:hAnsi="Arial" w:cs="Arial"/>
          <w:sz w:val="22"/>
          <w:szCs w:val="22"/>
          <w:lang w:val="en-GB"/>
        </w:rPr>
        <w:t xml:space="preserve"> clearing, settlement and custody services to clients, delayed receipts in funding and other Exposures arising from </w:t>
      </w:r>
      <w:r w:rsidR="00C47DD1" w:rsidRPr="00E4265B">
        <w:rPr>
          <w:rFonts w:ascii="Arial" w:hAnsi="Arial" w:cs="Arial"/>
          <w:sz w:val="22"/>
          <w:szCs w:val="22"/>
          <w:lang w:val="en-GB"/>
        </w:rPr>
        <w:t>C</w:t>
      </w:r>
      <w:r w:rsidRPr="00E4265B">
        <w:rPr>
          <w:rFonts w:ascii="Arial" w:hAnsi="Arial" w:cs="Arial"/>
          <w:sz w:val="22"/>
          <w:szCs w:val="22"/>
          <w:lang w:val="en-GB"/>
        </w:rPr>
        <w:t>lient activity which do not last longer than the following business day;</w:t>
      </w:r>
    </w:p>
    <w:p w14:paraId="756D52D3" w14:textId="77777777" w:rsidR="00E22FF2" w:rsidRPr="00E4265B" w:rsidRDefault="00E22FF2" w:rsidP="000E6818">
      <w:pPr>
        <w:pStyle w:val="aList"/>
        <w:ind w:left="2127" w:hanging="709"/>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in the case of the services outlined in (d) intra</w:t>
      </w:r>
      <w:r w:rsidRPr="00E4265B">
        <w:rPr>
          <w:rFonts w:ascii="Arial" w:hAnsi="Arial" w:cs="Arial"/>
          <w:sz w:val="22"/>
          <w:szCs w:val="22"/>
          <w:lang w:val="en-GB"/>
        </w:rPr>
        <w:noBreakHyphen/>
        <w:t>day Exposures to Financial Institutions who provide these services are excluded;</w:t>
      </w:r>
    </w:p>
    <w:p w14:paraId="7E0F53F2" w14:textId="77777777" w:rsidR="00E22FF2" w:rsidRPr="00E4265B" w:rsidRDefault="00E22FF2" w:rsidP="000E6818">
      <w:pPr>
        <w:pStyle w:val="aList"/>
        <w:ind w:left="2127" w:hanging="709"/>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 xml:space="preserve">claims resulting from the purchase and sale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during settlement where both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the Counterparty are up to five business days overdue in settling. The five business days include the due payment or due delivery date. After five business days, the claim becomes an Exposure; and</w:t>
      </w:r>
    </w:p>
    <w:p w14:paraId="2D146F50" w14:textId="1BE19F27" w:rsidR="00E22FF2" w:rsidRPr="00E4265B" w:rsidRDefault="00E22FF2" w:rsidP="000E6818">
      <w:pPr>
        <w:pStyle w:val="aList"/>
        <w:ind w:left="2127" w:hanging="709"/>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 xml:space="preserve">Exposures that are guaranteed by the </w:t>
      </w:r>
      <w:r w:rsidR="000D1A90" w:rsidRPr="00E4265B">
        <w:rPr>
          <w:rFonts w:ascii="Arial" w:hAnsi="Arial" w:cs="Arial"/>
          <w:sz w:val="22"/>
          <w:szCs w:val="22"/>
          <w:lang w:val="en-GB"/>
        </w:rPr>
        <w:t>Authorised Person</w:t>
      </w:r>
      <w:r w:rsidR="000E6818" w:rsidRPr="00E4265B">
        <w:rPr>
          <w:rFonts w:ascii="Arial" w:hAnsi="Arial" w:cs="Arial"/>
          <w:sz w:val="22"/>
          <w:szCs w:val="22"/>
          <w:lang w:val="en-GB"/>
        </w:rPr>
        <w:t>’</w:t>
      </w:r>
      <w:r w:rsidRPr="00E4265B">
        <w:rPr>
          <w:rFonts w:ascii="Arial" w:hAnsi="Arial" w:cs="Arial"/>
          <w:sz w:val="22"/>
          <w:szCs w:val="22"/>
          <w:lang w:val="en-GB"/>
        </w:rPr>
        <w:t>s Parent in accordance with Rule 4.15.18.</w:t>
      </w:r>
    </w:p>
    <w:p w14:paraId="03FF2868" w14:textId="65707FB0" w:rsidR="00E22FF2" w:rsidRPr="00E4265B" w:rsidRDefault="00E22FF2" w:rsidP="000E6818">
      <w:pPr>
        <w:pStyle w:val="1List"/>
        <w:ind w:left="1418" w:hanging="425"/>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For the purposes of this Section, Exposure to a </w:t>
      </w:r>
      <w:r w:rsidR="00067165" w:rsidRPr="00E4265B">
        <w:rPr>
          <w:rFonts w:ascii="Arial" w:hAnsi="Arial" w:cs="Arial"/>
          <w:sz w:val="22"/>
          <w:szCs w:val="22"/>
          <w:lang w:val="en-GB"/>
        </w:rPr>
        <w:t xml:space="preserve">central counterparty </w:t>
      </w:r>
      <w:r w:rsidRPr="00E4265B">
        <w:rPr>
          <w:rFonts w:ascii="Arial" w:hAnsi="Arial" w:cs="Arial"/>
          <w:sz w:val="22"/>
          <w:szCs w:val="22"/>
          <w:lang w:val="en-GB"/>
        </w:rPr>
        <w:t>which carry a 0% CC</w:t>
      </w:r>
      <w:r w:rsidR="000E6818" w:rsidRPr="00E4265B">
        <w:rPr>
          <w:rFonts w:ascii="Arial" w:hAnsi="Arial" w:cs="Arial"/>
          <w:sz w:val="22"/>
          <w:szCs w:val="22"/>
          <w:lang w:val="en-GB"/>
        </w:rPr>
        <w:t>F</w:t>
      </w:r>
      <w:r w:rsidRPr="00E4265B">
        <w:rPr>
          <w:rFonts w:ascii="Arial" w:hAnsi="Arial" w:cs="Arial"/>
          <w:sz w:val="22"/>
          <w:szCs w:val="22"/>
          <w:lang w:val="en-GB"/>
        </w:rPr>
        <w:t xml:space="preserve"> in accordance with Section 4.8 are excluded.</w:t>
      </w:r>
    </w:p>
    <w:p w14:paraId="6EBDD72C"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need not include fully exempt Exposures, as referred to in Rule A4.11.1 when monitoring compliance with the limits in Rules 4.15.5, 4.15.6 and 4.15.7.</w:t>
      </w:r>
    </w:p>
    <w:p w14:paraId="03F4B870" w14:textId="77777777" w:rsidR="00E22FF2" w:rsidRPr="00E4265B" w:rsidRDefault="00E22FF2" w:rsidP="00080B41">
      <w:pPr>
        <w:pStyle w:val="TitleL5"/>
        <w:rPr>
          <w:rFonts w:ascii="Arial" w:hAnsi="Arial" w:cs="Arial"/>
          <w:sz w:val="22"/>
          <w:szCs w:val="22"/>
          <w:lang w:val="en-GB"/>
        </w:rPr>
      </w:pPr>
      <w:r w:rsidRPr="00E4265B">
        <w:rPr>
          <w:rFonts w:ascii="Arial" w:hAnsi="Arial" w:cs="Arial"/>
          <w:sz w:val="22"/>
          <w:szCs w:val="22"/>
          <w:lang w:val="en-GB"/>
        </w:rPr>
        <w:t>Institutional exemption</w:t>
      </w:r>
    </w:p>
    <w:p w14:paraId="5E544121" w14:textId="29EB95AB" w:rsidR="00E22FF2" w:rsidRPr="00E4265B" w:rsidRDefault="00E22FF2" w:rsidP="000E6818">
      <w:pPr>
        <w:pStyle w:val="Heading4"/>
        <w:rPr>
          <w:rFonts w:ascii="Arial" w:hAnsi="Arial" w:cs="Arial"/>
          <w:sz w:val="22"/>
          <w:szCs w:val="22"/>
        </w:rPr>
      </w:pPr>
      <w:r w:rsidRPr="00E4265B">
        <w:rPr>
          <w:rFonts w:ascii="Arial" w:hAnsi="Arial" w:cs="Arial"/>
          <w:sz w:val="22"/>
          <w:szCs w:val="22"/>
        </w:rPr>
        <w:t xml:space="preserve">For Exposures to a Financial Institution, or a group of Connected Counterparties one of which is a Financial Institution, the total amount of an </w:t>
      </w:r>
      <w:r w:rsidR="000D1A90" w:rsidRPr="00E4265B">
        <w:rPr>
          <w:rFonts w:ascii="Arial" w:hAnsi="Arial" w:cs="Arial"/>
          <w:sz w:val="22"/>
          <w:szCs w:val="22"/>
        </w:rPr>
        <w:t>Authorised Person</w:t>
      </w:r>
      <w:r w:rsidRPr="00E4265B">
        <w:rPr>
          <w:rFonts w:ascii="Arial" w:hAnsi="Arial" w:cs="Arial"/>
          <w:sz w:val="22"/>
          <w:szCs w:val="22"/>
        </w:rPr>
        <w:t xml:space="preserve">'s Exposures may exceed 25% of its </w:t>
      </w:r>
      <w:r w:rsidR="000E6818" w:rsidRPr="00E4265B">
        <w:rPr>
          <w:rFonts w:ascii="Arial" w:hAnsi="Arial" w:cs="Arial"/>
          <w:sz w:val="22"/>
          <w:szCs w:val="22"/>
        </w:rPr>
        <w:t>Tier 1</w:t>
      </w:r>
      <w:r w:rsidRPr="00E4265B">
        <w:rPr>
          <w:rFonts w:ascii="Arial" w:hAnsi="Arial" w:cs="Arial"/>
          <w:sz w:val="22"/>
          <w:szCs w:val="22"/>
        </w:rPr>
        <w:t>, provided those institutions are Investment Grade (Credit Quality Grades 1 to 3) and subject to the following:</w:t>
      </w:r>
    </w:p>
    <w:p w14:paraId="615381C7" w14:textId="56BF7C21" w:rsidR="00E22FF2" w:rsidRPr="00E4265B" w:rsidRDefault="00E22FF2" w:rsidP="00ED644F">
      <w:pPr>
        <w:pStyle w:val="Heading5"/>
        <w:rPr>
          <w:rFonts w:ascii="Arial" w:hAnsi="Arial" w:cs="Arial"/>
          <w:sz w:val="22"/>
          <w:szCs w:val="22"/>
        </w:rPr>
      </w:pPr>
      <w:r w:rsidRPr="00E4265B">
        <w:rPr>
          <w:rFonts w:ascii="Arial" w:hAnsi="Arial" w:cs="Arial"/>
          <w:sz w:val="22"/>
          <w:szCs w:val="22"/>
        </w:rPr>
        <w:lastRenderedPageBreak/>
        <w:t xml:space="preserve">Exposures to any entities within the group of Connected Counterparties that are not Financial Institutions are limited to 25% of </w:t>
      </w:r>
      <w:r w:rsidR="00ED644F" w:rsidRPr="00E4265B">
        <w:rPr>
          <w:rFonts w:ascii="Arial" w:hAnsi="Arial" w:cs="Arial"/>
          <w:sz w:val="22"/>
          <w:szCs w:val="22"/>
        </w:rPr>
        <w:t>Tier 1</w:t>
      </w:r>
      <w:r w:rsidRPr="00E4265B">
        <w:rPr>
          <w:rFonts w:ascii="Arial" w:hAnsi="Arial" w:cs="Arial"/>
          <w:sz w:val="22"/>
          <w:szCs w:val="22"/>
        </w:rPr>
        <w:t xml:space="preserve"> after taking account of CRM;</w:t>
      </w:r>
    </w:p>
    <w:p w14:paraId="5BA6939F" w14:textId="6DAA7CCC" w:rsidR="00E22FF2" w:rsidRPr="00E4265B" w:rsidRDefault="00E22FF2" w:rsidP="00ED644F">
      <w:pPr>
        <w:pStyle w:val="Heading5"/>
        <w:rPr>
          <w:rFonts w:ascii="Arial" w:hAnsi="Arial" w:cs="Arial"/>
          <w:sz w:val="22"/>
          <w:szCs w:val="22"/>
        </w:rPr>
      </w:pPr>
      <w:r w:rsidRPr="00E4265B">
        <w:rPr>
          <w:rFonts w:ascii="Arial" w:hAnsi="Arial" w:cs="Arial"/>
          <w:sz w:val="22"/>
          <w:szCs w:val="22"/>
        </w:rPr>
        <w:t xml:space="preserve">the Exposures must not form part of the </w:t>
      </w:r>
      <w:r w:rsidR="00ED644F" w:rsidRPr="00E4265B">
        <w:rPr>
          <w:rFonts w:ascii="Arial" w:hAnsi="Arial" w:cs="Arial"/>
          <w:sz w:val="22"/>
          <w:szCs w:val="22"/>
        </w:rPr>
        <w:t xml:space="preserve">Tier 1 </w:t>
      </w:r>
      <w:r w:rsidRPr="00E4265B">
        <w:rPr>
          <w:rFonts w:ascii="Arial" w:hAnsi="Arial" w:cs="Arial"/>
          <w:sz w:val="22"/>
          <w:szCs w:val="22"/>
        </w:rPr>
        <w:t>of the Counterparty;</w:t>
      </w:r>
    </w:p>
    <w:p w14:paraId="207A1CE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Counterparty Risk profile must be subject to review on at least an annual basis; and</w:t>
      </w:r>
    </w:p>
    <w:p w14:paraId="07B43B44" w14:textId="31F2F043" w:rsidR="00E22FF2" w:rsidRPr="00E4265B" w:rsidRDefault="00E22FF2" w:rsidP="00ED644F">
      <w:pPr>
        <w:pStyle w:val="Heading5"/>
        <w:rPr>
          <w:rFonts w:ascii="Arial" w:hAnsi="Arial" w:cs="Arial"/>
          <w:sz w:val="22"/>
          <w:szCs w:val="22"/>
        </w:rPr>
      </w:pPr>
      <w:r w:rsidRPr="00E4265B">
        <w:rPr>
          <w:rFonts w:ascii="Arial" w:hAnsi="Arial" w:cs="Arial"/>
          <w:sz w:val="22"/>
          <w:szCs w:val="22"/>
        </w:rPr>
        <w:t>Exposures of this nature must not in</w:t>
      </w:r>
      <w:r w:rsidR="000204FF" w:rsidRPr="00E4265B">
        <w:rPr>
          <w:rFonts w:ascii="Arial" w:hAnsi="Arial" w:cs="Arial"/>
          <w:sz w:val="22"/>
          <w:szCs w:val="22"/>
        </w:rPr>
        <w:t xml:space="preserve"> any case exceed a maximum of $</w:t>
      </w:r>
      <w:r w:rsidRPr="00E4265B">
        <w:rPr>
          <w:rFonts w:ascii="Arial" w:hAnsi="Arial" w:cs="Arial"/>
          <w:sz w:val="22"/>
          <w:szCs w:val="22"/>
        </w:rPr>
        <w:t xml:space="preserve">100 million or 100% of </w:t>
      </w:r>
      <w:r w:rsidR="00ED644F" w:rsidRPr="00E4265B">
        <w:rPr>
          <w:rFonts w:ascii="Arial" w:hAnsi="Arial" w:cs="Arial"/>
          <w:sz w:val="22"/>
          <w:szCs w:val="22"/>
        </w:rPr>
        <w:t>Tier 1</w:t>
      </w:r>
      <w:r w:rsidRPr="00E4265B">
        <w:rPr>
          <w:rFonts w:ascii="Arial" w:hAnsi="Arial" w:cs="Arial"/>
          <w:sz w:val="22"/>
          <w:szCs w:val="22"/>
        </w:rPr>
        <w:t>, whichever is the lower.</w:t>
      </w:r>
    </w:p>
    <w:p w14:paraId="285255A7" w14:textId="77777777" w:rsidR="00E22FF2" w:rsidRPr="00E4265B" w:rsidRDefault="00E22FF2" w:rsidP="00080B41">
      <w:pPr>
        <w:pStyle w:val="TitleL5"/>
        <w:rPr>
          <w:rFonts w:ascii="Arial" w:hAnsi="Arial" w:cs="Arial"/>
          <w:sz w:val="22"/>
          <w:szCs w:val="22"/>
          <w:lang w:val="en-GB"/>
        </w:rPr>
      </w:pPr>
      <w:r w:rsidRPr="00E4265B">
        <w:rPr>
          <w:rFonts w:ascii="Arial" w:hAnsi="Arial" w:cs="Arial"/>
          <w:sz w:val="22"/>
          <w:szCs w:val="22"/>
          <w:lang w:val="en-GB"/>
        </w:rPr>
        <w:t>Guidance</w:t>
      </w:r>
    </w:p>
    <w:p w14:paraId="79ACB91D" w14:textId="77777777" w:rsidR="00E22FF2" w:rsidRPr="00E4265B" w:rsidRDefault="00E22FF2" w:rsidP="008F5C01">
      <w:pPr>
        <w:pStyle w:val="UK12Block05"/>
        <w:rPr>
          <w:rFonts w:ascii="Arial" w:hAnsi="Arial" w:cs="Arial"/>
          <w:sz w:val="22"/>
          <w:szCs w:val="22"/>
          <w:lang w:val="en-GB"/>
        </w:rPr>
      </w:pPr>
      <w:r w:rsidRPr="00E4265B">
        <w:rPr>
          <w:rFonts w:ascii="Arial" w:hAnsi="Arial" w:cs="Arial"/>
          <w:sz w:val="22"/>
          <w:szCs w:val="22"/>
          <w:lang w:val="en-GB"/>
        </w:rPr>
        <w:t xml:space="preserve">The Regulator will, in exceptional circumstances, consider an application to waive or modify the limits set out above. In such circumstances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will have to make a submission to the Regulator as to why its specific circumstances would warrant a relaxation of the limits specified in (d) above.</w:t>
      </w:r>
    </w:p>
    <w:p w14:paraId="72467861" w14:textId="77777777" w:rsidR="00E22FF2" w:rsidRPr="00E4265B" w:rsidRDefault="00E22FF2" w:rsidP="0008739E">
      <w:pPr>
        <w:pStyle w:val="TitleL5"/>
        <w:rPr>
          <w:rFonts w:ascii="Arial" w:hAnsi="Arial" w:cs="Arial"/>
          <w:sz w:val="22"/>
          <w:szCs w:val="22"/>
          <w:lang w:val="en-GB"/>
        </w:rPr>
      </w:pPr>
      <w:r w:rsidRPr="00E4265B">
        <w:rPr>
          <w:rFonts w:ascii="Arial" w:hAnsi="Arial" w:cs="Arial"/>
          <w:sz w:val="22"/>
          <w:szCs w:val="22"/>
          <w:lang w:val="en-GB"/>
        </w:rPr>
        <w:t>Systems and Controls</w:t>
      </w:r>
    </w:p>
    <w:p w14:paraId="14852258" w14:textId="680EA33C" w:rsidR="00E22FF2" w:rsidRPr="00E4265B" w:rsidRDefault="00E22FF2" w:rsidP="00ED644F">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implement and maintain systems and controls to identify its Exposures and effectively manage </w:t>
      </w:r>
      <w:r w:rsidR="00ED644F" w:rsidRPr="00E4265B">
        <w:rPr>
          <w:rFonts w:ascii="Arial" w:hAnsi="Arial" w:cs="Arial"/>
          <w:sz w:val="22"/>
          <w:szCs w:val="22"/>
        </w:rPr>
        <w:t>Large Exposures</w:t>
      </w:r>
      <w:r w:rsidRPr="00E4265B">
        <w:rPr>
          <w:rFonts w:ascii="Arial" w:hAnsi="Arial" w:cs="Arial"/>
          <w:sz w:val="22"/>
          <w:szCs w:val="22"/>
        </w:rPr>
        <w:t xml:space="preserve"> as a result of its activities.</w:t>
      </w:r>
    </w:p>
    <w:p w14:paraId="52833C3F" w14:textId="79ED8601" w:rsidR="00E22FF2" w:rsidRPr="00E4265B" w:rsidRDefault="00E22FF2" w:rsidP="00ED644F">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Such systems and controls in place must be proportionate to the nature, scale and complexity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must include written policies and procedures to address </w:t>
      </w:r>
      <w:r w:rsidR="00ED644F" w:rsidRPr="00E4265B">
        <w:rPr>
          <w:rFonts w:ascii="Arial" w:hAnsi="Arial" w:cs="Arial"/>
          <w:sz w:val="22"/>
          <w:szCs w:val="22"/>
          <w:lang w:val="en-GB"/>
        </w:rPr>
        <w:t>Large Exposures</w:t>
      </w:r>
      <w:r w:rsidRPr="00E4265B">
        <w:rPr>
          <w:rFonts w:ascii="Arial" w:hAnsi="Arial" w:cs="Arial"/>
          <w:sz w:val="22"/>
          <w:szCs w:val="22"/>
          <w:lang w:val="en-GB"/>
        </w:rPr>
        <w:t>, both on and off balance sheet, which:</w:t>
      </w:r>
    </w:p>
    <w:p w14:paraId="0FAB1229"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are approved by the Governing Body on at least an annual basis; and</w:t>
      </w:r>
    </w:p>
    <w:p w14:paraId="30E45722"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include internal approval limits for Exposures as well as limits for the risks associated with specific sectors, geographic location and single economic risk factors.</w:t>
      </w:r>
    </w:p>
    <w:p w14:paraId="42EF7B95" w14:textId="77777777" w:rsidR="00E22FF2" w:rsidRPr="00E4265B" w:rsidRDefault="00E22FF2" w:rsidP="00080B41">
      <w:pPr>
        <w:pStyle w:val="TitleL5"/>
        <w:rPr>
          <w:rFonts w:ascii="Arial" w:hAnsi="Arial" w:cs="Arial"/>
          <w:sz w:val="22"/>
          <w:szCs w:val="22"/>
          <w:lang w:val="en-GB"/>
        </w:rPr>
      </w:pPr>
      <w:r w:rsidRPr="00E4265B">
        <w:rPr>
          <w:rFonts w:ascii="Arial" w:hAnsi="Arial" w:cs="Arial"/>
          <w:sz w:val="22"/>
          <w:szCs w:val="22"/>
          <w:lang w:val="en-GB"/>
        </w:rPr>
        <w:t>Guidance</w:t>
      </w:r>
    </w:p>
    <w:p w14:paraId="7864E0DC" w14:textId="77777777" w:rsidR="00E22FF2" w:rsidRPr="00E4265B" w:rsidRDefault="00E22FF2" w:rsidP="003D4C5D">
      <w:pPr>
        <w:pStyle w:val="UK12Block05"/>
        <w:rPr>
          <w:rFonts w:ascii="Arial" w:hAnsi="Arial" w:cs="Arial"/>
          <w:sz w:val="22"/>
          <w:szCs w:val="22"/>
          <w:lang w:val="en-GB"/>
        </w:rPr>
      </w:pPr>
      <w:r w:rsidRPr="00E4265B">
        <w:rPr>
          <w:rFonts w:ascii="Arial" w:hAnsi="Arial" w:cs="Arial"/>
          <w:sz w:val="22"/>
          <w:szCs w:val="22"/>
          <w:lang w:val="en-GB"/>
        </w:rPr>
        <w:t>The Regulator expects the systems and controls to include:</w:t>
      </w:r>
    </w:p>
    <w:p w14:paraId="5113610A" w14:textId="77777777" w:rsidR="00E22FF2" w:rsidRPr="00E4265B" w:rsidRDefault="00E22FF2" w:rsidP="00080B41">
      <w:pPr>
        <w:pStyle w:val="Lista2"/>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processes for the tiered approval of Exposures based on size, risk profile and complexity;</w:t>
      </w:r>
    </w:p>
    <w:p w14:paraId="6F7EA60E" w14:textId="77777777" w:rsidR="00E22FF2" w:rsidRPr="00E4265B" w:rsidRDefault="00E22FF2" w:rsidP="00080B41">
      <w:pPr>
        <w:pStyle w:val="Lista2"/>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mechanisms for identifying, recording and monitoring all Exposures with particular focus on Large Exposures;</w:t>
      </w:r>
    </w:p>
    <w:p w14:paraId="68B556BA" w14:textId="77777777" w:rsidR="00E22FF2" w:rsidRPr="00E4265B" w:rsidRDefault="00E22FF2" w:rsidP="00080B41">
      <w:pPr>
        <w:pStyle w:val="Lista2"/>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mechanisms in place for the monitoring and control of Exposures to Counterparties and Groups of Connected Counterparties;</w:t>
      </w:r>
    </w:p>
    <w:p w14:paraId="0FCD104A" w14:textId="77777777" w:rsidR="00E22FF2" w:rsidRPr="00E4265B" w:rsidRDefault="00E22FF2" w:rsidP="00080B41">
      <w:pPr>
        <w:pStyle w:val="Lista2"/>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mechanisms for monitoring and recording Exposures within its Group;</w:t>
      </w:r>
    </w:p>
    <w:p w14:paraId="48F69DE1" w14:textId="77777777" w:rsidR="00E22FF2" w:rsidRPr="00E4265B" w:rsidRDefault="00E22FF2" w:rsidP="00080B41">
      <w:pPr>
        <w:pStyle w:val="Lista2"/>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mechanisms to monitor Counterparties in the same economic sector and exposed to single economic risks;</w:t>
      </w:r>
    </w:p>
    <w:p w14:paraId="3813A704" w14:textId="77777777" w:rsidR="00E22FF2" w:rsidRPr="00E4265B" w:rsidRDefault="00E22FF2" w:rsidP="00080B41">
      <w:pPr>
        <w:pStyle w:val="Lista2"/>
        <w:rPr>
          <w:rFonts w:ascii="Arial" w:hAnsi="Arial" w:cs="Arial"/>
          <w:sz w:val="22"/>
          <w:szCs w:val="22"/>
          <w:lang w:val="en-GB"/>
        </w:rPr>
      </w:pPr>
      <w:r w:rsidRPr="00E4265B">
        <w:rPr>
          <w:rFonts w:ascii="Arial" w:hAnsi="Arial" w:cs="Arial"/>
          <w:sz w:val="22"/>
          <w:szCs w:val="22"/>
          <w:lang w:val="en-GB"/>
        </w:rPr>
        <w:lastRenderedPageBreak/>
        <w:t>f.</w:t>
      </w:r>
      <w:r w:rsidRPr="00E4265B">
        <w:rPr>
          <w:rFonts w:ascii="Arial" w:hAnsi="Arial" w:cs="Arial"/>
          <w:sz w:val="22"/>
          <w:szCs w:val="22"/>
          <w:lang w:val="en-GB"/>
        </w:rPr>
        <w:tab/>
        <w:t xml:space="preserve">mechanisms to identify and control risks arising from single geographic jurisdictions; and </w:t>
      </w:r>
    </w:p>
    <w:p w14:paraId="64FB1BF8" w14:textId="77777777" w:rsidR="00E22FF2" w:rsidRPr="00E4265B" w:rsidRDefault="00E22FF2" w:rsidP="00080B41">
      <w:pPr>
        <w:pStyle w:val="Lista2"/>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 xml:space="preserve">mechanisms to identify risks arising from related activities or commodities. </w:t>
      </w:r>
    </w:p>
    <w:p w14:paraId="106CD8EE" w14:textId="77777777" w:rsidR="00E22FF2" w:rsidRPr="00E4265B" w:rsidRDefault="00E22FF2" w:rsidP="005720BF">
      <w:pPr>
        <w:pStyle w:val="TitleL5"/>
        <w:rPr>
          <w:rFonts w:ascii="Arial" w:hAnsi="Arial" w:cs="Arial"/>
          <w:sz w:val="22"/>
          <w:szCs w:val="22"/>
          <w:lang w:val="en-GB"/>
        </w:rPr>
      </w:pPr>
      <w:r w:rsidRPr="00E4265B">
        <w:rPr>
          <w:rFonts w:ascii="Arial" w:hAnsi="Arial" w:cs="Arial"/>
          <w:sz w:val="22"/>
          <w:szCs w:val="22"/>
          <w:lang w:val="en-GB"/>
        </w:rPr>
        <w:t>Recognition of Credit Risk mitigations</w:t>
      </w:r>
    </w:p>
    <w:p w14:paraId="3ACAE22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For the purposes of this Section, an </w:t>
      </w:r>
      <w:r w:rsidR="000D1A90" w:rsidRPr="00E4265B">
        <w:rPr>
          <w:rFonts w:ascii="Arial" w:hAnsi="Arial" w:cs="Arial"/>
          <w:sz w:val="22"/>
          <w:szCs w:val="22"/>
        </w:rPr>
        <w:t>Authorised Person</w:t>
      </w:r>
      <w:r w:rsidRPr="00E4265B">
        <w:rPr>
          <w:rFonts w:ascii="Arial" w:hAnsi="Arial" w:cs="Arial"/>
          <w:sz w:val="22"/>
          <w:szCs w:val="22"/>
        </w:rPr>
        <w:t xml:space="preserve"> may reduce the value of its Exposures, at its discretion, by any one or more of the following:</w:t>
      </w:r>
    </w:p>
    <w:p w14:paraId="1452B4C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amount of any specific provision made, where the provision relates to the risk of a credit loss occurring on that Exposure and is not held as part of a general provision or reserve against its Credit Risks;</w:t>
      </w:r>
    </w:p>
    <w:p w14:paraId="43EE227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Netting its claims on and liabilities to a Counterparty, provided that the conditions in Section 4.13 of CRM are met;</w:t>
      </w:r>
    </w:p>
    <w:p w14:paraId="21ADFA5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amount of Collateral held against its Exposures, where that Collateral is of a type listed based on the FCSA and FCCA approaches and meeting the requirements under Section 4.13;</w:t>
      </w:r>
    </w:p>
    <w:p w14:paraId="2A69A8C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amount of any eligible guarantees as permitted under Section 4.13.9;</w:t>
      </w:r>
    </w:p>
    <w:p w14:paraId="327CDDF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value of a Credit Derivative, where the Credit Derivative is an instrument included in Rule 4.13.11 and the transaction meets the conditions set out in that Section; and</w:t>
      </w:r>
    </w:p>
    <w:p w14:paraId="7B5B45D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effects of transactions transferring Credit Risks from the </w:t>
      </w:r>
      <w:r w:rsidR="000D1A90" w:rsidRPr="00E4265B">
        <w:rPr>
          <w:rFonts w:ascii="Arial" w:hAnsi="Arial" w:cs="Arial"/>
          <w:sz w:val="22"/>
          <w:szCs w:val="22"/>
        </w:rPr>
        <w:t>Authorised Person</w:t>
      </w:r>
      <w:r w:rsidRPr="00E4265B">
        <w:rPr>
          <w:rFonts w:ascii="Arial" w:hAnsi="Arial" w:cs="Arial"/>
          <w:sz w:val="22"/>
          <w:szCs w:val="22"/>
        </w:rPr>
        <w:t xml:space="preserve"> to another party through securitisation, provided that the conditions in Section 4.14 are met.</w:t>
      </w:r>
    </w:p>
    <w:p w14:paraId="7793E48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intending to utilise any of the provisions contained in Section 4.13 (CRM) for the purposes of reducing Exposure values should have in place policies and procedures addressing the following:</w:t>
      </w:r>
    </w:p>
    <w:p w14:paraId="7FB4217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risks arising from </w:t>
      </w:r>
      <w:r w:rsidR="005D344E" w:rsidRPr="00E4265B">
        <w:rPr>
          <w:rFonts w:ascii="Arial" w:hAnsi="Arial" w:cs="Arial"/>
          <w:sz w:val="22"/>
          <w:szCs w:val="22"/>
        </w:rPr>
        <w:t>Maturity Mismatch</w:t>
      </w:r>
      <w:r w:rsidRPr="00E4265B">
        <w:rPr>
          <w:rFonts w:ascii="Arial" w:hAnsi="Arial" w:cs="Arial"/>
          <w:sz w:val="22"/>
          <w:szCs w:val="22"/>
        </w:rPr>
        <w:t>es between Exposures and any credit protection on those Exposures;</w:t>
      </w:r>
    </w:p>
    <w:p w14:paraId="3C755C4D" w14:textId="15486BDE" w:rsidR="00E22FF2" w:rsidRPr="00E4265B" w:rsidRDefault="00ED644F" w:rsidP="008432F8">
      <w:pPr>
        <w:pStyle w:val="Heading5"/>
        <w:rPr>
          <w:rFonts w:ascii="Arial" w:hAnsi="Arial" w:cs="Arial"/>
          <w:sz w:val="22"/>
          <w:szCs w:val="22"/>
        </w:rPr>
      </w:pPr>
      <w:r w:rsidRPr="00E4265B">
        <w:rPr>
          <w:rFonts w:ascii="Arial" w:hAnsi="Arial" w:cs="Arial"/>
          <w:sz w:val="22"/>
          <w:szCs w:val="22"/>
        </w:rPr>
        <w:t>any Large Exposures risks</w:t>
      </w:r>
      <w:r w:rsidR="00E22FF2" w:rsidRPr="00E4265B">
        <w:rPr>
          <w:rFonts w:ascii="Arial" w:hAnsi="Arial" w:cs="Arial"/>
          <w:sz w:val="22"/>
          <w:szCs w:val="22"/>
        </w:rPr>
        <w:t xml:space="preserve"> arising from the application of CRM techniques, including indirect Large Exposures – for example to a single Issuer of </w:t>
      </w:r>
      <w:r w:rsidR="00877CEA" w:rsidRPr="00E4265B">
        <w:rPr>
          <w:rFonts w:ascii="Arial" w:hAnsi="Arial" w:cs="Arial"/>
          <w:sz w:val="22"/>
          <w:szCs w:val="22"/>
        </w:rPr>
        <w:t>Securities</w:t>
      </w:r>
      <w:r w:rsidR="00E22FF2" w:rsidRPr="00E4265B">
        <w:rPr>
          <w:rFonts w:ascii="Arial" w:hAnsi="Arial" w:cs="Arial"/>
          <w:sz w:val="22"/>
          <w:szCs w:val="22"/>
        </w:rPr>
        <w:t xml:space="preserve"> taken as Collateral; and</w:t>
      </w:r>
    </w:p>
    <w:p w14:paraId="7D62D01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conduct of stress testing on CRM taken as Collateral.</w:t>
      </w:r>
    </w:p>
    <w:p w14:paraId="52D6AFB7" w14:textId="2664073F" w:rsidR="00E22FF2" w:rsidRPr="00E4265B" w:rsidRDefault="00E22FF2" w:rsidP="00ED644F">
      <w:pPr>
        <w:pStyle w:val="Heading4"/>
        <w:rPr>
          <w:rFonts w:ascii="Arial" w:hAnsi="Arial" w:cs="Arial"/>
          <w:sz w:val="22"/>
          <w:szCs w:val="22"/>
        </w:rPr>
      </w:pPr>
      <w:r w:rsidRPr="00E4265B">
        <w:rPr>
          <w:rFonts w:ascii="Arial" w:hAnsi="Arial" w:cs="Arial"/>
          <w:sz w:val="22"/>
          <w:szCs w:val="22"/>
        </w:rPr>
        <w:t xml:space="preserve">Where an </w:t>
      </w:r>
      <w:r w:rsidR="000D1A90" w:rsidRPr="00E4265B">
        <w:rPr>
          <w:rFonts w:ascii="Arial" w:hAnsi="Arial" w:cs="Arial"/>
          <w:sz w:val="22"/>
          <w:szCs w:val="22"/>
        </w:rPr>
        <w:t>Authorised Person</w:t>
      </w:r>
      <w:r w:rsidRPr="00E4265B">
        <w:rPr>
          <w:rFonts w:ascii="Arial" w:hAnsi="Arial" w:cs="Arial"/>
          <w:sz w:val="22"/>
          <w:szCs w:val="22"/>
        </w:rPr>
        <w:t xml:space="preserve"> has availed itself of the reductions to Exposure values as set out in A4.11 the </w:t>
      </w:r>
      <w:r w:rsidR="000D1A90" w:rsidRPr="00E4265B">
        <w:rPr>
          <w:rFonts w:ascii="Arial" w:hAnsi="Arial" w:cs="Arial"/>
          <w:sz w:val="22"/>
          <w:szCs w:val="22"/>
        </w:rPr>
        <w:t>Authorised Person</w:t>
      </w:r>
      <w:r w:rsidRPr="00E4265B">
        <w:rPr>
          <w:rFonts w:ascii="Arial" w:hAnsi="Arial" w:cs="Arial"/>
          <w:sz w:val="22"/>
          <w:szCs w:val="22"/>
        </w:rPr>
        <w:t xml:space="preserve"> must calculate the Exposure as a percentage of its </w:t>
      </w:r>
      <w:r w:rsidR="00ED644F" w:rsidRPr="00E4265B">
        <w:rPr>
          <w:rFonts w:ascii="Arial" w:hAnsi="Arial" w:cs="Arial"/>
          <w:sz w:val="22"/>
          <w:szCs w:val="22"/>
        </w:rPr>
        <w:t>Tier 1</w:t>
      </w:r>
      <w:r w:rsidRPr="00E4265B">
        <w:rPr>
          <w:rFonts w:ascii="Arial" w:hAnsi="Arial" w:cs="Arial"/>
          <w:sz w:val="22"/>
          <w:szCs w:val="22"/>
        </w:rPr>
        <w:t xml:space="preserve"> on both a gross and net basis.</w:t>
      </w:r>
    </w:p>
    <w:p w14:paraId="111FEEE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that avails itself of the reduction in its Exposure value through the application of Rule A4.11 must conduct periodic stress tests on its Exposures against the realisable value of any Collateral considered under with the FCSA or FCCA.</w:t>
      </w:r>
    </w:p>
    <w:p w14:paraId="111CCB3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Where the value of the Collateral under the stress scenario is lower than the value applied under Rule 4.15.12 the lower value should be used when determining the Exposure value for the purposes of this Section.</w:t>
      </w:r>
    </w:p>
    <w:p w14:paraId="18ACD8C5" w14:textId="77777777" w:rsidR="00E22FF2" w:rsidRPr="00E4265B" w:rsidRDefault="00E22FF2" w:rsidP="00080B41">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3A04C499" w14:textId="77777777" w:rsidR="00E22FF2" w:rsidRPr="00E4265B" w:rsidRDefault="00E22FF2" w:rsidP="00080B41">
      <w:pPr>
        <w:pStyle w:val="UK12Block05"/>
        <w:rPr>
          <w:rFonts w:ascii="Arial" w:hAnsi="Arial" w:cs="Arial"/>
          <w:sz w:val="22"/>
          <w:szCs w:val="22"/>
          <w:lang w:val="en-GB"/>
        </w:rPr>
      </w:pPr>
      <w:r w:rsidRPr="00E4265B">
        <w:rPr>
          <w:rFonts w:ascii="Arial" w:hAnsi="Arial" w:cs="Arial"/>
          <w:sz w:val="22"/>
          <w:szCs w:val="22"/>
          <w:lang w:val="en-GB"/>
        </w:rPr>
        <w:t xml:space="preserve">Such stress tests should include market value changes of underlying Collateral, risks relating to liquidity and realisation of such Collateral in stress scenarios. An assessment of the impact of any such changes on the Exposure value and the capital position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be conducted. Stress testing of these positions should be conducted at least once a year.</w:t>
      </w:r>
    </w:p>
    <w:p w14:paraId="63F702E9"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document its policy for the use of any of the exclusions in Rule 4.15.12.</w:t>
      </w:r>
    </w:p>
    <w:p w14:paraId="1637A2FA" w14:textId="77777777" w:rsidR="00E22FF2" w:rsidRPr="00E4265B" w:rsidRDefault="00E22FF2" w:rsidP="00080B41">
      <w:pPr>
        <w:pStyle w:val="TitleL5"/>
        <w:rPr>
          <w:rFonts w:ascii="Arial" w:hAnsi="Arial" w:cs="Arial"/>
          <w:sz w:val="22"/>
          <w:szCs w:val="22"/>
          <w:lang w:val="en-GB"/>
        </w:rPr>
      </w:pPr>
      <w:r w:rsidRPr="00E4265B">
        <w:rPr>
          <w:rFonts w:ascii="Arial" w:hAnsi="Arial" w:cs="Arial"/>
          <w:sz w:val="22"/>
          <w:szCs w:val="22"/>
          <w:lang w:val="en-GB"/>
        </w:rPr>
        <w:t>Guidance</w:t>
      </w:r>
    </w:p>
    <w:p w14:paraId="6F740DBC" w14:textId="77777777" w:rsidR="00E22FF2" w:rsidRPr="00E4265B" w:rsidRDefault="00E22FF2" w:rsidP="00080B41">
      <w:pPr>
        <w:pStyle w:val="UK12Block05"/>
        <w:rPr>
          <w:rFonts w:ascii="Arial" w:hAnsi="Arial" w:cs="Arial"/>
          <w:sz w:val="22"/>
          <w:szCs w:val="22"/>
          <w:lang w:val="en-GB"/>
        </w:rPr>
      </w:pPr>
      <w:r w:rsidRPr="00E4265B">
        <w:rPr>
          <w:rFonts w:ascii="Arial" w:hAnsi="Arial" w:cs="Arial"/>
          <w:sz w:val="22"/>
          <w:szCs w:val="22"/>
          <w:lang w:val="en-GB"/>
        </w:rPr>
        <w:t xml:space="preserve">Such policy should include risks such as </w:t>
      </w:r>
      <w:r w:rsidR="005D344E" w:rsidRPr="00E4265B">
        <w:rPr>
          <w:rFonts w:ascii="Arial" w:hAnsi="Arial" w:cs="Arial"/>
          <w:sz w:val="22"/>
          <w:szCs w:val="22"/>
          <w:lang w:val="en-GB"/>
        </w:rPr>
        <w:t>Maturity Mismatch</w:t>
      </w:r>
      <w:r w:rsidRPr="00E4265B">
        <w:rPr>
          <w:rFonts w:ascii="Arial" w:hAnsi="Arial" w:cs="Arial"/>
          <w:sz w:val="22"/>
          <w:szCs w:val="22"/>
          <w:lang w:val="en-GB"/>
        </w:rPr>
        <w:t>es, stress testing of Collateral values, indirect Exposures arising from CRM, such as mitigation provided on Exposures by the same Counterparty.</w:t>
      </w:r>
    </w:p>
    <w:p w14:paraId="523FD8FC" w14:textId="6A8BAB06" w:rsidR="00E22FF2" w:rsidRPr="00E4265B" w:rsidRDefault="00ED644F" w:rsidP="00080B41">
      <w:pPr>
        <w:pStyle w:val="TitleL5"/>
        <w:rPr>
          <w:rFonts w:ascii="Arial" w:hAnsi="Arial" w:cs="Arial"/>
          <w:sz w:val="22"/>
          <w:szCs w:val="22"/>
          <w:lang w:val="en-GB"/>
        </w:rPr>
      </w:pPr>
      <w:r w:rsidRPr="00E4265B">
        <w:rPr>
          <w:rFonts w:ascii="Arial" w:hAnsi="Arial" w:cs="Arial"/>
          <w:sz w:val="22"/>
          <w:szCs w:val="22"/>
          <w:lang w:val="en-GB"/>
        </w:rPr>
        <w:t>Treatment of parental g</w:t>
      </w:r>
      <w:r w:rsidR="00E22FF2" w:rsidRPr="00E4265B">
        <w:rPr>
          <w:rFonts w:ascii="Arial" w:hAnsi="Arial" w:cs="Arial"/>
          <w:sz w:val="22"/>
          <w:szCs w:val="22"/>
          <w:lang w:val="en-GB"/>
        </w:rPr>
        <w:t>uarantees</w:t>
      </w:r>
    </w:p>
    <w:p w14:paraId="767426C4" w14:textId="059970A1" w:rsidR="00E22FF2" w:rsidRPr="00E4265B" w:rsidRDefault="00E22FF2" w:rsidP="00ED644F">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may exclude an Exposure from the </w:t>
      </w:r>
      <w:r w:rsidR="00ED644F" w:rsidRPr="00E4265B">
        <w:rPr>
          <w:rFonts w:ascii="Arial" w:hAnsi="Arial" w:cs="Arial"/>
          <w:sz w:val="22"/>
          <w:szCs w:val="22"/>
        </w:rPr>
        <w:t>Large Exposure</w:t>
      </w:r>
      <w:r w:rsidRPr="00E4265B">
        <w:rPr>
          <w:rFonts w:ascii="Arial" w:hAnsi="Arial" w:cs="Arial"/>
          <w:sz w:val="22"/>
          <w:szCs w:val="22"/>
        </w:rPr>
        <w:t xml:space="preserve"> limits set out in Rules 4.15.5 to 4.15.7 if the </w:t>
      </w:r>
      <w:r w:rsidR="000D1A90" w:rsidRPr="00E4265B">
        <w:rPr>
          <w:rFonts w:ascii="Arial" w:hAnsi="Arial" w:cs="Arial"/>
          <w:sz w:val="22"/>
          <w:szCs w:val="22"/>
        </w:rPr>
        <w:t>Authorised Person</w:t>
      </w:r>
      <w:r w:rsidRPr="00E4265B">
        <w:rPr>
          <w:rFonts w:ascii="Arial" w:hAnsi="Arial" w:cs="Arial"/>
          <w:sz w:val="22"/>
          <w:szCs w:val="22"/>
        </w:rPr>
        <w:t>'s Parent;</w:t>
      </w:r>
    </w:p>
    <w:p w14:paraId="61002AA2" w14:textId="6547D769" w:rsidR="00E22FF2" w:rsidRPr="00E4265B" w:rsidRDefault="00E22FF2" w:rsidP="00ED644F">
      <w:pPr>
        <w:pStyle w:val="Heading5"/>
        <w:rPr>
          <w:rFonts w:ascii="Arial" w:hAnsi="Arial" w:cs="Arial"/>
          <w:sz w:val="22"/>
          <w:szCs w:val="22"/>
        </w:rPr>
      </w:pPr>
      <w:r w:rsidRPr="00E4265B">
        <w:rPr>
          <w:rFonts w:ascii="Arial" w:hAnsi="Arial" w:cs="Arial"/>
          <w:sz w:val="22"/>
          <w:szCs w:val="22"/>
        </w:rPr>
        <w:t xml:space="preserve">is set to increase, on the basis of a legally binding agreement, the </w:t>
      </w:r>
      <w:r w:rsidR="000D1A90" w:rsidRPr="00E4265B">
        <w:rPr>
          <w:rFonts w:ascii="Arial" w:hAnsi="Arial" w:cs="Arial"/>
          <w:sz w:val="22"/>
          <w:szCs w:val="22"/>
        </w:rPr>
        <w:t>Authorised Person</w:t>
      </w:r>
      <w:r w:rsidRPr="00E4265B">
        <w:rPr>
          <w:rFonts w:ascii="Arial" w:hAnsi="Arial" w:cs="Arial"/>
          <w:sz w:val="22"/>
          <w:szCs w:val="22"/>
        </w:rPr>
        <w:t xml:space="preserve">'s </w:t>
      </w:r>
      <w:r w:rsidR="00ED644F" w:rsidRPr="00E4265B">
        <w:rPr>
          <w:rFonts w:ascii="Arial" w:hAnsi="Arial" w:cs="Arial"/>
          <w:sz w:val="22"/>
          <w:szCs w:val="22"/>
        </w:rPr>
        <w:t>Tier 1</w:t>
      </w:r>
      <w:r w:rsidRPr="00E4265B">
        <w:rPr>
          <w:rFonts w:ascii="Arial" w:hAnsi="Arial" w:cs="Arial"/>
          <w:sz w:val="22"/>
          <w:szCs w:val="22"/>
        </w:rPr>
        <w:t>, promptly and on demand, by:</w:t>
      </w:r>
    </w:p>
    <w:p w14:paraId="5E706563"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 xml:space="preserve">an amount that is sufficient to reverse completely the effect of any loss the </w:t>
      </w:r>
      <w:r w:rsidR="000D1A90" w:rsidRPr="00E4265B">
        <w:rPr>
          <w:rFonts w:ascii="Arial" w:hAnsi="Arial" w:cs="Arial"/>
          <w:sz w:val="22"/>
          <w:szCs w:val="22"/>
        </w:rPr>
        <w:t>Authorised Person</w:t>
      </w:r>
      <w:r w:rsidRPr="00E4265B">
        <w:rPr>
          <w:rFonts w:ascii="Arial" w:hAnsi="Arial" w:cs="Arial"/>
          <w:sz w:val="22"/>
          <w:szCs w:val="22"/>
        </w:rPr>
        <w:t xml:space="preserve"> may sustain in connection with that Exposure; or</w:t>
      </w:r>
    </w:p>
    <w:p w14:paraId="18EE6D52"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 xml:space="preserve">the amount required to ensure that the </w:t>
      </w:r>
      <w:r w:rsidR="000D1A90" w:rsidRPr="00E4265B">
        <w:rPr>
          <w:rFonts w:ascii="Arial" w:hAnsi="Arial" w:cs="Arial"/>
          <w:sz w:val="22"/>
          <w:szCs w:val="22"/>
        </w:rPr>
        <w:t>Authorised Person</w:t>
      </w:r>
      <w:r w:rsidRPr="00E4265B">
        <w:rPr>
          <w:rFonts w:ascii="Arial" w:hAnsi="Arial" w:cs="Arial"/>
          <w:sz w:val="22"/>
          <w:szCs w:val="22"/>
        </w:rPr>
        <w:t xml:space="preserve"> complies with its Capital Requirement set out in Chapter 3; or</w:t>
      </w:r>
    </w:p>
    <w:p w14:paraId="0DE49AE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guarantees the Exposure to a Counterparty or to a group of Closely Related Counterparties which are not Connected to the </w:t>
      </w:r>
      <w:r w:rsidR="000D1A90" w:rsidRPr="00E4265B">
        <w:rPr>
          <w:rFonts w:ascii="Arial" w:hAnsi="Arial" w:cs="Arial"/>
          <w:sz w:val="22"/>
          <w:szCs w:val="22"/>
        </w:rPr>
        <w:t>Authorised Person</w:t>
      </w:r>
      <w:r w:rsidRPr="00E4265B">
        <w:rPr>
          <w:rFonts w:ascii="Arial" w:hAnsi="Arial" w:cs="Arial"/>
          <w:sz w:val="22"/>
          <w:szCs w:val="22"/>
        </w:rPr>
        <w:t xml:space="preserve"> only if the following conditions are met:</w:t>
      </w:r>
    </w:p>
    <w:p w14:paraId="1617B85C"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 xml:space="preserve">the guarantee is to be provided by the </w:t>
      </w:r>
      <w:r w:rsidR="000D1A90" w:rsidRPr="00E4265B">
        <w:rPr>
          <w:rFonts w:ascii="Arial" w:hAnsi="Arial" w:cs="Arial"/>
          <w:sz w:val="22"/>
          <w:szCs w:val="22"/>
        </w:rPr>
        <w:t>Authorised Person</w:t>
      </w:r>
      <w:r w:rsidRPr="00E4265B">
        <w:rPr>
          <w:rFonts w:ascii="Arial" w:hAnsi="Arial" w:cs="Arial"/>
          <w:sz w:val="22"/>
          <w:szCs w:val="22"/>
        </w:rPr>
        <w:t>'s Parent, or regulated member of its Group;</w:t>
      </w:r>
    </w:p>
    <w:p w14:paraId="2708617D"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the criteria for guarantees must be in line with the CRM requirements as set out in Section 4.13;</w:t>
      </w:r>
    </w:p>
    <w:p w14:paraId="0790B781"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the entity providing the guarantee must be a bank regulated to standards acceptable to the Regulator;</w:t>
      </w:r>
    </w:p>
    <w:p w14:paraId="55DC8117" w14:textId="7DAB20D3" w:rsidR="00E22FF2" w:rsidRPr="00E4265B" w:rsidRDefault="00E22FF2" w:rsidP="00ED644F">
      <w:pPr>
        <w:pStyle w:val="Heading6"/>
        <w:rPr>
          <w:rFonts w:ascii="Arial" w:hAnsi="Arial" w:cs="Arial"/>
          <w:sz w:val="22"/>
          <w:szCs w:val="22"/>
        </w:rPr>
      </w:pPr>
      <w:r w:rsidRPr="00E4265B">
        <w:rPr>
          <w:rFonts w:ascii="Arial" w:hAnsi="Arial" w:cs="Arial"/>
          <w:sz w:val="22"/>
          <w:szCs w:val="22"/>
        </w:rPr>
        <w:t xml:space="preserve">the total amount of guarantees provided to the </w:t>
      </w:r>
      <w:r w:rsidR="000D1A90" w:rsidRPr="00E4265B">
        <w:rPr>
          <w:rFonts w:ascii="Arial" w:hAnsi="Arial" w:cs="Arial"/>
          <w:sz w:val="22"/>
          <w:szCs w:val="22"/>
        </w:rPr>
        <w:t>Authorised Person</w:t>
      </w:r>
      <w:r w:rsidRPr="00E4265B">
        <w:rPr>
          <w:rFonts w:ascii="Arial" w:hAnsi="Arial" w:cs="Arial"/>
          <w:sz w:val="22"/>
          <w:szCs w:val="22"/>
        </w:rPr>
        <w:t xml:space="preserve"> must be less than 10% of the </w:t>
      </w:r>
      <w:r w:rsidR="00ED644F" w:rsidRPr="00E4265B">
        <w:rPr>
          <w:rFonts w:ascii="Arial" w:hAnsi="Arial" w:cs="Arial"/>
          <w:sz w:val="22"/>
          <w:szCs w:val="22"/>
        </w:rPr>
        <w:t>Tier 1</w:t>
      </w:r>
      <w:r w:rsidR="00D678F7" w:rsidRPr="00E4265B">
        <w:rPr>
          <w:rFonts w:ascii="Arial" w:hAnsi="Arial" w:cs="Arial"/>
          <w:sz w:val="22"/>
          <w:szCs w:val="22"/>
        </w:rPr>
        <w:t xml:space="preserve"> of the entity providing the guarantee</w:t>
      </w:r>
      <w:r w:rsidRPr="00E4265B">
        <w:rPr>
          <w:rFonts w:ascii="Arial" w:hAnsi="Arial" w:cs="Arial"/>
          <w:sz w:val="22"/>
          <w:szCs w:val="22"/>
        </w:rPr>
        <w:t>;</w:t>
      </w:r>
    </w:p>
    <w:p w14:paraId="07513629" w14:textId="72EB7609" w:rsidR="00E22FF2" w:rsidRPr="00E4265B" w:rsidRDefault="00E22FF2" w:rsidP="00ED644F">
      <w:pPr>
        <w:pStyle w:val="Heading6"/>
        <w:rPr>
          <w:rFonts w:ascii="Arial" w:hAnsi="Arial" w:cs="Arial"/>
          <w:sz w:val="22"/>
          <w:szCs w:val="22"/>
        </w:rPr>
      </w:pPr>
      <w:r w:rsidRPr="00E4265B">
        <w:rPr>
          <w:rFonts w:ascii="Arial" w:hAnsi="Arial" w:cs="Arial"/>
          <w:sz w:val="22"/>
          <w:szCs w:val="22"/>
        </w:rPr>
        <w:t xml:space="preserve">the Parent must </w:t>
      </w:r>
      <w:r w:rsidR="00ED644F" w:rsidRPr="00E4265B">
        <w:rPr>
          <w:rFonts w:ascii="Arial" w:hAnsi="Arial" w:cs="Arial"/>
          <w:sz w:val="22"/>
          <w:szCs w:val="22"/>
        </w:rPr>
        <w:t>have an external credit assessment from</w:t>
      </w:r>
      <w:r w:rsidRPr="00E4265B">
        <w:rPr>
          <w:rFonts w:ascii="Arial" w:hAnsi="Arial" w:cs="Arial"/>
          <w:sz w:val="22"/>
          <w:szCs w:val="22"/>
        </w:rPr>
        <w:t xml:space="preserve"> a recognised credit rating agency</w:t>
      </w:r>
      <w:r w:rsidR="00ED644F" w:rsidRPr="00E4265B">
        <w:rPr>
          <w:rFonts w:ascii="Arial" w:hAnsi="Arial" w:cs="Arial"/>
          <w:sz w:val="22"/>
          <w:szCs w:val="22"/>
        </w:rPr>
        <w:t xml:space="preserve"> that corresponds to a Credit Quality Grade 1 or 2</w:t>
      </w:r>
      <w:r w:rsidRPr="00E4265B">
        <w:rPr>
          <w:rFonts w:ascii="Arial" w:hAnsi="Arial" w:cs="Arial"/>
          <w:sz w:val="22"/>
          <w:szCs w:val="22"/>
        </w:rPr>
        <w:t>;</w:t>
      </w:r>
    </w:p>
    <w:p w14:paraId="51977E76"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must provide confirmation from the Home State Regulator</w:t>
      </w:r>
      <w:r w:rsidR="00BF30AE" w:rsidRPr="00E4265B">
        <w:rPr>
          <w:rFonts w:ascii="Arial" w:hAnsi="Arial" w:cs="Arial"/>
          <w:sz w:val="22"/>
          <w:szCs w:val="22"/>
        </w:rPr>
        <w:t xml:space="preserve"> of the entity providing the guarantee</w:t>
      </w:r>
      <w:r w:rsidRPr="00E4265B">
        <w:rPr>
          <w:rFonts w:ascii="Arial" w:hAnsi="Arial" w:cs="Arial"/>
          <w:sz w:val="22"/>
          <w:szCs w:val="22"/>
        </w:rPr>
        <w:t xml:space="preserve"> that it is </w:t>
      </w:r>
      <w:r w:rsidRPr="00E4265B">
        <w:rPr>
          <w:rFonts w:ascii="Arial" w:hAnsi="Arial" w:cs="Arial"/>
          <w:sz w:val="22"/>
          <w:szCs w:val="22"/>
        </w:rPr>
        <w:lastRenderedPageBreak/>
        <w:t xml:space="preserve">satisfied that </w:t>
      </w:r>
      <w:r w:rsidR="00BF30AE" w:rsidRPr="00E4265B">
        <w:rPr>
          <w:rFonts w:ascii="Arial" w:hAnsi="Arial" w:cs="Arial"/>
          <w:sz w:val="22"/>
          <w:szCs w:val="22"/>
        </w:rPr>
        <w:t xml:space="preserve">the entity providing the guarantee </w:t>
      </w:r>
      <w:r w:rsidRPr="00E4265B">
        <w:rPr>
          <w:rFonts w:ascii="Arial" w:hAnsi="Arial" w:cs="Arial"/>
          <w:sz w:val="22"/>
          <w:szCs w:val="22"/>
        </w:rPr>
        <w:t>has sufficient resources to provide such guarantees and has no objection to the provision of such guarantees;</w:t>
      </w:r>
    </w:p>
    <w:p w14:paraId="3BDB5E38"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should provide an annual confirmation that there are no changes to the enforceability of such guarantees; and</w:t>
      </w:r>
    </w:p>
    <w:p w14:paraId="69BA4CA7" w14:textId="02B0FA10" w:rsidR="003733A6" w:rsidRPr="00E4265B" w:rsidRDefault="00E22FF2" w:rsidP="00ED644F">
      <w:pPr>
        <w:pStyle w:val="Heading6"/>
        <w:rPr>
          <w:rFonts w:ascii="Arial" w:hAnsi="Arial" w:cs="Arial"/>
          <w:sz w:val="22"/>
          <w:szCs w:val="22"/>
        </w:rPr>
      </w:pPr>
      <w:r w:rsidRPr="00E4265B">
        <w:rPr>
          <w:rFonts w:ascii="Arial" w:hAnsi="Arial" w:cs="Arial"/>
          <w:sz w:val="22"/>
          <w:szCs w:val="22"/>
        </w:rPr>
        <w:t xml:space="preserve">the </w:t>
      </w:r>
      <w:r w:rsidR="000D1A90" w:rsidRPr="00E4265B">
        <w:rPr>
          <w:rFonts w:ascii="Arial" w:hAnsi="Arial" w:cs="Arial"/>
          <w:sz w:val="22"/>
          <w:szCs w:val="22"/>
        </w:rPr>
        <w:t>Authorised Person</w:t>
      </w:r>
      <w:r w:rsidRPr="00E4265B">
        <w:rPr>
          <w:rFonts w:ascii="Arial" w:hAnsi="Arial" w:cs="Arial"/>
          <w:sz w:val="22"/>
          <w:szCs w:val="22"/>
        </w:rPr>
        <w:t xml:space="preserve"> must notify the Regulator when such guarantees represent 200%, 400% and 600% of </w:t>
      </w:r>
      <w:r w:rsidR="00ED644F" w:rsidRPr="00E4265B">
        <w:rPr>
          <w:rFonts w:ascii="Arial" w:hAnsi="Arial" w:cs="Arial"/>
          <w:sz w:val="22"/>
          <w:szCs w:val="22"/>
        </w:rPr>
        <w:t>Tier 1</w:t>
      </w:r>
      <w:r w:rsidRPr="00E4265B">
        <w:rPr>
          <w:rFonts w:ascii="Arial" w:hAnsi="Arial" w:cs="Arial"/>
          <w:sz w:val="22"/>
          <w:szCs w:val="22"/>
        </w:rPr>
        <w:t>. The overall Large Exposure limit of 800% will apply.</w:t>
      </w:r>
    </w:p>
    <w:p w14:paraId="0B36DF09" w14:textId="77777777" w:rsidR="003733A6" w:rsidRPr="00E4265B" w:rsidRDefault="003733A6">
      <w:pPr>
        <w:rPr>
          <w:rFonts w:ascii="Arial" w:eastAsiaTheme="majorEastAsia" w:hAnsi="Arial" w:cs="Arial"/>
          <w:iCs/>
          <w:sz w:val="22"/>
          <w:szCs w:val="22"/>
          <w:lang w:val="en-GB"/>
        </w:rPr>
      </w:pPr>
      <w:r w:rsidRPr="00E4265B">
        <w:rPr>
          <w:rFonts w:ascii="Arial" w:hAnsi="Arial" w:cs="Arial"/>
          <w:sz w:val="22"/>
          <w:szCs w:val="22"/>
        </w:rPr>
        <w:br w:type="page"/>
      </w:r>
    </w:p>
    <w:p w14:paraId="2B1B995B" w14:textId="77777777" w:rsidR="00E22FF2" w:rsidRPr="00E4265B" w:rsidRDefault="00E22FF2" w:rsidP="0056158E">
      <w:pPr>
        <w:pStyle w:val="Heading1"/>
        <w:rPr>
          <w:rFonts w:ascii="Arial" w:hAnsi="Arial" w:cs="Arial"/>
          <w:sz w:val="22"/>
          <w:szCs w:val="22"/>
          <w:lang w:val="en-GB"/>
        </w:rPr>
      </w:pPr>
      <w:bookmarkStart w:id="436" w:name="_Toc403274502"/>
      <w:bookmarkStart w:id="437" w:name="_Toc403279998"/>
      <w:bookmarkStart w:id="438" w:name="_Toc404285799"/>
      <w:bookmarkStart w:id="439" w:name="_Toc404621748"/>
      <w:bookmarkStart w:id="440" w:name="_Toc404624389"/>
      <w:bookmarkStart w:id="441" w:name="_Toc33622415"/>
      <w:bookmarkStart w:id="442" w:name="_Toc403223956"/>
      <w:bookmarkStart w:id="443" w:name="_Toc403253994"/>
      <w:bookmarkStart w:id="444" w:name="_Toc403254105"/>
      <w:bookmarkStart w:id="445" w:name="_Toc403273394"/>
      <w:bookmarkStart w:id="446" w:name="_Toc403273543"/>
      <w:r w:rsidRPr="00E4265B">
        <w:rPr>
          <w:rFonts w:ascii="Arial" w:hAnsi="Arial" w:cs="Arial"/>
          <w:sz w:val="22"/>
          <w:szCs w:val="22"/>
          <w:lang w:val="en-GB"/>
        </w:rPr>
        <w:lastRenderedPageBreak/>
        <w:t>MARKET RISK</w:t>
      </w:r>
      <w:bookmarkEnd w:id="436"/>
      <w:bookmarkEnd w:id="437"/>
      <w:bookmarkEnd w:id="438"/>
      <w:bookmarkEnd w:id="439"/>
      <w:bookmarkEnd w:id="440"/>
      <w:bookmarkEnd w:id="441"/>
    </w:p>
    <w:p w14:paraId="5CD7071B" w14:textId="77777777" w:rsidR="00E22FF2" w:rsidRPr="00E4265B" w:rsidRDefault="00E22FF2" w:rsidP="00BA74F7">
      <w:pPr>
        <w:pStyle w:val="TitleL5"/>
        <w:rPr>
          <w:rFonts w:ascii="Arial" w:hAnsi="Arial" w:cs="Arial"/>
          <w:sz w:val="22"/>
          <w:szCs w:val="22"/>
          <w:lang w:val="en-GB"/>
        </w:rPr>
      </w:pPr>
      <w:r w:rsidRPr="00E4265B">
        <w:rPr>
          <w:rFonts w:ascii="Arial" w:hAnsi="Arial" w:cs="Arial"/>
          <w:sz w:val="22"/>
          <w:szCs w:val="22"/>
          <w:lang w:val="en-GB"/>
        </w:rPr>
        <w:t>Introduction</w:t>
      </w:r>
      <w:bookmarkEnd w:id="442"/>
      <w:bookmarkEnd w:id="443"/>
      <w:bookmarkEnd w:id="444"/>
      <w:bookmarkEnd w:id="445"/>
      <w:bookmarkEnd w:id="446"/>
    </w:p>
    <w:p w14:paraId="403888DA" w14:textId="77777777" w:rsidR="00E22FF2" w:rsidRPr="00E4265B" w:rsidRDefault="00E22FF2" w:rsidP="0056158E">
      <w:pPr>
        <w:pStyle w:val="TitleL5"/>
        <w:rPr>
          <w:rFonts w:ascii="Arial" w:hAnsi="Arial" w:cs="Arial"/>
          <w:sz w:val="22"/>
          <w:szCs w:val="22"/>
          <w:lang w:val="en-GB"/>
        </w:rPr>
      </w:pPr>
      <w:r w:rsidRPr="00E4265B">
        <w:rPr>
          <w:rFonts w:ascii="Arial" w:hAnsi="Arial" w:cs="Arial"/>
          <w:sz w:val="22"/>
          <w:szCs w:val="22"/>
          <w:lang w:val="en-GB"/>
        </w:rPr>
        <w:t>Guidance</w:t>
      </w:r>
    </w:p>
    <w:p w14:paraId="53E6D834" w14:textId="77777777" w:rsidR="00E22FF2" w:rsidRPr="00E4265B" w:rsidRDefault="00E22FF2" w:rsidP="0056158E">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This Chapter addresses the </w:t>
      </w:r>
      <w:r w:rsidR="00DF7CAF" w:rsidRPr="00E4265B">
        <w:rPr>
          <w:rFonts w:ascii="Arial" w:hAnsi="Arial" w:cs="Arial"/>
          <w:sz w:val="22"/>
          <w:szCs w:val="22"/>
          <w:lang w:val="en-GB"/>
        </w:rPr>
        <w:t xml:space="preserve">capital </w:t>
      </w:r>
      <w:r w:rsidRPr="00E4265B">
        <w:rPr>
          <w:rFonts w:ascii="Arial" w:hAnsi="Arial" w:cs="Arial"/>
          <w:sz w:val="22"/>
          <w:szCs w:val="22"/>
          <w:lang w:val="en-GB"/>
        </w:rPr>
        <w:t xml:space="preserve">requirements in respect of managing the Market Risk </w:t>
      </w:r>
      <w:r w:rsidR="005F3B3B" w:rsidRPr="00E4265B">
        <w:rPr>
          <w:rFonts w:ascii="Arial" w:hAnsi="Arial" w:cs="Arial"/>
          <w:sz w:val="22"/>
          <w:szCs w:val="22"/>
          <w:lang w:val="en-GB"/>
        </w:rPr>
        <w:t>Exposure</w:t>
      </w:r>
      <w:r w:rsidRPr="00E4265B">
        <w:rPr>
          <w:rFonts w:ascii="Arial" w:hAnsi="Arial" w:cs="Arial"/>
          <w:sz w:val="22"/>
          <w:szCs w:val="22"/>
          <w:lang w:val="en-GB"/>
        </w:rPr>
        <w:t xml:space="preserve">s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Market Risk refers to the risk of incurring losses on positions held by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with trading intent, due to adverse changes in market prices or in underlying value drivers. This Chapter aims to ensure that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engaging in activities exposing the firm to risks associated with potential adverse movements in market prices adopts adequate, appropriate, sound and effective risk management practices and holds regulatory capital of the right quality that is also commensurate with the risks involved.</w:t>
      </w:r>
    </w:p>
    <w:p w14:paraId="5A0127E5" w14:textId="77777777" w:rsidR="00E22FF2" w:rsidRPr="00E4265B" w:rsidRDefault="00E22FF2" w:rsidP="0056158E">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This Chapter includes requirements that an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79645055"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implement a comprehensive Market Risk management framework to manage, measure and monitor Market Risk commensurate with the nature, scale and complexity of the firm's operations; and</w:t>
      </w:r>
    </w:p>
    <w:p w14:paraId="186ACC69"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calculate the Market Risk Capital Requirement and hold the same.</w:t>
      </w:r>
    </w:p>
    <w:p w14:paraId="5430919D" w14:textId="77777777" w:rsidR="00E22FF2" w:rsidRPr="00E4265B" w:rsidRDefault="00E22FF2" w:rsidP="003D4C5D">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The Chapter allows the use of standard pre</w:t>
      </w:r>
      <w:r w:rsidRPr="00E4265B">
        <w:rPr>
          <w:rFonts w:ascii="Arial" w:hAnsi="Arial" w:cs="Arial"/>
          <w:sz w:val="22"/>
          <w:szCs w:val="22"/>
          <w:lang w:val="en-GB"/>
        </w:rPr>
        <w:noBreakHyphen/>
        <w:t>defined me</w:t>
      </w:r>
      <w:r w:rsidR="00233D00" w:rsidRPr="00E4265B">
        <w:rPr>
          <w:rFonts w:ascii="Arial" w:hAnsi="Arial" w:cs="Arial"/>
          <w:sz w:val="22"/>
          <w:szCs w:val="22"/>
          <w:lang w:val="en-GB"/>
        </w:rPr>
        <w:t>thodologies for estimating the Capital R</w:t>
      </w:r>
      <w:r w:rsidRPr="00E4265B">
        <w:rPr>
          <w:rFonts w:ascii="Arial" w:hAnsi="Arial" w:cs="Arial"/>
          <w:sz w:val="22"/>
          <w:szCs w:val="22"/>
          <w:lang w:val="en-GB"/>
        </w:rPr>
        <w:t xml:space="preserve">equirement and also allows the use of internal models approved by the Regulator to calculate a firm's Market Risk Capital Requirement. The Chapter covers Rules for determining Market Risk Capital Requirement on </w:t>
      </w:r>
      <w:r w:rsidR="005F3B3B" w:rsidRPr="00E4265B">
        <w:rPr>
          <w:rFonts w:ascii="Arial" w:hAnsi="Arial" w:cs="Arial"/>
          <w:sz w:val="22"/>
          <w:szCs w:val="22"/>
          <w:lang w:val="en-GB"/>
        </w:rPr>
        <w:t>Exposure</w:t>
      </w:r>
      <w:r w:rsidRPr="00E4265B">
        <w:rPr>
          <w:rFonts w:ascii="Arial" w:hAnsi="Arial" w:cs="Arial"/>
          <w:sz w:val="22"/>
          <w:szCs w:val="22"/>
          <w:lang w:val="en-GB"/>
        </w:rPr>
        <w:t>s involving interest rate risk, equity risk, foreign exchange risk, c</w:t>
      </w:r>
      <w:r w:rsidR="006E284B" w:rsidRPr="00E4265B">
        <w:rPr>
          <w:rFonts w:ascii="Arial" w:hAnsi="Arial" w:cs="Arial"/>
          <w:sz w:val="22"/>
          <w:szCs w:val="22"/>
          <w:lang w:val="en-GB"/>
        </w:rPr>
        <w:t xml:space="preserve">ommodities risk, </w:t>
      </w:r>
      <w:r w:rsidR="00BC49E0" w:rsidRPr="00E4265B">
        <w:rPr>
          <w:rFonts w:ascii="Arial" w:hAnsi="Arial" w:cs="Arial"/>
          <w:sz w:val="22"/>
          <w:szCs w:val="22"/>
          <w:lang w:val="en-GB"/>
        </w:rPr>
        <w:t>Option</w:t>
      </w:r>
      <w:r w:rsidR="006E284B" w:rsidRPr="00E4265B">
        <w:rPr>
          <w:rFonts w:ascii="Arial" w:hAnsi="Arial" w:cs="Arial"/>
          <w:sz w:val="22"/>
          <w:szCs w:val="22"/>
          <w:lang w:val="en-GB"/>
        </w:rPr>
        <w:t>s risk, Collective Investment F</w:t>
      </w:r>
      <w:r w:rsidRPr="00E4265B">
        <w:rPr>
          <w:rFonts w:ascii="Arial" w:hAnsi="Arial" w:cs="Arial"/>
          <w:sz w:val="22"/>
          <w:szCs w:val="22"/>
          <w:lang w:val="en-GB"/>
        </w:rPr>
        <w:t xml:space="preserve">und risk and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w:t>
      </w:r>
      <w:r w:rsidR="00C033FC" w:rsidRPr="00E4265B">
        <w:rPr>
          <w:rFonts w:ascii="Arial" w:hAnsi="Arial" w:cs="Arial"/>
          <w:sz w:val="22"/>
          <w:szCs w:val="22"/>
          <w:lang w:val="en-GB"/>
        </w:rPr>
        <w:t>Underwriting</w:t>
      </w:r>
      <w:r w:rsidRPr="00E4265B">
        <w:rPr>
          <w:rFonts w:ascii="Arial" w:hAnsi="Arial" w:cs="Arial"/>
          <w:sz w:val="22"/>
          <w:szCs w:val="22"/>
          <w:lang w:val="en-GB"/>
        </w:rPr>
        <w:t xml:space="preserve"> risk.</w:t>
      </w:r>
    </w:p>
    <w:p w14:paraId="664F1A16" w14:textId="77777777" w:rsidR="00E22FF2" w:rsidRPr="00E4265B" w:rsidRDefault="00E22FF2" w:rsidP="0056158E">
      <w:pPr>
        <w:pStyle w:val="1List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App</w:t>
      </w:r>
      <w:r w:rsidR="00EE4115" w:rsidRPr="00E4265B">
        <w:rPr>
          <w:rFonts w:ascii="Arial" w:hAnsi="Arial" w:cs="Arial"/>
          <w:sz w:val="22"/>
          <w:szCs w:val="22"/>
          <w:lang w:val="en-GB"/>
        </w:rPr>
        <w:t>6</w:t>
      </w:r>
      <w:r w:rsidRPr="00E4265B">
        <w:rPr>
          <w:rFonts w:ascii="Arial" w:hAnsi="Arial" w:cs="Arial"/>
          <w:sz w:val="22"/>
          <w:szCs w:val="22"/>
          <w:lang w:val="en-GB"/>
        </w:rPr>
        <w:t> provides the detailed requirements, parameters, calculation methodologies and formulae in respect of the primary requirements outlined in Chapter 5. App</w:t>
      </w:r>
      <w:r w:rsidR="00EE4115" w:rsidRPr="00E4265B">
        <w:rPr>
          <w:rFonts w:ascii="Arial" w:hAnsi="Arial" w:cs="Arial"/>
          <w:sz w:val="22"/>
          <w:szCs w:val="22"/>
          <w:lang w:val="en-GB"/>
        </w:rPr>
        <w:t>6</w:t>
      </w:r>
      <w:r w:rsidRPr="00E4265B">
        <w:rPr>
          <w:rFonts w:ascii="Arial" w:hAnsi="Arial" w:cs="Arial"/>
          <w:sz w:val="22"/>
          <w:szCs w:val="22"/>
          <w:lang w:val="en-GB"/>
        </w:rPr>
        <w:t> also provides detailed guidance on criteria for approval of internal models for calculation of Market Risk Capital Requirement, incorporation of incremental risk charges in internal models, if allowed and guidance on the required level of stress testing.</w:t>
      </w:r>
    </w:p>
    <w:p w14:paraId="03A8A6F9" w14:textId="77777777" w:rsidR="00E22FF2" w:rsidRPr="00E4265B" w:rsidRDefault="00E22FF2" w:rsidP="00246497">
      <w:pPr>
        <w:pStyle w:val="Heading3"/>
        <w:rPr>
          <w:rFonts w:ascii="Arial" w:hAnsi="Arial" w:cs="Arial"/>
          <w:sz w:val="22"/>
          <w:szCs w:val="22"/>
        </w:rPr>
      </w:pPr>
      <w:bookmarkStart w:id="447" w:name="_Toc403223957"/>
      <w:bookmarkStart w:id="448" w:name="_Toc403253995"/>
      <w:bookmarkStart w:id="449" w:name="_Toc403273395"/>
      <w:bookmarkStart w:id="450" w:name="_Toc403273544"/>
      <w:bookmarkStart w:id="451" w:name="_Toc403274503"/>
      <w:bookmarkStart w:id="452" w:name="_Toc403279999"/>
      <w:bookmarkStart w:id="453" w:name="_Toc404285800"/>
      <w:bookmarkStart w:id="454" w:name="_Toc404621749"/>
      <w:bookmarkStart w:id="455" w:name="_Toc404624390"/>
      <w:bookmarkStart w:id="456" w:name="_Toc33622416"/>
      <w:r w:rsidRPr="00E4265B">
        <w:rPr>
          <w:rFonts w:ascii="Arial" w:hAnsi="Arial" w:cs="Arial"/>
          <w:sz w:val="22"/>
          <w:szCs w:val="22"/>
        </w:rPr>
        <w:t>Application</w:t>
      </w:r>
      <w:bookmarkEnd w:id="447"/>
      <w:bookmarkEnd w:id="448"/>
      <w:bookmarkEnd w:id="449"/>
      <w:bookmarkEnd w:id="450"/>
      <w:bookmarkEnd w:id="451"/>
      <w:bookmarkEnd w:id="452"/>
      <w:bookmarkEnd w:id="453"/>
      <w:bookmarkEnd w:id="454"/>
      <w:bookmarkEnd w:id="455"/>
      <w:bookmarkEnd w:id="456"/>
    </w:p>
    <w:p w14:paraId="781A3DEC"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This Chapter applies to an </w:t>
      </w:r>
      <w:r w:rsidR="000D1A90" w:rsidRPr="00E4265B">
        <w:rPr>
          <w:rFonts w:ascii="Arial" w:hAnsi="Arial" w:cs="Arial"/>
          <w:sz w:val="22"/>
          <w:szCs w:val="22"/>
        </w:rPr>
        <w:t>Authorised Person</w:t>
      </w:r>
      <w:r w:rsidRPr="00E4265B">
        <w:rPr>
          <w:rFonts w:ascii="Arial" w:hAnsi="Arial" w:cs="Arial"/>
          <w:sz w:val="22"/>
          <w:szCs w:val="22"/>
        </w:rPr>
        <w:t xml:space="preserve"> in Category 1, 2, 3A or 5 as follows:</w:t>
      </w:r>
    </w:p>
    <w:p w14:paraId="21C6920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Sections 5.2 to 5.11 apply to an </w:t>
      </w:r>
      <w:r w:rsidR="000D1A90" w:rsidRPr="00E4265B">
        <w:rPr>
          <w:rFonts w:ascii="Arial" w:hAnsi="Arial" w:cs="Arial"/>
          <w:sz w:val="22"/>
          <w:szCs w:val="22"/>
        </w:rPr>
        <w:t>Authorised Person</w:t>
      </w:r>
      <w:r w:rsidRPr="00E4265B">
        <w:rPr>
          <w:rFonts w:ascii="Arial" w:hAnsi="Arial" w:cs="Arial"/>
          <w:sz w:val="22"/>
          <w:szCs w:val="22"/>
        </w:rPr>
        <w:t xml:space="preserve"> in Category 1 or 2;</w:t>
      </w:r>
    </w:p>
    <w:p w14:paraId="59DCE3C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Sections 5.2 and 5.6 apply to an </w:t>
      </w:r>
      <w:r w:rsidR="000D1A90" w:rsidRPr="00E4265B">
        <w:rPr>
          <w:rFonts w:ascii="Arial" w:hAnsi="Arial" w:cs="Arial"/>
          <w:sz w:val="22"/>
          <w:szCs w:val="22"/>
        </w:rPr>
        <w:t>Authorised Person</w:t>
      </w:r>
      <w:r w:rsidRPr="00E4265B">
        <w:rPr>
          <w:rFonts w:ascii="Arial" w:hAnsi="Arial" w:cs="Arial"/>
          <w:sz w:val="22"/>
          <w:szCs w:val="22"/>
        </w:rPr>
        <w:t xml:space="preserve"> in Category 3A; and</w:t>
      </w:r>
    </w:p>
    <w:p w14:paraId="0A1BC70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Sections 5.2, 5.3 and 5.5 to 5.11 apply to an </w:t>
      </w:r>
      <w:r w:rsidR="000D1A90" w:rsidRPr="00E4265B">
        <w:rPr>
          <w:rFonts w:ascii="Arial" w:hAnsi="Arial" w:cs="Arial"/>
          <w:sz w:val="22"/>
          <w:szCs w:val="22"/>
        </w:rPr>
        <w:t>Authorised Person</w:t>
      </w:r>
      <w:r w:rsidRPr="00E4265B">
        <w:rPr>
          <w:rFonts w:ascii="Arial" w:hAnsi="Arial" w:cs="Arial"/>
          <w:sz w:val="22"/>
          <w:szCs w:val="22"/>
        </w:rPr>
        <w:t xml:space="preserve"> in Category 5.</w:t>
      </w:r>
    </w:p>
    <w:p w14:paraId="66AE2630" w14:textId="77777777" w:rsidR="00E22FF2" w:rsidRPr="00E4265B" w:rsidRDefault="00E22FF2" w:rsidP="0056158E">
      <w:pPr>
        <w:pStyle w:val="TitleL5"/>
        <w:rPr>
          <w:rFonts w:ascii="Arial" w:hAnsi="Arial" w:cs="Arial"/>
          <w:sz w:val="22"/>
          <w:szCs w:val="22"/>
          <w:lang w:val="en-GB"/>
        </w:rPr>
      </w:pPr>
      <w:r w:rsidRPr="00E4265B">
        <w:rPr>
          <w:rFonts w:ascii="Arial" w:hAnsi="Arial" w:cs="Arial"/>
          <w:sz w:val="22"/>
          <w:szCs w:val="22"/>
          <w:lang w:val="en-GB"/>
        </w:rPr>
        <w:t>Guidance</w:t>
      </w:r>
    </w:p>
    <w:p w14:paraId="41FBDB73" w14:textId="5C468E1E" w:rsidR="00E22FF2" w:rsidRPr="00E4265B" w:rsidRDefault="00E22FF2" w:rsidP="00363CED">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Rule 5.3.1 provides that the Market Risk Capital Requirement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calcul</w:t>
      </w:r>
      <w:r w:rsidR="00B62CE8" w:rsidRPr="00E4265B">
        <w:rPr>
          <w:rFonts w:ascii="Arial" w:hAnsi="Arial" w:cs="Arial"/>
          <w:sz w:val="22"/>
          <w:szCs w:val="22"/>
          <w:lang w:val="en-GB"/>
        </w:rPr>
        <w:t>ated as the sum of a number of S</w:t>
      </w:r>
      <w:r w:rsidRPr="00E4265B">
        <w:rPr>
          <w:rFonts w:ascii="Arial" w:hAnsi="Arial" w:cs="Arial"/>
          <w:sz w:val="22"/>
          <w:szCs w:val="22"/>
          <w:lang w:val="en-GB"/>
        </w:rPr>
        <w:t>ubsidiary Capital Requirements. Sections 5.4 to 5.10 set out the</w:t>
      </w:r>
      <w:r w:rsidR="00B62CE8" w:rsidRPr="00E4265B">
        <w:rPr>
          <w:rFonts w:ascii="Arial" w:hAnsi="Arial" w:cs="Arial"/>
          <w:sz w:val="22"/>
          <w:szCs w:val="22"/>
          <w:lang w:val="en-GB"/>
        </w:rPr>
        <w:t xml:space="preserve"> manner in which each of </w:t>
      </w:r>
      <w:r w:rsidR="00B62CE8" w:rsidRPr="00E4265B">
        <w:rPr>
          <w:rFonts w:ascii="Arial" w:hAnsi="Arial" w:cs="Arial"/>
          <w:sz w:val="22"/>
          <w:szCs w:val="22"/>
          <w:lang w:val="en-GB"/>
        </w:rPr>
        <w:lastRenderedPageBreak/>
        <w:t>those S</w:t>
      </w:r>
      <w:r w:rsidRPr="00E4265B">
        <w:rPr>
          <w:rFonts w:ascii="Arial" w:hAnsi="Arial" w:cs="Arial"/>
          <w:sz w:val="22"/>
          <w:szCs w:val="22"/>
          <w:lang w:val="en-GB"/>
        </w:rPr>
        <w:t xml:space="preserve">ubsidiary Capital Requirements </w:t>
      </w:r>
      <w:r w:rsidR="00363CED" w:rsidRPr="00E4265B">
        <w:rPr>
          <w:rFonts w:ascii="Arial" w:hAnsi="Arial" w:cs="Arial"/>
          <w:sz w:val="22"/>
          <w:szCs w:val="22"/>
          <w:lang w:val="en-GB"/>
        </w:rPr>
        <w:t>must</w:t>
      </w:r>
      <w:r w:rsidRPr="00E4265B">
        <w:rPr>
          <w:rFonts w:ascii="Arial" w:hAnsi="Arial" w:cs="Arial"/>
          <w:sz w:val="22"/>
          <w:szCs w:val="22"/>
          <w:lang w:val="en-GB"/>
        </w:rPr>
        <w:t xml:space="preserve"> be calculated, monitored and controlled by an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761EA6B6" w14:textId="77777777" w:rsidR="00E22FF2" w:rsidRPr="00E4265B" w:rsidRDefault="00E22FF2" w:rsidP="0056158E">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In addition to complying with the applicable Rules in Chapter 5,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investing in or holding Islamic Contracts whether or not for the purpose of a PSIA will need to take account of the provisions under the IFR rules to calculate the Market Risk for those Islamic Contracts.</w:t>
      </w:r>
    </w:p>
    <w:p w14:paraId="10EE8F74" w14:textId="77777777" w:rsidR="00E22FF2" w:rsidRPr="00E4265B" w:rsidRDefault="00E22FF2" w:rsidP="00246497">
      <w:pPr>
        <w:pStyle w:val="Heading3"/>
        <w:rPr>
          <w:rFonts w:ascii="Arial" w:hAnsi="Arial" w:cs="Arial"/>
          <w:sz w:val="22"/>
          <w:szCs w:val="22"/>
        </w:rPr>
      </w:pPr>
      <w:bookmarkStart w:id="457" w:name="_Toc403223958"/>
      <w:bookmarkStart w:id="458" w:name="_Toc403253996"/>
      <w:bookmarkStart w:id="459" w:name="_Toc403273396"/>
      <w:bookmarkStart w:id="460" w:name="_Toc403273545"/>
      <w:bookmarkStart w:id="461" w:name="_Toc403274504"/>
      <w:bookmarkStart w:id="462" w:name="_Toc403280000"/>
      <w:bookmarkStart w:id="463" w:name="_Toc404285801"/>
      <w:bookmarkStart w:id="464" w:name="_Toc404621750"/>
      <w:bookmarkStart w:id="465" w:name="_Toc404624391"/>
      <w:bookmarkStart w:id="466" w:name="_Toc33622417"/>
      <w:r w:rsidRPr="00E4265B">
        <w:rPr>
          <w:rFonts w:ascii="Arial" w:hAnsi="Arial" w:cs="Arial"/>
          <w:sz w:val="22"/>
          <w:szCs w:val="22"/>
        </w:rPr>
        <w:t>Market Risk systems and controls</w:t>
      </w:r>
      <w:bookmarkEnd w:id="457"/>
      <w:bookmarkEnd w:id="458"/>
      <w:bookmarkEnd w:id="459"/>
      <w:bookmarkEnd w:id="460"/>
      <w:bookmarkEnd w:id="461"/>
      <w:bookmarkEnd w:id="462"/>
      <w:bookmarkEnd w:id="463"/>
      <w:bookmarkEnd w:id="464"/>
      <w:bookmarkEnd w:id="465"/>
      <w:bookmarkEnd w:id="466"/>
    </w:p>
    <w:p w14:paraId="2B020805"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 Category 1, 2, 3A or 5 must implement and maintain a Market Risk policy which enables it to identify, assess, control and monitor Market Risk.</w:t>
      </w:r>
    </w:p>
    <w:p w14:paraId="07FA681C" w14:textId="77777777" w:rsidR="00E22FF2" w:rsidRPr="00E4265B" w:rsidRDefault="00E22FF2" w:rsidP="0056158E">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policy must be documented and include the </w:t>
      </w:r>
      <w:r w:rsidR="000D1A90" w:rsidRPr="00E4265B">
        <w:rPr>
          <w:rFonts w:ascii="Arial" w:hAnsi="Arial" w:cs="Arial"/>
          <w:sz w:val="22"/>
          <w:szCs w:val="22"/>
          <w:lang w:val="en-GB"/>
        </w:rPr>
        <w:t>Authorised Person</w:t>
      </w:r>
      <w:r w:rsidRPr="00E4265B">
        <w:rPr>
          <w:rFonts w:ascii="Arial" w:hAnsi="Arial" w:cs="Arial"/>
          <w:sz w:val="22"/>
          <w:szCs w:val="22"/>
          <w:lang w:val="en-GB"/>
        </w:rPr>
        <w:t>'s risk appetite and how it identifies, assesses, mitigates, controls and monitors that risk.</w:t>
      </w:r>
    </w:p>
    <w:p w14:paraId="2C78A7CE" w14:textId="77777777" w:rsidR="00E22FF2" w:rsidRPr="00E4265B" w:rsidRDefault="00E22FF2" w:rsidP="0056158E">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w:t>
      </w:r>
    </w:p>
    <w:p w14:paraId="2BCA5511"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ensure that its risk management systems enable it to implement the Market Risk policy;</w:t>
      </w:r>
    </w:p>
    <w:p w14:paraId="0C2E2EBE"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identify, assess, mitigate, control and monitor its Market Risk; and</w:t>
      </w:r>
    </w:p>
    <w:p w14:paraId="62C3E006"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review and update the policy at intervals that are appropriate to the nature, scale and complexity of its activities.</w:t>
      </w:r>
    </w:p>
    <w:p w14:paraId="0F763E71" w14:textId="77777777" w:rsidR="00E22FF2" w:rsidRPr="00E4265B" w:rsidRDefault="00E22FF2" w:rsidP="0056158E">
      <w:pPr>
        <w:pStyle w:val="TitleL5"/>
        <w:rPr>
          <w:rFonts w:ascii="Arial" w:hAnsi="Arial" w:cs="Arial"/>
          <w:sz w:val="22"/>
          <w:szCs w:val="22"/>
          <w:lang w:val="en-GB"/>
        </w:rPr>
      </w:pPr>
      <w:r w:rsidRPr="00E4265B">
        <w:rPr>
          <w:rFonts w:ascii="Arial" w:hAnsi="Arial" w:cs="Arial"/>
          <w:sz w:val="22"/>
          <w:szCs w:val="22"/>
          <w:lang w:val="en-GB"/>
        </w:rPr>
        <w:t>Guidance</w:t>
      </w:r>
    </w:p>
    <w:p w14:paraId="46463CFB" w14:textId="77777777" w:rsidR="00E22FF2" w:rsidRPr="00E4265B" w:rsidRDefault="00E22FF2" w:rsidP="0056158E">
      <w:pPr>
        <w:pStyle w:val="UK12Block05"/>
        <w:rPr>
          <w:rFonts w:ascii="Arial" w:hAnsi="Arial" w:cs="Arial"/>
          <w:sz w:val="22"/>
          <w:szCs w:val="22"/>
          <w:lang w:val="en-GB"/>
        </w:rPr>
      </w:pPr>
      <w:r w:rsidRPr="00E4265B">
        <w:rPr>
          <w:rFonts w:ascii="Arial" w:hAnsi="Arial" w:cs="Arial"/>
          <w:sz w:val="22"/>
          <w:szCs w:val="22"/>
          <w:lang w:val="en-GB"/>
        </w:rPr>
        <w:t xml:space="preserve">Guidance in respect of what an </w:t>
      </w:r>
      <w:r w:rsidR="000D1A90" w:rsidRPr="00E4265B">
        <w:rPr>
          <w:rFonts w:ascii="Arial" w:hAnsi="Arial" w:cs="Arial"/>
          <w:sz w:val="22"/>
          <w:szCs w:val="22"/>
          <w:lang w:val="en-GB"/>
        </w:rPr>
        <w:t>Authorised Person</w:t>
      </w:r>
      <w:r w:rsidRPr="00E4265B">
        <w:rPr>
          <w:rFonts w:ascii="Arial" w:hAnsi="Arial" w:cs="Arial"/>
          <w:sz w:val="22"/>
          <w:szCs w:val="22"/>
          <w:lang w:val="en-GB"/>
        </w:rPr>
        <w:t>'s Market Risk policy should include is provided in Section A</w:t>
      </w:r>
      <w:r w:rsidR="00E762BF" w:rsidRPr="00E4265B">
        <w:rPr>
          <w:rFonts w:ascii="Arial" w:hAnsi="Arial" w:cs="Arial"/>
          <w:sz w:val="22"/>
          <w:szCs w:val="22"/>
          <w:lang w:val="en-GB"/>
        </w:rPr>
        <w:t>6</w:t>
      </w:r>
      <w:r w:rsidRPr="00E4265B">
        <w:rPr>
          <w:rFonts w:ascii="Arial" w:hAnsi="Arial" w:cs="Arial"/>
          <w:sz w:val="22"/>
          <w:szCs w:val="22"/>
          <w:lang w:val="en-GB"/>
        </w:rPr>
        <w:t>.1.</w:t>
      </w:r>
    </w:p>
    <w:p w14:paraId="0F9E516A" w14:textId="77777777" w:rsidR="00E22FF2" w:rsidRPr="00E4265B" w:rsidRDefault="00E22FF2" w:rsidP="00246497">
      <w:pPr>
        <w:pStyle w:val="Heading3"/>
        <w:rPr>
          <w:rFonts w:ascii="Arial" w:hAnsi="Arial" w:cs="Arial"/>
          <w:sz w:val="22"/>
          <w:szCs w:val="22"/>
        </w:rPr>
      </w:pPr>
      <w:bookmarkStart w:id="467" w:name="_Toc403223959"/>
      <w:bookmarkStart w:id="468" w:name="_Toc403253997"/>
      <w:bookmarkStart w:id="469" w:name="_Toc403273397"/>
      <w:bookmarkStart w:id="470" w:name="_Toc403273546"/>
      <w:bookmarkStart w:id="471" w:name="_Toc403274505"/>
      <w:bookmarkStart w:id="472" w:name="_Toc403280001"/>
      <w:bookmarkStart w:id="473" w:name="_Toc404285802"/>
      <w:bookmarkStart w:id="474" w:name="_Toc404621751"/>
      <w:bookmarkStart w:id="475" w:name="_Toc404624392"/>
      <w:bookmarkStart w:id="476" w:name="_Toc33622418"/>
      <w:r w:rsidRPr="00E4265B">
        <w:rPr>
          <w:rFonts w:ascii="Arial" w:hAnsi="Arial" w:cs="Arial"/>
          <w:sz w:val="22"/>
          <w:szCs w:val="22"/>
        </w:rPr>
        <w:t>Calculation of the Market Risk Capital Requirement</w:t>
      </w:r>
      <w:bookmarkEnd w:id="467"/>
      <w:bookmarkEnd w:id="468"/>
      <w:bookmarkEnd w:id="469"/>
      <w:bookmarkEnd w:id="470"/>
      <w:bookmarkEnd w:id="471"/>
      <w:bookmarkEnd w:id="472"/>
      <w:bookmarkEnd w:id="473"/>
      <w:bookmarkEnd w:id="474"/>
      <w:bookmarkEnd w:id="475"/>
      <w:bookmarkEnd w:id="476"/>
    </w:p>
    <w:p w14:paraId="47A5F60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calculate its Market Risk Capital Requirement as the sum of the following components:</w:t>
      </w:r>
    </w:p>
    <w:p w14:paraId="44DC059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Interest Rate Risk Capital Requirement; </w:t>
      </w:r>
    </w:p>
    <w:p w14:paraId="47CF61A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Equity Risk Capital Requirement;</w:t>
      </w:r>
    </w:p>
    <w:p w14:paraId="79E1F77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Foreign Exchange Risk Capital Requirement;</w:t>
      </w:r>
    </w:p>
    <w:p w14:paraId="6CDE979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Commodities Risk Capital Requirement;</w:t>
      </w:r>
    </w:p>
    <w:p w14:paraId="326A91A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Option Risk Capital Requirement;</w:t>
      </w:r>
    </w:p>
    <w:p w14:paraId="3D61F7F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Collective Investment Fund Risk Capital Requirement; and</w:t>
      </w:r>
    </w:p>
    <w:p w14:paraId="72720808" w14:textId="77777777" w:rsidR="00E22FF2" w:rsidRPr="00E4265B" w:rsidRDefault="00877CEA" w:rsidP="008432F8">
      <w:pPr>
        <w:pStyle w:val="Heading5"/>
        <w:rPr>
          <w:rFonts w:ascii="Arial" w:hAnsi="Arial" w:cs="Arial"/>
          <w:sz w:val="22"/>
          <w:szCs w:val="22"/>
        </w:rPr>
      </w:pPr>
      <w:r w:rsidRPr="00E4265B">
        <w:rPr>
          <w:rFonts w:ascii="Arial" w:hAnsi="Arial" w:cs="Arial"/>
          <w:sz w:val="22"/>
          <w:szCs w:val="22"/>
        </w:rPr>
        <w:t>Securities</w:t>
      </w:r>
      <w:r w:rsidR="00E22FF2" w:rsidRPr="00E4265B">
        <w:rPr>
          <w:rFonts w:ascii="Arial" w:hAnsi="Arial" w:cs="Arial"/>
          <w:sz w:val="22"/>
          <w:szCs w:val="22"/>
        </w:rPr>
        <w:t xml:space="preserve"> Underwriting Capital Requirement.</w:t>
      </w:r>
    </w:p>
    <w:p w14:paraId="1BAB042F" w14:textId="77777777" w:rsidR="00E22FF2" w:rsidRPr="00E4265B" w:rsidRDefault="00E22FF2" w:rsidP="0056158E">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0ACC3A7F" w14:textId="77777777" w:rsidR="00E22FF2" w:rsidRPr="00E4265B" w:rsidRDefault="00E22FF2" w:rsidP="0056158E">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Detailed Rules and Guidance in respect of the Market Risk Capital Requirement and each of its components in (a) to (g) are contained in this Chapter.</w:t>
      </w:r>
    </w:p>
    <w:p w14:paraId="57ECCF2F" w14:textId="77777777" w:rsidR="00E22FF2" w:rsidRPr="00E4265B" w:rsidRDefault="00E22FF2" w:rsidP="0056158E">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Rules and Guidance in respect of calculating Market Risk for Islamic Contracts are contained in the IFR </w:t>
      </w:r>
      <w:r w:rsidR="00652C1B" w:rsidRPr="00E4265B">
        <w:rPr>
          <w:rFonts w:ascii="Arial" w:hAnsi="Arial" w:cs="Arial"/>
          <w:sz w:val="22"/>
          <w:szCs w:val="22"/>
          <w:lang w:val="en-GB"/>
        </w:rPr>
        <w:t>rules</w:t>
      </w:r>
      <w:r w:rsidRPr="00E4265B">
        <w:rPr>
          <w:rFonts w:ascii="Arial" w:hAnsi="Arial" w:cs="Arial"/>
          <w:sz w:val="22"/>
          <w:szCs w:val="22"/>
          <w:lang w:val="en-GB"/>
        </w:rPr>
        <w:t>.</w:t>
      </w:r>
    </w:p>
    <w:p w14:paraId="32D52EFE" w14:textId="77777777" w:rsidR="00E22FF2" w:rsidRPr="00E4265B" w:rsidRDefault="00E22FF2" w:rsidP="00246497">
      <w:pPr>
        <w:pStyle w:val="Heading3"/>
        <w:rPr>
          <w:rFonts w:ascii="Arial" w:hAnsi="Arial" w:cs="Arial"/>
          <w:sz w:val="22"/>
          <w:szCs w:val="22"/>
        </w:rPr>
      </w:pPr>
      <w:bookmarkStart w:id="477" w:name="_Toc403223960"/>
      <w:bookmarkStart w:id="478" w:name="_Toc403253998"/>
      <w:bookmarkStart w:id="479" w:name="_Toc403273398"/>
      <w:bookmarkStart w:id="480" w:name="_Toc403273547"/>
      <w:bookmarkStart w:id="481" w:name="_Toc403274506"/>
      <w:bookmarkStart w:id="482" w:name="_Toc403280002"/>
      <w:bookmarkStart w:id="483" w:name="_Toc404285803"/>
      <w:bookmarkStart w:id="484" w:name="_Toc404621752"/>
      <w:bookmarkStart w:id="485" w:name="_Toc404624393"/>
      <w:bookmarkStart w:id="486" w:name="_Toc33622419"/>
      <w:r w:rsidRPr="00E4265B">
        <w:rPr>
          <w:rFonts w:ascii="Arial" w:hAnsi="Arial" w:cs="Arial"/>
          <w:sz w:val="22"/>
          <w:szCs w:val="22"/>
        </w:rPr>
        <w:t>Interest Rate Risk Capital Requirement</w:t>
      </w:r>
      <w:bookmarkEnd w:id="477"/>
      <w:bookmarkEnd w:id="478"/>
      <w:bookmarkEnd w:id="479"/>
      <w:bookmarkEnd w:id="480"/>
      <w:bookmarkEnd w:id="481"/>
      <w:bookmarkEnd w:id="482"/>
      <w:bookmarkEnd w:id="483"/>
      <w:bookmarkEnd w:id="484"/>
      <w:bookmarkEnd w:id="485"/>
      <w:bookmarkEnd w:id="486"/>
    </w:p>
    <w:p w14:paraId="377895D9"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 Category 1 or 2 must calculate its Interest Rate Risk Capital Requirement in respect of Trading Book transactions:</w:t>
      </w:r>
    </w:p>
    <w:p w14:paraId="28197BE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by applying its internal Market Risk model which has been approved by the Regulator for this purpose; or</w:t>
      </w:r>
    </w:p>
    <w:p w14:paraId="74B4019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by applying the Rules set out in Section A</w:t>
      </w:r>
      <w:r w:rsidR="00E762BF" w:rsidRPr="00E4265B">
        <w:rPr>
          <w:rFonts w:ascii="Arial" w:hAnsi="Arial" w:cs="Arial"/>
          <w:sz w:val="22"/>
          <w:szCs w:val="22"/>
        </w:rPr>
        <w:t>6</w:t>
      </w:r>
      <w:r w:rsidRPr="00E4265B">
        <w:rPr>
          <w:rFonts w:ascii="Arial" w:hAnsi="Arial" w:cs="Arial"/>
          <w:sz w:val="22"/>
          <w:szCs w:val="22"/>
        </w:rPr>
        <w:t>.2.</w:t>
      </w:r>
    </w:p>
    <w:p w14:paraId="38AF1863" w14:textId="77777777" w:rsidR="00E22FF2" w:rsidRPr="00E4265B" w:rsidRDefault="00E22FF2" w:rsidP="00246497">
      <w:pPr>
        <w:pStyle w:val="Heading3"/>
        <w:rPr>
          <w:rFonts w:ascii="Arial" w:hAnsi="Arial" w:cs="Arial"/>
          <w:sz w:val="22"/>
          <w:szCs w:val="22"/>
        </w:rPr>
      </w:pPr>
      <w:bookmarkStart w:id="487" w:name="_Toc403223961"/>
      <w:bookmarkStart w:id="488" w:name="_Toc403253999"/>
      <w:bookmarkStart w:id="489" w:name="_Toc403273399"/>
      <w:bookmarkStart w:id="490" w:name="_Toc403273548"/>
      <w:bookmarkStart w:id="491" w:name="_Toc403274507"/>
      <w:bookmarkStart w:id="492" w:name="_Toc403280003"/>
      <w:bookmarkStart w:id="493" w:name="_Toc404285804"/>
      <w:bookmarkStart w:id="494" w:name="_Toc404621753"/>
      <w:bookmarkStart w:id="495" w:name="_Toc404624394"/>
      <w:bookmarkStart w:id="496" w:name="_Toc33622420"/>
      <w:r w:rsidRPr="00E4265B">
        <w:rPr>
          <w:rFonts w:ascii="Arial" w:hAnsi="Arial" w:cs="Arial"/>
          <w:sz w:val="22"/>
          <w:szCs w:val="22"/>
        </w:rPr>
        <w:t>Equity Risk Capital Requirement</w:t>
      </w:r>
      <w:bookmarkEnd w:id="487"/>
      <w:bookmarkEnd w:id="488"/>
      <w:bookmarkEnd w:id="489"/>
      <w:bookmarkEnd w:id="490"/>
      <w:bookmarkEnd w:id="491"/>
      <w:bookmarkEnd w:id="492"/>
      <w:bookmarkEnd w:id="493"/>
      <w:bookmarkEnd w:id="494"/>
      <w:bookmarkEnd w:id="495"/>
      <w:bookmarkEnd w:id="496"/>
    </w:p>
    <w:p w14:paraId="30476FE6"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 Category 1, 2 or 5, must calculate its Equity Risk Capital Requirement in respect of Trading Book transactions:</w:t>
      </w:r>
    </w:p>
    <w:p w14:paraId="3F9C8D8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by applying its internal Market Risk Model which has been approved by the Regulator for this purpose; or</w:t>
      </w:r>
    </w:p>
    <w:p w14:paraId="73EECFC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by applying the Rules set out in Section A</w:t>
      </w:r>
      <w:r w:rsidR="00E762BF" w:rsidRPr="00E4265B">
        <w:rPr>
          <w:rFonts w:ascii="Arial" w:hAnsi="Arial" w:cs="Arial"/>
          <w:sz w:val="22"/>
          <w:szCs w:val="22"/>
        </w:rPr>
        <w:t>6</w:t>
      </w:r>
      <w:r w:rsidRPr="00E4265B">
        <w:rPr>
          <w:rFonts w:ascii="Arial" w:hAnsi="Arial" w:cs="Arial"/>
          <w:sz w:val="22"/>
          <w:szCs w:val="22"/>
        </w:rPr>
        <w:t>.3.</w:t>
      </w:r>
    </w:p>
    <w:p w14:paraId="2BA70886" w14:textId="77777777" w:rsidR="00E22FF2" w:rsidRPr="00E4265B" w:rsidRDefault="00E22FF2" w:rsidP="00246497">
      <w:pPr>
        <w:pStyle w:val="Heading3"/>
        <w:rPr>
          <w:rFonts w:ascii="Arial" w:hAnsi="Arial" w:cs="Arial"/>
          <w:sz w:val="22"/>
          <w:szCs w:val="22"/>
        </w:rPr>
      </w:pPr>
      <w:bookmarkStart w:id="497" w:name="_Toc403223962"/>
      <w:bookmarkStart w:id="498" w:name="_Toc403254000"/>
      <w:bookmarkStart w:id="499" w:name="_Toc403273400"/>
      <w:bookmarkStart w:id="500" w:name="_Toc403273549"/>
      <w:bookmarkStart w:id="501" w:name="_Toc403274508"/>
      <w:bookmarkStart w:id="502" w:name="_Toc403280004"/>
      <w:bookmarkStart w:id="503" w:name="_Toc404285805"/>
      <w:bookmarkStart w:id="504" w:name="_Toc404621754"/>
      <w:bookmarkStart w:id="505" w:name="_Toc404624395"/>
      <w:bookmarkStart w:id="506" w:name="_Toc33622421"/>
      <w:r w:rsidRPr="00E4265B">
        <w:rPr>
          <w:rFonts w:ascii="Arial" w:hAnsi="Arial" w:cs="Arial"/>
          <w:sz w:val="22"/>
          <w:szCs w:val="22"/>
        </w:rPr>
        <w:t>Foreign Exchange Risk Capital Requirement</w:t>
      </w:r>
      <w:bookmarkEnd w:id="497"/>
      <w:bookmarkEnd w:id="498"/>
      <w:bookmarkEnd w:id="499"/>
      <w:bookmarkEnd w:id="500"/>
      <w:bookmarkEnd w:id="501"/>
      <w:bookmarkEnd w:id="502"/>
      <w:bookmarkEnd w:id="503"/>
      <w:bookmarkEnd w:id="504"/>
      <w:bookmarkEnd w:id="505"/>
      <w:bookmarkEnd w:id="506"/>
    </w:p>
    <w:p w14:paraId="41FECBBB"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 Category 1, 2, 3A or 5 must, subject to Rule 5.6.2, calculate its Foreign Exchange Risk Capital Requirement in respect of Trading Book and Non</w:t>
      </w:r>
      <w:r w:rsidRPr="00E4265B">
        <w:rPr>
          <w:rFonts w:ascii="Arial" w:hAnsi="Arial" w:cs="Arial"/>
          <w:sz w:val="22"/>
          <w:szCs w:val="22"/>
        </w:rPr>
        <w:noBreakHyphen/>
        <w:t>Trading Book foreign exchange positions by:</w:t>
      </w:r>
    </w:p>
    <w:p w14:paraId="66DA909C"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applying its internal Market Risk model which has been approved by the Regulator for this purpose; or</w:t>
      </w:r>
    </w:p>
    <w:p w14:paraId="69EA9C0B"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applying the Rules in Section A</w:t>
      </w:r>
      <w:r w:rsidR="00E762BF" w:rsidRPr="00E4265B">
        <w:rPr>
          <w:rFonts w:ascii="Arial" w:hAnsi="Arial" w:cs="Arial"/>
          <w:sz w:val="22"/>
          <w:szCs w:val="22"/>
        </w:rPr>
        <w:t>6</w:t>
      </w:r>
      <w:r w:rsidRPr="00E4265B">
        <w:rPr>
          <w:rFonts w:ascii="Arial" w:hAnsi="Arial" w:cs="Arial"/>
          <w:sz w:val="22"/>
          <w:szCs w:val="22"/>
        </w:rPr>
        <w:t>.4.</w:t>
      </w:r>
    </w:p>
    <w:p w14:paraId="687136F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need not calculate a Foreign Exchange Risk Capital Requirement if:</w:t>
      </w:r>
    </w:p>
    <w:p w14:paraId="5A57CF2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its Foreign Currency business, defined as the greater of the sum of its gross long positions and the sum of its gross short positions in all Foreign Currencies, does not exceed 100% of Capital Resources as defined in Chapter 3; and</w:t>
      </w:r>
    </w:p>
    <w:p w14:paraId="75B2979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its overall net open position as defined in Rule A</w:t>
      </w:r>
      <w:r w:rsidR="00E762BF" w:rsidRPr="00E4265B">
        <w:rPr>
          <w:rFonts w:ascii="Arial" w:hAnsi="Arial" w:cs="Arial"/>
          <w:sz w:val="22"/>
          <w:szCs w:val="22"/>
        </w:rPr>
        <w:t>6</w:t>
      </w:r>
      <w:r w:rsidRPr="00E4265B">
        <w:rPr>
          <w:rFonts w:ascii="Arial" w:hAnsi="Arial" w:cs="Arial"/>
          <w:sz w:val="22"/>
          <w:szCs w:val="22"/>
        </w:rPr>
        <w:t>.4.4 does not exceed 2% of its Capital Resources as defined in Chapter 3.</w:t>
      </w:r>
    </w:p>
    <w:p w14:paraId="5F6EF4FE" w14:textId="77777777" w:rsidR="00E22FF2" w:rsidRPr="00E4265B" w:rsidRDefault="00E22FF2" w:rsidP="00246497">
      <w:pPr>
        <w:pStyle w:val="Heading3"/>
        <w:rPr>
          <w:rFonts w:ascii="Arial" w:hAnsi="Arial" w:cs="Arial"/>
          <w:sz w:val="22"/>
          <w:szCs w:val="22"/>
        </w:rPr>
      </w:pPr>
      <w:bookmarkStart w:id="507" w:name="_Toc403223963"/>
      <w:bookmarkStart w:id="508" w:name="_Toc403254001"/>
      <w:bookmarkStart w:id="509" w:name="_Toc403273401"/>
      <w:bookmarkStart w:id="510" w:name="_Toc403273550"/>
      <w:bookmarkStart w:id="511" w:name="_Toc403274509"/>
      <w:bookmarkStart w:id="512" w:name="_Toc403280005"/>
      <w:bookmarkStart w:id="513" w:name="_Toc404285806"/>
      <w:bookmarkStart w:id="514" w:name="_Toc404621755"/>
      <w:bookmarkStart w:id="515" w:name="_Toc404624396"/>
      <w:bookmarkStart w:id="516" w:name="_Toc33622422"/>
      <w:r w:rsidRPr="00E4265B">
        <w:rPr>
          <w:rFonts w:ascii="Arial" w:hAnsi="Arial" w:cs="Arial"/>
          <w:sz w:val="22"/>
          <w:szCs w:val="22"/>
        </w:rPr>
        <w:t>Commodities Risk Capital Requirement</w:t>
      </w:r>
      <w:bookmarkEnd w:id="507"/>
      <w:bookmarkEnd w:id="508"/>
      <w:bookmarkEnd w:id="509"/>
      <w:bookmarkEnd w:id="510"/>
      <w:bookmarkEnd w:id="511"/>
      <w:bookmarkEnd w:id="512"/>
      <w:bookmarkEnd w:id="513"/>
      <w:bookmarkEnd w:id="514"/>
      <w:bookmarkEnd w:id="515"/>
      <w:bookmarkEnd w:id="516"/>
    </w:p>
    <w:p w14:paraId="3EB98C7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 Category 1, 2 or 5 must calculate its Commodities Risk Capital Requirement in respect of Trading Book and Non</w:t>
      </w:r>
      <w:r w:rsidRPr="00E4265B">
        <w:rPr>
          <w:rFonts w:ascii="Arial" w:hAnsi="Arial" w:cs="Arial"/>
          <w:sz w:val="22"/>
          <w:szCs w:val="22"/>
        </w:rPr>
        <w:noBreakHyphen/>
        <w:t>Trading Book commodity positions by:</w:t>
      </w:r>
    </w:p>
    <w:p w14:paraId="6F4E830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lastRenderedPageBreak/>
        <w:t>applying its internal Market Risk model which has been approved by the Regulator for this purpose; or</w:t>
      </w:r>
    </w:p>
    <w:p w14:paraId="3206710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applying the Rules set out in Section A</w:t>
      </w:r>
      <w:r w:rsidR="00E762BF" w:rsidRPr="00E4265B">
        <w:rPr>
          <w:rFonts w:ascii="Arial" w:hAnsi="Arial" w:cs="Arial"/>
          <w:sz w:val="22"/>
          <w:szCs w:val="22"/>
        </w:rPr>
        <w:t>6</w:t>
      </w:r>
      <w:r w:rsidRPr="00E4265B">
        <w:rPr>
          <w:rFonts w:ascii="Arial" w:hAnsi="Arial" w:cs="Arial"/>
          <w:sz w:val="22"/>
          <w:szCs w:val="22"/>
        </w:rPr>
        <w:t>.5.</w:t>
      </w:r>
    </w:p>
    <w:p w14:paraId="3C2BC5C8" w14:textId="77777777" w:rsidR="00E22FF2" w:rsidRPr="00E4265B" w:rsidRDefault="00E22FF2" w:rsidP="00246497">
      <w:pPr>
        <w:pStyle w:val="Heading3"/>
        <w:rPr>
          <w:rFonts w:ascii="Arial" w:hAnsi="Arial" w:cs="Arial"/>
          <w:sz w:val="22"/>
          <w:szCs w:val="22"/>
        </w:rPr>
      </w:pPr>
      <w:bookmarkStart w:id="517" w:name="_Toc403223964"/>
      <w:bookmarkStart w:id="518" w:name="_Toc403254002"/>
      <w:bookmarkStart w:id="519" w:name="_Toc403273402"/>
      <w:bookmarkStart w:id="520" w:name="_Toc403273551"/>
      <w:bookmarkStart w:id="521" w:name="_Toc403274510"/>
      <w:bookmarkStart w:id="522" w:name="_Toc403280006"/>
      <w:bookmarkStart w:id="523" w:name="_Toc404285807"/>
      <w:bookmarkStart w:id="524" w:name="_Toc404621756"/>
      <w:bookmarkStart w:id="525" w:name="_Toc404624397"/>
      <w:bookmarkStart w:id="526" w:name="_Toc33622423"/>
      <w:r w:rsidRPr="00E4265B">
        <w:rPr>
          <w:rFonts w:ascii="Arial" w:hAnsi="Arial" w:cs="Arial"/>
          <w:sz w:val="22"/>
          <w:szCs w:val="22"/>
        </w:rPr>
        <w:t>Option Risk Capital Requirement</w:t>
      </w:r>
      <w:bookmarkEnd w:id="517"/>
      <w:bookmarkEnd w:id="518"/>
      <w:bookmarkEnd w:id="519"/>
      <w:bookmarkEnd w:id="520"/>
      <w:bookmarkEnd w:id="521"/>
      <w:bookmarkEnd w:id="522"/>
      <w:bookmarkEnd w:id="523"/>
      <w:bookmarkEnd w:id="524"/>
      <w:bookmarkEnd w:id="525"/>
      <w:bookmarkEnd w:id="526"/>
    </w:p>
    <w:p w14:paraId="764F5D20"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 Category 1, 2 or 5 must calculate an Option Risk Capital Requirement if it has positions in Options in its Trading Book by:</w:t>
      </w:r>
    </w:p>
    <w:p w14:paraId="5DB47BC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applying its internally developed Market Risk model which has been approved by the Regulator for this purpose; or</w:t>
      </w:r>
    </w:p>
    <w:p w14:paraId="6FFE45F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by applying the Rules set out in Section A</w:t>
      </w:r>
      <w:r w:rsidR="00E762BF" w:rsidRPr="00E4265B">
        <w:rPr>
          <w:rFonts w:ascii="Arial" w:hAnsi="Arial" w:cs="Arial"/>
          <w:sz w:val="22"/>
          <w:szCs w:val="22"/>
        </w:rPr>
        <w:t>6</w:t>
      </w:r>
      <w:r w:rsidRPr="00E4265B">
        <w:rPr>
          <w:rFonts w:ascii="Arial" w:hAnsi="Arial" w:cs="Arial"/>
          <w:sz w:val="22"/>
          <w:szCs w:val="22"/>
        </w:rPr>
        <w:t>.6.</w:t>
      </w:r>
    </w:p>
    <w:p w14:paraId="08CEA3B8" w14:textId="77777777" w:rsidR="00E22FF2" w:rsidRPr="00E4265B" w:rsidRDefault="00E22FF2" w:rsidP="00246497">
      <w:pPr>
        <w:pStyle w:val="Heading3"/>
        <w:rPr>
          <w:rFonts w:ascii="Arial" w:hAnsi="Arial" w:cs="Arial"/>
          <w:sz w:val="22"/>
          <w:szCs w:val="22"/>
        </w:rPr>
      </w:pPr>
      <w:bookmarkStart w:id="527" w:name="_Toc403223965"/>
      <w:bookmarkStart w:id="528" w:name="_Toc403254003"/>
      <w:bookmarkStart w:id="529" w:name="_Toc403273403"/>
      <w:bookmarkStart w:id="530" w:name="_Toc403273552"/>
      <w:bookmarkStart w:id="531" w:name="_Toc403274511"/>
      <w:bookmarkStart w:id="532" w:name="_Toc403280007"/>
      <w:bookmarkStart w:id="533" w:name="_Toc404285808"/>
      <w:bookmarkStart w:id="534" w:name="_Toc404621757"/>
      <w:bookmarkStart w:id="535" w:name="_Toc404624398"/>
      <w:bookmarkStart w:id="536" w:name="_Toc33622424"/>
      <w:r w:rsidRPr="00E4265B">
        <w:rPr>
          <w:rFonts w:ascii="Arial" w:hAnsi="Arial" w:cs="Arial"/>
          <w:sz w:val="22"/>
          <w:szCs w:val="22"/>
        </w:rPr>
        <w:t>Collective Investment Fund Risk Capital Requirement</w:t>
      </w:r>
      <w:bookmarkEnd w:id="527"/>
      <w:bookmarkEnd w:id="528"/>
      <w:bookmarkEnd w:id="529"/>
      <w:bookmarkEnd w:id="530"/>
      <w:bookmarkEnd w:id="531"/>
      <w:bookmarkEnd w:id="532"/>
      <w:bookmarkEnd w:id="533"/>
      <w:bookmarkEnd w:id="534"/>
      <w:bookmarkEnd w:id="535"/>
      <w:bookmarkEnd w:id="536"/>
    </w:p>
    <w:p w14:paraId="7A6B89E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 Category 1, 2 or 5 must calculate its Collective Investment Fund Risk Capital Requirement in respect of Trading Book positions in Units in a Collective Investment Fund by:</w:t>
      </w:r>
    </w:p>
    <w:p w14:paraId="0A966EB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applying its internally developed Market Risk model which has been approved by the Regulator for this purpose; or</w:t>
      </w:r>
    </w:p>
    <w:p w14:paraId="4822FA0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applying the Rules set out in Section A</w:t>
      </w:r>
      <w:r w:rsidR="00E762BF" w:rsidRPr="00E4265B">
        <w:rPr>
          <w:rFonts w:ascii="Arial" w:hAnsi="Arial" w:cs="Arial"/>
          <w:sz w:val="22"/>
          <w:szCs w:val="22"/>
        </w:rPr>
        <w:t>6</w:t>
      </w:r>
      <w:r w:rsidRPr="00E4265B">
        <w:rPr>
          <w:rFonts w:ascii="Arial" w:hAnsi="Arial" w:cs="Arial"/>
          <w:sz w:val="22"/>
          <w:szCs w:val="22"/>
        </w:rPr>
        <w:t>.7.</w:t>
      </w:r>
    </w:p>
    <w:p w14:paraId="00DF2003" w14:textId="77777777" w:rsidR="00E22FF2" w:rsidRPr="00E4265B" w:rsidRDefault="00877CEA" w:rsidP="00246497">
      <w:pPr>
        <w:pStyle w:val="Heading3"/>
        <w:rPr>
          <w:rFonts w:ascii="Arial" w:hAnsi="Arial" w:cs="Arial"/>
          <w:sz w:val="22"/>
          <w:szCs w:val="22"/>
        </w:rPr>
      </w:pPr>
      <w:bookmarkStart w:id="537" w:name="_Toc403223966"/>
      <w:bookmarkStart w:id="538" w:name="_Toc403254004"/>
      <w:bookmarkStart w:id="539" w:name="_Toc403273404"/>
      <w:bookmarkStart w:id="540" w:name="_Toc403273553"/>
      <w:bookmarkStart w:id="541" w:name="_Toc403274512"/>
      <w:bookmarkStart w:id="542" w:name="_Toc403280008"/>
      <w:bookmarkStart w:id="543" w:name="_Toc404285809"/>
      <w:bookmarkStart w:id="544" w:name="_Toc404621758"/>
      <w:bookmarkStart w:id="545" w:name="_Toc404624399"/>
      <w:bookmarkStart w:id="546" w:name="_Toc33622425"/>
      <w:r w:rsidRPr="00E4265B">
        <w:rPr>
          <w:rFonts w:ascii="Arial" w:hAnsi="Arial" w:cs="Arial"/>
          <w:sz w:val="22"/>
          <w:szCs w:val="22"/>
        </w:rPr>
        <w:t>Securities</w:t>
      </w:r>
      <w:r w:rsidR="00E22FF2" w:rsidRPr="00E4265B">
        <w:rPr>
          <w:rFonts w:ascii="Arial" w:hAnsi="Arial" w:cs="Arial"/>
          <w:sz w:val="22"/>
          <w:szCs w:val="22"/>
        </w:rPr>
        <w:t xml:space="preserve"> Underwriting Capital Requirement</w:t>
      </w:r>
      <w:bookmarkEnd w:id="537"/>
      <w:bookmarkEnd w:id="538"/>
      <w:bookmarkEnd w:id="539"/>
      <w:bookmarkEnd w:id="540"/>
      <w:bookmarkEnd w:id="541"/>
      <w:bookmarkEnd w:id="542"/>
      <w:bookmarkEnd w:id="543"/>
      <w:bookmarkEnd w:id="544"/>
      <w:bookmarkEnd w:id="545"/>
      <w:bookmarkEnd w:id="546"/>
    </w:p>
    <w:p w14:paraId="0ADBC66B"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This Section applies to an </w:t>
      </w:r>
      <w:r w:rsidR="000D1A90" w:rsidRPr="00E4265B">
        <w:rPr>
          <w:rFonts w:ascii="Arial" w:hAnsi="Arial" w:cs="Arial"/>
          <w:sz w:val="22"/>
          <w:szCs w:val="22"/>
        </w:rPr>
        <w:t>Authorised Person</w:t>
      </w:r>
      <w:r w:rsidRPr="00E4265B">
        <w:rPr>
          <w:rFonts w:ascii="Arial" w:hAnsi="Arial" w:cs="Arial"/>
          <w:sz w:val="22"/>
          <w:szCs w:val="22"/>
        </w:rPr>
        <w:t xml:space="preserve"> in Category 1, 2 or 5 in respect of Trading Book </w:t>
      </w:r>
      <w:r w:rsidR="00877CEA" w:rsidRPr="00E4265B">
        <w:rPr>
          <w:rFonts w:ascii="Arial" w:hAnsi="Arial" w:cs="Arial"/>
          <w:sz w:val="22"/>
          <w:szCs w:val="22"/>
        </w:rPr>
        <w:t>Securities</w:t>
      </w:r>
      <w:r w:rsidRPr="00E4265B">
        <w:rPr>
          <w:rFonts w:ascii="Arial" w:hAnsi="Arial" w:cs="Arial"/>
          <w:sz w:val="22"/>
          <w:szCs w:val="22"/>
        </w:rPr>
        <w:t xml:space="preserve"> Underwriting positions.</w:t>
      </w:r>
    </w:p>
    <w:p w14:paraId="2C57BA9C" w14:textId="77777777" w:rsidR="00E22FF2" w:rsidRPr="00E4265B" w:rsidRDefault="00E22FF2" w:rsidP="0056158E">
      <w:pPr>
        <w:pStyle w:val="TitleL5"/>
        <w:rPr>
          <w:rFonts w:ascii="Arial" w:hAnsi="Arial" w:cs="Arial"/>
          <w:sz w:val="22"/>
          <w:szCs w:val="22"/>
          <w:lang w:val="en-GB"/>
        </w:rPr>
      </w:pPr>
      <w:r w:rsidRPr="00E4265B">
        <w:rPr>
          <w:rFonts w:ascii="Arial" w:hAnsi="Arial" w:cs="Arial"/>
          <w:sz w:val="22"/>
          <w:szCs w:val="22"/>
          <w:lang w:val="en-GB"/>
        </w:rPr>
        <w:t>Guidance</w:t>
      </w:r>
    </w:p>
    <w:p w14:paraId="3C9EB971" w14:textId="19A618F2" w:rsidR="00E22FF2" w:rsidRPr="00E4265B" w:rsidRDefault="00E22FF2" w:rsidP="00896E3B">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This Section sets out a framework for calculating the amount of Capital Requirement when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commitments to underwrite an issue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and the associated risk management standards which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Underwriting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w:t>
      </w:r>
      <w:r w:rsidR="00896E3B" w:rsidRPr="00E4265B">
        <w:rPr>
          <w:rFonts w:ascii="Arial" w:hAnsi="Arial" w:cs="Arial"/>
          <w:sz w:val="22"/>
          <w:szCs w:val="22"/>
          <w:lang w:val="en-GB"/>
        </w:rPr>
        <w:t>must</w:t>
      </w:r>
      <w:r w:rsidRPr="00E4265B">
        <w:rPr>
          <w:rFonts w:ascii="Arial" w:hAnsi="Arial" w:cs="Arial"/>
          <w:sz w:val="22"/>
          <w:szCs w:val="22"/>
          <w:lang w:val="en-GB"/>
        </w:rPr>
        <w:t xml:space="preserve"> meet.</w:t>
      </w:r>
    </w:p>
    <w:p w14:paraId="303D002D"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establish and maintain such systems and controls to monitor and manage its Underwriting and sub</w:t>
      </w:r>
      <w:r w:rsidRPr="00E4265B">
        <w:rPr>
          <w:rFonts w:ascii="Arial" w:hAnsi="Arial" w:cs="Arial"/>
          <w:sz w:val="22"/>
          <w:szCs w:val="22"/>
        </w:rPr>
        <w:noBreakHyphen/>
      </w:r>
      <w:r w:rsidR="00C033FC" w:rsidRPr="00E4265B">
        <w:rPr>
          <w:rFonts w:ascii="Arial" w:hAnsi="Arial" w:cs="Arial"/>
          <w:sz w:val="22"/>
          <w:szCs w:val="22"/>
        </w:rPr>
        <w:t>Underwriting</w:t>
      </w:r>
      <w:r w:rsidRPr="00E4265B">
        <w:rPr>
          <w:rFonts w:ascii="Arial" w:hAnsi="Arial" w:cs="Arial"/>
          <w:sz w:val="22"/>
          <w:szCs w:val="22"/>
        </w:rPr>
        <w:t xml:space="preserve"> business as are appropriate to the nature, scale and complexity of its Underwriting and sub</w:t>
      </w:r>
      <w:r w:rsidRPr="00E4265B">
        <w:rPr>
          <w:rFonts w:ascii="Arial" w:hAnsi="Arial" w:cs="Arial"/>
          <w:sz w:val="22"/>
          <w:szCs w:val="22"/>
        </w:rPr>
        <w:noBreakHyphen/>
      </w:r>
      <w:r w:rsidR="00C033FC" w:rsidRPr="00E4265B">
        <w:rPr>
          <w:rFonts w:ascii="Arial" w:hAnsi="Arial" w:cs="Arial"/>
          <w:sz w:val="22"/>
          <w:szCs w:val="22"/>
        </w:rPr>
        <w:t>Underwriting</w:t>
      </w:r>
      <w:r w:rsidRPr="00E4265B">
        <w:rPr>
          <w:rFonts w:ascii="Arial" w:hAnsi="Arial" w:cs="Arial"/>
          <w:sz w:val="22"/>
          <w:szCs w:val="22"/>
        </w:rPr>
        <w:t xml:space="preserve"> business.</w:t>
      </w:r>
    </w:p>
    <w:p w14:paraId="2F3C9185" w14:textId="77777777" w:rsidR="00E22FF2" w:rsidRPr="00E4265B" w:rsidRDefault="00E22FF2" w:rsidP="0056158E">
      <w:pPr>
        <w:pStyle w:val="TitleL5"/>
        <w:rPr>
          <w:rFonts w:ascii="Arial" w:hAnsi="Arial" w:cs="Arial"/>
          <w:sz w:val="22"/>
          <w:szCs w:val="22"/>
          <w:lang w:val="en-GB"/>
        </w:rPr>
      </w:pPr>
      <w:r w:rsidRPr="00E4265B">
        <w:rPr>
          <w:rFonts w:ascii="Arial" w:hAnsi="Arial" w:cs="Arial"/>
          <w:sz w:val="22"/>
          <w:szCs w:val="22"/>
          <w:lang w:val="en-GB"/>
        </w:rPr>
        <w:t>Guidance</w:t>
      </w:r>
    </w:p>
    <w:p w14:paraId="41A7669F" w14:textId="77777777" w:rsidR="00E22FF2" w:rsidRPr="00E4265B" w:rsidRDefault="00E22FF2" w:rsidP="0056158E">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take reasonable steps to:</w:t>
      </w:r>
    </w:p>
    <w:p w14:paraId="4E18AA4B"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allocate responsibility for the management of its Underwriting and 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 xml:space="preserve"> business;</w:t>
      </w:r>
    </w:p>
    <w:p w14:paraId="2349D27E"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allocate adequate resources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monitor and control its Underwriting and 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 xml:space="preserve"> business;</w:t>
      </w:r>
    </w:p>
    <w:p w14:paraId="621CFE0B"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satisfy itself that its systems to monitor its Exposure to a Counterparty will calculate, revise and update its Underwriting Exposure to each Counterparty and its Capital Requirements;</w:t>
      </w:r>
    </w:p>
    <w:p w14:paraId="0D4AD6C6"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lastRenderedPageBreak/>
        <w:t>d.</w:t>
      </w:r>
      <w:r w:rsidRPr="00E4265B">
        <w:rPr>
          <w:rFonts w:ascii="Arial" w:hAnsi="Arial" w:cs="Arial"/>
          <w:sz w:val="22"/>
          <w:szCs w:val="22"/>
          <w:lang w:val="en-GB"/>
        </w:rPr>
        <w:tab/>
        <w:t xml:space="preserve">satisfy itself of the suitability of each </w:t>
      </w:r>
      <w:r w:rsidR="00FB0EF8" w:rsidRPr="00E4265B">
        <w:rPr>
          <w:rFonts w:ascii="Arial" w:hAnsi="Arial" w:cs="Arial"/>
          <w:sz w:val="22"/>
          <w:szCs w:val="22"/>
          <w:lang w:val="en-GB"/>
        </w:rPr>
        <w:t>Person</w:t>
      </w:r>
      <w:r w:rsidRPr="00E4265B">
        <w:rPr>
          <w:rFonts w:ascii="Arial" w:hAnsi="Arial" w:cs="Arial"/>
          <w:sz w:val="22"/>
          <w:szCs w:val="22"/>
          <w:lang w:val="en-GB"/>
        </w:rPr>
        <w:t xml:space="preserve"> who performs functions for it in connection with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Underwriting business, having regard to the </w:t>
      </w:r>
      <w:r w:rsidR="00FB0EF8" w:rsidRPr="00E4265B">
        <w:rPr>
          <w:rFonts w:ascii="Arial" w:hAnsi="Arial" w:cs="Arial"/>
          <w:sz w:val="22"/>
          <w:szCs w:val="22"/>
          <w:lang w:val="en-GB"/>
        </w:rPr>
        <w:t>Person</w:t>
      </w:r>
      <w:r w:rsidRPr="00E4265B">
        <w:rPr>
          <w:rFonts w:ascii="Arial" w:hAnsi="Arial" w:cs="Arial"/>
          <w:sz w:val="22"/>
          <w:szCs w:val="22"/>
          <w:lang w:val="en-GB"/>
        </w:rPr>
        <w:t>'s skill and experience; and</w:t>
      </w:r>
    </w:p>
    <w:p w14:paraId="0B1E1731"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satisfy itself that its procedures and controls to monitor and manage its Underwriting business address the capacity of sub</w:t>
      </w:r>
      <w:r w:rsidRPr="00E4265B">
        <w:rPr>
          <w:rFonts w:ascii="Arial" w:hAnsi="Arial" w:cs="Arial"/>
          <w:sz w:val="22"/>
          <w:szCs w:val="22"/>
          <w:lang w:val="en-GB"/>
        </w:rPr>
        <w:noBreakHyphen/>
        <w:t>underwriters to meet 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 xml:space="preserve"> commitments.</w:t>
      </w:r>
    </w:p>
    <w:p w14:paraId="1C6C5B31"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calculate a </w:t>
      </w:r>
      <w:r w:rsidR="00877CEA" w:rsidRPr="00E4265B">
        <w:rPr>
          <w:rFonts w:ascii="Arial" w:hAnsi="Arial" w:cs="Arial"/>
          <w:sz w:val="22"/>
          <w:szCs w:val="22"/>
        </w:rPr>
        <w:t>Securities</w:t>
      </w:r>
      <w:r w:rsidRPr="00E4265B">
        <w:rPr>
          <w:rFonts w:ascii="Arial" w:hAnsi="Arial" w:cs="Arial"/>
          <w:sz w:val="22"/>
          <w:szCs w:val="22"/>
        </w:rPr>
        <w:t xml:space="preserve"> Underwriting Capital Requirement if it has a commitment to underwrite or sub</w:t>
      </w:r>
      <w:r w:rsidRPr="00E4265B">
        <w:rPr>
          <w:rFonts w:ascii="Arial" w:hAnsi="Arial" w:cs="Arial"/>
          <w:sz w:val="22"/>
          <w:szCs w:val="22"/>
        </w:rPr>
        <w:noBreakHyphen/>
        <w:t xml:space="preserve">underwrite an issue of </w:t>
      </w:r>
      <w:r w:rsidR="00877CEA" w:rsidRPr="00E4265B">
        <w:rPr>
          <w:rFonts w:ascii="Arial" w:hAnsi="Arial" w:cs="Arial"/>
          <w:sz w:val="22"/>
          <w:szCs w:val="22"/>
        </w:rPr>
        <w:t>Securities</w:t>
      </w:r>
      <w:r w:rsidRPr="00E4265B">
        <w:rPr>
          <w:rFonts w:ascii="Arial" w:hAnsi="Arial" w:cs="Arial"/>
          <w:sz w:val="22"/>
          <w:szCs w:val="22"/>
        </w:rPr>
        <w:t>.</w:t>
      </w:r>
    </w:p>
    <w:p w14:paraId="03F3169C" w14:textId="77777777" w:rsidR="00E22FF2" w:rsidRPr="00E4265B" w:rsidRDefault="00E22FF2" w:rsidP="0056158E">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eastAsia="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a commitment to underwrite or sub</w:t>
      </w:r>
      <w:r w:rsidRPr="00E4265B">
        <w:rPr>
          <w:rFonts w:ascii="Arial" w:hAnsi="Arial" w:cs="Arial"/>
          <w:sz w:val="22"/>
          <w:szCs w:val="22"/>
          <w:lang w:val="en-GB"/>
        </w:rPr>
        <w:noBreakHyphen/>
        <w:t xml:space="preserve">underwrite an issue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where:</w:t>
      </w:r>
    </w:p>
    <w:p w14:paraId="1FB70DCE"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it gives a commitment to an Issuer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to underwrite an issue of </w:t>
      </w:r>
      <w:r w:rsidR="00877CEA" w:rsidRPr="00E4265B">
        <w:rPr>
          <w:rFonts w:ascii="Arial" w:hAnsi="Arial" w:cs="Arial"/>
          <w:sz w:val="22"/>
          <w:szCs w:val="22"/>
          <w:lang w:val="en-GB"/>
        </w:rPr>
        <w:t>Securities</w:t>
      </w:r>
      <w:r w:rsidRPr="00E4265B">
        <w:rPr>
          <w:rFonts w:ascii="Arial" w:hAnsi="Arial" w:cs="Arial"/>
          <w:sz w:val="22"/>
          <w:szCs w:val="22"/>
          <w:lang w:val="en-GB"/>
        </w:rPr>
        <w:t>;</w:t>
      </w:r>
    </w:p>
    <w:p w14:paraId="4C9954FA"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it gives a commitment to sub</w:t>
      </w:r>
      <w:r w:rsidRPr="00E4265B">
        <w:rPr>
          <w:rFonts w:ascii="Arial" w:hAnsi="Arial" w:cs="Arial"/>
          <w:sz w:val="22"/>
          <w:szCs w:val="22"/>
          <w:lang w:val="en-GB"/>
        </w:rPr>
        <w:noBreakHyphen/>
        <w:t xml:space="preserve">underwrite an issue of </w:t>
      </w:r>
      <w:r w:rsidR="00877CEA" w:rsidRPr="00E4265B">
        <w:rPr>
          <w:rFonts w:ascii="Arial" w:hAnsi="Arial" w:cs="Arial"/>
          <w:sz w:val="22"/>
          <w:szCs w:val="22"/>
          <w:lang w:val="en-GB"/>
        </w:rPr>
        <w:t>Securities</w:t>
      </w:r>
      <w:r w:rsidRPr="00E4265B">
        <w:rPr>
          <w:rFonts w:ascii="Arial" w:hAnsi="Arial" w:cs="Arial"/>
          <w:sz w:val="22"/>
          <w:szCs w:val="22"/>
          <w:lang w:val="en-GB"/>
        </w:rPr>
        <w:t>; or</w:t>
      </w:r>
    </w:p>
    <w:p w14:paraId="315DDD0D"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it is a member of a syndicate or Group that gives a commitment to an Issuer to underwrite an issue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or a commitment to sub</w:t>
      </w:r>
      <w:r w:rsidRPr="00E4265B">
        <w:rPr>
          <w:rFonts w:ascii="Arial" w:hAnsi="Arial" w:cs="Arial"/>
          <w:sz w:val="22"/>
          <w:szCs w:val="22"/>
          <w:lang w:val="en-GB"/>
        </w:rPr>
        <w:noBreakHyphen/>
        <w:t xml:space="preserve">underwrite an issue of </w:t>
      </w:r>
      <w:r w:rsidR="00877CEA" w:rsidRPr="00E4265B">
        <w:rPr>
          <w:rFonts w:ascii="Arial" w:hAnsi="Arial" w:cs="Arial"/>
          <w:sz w:val="22"/>
          <w:szCs w:val="22"/>
          <w:lang w:val="en-GB"/>
        </w:rPr>
        <w:t>Securities</w:t>
      </w:r>
      <w:r w:rsidRPr="00E4265B">
        <w:rPr>
          <w:rFonts w:ascii="Arial" w:hAnsi="Arial" w:cs="Arial"/>
          <w:sz w:val="22"/>
          <w:szCs w:val="22"/>
          <w:lang w:val="en-GB"/>
        </w:rPr>
        <w:t>.</w:t>
      </w:r>
    </w:p>
    <w:p w14:paraId="78F61A9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regard a commitment to underwrite an issue of </w:t>
      </w:r>
      <w:r w:rsidR="00877CEA" w:rsidRPr="00E4265B">
        <w:rPr>
          <w:rFonts w:ascii="Arial" w:hAnsi="Arial" w:cs="Arial"/>
          <w:sz w:val="22"/>
          <w:szCs w:val="22"/>
        </w:rPr>
        <w:t>Securities</w:t>
      </w:r>
      <w:r w:rsidRPr="00E4265B">
        <w:rPr>
          <w:rFonts w:ascii="Arial" w:hAnsi="Arial" w:cs="Arial"/>
          <w:sz w:val="22"/>
          <w:szCs w:val="22"/>
        </w:rPr>
        <w:t>, subject to any right set out in Rule 5.10.6, as the initial commitment to underwrite from the earlier of:</w:t>
      </w:r>
    </w:p>
    <w:p w14:paraId="14669E53"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the time the </w:t>
      </w:r>
      <w:r w:rsidR="000D1A90" w:rsidRPr="00E4265B">
        <w:rPr>
          <w:rFonts w:ascii="Arial" w:hAnsi="Arial" w:cs="Arial"/>
          <w:sz w:val="22"/>
          <w:szCs w:val="22"/>
        </w:rPr>
        <w:t>Authorised Person</w:t>
      </w:r>
      <w:r w:rsidRPr="00E4265B">
        <w:rPr>
          <w:rFonts w:ascii="Arial" w:hAnsi="Arial" w:cs="Arial"/>
          <w:sz w:val="22"/>
          <w:szCs w:val="22"/>
        </w:rPr>
        <w:t xml:space="preserve"> signs an agreement with the Issuer of </w:t>
      </w:r>
      <w:r w:rsidR="00877CEA" w:rsidRPr="00E4265B">
        <w:rPr>
          <w:rFonts w:ascii="Arial" w:hAnsi="Arial" w:cs="Arial"/>
          <w:sz w:val="22"/>
          <w:szCs w:val="22"/>
        </w:rPr>
        <w:t>Securities</w:t>
      </w:r>
      <w:r w:rsidRPr="00E4265B">
        <w:rPr>
          <w:rFonts w:ascii="Arial" w:hAnsi="Arial" w:cs="Arial"/>
          <w:sz w:val="22"/>
          <w:szCs w:val="22"/>
        </w:rPr>
        <w:t xml:space="preserve"> to underwrite those </w:t>
      </w:r>
      <w:r w:rsidR="00877CEA" w:rsidRPr="00E4265B">
        <w:rPr>
          <w:rFonts w:ascii="Arial" w:hAnsi="Arial" w:cs="Arial"/>
          <w:sz w:val="22"/>
          <w:szCs w:val="22"/>
        </w:rPr>
        <w:t>Securities</w:t>
      </w:r>
      <w:r w:rsidRPr="00E4265B">
        <w:rPr>
          <w:rFonts w:ascii="Arial" w:hAnsi="Arial" w:cs="Arial"/>
          <w:sz w:val="22"/>
          <w:szCs w:val="22"/>
        </w:rPr>
        <w:t>; or</w:t>
      </w:r>
    </w:p>
    <w:p w14:paraId="3FD481B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time the price and allocation of the issue are set.</w:t>
      </w:r>
    </w:p>
    <w:p w14:paraId="568004D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Where the issue price has not been fixed, an </w:t>
      </w:r>
      <w:r w:rsidR="000D1A90" w:rsidRPr="00E4265B">
        <w:rPr>
          <w:rFonts w:ascii="Arial" w:hAnsi="Arial" w:cs="Arial"/>
          <w:sz w:val="22"/>
          <w:szCs w:val="22"/>
        </w:rPr>
        <w:t>Authorised Person</w:t>
      </w:r>
      <w:r w:rsidRPr="00E4265B">
        <w:rPr>
          <w:rFonts w:ascii="Arial" w:hAnsi="Arial" w:cs="Arial"/>
          <w:sz w:val="22"/>
          <w:szCs w:val="22"/>
        </w:rPr>
        <w:t xml:space="preserve"> must use the highest estimate of the price and its allocation for the purpose of calculating its initial gross commitment.</w:t>
      </w:r>
    </w:p>
    <w:p w14:paraId="0847A0E1"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If an </w:t>
      </w:r>
      <w:r w:rsidR="000D1A90" w:rsidRPr="00E4265B">
        <w:rPr>
          <w:rFonts w:ascii="Arial" w:hAnsi="Arial" w:cs="Arial"/>
          <w:sz w:val="22"/>
          <w:szCs w:val="22"/>
        </w:rPr>
        <w:t>Authorised Person</w:t>
      </w:r>
      <w:r w:rsidRPr="00E4265B">
        <w:rPr>
          <w:rFonts w:ascii="Arial" w:hAnsi="Arial" w:cs="Arial"/>
          <w:sz w:val="22"/>
          <w:szCs w:val="22"/>
        </w:rPr>
        <w:t xml:space="preserve"> has at its discretion an irrevocable right to withdraw from an Underwriting commitment, exercisable within a certain period, the commitment commences when that right expires.</w:t>
      </w:r>
    </w:p>
    <w:p w14:paraId="3EF37E40"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calculate its </w:t>
      </w:r>
      <w:r w:rsidR="00877CEA" w:rsidRPr="00E4265B">
        <w:rPr>
          <w:rFonts w:ascii="Arial" w:hAnsi="Arial" w:cs="Arial"/>
          <w:sz w:val="22"/>
          <w:szCs w:val="22"/>
        </w:rPr>
        <w:t>Securities</w:t>
      </w:r>
      <w:r w:rsidRPr="00E4265B">
        <w:rPr>
          <w:rFonts w:ascii="Arial" w:hAnsi="Arial" w:cs="Arial"/>
          <w:sz w:val="22"/>
          <w:szCs w:val="22"/>
        </w:rPr>
        <w:t xml:space="preserve"> Underwriting Risk Capital Requirement by:</w:t>
      </w:r>
    </w:p>
    <w:p w14:paraId="1E3F450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applying its internally developed Market Risk model which has been approved by the Regulator for this purpose; or</w:t>
      </w:r>
    </w:p>
    <w:p w14:paraId="7C47E6F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applying the Rules in Section A</w:t>
      </w:r>
      <w:r w:rsidR="00E762BF" w:rsidRPr="00E4265B">
        <w:rPr>
          <w:rFonts w:ascii="Arial" w:hAnsi="Arial" w:cs="Arial"/>
          <w:sz w:val="22"/>
          <w:szCs w:val="22"/>
        </w:rPr>
        <w:t>6</w:t>
      </w:r>
      <w:r w:rsidRPr="00E4265B">
        <w:rPr>
          <w:rFonts w:ascii="Arial" w:hAnsi="Arial" w:cs="Arial"/>
          <w:sz w:val="22"/>
          <w:szCs w:val="22"/>
        </w:rPr>
        <w:t>.8.</w:t>
      </w:r>
    </w:p>
    <w:p w14:paraId="6D74B898" w14:textId="77777777" w:rsidR="00E22FF2" w:rsidRPr="00E4265B" w:rsidRDefault="00E22FF2" w:rsidP="00246497">
      <w:pPr>
        <w:pStyle w:val="Heading3"/>
        <w:rPr>
          <w:rFonts w:ascii="Arial" w:hAnsi="Arial" w:cs="Arial"/>
          <w:sz w:val="22"/>
          <w:szCs w:val="22"/>
        </w:rPr>
      </w:pPr>
      <w:bookmarkStart w:id="547" w:name="_Toc403223967"/>
      <w:bookmarkStart w:id="548" w:name="_Toc403254005"/>
      <w:bookmarkStart w:id="549" w:name="_Toc403273405"/>
      <w:bookmarkStart w:id="550" w:name="_Toc403273554"/>
      <w:bookmarkStart w:id="551" w:name="_Toc403274513"/>
      <w:bookmarkStart w:id="552" w:name="_Toc403280009"/>
      <w:bookmarkStart w:id="553" w:name="_Toc404285810"/>
      <w:bookmarkStart w:id="554" w:name="_Toc404621759"/>
      <w:bookmarkStart w:id="555" w:name="_Toc404624400"/>
      <w:bookmarkStart w:id="556" w:name="_Toc33622426"/>
      <w:r w:rsidRPr="00E4265B">
        <w:rPr>
          <w:rFonts w:ascii="Arial" w:hAnsi="Arial" w:cs="Arial"/>
          <w:sz w:val="22"/>
          <w:szCs w:val="22"/>
        </w:rPr>
        <w:t>Use of internal Market Risk models</w:t>
      </w:r>
      <w:bookmarkEnd w:id="547"/>
      <w:bookmarkEnd w:id="548"/>
      <w:bookmarkEnd w:id="549"/>
      <w:bookmarkEnd w:id="550"/>
      <w:bookmarkEnd w:id="551"/>
      <w:bookmarkEnd w:id="552"/>
      <w:bookmarkEnd w:id="553"/>
      <w:bookmarkEnd w:id="554"/>
      <w:bookmarkEnd w:id="555"/>
      <w:bookmarkEnd w:id="556"/>
    </w:p>
    <w:p w14:paraId="31DA8CD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 Category 1, 2 or 5 may use an internal model to calculate its Market Risk Capital Requirement or any components of its Market Risk Capital Requirement if</w:t>
      </w:r>
      <w:r w:rsidR="00461CE0" w:rsidRPr="00E4265B">
        <w:rPr>
          <w:rFonts w:ascii="Arial" w:hAnsi="Arial" w:cs="Arial"/>
          <w:sz w:val="22"/>
          <w:szCs w:val="22"/>
        </w:rPr>
        <w:t xml:space="preserve"> the use of such internally developed models has been</w:t>
      </w:r>
      <w:r w:rsidRPr="00E4265B">
        <w:rPr>
          <w:rFonts w:ascii="Arial" w:hAnsi="Arial" w:cs="Arial"/>
          <w:sz w:val="22"/>
          <w:szCs w:val="22"/>
        </w:rPr>
        <w:t xml:space="preserve"> approved in writing by the Regulator.</w:t>
      </w:r>
    </w:p>
    <w:p w14:paraId="2859E40E" w14:textId="77777777" w:rsidR="00E22FF2" w:rsidRPr="00E4265B" w:rsidRDefault="00E22FF2" w:rsidP="0056158E">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1B8EBFA9" w14:textId="77777777" w:rsidR="00E22FF2" w:rsidRPr="00E4265B" w:rsidRDefault="00E22FF2" w:rsidP="0056158E">
      <w:pPr>
        <w:pStyle w:val="UK12Block05"/>
        <w:rPr>
          <w:rFonts w:ascii="Arial" w:hAnsi="Arial" w:cs="Arial"/>
          <w:sz w:val="22"/>
          <w:szCs w:val="22"/>
          <w:lang w:val="en-GB"/>
        </w:rPr>
      </w:pPr>
      <w:r w:rsidRPr="00E4265B">
        <w:rPr>
          <w:rFonts w:ascii="Arial" w:hAnsi="Arial" w:cs="Arial"/>
          <w:sz w:val="22"/>
          <w:szCs w:val="22"/>
          <w:lang w:val="en-GB"/>
        </w:rPr>
        <w:t>Guidance in respect of criteria for use of internally developed Market Risk models is provided in Section A</w:t>
      </w:r>
      <w:r w:rsidR="00E762BF" w:rsidRPr="00E4265B">
        <w:rPr>
          <w:rFonts w:ascii="Arial" w:hAnsi="Arial" w:cs="Arial"/>
          <w:sz w:val="22"/>
          <w:szCs w:val="22"/>
          <w:lang w:val="en-GB"/>
        </w:rPr>
        <w:t>6</w:t>
      </w:r>
      <w:r w:rsidRPr="00E4265B">
        <w:rPr>
          <w:rFonts w:ascii="Arial" w:hAnsi="Arial" w:cs="Arial"/>
          <w:sz w:val="22"/>
          <w:szCs w:val="22"/>
          <w:lang w:val="en-GB"/>
        </w:rPr>
        <w:t>.9.</w:t>
      </w:r>
    </w:p>
    <w:p w14:paraId="4E5B7050"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If the Regulator approves the use of an internal model, it may:</w:t>
      </w:r>
    </w:p>
    <w:p w14:paraId="24F0969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impose, withdraw or amend at any time conditions in respect of the use of the internal model; and</w:t>
      </w:r>
    </w:p>
    <w:p w14:paraId="3CCCE29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withdraw approval if it forms the view that the internal model or its use is no longer suitable for the calculation of the </w:t>
      </w:r>
      <w:r w:rsidR="000D1A90" w:rsidRPr="00E4265B">
        <w:rPr>
          <w:rFonts w:ascii="Arial" w:hAnsi="Arial" w:cs="Arial"/>
          <w:sz w:val="22"/>
          <w:szCs w:val="22"/>
        </w:rPr>
        <w:t>Authorised Person</w:t>
      </w:r>
      <w:r w:rsidRPr="00E4265B">
        <w:rPr>
          <w:rFonts w:ascii="Arial" w:hAnsi="Arial" w:cs="Arial"/>
          <w:sz w:val="22"/>
          <w:szCs w:val="22"/>
        </w:rPr>
        <w:t>'s Market Risk Capital Requirement or any component of it.</w:t>
      </w:r>
    </w:p>
    <w:p w14:paraId="1B1C766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which uses an internal model in accordance with Rule 5.11.1 must have in place a rigorous and comprehensive stress</w:t>
      </w:r>
      <w:r w:rsidRPr="00E4265B">
        <w:rPr>
          <w:rFonts w:ascii="Arial" w:hAnsi="Arial" w:cs="Arial"/>
          <w:sz w:val="22"/>
          <w:szCs w:val="22"/>
        </w:rPr>
        <w:noBreakHyphen/>
        <w:t>testing programme which meets the criteria set out in Rule A</w:t>
      </w:r>
      <w:r w:rsidR="00E762BF" w:rsidRPr="00E4265B">
        <w:rPr>
          <w:rFonts w:ascii="Arial" w:hAnsi="Arial" w:cs="Arial"/>
          <w:sz w:val="22"/>
          <w:szCs w:val="22"/>
        </w:rPr>
        <w:t>6</w:t>
      </w:r>
      <w:r w:rsidRPr="00E4265B">
        <w:rPr>
          <w:rFonts w:ascii="Arial" w:hAnsi="Arial" w:cs="Arial"/>
          <w:sz w:val="22"/>
          <w:szCs w:val="22"/>
        </w:rPr>
        <w:t>.9.4.</w:t>
      </w:r>
    </w:p>
    <w:p w14:paraId="2DF6D07E" w14:textId="66681DA4" w:rsidR="00E22FF2" w:rsidRPr="00E4265B" w:rsidRDefault="00E22FF2" w:rsidP="00592544">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that has received approval for the use of an internal model may only revert to calculating its Market Risk Capital Requirement or any component of it in accordance with App</w:t>
      </w:r>
      <w:r w:rsidR="00592544" w:rsidRPr="00E4265B">
        <w:rPr>
          <w:rFonts w:ascii="Arial" w:hAnsi="Arial" w:cs="Arial"/>
          <w:sz w:val="22"/>
          <w:szCs w:val="22"/>
        </w:rPr>
        <w:t>6</w:t>
      </w:r>
      <w:r w:rsidRPr="00E4265B">
        <w:rPr>
          <w:rFonts w:ascii="Arial" w:hAnsi="Arial" w:cs="Arial"/>
          <w:sz w:val="22"/>
          <w:szCs w:val="22"/>
        </w:rPr>
        <w:t> with the prior written consent of the Regulator.</w:t>
      </w:r>
    </w:p>
    <w:p w14:paraId="70A93668" w14:textId="77777777" w:rsidR="00E22FF2" w:rsidRPr="00E4265B" w:rsidRDefault="00E22FF2" w:rsidP="0056158E">
      <w:pPr>
        <w:pStyle w:val="TitleL5"/>
        <w:rPr>
          <w:rFonts w:ascii="Arial" w:hAnsi="Arial" w:cs="Arial"/>
          <w:sz w:val="22"/>
          <w:szCs w:val="22"/>
          <w:lang w:val="en-GB"/>
        </w:rPr>
      </w:pPr>
      <w:r w:rsidRPr="00E4265B">
        <w:rPr>
          <w:rFonts w:ascii="Arial" w:hAnsi="Arial" w:cs="Arial"/>
          <w:sz w:val="22"/>
          <w:szCs w:val="22"/>
          <w:lang w:val="en-GB"/>
        </w:rPr>
        <w:t>Guidance</w:t>
      </w:r>
    </w:p>
    <w:p w14:paraId="26991C4F" w14:textId="77777777" w:rsidR="00E22FF2" w:rsidRPr="00E4265B" w:rsidRDefault="00E22FF2" w:rsidP="003D4C5D">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This Section sets out the conditions under which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permitted to use an internal model to calculate its Market Risk Capital Requirement or any component of its Market Risk Capital Requirement.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that wishes to use an internal model to calculate any part of this requirement is required to apply to the Regulator. Internal models will commonly permit more extensive Netting of long and short positions and have greater risk sensitivity.</w:t>
      </w:r>
    </w:p>
    <w:p w14:paraId="5ADFC529" w14:textId="77777777" w:rsidR="00E22FF2" w:rsidRPr="00E4265B" w:rsidRDefault="00E22FF2" w:rsidP="003D4C5D">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In assessing whether to give approval, the Regulator will consider an </w:t>
      </w:r>
      <w:r w:rsidR="000D1A90" w:rsidRPr="00E4265B">
        <w:rPr>
          <w:rFonts w:ascii="Arial" w:hAnsi="Arial" w:cs="Arial"/>
          <w:sz w:val="22"/>
          <w:szCs w:val="22"/>
          <w:lang w:val="en-GB"/>
        </w:rPr>
        <w:t>Authorised Person</w:t>
      </w:r>
      <w:r w:rsidRPr="00E4265B">
        <w:rPr>
          <w:rFonts w:ascii="Arial" w:hAnsi="Arial" w:cs="Arial"/>
          <w:sz w:val="22"/>
          <w:szCs w:val="22"/>
          <w:lang w:val="en-GB"/>
        </w:rPr>
        <w:t>'s risk management standards; the quantitative model standards; the stress</w:t>
      </w:r>
      <w:r w:rsidRPr="00E4265B">
        <w:rPr>
          <w:rFonts w:ascii="Arial" w:hAnsi="Arial" w:cs="Arial"/>
          <w:sz w:val="22"/>
          <w:szCs w:val="22"/>
          <w:lang w:val="en-GB"/>
        </w:rPr>
        <w:noBreakHyphen/>
        <w:t>testing and back</w:t>
      </w:r>
      <w:r w:rsidRPr="00E4265B">
        <w:rPr>
          <w:rFonts w:ascii="Arial" w:hAnsi="Arial" w:cs="Arial"/>
          <w:sz w:val="22"/>
          <w:szCs w:val="22"/>
          <w:lang w:val="en-GB"/>
        </w:rPr>
        <w:noBreakHyphen/>
        <w:t>testing standards and the process surrounding the calculation of the appropriate regulatory Capital Requirement.</w:t>
      </w:r>
    </w:p>
    <w:p w14:paraId="559B9427" w14:textId="77777777" w:rsidR="00E22FF2" w:rsidRPr="00E4265B" w:rsidRDefault="00E22FF2" w:rsidP="003D4C5D">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The Regulator will usually only give its approval for the use of an internal risk model if:</w:t>
      </w:r>
    </w:p>
    <w:p w14:paraId="4C8F8957" w14:textId="77777777" w:rsidR="00E22FF2" w:rsidRPr="00E4265B" w:rsidRDefault="00E22FF2" w:rsidP="003D4C5D">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use of the model to calculate the Market Risk Capital Requirement has been approved by another appropriate regulator or the Regulator is satisfied having been provided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with such opinions from independent experts as it may require, that the model adequately addresses Market Risk requirements;</w:t>
      </w:r>
    </w:p>
    <w:p w14:paraId="39949B08"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use of the methodology is integrated into the governance and control framework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Specifically, the Governing Body and senior management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receives and reviews appropriate reports in respect of the entity;</w:t>
      </w:r>
    </w:p>
    <w:p w14:paraId="150C663D"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it is satisfied that the </w:t>
      </w:r>
      <w:r w:rsidR="000D1A90" w:rsidRPr="00E4265B">
        <w:rPr>
          <w:rFonts w:ascii="Arial" w:hAnsi="Arial" w:cs="Arial"/>
          <w:sz w:val="22"/>
          <w:szCs w:val="22"/>
          <w:lang w:val="en-GB"/>
        </w:rPr>
        <w:t>Authorised Person</w:t>
      </w:r>
      <w:r w:rsidRPr="00E4265B">
        <w:rPr>
          <w:rFonts w:ascii="Arial" w:hAnsi="Arial" w:cs="Arial"/>
          <w:sz w:val="22"/>
          <w:szCs w:val="22"/>
          <w:lang w:val="en-GB"/>
        </w:rPr>
        <w:t>'s risk management system is conceptually sound and is implemented with integrity;</w:t>
      </w:r>
    </w:p>
    <w:p w14:paraId="17BAEDF5"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lastRenderedPageBreak/>
        <w:t>d.</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sufficient numbers of staff skilled in the use of sophisticated models not only in the trading area but also in the risk control, audit, and if necessary, back office areas;</w:t>
      </w:r>
    </w:p>
    <w:p w14:paraId="79478187"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's models have a proven track record of reasonable accuracy in measuring risk; and</w:t>
      </w:r>
    </w:p>
    <w:p w14:paraId="47411AB8"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regularly conducts stress tests.</w:t>
      </w:r>
    </w:p>
    <w:p w14:paraId="27AAD64B" w14:textId="77777777" w:rsidR="00E22FF2" w:rsidRPr="00E4265B" w:rsidRDefault="00E22FF2" w:rsidP="003D4C5D">
      <w:pPr>
        <w:pStyle w:val="1List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In determining whether an internal value at risk (VaR) model meets the standard for approval, the Regulator will apply the criteria set out in Section A</w:t>
      </w:r>
      <w:r w:rsidR="00E762BF" w:rsidRPr="00E4265B">
        <w:rPr>
          <w:rFonts w:ascii="Arial" w:hAnsi="Arial" w:cs="Arial"/>
          <w:sz w:val="22"/>
          <w:szCs w:val="22"/>
          <w:lang w:val="en-GB"/>
        </w:rPr>
        <w:t>6</w:t>
      </w:r>
      <w:r w:rsidRPr="00E4265B">
        <w:rPr>
          <w:rFonts w:ascii="Arial" w:hAnsi="Arial" w:cs="Arial"/>
          <w:sz w:val="22"/>
          <w:szCs w:val="22"/>
          <w:lang w:val="en-GB"/>
        </w:rPr>
        <w:t>.9, which are based on the Basel Market Risk Capital Amendment 1996 and Basel Revisions to the Basel II Market Risk framework 2009 and which can be grouped under the following headings:</w:t>
      </w:r>
    </w:p>
    <w:p w14:paraId="5FEBBFBB"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qualitative standards;</w:t>
      </w:r>
    </w:p>
    <w:p w14:paraId="72274385"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specification of Market Risk factors;</w:t>
      </w:r>
    </w:p>
    <w:p w14:paraId="6756364E"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quantitative standards;</w:t>
      </w:r>
    </w:p>
    <w:p w14:paraId="716E4B3D"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adjustments to Market Risk Capital Requirements;</w:t>
      </w:r>
    </w:p>
    <w:p w14:paraId="2F495B7F"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stress testing; and</w:t>
      </w:r>
    </w:p>
    <w:p w14:paraId="2C47E630"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combination of internally developed models and the Standardised Methodology.</w:t>
      </w:r>
    </w:p>
    <w:p w14:paraId="5D568B1D" w14:textId="77777777" w:rsidR="00E22FF2" w:rsidRPr="00E4265B" w:rsidRDefault="00E22FF2" w:rsidP="003D4C5D">
      <w:pPr>
        <w:pStyle w:val="1List0"/>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In addition to value</w:t>
      </w:r>
      <w:r w:rsidRPr="00E4265B">
        <w:rPr>
          <w:rFonts w:ascii="Arial" w:hAnsi="Arial" w:cs="Arial"/>
          <w:sz w:val="22"/>
          <w:szCs w:val="22"/>
          <w:lang w:val="en-GB"/>
        </w:rPr>
        <w:noBreakHyphen/>
        <w:t>at</w:t>
      </w:r>
      <w:r w:rsidRPr="00E4265B">
        <w:rPr>
          <w:rFonts w:ascii="Arial" w:hAnsi="Arial" w:cs="Arial"/>
          <w:sz w:val="22"/>
          <w:szCs w:val="22"/>
          <w:lang w:val="en-GB"/>
        </w:rPr>
        <w:noBreakHyphen/>
        <w:t xml:space="preserve">risk models, the Regulator recognises </w:t>
      </w:r>
      <w:r w:rsidR="00BC49E0" w:rsidRPr="00E4265B">
        <w:rPr>
          <w:rFonts w:ascii="Arial" w:hAnsi="Arial" w:cs="Arial"/>
          <w:sz w:val="22"/>
          <w:szCs w:val="22"/>
          <w:lang w:val="en-GB"/>
        </w:rPr>
        <w:t>Option</w:t>
      </w:r>
      <w:r w:rsidRPr="00E4265B">
        <w:rPr>
          <w:rFonts w:ascii="Arial" w:hAnsi="Arial" w:cs="Arial"/>
          <w:sz w:val="22"/>
          <w:szCs w:val="22"/>
          <w:lang w:val="en-GB"/>
        </w:rPr>
        <w:t xml:space="preserve"> risk aggregation models and interest rate 'pre</w:t>
      </w:r>
      <w:r w:rsidRPr="00E4265B">
        <w:rPr>
          <w:rFonts w:ascii="Arial" w:hAnsi="Arial" w:cs="Arial"/>
          <w:sz w:val="22"/>
          <w:szCs w:val="22"/>
          <w:lang w:val="en-GB"/>
        </w:rPr>
        <w:noBreakHyphen/>
        <w:t>processing' or sensitivity models, as set out under the EU's Capital Adequacy Directive (these are the so</w:t>
      </w:r>
      <w:r w:rsidRPr="00E4265B">
        <w:rPr>
          <w:rFonts w:ascii="Arial" w:hAnsi="Arial" w:cs="Arial"/>
          <w:sz w:val="22"/>
          <w:szCs w:val="22"/>
          <w:lang w:val="en-GB"/>
        </w:rPr>
        <w:noBreakHyphen/>
        <w:t>called 'CAD1 models').</w:t>
      </w:r>
    </w:p>
    <w:p w14:paraId="5C23C2E8" w14:textId="77777777" w:rsidR="00E22FF2" w:rsidRPr="00E4265B" w:rsidRDefault="00E22FF2" w:rsidP="0056158E">
      <w:pPr>
        <w:pStyle w:val="1List0"/>
        <w:rPr>
          <w:rFonts w:ascii="Arial" w:hAnsi="Arial" w:cs="Arial"/>
          <w:sz w:val="22"/>
          <w:szCs w:val="22"/>
          <w:lang w:val="en-GB"/>
        </w:rPr>
      </w:pPr>
      <w:r w:rsidRPr="00E4265B">
        <w:rPr>
          <w:rFonts w:ascii="Arial" w:hAnsi="Arial" w:cs="Arial"/>
          <w:sz w:val="22"/>
          <w:szCs w:val="22"/>
          <w:lang w:val="en-GB"/>
        </w:rPr>
        <w:t>6.</w:t>
      </w:r>
      <w:r w:rsidRPr="00E4265B">
        <w:rPr>
          <w:rFonts w:ascii="Arial" w:hAnsi="Arial" w:cs="Arial"/>
          <w:sz w:val="22"/>
          <w:szCs w:val="22"/>
          <w:lang w:val="en-GB"/>
        </w:rPr>
        <w:tab/>
        <w:t xml:space="preserve">Option risk aggregation models analyse and aggregate </w:t>
      </w:r>
      <w:r w:rsidR="00BC49E0" w:rsidRPr="00E4265B">
        <w:rPr>
          <w:rFonts w:ascii="Arial" w:hAnsi="Arial" w:cs="Arial"/>
          <w:sz w:val="22"/>
          <w:szCs w:val="22"/>
          <w:lang w:val="en-GB"/>
        </w:rPr>
        <w:t>Option</w:t>
      </w:r>
      <w:r w:rsidRPr="00E4265B">
        <w:rPr>
          <w:rFonts w:ascii="Arial" w:hAnsi="Arial" w:cs="Arial"/>
          <w:sz w:val="22"/>
          <w:szCs w:val="22"/>
          <w:lang w:val="en-GB"/>
        </w:rPr>
        <w:t xml:space="preserve">s risks for interest rate, equity, foreign exchange and commodity </w:t>
      </w:r>
      <w:r w:rsidR="00BC49E0" w:rsidRPr="00E4265B">
        <w:rPr>
          <w:rFonts w:ascii="Arial" w:hAnsi="Arial" w:cs="Arial"/>
          <w:sz w:val="22"/>
          <w:szCs w:val="22"/>
          <w:lang w:val="en-GB"/>
        </w:rPr>
        <w:t>Option</w:t>
      </w:r>
      <w:r w:rsidRPr="00E4265B">
        <w:rPr>
          <w:rFonts w:ascii="Arial" w:hAnsi="Arial" w:cs="Arial"/>
          <w:sz w:val="22"/>
          <w:szCs w:val="22"/>
          <w:lang w:val="en-GB"/>
        </w:rPr>
        <w:t>s.</w:t>
      </w:r>
    </w:p>
    <w:p w14:paraId="62F92348" w14:textId="5561B631" w:rsidR="003733A6" w:rsidRPr="00E4265B" w:rsidRDefault="00E22FF2" w:rsidP="0056158E">
      <w:pPr>
        <w:pStyle w:val="1List0"/>
        <w:rPr>
          <w:rFonts w:ascii="Arial" w:hAnsi="Arial" w:cs="Arial"/>
          <w:sz w:val="22"/>
          <w:szCs w:val="22"/>
          <w:lang w:val="en-GB"/>
        </w:rPr>
      </w:pPr>
      <w:r w:rsidRPr="00E4265B">
        <w:rPr>
          <w:rFonts w:ascii="Arial" w:hAnsi="Arial" w:cs="Arial"/>
          <w:sz w:val="22"/>
          <w:szCs w:val="22"/>
          <w:lang w:val="en-GB"/>
        </w:rPr>
        <w:t>7.</w:t>
      </w:r>
      <w:r w:rsidRPr="00E4265B">
        <w:rPr>
          <w:rFonts w:ascii="Arial" w:hAnsi="Arial" w:cs="Arial"/>
          <w:sz w:val="22"/>
          <w:szCs w:val="22"/>
          <w:lang w:val="en-GB"/>
        </w:rPr>
        <w:tab/>
        <w:t>Interest rate pre</w:t>
      </w:r>
      <w:r w:rsidRPr="00E4265B">
        <w:rPr>
          <w:rFonts w:ascii="Arial" w:hAnsi="Arial" w:cs="Arial"/>
          <w:sz w:val="22"/>
          <w:szCs w:val="22"/>
          <w:lang w:val="en-GB"/>
        </w:rPr>
        <w:noBreakHyphen/>
        <w:t xml:space="preserve">processing models are used to calculate weighted positions for inclusion in an </w:t>
      </w:r>
      <w:r w:rsidR="000D1A90" w:rsidRPr="00E4265B">
        <w:rPr>
          <w:rFonts w:ascii="Arial" w:hAnsi="Arial" w:cs="Arial"/>
          <w:sz w:val="22"/>
          <w:szCs w:val="22"/>
          <w:lang w:val="en-GB"/>
        </w:rPr>
        <w:t>Authorised Person</w:t>
      </w:r>
      <w:r w:rsidRPr="00E4265B">
        <w:rPr>
          <w:rFonts w:ascii="Arial" w:hAnsi="Arial" w:cs="Arial"/>
          <w:sz w:val="22"/>
          <w:szCs w:val="22"/>
          <w:lang w:val="en-GB"/>
        </w:rPr>
        <w:t>'s interest rate Market Risk Capital Requirement calculation under the Duration Method.</w:t>
      </w:r>
    </w:p>
    <w:p w14:paraId="20974E71" w14:textId="77777777" w:rsidR="003733A6" w:rsidRPr="00E4265B" w:rsidRDefault="003733A6">
      <w:pPr>
        <w:rPr>
          <w:rFonts w:ascii="Arial" w:hAnsi="Arial" w:cs="Arial"/>
          <w:sz w:val="22"/>
          <w:szCs w:val="22"/>
          <w:lang w:val="en-GB"/>
        </w:rPr>
      </w:pPr>
      <w:r w:rsidRPr="00E4265B">
        <w:rPr>
          <w:rFonts w:ascii="Arial" w:hAnsi="Arial" w:cs="Arial"/>
          <w:sz w:val="22"/>
          <w:szCs w:val="22"/>
          <w:lang w:val="en-GB"/>
        </w:rPr>
        <w:br w:type="page"/>
      </w:r>
    </w:p>
    <w:p w14:paraId="0ACB7BAB" w14:textId="77777777" w:rsidR="00E22FF2" w:rsidRPr="00E4265B" w:rsidRDefault="00E22FF2" w:rsidP="0056158E">
      <w:pPr>
        <w:pStyle w:val="Heading1"/>
        <w:rPr>
          <w:rFonts w:ascii="Arial" w:hAnsi="Arial" w:cs="Arial"/>
          <w:sz w:val="22"/>
          <w:szCs w:val="22"/>
          <w:lang w:val="en-GB"/>
        </w:rPr>
      </w:pPr>
      <w:bookmarkStart w:id="557" w:name="_Toc403274514"/>
      <w:bookmarkStart w:id="558" w:name="_Toc403280010"/>
      <w:bookmarkStart w:id="559" w:name="_Toc404285811"/>
      <w:bookmarkStart w:id="560" w:name="_Toc404621760"/>
      <w:bookmarkStart w:id="561" w:name="_Toc404624401"/>
      <w:bookmarkStart w:id="562" w:name="_Toc33622427"/>
      <w:bookmarkStart w:id="563" w:name="_Toc403223968"/>
      <w:bookmarkStart w:id="564" w:name="_Toc403254006"/>
      <w:bookmarkStart w:id="565" w:name="_Toc403254106"/>
      <w:bookmarkStart w:id="566" w:name="_Toc403273406"/>
      <w:bookmarkStart w:id="567" w:name="_Toc403273555"/>
      <w:r w:rsidRPr="00E4265B">
        <w:rPr>
          <w:rFonts w:ascii="Arial" w:hAnsi="Arial" w:cs="Arial"/>
          <w:sz w:val="22"/>
          <w:szCs w:val="22"/>
          <w:lang w:val="en-GB"/>
        </w:rPr>
        <w:lastRenderedPageBreak/>
        <w:t>OPERATIONAL RISK</w:t>
      </w:r>
      <w:bookmarkEnd w:id="557"/>
      <w:bookmarkEnd w:id="558"/>
      <w:bookmarkEnd w:id="559"/>
      <w:bookmarkEnd w:id="560"/>
      <w:bookmarkEnd w:id="561"/>
      <w:bookmarkEnd w:id="562"/>
      <w:r w:rsidRPr="00E4265B">
        <w:rPr>
          <w:rFonts w:ascii="Arial" w:hAnsi="Arial" w:cs="Arial"/>
          <w:sz w:val="22"/>
          <w:szCs w:val="22"/>
          <w:lang w:val="en-GB"/>
        </w:rPr>
        <w:t xml:space="preserve"> </w:t>
      </w:r>
    </w:p>
    <w:p w14:paraId="3B5401EC" w14:textId="77777777" w:rsidR="00E22FF2" w:rsidRPr="00E4265B" w:rsidRDefault="00E22FF2" w:rsidP="00BA74F7">
      <w:pPr>
        <w:pStyle w:val="TitleL5"/>
        <w:rPr>
          <w:rFonts w:ascii="Arial" w:hAnsi="Arial" w:cs="Arial"/>
          <w:sz w:val="22"/>
          <w:szCs w:val="22"/>
          <w:lang w:val="en-GB"/>
        </w:rPr>
      </w:pPr>
      <w:r w:rsidRPr="00E4265B">
        <w:rPr>
          <w:rFonts w:ascii="Arial" w:hAnsi="Arial" w:cs="Arial"/>
          <w:sz w:val="22"/>
          <w:szCs w:val="22"/>
          <w:lang w:val="en-GB"/>
        </w:rPr>
        <w:t>Introduction</w:t>
      </w:r>
      <w:bookmarkEnd w:id="563"/>
      <w:bookmarkEnd w:id="564"/>
      <w:bookmarkEnd w:id="565"/>
      <w:bookmarkEnd w:id="566"/>
      <w:bookmarkEnd w:id="567"/>
    </w:p>
    <w:p w14:paraId="20DA9A6C" w14:textId="77777777" w:rsidR="00E22FF2" w:rsidRPr="00E4265B" w:rsidRDefault="00E22FF2" w:rsidP="0056158E">
      <w:pPr>
        <w:pStyle w:val="TitleL5"/>
        <w:rPr>
          <w:rFonts w:ascii="Arial" w:hAnsi="Arial" w:cs="Arial"/>
          <w:sz w:val="22"/>
          <w:szCs w:val="22"/>
          <w:lang w:val="en-GB"/>
        </w:rPr>
      </w:pPr>
      <w:r w:rsidRPr="00E4265B">
        <w:rPr>
          <w:rFonts w:ascii="Arial" w:hAnsi="Arial" w:cs="Arial"/>
          <w:sz w:val="22"/>
          <w:szCs w:val="22"/>
          <w:lang w:val="en-GB"/>
        </w:rPr>
        <w:t>Guidance</w:t>
      </w:r>
    </w:p>
    <w:p w14:paraId="7D62D2FC" w14:textId="77777777" w:rsidR="00E22FF2" w:rsidRPr="00E4265B" w:rsidRDefault="00E22FF2" w:rsidP="0056158E">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This Chapter includes the detailed Rules and associated guidance in respect of a firm's obligation to manage effectively its </w:t>
      </w:r>
      <w:r w:rsidR="005F3B3B" w:rsidRPr="00E4265B">
        <w:rPr>
          <w:rFonts w:ascii="Arial" w:hAnsi="Arial" w:cs="Arial"/>
          <w:sz w:val="22"/>
          <w:szCs w:val="22"/>
          <w:lang w:val="en-GB"/>
        </w:rPr>
        <w:t>Exposure</w:t>
      </w:r>
      <w:r w:rsidRPr="00E4265B">
        <w:rPr>
          <w:rFonts w:ascii="Arial" w:hAnsi="Arial" w:cs="Arial"/>
          <w:sz w:val="22"/>
          <w:szCs w:val="22"/>
          <w:lang w:val="en-GB"/>
        </w:rPr>
        <w:t xml:space="preserve">s to Operational Risk. Operational Risk refers to the risk of incurring losses due to the failure of systems, processes, and personnel to perform expected tasks. Operational Risk losses also include losses arising out of legal risk. This Chapter aims to ensure that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a robust Operational Risk management framework commensurate with the nature, scale and complexity of its operations and that it holds sufficient regulatory capital against Operational Risk </w:t>
      </w:r>
      <w:r w:rsidR="005F3B3B" w:rsidRPr="00E4265B">
        <w:rPr>
          <w:rFonts w:ascii="Arial" w:hAnsi="Arial" w:cs="Arial"/>
          <w:sz w:val="22"/>
          <w:szCs w:val="22"/>
          <w:lang w:val="en-GB"/>
        </w:rPr>
        <w:t>Exposure</w:t>
      </w:r>
      <w:r w:rsidRPr="00E4265B">
        <w:rPr>
          <w:rFonts w:ascii="Arial" w:hAnsi="Arial" w:cs="Arial"/>
          <w:sz w:val="22"/>
          <w:szCs w:val="22"/>
          <w:lang w:val="en-GB"/>
        </w:rPr>
        <w:t>s.</w:t>
      </w:r>
    </w:p>
    <w:p w14:paraId="5344FEC3" w14:textId="77777777" w:rsidR="00E22FF2" w:rsidRPr="00E4265B" w:rsidRDefault="00E22FF2" w:rsidP="0056158E">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This Chapter requires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w:t>
      </w:r>
    </w:p>
    <w:p w14:paraId="18EE6A5D"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design and implement an effective Operational Risk management system complete with appropriate systems and controls;</w:t>
      </w:r>
    </w:p>
    <w:p w14:paraId="0D733E5E"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calculate the Operational Risk Capital Requirement and hold the same; and</w:t>
      </w:r>
    </w:p>
    <w:p w14:paraId="192C41B1"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hold adequate professional indemnity insurance cover.</w:t>
      </w:r>
    </w:p>
    <w:p w14:paraId="51E0D6DA" w14:textId="5F7B8B2D" w:rsidR="00E22FF2" w:rsidRPr="00E4265B" w:rsidRDefault="00E22FF2" w:rsidP="00847E09">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This Chapter includes, </w:t>
      </w:r>
      <w:r w:rsidR="00E762BF" w:rsidRPr="00E4265B">
        <w:rPr>
          <w:rFonts w:ascii="Arial" w:hAnsi="Arial" w:cs="Arial"/>
          <w:sz w:val="22"/>
          <w:szCs w:val="22"/>
          <w:lang w:val="en-GB"/>
        </w:rPr>
        <w:t>among other</w:t>
      </w:r>
      <w:r w:rsidR="00896E3B" w:rsidRPr="00E4265B">
        <w:rPr>
          <w:rFonts w:ascii="Arial" w:hAnsi="Arial" w:cs="Arial"/>
          <w:sz w:val="22"/>
          <w:szCs w:val="22"/>
          <w:lang w:val="en-GB"/>
        </w:rPr>
        <w:t>s</w:t>
      </w:r>
      <w:r w:rsidR="00E762BF" w:rsidRPr="00E4265B">
        <w:rPr>
          <w:rFonts w:ascii="Arial" w:hAnsi="Arial" w:cs="Arial"/>
          <w:sz w:val="22"/>
          <w:szCs w:val="22"/>
          <w:lang w:val="en-GB"/>
        </w:rPr>
        <w:t xml:space="preserve">, </w:t>
      </w:r>
      <w:r w:rsidRPr="00E4265B">
        <w:rPr>
          <w:rFonts w:ascii="Arial" w:hAnsi="Arial" w:cs="Arial"/>
          <w:sz w:val="22"/>
          <w:szCs w:val="22"/>
          <w:lang w:val="en-GB"/>
        </w:rPr>
        <w:t>specific Operational Risk management requirements relating to IT systems, information security, outsourcing, business continuity and disaster recovery and the management of Operational Risks in trading rooms.</w:t>
      </w:r>
    </w:p>
    <w:p w14:paraId="399F41D6" w14:textId="77777777" w:rsidR="00E22FF2" w:rsidRPr="00E4265B" w:rsidRDefault="00E22FF2" w:rsidP="0056158E">
      <w:pPr>
        <w:pStyle w:val="1List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App</w:t>
      </w:r>
      <w:r w:rsidR="00E762BF" w:rsidRPr="00E4265B">
        <w:rPr>
          <w:rFonts w:ascii="Arial" w:hAnsi="Arial" w:cs="Arial"/>
          <w:sz w:val="22"/>
          <w:szCs w:val="22"/>
          <w:lang w:val="en-GB"/>
        </w:rPr>
        <w:t>7</w:t>
      </w:r>
      <w:r w:rsidRPr="00E4265B">
        <w:rPr>
          <w:rFonts w:ascii="Arial" w:hAnsi="Arial" w:cs="Arial"/>
          <w:sz w:val="22"/>
          <w:szCs w:val="22"/>
          <w:lang w:val="en-GB"/>
        </w:rPr>
        <w:t> provides the detailed requirements, parameters, calculation methodologies and formulae for calculating the Operational Risk Capital Requirement specified in Chapter 6.</w:t>
      </w:r>
    </w:p>
    <w:p w14:paraId="2DAD8403" w14:textId="77777777" w:rsidR="00E22FF2" w:rsidRPr="00E4265B" w:rsidRDefault="00E22FF2" w:rsidP="00246497">
      <w:pPr>
        <w:pStyle w:val="Heading3"/>
        <w:rPr>
          <w:rFonts w:ascii="Arial" w:hAnsi="Arial" w:cs="Arial"/>
          <w:sz w:val="22"/>
          <w:szCs w:val="22"/>
        </w:rPr>
      </w:pPr>
      <w:bookmarkStart w:id="568" w:name="_Toc403223969"/>
      <w:bookmarkStart w:id="569" w:name="_Toc403254007"/>
      <w:bookmarkStart w:id="570" w:name="_Toc403273407"/>
      <w:bookmarkStart w:id="571" w:name="_Toc403273556"/>
      <w:bookmarkStart w:id="572" w:name="_Toc403274515"/>
      <w:bookmarkStart w:id="573" w:name="_Toc403280011"/>
      <w:bookmarkStart w:id="574" w:name="_Toc404285812"/>
      <w:bookmarkStart w:id="575" w:name="_Toc404621761"/>
      <w:bookmarkStart w:id="576" w:name="_Toc404624402"/>
      <w:bookmarkStart w:id="577" w:name="_Toc33622428"/>
      <w:r w:rsidRPr="00E4265B">
        <w:rPr>
          <w:rFonts w:ascii="Arial" w:hAnsi="Arial" w:cs="Arial"/>
          <w:sz w:val="22"/>
          <w:szCs w:val="22"/>
        </w:rPr>
        <w:t>Application</w:t>
      </w:r>
      <w:bookmarkEnd w:id="568"/>
      <w:bookmarkEnd w:id="569"/>
      <w:bookmarkEnd w:id="570"/>
      <w:bookmarkEnd w:id="571"/>
      <w:bookmarkEnd w:id="572"/>
      <w:bookmarkEnd w:id="573"/>
      <w:bookmarkEnd w:id="574"/>
      <w:bookmarkEnd w:id="575"/>
      <w:bookmarkEnd w:id="576"/>
      <w:bookmarkEnd w:id="577"/>
    </w:p>
    <w:p w14:paraId="74AE35B0"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This Chapter applies to an </w:t>
      </w:r>
      <w:r w:rsidR="000D1A90" w:rsidRPr="00E4265B">
        <w:rPr>
          <w:rFonts w:ascii="Arial" w:hAnsi="Arial" w:cs="Arial"/>
          <w:sz w:val="22"/>
          <w:szCs w:val="22"/>
        </w:rPr>
        <w:t>Authorised Person</w:t>
      </w:r>
      <w:r w:rsidRPr="00E4265B">
        <w:rPr>
          <w:rFonts w:ascii="Arial" w:hAnsi="Arial" w:cs="Arial"/>
          <w:sz w:val="22"/>
          <w:szCs w:val="22"/>
        </w:rPr>
        <w:t xml:space="preserve"> as follows:</w:t>
      </w:r>
    </w:p>
    <w:p w14:paraId="5A4E8F8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Sections 6.1 to 6.9 apply to an </w:t>
      </w:r>
      <w:r w:rsidR="000D1A90" w:rsidRPr="00E4265B">
        <w:rPr>
          <w:rFonts w:ascii="Arial" w:hAnsi="Arial" w:cs="Arial"/>
          <w:sz w:val="22"/>
          <w:szCs w:val="22"/>
        </w:rPr>
        <w:t>Authorised Person</w:t>
      </w:r>
      <w:r w:rsidRPr="00E4265B">
        <w:rPr>
          <w:rFonts w:ascii="Arial" w:hAnsi="Arial" w:cs="Arial"/>
          <w:sz w:val="22"/>
          <w:szCs w:val="22"/>
        </w:rPr>
        <w:t xml:space="preserve"> in any Category;</w:t>
      </w:r>
    </w:p>
    <w:p w14:paraId="12E5322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Sections 6.10 and 6.11 apply only to an </w:t>
      </w:r>
      <w:r w:rsidR="000D1A90" w:rsidRPr="00E4265B">
        <w:rPr>
          <w:rFonts w:ascii="Arial" w:hAnsi="Arial" w:cs="Arial"/>
          <w:sz w:val="22"/>
          <w:szCs w:val="22"/>
        </w:rPr>
        <w:t>Authorised Person</w:t>
      </w:r>
      <w:r w:rsidRPr="00E4265B">
        <w:rPr>
          <w:rFonts w:ascii="Arial" w:hAnsi="Arial" w:cs="Arial"/>
          <w:sz w:val="22"/>
          <w:szCs w:val="22"/>
        </w:rPr>
        <w:t xml:space="preserve"> in Category 1, 2, 3A or 5;</w:t>
      </w:r>
    </w:p>
    <w:p w14:paraId="6A7BC5B9" w14:textId="136D4F57" w:rsidR="001C2BD8" w:rsidRPr="00E4265B" w:rsidRDefault="00E22FF2" w:rsidP="00601D29">
      <w:pPr>
        <w:pStyle w:val="Heading5"/>
        <w:rPr>
          <w:rFonts w:ascii="Arial" w:hAnsi="Arial" w:cs="Arial"/>
          <w:sz w:val="22"/>
          <w:szCs w:val="22"/>
        </w:rPr>
      </w:pPr>
      <w:r w:rsidRPr="00E4265B">
        <w:rPr>
          <w:rFonts w:ascii="Arial" w:hAnsi="Arial" w:cs="Arial"/>
          <w:sz w:val="22"/>
          <w:szCs w:val="22"/>
        </w:rPr>
        <w:t xml:space="preserve">Section 6.12 applies only to an </w:t>
      </w:r>
      <w:r w:rsidR="000D1A90" w:rsidRPr="00E4265B">
        <w:rPr>
          <w:rFonts w:ascii="Arial" w:hAnsi="Arial" w:cs="Arial"/>
          <w:sz w:val="22"/>
          <w:szCs w:val="22"/>
        </w:rPr>
        <w:t>Authorised Person</w:t>
      </w:r>
      <w:r w:rsidRPr="00E4265B">
        <w:rPr>
          <w:rFonts w:ascii="Arial" w:hAnsi="Arial" w:cs="Arial"/>
          <w:sz w:val="22"/>
          <w:szCs w:val="22"/>
        </w:rPr>
        <w:t xml:space="preserve"> in Category 3B, 3C or 4</w:t>
      </w:r>
      <w:r w:rsidR="001C2BD8" w:rsidRPr="00E4265B">
        <w:rPr>
          <w:rFonts w:ascii="Arial" w:hAnsi="Arial" w:cs="Arial"/>
          <w:sz w:val="22"/>
          <w:szCs w:val="22"/>
        </w:rPr>
        <w:t>.</w:t>
      </w:r>
    </w:p>
    <w:p w14:paraId="72164915" w14:textId="77777777" w:rsidR="00E22FF2" w:rsidRPr="00E4265B" w:rsidRDefault="00E22FF2" w:rsidP="0056158E">
      <w:pPr>
        <w:pStyle w:val="TitleL5"/>
        <w:rPr>
          <w:rFonts w:ascii="Arial" w:hAnsi="Arial" w:cs="Arial"/>
          <w:sz w:val="22"/>
          <w:szCs w:val="22"/>
          <w:lang w:val="en-GB"/>
        </w:rPr>
      </w:pPr>
      <w:r w:rsidRPr="00E4265B">
        <w:rPr>
          <w:rFonts w:ascii="Arial" w:hAnsi="Arial" w:cs="Arial"/>
          <w:sz w:val="22"/>
          <w:szCs w:val="22"/>
          <w:lang w:val="en-GB"/>
        </w:rPr>
        <w:t>Guidance</w:t>
      </w:r>
    </w:p>
    <w:p w14:paraId="5BFE8C56" w14:textId="77777777" w:rsidR="00E22FF2" w:rsidRPr="00E4265B" w:rsidRDefault="00E22FF2" w:rsidP="00E02B7F">
      <w:pPr>
        <w:pStyle w:val="UK12Block05"/>
        <w:rPr>
          <w:rFonts w:ascii="Arial" w:hAnsi="Arial" w:cs="Arial"/>
          <w:sz w:val="22"/>
          <w:szCs w:val="22"/>
          <w:lang w:val="en-GB"/>
        </w:rPr>
      </w:pPr>
      <w:r w:rsidRPr="00E4265B">
        <w:rPr>
          <w:rFonts w:ascii="Arial" w:hAnsi="Arial" w:cs="Arial"/>
          <w:sz w:val="22"/>
          <w:szCs w:val="22"/>
          <w:lang w:val="en-GB"/>
        </w:rPr>
        <w:t>The GEN rules contain Rules and Guidance in relation to Systems and Controls, some of which may relate to the management of Operational Risk. The Corporate Governance rules in the GEN rules set out overarching requirements in relation to Board responsibilities, including risk management. The Rules and Guidance in this Section seek to complement the aforementioned requirements, while providing for a framework to address matters which directly relate to Operational Risk management.</w:t>
      </w:r>
    </w:p>
    <w:p w14:paraId="4F5A93B0" w14:textId="77777777" w:rsidR="00E22FF2" w:rsidRPr="00E4265B" w:rsidRDefault="00E22FF2" w:rsidP="00246497">
      <w:pPr>
        <w:pStyle w:val="Heading3"/>
        <w:rPr>
          <w:rFonts w:ascii="Arial" w:hAnsi="Arial" w:cs="Arial"/>
          <w:sz w:val="22"/>
          <w:szCs w:val="22"/>
        </w:rPr>
      </w:pPr>
      <w:bookmarkStart w:id="578" w:name="_Toc403223970"/>
      <w:bookmarkStart w:id="579" w:name="_Toc403254008"/>
      <w:bookmarkStart w:id="580" w:name="_Toc403273408"/>
      <w:bookmarkStart w:id="581" w:name="_Toc403273557"/>
      <w:bookmarkStart w:id="582" w:name="_Toc403274516"/>
      <w:bookmarkStart w:id="583" w:name="_Toc403280012"/>
      <w:bookmarkStart w:id="584" w:name="_Toc404285813"/>
      <w:bookmarkStart w:id="585" w:name="_Toc404621762"/>
      <w:bookmarkStart w:id="586" w:name="_Toc404624403"/>
      <w:bookmarkStart w:id="587" w:name="_Toc33622429"/>
      <w:r w:rsidRPr="00E4265B">
        <w:rPr>
          <w:rFonts w:ascii="Arial" w:hAnsi="Arial" w:cs="Arial"/>
          <w:sz w:val="22"/>
          <w:szCs w:val="22"/>
        </w:rPr>
        <w:t>Risk management framework and governance</w:t>
      </w:r>
      <w:bookmarkEnd w:id="578"/>
      <w:bookmarkEnd w:id="579"/>
      <w:bookmarkEnd w:id="580"/>
      <w:bookmarkEnd w:id="581"/>
      <w:bookmarkEnd w:id="582"/>
      <w:bookmarkEnd w:id="583"/>
      <w:bookmarkEnd w:id="584"/>
      <w:bookmarkEnd w:id="585"/>
      <w:bookmarkEnd w:id="586"/>
      <w:bookmarkEnd w:id="587"/>
    </w:p>
    <w:p w14:paraId="60E0959C"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lastRenderedPageBreak/>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implement and maintain an Operational Risk policy which enables it to identify, assess, control and monitor Operational Risk.</w:t>
      </w:r>
    </w:p>
    <w:p w14:paraId="22D8773D" w14:textId="77777777" w:rsidR="00E22FF2" w:rsidRPr="00E4265B" w:rsidRDefault="00E22FF2" w:rsidP="00E02B7F">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policy must be documented and provide for a sound and well</w:t>
      </w:r>
      <w:r w:rsidRPr="00E4265B">
        <w:rPr>
          <w:rFonts w:ascii="Arial" w:hAnsi="Arial" w:cs="Arial"/>
          <w:sz w:val="22"/>
          <w:szCs w:val="22"/>
          <w:lang w:val="en-GB"/>
        </w:rPr>
        <w:noBreakHyphen/>
        <w:t xml:space="preserve">defined risk management framework to address the </w:t>
      </w:r>
      <w:r w:rsidR="000D1A90" w:rsidRPr="00E4265B">
        <w:rPr>
          <w:rFonts w:ascii="Arial" w:hAnsi="Arial" w:cs="Arial"/>
          <w:sz w:val="22"/>
          <w:szCs w:val="22"/>
          <w:lang w:val="en-GB"/>
        </w:rPr>
        <w:t>Authorised Person</w:t>
      </w:r>
      <w:r w:rsidRPr="00E4265B">
        <w:rPr>
          <w:rFonts w:ascii="Arial" w:hAnsi="Arial" w:cs="Arial"/>
          <w:sz w:val="22"/>
          <w:szCs w:val="22"/>
          <w:lang w:val="en-GB"/>
        </w:rPr>
        <w:t>'s Operational Risk.</w:t>
      </w:r>
    </w:p>
    <w:p w14:paraId="65631269" w14:textId="77777777" w:rsidR="00E22FF2" w:rsidRPr="00E4265B" w:rsidRDefault="00E22FF2" w:rsidP="00E02B7F">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w:t>
      </w:r>
    </w:p>
    <w:p w14:paraId="24C62947"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ensure that its risk management systems enable it to implement the Operational Risk policy;</w:t>
      </w:r>
    </w:p>
    <w:p w14:paraId="612A482E"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identify, assess, mitigate, control and monitor the risk; and</w:t>
      </w:r>
    </w:p>
    <w:p w14:paraId="2E20002D"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review and update the policy at intervals that are appropriate to the nature, scale and complexity of its activities.</w:t>
      </w:r>
    </w:p>
    <w:p w14:paraId="1CB394AB"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ensure that its Governing Body approves the Operational Risk policy in Rule 6.2.1.</w:t>
      </w:r>
    </w:p>
    <w:p w14:paraId="305B2130" w14:textId="77777777" w:rsidR="00E22FF2" w:rsidRPr="00E4265B" w:rsidRDefault="00E22FF2" w:rsidP="00E02B7F">
      <w:pPr>
        <w:pStyle w:val="TitleL5"/>
        <w:rPr>
          <w:rFonts w:ascii="Arial" w:hAnsi="Arial" w:cs="Arial"/>
          <w:sz w:val="22"/>
          <w:szCs w:val="22"/>
          <w:lang w:val="en-GB"/>
        </w:rPr>
      </w:pPr>
      <w:r w:rsidRPr="00E4265B">
        <w:rPr>
          <w:rFonts w:ascii="Arial" w:hAnsi="Arial" w:cs="Arial"/>
          <w:sz w:val="22"/>
          <w:szCs w:val="22"/>
          <w:lang w:val="en-GB"/>
        </w:rPr>
        <w:t>Guidance</w:t>
      </w:r>
    </w:p>
    <w:p w14:paraId="331509B4"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Some of the key aspects that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in its Operational Risk policy include:</w:t>
      </w:r>
    </w:p>
    <w:p w14:paraId="4921FB02"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governance structures used to manage Operational Risk, including reporting lines and accountabilities;</w:t>
      </w:r>
    </w:p>
    <w:p w14:paraId="37A7538B"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risk assessment tools and how they are used;</w:t>
      </w:r>
    </w:p>
    <w:p w14:paraId="293CD0D7"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's accepted Operational Risk appetite, permissible thresholds or tolerances for inherent and residual risk, and approved risk mitigation strategies and instruments;</w:t>
      </w:r>
    </w:p>
    <w:p w14:paraId="1D249DAD"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's approach to establishing and monitoring thresholds or tolerances for inherent and residual risk Exposure;</w:t>
      </w:r>
    </w:p>
    <w:p w14:paraId="20C1B9F6"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risk reporting and MIS; and</w:t>
      </w:r>
    </w:p>
    <w:p w14:paraId="4307CA1D"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 xml:space="preserve">appropriate independent review and assessment of the </w:t>
      </w:r>
      <w:r w:rsidR="000D1A90" w:rsidRPr="00E4265B">
        <w:rPr>
          <w:rFonts w:ascii="Arial" w:hAnsi="Arial" w:cs="Arial"/>
          <w:sz w:val="22"/>
          <w:szCs w:val="22"/>
          <w:lang w:val="en-GB"/>
        </w:rPr>
        <w:t>Authorised Person</w:t>
      </w:r>
      <w:r w:rsidRPr="00E4265B">
        <w:rPr>
          <w:rFonts w:ascii="Arial" w:hAnsi="Arial" w:cs="Arial"/>
          <w:sz w:val="22"/>
          <w:szCs w:val="22"/>
          <w:lang w:val="en-GB"/>
        </w:rPr>
        <w:t>'s Operational Risk framework.</w:t>
      </w:r>
    </w:p>
    <w:p w14:paraId="1CE199C5" w14:textId="622EFBAB" w:rsidR="00E22FF2" w:rsidRPr="00E4265B" w:rsidRDefault="00E22FF2" w:rsidP="00E253B8">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Operational Risk policy should, amongst other </w:t>
      </w:r>
      <w:r w:rsidR="00E253B8" w:rsidRPr="00E4265B">
        <w:rPr>
          <w:rFonts w:ascii="Arial" w:hAnsi="Arial" w:cs="Arial"/>
          <w:sz w:val="22"/>
          <w:szCs w:val="22"/>
          <w:lang w:val="en-GB"/>
        </w:rPr>
        <w:t>things</w:t>
      </w:r>
      <w:r w:rsidRPr="00E4265B">
        <w:rPr>
          <w:rFonts w:ascii="Arial" w:hAnsi="Arial" w:cs="Arial"/>
          <w:sz w:val="22"/>
          <w:szCs w:val="22"/>
          <w:lang w:val="en-GB"/>
        </w:rPr>
        <w:t>, include consideration of Principles for the Sound Management of Operational Risk, issued by the BCBS and the Guidelines on the management of Operational Risk in market</w:t>
      </w:r>
      <w:r w:rsidRPr="00E4265B">
        <w:rPr>
          <w:rFonts w:ascii="Arial" w:hAnsi="Arial" w:cs="Arial"/>
          <w:sz w:val="22"/>
          <w:szCs w:val="22"/>
          <w:lang w:val="en-GB"/>
        </w:rPr>
        <w:noBreakHyphen/>
        <w:t>related activities issued by the European Banking Authority which are useful in relation to activities other than banking.</w:t>
      </w:r>
    </w:p>
    <w:p w14:paraId="15D4EF3D" w14:textId="77777777" w:rsidR="00E22FF2" w:rsidRPr="00E4265B" w:rsidRDefault="00E22FF2" w:rsidP="00E02B7F">
      <w:pPr>
        <w:pStyle w:val="TitleL5"/>
        <w:rPr>
          <w:rFonts w:ascii="Arial" w:hAnsi="Arial" w:cs="Arial"/>
          <w:sz w:val="22"/>
          <w:szCs w:val="22"/>
          <w:lang w:val="en-GB"/>
        </w:rPr>
      </w:pPr>
      <w:r w:rsidRPr="00E4265B">
        <w:rPr>
          <w:rFonts w:ascii="Arial" w:hAnsi="Arial" w:cs="Arial"/>
          <w:sz w:val="22"/>
          <w:szCs w:val="22"/>
          <w:lang w:val="en-GB"/>
        </w:rPr>
        <w:t>Governing Body responsibilities</w:t>
      </w:r>
    </w:p>
    <w:p w14:paraId="24EAB461"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The GEN rules contain Rules and Guidance regarding corporate governance requirements for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including the responsibilities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regarding risk management.</w:t>
      </w:r>
    </w:p>
    <w:p w14:paraId="5B16B013"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lastRenderedPageBreak/>
        <w:t>2.</w:t>
      </w:r>
      <w:r w:rsidRPr="00E4265B">
        <w:rPr>
          <w:rFonts w:ascii="Arial" w:hAnsi="Arial" w:cs="Arial"/>
          <w:sz w:val="22"/>
          <w:szCs w:val="22"/>
          <w:lang w:val="en-GB"/>
        </w:rPr>
        <w:tab/>
        <w:t xml:space="preserve">In developing, implementing and maintaining an effective Operational Risk framework, an </w:t>
      </w:r>
      <w:r w:rsidR="000D1A90" w:rsidRPr="00E4265B">
        <w:rPr>
          <w:rFonts w:ascii="Arial" w:hAnsi="Arial" w:cs="Arial"/>
          <w:sz w:val="22"/>
          <w:szCs w:val="22"/>
          <w:lang w:val="en-GB"/>
        </w:rPr>
        <w:t>Authorised Person</w:t>
      </w:r>
      <w:r w:rsidRPr="00E4265B">
        <w:rPr>
          <w:rFonts w:ascii="Arial" w:hAnsi="Arial" w:cs="Arial"/>
          <w:sz w:val="22"/>
          <w:szCs w:val="22"/>
          <w:lang w:val="en-GB"/>
        </w:rPr>
        <w:t>'s Governing Body should:</w:t>
      </w:r>
    </w:p>
    <w:p w14:paraId="106DA3A5"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approve and review a risk appetite and tolerance for Operational Risk that articulates the nature, types and levels of Operational Risk that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willing to assume;</w:t>
      </w:r>
    </w:p>
    <w:p w14:paraId="592BA324"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consider all relevant risks, the </w:t>
      </w:r>
      <w:r w:rsidR="000D1A90" w:rsidRPr="00E4265B">
        <w:rPr>
          <w:rFonts w:ascii="Arial" w:hAnsi="Arial" w:cs="Arial"/>
          <w:sz w:val="22"/>
          <w:szCs w:val="22"/>
          <w:lang w:val="en-GB"/>
        </w:rPr>
        <w:t>Authorised Person</w:t>
      </w:r>
      <w:r w:rsidRPr="00E4265B">
        <w:rPr>
          <w:rFonts w:ascii="Arial" w:hAnsi="Arial" w:cs="Arial"/>
          <w:sz w:val="22"/>
          <w:szCs w:val="22"/>
          <w:lang w:val="en-GB"/>
        </w:rPr>
        <w:t>'s level of risk appetite, its current financial condition and its strategic direction. The Governing Body should monitor management adherence to the risk appetite and tolerance and provide for timely detection and remediation of breaches;</w:t>
      </w:r>
    </w:p>
    <w:p w14:paraId="7A1E90BD"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encourage a management culture, and develop supporting processes, which help to engender within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 understanding by relevant Employees of the nature and scope of the Operational Risk inherent in the </w:t>
      </w:r>
      <w:r w:rsidR="000D1A90" w:rsidRPr="00E4265B">
        <w:rPr>
          <w:rFonts w:ascii="Arial" w:hAnsi="Arial" w:cs="Arial"/>
          <w:sz w:val="22"/>
          <w:szCs w:val="22"/>
          <w:lang w:val="en-GB"/>
        </w:rPr>
        <w:t>Authorised Person</w:t>
      </w:r>
      <w:r w:rsidRPr="00E4265B">
        <w:rPr>
          <w:rFonts w:ascii="Arial" w:hAnsi="Arial" w:cs="Arial"/>
          <w:sz w:val="22"/>
          <w:szCs w:val="22"/>
          <w:lang w:val="en-GB"/>
        </w:rPr>
        <w:t>'s strategies and activities;</w:t>
      </w:r>
    </w:p>
    <w:p w14:paraId="01A39BC0"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provide senior management with clear guidance and direction regarding the principles underlying the </w:t>
      </w:r>
      <w:r w:rsidR="000D1A90" w:rsidRPr="00E4265B">
        <w:rPr>
          <w:rFonts w:ascii="Arial" w:hAnsi="Arial" w:cs="Arial"/>
          <w:sz w:val="22"/>
          <w:szCs w:val="22"/>
          <w:lang w:val="en-GB"/>
        </w:rPr>
        <w:t>Authorised Person</w:t>
      </w:r>
      <w:r w:rsidRPr="00E4265B">
        <w:rPr>
          <w:rFonts w:ascii="Arial" w:hAnsi="Arial" w:cs="Arial"/>
          <w:sz w:val="22"/>
          <w:szCs w:val="22"/>
          <w:lang w:val="en-GB"/>
        </w:rPr>
        <w:t>'s Operational Risk management framework and approve the corresponding policies developed by senior management;</w:t>
      </w:r>
    </w:p>
    <w:p w14:paraId="7C9AB63D"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regularly review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Operational Risk policy to ensure that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identified and is managing the Operational Risk arising from external market changes and other environmental factors, as well as those Operational Risks associated with new strategies, products, activities, or systems, including changes in risk profiles and priorities (e.g. changing business volumes). Such review should also take into account the Operational Risk loss experience, the frequency, volume or nature of limit breaches, the quality of the control environment and the effectiveness of risk management or mitigation strategies;</w:t>
      </w:r>
    </w:p>
    <w:p w14:paraId="564E49C8"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 xml:space="preserve">ensure that the </w:t>
      </w:r>
      <w:r w:rsidR="000D1A90" w:rsidRPr="00E4265B">
        <w:rPr>
          <w:rFonts w:ascii="Arial" w:hAnsi="Arial" w:cs="Arial"/>
          <w:sz w:val="22"/>
          <w:szCs w:val="22"/>
          <w:lang w:val="en-GB"/>
        </w:rPr>
        <w:t>Authorised Person</w:t>
      </w:r>
      <w:r w:rsidRPr="00E4265B">
        <w:rPr>
          <w:rFonts w:ascii="Arial" w:hAnsi="Arial" w:cs="Arial"/>
          <w:sz w:val="22"/>
          <w:szCs w:val="22"/>
          <w:lang w:val="en-GB"/>
        </w:rPr>
        <w:t>'s Operational Risk policy and framework is subject to effective independent review by audit or other appropriately</w:t>
      </w:r>
      <w:r w:rsidRPr="00E4265B">
        <w:rPr>
          <w:rFonts w:ascii="Arial" w:hAnsi="Arial" w:cs="Arial"/>
          <w:sz w:val="22"/>
          <w:szCs w:val="22"/>
          <w:lang w:val="en-GB"/>
        </w:rPr>
        <w:noBreakHyphen/>
        <w:t>trained Persons;</w:t>
      </w:r>
    </w:p>
    <w:p w14:paraId="14715A32"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ensure that management is incorporating industry best practice in managing Operational Risk; and</w:t>
      </w:r>
    </w:p>
    <w:p w14:paraId="5B9DF027" w14:textId="77777777" w:rsidR="00E22FF2" w:rsidRPr="00E4265B" w:rsidRDefault="00E22FF2" w:rsidP="006F2430">
      <w:pPr>
        <w:pStyle w:val="aList"/>
        <w:rPr>
          <w:rFonts w:ascii="Arial" w:hAnsi="Arial" w:cs="Arial"/>
          <w:sz w:val="22"/>
          <w:szCs w:val="22"/>
          <w:lang w:val="en-GB"/>
        </w:rPr>
      </w:pPr>
      <w:r w:rsidRPr="00E4265B">
        <w:rPr>
          <w:rFonts w:ascii="Arial" w:hAnsi="Arial" w:cs="Arial"/>
          <w:sz w:val="22"/>
          <w:szCs w:val="22"/>
          <w:lang w:val="en-GB"/>
        </w:rPr>
        <w:t>h.</w:t>
      </w:r>
      <w:r w:rsidRPr="00E4265B">
        <w:rPr>
          <w:rFonts w:ascii="Arial" w:hAnsi="Arial" w:cs="Arial"/>
          <w:sz w:val="22"/>
          <w:szCs w:val="22"/>
          <w:lang w:val="en-GB"/>
        </w:rPr>
        <w:tab/>
        <w:t>establish clear lines of management responsibility and accountability for implementing a strong control environment. The control environment should provide appropriate independence/separation of duties between Operational Risk control functions, business lines and support functions.</w:t>
      </w:r>
    </w:p>
    <w:p w14:paraId="5512E6A7" w14:textId="77777777" w:rsidR="00E22FF2" w:rsidRPr="00E4265B" w:rsidRDefault="00E22FF2" w:rsidP="00E02B7F">
      <w:pPr>
        <w:pStyle w:val="TitleL5"/>
        <w:rPr>
          <w:rFonts w:ascii="Arial" w:hAnsi="Arial" w:cs="Arial"/>
          <w:sz w:val="22"/>
          <w:szCs w:val="22"/>
          <w:lang w:val="en-GB"/>
        </w:rPr>
      </w:pPr>
      <w:r w:rsidRPr="00E4265B">
        <w:rPr>
          <w:rFonts w:ascii="Arial" w:hAnsi="Arial" w:cs="Arial"/>
          <w:sz w:val="22"/>
          <w:szCs w:val="22"/>
          <w:lang w:val="en-GB"/>
        </w:rPr>
        <w:t>Senior Management Responsibilities</w:t>
      </w:r>
    </w:p>
    <w:p w14:paraId="51277061"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The GEN rules contain Rules and Guidance regarding senior management arrangements for </w:t>
      </w:r>
      <w:r w:rsidR="000D1A90" w:rsidRPr="00E4265B">
        <w:rPr>
          <w:rFonts w:ascii="Arial" w:hAnsi="Arial" w:cs="Arial"/>
          <w:sz w:val="22"/>
          <w:szCs w:val="22"/>
          <w:lang w:val="en-GB"/>
        </w:rPr>
        <w:t>Authorised Person</w:t>
      </w:r>
      <w:r w:rsidRPr="00E4265B">
        <w:rPr>
          <w:rFonts w:ascii="Arial" w:hAnsi="Arial" w:cs="Arial"/>
          <w:sz w:val="22"/>
          <w:szCs w:val="22"/>
          <w:lang w:val="en-GB"/>
        </w:rPr>
        <w:t>s.</w:t>
      </w:r>
    </w:p>
    <w:p w14:paraId="710F1FAA"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In relation to establishing and maintaining a robust Operational Risk framework, an </w:t>
      </w:r>
      <w:r w:rsidR="000D1A90" w:rsidRPr="00E4265B">
        <w:rPr>
          <w:rFonts w:ascii="Arial" w:hAnsi="Arial" w:cs="Arial"/>
          <w:sz w:val="22"/>
          <w:szCs w:val="22"/>
          <w:lang w:val="en-GB"/>
        </w:rPr>
        <w:t>Authorised Person</w:t>
      </w:r>
      <w:r w:rsidRPr="00E4265B">
        <w:rPr>
          <w:rFonts w:ascii="Arial" w:hAnsi="Arial" w:cs="Arial"/>
          <w:sz w:val="22"/>
          <w:szCs w:val="22"/>
          <w:lang w:val="en-GB"/>
        </w:rPr>
        <w:t>'s senior management should:</w:t>
      </w:r>
    </w:p>
    <w:p w14:paraId="6C3EA235"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t>translate the Operational Risk management framework established by the Governing Body into specific policies and procedures that can be implemented and verified within the different business units;</w:t>
      </w:r>
    </w:p>
    <w:p w14:paraId="39E1C95C"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clearly assign authority, responsibility and reporting relationships to encourage and maintain accountability, and to ensure that the necessary resources are available to manage Operational Risk in line within the </w:t>
      </w:r>
      <w:r w:rsidR="000D1A90" w:rsidRPr="00E4265B">
        <w:rPr>
          <w:rFonts w:ascii="Arial" w:hAnsi="Arial" w:cs="Arial"/>
          <w:sz w:val="22"/>
          <w:szCs w:val="22"/>
          <w:lang w:val="en-GB"/>
        </w:rPr>
        <w:t>Authorised Person</w:t>
      </w:r>
      <w:r w:rsidRPr="00E4265B">
        <w:rPr>
          <w:rFonts w:ascii="Arial" w:hAnsi="Arial" w:cs="Arial"/>
          <w:sz w:val="22"/>
          <w:szCs w:val="22"/>
          <w:lang w:val="en-GB"/>
        </w:rPr>
        <w:t>'s risk appetite and tolerance; and</w:t>
      </w:r>
    </w:p>
    <w:p w14:paraId="25F69CE0"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ensure that the management oversight process is appropriate for the risks inherent in a business unit's activity.</w:t>
      </w:r>
    </w:p>
    <w:p w14:paraId="00ECF7AC" w14:textId="77777777" w:rsidR="00E22FF2" w:rsidRPr="00E4265B" w:rsidRDefault="00E22FF2" w:rsidP="00246497">
      <w:pPr>
        <w:pStyle w:val="Heading3"/>
        <w:rPr>
          <w:rFonts w:ascii="Arial" w:hAnsi="Arial" w:cs="Arial"/>
          <w:sz w:val="22"/>
          <w:szCs w:val="22"/>
        </w:rPr>
      </w:pPr>
      <w:bookmarkStart w:id="588" w:name="_Toc403223971"/>
      <w:bookmarkStart w:id="589" w:name="_Toc403254009"/>
      <w:bookmarkStart w:id="590" w:name="_Toc403273409"/>
      <w:bookmarkStart w:id="591" w:name="_Toc403273558"/>
      <w:bookmarkStart w:id="592" w:name="_Toc403274517"/>
      <w:bookmarkStart w:id="593" w:name="_Toc403280013"/>
      <w:bookmarkStart w:id="594" w:name="_Toc404285814"/>
      <w:bookmarkStart w:id="595" w:name="_Toc404621763"/>
      <w:bookmarkStart w:id="596" w:name="_Toc404624404"/>
      <w:bookmarkStart w:id="597" w:name="_Toc33622430"/>
      <w:r w:rsidRPr="00E4265B">
        <w:rPr>
          <w:rFonts w:ascii="Arial" w:hAnsi="Arial" w:cs="Arial"/>
          <w:sz w:val="22"/>
          <w:szCs w:val="22"/>
        </w:rPr>
        <w:t>Risk identification and assessment</w:t>
      </w:r>
      <w:bookmarkEnd w:id="588"/>
      <w:bookmarkEnd w:id="589"/>
      <w:bookmarkEnd w:id="590"/>
      <w:bookmarkEnd w:id="591"/>
      <w:bookmarkEnd w:id="592"/>
      <w:bookmarkEnd w:id="593"/>
      <w:bookmarkEnd w:id="594"/>
      <w:bookmarkEnd w:id="595"/>
      <w:bookmarkEnd w:id="596"/>
      <w:bookmarkEnd w:id="597"/>
    </w:p>
    <w:p w14:paraId="1DE6411A"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w:t>
      </w:r>
    </w:p>
    <w:p w14:paraId="255C3E1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ensure that it identifies and assesses the Operational Risks inherent in all the </w:t>
      </w:r>
      <w:r w:rsidR="000D1A90" w:rsidRPr="00E4265B">
        <w:rPr>
          <w:rFonts w:ascii="Arial" w:hAnsi="Arial" w:cs="Arial"/>
          <w:sz w:val="22"/>
          <w:szCs w:val="22"/>
        </w:rPr>
        <w:t>Authorised Person</w:t>
      </w:r>
      <w:r w:rsidRPr="00E4265B">
        <w:rPr>
          <w:rFonts w:ascii="Arial" w:hAnsi="Arial" w:cs="Arial"/>
          <w:sz w:val="22"/>
          <w:szCs w:val="22"/>
        </w:rPr>
        <w:t>'s products, activities, processes and systems;</w:t>
      </w:r>
    </w:p>
    <w:p w14:paraId="5EC6CDC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ensure the inherent risks in (a) are understood by relevant Employees of the </w:t>
      </w:r>
      <w:r w:rsidR="000D1A90" w:rsidRPr="00E4265B">
        <w:rPr>
          <w:rFonts w:ascii="Arial" w:hAnsi="Arial" w:cs="Arial"/>
          <w:sz w:val="22"/>
          <w:szCs w:val="22"/>
        </w:rPr>
        <w:t>Authorised Person</w:t>
      </w:r>
      <w:r w:rsidRPr="00E4265B">
        <w:rPr>
          <w:rFonts w:ascii="Arial" w:hAnsi="Arial" w:cs="Arial"/>
          <w:sz w:val="22"/>
          <w:szCs w:val="22"/>
        </w:rPr>
        <w:t>;</w:t>
      </w:r>
    </w:p>
    <w:p w14:paraId="0BD2716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systematically track Operational Risk events and any financial impact associated with such events; and</w:t>
      </w:r>
    </w:p>
    <w:p w14:paraId="23554D7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ensure that the tracking in (c) is consistent with the Operational Risk event types described in the Basel III framework.</w:t>
      </w:r>
    </w:p>
    <w:p w14:paraId="1A8AA2C8" w14:textId="77777777" w:rsidR="00E22FF2" w:rsidRPr="00E4265B" w:rsidRDefault="00E22FF2" w:rsidP="00E02B7F">
      <w:pPr>
        <w:pStyle w:val="TitleL5"/>
        <w:rPr>
          <w:rFonts w:ascii="Arial" w:hAnsi="Arial" w:cs="Arial"/>
          <w:sz w:val="22"/>
          <w:szCs w:val="22"/>
          <w:lang w:val="en-GB"/>
        </w:rPr>
      </w:pPr>
      <w:r w:rsidRPr="00E4265B">
        <w:rPr>
          <w:rFonts w:ascii="Arial" w:hAnsi="Arial" w:cs="Arial"/>
          <w:sz w:val="22"/>
          <w:szCs w:val="22"/>
          <w:lang w:val="en-GB"/>
        </w:rPr>
        <w:t>Guidance</w:t>
      </w:r>
    </w:p>
    <w:p w14:paraId="53939B7C"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record all Operational Risk events, including near misses and events which result in a positive financial outcome.</w:t>
      </w:r>
    </w:p>
    <w:p w14:paraId="60C0D32A"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These Rules complement related Rules in the GEN rules relating to risk management systems and controls. For example, GEN requires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appoint an individual to advise its Governing Body and senior management as to risks.</w:t>
      </w:r>
    </w:p>
    <w:p w14:paraId="6071DA6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ensure that its Operational Risk policy in Rule 6.2.1:</w:t>
      </w:r>
    </w:p>
    <w:p w14:paraId="0AD4B40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includes an approval process for all new products, activities, processes and systems; and</w:t>
      </w:r>
    </w:p>
    <w:p w14:paraId="1D0C429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incorporates the requirement in Rule 6.3.1(a).</w:t>
      </w:r>
    </w:p>
    <w:p w14:paraId="7A6496D0" w14:textId="77777777" w:rsidR="00E22FF2" w:rsidRPr="00E4265B" w:rsidRDefault="00E22FF2" w:rsidP="00E02B7F">
      <w:pPr>
        <w:pStyle w:val="TitleL5"/>
        <w:rPr>
          <w:rFonts w:ascii="Arial" w:hAnsi="Arial" w:cs="Arial"/>
          <w:sz w:val="22"/>
          <w:szCs w:val="22"/>
          <w:lang w:val="en-GB"/>
        </w:rPr>
      </w:pPr>
      <w:r w:rsidRPr="00E4265B">
        <w:rPr>
          <w:rFonts w:ascii="Arial" w:hAnsi="Arial" w:cs="Arial"/>
          <w:sz w:val="22"/>
          <w:szCs w:val="22"/>
          <w:lang w:val="en-GB"/>
        </w:rPr>
        <w:t>Guidance</w:t>
      </w:r>
    </w:p>
    <w:p w14:paraId="7FFAAD95"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policies and procedures that address the process for review and approval of new products, activities, processes and systems. The review and approval process should include consideration of:</w:t>
      </w:r>
    </w:p>
    <w:p w14:paraId="4EE22F6E"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inherent risks in any new product, service, or activity;</w:t>
      </w:r>
    </w:p>
    <w:p w14:paraId="56426401"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resulting changes to the </w:t>
      </w:r>
      <w:r w:rsidR="000D1A90" w:rsidRPr="00E4265B">
        <w:rPr>
          <w:rFonts w:ascii="Arial" w:hAnsi="Arial" w:cs="Arial"/>
          <w:sz w:val="22"/>
          <w:szCs w:val="22"/>
          <w:lang w:val="en-GB"/>
        </w:rPr>
        <w:t>Authorised Person</w:t>
      </w:r>
      <w:r w:rsidRPr="00E4265B">
        <w:rPr>
          <w:rFonts w:ascii="Arial" w:hAnsi="Arial" w:cs="Arial"/>
          <w:sz w:val="22"/>
          <w:szCs w:val="22"/>
          <w:lang w:val="en-GB"/>
        </w:rPr>
        <w:t>'s Operational Risk profile, appetite and tolerance, including changes to the risk of existing products or activities;</w:t>
      </w:r>
    </w:p>
    <w:p w14:paraId="4C035A6C"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lastRenderedPageBreak/>
        <w:t>c.</w:t>
      </w:r>
      <w:r w:rsidRPr="00E4265B">
        <w:rPr>
          <w:rFonts w:ascii="Arial" w:hAnsi="Arial" w:cs="Arial"/>
          <w:sz w:val="22"/>
          <w:szCs w:val="22"/>
          <w:lang w:val="en-GB"/>
        </w:rPr>
        <w:tab/>
        <w:t>necessary controls, risk management processes, and risk mitigation strategies;</w:t>
      </w:r>
    </w:p>
    <w:p w14:paraId="37B0B5D4"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residual risk;</w:t>
      </w:r>
    </w:p>
    <w:p w14:paraId="113C62A1"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changes to relevant risk limits;</w:t>
      </w:r>
    </w:p>
    <w:p w14:paraId="54A08172"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procedures and metrics to measure, monitor, and manage the risk of the new product or activity; and</w:t>
      </w:r>
    </w:p>
    <w:p w14:paraId="2C92CCC7"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appropriate investment in human resources and technology infrastructure.</w:t>
      </w:r>
    </w:p>
    <w:p w14:paraId="16C6CA62"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Tools that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employ for identifying and assessing Operational Risk include:</w:t>
      </w:r>
    </w:p>
    <w:p w14:paraId="634ECE24"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internal loss data collection and analysis;</w:t>
      </w:r>
    </w:p>
    <w:p w14:paraId="6147324A"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external data collection and analysis;</w:t>
      </w:r>
    </w:p>
    <w:p w14:paraId="03611A5A"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risk assessments;</w:t>
      </w:r>
    </w:p>
    <w:p w14:paraId="3F3C9D87"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business process mapping;</w:t>
      </w:r>
    </w:p>
    <w:p w14:paraId="13740BAD"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risk and performance indicators; and </w:t>
      </w:r>
    </w:p>
    <w:p w14:paraId="65F0B833"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scenario analysis.</w:t>
      </w:r>
    </w:p>
    <w:p w14:paraId="5ED759E3" w14:textId="77777777" w:rsidR="00E22FF2" w:rsidRPr="00E4265B" w:rsidRDefault="00E22FF2" w:rsidP="00246497">
      <w:pPr>
        <w:pStyle w:val="Heading3"/>
        <w:rPr>
          <w:rFonts w:ascii="Arial" w:hAnsi="Arial" w:cs="Arial"/>
          <w:sz w:val="22"/>
          <w:szCs w:val="22"/>
        </w:rPr>
      </w:pPr>
      <w:bookmarkStart w:id="598" w:name="_Toc403223972"/>
      <w:bookmarkStart w:id="599" w:name="_Toc403254010"/>
      <w:bookmarkStart w:id="600" w:name="_Toc403273410"/>
      <w:bookmarkStart w:id="601" w:name="_Toc403273559"/>
      <w:bookmarkStart w:id="602" w:name="_Toc403274518"/>
      <w:bookmarkStart w:id="603" w:name="_Toc403280014"/>
      <w:bookmarkStart w:id="604" w:name="_Toc404285815"/>
      <w:bookmarkStart w:id="605" w:name="_Toc404621764"/>
      <w:bookmarkStart w:id="606" w:name="_Toc404624405"/>
      <w:bookmarkStart w:id="607" w:name="_Toc33622431"/>
      <w:r w:rsidRPr="00E4265B">
        <w:rPr>
          <w:rFonts w:ascii="Arial" w:hAnsi="Arial" w:cs="Arial"/>
          <w:sz w:val="22"/>
          <w:szCs w:val="22"/>
        </w:rPr>
        <w:t>Risk monitoring and reporting</w:t>
      </w:r>
      <w:bookmarkEnd w:id="598"/>
      <w:bookmarkEnd w:id="599"/>
      <w:bookmarkEnd w:id="600"/>
      <w:bookmarkEnd w:id="601"/>
      <w:bookmarkEnd w:id="602"/>
      <w:bookmarkEnd w:id="603"/>
      <w:bookmarkEnd w:id="604"/>
      <w:bookmarkEnd w:id="605"/>
      <w:bookmarkEnd w:id="606"/>
      <w:bookmarkEnd w:id="607"/>
    </w:p>
    <w:p w14:paraId="06A03FB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w:t>
      </w:r>
    </w:p>
    <w:p w14:paraId="4CBA338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regularly monitor material Exposures to Operational Risk losses;</w:t>
      </w:r>
    </w:p>
    <w:p w14:paraId="1E5814F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ensure that appropriate reporting mechanisms are in place at its Governing Body, senior management, and business line levels to support effective management of the </w:t>
      </w:r>
      <w:r w:rsidR="000D1A90" w:rsidRPr="00E4265B">
        <w:rPr>
          <w:rFonts w:ascii="Arial" w:hAnsi="Arial" w:cs="Arial"/>
          <w:sz w:val="22"/>
          <w:szCs w:val="22"/>
        </w:rPr>
        <w:t>Authorised Person</w:t>
      </w:r>
      <w:r w:rsidRPr="00E4265B">
        <w:rPr>
          <w:rFonts w:ascii="Arial" w:hAnsi="Arial" w:cs="Arial"/>
          <w:sz w:val="22"/>
          <w:szCs w:val="22"/>
        </w:rPr>
        <w:t>'s Operational Risk; and</w:t>
      </w:r>
    </w:p>
    <w:p w14:paraId="34292DC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immediately notify the Regulator of any material Operational Risk event including notification of any resulting financial impact, positive or negative, associated with such event.</w:t>
      </w:r>
    </w:p>
    <w:p w14:paraId="2ACE3AA2" w14:textId="77777777" w:rsidR="00E22FF2" w:rsidRPr="00E4265B" w:rsidRDefault="00E22FF2" w:rsidP="00E02B7F">
      <w:pPr>
        <w:pStyle w:val="TitleL5"/>
        <w:rPr>
          <w:rFonts w:ascii="Arial" w:hAnsi="Arial" w:cs="Arial"/>
          <w:sz w:val="22"/>
          <w:szCs w:val="22"/>
          <w:lang w:val="en-GB"/>
        </w:rPr>
      </w:pPr>
      <w:r w:rsidRPr="00E4265B">
        <w:rPr>
          <w:rFonts w:ascii="Arial" w:hAnsi="Arial" w:cs="Arial"/>
          <w:sz w:val="22"/>
          <w:szCs w:val="22"/>
          <w:lang w:val="en-GB"/>
        </w:rPr>
        <w:t>Guidance</w:t>
      </w:r>
    </w:p>
    <w:p w14:paraId="44AC1EAF"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The GEN rules require an Authorised Person</w:t>
      </w:r>
      <w:r w:rsidR="00370708" w:rsidRPr="00E4265B">
        <w:rPr>
          <w:rFonts w:ascii="Arial" w:hAnsi="Arial" w:cs="Arial"/>
          <w:sz w:val="22"/>
          <w:szCs w:val="22"/>
          <w:lang w:val="en-GB"/>
        </w:rPr>
        <w:t xml:space="preserve"> or Recognised Body</w:t>
      </w:r>
      <w:r w:rsidRPr="00E4265B">
        <w:rPr>
          <w:rFonts w:ascii="Arial" w:hAnsi="Arial" w:cs="Arial"/>
          <w:sz w:val="22"/>
          <w:szCs w:val="22"/>
          <w:lang w:val="en-GB"/>
        </w:rPr>
        <w:t xml:space="preserve"> to establish and maintain arrangements to provide its Governing Body and senior management with the information necessary to organise and control its activities, to comply with legislation applicable in the ADGM and to manage risks.</w:t>
      </w:r>
    </w:p>
    <w:p w14:paraId="1A220481"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Rule 6.4.1 is intended to complement GEN and requires </w:t>
      </w:r>
      <w:r w:rsidR="000D1A90" w:rsidRPr="00E4265B">
        <w:rPr>
          <w:rFonts w:ascii="Arial" w:hAnsi="Arial" w:cs="Arial"/>
          <w:sz w:val="22"/>
          <w:szCs w:val="22"/>
          <w:lang w:val="en-GB"/>
        </w:rPr>
        <w:t>Authorised Person</w:t>
      </w:r>
      <w:r w:rsidRPr="00E4265B">
        <w:rPr>
          <w:rFonts w:ascii="Arial" w:hAnsi="Arial" w:cs="Arial"/>
          <w:sz w:val="22"/>
          <w:szCs w:val="22"/>
          <w:lang w:val="en-GB"/>
        </w:rPr>
        <w:t>s to establish and maintain reporting mechanisms specifically addressing the Operational Risk matters.</w:t>
      </w:r>
    </w:p>
    <w:p w14:paraId="2613960B"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lastRenderedPageBreak/>
        <w:t>3.</w:t>
      </w:r>
      <w:r w:rsidRPr="00E4265B">
        <w:rPr>
          <w:rFonts w:ascii="Arial" w:hAnsi="Arial" w:cs="Arial"/>
          <w:sz w:val="22"/>
          <w:szCs w:val="22"/>
          <w:lang w:val="en-GB"/>
        </w:rPr>
        <w:tab/>
        <w:t xml:space="preserve">The frequency of internal reporting of Operational Risks required by Rule 6.4.1(b) should reflect the risks involved and the pace and nature of changes in the </w:t>
      </w:r>
      <w:r w:rsidR="000D1A90" w:rsidRPr="00E4265B">
        <w:rPr>
          <w:rFonts w:ascii="Arial" w:hAnsi="Arial" w:cs="Arial"/>
          <w:sz w:val="22"/>
          <w:szCs w:val="22"/>
          <w:lang w:val="en-GB"/>
        </w:rPr>
        <w:t>Authorised Person</w:t>
      </w:r>
      <w:r w:rsidRPr="00E4265B">
        <w:rPr>
          <w:rFonts w:ascii="Arial" w:hAnsi="Arial" w:cs="Arial"/>
          <w:sz w:val="22"/>
          <w:szCs w:val="22"/>
          <w:lang w:val="en-GB"/>
        </w:rPr>
        <w:t>'s operating environment.</w:t>
      </w:r>
    </w:p>
    <w:p w14:paraId="586FDAEB"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The following lists some of the items that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including in its internal reporting of Operational Risks:</w:t>
      </w:r>
    </w:p>
    <w:p w14:paraId="562E48AE"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results of monitoring activities;</w:t>
      </w:r>
    </w:p>
    <w:p w14:paraId="48A716D9"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assessments of the Operational Risk framework performed by control functions such as internal audit, compliance, risk management and/or external audit;</w:t>
      </w:r>
    </w:p>
    <w:p w14:paraId="4D24624A"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reports generated by (and/or for) supervisory authorities;</w:t>
      </w:r>
    </w:p>
    <w:p w14:paraId="07DB9A76"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material breaches of the </w:t>
      </w:r>
      <w:r w:rsidR="000D1A90" w:rsidRPr="00E4265B">
        <w:rPr>
          <w:rFonts w:ascii="Arial" w:hAnsi="Arial" w:cs="Arial"/>
          <w:sz w:val="22"/>
          <w:szCs w:val="22"/>
          <w:lang w:val="en-GB"/>
        </w:rPr>
        <w:t>Authorised Person</w:t>
      </w:r>
      <w:r w:rsidRPr="00E4265B">
        <w:rPr>
          <w:rFonts w:ascii="Arial" w:hAnsi="Arial" w:cs="Arial"/>
          <w:sz w:val="22"/>
          <w:szCs w:val="22"/>
          <w:lang w:val="en-GB"/>
        </w:rPr>
        <w:t>'s risk appetite and tolerance with respect to Operational Risk;</w:t>
      </w:r>
    </w:p>
    <w:p w14:paraId="0EC151B9"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details of recent significant internal Operational Risk events and losses, including near misses or events that resulted in a positive return; and</w:t>
      </w:r>
    </w:p>
    <w:p w14:paraId="2968EA2B"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 xml:space="preserve">relevant external events and any potential impact on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its Operational Risk framework, including Operational Risk capital.</w:t>
      </w:r>
    </w:p>
    <w:p w14:paraId="38EC43CC" w14:textId="77777777" w:rsidR="00E22FF2" w:rsidRPr="00E4265B" w:rsidRDefault="00E22FF2" w:rsidP="00246497">
      <w:pPr>
        <w:pStyle w:val="Heading3"/>
        <w:rPr>
          <w:rFonts w:ascii="Arial" w:hAnsi="Arial" w:cs="Arial"/>
          <w:sz w:val="22"/>
          <w:szCs w:val="22"/>
        </w:rPr>
      </w:pPr>
      <w:bookmarkStart w:id="608" w:name="_Toc403223973"/>
      <w:bookmarkStart w:id="609" w:name="_Toc403254011"/>
      <w:bookmarkStart w:id="610" w:name="_Toc403273411"/>
      <w:bookmarkStart w:id="611" w:name="_Toc403273560"/>
      <w:bookmarkStart w:id="612" w:name="_Toc403274519"/>
      <w:bookmarkStart w:id="613" w:name="_Toc403280015"/>
      <w:bookmarkStart w:id="614" w:name="_Toc404285816"/>
      <w:bookmarkStart w:id="615" w:name="_Toc404621765"/>
      <w:bookmarkStart w:id="616" w:name="_Toc404624406"/>
      <w:bookmarkStart w:id="617" w:name="_Toc33622432"/>
      <w:r w:rsidRPr="00E4265B">
        <w:rPr>
          <w:rFonts w:ascii="Arial" w:hAnsi="Arial" w:cs="Arial"/>
          <w:sz w:val="22"/>
          <w:szCs w:val="22"/>
        </w:rPr>
        <w:t>Control and mitigation</w:t>
      </w:r>
      <w:bookmarkEnd w:id="608"/>
      <w:bookmarkEnd w:id="609"/>
      <w:bookmarkEnd w:id="610"/>
      <w:bookmarkEnd w:id="611"/>
      <w:bookmarkEnd w:id="612"/>
      <w:bookmarkEnd w:id="613"/>
      <w:bookmarkEnd w:id="614"/>
      <w:bookmarkEnd w:id="615"/>
      <w:bookmarkEnd w:id="616"/>
      <w:bookmarkEnd w:id="617"/>
    </w:p>
    <w:p w14:paraId="5AF1AA39" w14:textId="77777777" w:rsidR="00E22FF2" w:rsidRPr="00E4265B" w:rsidRDefault="00E22FF2" w:rsidP="00E02B7F">
      <w:pPr>
        <w:pStyle w:val="TitleL5"/>
        <w:rPr>
          <w:rFonts w:ascii="Arial" w:hAnsi="Arial" w:cs="Arial"/>
          <w:sz w:val="22"/>
          <w:szCs w:val="22"/>
          <w:lang w:val="en-GB"/>
        </w:rPr>
      </w:pPr>
      <w:r w:rsidRPr="00E4265B">
        <w:rPr>
          <w:rFonts w:ascii="Arial" w:hAnsi="Arial" w:cs="Arial"/>
          <w:sz w:val="22"/>
          <w:szCs w:val="22"/>
          <w:lang w:val="en-GB"/>
        </w:rPr>
        <w:t>Guidance</w:t>
      </w:r>
    </w:p>
    <w:p w14:paraId="041C20A1"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The GEN rules require an Authorised Person</w:t>
      </w:r>
      <w:r w:rsidR="00370708" w:rsidRPr="00E4265B">
        <w:rPr>
          <w:rFonts w:ascii="Arial" w:hAnsi="Arial" w:cs="Arial"/>
          <w:sz w:val="22"/>
          <w:szCs w:val="22"/>
          <w:lang w:val="en-GB"/>
        </w:rPr>
        <w:t xml:space="preserve"> or Recognised Body</w:t>
      </w:r>
      <w:r w:rsidRPr="00E4265B">
        <w:rPr>
          <w:rFonts w:ascii="Arial" w:hAnsi="Arial" w:cs="Arial"/>
          <w:sz w:val="22"/>
          <w:szCs w:val="22"/>
          <w:lang w:val="en-GB"/>
        </w:rPr>
        <w:t xml:space="preserve"> to establish and maintain systems and controls, including but not limited to financial and risk systems and controls that ensure that its affairs are managed effectively and responsibly by its senior management.</w:t>
      </w:r>
    </w:p>
    <w:p w14:paraId="461C84BF"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In complying with the GEN rules,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establish and maintain a strong control environment that uses policies, processes and systems, appropriate internal controls and appropriate risk mitigation and/or transfer strategies.</w:t>
      </w:r>
    </w:p>
    <w:p w14:paraId="4F1D7F6F"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In establishing systems and controls to address Operational Risk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the following:</w:t>
      </w:r>
    </w:p>
    <w:p w14:paraId="39AE9C51" w14:textId="77777777" w:rsidR="00E22FF2" w:rsidRPr="00E4265B" w:rsidRDefault="00E22FF2" w:rsidP="00601D29">
      <w:pPr>
        <w:pStyle w:val="1List0"/>
        <w:ind w:left="2268" w:hanging="567"/>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clear segregation of duties and dual control;</w:t>
      </w:r>
    </w:p>
    <w:p w14:paraId="7AAFA4D7" w14:textId="77777777" w:rsidR="00E22FF2" w:rsidRPr="00E4265B" w:rsidRDefault="00E22FF2" w:rsidP="00601D29">
      <w:pPr>
        <w:pStyle w:val="1List0"/>
        <w:ind w:left="2268" w:hanging="567"/>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clearly established authorities and/or processes for approval;</w:t>
      </w:r>
    </w:p>
    <w:p w14:paraId="3F53CF01" w14:textId="77777777" w:rsidR="00E22FF2" w:rsidRPr="00E4265B" w:rsidRDefault="00E22FF2" w:rsidP="00601D29">
      <w:pPr>
        <w:pStyle w:val="1List0"/>
        <w:ind w:left="2268" w:hanging="567"/>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close monitoring of adherence to assigned risk limits or thresholds;</w:t>
      </w:r>
    </w:p>
    <w:p w14:paraId="0D393FCB" w14:textId="77777777" w:rsidR="00E22FF2" w:rsidRPr="00E4265B" w:rsidRDefault="00E22FF2" w:rsidP="00601D29">
      <w:pPr>
        <w:pStyle w:val="1List0"/>
        <w:ind w:left="2268" w:hanging="567"/>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safeguards for access to, and use of, the </w:t>
      </w:r>
      <w:r w:rsidR="000D1A90" w:rsidRPr="00E4265B">
        <w:rPr>
          <w:rFonts w:ascii="Arial" w:hAnsi="Arial" w:cs="Arial"/>
          <w:sz w:val="22"/>
          <w:szCs w:val="22"/>
          <w:lang w:val="en-GB"/>
        </w:rPr>
        <w:t>Authorised Person</w:t>
      </w:r>
      <w:r w:rsidRPr="00E4265B">
        <w:rPr>
          <w:rFonts w:ascii="Arial" w:hAnsi="Arial" w:cs="Arial"/>
          <w:sz w:val="22"/>
          <w:szCs w:val="22"/>
          <w:lang w:val="en-GB"/>
        </w:rPr>
        <w:t>'s assets and records;</w:t>
      </w:r>
    </w:p>
    <w:p w14:paraId="68510DD5" w14:textId="77777777" w:rsidR="00E22FF2" w:rsidRPr="00E4265B" w:rsidRDefault="00E22FF2" w:rsidP="00601D29">
      <w:pPr>
        <w:pStyle w:val="1List0"/>
        <w:ind w:left="2268" w:hanging="567"/>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appropriate staffing level and training to maintain expertise;</w:t>
      </w:r>
    </w:p>
    <w:p w14:paraId="088CA256" w14:textId="77777777" w:rsidR="00E22FF2" w:rsidRPr="00E4265B" w:rsidRDefault="00E22FF2" w:rsidP="00601D29">
      <w:pPr>
        <w:pStyle w:val="1List0"/>
        <w:ind w:left="2268" w:hanging="567"/>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ongoing processes to identify business lines or products where returns appear to be out of line with reasonable expectations; and</w:t>
      </w:r>
    </w:p>
    <w:p w14:paraId="163C7DAF" w14:textId="77777777" w:rsidR="00E22FF2" w:rsidRPr="00E4265B" w:rsidRDefault="00E22FF2" w:rsidP="00601D29">
      <w:pPr>
        <w:pStyle w:val="1List0"/>
        <w:ind w:left="2268" w:hanging="567"/>
        <w:rPr>
          <w:rFonts w:ascii="Arial" w:hAnsi="Arial" w:cs="Arial"/>
          <w:sz w:val="22"/>
          <w:szCs w:val="22"/>
          <w:lang w:val="en-GB"/>
        </w:rPr>
      </w:pPr>
      <w:r w:rsidRPr="00E4265B">
        <w:rPr>
          <w:rFonts w:ascii="Arial" w:hAnsi="Arial" w:cs="Arial"/>
          <w:sz w:val="22"/>
          <w:szCs w:val="22"/>
          <w:lang w:val="en-GB"/>
        </w:rPr>
        <w:lastRenderedPageBreak/>
        <w:t>g.</w:t>
      </w:r>
      <w:r w:rsidRPr="00E4265B">
        <w:rPr>
          <w:rFonts w:ascii="Arial" w:hAnsi="Arial" w:cs="Arial"/>
          <w:sz w:val="22"/>
          <w:szCs w:val="22"/>
          <w:lang w:val="en-GB"/>
        </w:rPr>
        <w:tab/>
        <w:t>regular verification and reconciliation of transactions and accounts.</w:t>
      </w:r>
    </w:p>
    <w:p w14:paraId="29AE5E25" w14:textId="77777777" w:rsidR="00E22FF2" w:rsidRPr="00E4265B" w:rsidRDefault="00E22FF2" w:rsidP="00246497">
      <w:pPr>
        <w:pStyle w:val="Heading3"/>
        <w:rPr>
          <w:rFonts w:ascii="Arial" w:hAnsi="Arial" w:cs="Arial"/>
          <w:sz w:val="22"/>
          <w:szCs w:val="22"/>
        </w:rPr>
      </w:pPr>
      <w:bookmarkStart w:id="618" w:name="_Toc403223974"/>
      <w:bookmarkStart w:id="619" w:name="_Toc403254012"/>
      <w:bookmarkStart w:id="620" w:name="_Toc403273412"/>
      <w:bookmarkStart w:id="621" w:name="_Toc403273561"/>
      <w:bookmarkStart w:id="622" w:name="_Toc403274520"/>
      <w:bookmarkStart w:id="623" w:name="_Toc403280016"/>
      <w:bookmarkStart w:id="624" w:name="_Toc404285817"/>
      <w:bookmarkStart w:id="625" w:name="_Toc404621766"/>
      <w:bookmarkStart w:id="626" w:name="_Toc404624407"/>
      <w:bookmarkStart w:id="627" w:name="_Toc33622433"/>
      <w:r w:rsidRPr="00E4265B">
        <w:rPr>
          <w:rFonts w:ascii="Arial" w:hAnsi="Arial" w:cs="Arial"/>
          <w:sz w:val="22"/>
          <w:szCs w:val="22"/>
        </w:rPr>
        <w:t>Information Technology (IT) systems</w:t>
      </w:r>
      <w:bookmarkEnd w:id="618"/>
      <w:bookmarkEnd w:id="619"/>
      <w:bookmarkEnd w:id="620"/>
      <w:bookmarkEnd w:id="621"/>
      <w:bookmarkEnd w:id="622"/>
      <w:bookmarkEnd w:id="623"/>
      <w:bookmarkEnd w:id="624"/>
      <w:bookmarkEnd w:id="625"/>
      <w:bookmarkEnd w:id="626"/>
      <w:bookmarkEnd w:id="627"/>
    </w:p>
    <w:p w14:paraId="215E746E" w14:textId="77777777" w:rsidR="00E22FF2" w:rsidRPr="00E4265B" w:rsidRDefault="00E22FF2" w:rsidP="00E45D3D">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establish and maintain:</w:t>
      </w:r>
    </w:p>
    <w:p w14:paraId="3FA5624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appropriate information technology policies and processes to identify, assess, monitor and manage technology risks; and</w:t>
      </w:r>
    </w:p>
    <w:p w14:paraId="46B7E7C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appropriate and sound information technology infrastructure to meet its current and projected business requirements, under normal circumstances and in periods of stress, which ensures data and system integrity, security and</w:t>
      </w:r>
      <w:r w:rsidRPr="00E4265B">
        <w:rPr>
          <w:rFonts w:ascii="Arial" w:hAnsi="Arial" w:cs="Arial"/>
          <w:sz w:val="22"/>
          <w:szCs w:val="22"/>
        </w:rPr>
        <w:tab/>
        <w:t>availability and supports integrated and comprehensive risk management.</w:t>
      </w:r>
    </w:p>
    <w:p w14:paraId="1842A62A" w14:textId="77777777" w:rsidR="00E22FF2" w:rsidRPr="00E4265B" w:rsidRDefault="00E22FF2" w:rsidP="00E02B7F">
      <w:pPr>
        <w:pStyle w:val="TitleL5"/>
        <w:rPr>
          <w:rFonts w:ascii="Arial" w:hAnsi="Arial" w:cs="Arial"/>
          <w:sz w:val="22"/>
          <w:szCs w:val="22"/>
          <w:lang w:val="en-GB"/>
        </w:rPr>
      </w:pPr>
      <w:r w:rsidRPr="00E4265B">
        <w:rPr>
          <w:rFonts w:ascii="Arial" w:hAnsi="Arial" w:cs="Arial"/>
          <w:sz w:val="22"/>
          <w:szCs w:val="22"/>
          <w:lang w:val="en-GB"/>
        </w:rPr>
        <w:t>Guidance</w:t>
      </w:r>
    </w:p>
    <w:p w14:paraId="4FED64EF"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IT systems include the computer systems and information technology infrastructure required for the automation of processes and systems, such as application software, operating system software, network infrastructure, and desktop, server and mainframe hardware.</w:t>
      </w:r>
    </w:p>
    <w:p w14:paraId="61461032"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the following in establishing its systems and controls for the management of IT system risks:</w:t>
      </w:r>
    </w:p>
    <w:p w14:paraId="57E8332B"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governance and oversight controls that ensure technology, including outsourcing arrangements, is aligned with and supportive of the </w:t>
      </w:r>
      <w:r w:rsidR="000D1A90" w:rsidRPr="00E4265B">
        <w:rPr>
          <w:rFonts w:ascii="Arial" w:hAnsi="Arial" w:cs="Arial"/>
          <w:sz w:val="22"/>
          <w:szCs w:val="22"/>
          <w:lang w:val="en-GB"/>
        </w:rPr>
        <w:t>Authorised Person</w:t>
      </w:r>
      <w:r w:rsidRPr="00E4265B">
        <w:rPr>
          <w:rFonts w:ascii="Arial" w:hAnsi="Arial" w:cs="Arial"/>
          <w:sz w:val="22"/>
          <w:szCs w:val="22"/>
          <w:lang w:val="en-GB"/>
        </w:rPr>
        <w:t>'s business objectives;</w:t>
      </w:r>
    </w:p>
    <w:p w14:paraId="01FFCCC5"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's organisation and reporting structure for technology operations, including adequacy of senior management oversight; and</w:t>
      </w:r>
    </w:p>
    <w:p w14:paraId="4D5F545E"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appropriateness of the systems acquisition, development and maintenance activities, including the allocation of responsibilities between IT development and operational areas.</w:t>
      </w:r>
    </w:p>
    <w:p w14:paraId="5D3479D5" w14:textId="77777777" w:rsidR="00E22FF2" w:rsidRPr="00E4265B" w:rsidRDefault="00E22FF2" w:rsidP="00246497">
      <w:pPr>
        <w:pStyle w:val="Heading3"/>
        <w:rPr>
          <w:rFonts w:ascii="Arial" w:hAnsi="Arial" w:cs="Arial"/>
          <w:sz w:val="22"/>
          <w:szCs w:val="22"/>
        </w:rPr>
      </w:pPr>
      <w:bookmarkStart w:id="628" w:name="_Toc403223975"/>
      <w:bookmarkStart w:id="629" w:name="_Toc403254013"/>
      <w:bookmarkStart w:id="630" w:name="_Toc403273413"/>
      <w:bookmarkStart w:id="631" w:name="_Toc403273562"/>
      <w:bookmarkStart w:id="632" w:name="_Toc403274521"/>
      <w:bookmarkStart w:id="633" w:name="_Toc403280017"/>
      <w:bookmarkStart w:id="634" w:name="_Toc404285818"/>
      <w:bookmarkStart w:id="635" w:name="_Toc404621767"/>
      <w:bookmarkStart w:id="636" w:name="_Toc404624408"/>
      <w:bookmarkStart w:id="637" w:name="_Toc33622434"/>
      <w:r w:rsidRPr="00E4265B">
        <w:rPr>
          <w:rFonts w:ascii="Arial" w:hAnsi="Arial" w:cs="Arial"/>
          <w:sz w:val="22"/>
          <w:szCs w:val="22"/>
        </w:rPr>
        <w:t>Information security</w:t>
      </w:r>
      <w:bookmarkEnd w:id="628"/>
      <w:bookmarkEnd w:id="629"/>
      <w:bookmarkEnd w:id="630"/>
      <w:bookmarkEnd w:id="631"/>
      <w:bookmarkEnd w:id="632"/>
      <w:bookmarkEnd w:id="633"/>
      <w:bookmarkEnd w:id="634"/>
      <w:bookmarkEnd w:id="635"/>
      <w:bookmarkEnd w:id="636"/>
      <w:bookmarkEnd w:id="637"/>
    </w:p>
    <w:p w14:paraId="4132CF7F"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establish and maintain appropriate systems and controls to manage its information security risk.</w:t>
      </w:r>
    </w:p>
    <w:p w14:paraId="554F2349" w14:textId="77777777" w:rsidR="00E22FF2" w:rsidRPr="00E4265B" w:rsidRDefault="00E22FF2" w:rsidP="00E02B7F">
      <w:pPr>
        <w:pStyle w:val="TitleL5"/>
        <w:rPr>
          <w:rFonts w:ascii="Arial" w:hAnsi="Arial" w:cs="Arial"/>
          <w:sz w:val="22"/>
          <w:szCs w:val="22"/>
          <w:lang w:val="en-GB"/>
        </w:rPr>
      </w:pPr>
      <w:r w:rsidRPr="00E4265B">
        <w:rPr>
          <w:rFonts w:ascii="Arial" w:hAnsi="Arial" w:cs="Arial"/>
          <w:sz w:val="22"/>
          <w:szCs w:val="22"/>
          <w:lang w:val="en-GB"/>
        </w:rPr>
        <w:t>Guidance</w:t>
      </w:r>
    </w:p>
    <w:p w14:paraId="580993CA" w14:textId="77777777" w:rsidR="00E22FF2" w:rsidRPr="00E4265B" w:rsidRDefault="00E22FF2" w:rsidP="00E02B7F">
      <w:pPr>
        <w:pStyle w:val="UK12Block05"/>
        <w:rPr>
          <w:rFonts w:ascii="Arial" w:hAnsi="Arial" w:cs="Arial"/>
          <w:sz w:val="22"/>
          <w:szCs w:val="22"/>
          <w:lang w:val="en-GB"/>
        </w:rPr>
      </w:pPr>
      <w:r w:rsidRPr="00E4265B">
        <w:rPr>
          <w:rFonts w:ascii="Arial" w:hAnsi="Arial" w:cs="Arial"/>
          <w:sz w:val="22"/>
          <w:szCs w:val="22"/>
          <w:lang w:val="en-GB"/>
        </w:rPr>
        <w:t xml:space="preserve">In establishing its systems and controls to address information security risks,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regard to:</w:t>
      </w:r>
    </w:p>
    <w:p w14:paraId="02779849" w14:textId="77777777" w:rsidR="00E22FF2" w:rsidRPr="00E4265B" w:rsidRDefault="00E22FF2" w:rsidP="00601D29">
      <w:pPr>
        <w:pStyle w:val="aList"/>
        <w:ind w:left="1560" w:hanging="567"/>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confidentiality: information should be accessible only to </w:t>
      </w:r>
      <w:r w:rsidR="0005735E" w:rsidRPr="00E4265B">
        <w:rPr>
          <w:rFonts w:ascii="Arial" w:hAnsi="Arial" w:cs="Arial"/>
          <w:sz w:val="22"/>
          <w:szCs w:val="22"/>
          <w:lang w:val="en-GB"/>
        </w:rPr>
        <w:t>Persons</w:t>
      </w:r>
      <w:r w:rsidRPr="00E4265B">
        <w:rPr>
          <w:rFonts w:ascii="Arial" w:hAnsi="Arial" w:cs="Arial"/>
          <w:sz w:val="22"/>
          <w:szCs w:val="22"/>
          <w:lang w:val="en-GB"/>
        </w:rPr>
        <w:t xml:space="preserve"> or systems with appropriate authority, which may require firewalls within a system, as well as entry restrictions;</w:t>
      </w:r>
    </w:p>
    <w:p w14:paraId="4119CB36" w14:textId="77777777" w:rsidR="00E22FF2" w:rsidRPr="00E4265B" w:rsidRDefault="00E22FF2" w:rsidP="00601D29">
      <w:pPr>
        <w:pStyle w:val="aList"/>
        <w:ind w:left="1560" w:hanging="567"/>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risk of loss or theft of customer data;</w:t>
      </w:r>
    </w:p>
    <w:p w14:paraId="1595B448" w14:textId="77777777" w:rsidR="00E22FF2" w:rsidRPr="00E4265B" w:rsidRDefault="00E22FF2" w:rsidP="00601D29">
      <w:pPr>
        <w:pStyle w:val="aList"/>
        <w:ind w:left="1560" w:hanging="567"/>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integrity: safeguarding the accuracy and completeness of information and its processing;</w:t>
      </w:r>
    </w:p>
    <w:p w14:paraId="2B31FA96" w14:textId="77777777" w:rsidR="00E22FF2" w:rsidRPr="00E4265B" w:rsidRDefault="00E22FF2" w:rsidP="00601D29">
      <w:pPr>
        <w:pStyle w:val="aList"/>
        <w:ind w:left="1560" w:hanging="567"/>
        <w:rPr>
          <w:rFonts w:ascii="Arial" w:hAnsi="Arial" w:cs="Arial"/>
          <w:sz w:val="22"/>
          <w:szCs w:val="22"/>
          <w:lang w:val="en-GB"/>
        </w:rPr>
      </w:pPr>
      <w:r w:rsidRPr="00E4265B">
        <w:rPr>
          <w:rFonts w:ascii="Arial" w:hAnsi="Arial" w:cs="Arial"/>
          <w:sz w:val="22"/>
          <w:szCs w:val="22"/>
          <w:lang w:val="en-GB"/>
        </w:rPr>
        <w:lastRenderedPageBreak/>
        <w:t>d.</w:t>
      </w:r>
      <w:r w:rsidRPr="00E4265B">
        <w:rPr>
          <w:rFonts w:ascii="Arial" w:hAnsi="Arial" w:cs="Arial"/>
          <w:sz w:val="22"/>
          <w:szCs w:val="22"/>
          <w:lang w:val="en-GB"/>
        </w:rPr>
        <w:tab/>
        <w:t>non</w:t>
      </w:r>
      <w:r w:rsidRPr="00E4265B">
        <w:rPr>
          <w:rFonts w:ascii="Arial" w:hAnsi="Arial" w:cs="Arial"/>
          <w:sz w:val="22"/>
          <w:szCs w:val="22"/>
          <w:lang w:val="en-GB"/>
        </w:rPr>
        <w:noBreakHyphen/>
        <w:t xml:space="preserve">repudiation and accountability: ensuring that the </w:t>
      </w:r>
      <w:r w:rsidR="00FB0EF8" w:rsidRPr="00E4265B">
        <w:rPr>
          <w:rFonts w:ascii="Arial" w:hAnsi="Arial" w:cs="Arial"/>
          <w:sz w:val="22"/>
          <w:szCs w:val="22"/>
          <w:lang w:val="en-GB"/>
        </w:rPr>
        <w:t>Person</w:t>
      </w:r>
      <w:r w:rsidRPr="00E4265B">
        <w:rPr>
          <w:rFonts w:ascii="Arial" w:hAnsi="Arial" w:cs="Arial"/>
          <w:sz w:val="22"/>
          <w:szCs w:val="22"/>
          <w:lang w:val="en-GB"/>
        </w:rPr>
        <w:t xml:space="preserve"> or system that processed the information cannot deny their actions; and</w:t>
      </w:r>
    </w:p>
    <w:p w14:paraId="37670A75" w14:textId="77777777" w:rsidR="00E22FF2" w:rsidRPr="00E4265B" w:rsidRDefault="00E22FF2" w:rsidP="00601D29">
      <w:pPr>
        <w:pStyle w:val="aList"/>
        <w:ind w:left="1560" w:hanging="567"/>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internal security: including premises security, staff vetting; access rights and portable media, staff internet and email access, encryption, safe disposal of customer data, and training and awareness.</w:t>
      </w:r>
    </w:p>
    <w:p w14:paraId="07090CAA" w14:textId="77777777" w:rsidR="00E22FF2" w:rsidRPr="00E4265B" w:rsidRDefault="00E22FF2" w:rsidP="00246497">
      <w:pPr>
        <w:pStyle w:val="Heading3"/>
        <w:rPr>
          <w:rFonts w:ascii="Arial" w:hAnsi="Arial" w:cs="Arial"/>
          <w:sz w:val="22"/>
          <w:szCs w:val="22"/>
        </w:rPr>
      </w:pPr>
      <w:bookmarkStart w:id="638" w:name="_Toc403223976"/>
      <w:bookmarkStart w:id="639" w:name="_Toc403254014"/>
      <w:bookmarkStart w:id="640" w:name="_Toc403273414"/>
      <w:bookmarkStart w:id="641" w:name="_Toc403273563"/>
      <w:bookmarkStart w:id="642" w:name="_Toc403274522"/>
      <w:bookmarkStart w:id="643" w:name="_Toc403280018"/>
      <w:bookmarkStart w:id="644" w:name="_Toc404285819"/>
      <w:bookmarkStart w:id="645" w:name="_Toc404621768"/>
      <w:bookmarkStart w:id="646" w:name="_Toc404624409"/>
      <w:bookmarkStart w:id="647" w:name="_Toc33622435"/>
      <w:r w:rsidRPr="00E4265B">
        <w:rPr>
          <w:rFonts w:ascii="Arial" w:hAnsi="Arial" w:cs="Arial"/>
          <w:sz w:val="22"/>
          <w:szCs w:val="22"/>
        </w:rPr>
        <w:t>Outsourcing</w:t>
      </w:r>
      <w:bookmarkEnd w:id="638"/>
      <w:bookmarkEnd w:id="639"/>
      <w:bookmarkEnd w:id="640"/>
      <w:bookmarkEnd w:id="641"/>
      <w:bookmarkEnd w:id="642"/>
      <w:bookmarkEnd w:id="643"/>
      <w:bookmarkEnd w:id="644"/>
      <w:bookmarkEnd w:id="645"/>
      <w:bookmarkEnd w:id="646"/>
      <w:bookmarkEnd w:id="647"/>
    </w:p>
    <w:p w14:paraId="0137874A"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establish and maintain appropriate systems and controls to manage its outsourcing risk.</w:t>
      </w:r>
    </w:p>
    <w:p w14:paraId="4A4DD7D5" w14:textId="77777777" w:rsidR="00E22FF2" w:rsidRPr="00E4265B" w:rsidRDefault="00E22FF2" w:rsidP="00E02B7F">
      <w:pPr>
        <w:pStyle w:val="TitleL5"/>
        <w:rPr>
          <w:rFonts w:ascii="Arial" w:hAnsi="Arial" w:cs="Arial"/>
          <w:sz w:val="22"/>
          <w:szCs w:val="22"/>
          <w:lang w:val="en-GB"/>
        </w:rPr>
      </w:pPr>
      <w:r w:rsidRPr="00E4265B">
        <w:rPr>
          <w:rFonts w:ascii="Arial" w:hAnsi="Arial" w:cs="Arial"/>
          <w:sz w:val="22"/>
          <w:szCs w:val="22"/>
          <w:lang w:val="en-GB"/>
        </w:rPr>
        <w:t>Guidance</w:t>
      </w:r>
    </w:p>
    <w:p w14:paraId="275DD7D4" w14:textId="77777777" w:rsidR="00E22FF2" w:rsidRPr="00E4265B" w:rsidRDefault="00E22FF2" w:rsidP="003D4C5D">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The GEN rules set out the Regulator requirements on outsourcing by </w:t>
      </w:r>
      <w:r w:rsidR="000D1A90" w:rsidRPr="00E4265B">
        <w:rPr>
          <w:rFonts w:ascii="Arial" w:hAnsi="Arial" w:cs="Arial"/>
          <w:sz w:val="22"/>
          <w:szCs w:val="22"/>
          <w:lang w:val="en-GB"/>
        </w:rPr>
        <w:t>Authorised Person</w:t>
      </w:r>
      <w:r w:rsidRPr="00E4265B">
        <w:rPr>
          <w:rFonts w:ascii="Arial" w:hAnsi="Arial" w:cs="Arial"/>
          <w:sz w:val="22"/>
          <w:szCs w:val="22"/>
          <w:lang w:val="en-GB"/>
        </w:rPr>
        <w:t>s. This Section complements the requirements in the GEN rules and contains guidance on managing the Operational Risk associated with outsourcing arrangements.</w:t>
      </w:r>
    </w:p>
    <w:p w14:paraId="562DAFF7"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assessment of outsourcing risk at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depend on several factors, including the scope and materiality of the outsourced activity, how well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manages, monitors and controls outsourcing risk (including its general management of Operational Risk), and how well the service provider manages and controls the potential risks of the operation.</w:t>
      </w:r>
    </w:p>
    <w:p w14:paraId="31C4694D" w14:textId="77777777" w:rsidR="00E22FF2" w:rsidRPr="00E4265B" w:rsidRDefault="00E22FF2" w:rsidP="00E02B7F">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Factors that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in establishing outsourcing arrangements include the following:</w:t>
      </w:r>
    </w:p>
    <w:p w14:paraId="57088F41"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financial, reputational and operational impact on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of the failure of a service provider to perform adequately the activity;</w:t>
      </w:r>
    </w:p>
    <w:p w14:paraId="7E6C9A1C"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potential losses to an </w:t>
      </w:r>
      <w:r w:rsidR="000D1A90" w:rsidRPr="00E4265B">
        <w:rPr>
          <w:rFonts w:ascii="Arial" w:hAnsi="Arial" w:cs="Arial"/>
          <w:sz w:val="22"/>
          <w:szCs w:val="22"/>
          <w:lang w:val="en-GB"/>
        </w:rPr>
        <w:t>Authorised Person</w:t>
      </w:r>
      <w:r w:rsidRPr="00E4265B">
        <w:rPr>
          <w:rFonts w:ascii="Arial" w:hAnsi="Arial" w:cs="Arial"/>
          <w:sz w:val="22"/>
          <w:szCs w:val="22"/>
          <w:lang w:val="en-GB"/>
        </w:rPr>
        <w:t>'s customers and counterparts in the event of a service provider failure;</w:t>
      </w:r>
    </w:p>
    <w:p w14:paraId="27611AC9"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the consequences of outsourcing the activity on the ability and capacity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conform with regulatory requirements and changes in such requirements;</w:t>
      </w:r>
    </w:p>
    <w:p w14:paraId="534D592D"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the interrelationship of the outsourced activity with other activities within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5962EA1D"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the cost associated with the outsourcing;</w:t>
      </w:r>
    </w:p>
    <w:p w14:paraId="42BC4169"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 xml:space="preserve">any affiliation or other relationship between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the service provider;</w:t>
      </w:r>
    </w:p>
    <w:p w14:paraId="4B26420B"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 xml:space="preserve">the </w:t>
      </w:r>
      <w:r w:rsidR="00DF7CAF" w:rsidRPr="00E4265B">
        <w:rPr>
          <w:rFonts w:ascii="Arial" w:hAnsi="Arial" w:cs="Arial"/>
          <w:sz w:val="22"/>
          <w:szCs w:val="22"/>
          <w:lang w:val="en-GB"/>
        </w:rPr>
        <w:t>regulatory</w:t>
      </w:r>
      <w:r w:rsidRPr="00E4265B">
        <w:rPr>
          <w:rFonts w:ascii="Arial" w:hAnsi="Arial" w:cs="Arial"/>
          <w:sz w:val="22"/>
          <w:szCs w:val="22"/>
          <w:lang w:val="en-GB"/>
        </w:rPr>
        <w:t xml:space="preserve"> status of the service provider;</w:t>
      </w:r>
    </w:p>
    <w:p w14:paraId="15C0853A"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h.</w:t>
      </w:r>
      <w:r w:rsidRPr="00E4265B">
        <w:rPr>
          <w:rFonts w:ascii="Arial" w:hAnsi="Arial" w:cs="Arial"/>
          <w:sz w:val="22"/>
          <w:szCs w:val="22"/>
          <w:lang w:val="en-GB"/>
        </w:rPr>
        <w:tab/>
        <w:t>the degree of difficulty and time required to select an alternative service provider or to bring the business activity in</w:t>
      </w:r>
      <w:r w:rsidRPr="00E4265B">
        <w:rPr>
          <w:rFonts w:ascii="Arial" w:hAnsi="Arial" w:cs="Arial"/>
          <w:sz w:val="22"/>
          <w:szCs w:val="22"/>
          <w:lang w:val="en-GB"/>
        </w:rPr>
        <w:noBreakHyphen/>
        <w:t>house, if necessary;</w:t>
      </w:r>
    </w:p>
    <w:p w14:paraId="15C3C4C2"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lastRenderedPageBreak/>
        <w:t>i.</w:t>
      </w:r>
      <w:r w:rsidRPr="00E4265B">
        <w:rPr>
          <w:rFonts w:ascii="Arial" w:hAnsi="Arial" w:cs="Arial"/>
          <w:sz w:val="22"/>
          <w:szCs w:val="22"/>
          <w:lang w:val="en-GB"/>
        </w:rPr>
        <w:tab/>
        <w:t>the complexity of the outsourcing arrangement. For example, the ability to control the risks where more than one service provider collaborates to deliver an end</w:t>
      </w:r>
      <w:r w:rsidRPr="00E4265B">
        <w:rPr>
          <w:rFonts w:ascii="Arial" w:hAnsi="Arial" w:cs="Arial"/>
          <w:sz w:val="22"/>
          <w:szCs w:val="22"/>
          <w:lang w:val="en-GB"/>
        </w:rPr>
        <w:noBreakHyphen/>
        <w:t>to</w:t>
      </w:r>
      <w:r w:rsidRPr="00E4265B">
        <w:rPr>
          <w:rFonts w:ascii="Arial" w:hAnsi="Arial" w:cs="Arial"/>
          <w:sz w:val="22"/>
          <w:szCs w:val="22"/>
          <w:lang w:val="en-GB"/>
        </w:rPr>
        <w:noBreakHyphen/>
        <w:t>end outsourcing solution; and</w:t>
      </w:r>
    </w:p>
    <w:p w14:paraId="12601348" w14:textId="58DC9EE4" w:rsidR="00F32BCA"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j.</w:t>
      </w:r>
      <w:r w:rsidRPr="00E4265B">
        <w:rPr>
          <w:rFonts w:ascii="Arial" w:hAnsi="Arial" w:cs="Arial"/>
          <w:sz w:val="22"/>
          <w:szCs w:val="22"/>
          <w:lang w:val="en-GB"/>
        </w:rPr>
        <w:tab/>
        <w:t>any data protection, security and other risks which may be adversely affected by the geographical location of an outsourcing service provider. To this end, Specific Risk management expertise in assessing country risk related, for example, to political or legal conditions, could be required when entering into and managing outsourcing arrangements that are taken outside of the home country.</w:t>
      </w:r>
    </w:p>
    <w:p w14:paraId="0AD06B9B" w14:textId="77777777" w:rsidR="00E22FF2" w:rsidRPr="00E4265B" w:rsidRDefault="00E22FF2" w:rsidP="00246497">
      <w:pPr>
        <w:pStyle w:val="Heading3"/>
        <w:rPr>
          <w:rFonts w:ascii="Arial" w:hAnsi="Arial" w:cs="Arial"/>
          <w:sz w:val="22"/>
          <w:szCs w:val="22"/>
        </w:rPr>
      </w:pPr>
      <w:bookmarkStart w:id="648" w:name="_Toc403223977"/>
      <w:bookmarkStart w:id="649" w:name="_Toc403254015"/>
      <w:bookmarkStart w:id="650" w:name="_Toc403273415"/>
      <w:bookmarkStart w:id="651" w:name="_Toc403273564"/>
      <w:bookmarkStart w:id="652" w:name="_Toc403274523"/>
      <w:bookmarkStart w:id="653" w:name="_Toc403280019"/>
      <w:bookmarkStart w:id="654" w:name="_Toc404285820"/>
      <w:bookmarkStart w:id="655" w:name="_Toc404621769"/>
      <w:bookmarkStart w:id="656" w:name="_Toc404624410"/>
      <w:bookmarkStart w:id="657" w:name="_Toc33622436"/>
      <w:r w:rsidRPr="00E4265B">
        <w:rPr>
          <w:rFonts w:ascii="Arial" w:hAnsi="Arial" w:cs="Arial"/>
          <w:sz w:val="22"/>
          <w:szCs w:val="22"/>
        </w:rPr>
        <w:t>Business continuity and disaster recovery</w:t>
      </w:r>
      <w:bookmarkEnd w:id="648"/>
      <w:bookmarkEnd w:id="649"/>
      <w:bookmarkEnd w:id="650"/>
      <w:bookmarkEnd w:id="651"/>
      <w:bookmarkEnd w:id="652"/>
      <w:bookmarkEnd w:id="653"/>
      <w:bookmarkEnd w:id="654"/>
      <w:bookmarkEnd w:id="655"/>
      <w:bookmarkEnd w:id="656"/>
      <w:bookmarkEnd w:id="657"/>
    </w:p>
    <w:p w14:paraId="78BCC07E" w14:textId="77777777" w:rsidR="00E22FF2" w:rsidRPr="00E4265B" w:rsidRDefault="00E22FF2" w:rsidP="00E02B7F">
      <w:pPr>
        <w:pStyle w:val="TitleL5"/>
        <w:rPr>
          <w:rFonts w:ascii="Arial" w:hAnsi="Arial" w:cs="Arial"/>
          <w:sz w:val="22"/>
          <w:szCs w:val="22"/>
          <w:lang w:val="en-GB"/>
        </w:rPr>
      </w:pPr>
      <w:r w:rsidRPr="00E4265B">
        <w:rPr>
          <w:rFonts w:ascii="Arial" w:hAnsi="Arial" w:cs="Arial"/>
          <w:sz w:val="22"/>
          <w:szCs w:val="22"/>
          <w:lang w:val="en-GB"/>
        </w:rPr>
        <w:t>Guidance</w:t>
      </w:r>
    </w:p>
    <w:p w14:paraId="7C31A1E6" w14:textId="77777777" w:rsidR="00E22FF2" w:rsidRPr="00E4265B" w:rsidRDefault="00E22FF2" w:rsidP="00E02B7F">
      <w:pPr>
        <w:pStyle w:val="UK12Block05"/>
        <w:rPr>
          <w:rFonts w:ascii="Arial" w:hAnsi="Arial" w:cs="Arial"/>
          <w:sz w:val="22"/>
          <w:szCs w:val="22"/>
          <w:lang w:val="en-GB"/>
        </w:rPr>
      </w:pPr>
      <w:r w:rsidRPr="00E4265B">
        <w:rPr>
          <w:rFonts w:ascii="Arial" w:hAnsi="Arial" w:cs="Arial"/>
          <w:sz w:val="22"/>
          <w:szCs w:val="22"/>
          <w:lang w:val="en-GB"/>
        </w:rPr>
        <w:t xml:space="preserve">See GEN regarding requirements relating to an </w:t>
      </w:r>
      <w:r w:rsidR="000D1A90" w:rsidRPr="00E4265B">
        <w:rPr>
          <w:rFonts w:ascii="Arial" w:hAnsi="Arial" w:cs="Arial"/>
          <w:sz w:val="22"/>
          <w:szCs w:val="22"/>
          <w:lang w:val="en-GB"/>
        </w:rPr>
        <w:t>Authorised Person</w:t>
      </w:r>
      <w:r w:rsidRPr="00E4265B">
        <w:rPr>
          <w:rFonts w:ascii="Arial" w:hAnsi="Arial" w:cs="Arial"/>
          <w:sz w:val="22"/>
          <w:szCs w:val="22"/>
          <w:lang w:val="en-GB"/>
        </w:rPr>
        <w:t>'s business continuity and disaster recovery arrangements.</w:t>
      </w:r>
    </w:p>
    <w:p w14:paraId="171CE5C6" w14:textId="77777777" w:rsidR="00E22FF2" w:rsidRPr="00E4265B" w:rsidRDefault="00E22FF2" w:rsidP="00246497">
      <w:pPr>
        <w:pStyle w:val="Heading3"/>
        <w:rPr>
          <w:rFonts w:ascii="Arial" w:hAnsi="Arial" w:cs="Arial"/>
          <w:sz w:val="22"/>
          <w:szCs w:val="22"/>
        </w:rPr>
      </w:pPr>
      <w:bookmarkStart w:id="658" w:name="_Toc403223978"/>
      <w:bookmarkStart w:id="659" w:name="_Toc403254016"/>
      <w:bookmarkStart w:id="660" w:name="_Toc403273416"/>
      <w:bookmarkStart w:id="661" w:name="_Toc403273565"/>
      <w:bookmarkStart w:id="662" w:name="_Toc403274524"/>
      <w:bookmarkStart w:id="663" w:name="_Toc403280020"/>
      <w:bookmarkStart w:id="664" w:name="_Toc404285821"/>
      <w:bookmarkStart w:id="665" w:name="_Toc404621770"/>
      <w:bookmarkStart w:id="666" w:name="_Toc404624411"/>
      <w:bookmarkStart w:id="667" w:name="_Toc33622437"/>
      <w:r w:rsidRPr="00E4265B">
        <w:rPr>
          <w:rFonts w:ascii="Arial" w:hAnsi="Arial" w:cs="Arial"/>
          <w:sz w:val="22"/>
          <w:szCs w:val="22"/>
        </w:rPr>
        <w:t>Management of Operational Risks in trading activities</w:t>
      </w:r>
      <w:bookmarkEnd w:id="658"/>
      <w:bookmarkEnd w:id="659"/>
      <w:bookmarkEnd w:id="660"/>
      <w:bookmarkEnd w:id="661"/>
      <w:bookmarkEnd w:id="662"/>
      <w:bookmarkEnd w:id="663"/>
      <w:bookmarkEnd w:id="664"/>
      <w:bookmarkEnd w:id="665"/>
      <w:bookmarkEnd w:id="666"/>
      <w:bookmarkEnd w:id="667"/>
    </w:p>
    <w:p w14:paraId="4AA7A217" w14:textId="77777777" w:rsidR="00E22FF2" w:rsidRPr="00E4265B" w:rsidRDefault="00E22FF2" w:rsidP="00E02B7F">
      <w:pPr>
        <w:pStyle w:val="TitleL5"/>
        <w:rPr>
          <w:rFonts w:ascii="Arial" w:hAnsi="Arial" w:cs="Arial"/>
          <w:sz w:val="22"/>
          <w:szCs w:val="22"/>
          <w:lang w:val="en-GB"/>
        </w:rPr>
      </w:pPr>
      <w:r w:rsidRPr="00E4265B">
        <w:rPr>
          <w:rFonts w:ascii="Arial" w:hAnsi="Arial" w:cs="Arial"/>
          <w:sz w:val="22"/>
          <w:szCs w:val="22"/>
          <w:lang w:val="en-GB"/>
        </w:rPr>
        <w:t>Guidance</w:t>
      </w:r>
    </w:p>
    <w:p w14:paraId="1C0218EF" w14:textId="77777777" w:rsidR="00E22FF2" w:rsidRPr="00E4265B" w:rsidRDefault="00E22FF2" w:rsidP="00014630">
      <w:pPr>
        <w:pStyle w:val="UK12Block05"/>
        <w:rPr>
          <w:rFonts w:ascii="Arial" w:hAnsi="Arial" w:cs="Arial"/>
          <w:sz w:val="22"/>
          <w:szCs w:val="22"/>
          <w:lang w:val="en-GB"/>
        </w:rPr>
      </w:pPr>
      <w:r w:rsidRPr="00E4265B">
        <w:rPr>
          <w:rFonts w:ascii="Arial" w:hAnsi="Arial" w:cs="Arial"/>
          <w:sz w:val="22"/>
          <w:szCs w:val="22"/>
          <w:lang w:val="en-GB"/>
        </w:rPr>
        <w:t xml:space="preserve">This Section complements the Rules and Guidance set out in other sections of this Chapter with more specific guidance for the identification, assessment, control and monitoring of Operational Risks in trading activities. In this Guidance, reference to "trading activities" should be construed in its natural sense in the context of </w:t>
      </w:r>
      <w:r w:rsidR="00014630" w:rsidRPr="00E4265B">
        <w:rPr>
          <w:rFonts w:ascii="Arial" w:hAnsi="Arial" w:cs="Arial"/>
          <w:sz w:val="22"/>
          <w:szCs w:val="22"/>
          <w:lang w:val="en-GB"/>
        </w:rPr>
        <w:t>Regulated Activities</w:t>
      </w:r>
      <w:r w:rsidRPr="00E4265B">
        <w:rPr>
          <w:rFonts w:ascii="Arial" w:hAnsi="Arial" w:cs="Arial"/>
          <w:sz w:val="22"/>
          <w:szCs w:val="22"/>
          <w:lang w:val="en-GB"/>
        </w:rPr>
        <w:t xml:space="preserve"> and should include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activities in Dealing in Investments as Principal and Dealing in Investments as Agent. In addressing the Operational Risks arising from trading activities,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the following:</w:t>
      </w:r>
    </w:p>
    <w:p w14:paraId="178354BB" w14:textId="77777777" w:rsidR="00E22FF2" w:rsidRPr="00E4265B" w:rsidRDefault="00E22FF2" w:rsidP="0079042A">
      <w:pPr>
        <w:pStyle w:val="Lista2"/>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staff members in support and control functions, comprising functions such as operations, settlement, finance, risk management, legal, compliance, internal and external audit, should have adequate representation and authority within the </w:t>
      </w:r>
      <w:r w:rsidR="000D1A90" w:rsidRPr="00E4265B">
        <w:rPr>
          <w:rFonts w:ascii="Arial" w:hAnsi="Arial" w:cs="Arial"/>
          <w:sz w:val="22"/>
          <w:szCs w:val="22"/>
          <w:lang w:val="en-GB"/>
        </w:rPr>
        <w:t>Authorised Person</w:t>
      </w:r>
      <w:r w:rsidRPr="00E4265B">
        <w:rPr>
          <w:rFonts w:ascii="Arial" w:hAnsi="Arial" w:cs="Arial"/>
          <w:sz w:val="22"/>
          <w:szCs w:val="22"/>
          <w:lang w:val="en-GB"/>
        </w:rPr>
        <w:t>'s overall governance framework so as to be able to effectively challenge the activities undertaken by the front office;</w:t>
      </w:r>
    </w:p>
    <w:p w14:paraId="24563D7C" w14:textId="77777777" w:rsidR="00E22FF2" w:rsidRPr="00E4265B" w:rsidRDefault="00E22FF2" w:rsidP="0079042A">
      <w:pPr>
        <w:pStyle w:val="Lista2"/>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Operational Risk management systems should set criteria, indicators and thresholds enabling the identification of material incidents detected by internal control procedures. This should include tracking of Operational Risk losses in trading activities and analysis of those losses for possible interconnections (i.e. losses based on one event or root cause);</w:t>
      </w:r>
    </w:p>
    <w:p w14:paraId="1B8196B1" w14:textId="77777777" w:rsidR="00E22FF2" w:rsidRPr="00E4265B" w:rsidRDefault="00E22FF2" w:rsidP="0079042A">
      <w:pPr>
        <w:pStyle w:val="Lista2"/>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high professional standards and a sound risk culture should be promoted within the </w:t>
      </w:r>
      <w:r w:rsidR="000D1A90" w:rsidRPr="00E4265B">
        <w:rPr>
          <w:rFonts w:ascii="Arial" w:hAnsi="Arial" w:cs="Arial"/>
          <w:sz w:val="22"/>
          <w:szCs w:val="22"/>
          <w:lang w:val="en-GB"/>
        </w:rPr>
        <w:t>Authorised Person</w:t>
      </w:r>
      <w:r w:rsidRPr="00E4265B">
        <w:rPr>
          <w:rFonts w:ascii="Arial" w:hAnsi="Arial" w:cs="Arial"/>
          <w:sz w:val="22"/>
          <w:szCs w:val="22"/>
          <w:lang w:val="en-GB"/>
        </w:rPr>
        <w:t>, particularly in the front office, in a way that supports professional and responsible behaviour. This should include, but is not limited to, developing and implementing appropriate policies and procedures, setting standards (often in the form of a "code of conduct") for relations between traders and their counterparts, and training procedures;</w:t>
      </w:r>
    </w:p>
    <w:p w14:paraId="557EB334" w14:textId="77777777" w:rsidR="00E22FF2" w:rsidRPr="00E4265B" w:rsidRDefault="00E22FF2" w:rsidP="0079042A">
      <w:pPr>
        <w:pStyle w:val="Lista2"/>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there should be adequate segregation of duties between front office and the support and controls functions in charge of supporting, verifying and monitoring trade transactions;</w:t>
      </w:r>
    </w:p>
    <w:p w14:paraId="78ADC6DA" w14:textId="77777777" w:rsidR="00E22FF2" w:rsidRPr="00E4265B" w:rsidRDefault="00E22FF2" w:rsidP="0079042A">
      <w:pPr>
        <w:pStyle w:val="Lista2"/>
        <w:rPr>
          <w:rFonts w:ascii="Arial" w:hAnsi="Arial" w:cs="Arial"/>
          <w:sz w:val="22"/>
          <w:szCs w:val="22"/>
          <w:lang w:val="en-GB"/>
        </w:rPr>
      </w:pPr>
      <w:r w:rsidRPr="00E4265B">
        <w:rPr>
          <w:rFonts w:ascii="Arial" w:hAnsi="Arial" w:cs="Arial"/>
          <w:sz w:val="22"/>
          <w:szCs w:val="22"/>
          <w:lang w:val="en-GB"/>
        </w:rPr>
        <w:lastRenderedPageBreak/>
        <w:t>e.</w:t>
      </w:r>
      <w:r w:rsidRPr="00E4265B">
        <w:rPr>
          <w:rFonts w:ascii="Arial" w:hAnsi="Arial" w:cs="Arial"/>
          <w:sz w:val="22"/>
          <w:szCs w:val="22"/>
          <w:lang w:val="en-GB"/>
        </w:rPr>
        <w:tab/>
        <w:t>appropriate policies and procedures relating to leave requirements and staff movements should be developed, implemented and regularly monitored; in particular:</w:t>
      </w:r>
    </w:p>
    <w:p w14:paraId="3DB287CA"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procedures establishing a minimum absence requirement of at least two consecutive weeks' leave for traders (via a vacation, "desk holiday" or other absence from the office or trading) so that traders are physically unable to mark or value their own books, this responsibility being carried out by a different </w:t>
      </w:r>
      <w:r w:rsidR="00FB0EF8" w:rsidRPr="00E4265B">
        <w:rPr>
          <w:rFonts w:ascii="Arial" w:hAnsi="Arial" w:cs="Arial"/>
          <w:sz w:val="22"/>
          <w:szCs w:val="22"/>
          <w:lang w:val="en-GB"/>
        </w:rPr>
        <w:t>Person</w:t>
      </w:r>
      <w:r w:rsidRPr="00E4265B">
        <w:rPr>
          <w:rFonts w:ascii="Arial" w:hAnsi="Arial" w:cs="Arial"/>
          <w:sz w:val="22"/>
          <w:szCs w:val="22"/>
          <w:lang w:val="en-GB"/>
        </w:rPr>
        <w:t xml:space="preserve"> during those periods; and</w:t>
      </w:r>
    </w:p>
    <w:p w14:paraId="05102E1F"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r>
      <w:r w:rsidR="005F3B3B" w:rsidRPr="00E4265B">
        <w:rPr>
          <w:rFonts w:ascii="Arial" w:hAnsi="Arial" w:cs="Arial"/>
          <w:sz w:val="22"/>
          <w:szCs w:val="22"/>
          <w:lang w:val="en-GB"/>
        </w:rPr>
        <w:t>Employee</w:t>
      </w:r>
      <w:r w:rsidRPr="00E4265B">
        <w:rPr>
          <w:rFonts w:ascii="Arial" w:hAnsi="Arial" w:cs="Arial"/>
          <w:sz w:val="22"/>
          <w:szCs w:val="22"/>
          <w:lang w:val="en-GB"/>
        </w:rPr>
        <w:t>s changing job positions between front, middle and back offices or IT should be properly tracked.</w:t>
      </w:r>
    </w:p>
    <w:p w14:paraId="58C617A7" w14:textId="77777777" w:rsidR="00E22FF2" w:rsidRPr="00E4265B" w:rsidRDefault="00E22FF2" w:rsidP="0079042A">
      <w:pPr>
        <w:pStyle w:val="Lista2"/>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terms of reference describing the activity of each trader or group of traders should be established. Adherence to these terms should be subject to monitoring by support and control functions;</w:t>
      </w:r>
    </w:p>
    <w:p w14:paraId="42864AF1" w14:textId="77777777" w:rsidR="00E22FF2" w:rsidRPr="00E4265B" w:rsidRDefault="00E22FF2" w:rsidP="0079042A">
      <w:pPr>
        <w:pStyle w:val="Lista2"/>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documentation requirements for trading activities should be properly defined so as to minimise legal uncertainties in enforceability of contracts with clients and Counterparties. This should include consideration of using contracts that are standardised as far as possible, particularly in OTC transactions;</w:t>
      </w:r>
    </w:p>
    <w:p w14:paraId="34F5E142" w14:textId="77777777" w:rsidR="00E22FF2" w:rsidRPr="00E4265B" w:rsidRDefault="00E22FF2" w:rsidP="0079042A">
      <w:pPr>
        <w:pStyle w:val="Lista2"/>
        <w:rPr>
          <w:rFonts w:ascii="Arial" w:hAnsi="Arial" w:cs="Arial"/>
          <w:sz w:val="22"/>
          <w:szCs w:val="22"/>
          <w:lang w:val="en-GB"/>
        </w:rPr>
      </w:pPr>
      <w:r w:rsidRPr="00E4265B">
        <w:rPr>
          <w:rFonts w:ascii="Arial" w:hAnsi="Arial" w:cs="Arial"/>
          <w:sz w:val="22"/>
          <w:szCs w:val="22"/>
          <w:lang w:val="en-GB"/>
        </w:rPr>
        <w:t>h.</w:t>
      </w:r>
      <w:r w:rsidRPr="00E4265B">
        <w:rPr>
          <w:rFonts w:ascii="Arial" w:hAnsi="Arial" w:cs="Arial"/>
          <w:sz w:val="22"/>
          <w:szCs w:val="22"/>
          <w:lang w:val="en-GB"/>
        </w:rPr>
        <w:tab/>
        <w:t xml:space="preserve">all trading positions, profits and losses, cash flows and calculations associated with a transaction should be clearly recorded in the </w:t>
      </w:r>
      <w:r w:rsidR="000D1A90" w:rsidRPr="00E4265B">
        <w:rPr>
          <w:rFonts w:ascii="Arial" w:hAnsi="Arial" w:cs="Arial"/>
          <w:sz w:val="22"/>
          <w:szCs w:val="22"/>
          <w:lang w:val="en-GB"/>
        </w:rPr>
        <w:t>Authorised Person</w:t>
      </w:r>
      <w:r w:rsidRPr="00E4265B">
        <w:rPr>
          <w:rFonts w:ascii="Arial" w:hAnsi="Arial" w:cs="Arial"/>
          <w:sz w:val="22"/>
          <w:szCs w:val="22"/>
          <w:lang w:val="en-GB"/>
        </w:rPr>
        <w:t>'s management information systems with a documented audit trail. The audit trail should allow for the tracing of cash flows at a sufficiently granular level (e.g. traders, books, products and portfolios);</w:t>
      </w:r>
    </w:p>
    <w:p w14:paraId="57CF756B" w14:textId="77777777" w:rsidR="00E22FF2" w:rsidRPr="00E4265B" w:rsidRDefault="00E22FF2" w:rsidP="0079042A">
      <w:pPr>
        <w:pStyle w:val="Lista2"/>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appropriate procedures for confirmation of the terms and conditions of transactions with external Counterparties/clients should be established;</w:t>
      </w:r>
    </w:p>
    <w:p w14:paraId="4CD87EE9" w14:textId="77777777" w:rsidR="00E22FF2" w:rsidRPr="00E4265B" w:rsidRDefault="00E22FF2" w:rsidP="0079042A">
      <w:pPr>
        <w:pStyle w:val="Lista2"/>
        <w:rPr>
          <w:rFonts w:ascii="Arial" w:hAnsi="Arial" w:cs="Arial"/>
          <w:sz w:val="22"/>
          <w:szCs w:val="22"/>
          <w:lang w:val="en-GB"/>
        </w:rPr>
      </w:pPr>
      <w:r w:rsidRPr="00E4265B">
        <w:rPr>
          <w:rFonts w:ascii="Arial" w:hAnsi="Arial" w:cs="Arial"/>
          <w:sz w:val="22"/>
          <w:szCs w:val="22"/>
          <w:lang w:val="en-GB"/>
        </w:rPr>
        <w:t>j.</w:t>
      </w:r>
      <w:r w:rsidRPr="00E4265B">
        <w:rPr>
          <w:rFonts w:ascii="Arial" w:hAnsi="Arial" w:cs="Arial"/>
          <w:sz w:val="22"/>
          <w:szCs w:val="22"/>
          <w:lang w:val="en-GB"/>
        </w:rPr>
        <w:tab/>
        <w:t>appropriate processes and procedures should be implemented for the settlement of transactions. This should include consideration of the following elements:</w:t>
      </w:r>
    </w:p>
    <w:p w14:paraId="28897FD8"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 authorisation of inputs by the back office;</w:t>
      </w:r>
    </w:p>
    <w:p w14:paraId="3DFA5B15"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payment/settlements carried out against independent documents;</w:t>
      </w:r>
    </w:p>
    <w:p w14:paraId="488517C2"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reconciliation between front office and back office systems; and</w:t>
      </w:r>
    </w:p>
    <w:p w14:paraId="34ED533B"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reconciliation procedures independent of the processing functions.</w:t>
      </w:r>
    </w:p>
    <w:p w14:paraId="0F9ECB8A" w14:textId="77777777" w:rsidR="00E22FF2" w:rsidRPr="00E4265B" w:rsidRDefault="00E22FF2" w:rsidP="0079042A">
      <w:pPr>
        <w:pStyle w:val="Lista2"/>
        <w:rPr>
          <w:rFonts w:ascii="Arial" w:hAnsi="Arial" w:cs="Arial"/>
          <w:sz w:val="22"/>
          <w:szCs w:val="22"/>
          <w:lang w:val="en-GB"/>
        </w:rPr>
      </w:pPr>
      <w:r w:rsidRPr="00E4265B">
        <w:rPr>
          <w:rFonts w:ascii="Arial" w:hAnsi="Arial" w:cs="Arial"/>
          <w:sz w:val="22"/>
          <w:szCs w:val="22"/>
          <w:lang w:val="en-GB"/>
        </w:rPr>
        <w:t>k.</w:t>
      </w:r>
      <w:r w:rsidRPr="00E4265B">
        <w:rPr>
          <w:rFonts w:ascii="Arial" w:hAnsi="Arial" w:cs="Arial"/>
          <w:sz w:val="22"/>
          <w:szCs w:val="22"/>
          <w:lang w:val="en-GB"/>
        </w:rPr>
        <w:tab/>
        <w:t>controls should include daily reconciliation of positions and cash flows across various internal systems and external parties. The reconciliations should include all events attached to the transactions including amendments, cancellation, exercises, resets and expiries;</w:t>
      </w:r>
    </w:p>
    <w:p w14:paraId="59F31D16" w14:textId="77777777" w:rsidR="00E22FF2" w:rsidRPr="00E4265B" w:rsidRDefault="00E22FF2" w:rsidP="0079042A">
      <w:pPr>
        <w:pStyle w:val="Lista2"/>
        <w:rPr>
          <w:rFonts w:ascii="Arial" w:hAnsi="Arial" w:cs="Arial"/>
          <w:sz w:val="22"/>
          <w:szCs w:val="22"/>
          <w:lang w:val="en-GB"/>
        </w:rPr>
      </w:pPr>
      <w:r w:rsidRPr="00E4265B">
        <w:rPr>
          <w:rFonts w:ascii="Arial" w:hAnsi="Arial" w:cs="Arial"/>
          <w:sz w:val="22"/>
          <w:szCs w:val="22"/>
          <w:lang w:val="en-GB"/>
        </w:rPr>
        <w:t>l.</w:t>
      </w:r>
      <w:r w:rsidRPr="00E4265B">
        <w:rPr>
          <w:rFonts w:ascii="Arial" w:hAnsi="Arial" w:cs="Arial"/>
          <w:sz w:val="22"/>
          <w:szCs w:val="22"/>
          <w:lang w:val="en-GB"/>
        </w:rPr>
        <w:tab/>
        <w:t>procedures and processes should be established to ensure accurate and timely monitoring and follow up of margin or Collateral calls;</w:t>
      </w:r>
    </w:p>
    <w:p w14:paraId="5EAFB86C" w14:textId="77777777" w:rsidR="00E22FF2" w:rsidRPr="00E4265B" w:rsidRDefault="00E22FF2" w:rsidP="0079042A">
      <w:pPr>
        <w:pStyle w:val="Lista2"/>
        <w:rPr>
          <w:rFonts w:ascii="Arial" w:hAnsi="Arial" w:cs="Arial"/>
          <w:sz w:val="22"/>
          <w:szCs w:val="22"/>
          <w:lang w:val="en-GB"/>
        </w:rPr>
      </w:pPr>
      <w:r w:rsidRPr="00E4265B">
        <w:rPr>
          <w:rFonts w:ascii="Arial" w:hAnsi="Arial" w:cs="Arial"/>
          <w:sz w:val="22"/>
          <w:szCs w:val="22"/>
          <w:lang w:val="en-GB"/>
        </w:rPr>
        <w:t>m.</w:t>
      </w:r>
      <w:r w:rsidRPr="00E4265B">
        <w:rPr>
          <w:rFonts w:ascii="Arial" w:hAnsi="Arial" w:cs="Arial"/>
          <w:sz w:val="22"/>
          <w:szCs w:val="22"/>
          <w:lang w:val="en-GB"/>
        </w:rPr>
        <w:tab/>
        <w:t>profit attribution is a key control for understanding the risk in a trading operation and therefore the control and support functions should have a good understanding of the various aspects that lead to P&amp;L generation, particularly in relation to more complex products. Major implausib</w:t>
      </w:r>
      <w:r w:rsidR="00076271" w:rsidRPr="00E4265B">
        <w:rPr>
          <w:rFonts w:ascii="Arial" w:hAnsi="Arial" w:cs="Arial"/>
          <w:sz w:val="22"/>
          <w:szCs w:val="22"/>
          <w:lang w:val="en-GB"/>
        </w:rPr>
        <w:t>i</w:t>
      </w:r>
      <w:r w:rsidRPr="00E4265B">
        <w:rPr>
          <w:rFonts w:ascii="Arial" w:hAnsi="Arial" w:cs="Arial"/>
          <w:sz w:val="22"/>
          <w:szCs w:val="22"/>
          <w:lang w:val="en-GB"/>
        </w:rPr>
        <w:t xml:space="preserve">lities discovered within </w:t>
      </w:r>
      <w:r w:rsidRPr="00E4265B">
        <w:rPr>
          <w:rFonts w:ascii="Arial" w:hAnsi="Arial" w:cs="Arial"/>
          <w:sz w:val="22"/>
          <w:szCs w:val="22"/>
          <w:lang w:val="en-GB"/>
        </w:rPr>
        <w:lastRenderedPageBreak/>
        <w:t>the P&amp;L in the context of the trading mandate and market developments should be further analysed to see if they are caused by Operational Risk events; and</w:t>
      </w:r>
    </w:p>
    <w:p w14:paraId="1642E280" w14:textId="77777777" w:rsidR="00E22FF2" w:rsidRPr="00E4265B" w:rsidRDefault="00E22FF2" w:rsidP="0079042A">
      <w:pPr>
        <w:pStyle w:val="Lista2"/>
        <w:rPr>
          <w:rFonts w:ascii="Arial" w:hAnsi="Arial" w:cs="Arial"/>
          <w:sz w:val="22"/>
          <w:szCs w:val="22"/>
          <w:lang w:val="en-GB"/>
        </w:rPr>
      </w:pPr>
      <w:r w:rsidRPr="00E4265B">
        <w:rPr>
          <w:rFonts w:ascii="Arial" w:hAnsi="Arial" w:cs="Arial"/>
          <w:sz w:val="22"/>
          <w:szCs w:val="22"/>
          <w:lang w:val="en-GB"/>
        </w:rPr>
        <w:t>n.</w:t>
      </w:r>
      <w:r w:rsidRPr="00E4265B">
        <w:rPr>
          <w:rFonts w:ascii="Arial" w:hAnsi="Arial" w:cs="Arial"/>
          <w:sz w:val="22"/>
          <w:szCs w:val="22"/>
          <w:lang w:val="en-GB"/>
        </w:rPr>
        <w:tab/>
        <w:t>control procedures should be established to monitor and escalate unusual transactions, anomalies in confirmation and reconciliation processes, errors in recording, processing and settling transactions, along with cancellations, amendments, late trades and off</w:t>
      </w:r>
      <w:r w:rsidRPr="00E4265B">
        <w:rPr>
          <w:rFonts w:ascii="Arial" w:hAnsi="Arial" w:cs="Arial"/>
          <w:sz w:val="22"/>
          <w:szCs w:val="22"/>
          <w:lang w:val="en-GB"/>
        </w:rPr>
        <w:noBreakHyphen/>
        <w:t>market rates.</w:t>
      </w:r>
    </w:p>
    <w:p w14:paraId="1EF8051F" w14:textId="77777777" w:rsidR="00E22FF2" w:rsidRPr="00E4265B" w:rsidRDefault="00E22FF2" w:rsidP="00246497">
      <w:pPr>
        <w:pStyle w:val="Heading3"/>
        <w:rPr>
          <w:rFonts w:ascii="Arial" w:hAnsi="Arial" w:cs="Arial"/>
          <w:sz w:val="22"/>
          <w:szCs w:val="22"/>
        </w:rPr>
      </w:pPr>
      <w:bookmarkStart w:id="668" w:name="_Toc403223979"/>
      <w:bookmarkStart w:id="669" w:name="_Toc403254017"/>
      <w:bookmarkStart w:id="670" w:name="_Toc403273417"/>
      <w:bookmarkStart w:id="671" w:name="_Toc403273566"/>
      <w:bookmarkStart w:id="672" w:name="_Toc403274525"/>
      <w:bookmarkStart w:id="673" w:name="_Toc403280021"/>
      <w:bookmarkStart w:id="674" w:name="_Toc404285822"/>
      <w:bookmarkStart w:id="675" w:name="_Toc404621771"/>
      <w:bookmarkStart w:id="676" w:name="_Toc404624412"/>
      <w:bookmarkStart w:id="677" w:name="_Toc33622438"/>
      <w:r w:rsidRPr="00E4265B">
        <w:rPr>
          <w:rFonts w:ascii="Arial" w:hAnsi="Arial" w:cs="Arial"/>
          <w:sz w:val="22"/>
          <w:szCs w:val="22"/>
        </w:rPr>
        <w:t>Operational Risk Capital Requirement</w:t>
      </w:r>
      <w:bookmarkEnd w:id="668"/>
      <w:bookmarkEnd w:id="669"/>
      <w:bookmarkEnd w:id="670"/>
      <w:bookmarkEnd w:id="671"/>
      <w:bookmarkEnd w:id="672"/>
      <w:bookmarkEnd w:id="673"/>
      <w:bookmarkEnd w:id="674"/>
      <w:bookmarkEnd w:id="675"/>
      <w:bookmarkEnd w:id="676"/>
      <w:bookmarkEnd w:id="677"/>
    </w:p>
    <w:p w14:paraId="2BE927B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This Section applies to an </w:t>
      </w:r>
      <w:r w:rsidR="000D1A90" w:rsidRPr="00E4265B">
        <w:rPr>
          <w:rFonts w:ascii="Arial" w:hAnsi="Arial" w:cs="Arial"/>
          <w:sz w:val="22"/>
          <w:szCs w:val="22"/>
        </w:rPr>
        <w:t>Authorised Person</w:t>
      </w:r>
      <w:r w:rsidRPr="00E4265B">
        <w:rPr>
          <w:rFonts w:ascii="Arial" w:hAnsi="Arial" w:cs="Arial"/>
          <w:sz w:val="22"/>
          <w:szCs w:val="22"/>
        </w:rPr>
        <w:t xml:space="preserve"> in Category 1, 2, 3A or 5.</w:t>
      </w:r>
    </w:p>
    <w:p w14:paraId="2AA56CD3"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subject to (2), use the Basic Indicator Approach as prescribed in App</w:t>
      </w:r>
      <w:r w:rsidR="00E762BF" w:rsidRPr="00E4265B">
        <w:rPr>
          <w:rFonts w:ascii="Arial" w:hAnsi="Arial" w:cs="Arial"/>
          <w:sz w:val="22"/>
          <w:szCs w:val="22"/>
        </w:rPr>
        <w:t>7</w:t>
      </w:r>
      <w:r w:rsidRPr="00E4265B">
        <w:rPr>
          <w:rFonts w:ascii="Arial" w:hAnsi="Arial" w:cs="Arial"/>
          <w:sz w:val="22"/>
          <w:szCs w:val="22"/>
        </w:rPr>
        <w:t> to calculate its Operational Risk Capital Requirement.</w:t>
      </w:r>
    </w:p>
    <w:p w14:paraId="274CB039" w14:textId="6EFCADAD" w:rsidR="00E22FF2" w:rsidRPr="00E4265B" w:rsidRDefault="00E22FF2" w:rsidP="00592544">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with the written approval of the Regulator, use the Standardised Approach or the Alternative Standardised Approach, both as prescribed in App</w:t>
      </w:r>
      <w:r w:rsidR="00592544" w:rsidRPr="00E4265B">
        <w:rPr>
          <w:rFonts w:ascii="Arial" w:hAnsi="Arial" w:cs="Arial"/>
          <w:sz w:val="22"/>
          <w:szCs w:val="22"/>
          <w:lang w:val="en-GB"/>
        </w:rPr>
        <w:t>7</w:t>
      </w:r>
      <w:r w:rsidRPr="00E4265B">
        <w:rPr>
          <w:rFonts w:ascii="Arial" w:hAnsi="Arial" w:cs="Arial"/>
          <w:sz w:val="22"/>
          <w:szCs w:val="22"/>
          <w:lang w:val="en-GB"/>
        </w:rPr>
        <w:t>, to calculate its Operational Risk Capital Requirement if the Regulator is satisfied that:</w:t>
      </w:r>
    </w:p>
    <w:p w14:paraId="44113ED1"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its Governing Body and senior management, as appropriate, are actively involved in the oversight of its Operational Risk framework;</w:t>
      </w:r>
    </w:p>
    <w:p w14:paraId="64A3B609"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it has, in accordance with the requirements set out in this Chapter, implemented and maintains an Operational Risk policy which provides for a sound and well</w:t>
      </w:r>
      <w:r w:rsidRPr="00E4265B">
        <w:rPr>
          <w:rFonts w:ascii="Arial" w:hAnsi="Arial" w:cs="Arial"/>
          <w:sz w:val="22"/>
          <w:szCs w:val="22"/>
          <w:lang w:val="en-GB"/>
        </w:rPr>
        <w:noBreakHyphen/>
        <w:t xml:space="preserve">defined risk management framework to address the </w:t>
      </w:r>
      <w:r w:rsidR="000D1A90" w:rsidRPr="00E4265B">
        <w:rPr>
          <w:rFonts w:ascii="Arial" w:hAnsi="Arial" w:cs="Arial"/>
          <w:sz w:val="22"/>
          <w:szCs w:val="22"/>
          <w:lang w:val="en-GB"/>
        </w:rPr>
        <w:t>Authorised Person</w:t>
      </w:r>
      <w:r w:rsidRPr="00E4265B">
        <w:rPr>
          <w:rFonts w:ascii="Arial" w:hAnsi="Arial" w:cs="Arial"/>
          <w:sz w:val="22"/>
          <w:szCs w:val="22"/>
          <w:lang w:val="en-GB"/>
        </w:rPr>
        <w:t>'s Operational Risk; and</w:t>
      </w:r>
    </w:p>
    <w:p w14:paraId="778B5680"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it has dedicated sufficient resources in the use of the relevant approach in its major business lines and its control and audit functions.</w:t>
      </w:r>
    </w:p>
    <w:p w14:paraId="3782678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seeking to apply the Standardised Approach or the Alternative Standardised Approach must develop specific policies and have documented criteria for mapping gross income for current business lines and activities into the Standardised Approach or the Alternative Standardised Approach, as prescribed in App</w:t>
      </w:r>
      <w:r w:rsidR="00E762BF" w:rsidRPr="00E4265B">
        <w:rPr>
          <w:rFonts w:ascii="Arial" w:hAnsi="Arial" w:cs="Arial"/>
          <w:sz w:val="22"/>
          <w:szCs w:val="22"/>
        </w:rPr>
        <w:t>7</w:t>
      </w:r>
      <w:r w:rsidRPr="00E4265B">
        <w:rPr>
          <w:rFonts w:ascii="Arial" w:hAnsi="Arial" w:cs="Arial"/>
          <w:sz w:val="22"/>
          <w:szCs w:val="22"/>
        </w:rPr>
        <w:t>. The criteria must be reviewed and adjusted for new or changing business activities as appropriate.</w:t>
      </w:r>
    </w:p>
    <w:p w14:paraId="20CAB02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Once an </w:t>
      </w:r>
      <w:r w:rsidR="000D1A90" w:rsidRPr="00E4265B">
        <w:rPr>
          <w:rFonts w:ascii="Arial" w:hAnsi="Arial" w:cs="Arial"/>
          <w:sz w:val="22"/>
          <w:szCs w:val="22"/>
        </w:rPr>
        <w:t>Authorised Person</w:t>
      </w:r>
      <w:r w:rsidRPr="00E4265B">
        <w:rPr>
          <w:rFonts w:ascii="Arial" w:hAnsi="Arial" w:cs="Arial"/>
          <w:sz w:val="22"/>
          <w:szCs w:val="22"/>
        </w:rPr>
        <w:t xml:space="preserve"> has obtained from the Regulator its written approval to apply the Standardised Approach or the Alternative Standardised Approach, the </w:t>
      </w:r>
      <w:r w:rsidR="000D1A90" w:rsidRPr="00E4265B">
        <w:rPr>
          <w:rFonts w:ascii="Arial" w:hAnsi="Arial" w:cs="Arial"/>
          <w:sz w:val="22"/>
          <w:szCs w:val="22"/>
        </w:rPr>
        <w:t>Authorised Person</w:t>
      </w:r>
      <w:r w:rsidRPr="00E4265B">
        <w:rPr>
          <w:rFonts w:ascii="Arial" w:hAnsi="Arial" w:cs="Arial"/>
          <w:sz w:val="22"/>
          <w:szCs w:val="22"/>
        </w:rPr>
        <w:t xml:space="preserve"> must not revert to the Basic Indicator Approach without prior written approval of the Regulator.</w:t>
      </w:r>
    </w:p>
    <w:p w14:paraId="1AD3FF7D" w14:textId="77777777" w:rsidR="00E22FF2" w:rsidRPr="00E4265B" w:rsidRDefault="00E22FF2" w:rsidP="00E45D3D">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The Regulator may at any time by written notice require an </w:t>
      </w:r>
      <w:r w:rsidR="000D1A90" w:rsidRPr="00E4265B">
        <w:rPr>
          <w:rFonts w:ascii="Arial" w:hAnsi="Arial" w:cs="Arial"/>
          <w:sz w:val="22"/>
          <w:szCs w:val="22"/>
        </w:rPr>
        <w:t>Authorised Person</w:t>
      </w:r>
      <w:r w:rsidRPr="00E4265B">
        <w:rPr>
          <w:rFonts w:ascii="Arial" w:hAnsi="Arial" w:cs="Arial"/>
          <w:sz w:val="22"/>
          <w:szCs w:val="22"/>
        </w:rPr>
        <w:t xml:space="preserve"> to adopt a specified approach to calculating its Operational Risk Capital Requirement where the Regulator considers that this is:</w:t>
      </w:r>
    </w:p>
    <w:p w14:paraId="51FD30E8"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appropriate given the nature, size, complexity and risk profile of the </w:t>
      </w:r>
      <w:r w:rsidR="000D1A90" w:rsidRPr="00E4265B">
        <w:rPr>
          <w:rFonts w:ascii="Arial" w:hAnsi="Arial" w:cs="Arial"/>
          <w:sz w:val="22"/>
          <w:szCs w:val="22"/>
          <w:lang w:val="en-GB"/>
        </w:rPr>
        <w:t>Authorised Person</w:t>
      </w:r>
      <w:r w:rsidRPr="00E4265B">
        <w:rPr>
          <w:rFonts w:ascii="Arial" w:hAnsi="Arial" w:cs="Arial"/>
          <w:sz w:val="22"/>
          <w:szCs w:val="22"/>
          <w:lang w:val="en-GB"/>
        </w:rPr>
        <w:t>'s business; or</w:t>
      </w:r>
    </w:p>
    <w:p w14:paraId="794A0D98"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necessary in the prevailing economic circumstances and it is in the interests of the ADGM.</w:t>
      </w:r>
    </w:p>
    <w:p w14:paraId="28F86DD7" w14:textId="77777777" w:rsidR="00E22FF2" w:rsidRPr="00E4265B" w:rsidRDefault="00E22FF2" w:rsidP="00ED7CE1">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comply with a requirement made under (1).</w:t>
      </w:r>
    </w:p>
    <w:p w14:paraId="5D9AA10D" w14:textId="77777777" w:rsidR="00E22FF2" w:rsidRPr="00E4265B" w:rsidRDefault="00E22FF2" w:rsidP="00246497">
      <w:pPr>
        <w:pStyle w:val="Heading3"/>
        <w:rPr>
          <w:rFonts w:ascii="Arial" w:hAnsi="Arial" w:cs="Arial"/>
          <w:sz w:val="22"/>
          <w:szCs w:val="22"/>
        </w:rPr>
      </w:pPr>
      <w:bookmarkStart w:id="678" w:name="_Toc403223980"/>
      <w:bookmarkStart w:id="679" w:name="_Toc403254018"/>
      <w:bookmarkStart w:id="680" w:name="_Toc403273418"/>
      <w:bookmarkStart w:id="681" w:name="_Toc403273567"/>
      <w:bookmarkStart w:id="682" w:name="_Toc403274526"/>
      <w:bookmarkStart w:id="683" w:name="_Toc403280022"/>
      <w:bookmarkStart w:id="684" w:name="_Toc404285823"/>
      <w:bookmarkStart w:id="685" w:name="_Toc404621772"/>
      <w:bookmarkStart w:id="686" w:name="_Toc404624413"/>
      <w:bookmarkStart w:id="687" w:name="_Toc33622439"/>
      <w:r w:rsidRPr="00E4265B">
        <w:rPr>
          <w:rFonts w:ascii="Arial" w:hAnsi="Arial" w:cs="Arial"/>
          <w:sz w:val="22"/>
          <w:szCs w:val="22"/>
        </w:rPr>
        <w:lastRenderedPageBreak/>
        <w:t>Professional indemnity insurance</w:t>
      </w:r>
      <w:bookmarkEnd w:id="678"/>
      <w:bookmarkEnd w:id="679"/>
      <w:bookmarkEnd w:id="680"/>
      <w:bookmarkEnd w:id="681"/>
      <w:bookmarkEnd w:id="682"/>
      <w:bookmarkEnd w:id="683"/>
      <w:bookmarkEnd w:id="684"/>
      <w:bookmarkEnd w:id="685"/>
      <w:bookmarkEnd w:id="686"/>
      <w:bookmarkEnd w:id="687"/>
    </w:p>
    <w:p w14:paraId="102168A9" w14:textId="412FC773" w:rsidR="00E22FF2" w:rsidRPr="00E4265B" w:rsidRDefault="00E22FF2" w:rsidP="00601D29">
      <w:pPr>
        <w:pStyle w:val="Heading4"/>
        <w:rPr>
          <w:rFonts w:ascii="Arial" w:hAnsi="Arial" w:cs="Arial"/>
          <w:sz w:val="22"/>
          <w:szCs w:val="22"/>
        </w:rPr>
      </w:pPr>
      <w:r w:rsidRPr="00E4265B">
        <w:rPr>
          <w:rFonts w:ascii="Arial" w:hAnsi="Arial" w:cs="Arial"/>
          <w:sz w:val="22"/>
          <w:szCs w:val="22"/>
        </w:rPr>
        <w:t xml:space="preserve">This Section applies to an </w:t>
      </w:r>
      <w:r w:rsidR="000D1A90" w:rsidRPr="00E4265B">
        <w:rPr>
          <w:rFonts w:ascii="Arial" w:hAnsi="Arial" w:cs="Arial"/>
          <w:sz w:val="22"/>
          <w:szCs w:val="22"/>
        </w:rPr>
        <w:t>Authorised Person</w:t>
      </w:r>
      <w:r w:rsidR="00601D29" w:rsidRPr="00E4265B">
        <w:rPr>
          <w:rFonts w:ascii="Arial" w:hAnsi="Arial" w:cs="Arial"/>
          <w:sz w:val="22"/>
          <w:szCs w:val="22"/>
        </w:rPr>
        <w:t xml:space="preserve"> in Category 3B, 3C or 4</w:t>
      </w:r>
      <w:r w:rsidRPr="00E4265B">
        <w:rPr>
          <w:rFonts w:ascii="Arial" w:hAnsi="Arial" w:cs="Arial"/>
          <w:sz w:val="22"/>
          <w:szCs w:val="22"/>
        </w:rPr>
        <w:t>.</w:t>
      </w:r>
    </w:p>
    <w:p w14:paraId="6CB8D550"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w:t>
      </w:r>
    </w:p>
    <w:p w14:paraId="09DC4791" w14:textId="0BE16FC4" w:rsidR="00E22FF2" w:rsidRPr="00E4265B" w:rsidRDefault="000F475D" w:rsidP="008432F8">
      <w:pPr>
        <w:pStyle w:val="Heading5"/>
        <w:rPr>
          <w:rFonts w:ascii="Arial" w:hAnsi="Arial" w:cs="Arial"/>
          <w:sz w:val="22"/>
          <w:szCs w:val="22"/>
        </w:rPr>
      </w:pPr>
      <w:r w:rsidRPr="00E4265B">
        <w:rPr>
          <w:rFonts w:ascii="Arial" w:hAnsi="Arial" w:cs="Arial"/>
          <w:sz w:val="22"/>
          <w:szCs w:val="22"/>
        </w:rPr>
        <w:t>s</w:t>
      </w:r>
      <w:r w:rsidR="00C07D07" w:rsidRPr="00E4265B">
        <w:rPr>
          <w:rFonts w:ascii="Arial" w:hAnsi="Arial" w:cs="Arial"/>
          <w:sz w:val="22"/>
          <w:szCs w:val="22"/>
        </w:rPr>
        <w:t xml:space="preserve">ubject to Rule 6.12A, </w:t>
      </w:r>
      <w:r w:rsidR="00E22FF2" w:rsidRPr="00E4265B">
        <w:rPr>
          <w:rFonts w:ascii="Arial" w:hAnsi="Arial" w:cs="Arial"/>
          <w:sz w:val="22"/>
          <w:szCs w:val="22"/>
        </w:rPr>
        <w:t xml:space="preserve">take out and maintain professional indemnity insurance cover appropriate to the nature, size, complexity and risk profile of the </w:t>
      </w:r>
      <w:r w:rsidR="000D1A90" w:rsidRPr="00E4265B">
        <w:rPr>
          <w:rFonts w:ascii="Arial" w:hAnsi="Arial" w:cs="Arial"/>
          <w:sz w:val="22"/>
          <w:szCs w:val="22"/>
        </w:rPr>
        <w:t>Authorised Person</w:t>
      </w:r>
      <w:r w:rsidR="00E22FF2" w:rsidRPr="00E4265B">
        <w:rPr>
          <w:rFonts w:ascii="Arial" w:hAnsi="Arial" w:cs="Arial"/>
          <w:sz w:val="22"/>
          <w:szCs w:val="22"/>
        </w:rPr>
        <w:t>'s business;</w:t>
      </w:r>
    </w:p>
    <w:p w14:paraId="62B22F8F" w14:textId="59207542" w:rsidR="00E22FF2" w:rsidRPr="00E4265B" w:rsidRDefault="00E22FF2" w:rsidP="008432F8">
      <w:pPr>
        <w:pStyle w:val="Heading5"/>
        <w:rPr>
          <w:rFonts w:ascii="Arial" w:hAnsi="Arial" w:cs="Arial"/>
          <w:sz w:val="22"/>
          <w:szCs w:val="22"/>
        </w:rPr>
      </w:pPr>
      <w:r w:rsidRPr="00E4265B">
        <w:rPr>
          <w:rFonts w:ascii="Arial" w:hAnsi="Arial" w:cs="Arial"/>
          <w:sz w:val="22"/>
          <w:szCs w:val="22"/>
        </w:rPr>
        <w:t>at least annually, provide the Regulator with a copy of the professional indemnity insurance cover in (a) covering the following 12 month period</w:t>
      </w:r>
      <w:r w:rsidR="00601D29" w:rsidRPr="00E4265B">
        <w:rPr>
          <w:rFonts w:ascii="Arial" w:hAnsi="Arial" w:cs="Arial"/>
          <w:sz w:val="22"/>
          <w:szCs w:val="22"/>
        </w:rPr>
        <w:t xml:space="preserve"> and be able to demonstrate its adequacy in relation to the nature, size, complexity and risk profile of the Authorised Person’s business</w:t>
      </w:r>
      <w:r w:rsidRPr="00E4265B">
        <w:rPr>
          <w:rFonts w:ascii="Arial" w:hAnsi="Arial" w:cs="Arial"/>
          <w:sz w:val="22"/>
          <w:szCs w:val="22"/>
        </w:rPr>
        <w:t>; and</w:t>
      </w:r>
    </w:p>
    <w:p w14:paraId="68D76F6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notify the Regulator of any material changes to the cover in (a), including the level of cover, its renewal or termination.</w:t>
      </w:r>
    </w:p>
    <w:p w14:paraId="2BD9457E" w14:textId="77777777" w:rsidR="00E22FF2" w:rsidRPr="00E4265B" w:rsidRDefault="00E22FF2" w:rsidP="0079042A">
      <w:pPr>
        <w:pStyle w:val="TitleL5"/>
        <w:rPr>
          <w:rFonts w:ascii="Arial" w:hAnsi="Arial" w:cs="Arial"/>
          <w:sz w:val="22"/>
          <w:szCs w:val="22"/>
          <w:lang w:val="en-GB"/>
        </w:rPr>
      </w:pPr>
      <w:r w:rsidRPr="00E4265B">
        <w:rPr>
          <w:rFonts w:ascii="Arial" w:hAnsi="Arial" w:cs="Arial"/>
          <w:sz w:val="22"/>
          <w:szCs w:val="22"/>
          <w:lang w:val="en-GB"/>
        </w:rPr>
        <w:t>Guidance</w:t>
      </w:r>
    </w:p>
    <w:p w14:paraId="494BB768" w14:textId="77777777" w:rsidR="00E22FF2" w:rsidRPr="00E4265B" w:rsidRDefault="00E22FF2" w:rsidP="0079042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In complying with Rule 6.12.2,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take out and maintain a contract for professional indemnity insurance (PII) from a reputable and well</w:t>
      </w:r>
      <w:r w:rsidRPr="00E4265B">
        <w:rPr>
          <w:rFonts w:ascii="Arial" w:hAnsi="Arial" w:cs="Arial"/>
          <w:sz w:val="22"/>
          <w:szCs w:val="22"/>
          <w:lang w:val="en-GB"/>
        </w:rPr>
        <w:noBreakHyphen/>
        <w:t xml:space="preserve">capitalised </w:t>
      </w:r>
      <w:r w:rsidR="00834CCE" w:rsidRPr="00E4265B">
        <w:rPr>
          <w:rFonts w:ascii="Arial" w:hAnsi="Arial" w:cs="Arial"/>
          <w:sz w:val="22"/>
          <w:szCs w:val="22"/>
          <w:lang w:val="en-GB"/>
        </w:rPr>
        <w:t>Insurer</w:t>
      </w:r>
      <w:r w:rsidRPr="00E4265B">
        <w:rPr>
          <w:rFonts w:ascii="Arial" w:hAnsi="Arial" w:cs="Arial"/>
          <w:sz w:val="22"/>
          <w:szCs w:val="22"/>
          <w:lang w:val="en-GB"/>
        </w:rPr>
        <w:t xml:space="preserve"> and such contract should include cover in respect of claims for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be liable as a result of the conduct of itself and its Employees and appropriate cover in respect of legal costs arising from a claim.</w:t>
      </w:r>
    </w:p>
    <w:p w14:paraId="78C7F94E" w14:textId="77777777" w:rsidR="00E22FF2" w:rsidRPr="00E4265B" w:rsidRDefault="00E22FF2" w:rsidP="003D4C5D">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Pursuant to Rule 6.4.1(c),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notify the Regulator of any significant PII claim made. What amounts to a significant claim will depend on the nature size and complexity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the Regulator would expect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treat a series of small single claims which are significant in aggregate as significant for the purposes of Rule 6.4.1(c).</w:t>
      </w:r>
    </w:p>
    <w:p w14:paraId="2AB40E16" w14:textId="77777777" w:rsidR="00E22FF2" w:rsidRPr="00E4265B" w:rsidRDefault="00E22FF2" w:rsidP="003D0BA9">
      <w:pPr>
        <w:pStyle w:val="1List0"/>
        <w:ind w:hanging="663"/>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can fulfil the requirements under this Section by ensuring coverage of its activities under a group</w:t>
      </w:r>
      <w:r w:rsidRPr="00E4265B">
        <w:rPr>
          <w:rFonts w:ascii="Arial" w:hAnsi="Arial" w:cs="Arial"/>
          <w:sz w:val="22"/>
          <w:szCs w:val="22"/>
          <w:lang w:val="en-GB"/>
        </w:rPr>
        <w:noBreakHyphen/>
        <w:t xml:space="preserve">wide PII policy, provided that policy covers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its activities and that policy meets the conditions specified in this Section. Where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group PII cover does not meet the requirements specified under this Section,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will be required to obtain PII cover that meets those requirements.</w:t>
      </w:r>
    </w:p>
    <w:p w14:paraId="7A89B53C" w14:textId="77777777" w:rsidR="002B4B9D" w:rsidRPr="00E4265B" w:rsidRDefault="002B4B9D" w:rsidP="005A2867">
      <w:pPr>
        <w:pStyle w:val="Heading3"/>
        <w:numPr>
          <w:ilvl w:val="0"/>
          <w:numId w:val="0"/>
        </w:numPr>
        <w:ind w:left="936" w:hanging="936"/>
        <w:rPr>
          <w:rFonts w:ascii="Arial" w:hAnsi="Arial" w:cs="Arial"/>
          <w:sz w:val="22"/>
          <w:szCs w:val="22"/>
        </w:rPr>
      </w:pPr>
      <w:bookmarkStart w:id="688" w:name="_Toc403274527"/>
      <w:bookmarkStart w:id="689" w:name="_Toc403280023"/>
      <w:bookmarkStart w:id="690" w:name="_Toc403223981"/>
      <w:bookmarkStart w:id="691" w:name="_Toc403254019"/>
      <w:bookmarkStart w:id="692" w:name="_Toc403254107"/>
      <w:bookmarkStart w:id="693" w:name="_Toc403273419"/>
      <w:bookmarkStart w:id="694" w:name="_Toc403273568"/>
      <w:r w:rsidRPr="00E4265B">
        <w:rPr>
          <w:rFonts w:ascii="Arial" w:hAnsi="Arial" w:cs="Arial"/>
          <w:sz w:val="22"/>
          <w:szCs w:val="22"/>
        </w:rPr>
        <w:t>6.12A</w:t>
      </w:r>
      <w:r w:rsidRPr="00E4265B">
        <w:rPr>
          <w:rFonts w:ascii="Arial" w:hAnsi="Arial" w:cs="Arial"/>
          <w:sz w:val="22"/>
          <w:szCs w:val="22"/>
        </w:rPr>
        <w:tab/>
        <w:t>Professional indemnity insurance for Third Party Providers</w:t>
      </w:r>
    </w:p>
    <w:p w14:paraId="0FFAC047" w14:textId="77777777" w:rsidR="002B4B9D" w:rsidRPr="00E4265B" w:rsidRDefault="002B4B9D" w:rsidP="002B4B9D">
      <w:pPr>
        <w:spacing w:after="240" w:line="260" w:lineRule="atLeast"/>
        <w:ind w:left="993"/>
        <w:jc w:val="both"/>
        <w:rPr>
          <w:rFonts w:ascii="Arial" w:eastAsia="Calibri" w:hAnsi="Arial" w:cs="Arial"/>
          <w:b/>
          <w:bCs/>
          <w:sz w:val="22"/>
          <w:szCs w:val="22"/>
        </w:rPr>
      </w:pPr>
      <w:r w:rsidRPr="00E4265B">
        <w:rPr>
          <w:rFonts w:ascii="Arial" w:eastAsia="Calibri" w:hAnsi="Arial" w:cs="Arial"/>
          <w:b/>
          <w:bCs/>
          <w:sz w:val="22"/>
          <w:szCs w:val="22"/>
        </w:rPr>
        <w:t>Minimum Coverage for Third Party Providers</w:t>
      </w:r>
    </w:p>
    <w:p w14:paraId="21AF127A" w14:textId="77777777" w:rsidR="002B4B9D" w:rsidRPr="00E4265B" w:rsidRDefault="002B4B9D" w:rsidP="005A2867">
      <w:pPr>
        <w:pStyle w:val="Heading4"/>
        <w:numPr>
          <w:ilvl w:val="0"/>
          <w:numId w:val="0"/>
        </w:numPr>
        <w:ind w:left="936" w:hanging="936"/>
        <w:rPr>
          <w:rFonts w:ascii="Arial" w:hAnsi="Arial" w:cs="Arial"/>
          <w:sz w:val="22"/>
          <w:szCs w:val="22"/>
        </w:rPr>
      </w:pPr>
      <w:r w:rsidRPr="00E4265B">
        <w:rPr>
          <w:rFonts w:ascii="Arial" w:hAnsi="Arial" w:cs="Arial"/>
          <w:b/>
          <w:bCs w:val="0"/>
          <w:sz w:val="22"/>
          <w:szCs w:val="22"/>
        </w:rPr>
        <w:t>6.12A.1</w:t>
      </w:r>
      <w:r w:rsidRPr="00E4265B">
        <w:rPr>
          <w:rFonts w:ascii="Arial" w:hAnsi="Arial" w:cs="Arial"/>
          <w:sz w:val="22"/>
          <w:szCs w:val="22"/>
        </w:rPr>
        <w:tab/>
        <w:t>A Third Party Provider must maintain at all times a minimum professional indemnity insurance coverage of US$150,000.</w:t>
      </w:r>
    </w:p>
    <w:p w14:paraId="54648C04" w14:textId="77777777" w:rsidR="002B4B9D" w:rsidRPr="00E4265B" w:rsidRDefault="002B4B9D" w:rsidP="002B4B9D">
      <w:pPr>
        <w:spacing w:after="240" w:line="260" w:lineRule="atLeast"/>
        <w:ind w:left="993"/>
        <w:jc w:val="both"/>
        <w:rPr>
          <w:rFonts w:ascii="Arial" w:eastAsia="Calibri" w:hAnsi="Arial" w:cs="Arial"/>
          <w:b/>
          <w:bCs/>
          <w:sz w:val="22"/>
          <w:szCs w:val="22"/>
        </w:rPr>
      </w:pPr>
      <w:r w:rsidRPr="00E4265B">
        <w:rPr>
          <w:rFonts w:ascii="Arial" w:eastAsia="Calibri" w:hAnsi="Arial" w:cs="Arial"/>
          <w:b/>
          <w:bCs/>
          <w:sz w:val="22"/>
          <w:szCs w:val="22"/>
        </w:rPr>
        <w:t>Transaction Limits</w:t>
      </w:r>
    </w:p>
    <w:p w14:paraId="305C4A0C" w14:textId="77777777" w:rsidR="002B4B9D" w:rsidRPr="00E4265B" w:rsidRDefault="002B4B9D" w:rsidP="002B4B9D">
      <w:pPr>
        <w:spacing w:after="240" w:line="246" w:lineRule="atLeast"/>
        <w:ind w:left="993" w:hanging="993"/>
        <w:jc w:val="both"/>
        <w:outlineLvl w:val="3"/>
        <w:rPr>
          <w:rFonts w:ascii="Arial" w:eastAsiaTheme="majorEastAsia" w:hAnsi="Arial" w:cs="Arial"/>
          <w:iCs/>
          <w:sz w:val="22"/>
          <w:szCs w:val="22"/>
        </w:rPr>
      </w:pPr>
      <w:r w:rsidRPr="00E4265B">
        <w:rPr>
          <w:rFonts w:ascii="Arial" w:eastAsiaTheme="majorEastAsia" w:hAnsi="Arial" w:cs="Arial"/>
          <w:b/>
          <w:bCs/>
          <w:iCs/>
          <w:sz w:val="22"/>
          <w:szCs w:val="22"/>
        </w:rPr>
        <w:t>6.12A.2</w:t>
      </w:r>
      <w:r w:rsidRPr="00E4265B">
        <w:rPr>
          <w:rFonts w:ascii="Arial" w:eastAsiaTheme="majorEastAsia" w:hAnsi="Arial" w:cs="Arial"/>
          <w:b/>
          <w:bCs/>
          <w:iCs/>
          <w:sz w:val="22"/>
          <w:szCs w:val="22"/>
        </w:rPr>
        <w:tab/>
      </w:r>
      <w:r w:rsidRPr="00E4265B">
        <w:rPr>
          <w:rFonts w:ascii="Arial" w:eastAsiaTheme="majorEastAsia" w:hAnsi="Arial" w:cs="Arial"/>
          <w:iCs/>
          <w:sz w:val="22"/>
          <w:szCs w:val="22"/>
        </w:rPr>
        <w:t>A Third Party Provider must ensure that its remaining professional indemnity insurance coverage is always greater than thirty times the average daily value of all Third Party Transactions in the past ninety calendar days.</w:t>
      </w:r>
    </w:p>
    <w:p w14:paraId="5F918AF8" w14:textId="77777777" w:rsidR="002B4B9D" w:rsidRPr="00E4265B" w:rsidRDefault="002B4B9D" w:rsidP="002B4B9D">
      <w:pPr>
        <w:spacing w:after="240" w:line="246" w:lineRule="atLeast"/>
        <w:ind w:left="993" w:hanging="993"/>
        <w:jc w:val="both"/>
        <w:outlineLvl w:val="3"/>
        <w:rPr>
          <w:rFonts w:ascii="Arial" w:eastAsiaTheme="majorEastAsia" w:hAnsi="Arial" w:cs="Arial"/>
          <w:iCs/>
          <w:sz w:val="22"/>
          <w:szCs w:val="22"/>
        </w:rPr>
      </w:pPr>
      <w:r w:rsidRPr="00E4265B">
        <w:rPr>
          <w:rFonts w:ascii="Arial" w:eastAsiaTheme="majorEastAsia" w:hAnsi="Arial" w:cs="Arial"/>
          <w:b/>
          <w:bCs/>
          <w:iCs/>
          <w:sz w:val="22"/>
          <w:szCs w:val="22"/>
        </w:rPr>
        <w:t>6.12A.3</w:t>
      </w:r>
      <w:r w:rsidRPr="00E4265B">
        <w:rPr>
          <w:rFonts w:ascii="Arial" w:eastAsiaTheme="majorEastAsia" w:hAnsi="Arial" w:cs="Arial"/>
          <w:iCs/>
          <w:sz w:val="22"/>
          <w:szCs w:val="22"/>
        </w:rPr>
        <w:tab/>
        <w:t>The value of a Third Party Transaction must be calculated as:</w:t>
      </w:r>
    </w:p>
    <w:p w14:paraId="6D8D3969" w14:textId="77777777" w:rsidR="002B4B9D" w:rsidRPr="00E4265B" w:rsidRDefault="002B4B9D" w:rsidP="002B4B9D">
      <w:pPr>
        <w:spacing w:after="240" w:line="260" w:lineRule="atLeast"/>
        <w:ind w:left="1701" w:hanging="708"/>
        <w:jc w:val="both"/>
        <w:rPr>
          <w:rFonts w:ascii="Arial" w:hAnsi="Arial" w:cs="Arial"/>
          <w:sz w:val="22"/>
          <w:szCs w:val="22"/>
        </w:rPr>
      </w:pPr>
      <w:r w:rsidRPr="00E4265B">
        <w:rPr>
          <w:rFonts w:ascii="Arial" w:hAnsi="Arial" w:cs="Arial"/>
          <w:sz w:val="22"/>
          <w:szCs w:val="22"/>
        </w:rPr>
        <w:lastRenderedPageBreak/>
        <w:t xml:space="preserve">(a) </w:t>
      </w:r>
      <w:r w:rsidRPr="00E4265B">
        <w:rPr>
          <w:rFonts w:ascii="Arial" w:hAnsi="Arial" w:cs="Arial"/>
          <w:sz w:val="22"/>
          <w:szCs w:val="22"/>
        </w:rPr>
        <w:tab/>
        <w:t>where the Third Party Transaction leads to a Payment Transaction, the value of the Payment Transaction; or</w:t>
      </w:r>
    </w:p>
    <w:p w14:paraId="5DE071DF" w14:textId="77777777" w:rsidR="002B4B9D" w:rsidRPr="00E4265B" w:rsidRDefault="002B4B9D" w:rsidP="002B4B9D">
      <w:pPr>
        <w:spacing w:after="240" w:line="260" w:lineRule="atLeast"/>
        <w:ind w:left="1701" w:hanging="708"/>
        <w:jc w:val="both"/>
        <w:rPr>
          <w:rFonts w:ascii="Arial" w:hAnsi="Arial" w:cs="Arial"/>
          <w:sz w:val="22"/>
          <w:szCs w:val="22"/>
        </w:rPr>
      </w:pPr>
      <w:r w:rsidRPr="00E4265B">
        <w:rPr>
          <w:rFonts w:ascii="Arial" w:hAnsi="Arial" w:cs="Arial"/>
          <w:sz w:val="22"/>
          <w:szCs w:val="22"/>
        </w:rPr>
        <w:t>(b)</w:t>
      </w:r>
      <w:r w:rsidRPr="00E4265B">
        <w:rPr>
          <w:rFonts w:ascii="Arial" w:hAnsi="Arial" w:cs="Arial"/>
          <w:sz w:val="22"/>
          <w:szCs w:val="22"/>
        </w:rPr>
        <w:tab/>
        <w:t>US$0.10.</w:t>
      </w:r>
    </w:p>
    <w:p w14:paraId="067D5441" w14:textId="77777777" w:rsidR="002B4B9D" w:rsidRPr="00E4265B" w:rsidRDefault="002B4B9D" w:rsidP="002B4B9D">
      <w:pPr>
        <w:spacing w:after="240" w:line="246" w:lineRule="atLeast"/>
        <w:ind w:left="993" w:hanging="993"/>
        <w:jc w:val="both"/>
        <w:outlineLvl w:val="3"/>
        <w:rPr>
          <w:rFonts w:ascii="Arial" w:eastAsiaTheme="majorEastAsia" w:hAnsi="Arial" w:cs="Arial"/>
          <w:iCs/>
          <w:sz w:val="22"/>
          <w:szCs w:val="22"/>
        </w:rPr>
      </w:pPr>
      <w:r w:rsidRPr="00E4265B">
        <w:rPr>
          <w:rFonts w:ascii="Arial" w:eastAsiaTheme="majorEastAsia" w:hAnsi="Arial" w:cs="Arial"/>
          <w:b/>
          <w:bCs/>
          <w:iCs/>
          <w:sz w:val="22"/>
          <w:szCs w:val="22"/>
        </w:rPr>
        <w:t>6.12A.4</w:t>
      </w:r>
      <w:r w:rsidRPr="00E4265B">
        <w:rPr>
          <w:rFonts w:ascii="Arial" w:eastAsiaTheme="majorEastAsia" w:hAnsi="Arial" w:cs="Arial"/>
          <w:iCs/>
          <w:sz w:val="22"/>
          <w:szCs w:val="22"/>
        </w:rPr>
        <w:tab/>
        <w:t>A Third Party Provider must calculate the value of its remaining professional indemnity insurance coverage by subtracting the value of any unsettled claims made against its professional indemnity insurance from the total value of its professional indemnity insurance coverage.</w:t>
      </w:r>
    </w:p>
    <w:p w14:paraId="1115E5BB" w14:textId="77777777" w:rsidR="002B4B9D" w:rsidRPr="00E4265B" w:rsidRDefault="002B4B9D" w:rsidP="002B4B9D">
      <w:pPr>
        <w:spacing w:after="240" w:line="260" w:lineRule="atLeast"/>
        <w:ind w:left="993"/>
        <w:jc w:val="both"/>
        <w:rPr>
          <w:rFonts w:ascii="Arial" w:eastAsia="Calibri" w:hAnsi="Arial" w:cs="Arial"/>
          <w:b/>
          <w:bCs/>
          <w:sz w:val="22"/>
          <w:szCs w:val="22"/>
        </w:rPr>
      </w:pPr>
      <w:r w:rsidRPr="00E4265B">
        <w:rPr>
          <w:rFonts w:ascii="Arial" w:eastAsia="Calibri" w:hAnsi="Arial" w:cs="Arial"/>
          <w:b/>
          <w:bCs/>
          <w:sz w:val="22"/>
          <w:szCs w:val="22"/>
        </w:rPr>
        <w:t xml:space="preserve">Guidance </w:t>
      </w:r>
    </w:p>
    <w:p w14:paraId="101AFF8B" w14:textId="77777777" w:rsidR="002B4B9D" w:rsidRPr="00E4265B" w:rsidRDefault="002B4B9D" w:rsidP="00C41049">
      <w:pPr>
        <w:pStyle w:val="ListParagraph"/>
        <w:numPr>
          <w:ilvl w:val="0"/>
          <w:numId w:val="106"/>
        </w:numPr>
        <w:spacing w:after="240" w:line="260" w:lineRule="atLeast"/>
        <w:ind w:left="1701" w:hanging="708"/>
        <w:jc w:val="both"/>
        <w:rPr>
          <w:rFonts w:ascii="Arial" w:hAnsi="Arial" w:cs="Arial"/>
          <w:sz w:val="22"/>
          <w:szCs w:val="22"/>
        </w:rPr>
      </w:pPr>
      <w:r w:rsidRPr="00E4265B">
        <w:rPr>
          <w:rFonts w:ascii="Arial" w:hAnsi="Arial" w:cs="Arial"/>
          <w:sz w:val="22"/>
          <w:szCs w:val="22"/>
        </w:rPr>
        <w:t>A Third Party Provider’s risk profile is that of a financial services firm and not of a software development firm, notwithstanding that software is a key component of a Third Party Provider’s business model.</w:t>
      </w:r>
    </w:p>
    <w:p w14:paraId="76CA2B58" w14:textId="77777777" w:rsidR="002B4B9D" w:rsidRPr="00E4265B" w:rsidRDefault="002B4B9D" w:rsidP="002B4B9D">
      <w:pPr>
        <w:pStyle w:val="ListParagraph"/>
        <w:spacing w:after="240" w:line="260" w:lineRule="atLeast"/>
        <w:ind w:left="1701" w:hanging="708"/>
        <w:jc w:val="both"/>
        <w:rPr>
          <w:rFonts w:ascii="Arial" w:hAnsi="Arial" w:cs="Arial"/>
          <w:sz w:val="22"/>
          <w:szCs w:val="22"/>
        </w:rPr>
      </w:pPr>
    </w:p>
    <w:p w14:paraId="44EDC37B" w14:textId="77777777" w:rsidR="002B4B9D" w:rsidRPr="00E4265B" w:rsidRDefault="002B4B9D" w:rsidP="00C41049">
      <w:pPr>
        <w:pStyle w:val="ListParagraph"/>
        <w:numPr>
          <w:ilvl w:val="0"/>
          <w:numId w:val="106"/>
        </w:numPr>
        <w:spacing w:after="240" w:line="260" w:lineRule="atLeast"/>
        <w:ind w:left="1701" w:hanging="708"/>
        <w:jc w:val="both"/>
        <w:rPr>
          <w:rFonts w:ascii="Arial" w:hAnsi="Arial" w:cs="Arial"/>
          <w:sz w:val="22"/>
          <w:szCs w:val="22"/>
        </w:rPr>
      </w:pPr>
      <w:r w:rsidRPr="00E4265B">
        <w:rPr>
          <w:rFonts w:ascii="Arial" w:hAnsi="Arial" w:cs="Arial"/>
          <w:sz w:val="22"/>
          <w:szCs w:val="22"/>
        </w:rPr>
        <w:t>Rule 6.12A.2 requires a Third Party Provider to maintain sufficient professional indemnity insurance coverage to reimburse Customers should operational risk events occur.</w:t>
      </w:r>
    </w:p>
    <w:p w14:paraId="707130E7" w14:textId="77777777" w:rsidR="002B4B9D" w:rsidRPr="00E4265B" w:rsidRDefault="002B4B9D" w:rsidP="002B4B9D">
      <w:pPr>
        <w:pStyle w:val="ListParagraph"/>
        <w:spacing w:after="240" w:line="260" w:lineRule="atLeast"/>
        <w:ind w:left="1701" w:hanging="708"/>
        <w:jc w:val="both"/>
        <w:rPr>
          <w:rFonts w:ascii="Arial" w:hAnsi="Arial" w:cs="Arial"/>
          <w:sz w:val="22"/>
          <w:szCs w:val="22"/>
        </w:rPr>
      </w:pPr>
    </w:p>
    <w:p w14:paraId="416E0B59" w14:textId="77777777" w:rsidR="002B4B9D" w:rsidRPr="00E4265B" w:rsidRDefault="002B4B9D" w:rsidP="00C41049">
      <w:pPr>
        <w:pStyle w:val="ListParagraph"/>
        <w:numPr>
          <w:ilvl w:val="0"/>
          <w:numId w:val="106"/>
        </w:numPr>
        <w:spacing w:after="240" w:line="260" w:lineRule="atLeast"/>
        <w:ind w:left="1701" w:hanging="708"/>
        <w:jc w:val="both"/>
        <w:rPr>
          <w:rFonts w:ascii="Arial" w:hAnsi="Arial" w:cs="Arial"/>
          <w:sz w:val="22"/>
          <w:szCs w:val="22"/>
        </w:rPr>
      </w:pPr>
      <w:r w:rsidRPr="00E4265B">
        <w:rPr>
          <w:rFonts w:ascii="Arial" w:hAnsi="Arial" w:cs="Arial"/>
          <w:sz w:val="22"/>
          <w:szCs w:val="22"/>
        </w:rPr>
        <w:t xml:space="preserve">A Third Party Provider is expected to manage the size and volume of its Third Party Transactions within its remaining professional indemnity insurance cover.  Such management could take place through imposing limits on the number or value of transactions.  </w:t>
      </w:r>
    </w:p>
    <w:p w14:paraId="35B631DF" w14:textId="77777777" w:rsidR="002B4B9D" w:rsidRPr="00E4265B" w:rsidRDefault="002B4B9D" w:rsidP="002B4B9D">
      <w:pPr>
        <w:pStyle w:val="ListParagraph"/>
        <w:spacing w:after="240" w:line="260" w:lineRule="atLeast"/>
        <w:ind w:left="1701" w:hanging="708"/>
        <w:jc w:val="both"/>
        <w:rPr>
          <w:rFonts w:ascii="Arial" w:hAnsi="Arial" w:cs="Arial"/>
          <w:sz w:val="22"/>
          <w:szCs w:val="22"/>
        </w:rPr>
      </w:pPr>
    </w:p>
    <w:p w14:paraId="29A3F801" w14:textId="77777777" w:rsidR="002B4B9D" w:rsidRPr="00E4265B" w:rsidRDefault="002B4B9D" w:rsidP="00C41049">
      <w:pPr>
        <w:pStyle w:val="ListParagraph"/>
        <w:numPr>
          <w:ilvl w:val="0"/>
          <w:numId w:val="106"/>
        </w:numPr>
        <w:spacing w:after="240" w:line="260" w:lineRule="atLeast"/>
        <w:ind w:left="1701" w:hanging="708"/>
        <w:jc w:val="both"/>
        <w:rPr>
          <w:rFonts w:ascii="Arial" w:hAnsi="Arial" w:cs="Arial"/>
          <w:sz w:val="22"/>
          <w:szCs w:val="22"/>
        </w:rPr>
      </w:pPr>
      <w:r w:rsidRPr="00E4265B">
        <w:rPr>
          <w:rFonts w:ascii="Arial" w:hAnsi="Arial" w:cs="Arial"/>
          <w:sz w:val="22"/>
          <w:szCs w:val="22"/>
        </w:rPr>
        <w:t>A Third Party Provider should review the adequacy of its professional indemnity insurance cover periodically to determine whether, based on its projected number or value of transactions, it should increase the value of its professional indemnity insurance coverage.</w:t>
      </w:r>
    </w:p>
    <w:p w14:paraId="588D396F" w14:textId="47AF3EE2" w:rsidR="00E22FF2" w:rsidRPr="00E4265B" w:rsidRDefault="00E22FF2">
      <w:pPr>
        <w:rPr>
          <w:rFonts w:ascii="Arial" w:eastAsiaTheme="majorEastAsia" w:hAnsi="Arial" w:cs="Arial"/>
          <w:b/>
          <w:bCs/>
          <w:caps/>
          <w:sz w:val="22"/>
          <w:szCs w:val="22"/>
          <w:lang w:val="en-GB"/>
        </w:rPr>
      </w:pPr>
      <w:r w:rsidRPr="00E4265B">
        <w:rPr>
          <w:rFonts w:ascii="Arial" w:hAnsi="Arial" w:cs="Arial"/>
          <w:sz w:val="22"/>
          <w:szCs w:val="22"/>
          <w:lang w:val="en-GB"/>
        </w:rPr>
        <w:br w:type="page"/>
      </w:r>
    </w:p>
    <w:p w14:paraId="3CE13031" w14:textId="77777777" w:rsidR="00E22FF2" w:rsidRPr="00E4265B" w:rsidRDefault="00E22FF2" w:rsidP="0079042A">
      <w:pPr>
        <w:pStyle w:val="Heading1"/>
        <w:rPr>
          <w:rFonts w:ascii="Arial" w:hAnsi="Arial" w:cs="Arial"/>
          <w:sz w:val="22"/>
          <w:szCs w:val="22"/>
          <w:lang w:val="en-GB"/>
        </w:rPr>
      </w:pPr>
      <w:bookmarkStart w:id="695" w:name="_Toc404285824"/>
      <w:bookmarkStart w:id="696" w:name="_Toc404621773"/>
      <w:bookmarkStart w:id="697" w:name="_Toc404624414"/>
      <w:bookmarkStart w:id="698" w:name="_Toc33622440"/>
      <w:r w:rsidRPr="00E4265B">
        <w:rPr>
          <w:rFonts w:ascii="Arial" w:hAnsi="Arial" w:cs="Arial"/>
          <w:sz w:val="22"/>
          <w:szCs w:val="22"/>
          <w:lang w:val="en-GB"/>
        </w:rPr>
        <w:lastRenderedPageBreak/>
        <w:t>INTEREST RATE RISK IN THE NON</w:t>
      </w:r>
      <w:r w:rsidRPr="00E4265B">
        <w:rPr>
          <w:rFonts w:ascii="Arial" w:hAnsi="Arial" w:cs="Arial"/>
          <w:sz w:val="22"/>
          <w:szCs w:val="22"/>
          <w:lang w:val="en-GB"/>
        </w:rPr>
        <w:noBreakHyphen/>
        <w:t>TRADING BOOK</w:t>
      </w:r>
      <w:bookmarkEnd w:id="688"/>
      <w:bookmarkEnd w:id="689"/>
      <w:bookmarkEnd w:id="695"/>
      <w:bookmarkEnd w:id="696"/>
      <w:bookmarkEnd w:id="697"/>
      <w:bookmarkEnd w:id="698"/>
    </w:p>
    <w:p w14:paraId="26028B9D" w14:textId="77777777" w:rsidR="00E22FF2" w:rsidRPr="00E4265B" w:rsidRDefault="00E22FF2" w:rsidP="00BA74F7">
      <w:pPr>
        <w:pStyle w:val="TitleL5"/>
        <w:rPr>
          <w:rFonts w:ascii="Arial" w:hAnsi="Arial" w:cs="Arial"/>
          <w:sz w:val="22"/>
          <w:szCs w:val="22"/>
          <w:lang w:val="en-GB"/>
        </w:rPr>
      </w:pPr>
      <w:r w:rsidRPr="00E4265B">
        <w:rPr>
          <w:rFonts w:ascii="Arial" w:hAnsi="Arial" w:cs="Arial"/>
          <w:sz w:val="22"/>
          <w:szCs w:val="22"/>
          <w:lang w:val="en-GB"/>
        </w:rPr>
        <w:t>Introduction</w:t>
      </w:r>
      <w:bookmarkEnd w:id="690"/>
      <w:bookmarkEnd w:id="691"/>
      <w:bookmarkEnd w:id="692"/>
      <w:bookmarkEnd w:id="693"/>
      <w:bookmarkEnd w:id="694"/>
    </w:p>
    <w:p w14:paraId="4AB2C845" w14:textId="77777777" w:rsidR="00E22FF2" w:rsidRPr="00E4265B" w:rsidRDefault="00E22FF2" w:rsidP="0079042A">
      <w:pPr>
        <w:pStyle w:val="TitleL5"/>
        <w:rPr>
          <w:rFonts w:ascii="Arial" w:hAnsi="Arial" w:cs="Arial"/>
          <w:sz w:val="22"/>
          <w:szCs w:val="22"/>
          <w:lang w:val="en-GB"/>
        </w:rPr>
      </w:pPr>
      <w:r w:rsidRPr="00E4265B">
        <w:rPr>
          <w:rFonts w:ascii="Arial" w:hAnsi="Arial" w:cs="Arial"/>
          <w:sz w:val="22"/>
          <w:szCs w:val="22"/>
          <w:lang w:val="en-GB"/>
        </w:rPr>
        <w:t>Guidance</w:t>
      </w:r>
    </w:p>
    <w:p w14:paraId="47B9EEC9" w14:textId="77777777" w:rsidR="00E22FF2" w:rsidRPr="00E4265B" w:rsidRDefault="00E22FF2" w:rsidP="0079042A">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This Chapter relates to interest rate risk in the Non</w:t>
      </w:r>
      <w:r w:rsidRPr="00E4265B">
        <w:rPr>
          <w:rFonts w:ascii="Arial" w:hAnsi="Arial" w:cs="Arial"/>
          <w:sz w:val="22"/>
          <w:szCs w:val="22"/>
          <w:lang w:val="en-GB"/>
        </w:rPr>
        <w:noBreakHyphen/>
        <w:t>Trading Book. In relation to the Trading Book, an Interest Rate Risk Capital Requirement is imposed as a component of the Market Risk Capital Requirement under Chapter 5.</w:t>
      </w:r>
    </w:p>
    <w:p w14:paraId="430A6831" w14:textId="77777777" w:rsidR="00E22FF2" w:rsidRPr="00E4265B" w:rsidRDefault="00E22FF2" w:rsidP="0079042A">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Non</w:t>
      </w:r>
      <w:r w:rsidRPr="00E4265B">
        <w:rPr>
          <w:rFonts w:ascii="Arial" w:hAnsi="Arial" w:cs="Arial"/>
          <w:sz w:val="22"/>
          <w:szCs w:val="22"/>
          <w:lang w:val="en-GB"/>
        </w:rPr>
        <w:noBreakHyphen/>
        <w:t xml:space="preserve">Trading Book interest rate risk is normally a major source of risk for a bank or a firm that deals on its own account (including </w:t>
      </w:r>
      <w:r w:rsidR="00C033FC" w:rsidRPr="00E4265B">
        <w:rPr>
          <w:rFonts w:ascii="Arial" w:hAnsi="Arial" w:cs="Arial"/>
          <w:sz w:val="22"/>
          <w:szCs w:val="22"/>
          <w:lang w:val="en-GB"/>
        </w:rPr>
        <w:t>Underwriting</w:t>
      </w:r>
      <w:r w:rsidRPr="00E4265B">
        <w:rPr>
          <w:rFonts w:ascii="Arial" w:hAnsi="Arial" w:cs="Arial"/>
          <w:sz w:val="22"/>
          <w:szCs w:val="22"/>
          <w:lang w:val="en-GB"/>
        </w:rPr>
        <w:t xml:space="preserve"> on a firm commitment basis) and whose Non</w:t>
      </w:r>
      <w:r w:rsidRPr="00E4265B">
        <w:rPr>
          <w:rFonts w:ascii="Arial" w:hAnsi="Arial" w:cs="Arial"/>
          <w:sz w:val="22"/>
          <w:szCs w:val="22"/>
          <w:lang w:val="en-GB"/>
        </w:rPr>
        <w:noBreakHyphen/>
        <w:t>Trading Book assets equal or exceed 15% of its total assets. Interest rate risk in the Non-Trading Book  may arise from a number of possible sources, such as:</w:t>
      </w:r>
    </w:p>
    <w:p w14:paraId="014BEB1C"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risks related to the 'mismatch' of repricing of assets and liabilities and off balance sheet short and long</w:t>
      </w:r>
      <w:r w:rsidRPr="00E4265B">
        <w:rPr>
          <w:rFonts w:ascii="Arial" w:hAnsi="Arial" w:cs="Arial"/>
          <w:sz w:val="22"/>
          <w:szCs w:val="22"/>
          <w:lang w:val="en-GB"/>
        </w:rPr>
        <w:noBreakHyphen/>
        <w:t>term positions;</w:t>
      </w:r>
    </w:p>
    <w:p w14:paraId="58873357"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risks arising from hedging </w:t>
      </w:r>
      <w:r w:rsidR="005F3B3B" w:rsidRPr="00E4265B">
        <w:rPr>
          <w:rFonts w:ascii="Arial" w:hAnsi="Arial" w:cs="Arial"/>
          <w:sz w:val="22"/>
          <w:szCs w:val="22"/>
          <w:lang w:val="en-GB"/>
        </w:rPr>
        <w:t>Exposure</w:t>
      </w:r>
      <w:r w:rsidRPr="00E4265B">
        <w:rPr>
          <w:rFonts w:ascii="Arial" w:hAnsi="Arial" w:cs="Arial"/>
          <w:sz w:val="22"/>
          <w:szCs w:val="22"/>
          <w:lang w:val="en-GB"/>
        </w:rPr>
        <w:t xml:space="preserve"> to one interest rate with </w:t>
      </w:r>
      <w:r w:rsidR="005F3B3B" w:rsidRPr="00E4265B">
        <w:rPr>
          <w:rFonts w:ascii="Arial" w:hAnsi="Arial" w:cs="Arial"/>
          <w:sz w:val="22"/>
          <w:szCs w:val="22"/>
          <w:lang w:val="en-GB"/>
        </w:rPr>
        <w:t>Exposure</w:t>
      </w:r>
      <w:r w:rsidRPr="00E4265B">
        <w:rPr>
          <w:rFonts w:ascii="Arial" w:hAnsi="Arial" w:cs="Arial"/>
          <w:sz w:val="22"/>
          <w:szCs w:val="22"/>
          <w:lang w:val="en-GB"/>
        </w:rPr>
        <w:t xml:space="preserve"> to a rate which reprices under slightly different conditions;</w:t>
      </w:r>
    </w:p>
    <w:p w14:paraId="55C963DA"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risks related to the uncertainties of occurrence of transactions, for example, when expected future transactions do not equal the actual transactions; and</w:t>
      </w:r>
    </w:p>
    <w:p w14:paraId="2A087FEF"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risks arising from consumers redeeming fixed rate products when market rates change.</w:t>
      </w:r>
    </w:p>
    <w:p w14:paraId="2320B038" w14:textId="77777777" w:rsidR="00E22FF2" w:rsidRPr="00E4265B" w:rsidRDefault="00E22FF2" w:rsidP="00246497">
      <w:pPr>
        <w:pStyle w:val="Heading3"/>
        <w:rPr>
          <w:rFonts w:ascii="Arial" w:hAnsi="Arial" w:cs="Arial"/>
          <w:sz w:val="22"/>
          <w:szCs w:val="22"/>
        </w:rPr>
      </w:pPr>
      <w:bookmarkStart w:id="699" w:name="_Toc403223982"/>
      <w:bookmarkStart w:id="700" w:name="_Toc403254020"/>
      <w:bookmarkStart w:id="701" w:name="_Toc403273420"/>
      <w:bookmarkStart w:id="702" w:name="_Toc403273569"/>
      <w:bookmarkStart w:id="703" w:name="_Toc403274528"/>
      <w:bookmarkStart w:id="704" w:name="_Toc403280024"/>
      <w:bookmarkStart w:id="705" w:name="_Toc404285825"/>
      <w:bookmarkStart w:id="706" w:name="_Toc404621774"/>
      <w:bookmarkStart w:id="707" w:name="_Toc404624415"/>
      <w:bookmarkStart w:id="708" w:name="_Toc33622441"/>
      <w:r w:rsidRPr="00E4265B">
        <w:rPr>
          <w:rFonts w:ascii="Arial" w:hAnsi="Arial" w:cs="Arial"/>
          <w:sz w:val="22"/>
          <w:szCs w:val="22"/>
        </w:rPr>
        <w:t>Application</w:t>
      </w:r>
      <w:bookmarkEnd w:id="699"/>
      <w:bookmarkEnd w:id="700"/>
      <w:bookmarkEnd w:id="701"/>
      <w:bookmarkEnd w:id="702"/>
      <w:bookmarkEnd w:id="703"/>
      <w:bookmarkEnd w:id="704"/>
      <w:bookmarkEnd w:id="705"/>
      <w:bookmarkEnd w:id="706"/>
      <w:bookmarkEnd w:id="707"/>
      <w:bookmarkEnd w:id="708"/>
    </w:p>
    <w:p w14:paraId="38151741"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This Chapter applies to an </w:t>
      </w:r>
      <w:r w:rsidR="000D1A90" w:rsidRPr="00E4265B">
        <w:rPr>
          <w:rFonts w:ascii="Arial" w:hAnsi="Arial" w:cs="Arial"/>
          <w:sz w:val="22"/>
          <w:szCs w:val="22"/>
        </w:rPr>
        <w:t>Authorised Person</w:t>
      </w:r>
      <w:r w:rsidRPr="00E4265B">
        <w:rPr>
          <w:rFonts w:ascii="Arial" w:hAnsi="Arial" w:cs="Arial"/>
          <w:sz w:val="22"/>
          <w:szCs w:val="22"/>
        </w:rPr>
        <w:t xml:space="preserve"> in Category 1 or 2 on a solo basis.</w:t>
      </w:r>
    </w:p>
    <w:p w14:paraId="1C29FA5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Where an </w:t>
      </w:r>
      <w:r w:rsidR="000D1A90" w:rsidRPr="00E4265B">
        <w:rPr>
          <w:rFonts w:ascii="Arial" w:hAnsi="Arial" w:cs="Arial"/>
          <w:sz w:val="22"/>
          <w:szCs w:val="22"/>
        </w:rPr>
        <w:t>Authorised Person</w:t>
      </w:r>
      <w:r w:rsidRPr="00E4265B">
        <w:rPr>
          <w:rFonts w:ascii="Arial" w:hAnsi="Arial" w:cs="Arial"/>
          <w:sz w:val="22"/>
          <w:szCs w:val="22"/>
        </w:rPr>
        <w:t xml:space="preserve"> to which this Chapter applies is part of a Financial Group, this Chapter also applies on a consolidated basis in relation to all the entities within the Financial Group.</w:t>
      </w:r>
    </w:p>
    <w:p w14:paraId="1174F03D" w14:textId="77777777" w:rsidR="00E22FF2" w:rsidRPr="00E4265B" w:rsidRDefault="00E22FF2" w:rsidP="00246497">
      <w:pPr>
        <w:pStyle w:val="Heading3"/>
        <w:rPr>
          <w:rFonts w:ascii="Arial" w:hAnsi="Arial" w:cs="Arial"/>
          <w:sz w:val="22"/>
          <w:szCs w:val="22"/>
        </w:rPr>
      </w:pPr>
      <w:bookmarkStart w:id="709" w:name="_Toc403223983"/>
      <w:bookmarkStart w:id="710" w:name="_Toc403254021"/>
      <w:bookmarkStart w:id="711" w:name="_Toc403273421"/>
      <w:bookmarkStart w:id="712" w:name="_Toc403273570"/>
      <w:bookmarkStart w:id="713" w:name="_Toc403274529"/>
      <w:bookmarkStart w:id="714" w:name="_Toc403280025"/>
      <w:bookmarkStart w:id="715" w:name="_Toc404285826"/>
      <w:bookmarkStart w:id="716" w:name="_Toc404621775"/>
      <w:bookmarkStart w:id="717" w:name="_Toc404624416"/>
      <w:bookmarkStart w:id="718" w:name="_Toc33622442"/>
      <w:r w:rsidRPr="00E4265B">
        <w:rPr>
          <w:rFonts w:ascii="Arial" w:hAnsi="Arial" w:cs="Arial"/>
          <w:sz w:val="22"/>
          <w:szCs w:val="22"/>
        </w:rPr>
        <w:t>Stress testing for Non</w:t>
      </w:r>
      <w:r w:rsidRPr="00E4265B">
        <w:rPr>
          <w:rFonts w:ascii="Arial" w:hAnsi="Arial" w:cs="Arial"/>
          <w:sz w:val="22"/>
          <w:szCs w:val="22"/>
        </w:rPr>
        <w:noBreakHyphen/>
        <w:t>Trading Book interest rate risk</w:t>
      </w:r>
      <w:bookmarkEnd w:id="709"/>
      <w:bookmarkEnd w:id="710"/>
      <w:bookmarkEnd w:id="711"/>
      <w:bookmarkEnd w:id="712"/>
      <w:bookmarkEnd w:id="713"/>
      <w:bookmarkEnd w:id="714"/>
      <w:bookmarkEnd w:id="715"/>
      <w:bookmarkEnd w:id="716"/>
      <w:bookmarkEnd w:id="717"/>
      <w:bookmarkEnd w:id="718"/>
    </w:p>
    <w:p w14:paraId="4E30FC79"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carry out an evaluation of its Exposure to the interest rate risk arising from its Non</w:t>
      </w:r>
      <w:r w:rsidRPr="00E4265B">
        <w:rPr>
          <w:rFonts w:ascii="Arial" w:hAnsi="Arial" w:cs="Arial"/>
          <w:sz w:val="22"/>
          <w:szCs w:val="22"/>
        </w:rPr>
        <w:noBreakHyphen/>
        <w:t xml:space="preserve">Trading Book activities. An </w:t>
      </w:r>
      <w:r w:rsidR="000D1A90" w:rsidRPr="00E4265B">
        <w:rPr>
          <w:rFonts w:ascii="Arial" w:hAnsi="Arial" w:cs="Arial"/>
          <w:sz w:val="22"/>
          <w:szCs w:val="22"/>
        </w:rPr>
        <w:t>Authorised Person</w:t>
      </w:r>
      <w:r w:rsidRPr="00E4265B">
        <w:rPr>
          <w:rFonts w:ascii="Arial" w:hAnsi="Arial" w:cs="Arial"/>
          <w:sz w:val="22"/>
          <w:szCs w:val="22"/>
        </w:rPr>
        <w:t xml:space="preserve"> with balance sheet positions in different currencies must measure its risk Exposures in each of the material currencies.</w:t>
      </w:r>
    </w:p>
    <w:p w14:paraId="48527D28" w14:textId="77777777" w:rsidR="00E22FF2" w:rsidRPr="00E4265B" w:rsidRDefault="00E22FF2" w:rsidP="00864B04">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The evaluation under Rule 7.2.1 must cover the effect of a sudden and unexpected parallel change in interest rates of 200 basis points in both directions.</w:t>
      </w:r>
    </w:p>
    <w:p w14:paraId="1F984126" w14:textId="77777777" w:rsidR="00E22FF2" w:rsidRPr="00E4265B" w:rsidRDefault="00E22FF2" w:rsidP="0079042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apply a 200 basis point shock to each material currency Exposure it faces as part of its Non</w:t>
      </w:r>
      <w:r w:rsidRPr="00E4265B">
        <w:rPr>
          <w:rFonts w:ascii="Arial" w:hAnsi="Arial" w:cs="Arial"/>
          <w:sz w:val="22"/>
          <w:szCs w:val="22"/>
          <w:lang w:val="en-GB"/>
        </w:rPr>
        <w:noBreakHyphen/>
        <w:t>Trading Book.</w:t>
      </w:r>
    </w:p>
    <w:p w14:paraId="2F080B9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immediately notify the Regulator if any evaluation under this Section suggests that, as a result of the change in interest rates described in Rule 7.2.2, the economic value of the firm would decline by more than 20% of its Capital Resources.</w:t>
      </w:r>
    </w:p>
    <w:p w14:paraId="62B0C5CA" w14:textId="77777777" w:rsidR="00E22FF2" w:rsidRPr="00E4265B" w:rsidRDefault="00E22FF2" w:rsidP="0079042A">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32A0C9D9" w14:textId="77777777" w:rsidR="00E22FF2" w:rsidRPr="00E4265B" w:rsidRDefault="00E22FF2" w:rsidP="0079042A">
      <w:pPr>
        <w:pStyle w:val="UK12Block05"/>
        <w:rPr>
          <w:rFonts w:ascii="Arial" w:hAnsi="Arial" w:cs="Arial"/>
          <w:sz w:val="22"/>
          <w:szCs w:val="22"/>
          <w:lang w:val="en-GB"/>
        </w:rPr>
      </w:pPr>
      <w:r w:rsidRPr="00E4265B">
        <w:rPr>
          <w:rFonts w:ascii="Arial" w:hAnsi="Arial" w:cs="Arial"/>
          <w:sz w:val="22"/>
          <w:szCs w:val="22"/>
          <w:lang w:val="en-GB"/>
        </w:rPr>
        <w:t xml:space="preserve">For the purposes of Rule 7.2.1,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each currency accounting for 5% or more of its Non</w:t>
      </w:r>
      <w:r w:rsidRPr="00E4265B">
        <w:rPr>
          <w:rFonts w:ascii="Arial" w:hAnsi="Arial" w:cs="Arial"/>
          <w:sz w:val="22"/>
          <w:szCs w:val="22"/>
          <w:lang w:val="en-GB"/>
        </w:rPr>
        <w:noBreakHyphen/>
        <w:t>Trading Book assets or Non</w:t>
      </w:r>
      <w:r w:rsidRPr="00E4265B">
        <w:rPr>
          <w:rFonts w:ascii="Arial" w:hAnsi="Arial" w:cs="Arial"/>
          <w:sz w:val="22"/>
          <w:szCs w:val="22"/>
          <w:lang w:val="en-GB"/>
        </w:rPr>
        <w:noBreakHyphen/>
        <w:t>Trading Book liabilities as a material currency Exposure.</w:t>
      </w:r>
    </w:p>
    <w:p w14:paraId="5D6C6026" w14:textId="77777777" w:rsidR="00E22FF2" w:rsidRPr="00E4265B" w:rsidRDefault="00E22FF2" w:rsidP="0079042A">
      <w:pPr>
        <w:pStyle w:val="TitleL5"/>
        <w:rPr>
          <w:rFonts w:ascii="Arial" w:hAnsi="Arial" w:cs="Arial"/>
          <w:sz w:val="22"/>
          <w:szCs w:val="22"/>
          <w:lang w:val="en-GB"/>
        </w:rPr>
      </w:pPr>
      <w:r w:rsidRPr="00E4265B">
        <w:rPr>
          <w:rFonts w:ascii="Arial" w:hAnsi="Arial" w:cs="Arial"/>
          <w:sz w:val="22"/>
          <w:szCs w:val="22"/>
          <w:lang w:val="en-GB"/>
        </w:rPr>
        <w:t>Frequency of stress testing</w:t>
      </w:r>
    </w:p>
    <w:p w14:paraId="21B1753D"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carry out the evaluations required by Rule 7.2.1 as frequently as necessary for it to be reasonably satisfied that it has at all times a sufficient understanding of the degree to which it is exposed to the risks referred to in that Rule and the nature of that Exposure. In any case it must carry out those evaluations no less frequently than required by Rule 7.2.6.</w:t>
      </w:r>
    </w:p>
    <w:p w14:paraId="2FEB5A10" w14:textId="77777777" w:rsidR="00E22FF2" w:rsidRPr="00E4265B" w:rsidRDefault="00E22FF2" w:rsidP="00246497">
      <w:pPr>
        <w:pStyle w:val="Heading4"/>
        <w:rPr>
          <w:rFonts w:ascii="Arial" w:hAnsi="Arial" w:cs="Arial"/>
          <w:sz w:val="22"/>
          <w:szCs w:val="22"/>
        </w:rPr>
      </w:pPr>
      <w:r w:rsidRPr="00E4265B">
        <w:rPr>
          <w:rFonts w:ascii="Arial" w:eastAsia="Arial" w:hAnsi="Arial" w:cs="Arial"/>
          <w:b/>
          <w:sz w:val="22"/>
          <w:szCs w:val="22"/>
        </w:rPr>
        <w:t>I</w:t>
      </w:r>
      <w:r w:rsidRPr="00E4265B">
        <w:rPr>
          <w:rFonts w:ascii="Arial" w:hAnsi="Arial" w:cs="Arial"/>
          <w:sz w:val="22"/>
          <w:szCs w:val="22"/>
        </w:rPr>
        <w:t xml:space="preserve">n order to carry out effectively the stress testing requirements specified in Rule 7.2.2, an </w:t>
      </w:r>
      <w:r w:rsidR="000D1A90" w:rsidRPr="00E4265B">
        <w:rPr>
          <w:rFonts w:ascii="Arial" w:hAnsi="Arial" w:cs="Arial"/>
          <w:sz w:val="22"/>
          <w:szCs w:val="22"/>
        </w:rPr>
        <w:t>Authorised Person</w:t>
      </w:r>
      <w:r w:rsidRPr="00E4265B">
        <w:rPr>
          <w:rFonts w:ascii="Arial" w:hAnsi="Arial" w:cs="Arial"/>
          <w:sz w:val="22"/>
          <w:szCs w:val="22"/>
        </w:rPr>
        <w:t xml:space="preserve"> must include appropriate scenarios into its stress testing programmes for measuring its vulnerability to loss arising from the impact of adverse interest rate movements on its Non</w:t>
      </w:r>
      <w:r w:rsidRPr="00E4265B">
        <w:rPr>
          <w:rFonts w:ascii="Arial" w:hAnsi="Arial" w:cs="Arial"/>
          <w:sz w:val="22"/>
          <w:szCs w:val="22"/>
        </w:rPr>
        <w:noBreakHyphen/>
        <w:t>Trading Book structure.</w:t>
      </w:r>
    </w:p>
    <w:p w14:paraId="72EAD46D" w14:textId="77777777" w:rsidR="00E22FF2" w:rsidRPr="00E4265B" w:rsidRDefault="00E22FF2" w:rsidP="00864B04">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Subject to (2), the minimum frequency of the evaluation referred to in Rule 7.2.1 is once each year.</w:t>
      </w:r>
    </w:p>
    <w:p w14:paraId="35E457C7" w14:textId="77777777" w:rsidR="00E22FF2" w:rsidRPr="00E4265B" w:rsidRDefault="00E22FF2" w:rsidP="0079042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minimum frequency of an evaluation of the effect of a sudden and unexpected parallel change in interest rates as referred to in Rule 7.2.2 is once each quarter.</w:t>
      </w:r>
    </w:p>
    <w:p w14:paraId="140842A4" w14:textId="77777777" w:rsidR="00E22FF2" w:rsidRPr="00E4265B" w:rsidRDefault="00E22FF2" w:rsidP="0079042A">
      <w:pPr>
        <w:pStyle w:val="TitleL5"/>
        <w:rPr>
          <w:rFonts w:ascii="Arial" w:hAnsi="Arial" w:cs="Arial"/>
          <w:sz w:val="22"/>
          <w:szCs w:val="22"/>
          <w:lang w:val="en-GB"/>
        </w:rPr>
      </w:pPr>
      <w:r w:rsidRPr="00E4265B">
        <w:rPr>
          <w:rFonts w:ascii="Arial" w:hAnsi="Arial" w:cs="Arial"/>
          <w:sz w:val="22"/>
          <w:szCs w:val="22"/>
          <w:lang w:val="en-GB"/>
        </w:rPr>
        <w:t>Guidance</w:t>
      </w:r>
    </w:p>
    <w:p w14:paraId="1BF13CC9" w14:textId="77777777" w:rsidR="00E22FF2" w:rsidRPr="00E4265B" w:rsidRDefault="00E22FF2" w:rsidP="0079042A">
      <w:pPr>
        <w:pStyle w:val="UK12Block05"/>
        <w:rPr>
          <w:rFonts w:ascii="Arial" w:hAnsi="Arial" w:cs="Arial"/>
          <w:sz w:val="22"/>
          <w:szCs w:val="22"/>
          <w:lang w:val="en-GB"/>
        </w:rPr>
      </w:pPr>
      <w:r w:rsidRPr="00E4265B">
        <w:rPr>
          <w:rFonts w:ascii="Arial" w:hAnsi="Arial" w:cs="Arial"/>
          <w:sz w:val="22"/>
          <w:szCs w:val="22"/>
          <w:lang w:val="en-GB"/>
        </w:rPr>
        <w:t xml:space="preserve">For the purposes of Rule 7.2.6,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the standards for stress testing recommended in the paper published by the BCBS – Principles for management and supervision of interest rate risk – in July 2004. In particular,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include the technical specifications of a standardised interest rate shock detailed in Annex 3 of that paper as part of its systems for measurement of interest rate risk in the Non</w:t>
      </w:r>
      <w:r w:rsidRPr="00E4265B">
        <w:rPr>
          <w:rFonts w:ascii="Arial" w:hAnsi="Arial" w:cs="Arial"/>
          <w:sz w:val="22"/>
          <w:szCs w:val="22"/>
          <w:lang w:val="en-GB"/>
        </w:rPr>
        <w:noBreakHyphen/>
        <w:t>Trading Book.</w:t>
      </w:r>
    </w:p>
    <w:p w14:paraId="10B5AF22" w14:textId="77777777" w:rsidR="00E22FF2" w:rsidRPr="00E4265B" w:rsidRDefault="00E22FF2" w:rsidP="00246497">
      <w:pPr>
        <w:pStyle w:val="Heading3"/>
        <w:rPr>
          <w:rFonts w:ascii="Arial" w:hAnsi="Arial" w:cs="Arial"/>
          <w:sz w:val="22"/>
          <w:szCs w:val="22"/>
        </w:rPr>
      </w:pPr>
      <w:bookmarkStart w:id="719" w:name="_Toc403223984"/>
      <w:bookmarkStart w:id="720" w:name="_Toc403254022"/>
      <w:bookmarkStart w:id="721" w:name="_Toc403273422"/>
      <w:bookmarkStart w:id="722" w:name="_Toc403273571"/>
      <w:bookmarkStart w:id="723" w:name="_Toc403274530"/>
      <w:bookmarkStart w:id="724" w:name="_Toc403280026"/>
      <w:bookmarkStart w:id="725" w:name="_Toc404285827"/>
      <w:bookmarkStart w:id="726" w:name="_Toc404621776"/>
      <w:bookmarkStart w:id="727" w:name="_Toc404624417"/>
      <w:bookmarkStart w:id="728" w:name="_Toc33622443"/>
      <w:r w:rsidRPr="00E4265B">
        <w:rPr>
          <w:rFonts w:ascii="Arial" w:hAnsi="Arial" w:cs="Arial"/>
          <w:sz w:val="22"/>
          <w:szCs w:val="22"/>
        </w:rPr>
        <w:t>Non</w:t>
      </w:r>
      <w:r w:rsidRPr="00E4265B">
        <w:rPr>
          <w:rFonts w:ascii="Arial" w:hAnsi="Arial" w:cs="Arial"/>
          <w:sz w:val="22"/>
          <w:szCs w:val="22"/>
        </w:rPr>
        <w:noBreakHyphen/>
        <w:t>Trading Book interest rate risk under Chapter 10</w:t>
      </w:r>
      <w:bookmarkEnd w:id="719"/>
      <w:bookmarkEnd w:id="720"/>
      <w:bookmarkEnd w:id="721"/>
      <w:bookmarkEnd w:id="722"/>
      <w:bookmarkEnd w:id="723"/>
      <w:bookmarkEnd w:id="724"/>
      <w:bookmarkEnd w:id="725"/>
      <w:bookmarkEnd w:id="726"/>
      <w:bookmarkEnd w:id="727"/>
      <w:bookmarkEnd w:id="728"/>
    </w:p>
    <w:p w14:paraId="250C631A"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In order to meet effectively the obligations specified under Chapter 10 of these Rules, which includes the need to address Non</w:t>
      </w:r>
      <w:r w:rsidRPr="00E4265B">
        <w:rPr>
          <w:rFonts w:ascii="Arial" w:hAnsi="Arial" w:cs="Arial"/>
          <w:sz w:val="22"/>
          <w:szCs w:val="22"/>
        </w:rPr>
        <w:noBreakHyphen/>
        <w:t xml:space="preserve">Trading Book interest rate risk, an </w:t>
      </w:r>
      <w:r w:rsidR="000D1A90" w:rsidRPr="00E4265B">
        <w:rPr>
          <w:rFonts w:ascii="Arial" w:hAnsi="Arial" w:cs="Arial"/>
          <w:sz w:val="22"/>
          <w:szCs w:val="22"/>
        </w:rPr>
        <w:t>Authorised Person</w:t>
      </w:r>
      <w:r w:rsidRPr="00E4265B">
        <w:rPr>
          <w:rFonts w:ascii="Arial" w:hAnsi="Arial" w:cs="Arial"/>
          <w:sz w:val="22"/>
          <w:szCs w:val="22"/>
        </w:rPr>
        <w:t xml:space="preserve"> is required to make a written record of its assessments made under Rules specified in Chapter 10.</w:t>
      </w:r>
    </w:p>
    <w:p w14:paraId="67429550" w14:textId="77777777" w:rsidR="00E22FF2" w:rsidRPr="00E4265B" w:rsidRDefault="00E22FF2" w:rsidP="0079042A">
      <w:pPr>
        <w:pStyle w:val="TitleL5"/>
        <w:rPr>
          <w:rFonts w:ascii="Arial" w:hAnsi="Arial" w:cs="Arial"/>
          <w:sz w:val="22"/>
          <w:szCs w:val="22"/>
          <w:lang w:val="en-GB"/>
        </w:rPr>
      </w:pPr>
      <w:r w:rsidRPr="00E4265B">
        <w:rPr>
          <w:rFonts w:ascii="Arial" w:hAnsi="Arial" w:cs="Arial"/>
          <w:sz w:val="22"/>
          <w:szCs w:val="22"/>
          <w:lang w:val="en-GB"/>
        </w:rPr>
        <w:t>Guidance</w:t>
      </w:r>
    </w:p>
    <w:p w14:paraId="00671919" w14:textId="77777777" w:rsidR="00E22FF2" w:rsidRPr="00E4265B" w:rsidRDefault="00E22FF2" w:rsidP="003D4C5D">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This Chapter 7 does not impose an explicit Capital Requirement relating to interest rate risk. Rather, the Regulator may impose an Individual Capital Requirement (ICR) under Chapter 10 where it is of the view that the </w:t>
      </w:r>
      <w:r w:rsidR="000D1A90" w:rsidRPr="00E4265B">
        <w:rPr>
          <w:rFonts w:ascii="Arial" w:hAnsi="Arial" w:cs="Arial"/>
          <w:sz w:val="22"/>
          <w:szCs w:val="22"/>
          <w:lang w:val="en-GB"/>
        </w:rPr>
        <w:t>Authorised Person</w:t>
      </w:r>
      <w:r w:rsidRPr="00E4265B">
        <w:rPr>
          <w:rFonts w:ascii="Arial" w:hAnsi="Arial" w:cs="Arial"/>
          <w:sz w:val="22"/>
          <w:szCs w:val="22"/>
          <w:lang w:val="en-GB"/>
        </w:rPr>
        <w:t>'s Capital Requirement is insufficient to address adequately all its risks, and in particular its Exposure to interest rate risk in the Non-Trading Book .</w:t>
      </w:r>
    </w:p>
    <w:p w14:paraId="0E3A914D" w14:textId="77777777" w:rsidR="00E22FF2" w:rsidRPr="00E4265B" w:rsidRDefault="00E22FF2" w:rsidP="003D4C5D">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Sections 10.3 and 10.4 of Chapter 10 require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submit IRAP and ICAAP assessments to the Regulator within four months of the end of the firm's financial year. The provisions also require the firm to ensure the assessments are documented in writing and to retain the records for at least six years.</w:t>
      </w:r>
    </w:p>
    <w:p w14:paraId="77E4F9CF" w14:textId="77777777" w:rsidR="00E22FF2" w:rsidRPr="00E4265B" w:rsidRDefault="00E22FF2" w:rsidP="006957A1">
      <w:pPr>
        <w:pStyle w:val="1List0"/>
        <w:rPr>
          <w:rFonts w:ascii="Arial" w:hAnsi="Arial" w:cs="Arial"/>
          <w:sz w:val="22"/>
          <w:szCs w:val="22"/>
          <w:lang w:val="en-GB"/>
        </w:rPr>
      </w:pPr>
      <w:r w:rsidRPr="00E4265B">
        <w:rPr>
          <w:rFonts w:ascii="Arial" w:hAnsi="Arial" w:cs="Arial"/>
          <w:sz w:val="22"/>
          <w:szCs w:val="22"/>
          <w:lang w:val="en-GB"/>
        </w:rPr>
        <w:lastRenderedPageBreak/>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's record of its approach to evaluating and managing interest rate risk in its Non</w:t>
      </w:r>
      <w:r w:rsidRPr="00E4265B">
        <w:rPr>
          <w:rFonts w:ascii="Arial" w:hAnsi="Arial" w:cs="Arial"/>
          <w:sz w:val="22"/>
          <w:szCs w:val="22"/>
          <w:lang w:val="en-GB"/>
        </w:rPr>
        <w:noBreakHyphen/>
        <w:t>Trading Book, as part of its ICAAP should cover the following issues:</w:t>
      </w:r>
    </w:p>
    <w:p w14:paraId="2650634F"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internal definition of, and boundary between, "Non</w:t>
      </w:r>
      <w:r w:rsidRPr="00E4265B">
        <w:rPr>
          <w:rFonts w:ascii="Arial" w:hAnsi="Arial" w:cs="Arial"/>
          <w:sz w:val="22"/>
          <w:szCs w:val="22"/>
          <w:lang w:val="en-GB"/>
        </w:rPr>
        <w:noBreakHyphen/>
        <w:t>Trading Book " and "trading activities" in accordance with Chapter 2 and App2;</w:t>
      </w:r>
    </w:p>
    <w:p w14:paraId="74FE82F8"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definition of economic value and its consistency with the method used to value assets and liabilities (e.g. discounted cashflows);</w:t>
      </w:r>
    </w:p>
    <w:p w14:paraId="62F369EA"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size and the form of the different shocks to be used for internal calculations;</w:t>
      </w:r>
    </w:p>
    <w:p w14:paraId="2F331FBC"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the use of a dynamic and / or static approach in the application of interest rate shocks;</w:t>
      </w:r>
    </w:p>
    <w:p w14:paraId="57552E16"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the treatment of commonly called "pipeline transactions" (including any related hedging);</w:t>
      </w:r>
    </w:p>
    <w:p w14:paraId="79D5E412"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the aggregation of multi</w:t>
      </w:r>
      <w:r w:rsidRPr="00E4265B">
        <w:rPr>
          <w:rFonts w:ascii="Arial" w:hAnsi="Arial" w:cs="Arial"/>
          <w:sz w:val="22"/>
          <w:szCs w:val="22"/>
          <w:lang w:val="en-GB"/>
        </w:rPr>
        <w:noBreakHyphen/>
        <w:t>currency interest rate Exposures;</w:t>
      </w:r>
    </w:p>
    <w:p w14:paraId="1D9B7DD4"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the inclusion (or not) of non</w:t>
      </w:r>
      <w:r w:rsidRPr="00E4265B">
        <w:rPr>
          <w:rFonts w:ascii="Arial" w:hAnsi="Arial" w:cs="Arial"/>
          <w:sz w:val="22"/>
          <w:szCs w:val="22"/>
          <w:lang w:val="en-GB"/>
        </w:rPr>
        <w:noBreakHyphen/>
        <w:t>interest bearing assets and liabilities (including capital and reserves);</w:t>
      </w:r>
    </w:p>
    <w:p w14:paraId="7136E815"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h.</w:t>
      </w:r>
      <w:r w:rsidRPr="00E4265B">
        <w:rPr>
          <w:rFonts w:ascii="Arial" w:hAnsi="Arial" w:cs="Arial"/>
          <w:sz w:val="22"/>
          <w:szCs w:val="22"/>
          <w:lang w:val="en-GB"/>
        </w:rPr>
        <w:tab/>
        <w:t>the treatment of current and savings accounts (i.e. the maturity attached to Exposures without a contractual maturity);</w:t>
      </w:r>
    </w:p>
    <w:p w14:paraId="62726510"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 treatment of fixed rate assets (liabilities) where customers still have a right to repay (withdraw) early;</w:t>
      </w:r>
    </w:p>
    <w:p w14:paraId="599C0555"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j.</w:t>
      </w:r>
      <w:r w:rsidRPr="00E4265B">
        <w:rPr>
          <w:rFonts w:ascii="Arial" w:hAnsi="Arial" w:cs="Arial"/>
          <w:sz w:val="22"/>
          <w:szCs w:val="22"/>
          <w:lang w:val="en-GB"/>
        </w:rPr>
        <w:tab/>
        <w:t>the extent to which sensitivities to small shocks can be scaled up on a linear basis without material loss of accuracy (i.e. covering both convexity generally and the non-linearity of pay</w:t>
      </w:r>
      <w:r w:rsidRPr="00E4265B">
        <w:rPr>
          <w:rFonts w:ascii="Arial" w:hAnsi="Arial" w:cs="Arial"/>
          <w:sz w:val="22"/>
          <w:szCs w:val="22"/>
          <w:lang w:val="en-GB"/>
        </w:rPr>
        <w:noBreakHyphen/>
        <w:t xml:space="preserve">off associated with explicit </w:t>
      </w:r>
      <w:r w:rsidR="00BC49E0" w:rsidRPr="00E4265B">
        <w:rPr>
          <w:rFonts w:ascii="Arial" w:hAnsi="Arial" w:cs="Arial"/>
          <w:sz w:val="22"/>
          <w:szCs w:val="22"/>
          <w:lang w:val="en-GB"/>
        </w:rPr>
        <w:t>Option</w:t>
      </w:r>
      <w:r w:rsidRPr="00E4265B">
        <w:rPr>
          <w:rFonts w:ascii="Arial" w:hAnsi="Arial" w:cs="Arial"/>
          <w:sz w:val="22"/>
          <w:szCs w:val="22"/>
          <w:lang w:val="en-GB"/>
        </w:rPr>
        <w:t xml:space="preserve"> products);</w:t>
      </w:r>
    </w:p>
    <w:p w14:paraId="518564A5"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k.</w:t>
      </w:r>
      <w:r w:rsidRPr="00E4265B">
        <w:rPr>
          <w:rFonts w:ascii="Arial" w:hAnsi="Arial" w:cs="Arial"/>
          <w:sz w:val="22"/>
          <w:szCs w:val="22"/>
          <w:lang w:val="en-GB"/>
        </w:rPr>
        <w:tab/>
        <w:t>the degree of granularity employed (for example, offsets within a time bucket); and</w:t>
      </w:r>
    </w:p>
    <w:p w14:paraId="0572F4D2"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l.</w:t>
      </w:r>
      <w:r w:rsidRPr="00E4265B">
        <w:rPr>
          <w:rFonts w:ascii="Arial" w:hAnsi="Arial" w:cs="Arial"/>
          <w:sz w:val="22"/>
          <w:szCs w:val="22"/>
          <w:lang w:val="en-GB"/>
        </w:rPr>
        <w:tab/>
        <w:t>whether all future cash flows or only principal balances are included.</w:t>
      </w:r>
    </w:p>
    <w:p w14:paraId="2626DED4" w14:textId="77777777" w:rsidR="00E22FF2" w:rsidRPr="00E4265B" w:rsidRDefault="00E22FF2" w:rsidP="00246497">
      <w:pPr>
        <w:pStyle w:val="Heading3"/>
        <w:rPr>
          <w:rFonts w:ascii="Arial" w:hAnsi="Arial" w:cs="Arial"/>
          <w:sz w:val="22"/>
          <w:szCs w:val="22"/>
        </w:rPr>
      </w:pPr>
      <w:bookmarkStart w:id="729" w:name="_Toc403280027"/>
      <w:bookmarkStart w:id="730" w:name="_Toc404285828"/>
      <w:bookmarkStart w:id="731" w:name="_Toc404621777"/>
      <w:bookmarkStart w:id="732" w:name="_Toc404624418"/>
      <w:bookmarkStart w:id="733" w:name="_Toc33622444"/>
      <w:bookmarkStart w:id="734" w:name="_Toc403223985"/>
      <w:bookmarkStart w:id="735" w:name="_Toc403254023"/>
      <w:bookmarkStart w:id="736" w:name="_Toc403273423"/>
      <w:bookmarkStart w:id="737" w:name="_Toc403273572"/>
      <w:bookmarkStart w:id="738" w:name="_Toc403274531"/>
      <w:r w:rsidRPr="00E4265B">
        <w:rPr>
          <w:rFonts w:ascii="Arial" w:hAnsi="Arial" w:cs="Arial"/>
          <w:sz w:val="22"/>
          <w:szCs w:val="22"/>
        </w:rPr>
        <w:t>Systems and controls for Non</w:t>
      </w:r>
      <w:r w:rsidRPr="00E4265B">
        <w:rPr>
          <w:rFonts w:ascii="Arial" w:hAnsi="Arial" w:cs="Arial"/>
          <w:sz w:val="22"/>
          <w:szCs w:val="22"/>
        </w:rPr>
        <w:noBreakHyphen/>
        <w:t>Trading Book interest rate risk</w:t>
      </w:r>
      <w:bookmarkEnd w:id="729"/>
      <w:bookmarkEnd w:id="730"/>
      <w:bookmarkEnd w:id="731"/>
      <w:bookmarkEnd w:id="732"/>
      <w:bookmarkEnd w:id="733"/>
      <w:r w:rsidRPr="00E4265B">
        <w:rPr>
          <w:rFonts w:ascii="Arial" w:hAnsi="Arial" w:cs="Arial"/>
          <w:sz w:val="22"/>
          <w:szCs w:val="22"/>
        </w:rPr>
        <w:t xml:space="preserve"> </w:t>
      </w:r>
    </w:p>
    <w:p w14:paraId="3C3F29E2" w14:textId="77777777" w:rsidR="00E22FF2" w:rsidRPr="00E4265B" w:rsidRDefault="00E22FF2" w:rsidP="00ED7CE1">
      <w:pPr>
        <w:pStyle w:val="TitleL5"/>
        <w:rPr>
          <w:rFonts w:ascii="Arial" w:hAnsi="Arial" w:cs="Arial"/>
          <w:sz w:val="22"/>
          <w:szCs w:val="22"/>
          <w:lang w:val="en-GB"/>
        </w:rPr>
      </w:pPr>
      <w:r w:rsidRPr="00E4265B">
        <w:rPr>
          <w:rFonts w:ascii="Arial" w:hAnsi="Arial" w:cs="Arial"/>
          <w:sz w:val="22"/>
          <w:szCs w:val="22"/>
          <w:lang w:val="en-GB"/>
        </w:rPr>
        <w:t>Non</w:t>
      </w:r>
      <w:r w:rsidRPr="00E4265B">
        <w:rPr>
          <w:rFonts w:ascii="Arial" w:hAnsi="Arial" w:cs="Arial"/>
          <w:sz w:val="22"/>
          <w:szCs w:val="22"/>
          <w:lang w:val="en-GB"/>
        </w:rPr>
        <w:noBreakHyphen/>
        <w:t>Trading Book interest rate risk policy</w:t>
      </w:r>
      <w:bookmarkEnd w:id="734"/>
      <w:bookmarkEnd w:id="735"/>
      <w:bookmarkEnd w:id="736"/>
      <w:bookmarkEnd w:id="737"/>
      <w:bookmarkEnd w:id="738"/>
    </w:p>
    <w:p w14:paraId="5E3685C9" w14:textId="77777777" w:rsidR="00E22FF2" w:rsidRPr="00E4265B" w:rsidRDefault="00E22FF2" w:rsidP="00864B04">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implement and maintain a policy which enables it to identify, assess, control and monitor its Non</w:t>
      </w:r>
      <w:r w:rsidRPr="00E4265B">
        <w:rPr>
          <w:rFonts w:ascii="Arial" w:hAnsi="Arial" w:cs="Arial"/>
          <w:sz w:val="22"/>
          <w:szCs w:val="22"/>
        </w:rPr>
        <w:noBreakHyphen/>
        <w:t>Trading Book interest rate risk.</w:t>
      </w:r>
    </w:p>
    <w:p w14:paraId="6CB7632F" w14:textId="77777777" w:rsidR="00E22FF2" w:rsidRPr="00E4265B" w:rsidRDefault="00E22FF2" w:rsidP="006957A1">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policy must be documented and include an appropriate interest rate risk strategy as well as an enterprise</w:t>
      </w:r>
      <w:r w:rsidRPr="00E4265B">
        <w:rPr>
          <w:rFonts w:ascii="Arial" w:hAnsi="Arial" w:cs="Arial"/>
          <w:sz w:val="22"/>
          <w:szCs w:val="22"/>
          <w:lang w:val="en-GB"/>
        </w:rPr>
        <w:noBreakHyphen/>
        <w:t>wide interest rate risk management framework appropriate to the nature, scale and complexity of its Non-Trading Book  activities. The strategy and management framework must:</w:t>
      </w:r>
    </w:p>
    <w:p w14:paraId="5264E2E1"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enable the Governing Body and senior management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have an enterprise</w:t>
      </w:r>
      <w:r w:rsidRPr="00E4265B">
        <w:rPr>
          <w:rFonts w:ascii="Arial" w:hAnsi="Arial" w:cs="Arial"/>
          <w:sz w:val="22"/>
          <w:szCs w:val="22"/>
          <w:lang w:val="en-GB"/>
        </w:rPr>
        <w:noBreakHyphen/>
        <w:t>wide view of interest rate risk as it applies to non</w:t>
      </w:r>
      <w:r w:rsidRPr="00E4265B">
        <w:rPr>
          <w:rFonts w:ascii="Arial" w:hAnsi="Arial" w:cs="Arial"/>
          <w:sz w:val="22"/>
          <w:szCs w:val="22"/>
          <w:lang w:val="en-GB"/>
        </w:rPr>
        <w:noBreakHyphen/>
        <w:t>trading activities;</w:t>
      </w:r>
    </w:p>
    <w:p w14:paraId="0360C5A8"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lastRenderedPageBreak/>
        <w:t>(b)</w:t>
      </w:r>
      <w:r w:rsidRPr="00E4265B">
        <w:rPr>
          <w:rFonts w:ascii="Arial" w:hAnsi="Arial" w:cs="Arial"/>
          <w:sz w:val="22"/>
          <w:szCs w:val="22"/>
          <w:lang w:val="en-GB"/>
        </w:rPr>
        <w:tab/>
        <w:t>include a system for identifying and assessing Non</w:t>
      </w:r>
      <w:r w:rsidRPr="00E4265B">
        <w:rPr>
          <w:rFonts w:ascii="Arial" w:hAnsi="Arial" w:cs="Arial"/>
          <w:sz w:val="22"/>
          <w:szCs w:val="22"/>
          <w:lang w:val="en-GB"/>
        </w:rPr>
        <w:noBreakHyphen/>
        <w:t>Trading Book interest rate risk and its sources;</w:t>
      </w:r>
    </w:p>
    <w:p w14:paraId="328B716F"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include a process for the measurement and monitoring of Non-Trading Book  interest rate risk, using robust and consistent methods which enable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implement the requirements set out in Rules 7.2.1 to 7.2.6; and</w:t>
      </w:r>
    </w:p>
    <w:p w14:paraId="2A8B7A08"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include a system for controlling and managing Non</w:t>
      </w:r>
      <w:r w:rsidRPr="00E4265B">
        <w:rPr>
          <w:rFonts w:ascii="Arial" w:hAnsi="Arial" w:cs="Arial"/>
          <w:sz w:val="22"/>
          <w:szCs w:val="22"/>
          <w:lang w:val="en-GB"/>
        </w:rPr>
        <w:noBreakHyphen/>
        <w:t xml:space="preserve">Trading Book interest rate risk which enables it to comply with the overall risk management standards expected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ensure continued compliance with these Rules.</w:t>
      </w:r>
    </w:p>
    <w:p w14:paraId="43D53C0E" w14:textId="77777777" w:rsidR="00E22FF2" w:rsidRPr="00E4265B" w:rsidRDefault="00E22FF2" w:rsidP="006957A1">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identify the Non</w:t>
      </w:r>
      <w:r w:rsidRPr="00E4265B">
        <w:rPr>
          <w:rFonts w:ascii="Arial" w:hAnsi="Arial" w:cs="Arial"/>
          <w:sz w:val="22"/>
          <w:szCs w:val="22"/>
          <w:lang w:val="en-GB"/>
        </w:rPr>
        <w:noBreakHyphen/>
        <w:t>Trading Book interest rate risk impact of any new product, activity or service that it proposes to start and ensure that such impacts are duly addressed with adequate controls before the new product or activity is undertaken or introduced.</w:t>
      </w:r>
    </w:p>
    <w:p w14:paraId="666DB2EF" w14:textId="77777777" w:rsidR="00E22FF2" w:rsidRPr="00E4265B" w:rsidRDefault="00E22FF2" w:rsidP="006957A1">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w:t>
      </w:r>
    </w:p>
    <w:p w14:paraId="19767077"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ensure that its risk management systems enable it to implement the Non</w:t>
      </w:r>
      <w:r w:rsidRPr="00E4265B">
        <w:rPr>
          <w:rFonts w:ascii="Arial" w:hAnsi="Arial" w:cs="Arial"/>
          <w:sz w:val="22"/>
          <w:szCs w:val="22"/>
          <w:lang w:val="en-GB"/>
        </w:rPr>
        <w:noBreakHyphen/>
        <w:t>Trading Book interest rate risk policy;</w:t>
      </w:r>
    </w:p>
    <w:p w14:paraId="6FC53F72"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identify, assess, mitigate, control and monitor the risk; and</w:t>
      </w:r>
    </w:p>
    <w:p w14:paraId="7D1FFDC8"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review and update the policy at intervals that are appropriate to the nature, scale and complexity of its activities.</w:t>
      </w:r>
    </w:p>
    <w:p w14:paraId="4F57EE25" w14:textId="77777777" w:rsidR="00E22FF2" w:rsidRPr="00E4265B" w:rsidRDefault="00E22FF2" w:rsidP="006957A1">
      <w:pPr>
        <w:pStyle w:val="TitleL5"/>
        <w:rPr>
          <w:rFonts w:ascii="Arial" w:hAnsi="Arial" w:cs="Arial"/>
          <w:sz w:val="22"/>
          <w:szCs w:val="22"/>
          <w:lang w:val="en-GB"/>
        </w:rPr>
      </w:pPr>
      <w:r w:rsidRPr="00E4265B">
        <w:rPr>
          <w:rFonts w:ascii="Arial" w:hAnsi="Arial" w:cs="Arial"/>
          <w:sz w:val="22"/>
          <w:szCs w:val="22"/>
          <w:lang w:val="en-GB"/>
        </w:rPr>
        <w:t>Guidance</w:t>
      </w:r>
    </w:p>
    <w:p w14:paraId="7B57F175" w14:textId="77777777" w:rsidR="00E22FF2" w:rsidRPr="00E4265B" w:rsidRDefault="00E22FF2" w:rsidP="003D4C5D">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The Regulator expects that an </w:t>
      </w:r>
      <w:r w:rsidR="000D1A90" w:rsidRPr="00E4265B">
        <w:rPr>
          <w:rFonts w:ascii="Arial" w:hAnsi="Arial" w:cs="Arial"/>
          <w:sz w:val="22"/>
          <w:szCs w:val="22"/>
          <w:lang w:val="en-GB"/>
        </w:rPr>
        <w:t>Authorised Person</w:t>
      </w:r>
      <w:r w:rsidRPr="00E4265B">
        <w:rPr>
          <w:rFonts w:ascii="Arial" w:hAnsi="Arial" w:cs="Arial"/>
          <w:sz w:val="22"/>
          <w:szCs w:val="22"/>
          <w:lang w:val="en-GB"/>
        </w:rPr>
        <w:t>'s strategy towards Non</w:t>
      </w:r>
      <w:r w:rsidRPr="00E4265B">
        <w:rPr>
          <w:rFonts w:ascii="Arial" w:hAnsi="Arial" w:cs="Arial"/>
          <w:sz w:val="22"/>
          <w:szCs w:val="22"/>
          <w:lang w:val="en-GB"/>
        </w:rPr>
        <w:noBreakHyphen/>
        <w:t xml:space="preserve">Trading Book interest rate risk will set out the approach that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will take towards management of the risk, including various quantitative and qualitative targets. It should be communicated to all relevant functions and staff within the organisation and be set out in the </w:t>
      </w:r>
      <w:r w:rsidR="000D1A90" w:rsidRPr="00E4265B">
        <w:rPr>
          <w:rFonts w:ascii="Arial" w:hAnsi="Arial" w:cs="Arial"/>
          <w:sz w:val="22"/>
          <w:szCs w:val="22"/>
          <w:lang w:val="en-GB"/>
        </w:rPr>
        <w:t>Authorised Person</w:t>
      </w:r>
      <w:r w:rsidRPr="00E4265B">
        <w:rPr>
          <w:rFonts w:ascii="Arial" w:hAnsi="Arial" w:cs="Arial"/>
          <w:sz w:val="22"/>
          <w:szCs w:val="22"/>
          <w:lang w:val="en-GB"/>
        </w:rPr>
        <w:t>'s Non</w:t>
      </w:r>
      <w:r w:rsidRPr="00E4265B">
        <w:rPr>
          <w:rFonts w:ascii="Arial" w:hAnsi="Arial" w:cs="Arial"/>
          <w:sz w:val="22"/>
          <w:szCs w:val="22"/>
          <w:lang w:val="en-GB"/>
        </w:rPr>
        <w:noBreakHyphen/>
        <w:t>Trading Book interest rate risk policy.</w:t>
      </w:r>
    </w:p>
    <w:p w14:paraId="77D7048B" w14:textId="77777777" w:rsidR="00E22FF2" w:rsidRPr="00E4265B" w:rsidRDefault="00E22FF2" w:rsidP="003D4C5D">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Regulator expects that an </w:t>
      </w:r>
      <w:r w:rsidR="000D1A90" w:rsidRPr="00E4265B">
        <w:rPr>
          <w:rFonts w:ascii="Arial" w:hAnsi="Arial" w:cs="Arial"/>
          <w:sz w:val="22"/>
          <w:szCs w:val="22"/>
          <w:lang w:val="en-GB"/>
        </w:rPr>
        <w:t>Authorised Person</w:t>
      </w:r>
      <w:r w:rsidRPr="00E4265B">
        <w:rPr>
          <w:rFonts w:ascii="Arial" w:hAnsi="Arial" w:cs="Arial"/>
          <w:sz w:val="22"/>
          <w:szCs w:val="22"/>
          <w:lang w:val="en-GB"/>
        </w:rPr>
        <w:t>'s framework for managing Non</w:t>
      </w:r>
      <w:r w:rsidRPr="00E4265B">
        <w:rPr>
          <w:rFonts w:ascii="Arial" w:hAnsi="Arial" w:cs="Arial"/>
          <w:sz w:val="22"/>
          <w:szCs w:val="22"/>
          <w:lang w:val="en-GB"/>
        </w:rPr>
        <w:noBreakHyphen/>
        <w:t>Trading Book interest rate risk will address the following:</w:t>
      </w:r>
    </w:p>
    <w:p w14:paraId="0ED65032"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Non</w:t>
      </w:r>
      <w:r w:rsidRPr="00E4265B">
        <w:rPr>
          <w:rFonts w:ascii="Arial" w:hAnsi="Arial" w:cs="Arial"/>
          <w:sz w:val="22"/>
          <w:szCs w:val="22"/>
          <w:lang w:val="en-GB"/>
        </w:rPr>
        <w:noBreakHyphen/>
        <w:t xml:space="preserve">Trading Book interest rate risk management framework should be integrated into the </w:t>
      </w:r>
      <w:r w:rsidR="000D1A90" w:rsidRPr="00E4265B">
        <w:rPr>
          <w:rFonts w:ascii="Arial" w:hAnsi="Arial" w:cs="Arial"/>
          <w:sz w:val="22"/>
          <w:szCs w:val="22"/>
          <w:lang w:val="en-GB"/>
        </w:rPr>
        <w:t>Authorised Person</w:t>
      </w:r>
      <w:r w:rsidRPr="00E4265B">
        <w:rPr>
          <w:rFonts w:ascii="Arial" w:hAnsi="Arial" w:cs="Arial"/>
          <w:sz w:val="22"/>
          <w:szCs w:val="22"/>
          <w:lang w:val="en-GB"/>
        </w:rPr>
        <w:t>'s enterprise</w:t>
      </w:r>
      <w:r w:rsidRPr="00E4265B">
        <w:rPr>
          <w:rFonts w:ascii="Arial" w:hAnsi="Arial" w:cs="Arial"/>
          <w:sz w:val="22"/>
          <w:szCs w:val="22"/>
          <w:lang w:val="en-GB"/>
        </w:rPr>
        <w:noBreakHyphen/>
        <w:t>wide risk management framework, including but not limited to. integration with its daily risk management practices;</w:t>
      </w:r>
    </w:p>
    <w:p w14:paraId="4ECF3FD7"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output of the risk measurement system which forms part of the Non</w:t>
      </w:r>
      <w:r w:rsidRPr="00E4265B">
        <w:rPr>
          <w:rFonts w:ascii="Arial" w:hAnsi="Arial" w:cs="Arial"/>
          <w:sz w:val="22"/>
          <w:szCs w:val="22"/>
          <w:lang w:val="en-GB"/>
        </w:rPr>
        <w:noBreakHyphen/>
        <w:t xml:space="preserve">Trading Book interest rate risk management framework should be used in reporting the level of that risk to the senior management and Governing Body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7FD1055A"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measurement system should be capable of measuring the risk under the earnings approach. Depending on the scale and complexity of Non</w:t>
      </w:r>
      <w:r w:rsidRPr="00E4265B">
        <w:rPr>
          <w:rFonts w:ascii="Arial" w:hAnsi="Arial" w:cs="Arial"/>
          <w:sz w:val="22"/>
          <w:szCs w:val="22"/>
          <w:lang w:val="en-GB"/>
        </w:rPr>
        <w:noBreakHyphen/>
        <w:t xml:space="preserve">Trading Book structure,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also need to measure the risk based on economic value approach;</w:t>
      </w:r>
    </w:p>
    <w:p w14:paraId="10C73D44"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lastRenderedPageBreak/>
        <w:t>d.</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's Non</w:t>
      </w:r>
      <w:r w:rsidRPr="00E4265B">
        <w:rPr>
          <w:rFonts w:ascii="Arial" w:hAnsi="Arial" w:cs="Arial"/>
          <w:sz w:val="22"/>
          <w:szCs w:val="22"/>
          <w:lang w:val="en-GB"/>
        </w:rPr>
        <w:noBreakHyphen/>
        <w:t>Trading Book interest rate risk measurement system should be clearly defined and consistent with the nature and complexity of its balance sheet structure;</w:t>
      </w:r>
    </w:p>
    <w:p w14:paraId="46861F03"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the processes, procedures and limits should be clearly documented and should reflect a consideration of the interest rate risk associated with the balance sheet structure of the </w:t>
      </w:r>
      <w:r w:rsidR="000D1A90" w:rsidRPr="00E4265B">
        <w:rPr>
          <w:rFonts w:ascii="Arial" w:hAnsi="Arial" w:cs="Arial"/>
          <w:sz w:val="22"/>
          <w:szCs w:val="22"/>
          <w:lang w:val="en-GB"/>
        </w:rPr>
        <w:t>Authorised Person</w:t>
      </w:r>
      <w:r w:rsidRPr="00E4265B">
        <w:rPr>
          <w:rFonts w:ascii="Arial" w:hAnsi="Arial" w:cs="Arial"/>
          <w:sz w:val="22"/>
          <w:szCs w:val="22"/>
          <w:lang w:val="en-GB"/>
        </w:rPr>
        <w:t>, considering various asset and liability positions. These processes, procedures and limits should be reviewed and approved by appropriate levels of senior management;</w:t>
      </w:r>
    </w:p>
    <w:p w14:paraId="2260909B"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 xml:space="preserve">the framework should involve an accurate, informative and timely management system for interest rate risk, which is essential to keep the senior management and the Governing Body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adequately informed to enable them to ensure compliance with the Non</w:t>
      </w:r>
      <w:r w:rsidRPr="00E4265B">
        <w:rPr>
          <w:rFonts w:ascii="Arial" w:hAnsi="Arial" w:cs="Arial"/>
          <w:sz w:val="22"/>
          <w:szCs w:val="22"/>
          <w:lang w:val="en-GB"/>
        </w:rPr>
        <w:noBreakHyphen/>
        <w:t xml:space="preserve">Trading Book interest rate risk policy of the </w:t>
      </w:r>
      <w:r w:rsidR="000D1A90" w:rsidRPr="00E4265B">
        <w:rPr>
          <w:rFonts w:ascii="Arial" w:hAnsi="Arial" w:cs="Arial"/>
          <w:sz w:val="22"/>
          <w:szCs w:val="22"/>
          <w:lang w:val="en-GB"/>
        </w:rPr>
        <w:t>Authorised Person</w:t>
      </w:r>
      <w:r w:rsidRPr="00E4265B">
        <w:rPr>
          <w:rFonts w:ascii="Arial" w:hAnsi="Arial" w:cs="Arial"/>
          <w:sz w:val="22"/>
          <w:szCs w:val="22"/>
          <w:lang w:val="en-GB"/>
        </w:rPr>
        <w:t>; and</w:t>
      </w:r>
    </w:p>
    <w:p w14:paraId="6D984DF7"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the Non</w:t>
      </w:r>
      <w:r w:rsidRPr="00E4265B">
        <w:rPr>
          <w:rFonts w:ascii="Arial" w:hAnsi="Arial" w:cs="Arial"/>
          <w:sz w:val="22"/>
          <w:szCs w:val="22"/>
          <w:lang w:val="en-GB"/>
        </w:rPr>
        <w:noBreakHyphen/>
        <w:t xml:space="preserve">Trading Book interest rate risk framework should include measures to consider balancing cash flows and management of the risk's impact from new products or services through hedging using swaps or other </w:t>
      </w:r>
      <w:r w:rsidR="005F3B3B" w:rsidRPr="00E4265B">
        <w:rPr>
          <w:rFonts w:ascii="Arial" w:hAnsi="Arial" w:cs="Arial"/>
          <w:sz w:val="22"/>
          <w:szCs w:val="22"/>
          <w:lang w:val="en-GB"/>
        </w:rPr>
        <w:t>Derivative</w:t>
      </w:r>
      <w:r w:rsidRPr="00E4265B">
        <w:rPr>
          <w:rFonts w:ascii="Arial" w:hAnsi="Arial" w:cs="Arial"/>
          <w:sz w:val="22"/>
          <w:szCs w:val="22"/>
          <w:lang w:val="en-GB"/>
        </w:rPr>
        <w:t xml:space="preserve">s. Any such major hedging or risk management initiatives should be approved in advance by the Asset Liability Committee (ALCO) or the Governing Body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06F3FDC3" w14:textId="77777777" w:rsidR="00E22FF2" w:rsidRPr="00E4265B" w:rsidRDefault="00E22FF2" w:rsidP="006957A1">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The Non</w:t>
      </w:r>
      <w:r w:rsidRPr="00E4265B">
        <w:rPr>
          <w:rFonts w:ascii="Arial" w:hAnsi="Arial" w:cs="Arial"/>
          <w:sz w:val="22"/>
          <w:szCs w:val="22"/>
          <w:lang w:val="en-GB"/>
        </w:rPr>
        <w:noBreakHyphen/>
        <w:t>Trading Book interest rate risk measurement systems referred to in Rule 7.4.1(2)(c) should encompass all material drivers of the risk. Such systems should evaluate the effect of rate changes on earnings or economic value meaningfully and accurately within the context and complexity of their activities. They should be able to flag any excessive Exposures. An effective risk measurement system should address the following:</w:t>
      </w:r>
    </w:p>
    <w:p w14:paraId="595ACD39"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evaluate all significant interest rate risk arising from the full range of an </w:t>
      </w:r>
      <w:r w:rsidR="000D1A90" w:rsidRPr="00E4265B">
        <w:rPr>
          <w:rFonts w:ascii="Arial" w:hAnsi="Arial" w:cs="Arial"/>
          <w:sz w:val="22"/>
          <w:szCs w:val="22"/>
          <w:lang w:val="en-GB"/>
        </w:rPr>
        <w:t>Authorised Person</w:t>
      </w:r>
      <w:r w:rsidRPr="00E4265B">
        <w:rPr>
          <w:rFonts w:ascii="Arial" w:hAnsi="Arial" w:cs="Arial"/>
          <w:sz w:val="22"/>
          <w:szCs w:val="22"/>
          <w:lang w:val="en-GB"/>
        </w:rPr>
        <w:t>'s assets, liabilities and off</w:t>
      </w:r>
      <w:r w:rsidRPr="00E4265B">
        <w:rPr>
          <w:rFonts w:ascii="Arial" w:hAnsi="Arial" w:cs="Arial"/>
          <w:sz w:val="22"/>
          <w:szCs w:val="22"/>
          <w:lang w:val="en-GB"/>
        </w:rPr>
        <w:noBreakHyphen/>
        <w:t>balance sheet positions, both trading and non</w:t>
      </w:r>
      <w:r w:rsidRPr="00E4265B">
        <w:rPr>
          <w:rFonts w:ascii="Arial" w:hAnsi="Arial" w:cs="Arial"/>
          <w:sz w:val="22"/>
          <w:szCs w:val="22"/>
          <w:lang w:val="en-GB"/>
        </w:rPr>
        <w:noBreakHyphen/>
        <w:t>trading;</w:t>
      </w:r>
    </w:p>
    <w:p w14:paraId="0B7FE411"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ensure that an integrated view of interest rate risk across products and business lines is available to management, particularly when different measurement systems and methods are used across different business lines;</w:t>
      </w:r>
    </w:p>
    <w:p w14:paraId="445D2A48"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employ generally accepted financial models and ways of measuring risk; and </w:t>
      </w:r>
    </w:p>
    <w:p w14:paraId="452BD849"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ensure accurate and timely data on all aspects related to current positions.</w:t>
      </w:r>
    </w:p>
    <w:p w14:paraId="3E1530FA" w14:textId="77777777" w:rsidR="00E22FF2" w:rsidRPr="00E4265B" w:rsidRDefault="00E22FF2" w:rsidP="006957A1">
      <w:pPr>
        <w:pStyle w:val="1List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r>
      <w:r w:rsidR="000D1A90" w:rsidRPr="00E4265B">
        <w:rPr>
          <w:rFonts w:ascii="Arial" w:hAnsi="Arial" w:cs="Arial"/>
          <w:sz w:val="22"/>
          <w:szCs w:val="22"/>
          <w:lang w:val="en-GB"/>
        </w:rPr>
        <w:t>Authorised Person</w:t>
      </w:r>
      <w:r w:rsidRPr="00E4265B">
        <w:rPr>
          <w:rFonts w:ascii="Arial" w:hAnsi="Arial" w:cs="Arial"/>
          <w:sz w:val="22"/>
          <w:szCs w:val="22"/>
          <w:lang w:val="en-GB"/>
        </w:rPr>
        <w:t>s should measure their vulnerability to loss in stressed market conditions, including the breakdown of key assumptions, and consider those results when establishing and reviewing their policies and limits for interest rate risk. Possible stress scenarios for this exercise should include:</w:t>
      </w:r>
    </w:p>
    <w:p w14:paraId="4E04B319" w14:textId="64C4BE98" w:rsidR="00E22FF2" w:rsidRPr="00E4265B" w:rsidRDefault="00E22FF2" w:rsidP="00BF7B7D">
      <w:pPr>
        <w:pStyle w:val="aList"/>
        <w:rPr>
          <w:rFonts w:ascii="Arial" w:hAnsi="Arial" w:cs="Arial"/>
          <w:sz w:val="22"/>
          <w:szCs w:val="22"/>
          <w:lang w:val="en-GB"/>
        </w:rPr>
      </w:pPr>
      <w:r w:rsidRPr="00E4265B">
        <w:rPr>
          <w:rFonts w:ascii="Arial" w:hAnsi="Arial" w:cs="Arial"/>
          <w:sz w:val="22"/>
          <w:szCs w:val="22"/>
          <w:lang w:val="en-GB"/>
        </w:rPr>
        <w:t>a.</w:t>
      </w:r>
      <w:r w:rsidR="007D16A4" w:rsidRPr="00E4265B">
        <w:rPr>
          <w:rFonts w:ascii="Arial" w:hAnsi="Arial" w:cs="Arial"/>
          <w:sz w:val="22"/>
          <w:szCs w:val="22"/>
          <w:lang w:val="en-GB"/>
        </w:rPr>
        <w:tab/>
      </w:r>
      <w:r w:rsidR="00BF7B7D" w:rsidRPr="00E4265B">
        <w:rPr>
          <w:rFonts w:ascii="Arial" w:hAnsi="Arial" w:cs="Arial"/>
          <w:sz w:val="22"/>
          <w:szCs w:val="22"/>
          <w:lang w:val="en-GB"/>
        </w:rPr>
        <w:t>h</w:t>
      </w:r>
      <w:r w:rsidR="007D16A4" w:rsidRPr="00E4265B">
        <w:rPr>
          <w:rFonts w:ascii="Arial" w:hAnsi="Arial" w:cs="Arial"/>
          <w:sz w:val="22"/>
          <w:szCs w:val="22"/>
          <w:lang w:val="en-GB"/>
        </w:rPr>
        <w:t>is</w:t>
      </w:r>
      <w:r w:rsidRPr="00E4265B">
        <w:rPr>
          <w:rFonts w:ascii="Arial" w:hAnsi="Arial" w:cs="Arial"/>
          <w:sz w:val="22"/>
          <w:szCs w:val="22"/>
          <w:lang w:val="en-GB"/>
        </w:rPr>
        <w:t>torical scenarios;</w:t>
      </w:r>
    </w:p>
    <w:p w14:paraId="25579C7A"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lastRenderedPageBreak/>
        <w:t>b.</w:t>
      </w:r>
      <w:r w:rsidRPr="00E4265B">
        <w:rPr>
          <w:rFonts w:ascii="Arial" w:hAnsi="Arial" w:cs="Arial"/>
          <w:sz w:val="22"/>
          <w:szCs w:val="22"/>
          <w:lang w:val="en-GB"/>
        </w:rPr>
        <w:tab/>
        <w:t>changes in the general level of interest rates, e.g. changes in yields of 200 basis points or more in one year;</w:t>
      </w:r>
    </w:p>
    <w:p w14:paraId="2D1AB85B"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changes in the relationships between key market rates (i.e. basis risk), e.g.</w:t>
      </w:r>
    </w:p>
    <w:p w14:paraId="751F5233" w14:textId="77777777" w:rsidR="00E22FF2" w:rsidRPr="00E4265B" w:rsidRDefault="00E22FF2" w:rsidP="00D24359">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a surge in term and savings </w:t>
      </w:r>
      <w:r w:rsidR="006C764B" w:rsidRPr="00E4265B">
        <w:rPr>
          <w:rFonts w:ascii="Arial" w:hAnsi="Arial" w:cs="Arial"/>
          <w:sz w:val="22"/>
          <w:szCs w:val="22"/>
          <w:lang w:val="en-GB"/>
        </w:rPr>
        <w:t>Deposit</w:t>
      </w:r>
      <w:r w:rsidRPr="00E4265B">
        <w:rPr>
          <w:rFonts w:ascii="Arial" w:hAnsi="Arial" w:cs="Arial"/>
          <w:sz w:val="22"/>
          <w:szCs w:val="22"/>
          <w:lang w:val="en-GB"/>
        </w:rPr>
        <w:t xml:space="preserve"> rates and benchmark rates but no change in the prime rate, and</w:t>
      </w:r>
    </w:p>
    <w:p w14:paraId="4DA151E2" w14:textId="77777777" w:rsidR="00E22FF2" w:rsidRPr="00E4265B" w:rsidRDefault="00E22FF2" w:rsidP="00D24359">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a drop in the prime rate but no change in term and savings </w:t>
      </w:r>
      <w:r w:rsidR="006C764B" w:rsidRPr="00E4265B">
        <w:rPr>
          <w:rFonts w:ascii="Arial" w:hAnsi="Arial" w:cs="Arial"/>
          <w:sz w:val="22"/>
          <w:szCs w:val="22"/>
          <w:lang w:val="en-GB"/>
        </w:rPr>
        <w:t>Deposit</w:t>
      </w:r>
      <w:r w:rsidRPr="00E4265B">
        <w:rPr>
          <w:rFonts w:ascii="Arial" w:hAnsi="Arial" w:cs="Arial"/>
          <w:sz w:val="22"/>
          <w:szCs w:val="22"/>
          <w:lang w:val="en-GB"/>
        </w:rPr>
        <w:t xml:space="preserve"> rates and benchmark rates;</w:t>
      </w:r>
    </w:p>
    <w:p w14:paraId="40CF1F8C"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changes in interest rates in individual time bands to different relative levels (i.e. yield curve risk);</w:t>
      </w:r>
    </w:p>
    <w:p w14:paraId="64FA0C88"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changes in the liquidity of key financial markets or changes in the volatility of market rates; and</w:t>
      </w:r>
    </w:p>
    <w:p w14:paraId="67BFB2F7"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 xml:space="preserve">changes in key business assumptions and parameters such as the correlation between two currencies. In particular, changes in assumptions used for illiquid instruments and instruments with uncertain contractual maturities help understanding of an </w:t>
      </w:r>
      <w:r w:rsidR="000D1A90" w:rsidRPr="00E4265B">
        <w:rPr>
          <w:rFonts w:ascii="Arial" w:hAnsi="Arial" w:cs="Arial"/>
          <w:sz w:val="22"/>
          <w:szCs w:val="22"/>
          <w:lang w:val="en-GB"/>
        </w:rPr>
        <w:t>Authorised Person</w:t>
      </w:r>
      <w:r w:rsidRPr="00E4265B">
        <w:rPr>
          <w:rFonts w:ascii="Arial" w:hAnsi="Arial" w:cs="Arial"/>
          <w:sz w:val="22"/>
          <w:szCs w:val="22"/>
          <w:lang w:val="en-GB"/>
        </w:rPr>
        <w:t>'s risk profile.</w:t>
      </w:r>
    </w:p>
    <w:p w14:paraId="4041ADB5" w14:textId="77777777" w:rsidR="00E22FF2" w:rsidRPr="00E4265B" w:rsidRDefault="00E22FF2" w:rsidP="006957A1">
      <w:pPr>
        <w:pStyle w:val="1List0"/>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the standards for stress testing recommended in the paper published in July 2004 by the BCBS – Principles for management and supervision of interest rate risk – in developing the stress testing scenarios. In particular,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include the technical specifications of a standardised interest rate shock detailed in Annex 3 of that paper.</w:t>
      </w:r>
    </w:p>
    <w:p w14:paraId="32B1DBE3" w14:textId="77777777" w:rsidR="00E22FF2" w:rsidRPr="00E4265B" w:rsidRDefault="00E22FF2" w:rsidP="006957A1">
      <w:pPr>
        <w:pStyle w:val="TitleL5"/>
        <w:rPr>
          <w:rFonts w:ascii="Arial" w:hAnsi="Arial" w:cs="Arial"/>
          <w:sz w:val="22"/>
          <w:szCs w:val="22"/>
          <w:lang w:val="en-GB"/>
        </w:rPr>
      </w:pPr>
      <w:r w:rsidRPr="00E4265B">
        <w:rPr>
          <w:rFonts w:ascii="Arial" w:hAnsi="Arial" w:cs="Arial"/>
          <w:sz w:val="22"/>
          <w:szCs w:val="22"/>
          <w:lang w:val="en-GB"/>
        </w:rPr>
        <w:t>Responsibilities of Governing Body</w:t>
      </w:r>
    </w:p>
    <w:p w14:paraId="6C4D52DA" w14:textId="77777777" w:rsidR="00E22FF2" w:rsidRPr="00E4265B" w:rsidRDefault="00E22FF2" w:rsidP="00864B04">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ensure that its Governing Body is responsible for monitoring the nature and level of Non</w:t>
      </w:r>
      <w:r w:rsidRPr="00E4265B">
        <w:rPr>
          <w:rFonts w:ascii="Arial" w:hAnsi="Arial" w:cs="Arial"/>
          <w:sz w:val="22"/>
          <w:szCs w:val="22"/>
        </w:rPr>
        <w:noBreakHyphen/>
        <w:t xml:space="preserve">Trading Book interest rate risk assumed by the </w:t>
      </w:r>
      <w:r w:rsidR="000D1A90" w:rsidRPr="00E4265B">
        <w:rPr>
          <w:rFonts w:ascii="Arial" w:hAnsi="Arial" w:cs="Arial"/>
          <w:sz w:val="22"/>
          <w:szCs w:val="22"/>
        </w:rPr>
        <w:t>Authorised Person</w:t>
      </w:r>
      <w:r w:rsidRPr="00E4265B">
        <w:rPr>
          <w:rFonts w:ascii="Arial" w:hAnsi="Arial" w:cs="Arial"/>
          <w:sz w:val="22"/>
          <w:szCs w:val="22"/>
        </w:rPr>
        <w:t xml:space="preserve"> and the process used to manage that risk.</w:t>
      </w:r>
    </w:p>
    <w:p w14:paraId="6D7068A8" w14:textId="77777777" w:rsidR="00E22FF2" w:rsidRPr="00E4265B" w:rsidRDefault="00E22FF2" w:rsidP="006957A1">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Without limiting the operation of (1), the responsibilities of an </w:t>
      </w:r>
      <w:r w:rsidR="000D1A90" w:rsidRPr="00E4265B">
        <w:rPr>
          <w:rFonts w:ascii="Arial" w:hAnsi="Arial" w:cs="Arial"/>
          <w:sz w:val="22"/>
          <w:szCs w:val="22"/>
          <w:lang w:val="en-GB"/>
        </w:rPr>
        <w:t>Authorised Person</w:t>
      </w:r>
      <w:r w:rsidRPr="00E4265B">
        <w:rPr>
          <w:rFonts w:ascii="Arial" w:hAnsi="Arial" w:cs="Arial"/>
          <w:sz w:val="22"/>
          <w:szCs w:val="22"/>
          <w:lang w:val="en-GB"/>
        </w:rPr>
        <w:t>'s Governing Body in respect of the risk include:</w:t>
      </w:r>
    </w:p>
    <w:p w14:paraId="0C6BF1CA"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approving the </w:t>
      </w:r>
      <w:r w:rsidR="000D1A90" w:rsidRPr="00E4265B">
        <w:rPr>
          <w:rFonts w:ascii="Arial" w:hAnsi="Arial" w:cs="Arial"/>
          <w:sz w:val="22"/>
          <w:szCs w:val="22"/>
          <w:lang w:val="en-GB"/>
        </w:rPr>
        <w:t>Authorised Person</w:t>
      </w:r>
      <w:r w:rsidRPr="00E4265B">
        <w:rPr>
          <w:rFonts w:ascii="Arial" w:hAnsi="Arial" w:cs="Arial"/>
          <w:sz w:val="22"/>
          <w:szCs w:val="22"/>
          <w:lang w:val="en-GB"/>
        </w:rPr>
        <w:t>'s Non</w:t>
      </w:r>
      <w:r w:rsidRPr="00E4265B">
        <w:rPr>
          <w:rFonts w:ascii="Arial" w:hAnsi="Arial" w:cs="Arial"/>
          <w:sz w:val="22"/>
          <w:szCs w:val="22"/>
          <w:lang w:val="en-GB"/>
        </w:rPr>
        <w:noBreakHyphen/>
        <w:t>Trading Book interest rate risk policy, including its strategy and management framework;</w:t>
      </w:r>
    </w:p>
    <w:p w14:paraId="2427967F"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establishing and maintaining a senior management structure for the management of the risk and for ensuring compliance with the </w:t>
      </w:r>
      <w:r w:rsidR="000D1A90" w:rsidRPr="00E4265B">
        <w:rPr>
          <w:rFonts w:ascii="Arial" w:hAnsi="Arial" w:cs="Arial"/>
          <w:sz w:val="22"/>
          <w:szCs w:val="22"/>
          <w:lang w:val="en-GB"/>
        </w:rPr>
        <w:t>Authorised Person</w:t>
      </w:r>
      <w:r w:rsidRPr="00E4265B">
        <w:rPr>
          <w:rFonts w:ascii="Arial" w:hAnsi="Arial" w:cs="Arial"/>
          <w:sz w:val="22"/>
          <w:szCs w:val="22"/>
          <w:lang w:val="en-GB"/>
        </w:rPr>
        <w:t>'s risk strategy;</w:t>
      </w:r>
    </w:p>
    <w:p w14:paraId="1DC53DE3"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monitoring the </w:t>
      </w:r>
      <w:r w:rsidR="000D1A90" w:rsidRPr="00E4265B">
        <w:rPr>
          <w:rFonts w:ascii="Arial" w:hAnsi="Arial" w:cs="Arial"/>
          <w:sz w:val="22"/>
          <w:szCs w:val="22"/>
          <w:lang w:val="en-GB"/>
        </w:rPr>
        <w:t>Authorised Person</w:t>
      </w:r>
      <w:r w:rsidRPr="00E4265B">
        <w:rPr>
          <w:rFonts w:ascii="Arial" w:hAnsi="Arial" w:cs="Arial"/>
          <w:sz w:val="22"/>
          <w:szCs w:val="22"/>
          <w:lang w:val="en-GB"/>
        </w:rPr>
        <w:t>'s overall Non</w:t>
      </w:r>
      <w:r w:rsidRPr="00E4265B">
        <w:rPr>
          <w:rFonts w:ascii="Arial" w:hAnsi="Arial" w:cs="Arial"/>
          <w:sz w:val="22"/>
          <w:szCs w:val="22"/>
          <w:lang w:val="en-GB"/>
        </w:rPr>
        <w:noBreakHyphen/>
        <w:t xml:space="preserve">Trading Book interest rate risk profile on a regular basis and being aware of any material changes in the </w:t>
      </w:r>
      <w:r w:rsidR="000D1A90" w:rsidRPr="00E4265B">
        <w:rPr>
          <w:rFonts w:ascii="Arial" w:hAnsi="Arial" w:cs="Arial"/>
          <w:sz w:val="22"/>
          <w:szCs w:val="22"/>
          <w:lang w:val="en-GB"/>
        </w:rPr>
        <w:t>Authorised Person</w:t>
      </w:r>
      <w:r w:rsidRPr="00E4265B">
        <w:rPr>
          <w:rFonts w:ascii="Arial" w:hAnsi="Arial" w:cs="Arial"/>
          <w:sz w:val="22"/>
          <w:szCs w:val="22"/>
          <w:lang w:val="en-GB"/>
        </w:rPr>
        <w:t>'s current or prospective profile; and</w:t>
      </w:r>
    </w:p>
    <w:p w14:paraId="32E3E656"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ensuring that Non</w:t>
      </w:r>
      <w:r w:rsidRPr="00E4265B">
        <w:rPr>
          <w:rFonts w:ascii="Arial" w:hAnsi="Arial" w:cs="Arial"/>
          <w:sz w:val="22"/>
          <w:szCs w:val="22"/>
          <w:lang w:val="en-GB"/>
        </w:rPr>
        <w:noBreakHyphen/>
        <w:t>Trading Book interest rate risk is adequately identified, assessed, mitigated, controlled and monitored.</w:t>
      </w:r>
    </w:p>
    <w:p w14:paraId="6C0845E9" w14:textId="77777777" w:rsidR="00E22FF2" w:rsidRPr="00E4265B" w:rsidRDefault="00E22FF2" w:rsidP="006957A1">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146EDF3A" w14:textId="77777777" w:rsidR="00E22FF2" w:rsidRPr="00E4265B" w:rsidRDefault="00E22FF2" w:rsidP="006957A1">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The Governing Body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delegate responsibility for establishing Non-Trading Book interest rate risk policies and strategies to the Asset and Liability Committee (ALCO) or an equivalent committee, which is the designated senior management committee for managing balance sheet structure and interest rate risk associated with it.</w:t>
      </w:r>
    </w:p>
    <w:p w14:paraId="7C7676FA" w14:textId="77777777" w:rsidR="00E22FF2" w:rsidRPr="00E4265B" w:rsidRDefault="00E22FF2" w:rsidP="006957A1">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involved in banking activities or complex principal dealing activities should have a designated committee for design and implementation of Non</w:t>
      </w:r>
      <w:r w:rsidRPr="00E4265B">
        <w:rPr>
          <w:rFonts w:ascii="Arial" w:hAnsi="Arial" w:cs="Arial"/>
          <w:sz w:val="22"/>
          <w:szCs w:val="22"/>
          <w:lang w:val="en-GB"/>
        </w:rPr>
        <w:noBreakHyphen/>
        <w:t>Trading Book interest rate risk management.</w:t>
      </w:r>
    </w:p>
    <w:p w14:paraId="67BF5CE3" w14:textId="4EC0E68F" w:rsidR="003733A6" w:rsidRPr="00E4265B" w:rsidRDefault="00E22FF2" w:rsidP="006957A1">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establish and enforce operating limits and other practices that maintain Exposures within levels consistent with their internal policies and that accord with their approach to measuring the risk. In particular,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should set a limit on the extent to which floating rate Exposures are funded by fixed rate sources and vice versa to limit the risk. In floating rate lending, </w:t>
      </w:r>
      <w:r w:rsidR="000D1A90" w:rsidRPr="00E4265B">
        <w:rPr>
          <w:rFonts w:ascii="Arial" w:hAnsi="Arial" w:cs="Arial"/>
          <w:sz w:val="22"/>
          <w:szCs w:val="22"/>
          <w:lang w:val="en-GB"/>
        </w:rPr>
        <w:t>Authorised Person</w:t>
      </w:r>
      <w:r w:rsidRPr="00E4265B">
        <w:rPr>
          <w:rFonts w:ascii="Arial" w:hAnsi="Arial" w:cs="Arial"/>
          <w:sz w:val="22"/>
          <w:szCs w:val="22"/>
          <w:lang w:val="en-GB"/>
        </w:rPr>
        <w:t>s should limit the extent to which they run any basis risk that may arise if lending and funding are not based on precisely the same market interest rate.</w:t>
      </w:r>
    </w:p>
    <w:p w14:paraId="5959D9AF" w14:textId="77777777" w:rsidR="003733A6" w:rsidRPr="00E4265B" w:rsidRDefault="003733A6">
      <w:pPr>
        <w:rPr>
          <w:rFonts w:ascii="Arial" w:hAnsi="Arial" w:cs="Arial"/>
          <w:sz w:val="22"/>
          <w:szCs w:val="22"/>
          <w:lang w:val="en-GB"/>
        </w:rPr>
      </w:pPr>
      <w:r w:rsidRPr="00E4265B">
        <w:rPr>
          <w:rFonts w:ascii="Arial" w:hAnsi="Arial" w:cs="Arial"/>
          <w:sz w:val="22"/>
          <w:szCs w:val="22"/>
          <w:lang w:val="en-GB"/>
        </w:rPr>
        <w:br w:type="page"/>
      </w:r>
    </w:p>
    <w:p w14:paraId="335B6B46" w14:textId="77777777" w:rsidR="00E22FF2" w:rsidRPr="00E4265B" w:rsidRDefault="00E22FF2" w:rsidP="006957A1">
      <w:pPr>
        <w:pStyle w:val="Heading1"/>
        <w:rPr>
          <w:rFonts w:ascii="Arial" w:hAnsi="Arial" w:cs="Arial"/>
          <w:sz w:val="22"/>
          <w:szCs w:val="22"/>
          <w:lang w:val="en-GB"/>
        </w:rPr>
      </w:pPr>
      <w:bookmarkStart w:id="739" w:name="_Toc403274532"/>
      <w:bookmarkStart w:id="740" w:name="_Toc403280028"/>
      <w:bookmarkStart w:id="741" w:name="_Toc404285829"/>
      <w:bookmarkStart w:id="742" w:name="_Toc404621778"/>
      <w:bookmarkStart w:id="743" w:name="_Toc404624419"/>
      <w:bookmarkStart w:id="744" w:name="_Toc33622445"/>
      <w:bookmarkStart w:id="745" w:name="_Toc403223986"/>
      <w:bookmarkStart w:id="746" w:name="_Toc403254024"/>
      <w:bookmarkStart w:id="747" w:name="_Toc403254108"/>
      <w:bookmarkStart w:id="748" w:name="_Toc403273424"/>
      <w:bookmarkStart w:id="749" w:name="_Toc403273573"/>
      <w:r w:rsidRPr="00E4265B">
        <w:rPr>
          <w:rFonts w:ascii="Arial" w:hAnsi="Arial" w:cs="Arial"/>
          <w:sz w:val="22"/>
          <w:szCs w:val="22"/>
          <w:lang w:val="en-GB"/>
        </w:rPr>
        <w:lastRenderedPageBreak/>
        <w:t>GROUP RISK</w:t>
      </w:r>
      <w:bookmarkEnd w:id="739"/>
      <w:bookmarkEnd w:id="740"/>
      <w:bookmarkEnd w:id="741"/>
      <w:bookmarkEnd w:id="742"/>
      <w:bookmarkEnd w:id="743"/>
      <w:bookmarkEnd w:id="744"/>
    </w:p>
    <w:p w14:paraId="552F2B1A" w14:textId="77777777" w:rsidR="00E22FF2" w:rsidRPr="00E4265B" w:rsidRDefault="00E22FF2" w:rsidP="00BA74F7">
      <w:pPr>
        <w:pStyle w:val="TitleL5"/>
        <w:rPr>
          <w:rFonts w:ascii="Arial" w:hAnsi="Arial" w:cs="Arial"/>
          <w:sz w:val="22"/>
          <w:szCs w:val="22"/>
          <w:lang w:val="en-GB"/>
        </w:rPr>
      </w:pPr>
      <w:r w:rsidRPr="00E4265B">
        <w:rPr>
          <w:rFonts w:ascii="Arial" w:hAnsi="Arial" w:cs="Arial"/>
          <w:sz w:val="22"/>
          <w:szCs w:val="22"/>
          <w:lang w:val="en-GB"/>
        </w:rPr>
        <w:t>Introduction</w:t>
      </w:r>
      <w:bookmarkEnd w:id="745"/>
      <w:bookmarkEnd w:id="746"/>
      <w:bookmarkEnd w:id="747"/>
      <w:bookmarkEnd w:id="748"/>
      <w:bookmarkEnd w:id="749"/>
    </w:p>
    <w:p w14:paraId="0D957A03" w14:textId="77777777" w:rsidR="00E22FF2" w:rsidRPr="00E4265B" w:rsidRDefault="00E22FF2" w:rsidP="006957A1">
      <w:pPr>
        <w:pStyle w:val="TitleL5"/>
        <w:rPr>
          <w:rFonts w:ascii="Arial" w:hAnsi="Arial" w:cs="Arial"/>
          <w:sz w:val="22"/>
          <w:szCs w:val="22"/>
          <w:lang w:val="en-GB"/>
        </w:rPr>
      </w:pPr>
      <w:r w:rsidRPr="00E4265B">
        <w:rPr>
          <w:rFonts w:ascii="Arial" w:hAnsi="Arial" w:cs="Arial"/>
          <w:sz w:val="22"/>
          <w:szCs w:val="22"/>
          <w:lang w:val="en-GB"/>
        </w:rPr>
        <w:t>Guidance</w:t>
      </w:r>
    </w:p>
    <w:p w14:paraId="3A767857" w14:textId="77777777" w:rsidR="00E22FF2" w:rsidRPr="00E4265B" w:rsidRDefault="00E22FF2" w:rsidP="006957A1">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This Chapter deals with management of Group Risk </w:t>
      </w:r>
      <w:r w:rsidR="005F3B3B" w:rsidRPr="00E4265B">
        <w:rPr>
          <w:rFonts w:ascii="Arial" w:hAnsi="Arial" w:cs="Arial"/>
          <w:sz w:val="22"/>
          <w:szCs w:val="22"/>
          <w:lang w:val="en-GB"/>
        </w:rPr>
        <w:t>Exposure</w:t>
      </w:r>
      <w:r w:rsidRPr="00E4265B">
        <w:rPr>
          <w:rFonts w:ascii="Arial" w:hAnsi="Arial" w:cs="Arial"/>
          <w:sz w:val="22"/>
          <w:szCs w:val="22"/>
          <w:lang w:val="en-GB"/>
        </w:rPr>
        <w:t xml:space="preserve">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Group Risk refers to the risk of potential losses incurred by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on account of its relationship with other members of its Financial Group, if it were to be part of one.</w:t>
      </w:r>
    </w:p>
    <w:p w14:paraId="6DF384BC" w14:textId="77777777" w:rsidR="00E22FF2" w:rsidRPr="00E4265B" w:rsidRDefault="00E22FF2" w:rsidP="006957A1">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This Chapter includes requirements that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implement:</w:t>
      </w:r>
    </w:p>
    <w:p w14:paraId="3238060D"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an effective management framework for Group Risk </w:t>
      </w:r>
      <w:r w:rsidR="005F3B3B" w:rsidRPr="00E4265B">
        <w:rPr>
          <w:rFonts w:ascii="Arial" w:hAnsi="Arial" w:cs="Arial"/>
          <w:sz w:val="22"/>
          <w:szCs w:val="22"/>
          <w:lang w:val="en-GB"/>
        </w:rPr>
        <w:t>Exposure</w:t>
      </w:r>
      <w:r w:rsidRPr="00E4265B">
        <w:rPr>
          <w:rFonts w:ascii="Arial" w:hAnsi="Arial" w:cs="Arial"/>
          <w:sz w:val="22"/>
          <w:szCs w:val="22"/>
          <w:lang w:val="en-GB"/>
        </w:rPr>
        <w:t>;</w:t>
      </w:r>
    </w:p>
    <w:p w14:paraId="2A4CEDFA"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 specified methodology for the calculation of Financial Group Capital Resources and Financial Group Capital Requirements.</w:t>
      </w:r>
    </w:p>
    <w:p w14:paraId="64524DB6" w14:textId="77777777" w:rsidR="00E22FF2" w:rsidRPr="00E4265B" w:rsidRDefault="00E22FF2" w:rsidP="006957A1">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This Chapter also includes requirements limiting Financial Group </w:t>
      </w:r>
      <w:r w:rsidR="005F3B3B" w:rsidRPr="00E4265B">
        <w:rPr>
          <w:rFonts w:ascii="Arial" w:hAnsi="Arial" w:cs="Arial"/>
          <w:sz w:val="22"/>
          <w:szCs w:val="22"/>
          <w:lang w:val="en-GB"/>
        </w:rPr>
        <w:t>Exposure</w:t>
      </w:r>
      <w:r w:rsidRPr="00E4265B">
        <w:rPr>
          <w:rFonts w:ascii="Arial" w:hAnsi="Arial" w:cs="Arial"/>
          <w:sz w:val="22"/>
          <w:szCs w:val="22"/>
          <w:lang w:val="en-GB"/>
        </w:rPr>
        <w:t xml:space="preserve">s and restrictions on the ownership or control of </w:t>
      </w:r>
      <w:r w:rsidR="006C764B" w:rsidRPr="00E4265B">
        <w:rPr>
          <w:rFonts w:ascii="Arial" w:hAnsi="Arial" w:cs="Arial"/>
          <w:sz w:val="22"/>
          <w:szCs w:val="22"/>
          <w:lang w:val="en-GB"/>
        </w:rPr>
        <w:t>Deposit</w:t>
      </w:r>
      <w:r w:rsidRPr="00E4265B">
        <w:rPr>
          <w:rFonts w:ascii="Arial" w:hAnsi="Arial" w:cs="Arial"/>
          <w:sz w:val="22"/>
          <w:szCs w:val="22"/>
          <w:lang w:val="en-GB"/>
        </w:rPr>
        <w:noBreakHyphen/>
        <w:t>taking firms.</w:t>
      </w:r>
    </w:p>
    <w:p w14:paraId="447C1A4E" w14:textId="77777777" w:rsidR="00E22FF2" w:rsidRPr="00E4265B" w:rsidRDefault="00E22FF2" w:rsidP="00246497">
      <w:pPr>
        <w:pStyle w:val="Heading3"/>
        <w:rPr>
          <w:rFonts w:ascii="Arial" w:hAnsi="Arial" w:cs="Arial"/>
          <w:sz w:val="22"/>
          <w:szCs w:val="22"/>
        </w:rPr>
      </w:pPr>
      <w:bookmarkStart w:id="750" w:name="_Toc403223987"/>
      <w:bookmarkStart w:id="751" w:name="_Toc403254025"/>
      <w:bookmarkStart w:id="752" w:name="_Toc403273425"/>
      <w:bookmarkStart w:id="753" w:name="_Toc403273574"/>
      <w:bookmarkStart w:id="754" w:name="_Toc403274533"/>
      <w:bookmarkStart w:id="755" w:name="_Toc403280029"/>
      <w:bookmarkStart w:id="756" w:name="_Toc404285830"/>
      <w:bookmarkStart w:id="757" w:name="_Toc404621779"/>
      <w:bookmarkStart w:id="758" w:name="_Toc404624420"/>
      <w:bookmarkStart w:id="759" w:name="_Toc33622446"/>
      <w:r w:rsidRPr="00E4265B">
        <w:rPr>
          <w:rFonts w:ascii="Arial" w:hAnsi="Arial" w:cs="Arial"/>
          <w:sz w:val="22"/>
          <w:szCs w:val="22"/>
        </w:rPr>
        <w:t>Application</w:t>
      </w:r>
      <w:bookmarkEnd w:id="750"/>
      <w:bookmarkEnd w:id="751"/>
      <w:bookmarkEnd w:id="752"/>
      <w:bookmarkEnd w:id="753"/>
      <w:bookmarkEnd w:id="754"/>
      <w:bookmarkEnd w:id="755"/>
      <w:bookmarkEnd w:id="756"/>
      <w:bookmarkEnd w:id="757"/>
      <w:bookmarkEnd w:id="758"/>
      <w:bookmarkEnd w:id="759"/>
    </w:p>
    <w:p w14:paraId="6809FE59" w14:textId="77777777" w:rsidR="00E22FF2" w:rsidRPr="00E4265B" w:rsidRDefault="00E22FF2" w:rsidP="00864B04">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This Section and Section 8.5 apply to an </w:t>
      </w:r>
      <w:r w:rsidR="000D1A90" w:rsidRPr="00E4265B">
        <w:rPr>
          <w:rFonts w:ascii="Arial" w:hAnsi="Arial" w:cs="Arial"/>
          <w:sz w:val="22"/>
          <w:szCs w:val="22"/>
        </w:rPr>
        <w:t>Authorised Person</w:t>
      </w:r>
      <w:r w:rsidRPr="00E4265B">
        <w:rPr>
          <w:rFonts w:ascii="Arial" w:hAnsi="Arial" w:cs="Arial"/>
          <w:sz w:val="22"/>
          <w:szCs w:val="22"/>
        </w:rPr>
        <w:t xml:space="preserve"> in any Category. </w:t>
      </w:r>
    </w:p>
    <w:p w14:paraId="626F7844" w14:textId="77777777" w:rsidR="00E22FF2" w:rsidRPr="00E4265B" w:rsidRDefault="00E22FF2" w:rsidP="00864B04">
      <w:pPr>
        <w:pStyle w:val="1List"/>
        <w:tabs>
          <w:tab w:val="left" w:pos="1710"/>
        </w:tabs>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Sections 8.2 to 8.4 apply only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Category 1, 2 or 5.</w:t>
      </w:r>
    </w:p>
    <w:p w14:paraId="6965C408" w14:textId="77777777" w:rsidR="00E22FF2" w:rsidRPr="00E4265B" w:rsidRDefault="00E22FF2" w:rsidP="006957A1">
      <w:pPr>
        <w:pStyle w:val="TitleL5"/>
        <w:rPr>
          <w:rFonts w:ascii="Arial" w:hAnsi="Arial" w:cs="Arial"/>
          <w:sz w:val="22"/>
          <w:szCs w:val="22"/>
          <w:lang w:val="en-GB"/>
        </w:rPr>
      </w:pPr>
      <w:r w:rsidRPr="00E4265B">
        <w:rPr>
          <w:rFonts w:ascii="Arial" w:hAnsi="Arial" w:cs="Arial"/>
          <w:sz w:val="22"/>
          <w:szCs w:val="22"/>
          <w:lang w:val="en-GB"/>
        </w:rPr>
        <w:t>Guidance</w:t>
      </w:r>
    </w:p>
    <w:p w14:paraId="001E665D" w14:textId="5BBAD798" w:rsidR="00E22FF2" w:rsidRPr="00E4265B" w:rsidRDefault="00E22FF2" w:rsidP="00896E3B">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Group membership may </w:t>
      </w:r>
      <w:r w:rsidR="00896E3B" w:rsidRPr="00E4265B">
        <w:rPr>
          <w:rFonts w:ascii="Arial" w:hAnsi="Arial" w:cs="Arial"/>
          <w:sz w:val="22"/>
          <w:szCs w:val="22"/>
          <w:lang w:val="en-GB"/>
        </w:rPr>
        <w:t>be a source</w:t>
      </w:r>
      <w:r w:rsidR="00E762BF" w:rsidRPr="00E4265B">
        <w:rPr>
          <w:rFonts w:ascii="Arial" w:hAnsi="Arial" w:cs="Arial"/>
          <w:sz w:val="22"/>
          <w:szCs w:val="22"/>
          <w:lang w:val="en-GB"/>
        </w:rPr>
        <w:t xml:space="preserve"> </w:t>
      </w:r>
      <w:r w:rsidR="00896E3B" w:rsidRPr="00E4265B">
        <w:rPr>
          <w:rFonts w:ascii="Arial" w:hAnsi="Arial" w:cs="Arial"/>
          <w:sz w:val="22"/>
          <w:szCs w:val="22"/>
          <w:lang w:val="en-GB"/>
        </w:rPr>
        <w:t xml:space="preserve">of </w:t>
      </w:r>
      <w:r w:rsidRPr="00E4265B">
        <w:rPr>
          <w:rFonts w:ascii="Arial" w:hAnsi="Arial" w:cs="Arial"/>
          <w:sz w:val="22"/>
          <w:szCs w:val="22"/>
          <w:lang w:val="en-GB"/>
        </w:rPr>
        <w:t xml:space="preserve">both </w:t>
      </w:r>
      <w:r w:rsidR="00896E3B" w:rsidRPr="00E4265B">
        <w:rPr>
          <w:rFonts w:ascii="Arial" w:hAnsi="Arial" w:cs="Arial"/>
          <w:sz w:val="22"/>
          <w:szCs w:val="22"/>
          <w:lang w:val="en-GB"/>
        </w:rPr>
        <w:t xml:space="preserve">strength </w:t>
      </w:r>
      <w:r w:rsidRPr="00E4265B">
        <w:rPr>
          <w:rFonts w:ascii="Arial" w:hAnsi="Arial" w:cs="Arial"/>
          <w:sz w:val="22"/>
          <w:szCs w:val="22"/>
          <w:lang w:val="en-GB"/>
        </w:rPr>
        <w:t xml:space="preserve">and </w:t>
      </w:r>
      <w:r w:rsidR="00896E3B" w:rsidRPr="00E4265B">
        <w:rPr>
          <w:rFonts w:ascii="Arial" w:hAnsi="Arial" w:cs="Arial"/>
          <w:sz w:val="22"/>
          <w:szCs w:val="22"/>
          <w:lang w:val="en-GB"/>
        </w:rPr>
        <w:t xml:space="preserve">weakness </w:t>
      </w:r>
      <w:r w:rsidRPr="00E4265B">
        <w:rPr>
          <w:rFonts w:ascii="Arial" w:hAnsi="Arial" w:cs="Arial"/>
          <w:sz w:val="22"/>
          <w:szCs w:val="22"/>
          <w:lang w:val="en-GB"/>
        </w:rPr>
        <w:t xml:space="preserve">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The purpose of Group Risk requirements is to ensure that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takes proper account of the risks related to the </w:t>
      </w:r>
      <w:r w:rsidR="000D1A90" w:rsidRPr="00E4265B">
        <w:rPr>
          <w:rFonts w:ascii="Arial" w:hAnsi="Arial" w:cs="Arial"/>
          <w:sz w:val="22"/>
          <w:szCs w:val="22"/>
          <w:lang w:val="en-GB"/>
        </w:rPr>
        <w:t>Authorised Person</w:t>
      </w:r>
      <w:r w:rsidRPr="00E4265B">
        <w:rPr>
          <w:rFonts w:ascii="Arial" w:hAnsi="Arial" w:cs="Arial"/>
          <w:sz w:val="22"/>
          <w:szCs w:val="22"/>
          <w:lang w:val="en-GB"/>
        </w:rPr>
        <w:t>'s membership of a Group. The Group Risk requirements form a key part of the Regulator's overall approach to prudential supervision.</w:t>
      </w:r>
    </w:p>
    <w:p w14:paraId="2949B024" w14:textId="77777777" w:rsidR="00E22FF2" w:rsidRPr="00E4265B" w:rsidRDefault="00E22FF2" w:rsidP="006957A1">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Section 8.5 imposes important restrictions on the ability of </w:t>
      </w:r>
      <w:r w:rsidR="000D1A90" w:rsidRPr="00E4265B">
        <w:rPr>
          <w:rFonts w:ascii="Arial" w:hAnsi="Arial" w:cs="Arial"/>
          <w:sz w:val="22"/>
          <w:szCs w:val="22"/>
          <w:lang w:val="en-GB"/>
        </w:rPr>
        <w:t>Authorised Person</w:t>
      </w:r>
      <w:r w:rsidRPr="00E4265B">
        <w:rPr>
          <w:rFonts w:ascii="Arial" w:hAnsi="Arial" w:cs="Arial"/>
          <w:sz w:val="22"/>
          <w:szCs w:val="22"/>
          <w:lang w:val="en-GB"/>
        </w:rPr>
        <w:t>s in Category 3A, 3B, 3C or 4, and Financial Institutions</w:t>
      </w:r>
      <w:r w:rsidR="00BF2706" w:rsidRPr="00E4265B">
        <w:rPr>
          <w:rFonts w:ascii="Arial" w:hAnsi="Arial" w:cs="Arial"/>
          <w:sz w:val="22"/>
          <w:szCs w:val="22"/>
          <w:lang w:val="en-GB"/>
        </w:rPr>
        <w:t xml:space="preserve"> which are not regulated in ADGM</w:t>
      </w:r>
      <w:r w:rsidRPr="00E4265B">
        <w:rPr>
          <w:rFonts w:ascii="Arial" w:hAnsi="Arial" w:cs="Arial"/>
          <w:sz w:val="22"/>
          <w:szCs w:val="22"/>
          <w:lang w:val="en-GB"/>
        </w:rPr>
        <w:t xml:space="preserve">, to be a Parent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Category 1 or 5, or of a firm carrying on similar activities outside of the ADGM.</w:t>
      </w:r>
    </w:p>
    <w:p w14:paraId="0AF70AF5" w14:textId="77777777" w:rsidR="00E22FF2" w:rsidRPr="00E4265B" w:rsidRDefault="00E22FF2" w:rsidP="003D4C5D">
      <w:pPr>
        <w:pStyle w:val="TitleL5"/>
        <w:rPr>
          <w:rFonts w:ascii="Arial" w:hAnsi="Arial" w:cs="Arial"/>
          <w:sz w:val="22"/>
          <w:szCs w:val="22"/>
          <w:lang w:val="en-GB"/>
        </w:rPr>
      </w:pPr>
      <w:r w:rsidRPr="00E4265B">
        <w:rPr>
          <w:rFonts w:ascii="Arial" w:hAnsi="Arial" w:cs="Arial"/>
          <w:sz w:val="22"/>
          <w:szCs w:val="22"/>
          <w:lang w:val="en-GB"/>
        </w:rPr>
        <w:t>Requirements by the Regulator</w:t>
      </w:r>
    </w:p>
    <w:p w14:paraId="6692AA3C" w14:textId="3E20604A" w:rsidR="00C32E14" w:rsidRPr="00E4265B" w:rsidRDefault="00C32E14" w:rsidP="00C32E14">
      <w:pPr>
        <w:pStyle w:val="Heading4"/>
        <w:tabs>
          <w:tab w:val="clear" w:pos="936"/>
          <w:tab w:val="left" w:pos="900"/>
        </w:tabs>
        <w:ind w:left="900" w:hanging="900"/>
        <w:rPr>
          <w:rFonts w:ascii="Arial" w:hAnsi="Arial" w:cs="Arial"/>
          <w:sz w:val="22"/>
          <w:szCs w:val="22"/>
        </w:rPr>
      </w:pPr>
      <w:r w:rsidRPr="00E4265B">
        <w:rPr>
          <w:rFonts w:ascii="Arial" w:hAnsi="Arial" w:cs="Arial"/>
          <w:sz w:val="22"/>
          <w:szCs w:val="22"/>
        </w:rPr>
        <w:t>Upon notice to an Authorised Person from the Regulator, the Regulator will be the consolidated supervisor of a Financial Group to which an Authorised Person belongs. The Regulator may require an Authorised Person forming part of a Financial Group to comply with requirements under PRU on a consolidated basis.</w:t>
      </w:r>
    </w:p>
    <w:p w14:paraId="426C0B81" w14:textId="6D22AEA4" w:rsidR="00E22FF2" w:rsidRPr="00E4265B" w:rsidRDefault="00E22FF2" w:rsidP="00864B04">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The Regulator may require an </w:t>
      </w:r>
      <w:r w:rsidR="000D1A90" w:rsidRPr="00E4265B">
        <w:rPr>
          <w:rFonts w:ascii="Arial" w:hAnsi="Arial" w:cs="Arial"/>
          <w:sz w:val="22"/>
          <w:szCs w:val="22"/>
        </w:rPr>
        <w:t>Authorised Person</w:t>
      </w:r>
      <w:r w:rsidRPr="00E4265B">
        <w:rPr>
          <w:rFonts w:ascii="Arial" w:hAnsi="Arial" w:cs="Arial"/>
          <w:sz w:val="22"/>
          <w:szCs w:val="22"/>
        </w:rPr>
        <w:t xml:space="preserve"> to:</w:t>
      </w:r>
    </w:p>
    <w:p w14:paraId="46023E09"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form a Financial Group with any other entity within its Group; or</w:t>
      </w:r>
    </w:p>
    <w:p w14:paraId="5F12C7DE"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include within its Financial Group any other entity within its Group; </w:t>
      </w:r>
    </w:p>
    <w:p w14:paraId="6E8A7F5D" w14:textId="77777777" w:rsidR="00E22FF2" w:rsidRPr="00E4265B" w:rsidRDefault="00E22FF2" w:rsidP="00864B04">
      <w:pPr>
        <w:pStyle w:val="UK12Block10"/>
        <w:ind w:left="1800"/>
        <w:rPr>
          <w:rFonts w:ascii="Arial" w:hAnsi="Arial" w:cs="Arial"/>
          <w:sz w:val="22"/>
          <w:szCs w:val="22"/>
          <w:lang w:val="en-GB"/>
        </w:rPr>
      </w:pPr>
      <w:r w:rsidRPr="00E4265B">
        <w:rPr>
          <w:rFonts w:ascii="Arial" w:hAnsi="Arial" w:cs="Arial"/>
          <w:sz w:val="22"/>
          <w:szCs w:val="22"/>
          <w:lang w:val="en-GB"/>
        </w:rPr>
        <w:t xml:space="preserve">where the Regulator considers it necessary or desirable to do so in the interests of effective supervision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52450C51" w14:textId="77777777" w:rsidR="00E22FF2" w:rsidRPr="00E4265B" w:rsidRDefault="00E22FF2" w:rsidP="003D4C5D">
      <w:pPr>
        <w:pStyle w:val="1List"/>
        <w:rPr>
          <w:rFonts w:ascii="Arial" w:hAnsi="Arial" w:cs="Arial"/>
          <w:sz w:val="22"/>
          <w:szCs w:val="22"/>
          <w:lang w:val="en-GB"/>
        </w:rPr>
      </w:pPr>
      <w:r w:rsidRPr="00E4265B">
        <w:rPr>
          <w:rFonts w:ascii="Arial" w:hAnsi="Arial" w:cs="Arial"/>
          <w:sz w:val="22"/>
          <w:szCs w:val="22"/>
          <w:lang w:val="en-GB"/>
        </w:rPr>
        <w:lastRenderedPageBreak/>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for the purposes of this Section, exclude from its Financial Group any entity the inclusion of which would be misleading or inappropriate for the purposes of Financial Group supervision, provided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obtained the Regulator's prior written approval.</w:t>
      </w:r>
    </w:p>
    <w:p w14:paraId="3DF6713E" w14:textId="77777777" w:rsidR="00E22FF2" w:rsidRPr="00E4265B" w:rsidRDefault="00E22FF2" w:rsidP="003D4C5D">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provide to the Regulator, if requested, any of the following information in relation to its Group or Financial Group:</w:t>
      </w:r>
    </w:p>
    <w:p w14:paraId="32632DFE"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details as to the entities within the Group or Financial Group;</w:t>
      </w:r>
    </w:p>
    <w:p w14:paraId="21E83447"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structure of the Group or Financial Group; and</w:t>
      </w:r>
    </w:p>
    <w:p w14:paraId="642A5AD0"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systems and controls in place to manage Group Risk.</w:t>
      </w:r>
    </w:p>
    <w:p w14:paraId="47EAC14B" w14:textId="77777777" w:rsidR="00E22FF2" w:rsidRPr="00E4265B" w:rsidRDefault="00E22FF2" w:rsidP="006957A1">
      <w:pPr>
        <w:pStyle w:val="TitleL5"/>
        <w:rPr>
          <w:rFonts w:ascii="Arial" w:hAnsi="Arial" w:cs="Arial"/>
          <w:sz w:val="22"/>
          <w:szCs w:val="22"/>
          <w:lang w:val="en-GB"/>
        </w:rPr>
      </w:pPr>
      <w:r w:rsidRPr="00E4265B">
        <w:rPr>
          <w:rFonts w:ascii="Arial" w:hAnsi="Arial" w:cs="Arial"/>
          <w:sz w:val="22"/>
          <w:szCs w:val="22"/>
          <w:lang w:val="en-GB"/>
        </w:rPr>
        <w:t>Guidance</w:t>
      </w:r>
    </w:p>
    <w:p w14:paraId="14062B06" w14:textId="77777777" w:rsidR="00E22FF2" w:rsidRPr="00E4265B" w:rsidRDefault="00E22FF2" w:rsidP="003D4C5D">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If more than one member of the same Group is subject to an obligation to provide information in respect of a position of the Group or Financial Group, one or more of those </w:t>
      </w:r>
      <w:r w:rsidR="000D1A90" w:rsidRPr="00E4265B">
        <w:rPr>
          <w:rFonts w:ascii="Arial" w:hAnsi="Arial" w:cs="Arial"/>
          <w:sz w:val="22"/>
          <w:szCs w:val="22"/>
          <w:lang w:val="en-GB"/>
        </w:rPr>
        <w:t>Authorised Person</w:t>
      </w:r>
      <w:r w:rsidRPr="00E4265B">
        <w:rPr>
          <w:rFonts w:ascii="Arial" w:hAnsi="Arial" w:cs="Arial"/>
          <w:sz w:val="22"/>
          <w:szCs w:val="22"/>
          <w:lang w:val="en-GB"/>
        </w:rPr>
        <w:t>s may make application to the Regulator for an appropriate waiver or modification.</w:t>
      </w:r>
    </w:p>
    <w:p w14:paraId="4BAD3150" w14:textId="59469341" w:rsidR="00E22FF2" w:rsidRPr="00E4265B" w:rsidRDefault="00E22FF2" w:rsidP="00C32E14">
      <w:pPr>
        <w:pStyle w:val="1List0"/>
        <w:rPr>
          <w:rFonts w:ascii="Arial" w:hAnsi="Arial" w:cs="Arial"/>
          <w:sz w:val="22"/>
          <w:szCs w:val="22"/>
          <w:lang w:val="en-GB"/>
        </w:rPr>
      </w:pPr>
      <w:r w:rsidRPr="00E4265B">
        <w:rPr>
          <w:rFonts w:ascii="Arial" w:hAnsi="Arial" w:cs="Arial"/>
          <w:sz w:val="22"/>
          <w:szCs w:val="22"/>
          <w:lang w:val="en-GB"/>
        </w:rPr>
        <w:t>2</w:t>
      </w:r>
      <w:r w:rsidR="00C32E14" w:rsidRPr="00E4265B">
        <w:rPr>
          <w:rFonts w:ascii="Arial" w:hAnsi="Arial" w:cs="Arial"/>
          <w:sz w:val="22"/>
          <w:szCs w:val="22"/>
          <w:lang w:val="en-GB"/>
        </w:rPr>
        <w:t>.</w:t>
      </w:r>
      <w:r w:rsidR="00C32E14" w:rsidRPr="00E4265B">
        <w:rPr>
          <w:rFonts w:ascii="Arial" w:hAnsi="Arial" w:cs="Arial"/>
          <w:sz w:val="22"/>
          <w:szCs w:val="22"/>
          <w:lang w:val="en-GB"/>
        </w:rPr>
        <w:tab/>
        <w:t>For the purposes of Rule 8.1.3</w:t>
      </w:r>
      <w:r w:rsidRPr="00E4265B">
        <w:rPr>
          <w:rFonts w:ascii="Arial" w:hAnsi="Arial" w:cs="Arial"/>
          <w:sz w:val="22"/>
          <w:szCs w:val="22"/>
          <w:lang w:val="en-GB"/>
        </w:rPr>
        <w:t xml:space="preserve">, the Regulator would consider a range of factors when requiring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form a Financial Group. These factors would include regulatory risk factors, including but not limited to, (direct and indirect) participation, influence or contractual obligations</w:t>
      </w:r>
      <w:r w:rsidR="00BA0D09" w:rsidRPr="00E4265B">
        <w:rPr>
          <w:rFonts w:ascii="Arial" w:hAnsi="Arial" w:cs="Arial"/>
          <w:sz w:val="22"/>
          <w:szCs w:val="22"/>
          <w:lang w:val="en-GB"/>
        </w:rPr>
        <w:t>, interconnectedness, intra G</w:t>
      </w:r>
      <w:r w:rsidRPr="00E4265B">
        <w:rPr>
          <w:rFonts w:ascii="Arial" w:hAnsi="Arial" w:cs="Arial"/>
          <w:sz w:val="22"/>
          <w:szCs w:val="22"/>
          <w:lang w:val="en-GB"/>
        </w:rPr>
        <w:t xml:space="preserve">roup </w:t>
      </w:r>
      <w:r w:rsidR="005F3B3B" w:rsidRPr="00E4265B">
        <w:rPr>
          <w:rFonts w:ascii="Arial" w:hAnsi="Arial" w:cs="Arial"/>
          <w:sz w:val="22"/>
          <w:szCs w:val="22"/>
          <w:lang w:val="en-GB"/>
        </w:rPr>
        <w:t>Exposure</w:t>
      </w:r>
      <w:r w:rsidR="00BA0D09" w:rsidRPr="00E4265B">
        <w:rPr>
          <w:rFonts w:ascii="Arial" w:hAnsi="Arial" w:cs="Arial"/>
          <w:sz w:val="22"/>
          <w:szCs w:val="22"/>
          <w:lang w:val="en-GB"/>
        </w:rPr>
        <w:t>s, intra G</w:t>
      </w:r>
      <w:r w:rsidRPr="00E4265B">
        <w:rPr>
          <w:rFonts w:ascii="Arial" w:hAnsi="Arial" w:cs="Arial"/>
          <w:sz w:val="22"/>
          <w:szCs w:val="22"/>
          <w:lang w:val="en-GB"/>
        </w:rPr>
        <w:t>roup services, regulatory status and legal framework.</w:t>
      </w:r>
    </w:p>
    <w:p w14:paraId="4E49A360" w14:textId="77777777" w:rsidR="00E22FF2" w:rsidRPr="00E4265B" w:rsidRDefault="00E22FF2" w:rsidP="00246497">
      <w:pPr>
        <w:pStyle w:val="Heading3"/>
        <w:rPr>
          <w:rFonts w:ascii="Arial" w:hAnsi="Arial" w:cs="Arial"/>
          <w:sz w:val="22"/>
          <w:szCs w:val="22"/>
        </w:rPr>
      </w:pPr>
      <w:bookmarkStart w:id="760" w:name="_Toc403223988"/>
      <w:bookmarkStart w:id="761" w:name="_Toc403254026"/>
      <w:bookmarkStart w:id="762" w:name="_Toc403273426"/>
      <w:bookmarkStart w:id="763" w:name="_Toc403273575"/>
      <w:bookmarkStart w:id="764" w:name="_Toc403274534"/>
      <w:bookmarkStart w:id="765" w:name="_Toc403280030"/>
      <w:bookmarkStart w:id="766" w:name="_Toc404285831"/>
      <w:bookmarkStart w:id="767" w:name="_Toc404621780"/>
      <w:bookmarkStart w:id="768" w:name="_Toc404624421"/>
      <w:bookmarkStart w:id="769" w:name="_Toc33622447"/>
      <w:r w:rsidRPr="00E4265B">
        <w:rPr>
          <w:rFonts w:ascii="Arial" w:hAnsi="Arial" w:cs="Arial"/>
          <w:sz w:val="22"/>
          <w:szCs w:val="22"/>
        </w:rPr>
        <w:t>Systems and controls requirements</w:t>
      </w:r>
      <w:bookmarkEnd w:id="760"/>
      <w:bookmarkEnd w:id="761"/>
      <w:bookmarkEnd w:id="762"/>
      <w:bookmarkEnd w:id="763"/>
      <w:bookmarkEnd w:id="764"/>
      <w:bookmarkEnd w:id="765"/>
      <w:bookmarkEnd w:id="766"/>
      <w:bookmarkEnd w:id="767"/>
      <w:bookmarkEnd w:id="768"/>
      <w:bookmarkEnd w:id="769"/>
    </w:p>
    <w:p w14:paraId="7A0D877E"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 Category 1, 2 or 5 that is a member of a Group must establish and maintain systems and controls for the purpose of:</w:t>
      </w:r>
    </w:p>
    <w:p w14:paraId="7413E30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monitoring the effect on the </w:t>
      </w:r>
      <w:r w:rsidR="000D1A90" w:rsidRPr="00E4265B">
        <w:rPr>
          <w:rFonts w:ascii="Arial" w:hAnsi="Arial" w:cs="Arial"/>
          <w:sz w:val="22"/>
          <w:szCs w:val="22"/>
        </w:rPr>
        <w:t>Authorised Person</w:t>
      </w:r>
      <w:r w:rsidRPr="00E4265B">
        <w:rPr>
          <w:rFonts w:ascii="Arial" w:hAnsi="Arial" w:cs="Arial"/>
          <w:sz w:val="22"/>
          <w:szCs w:val="22"/>
        </w:rPr>
        <w:t xml:space="preserve"> of:</w:t>
      </w:r>
    </w:p>
    <w:p w14:paraId="39F8B5D8"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 xml:space="preserve">its relationship with other members of its Group; </w:t>
      </w:r>
    </w:p>
    <w:p w14:paraId="1564EB86"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its membership in its Group; and</w:t>
      </w:r>
    </w:p>
    <w:p w14:paraId="5BAC352A" w14:textId="77777777" w:rsidR="00E22FF2" w:rsidRPr="00E4265B" w:rsidRDefault="00E22FF2" w:rsidP="005C0DDF">
      <w:pPr>
        <w:pStyle w:val="Heading6"/>
        <w:rPr>
          <w:rFonts w:ascii="Arial" w:hAnsi="Arial" w:cs="Arial"/>
          <w:sz w:val="22"/>
          <w:szCs w:val="22"/>
        </w:rPr>
      </w:pPr>
      <w:r w:rsidRPr="00E4265B">
        <w:rPr>
          <w:rFonts w:ascii="Arial" w:hAnsi="Arial" w:cs="Arial"/>
          <w:sz w:val="22"/>
          <w:szCs w:val="22"/>
        </w:rPr>
        <w:t>the activities of other members of its Group;</w:t>
      </w:r>
    </w:p>
    <w:p w14:paraId="78808304"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monitoring compliance with Financial Group supervision requirements below, including systems for the production of relevant data;</w:t>
      </w:r>
    </w:p>
    <w:p w14:paraId="752F2CD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monitoring funding within the Group; and</w:t>
      </w:r>
    </w:p>
    <w:p w14:paraId="2DD7D54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monitoring compliance with Financial Group reporting requirements.</w:t>
      </w:r>
    </w:p>
    <w:p w14:paraId="4C1EB06E" w14:textId="77777777" w:rsidR="00E22FF2" w:rsidRPr="00E4265B" w:rsidRDefault="00E22FF2" w:rsidP="006957A1">
      <w:pPr>
        <w:pStyle w:val="TitleL5"/>
        <w:rPr>
          <w:rFonts w:ascii="Arial" w:hAnsi="Arial" w:cs="Arial"/>
          <w:sz w:val="22"/>
          <w:szCs w:val="22"/>
          <w:lang w:val="en-GB"/>
        </w:rPr>
      </w:pPr>
      <w:r w:rsidRPr="00E4265B">
        <w:rPr>
          <w:rFonts w:ascii="Arial" w:hAnsi="Arial" w:cs="Arial"/>
          <w:sz w:val="22"/>
          <w:szCs w:val="22"/>
          <w:lang w:val="en-GB"/>
        </w:rPr>
        <w:t>Guidance</w:t>
      </w:r>
    </w:p>
    <w:p w14:paraId="50635469" w14:textId="77777777" w:rsidR="00E22FF2" w:rsidRPr="00E4265B" w:rsidRDefault="00E22FF2" w:rsidP="006957A1">
      <w:pPr>
        <w:pStyle w:val="UK12Block05"/>
        <w:rPr>
          <w:rFonts w:ascii="Arial" w:hAnsi="Arial" w:cs="Arial"/>
          <w:sz w:val="22"/>
          <w:szCs w:val="22"/>
          <w:lang w:val="en-GB"/>
        </w:rPr>
      </w:pPr>
      <w:r w:rsidRPr="00E4265B">
        <w:rPr>
          <w:rFonts w:ascii="Arial" w:hAnsi="Arial" w:cs="Arial"/>
          <w:sz w:val="22"/>
          <w:szCs w:val="22"/>
          <w:lang w:val="en-GB"/>
        </w:rPr>
        <w:t xml:space="preserve">For the purposes of the above requirement,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take into account its position within its Group. For instance, it would be reasonable for a small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within a larger Group</w:t>
      </w:r>
      <w:r w:rsidR="00BC49E0" w:rsidRPr="00E4265B">
        <w:rPr>
          <w:rFonts w:ascii="Arial" w:hAnsi="Arial" w:cs="Arial"/>
          <w:sz w:val="22"/>
          <w:szCs w:val="22"/>
          <w:lang w:val="en-GB"/>
        </w:rPr>
        <w:t xml:space="preserve"> to place some reliance on its P</w:t>
      </w:r>
      <w:r w:rsidRPr="00E4265B">
        <w:rPr>
          <w:rFonts w:ascii="Arial" w:hAnsi="Arial" w:cs="Arial"/>
          <w:sz w:val="22"/>
          <w:szCs w:val="22"/>
          <w:lang w:val="en-GB"/>
        </w:rPr>
        <w:t>arent to ensure that appropriate systems and controls are in place.</w:t>
      </w:r>
    </w:p>
    <w:p w14:paraId="0DAA21EE" w14:textId="77777777" w:rsidR="00E22FF2" w:rsidRPr="00E4265B" w:rsidRDefault="00E22FF2" w:rsidP="00864B04">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lastRenderedPageBreak/>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have systems and controls to enable it to determine and monitor:</w:t>
      </w:r>
    </w:p>
    <w:p w14:paraId="52E45C82"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its Financial Group Capital Requirement; and</w:t>
      </w:r>
    </w:p>
    <w:p w14:paraId="1DBDD825"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whether the amount of its Financial Group Capital Resources is, and is likely to remain, greater than the amount of its Financial Group Capital Requirement.</w:t>
      </w:r>
    </w:p>
    <w:p w14:paraId="1719D305" w14:textId="77777777" w:rsidR="00E22FF2" w:rsidRPr="00E4265B" w:rsidRDefault="00E22FF2" w:rsidP="006957A1">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Such systems and controls must include an analysis of:</w:t>
      </w:r>
    </w:p>
    <w:p w14:paraId="54C1168B"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realistic scenarios which are relevant to the circumstances of the Financial Group; and</w:t>
      </w:r>
    </w:p>
    <w:p w14:paraId="0E8AC763"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effects on the Financial Group Capital Requirement and on the Financial Group Capital Resources if those scenarios occurred.</w:t>
      </w:r>
    </w:p>
    <w:p w14:paraId="7D0FE239" w14:textId="1F1A4443" w:rsidR="00E22FF2" w:rsidRPr="00E4265B" w:rsidRDefault="00E22FF2" w:rsidP="00246497">
      <w:pPr>
        <w:pStyle w:val="Heading3"/>
        <w:rPr>
          <w:rFonts w:ascii="Arial" w:hAnsi="Arial" w:cs="Arial"/>
          <w:sz w:val="22"/>
          <w:szCs w:val="22"/>
        </w:rPr>
      </w:pPr>
      <w:bookmarkStart w:id="770" w:name="_Toc403223989"/>
      <w:bookmarkStart w:id="771" w:name="_Toc403254027"/>
      <w:bookmarkStart w:id="772" w:name="_Toc403273427"/>
      <w:bookmarkStart w:id="773" w:name="_Toc403273576"/>
      <w:bookmarkStart w:id="774" w:name="_Toc403274535"/>
      <w:bookmarkStart w:id="775" w:name="_Toc403280031"/>
      <w:bookmarkStart w:id="776" w:name="_Toc404285832"/>
      <w:bookmarkStart w:id="777" w:name="_Toc404621781"/>
      <w:bookmarkStart w:id="778" w:name="_Toc404624422"/>
      <w:bookmarkStart w:id="779" w:name="_Toc33622448"/>
      <w:r w:rsidRPr="00E4265B">
        <w:rPr>
          <w:rFonts w:ascii="Arial" w:hAnsi="Arial" w:cs="Arial"/>
          <w:sz w:val="22"/>
          <w:szCs w:val="22"/>
        </w:rPr>
        <w:t>Financial G</w:t>
      </w:r>
      <w:r w:rsidR="00601D29" w:rsidRPr="00E4265B">
        <w:rPr>
          <w:rFonts w:ascii="Arial" w:hAnsi="Arial" w:cs="Arial"/>
          <w:sz w:val="22"/>
          <w:szCs w:val="22"/>
        </w:rPr>
        <w:t xml:space="preserve">roup </w:t>
      </w:r>
      <w:r w:rsidRPr="00E4265B">
        <w:rPr>
          <w:rFonts w:ascii="Arial" w:hAnsi="Arial" w:cs="Arial"/>
          <w:sz w:val="22"/>
          <w:szCs w:val="22"/>
        </w:rPr>
        <w:t>Capital Requirements and Financial Group Capital Resources</w:t>
      </w:r>
      <w:bookmarkEnd w:id="770"/>
      <w:bookmarkEnd w:id="771"/>
      <w:bookmarkEnd w:id="772"/>
      <w:bookmarkEnd w:id="773"/>
      <w:bookmarkEnd w:id="774"/>
      <w:bookmarkEnd w:id="775"/>
      <w:bookmarkEnd w:id="776"/>
      <w:bookmarkEnd w:id="777"/>
      <w:bookmarkEnd w:id="778"/>
      <w:bookmarkEnd w:id="779"/>
    </w:p>
    <w:p w14:paraId="6566ACED" w14:textId="77777777" w:rsidR="00E22FF2" w:rsidRPr="00E4265B" w:rsidRDefault="00E22FF2" w:rsidP="006957A1">
      <w:pPr>
        <w:pStyle w:val="TitleL5"/>
        <w:rPr>
          <w:rFonts w:ascii="Arial" w:hAnsi="Arial" w:cs="Arial"/>
          <w:sz w:val="22"/>
          <w:szCs w:val="22"/>
          <w:lang w:val="en-GB"/>
        </w:rPr>
      </w:pPr>
      <w:r w:rsidRPr="00E4265B">
        <w:rPr>
          <w:rFonts w:ascii="Arial" w:hAnsi="Arial" w:cs="Arial"/>
          <w:sz w:val="22"/>
          <w:szCs w:val="22"/>
          <w:lang w:val="en-GB"/>
        </w:rPr>
        <w:t>Guidance</w:t>
      </w:r>
    </w:p>
    <w:p w14:paraId="2F04E2A1" w14:textId="77777777" w:rsidR="00E22FF2" w:rsidRPr="00E4265B" w:rsidRDefault="00E22FF2" w:rsidP="006957A1">
      <w:pPr>
        <w:pStyle w:val="UK12Block05"/>
        <w:rPr>
          <w:rFonts w:ascii="Arial" w:hAnsi="Arial" w:cs="Arial"/>
          <w:sz w:val="22"/>
          <w:szCs w:val="22"/>
          <w:lang w:val="en-GB"/>
        </w:rPr>
      </w:pPr>
      <w:r w:rsidRPr="00E4265B">
        <w:rPr>
          <w:rFonts w:ascii="Arial" w:hAnsi="Arial" w:cs="Arial"/>
          <w:sz w:val="22"/>
          <w:szCs w:val="22"/>
          <w:lang w:val="en-GB"/>
        </w:rPr>
        <w:t xml:space="preserve">By Rule 8.1.1(2), this Section applies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Category 1, 2 or 5.</w:t>
      </w:r>
    </w:p>
    <w:p w14:paraId="69770EDB"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The other Rules in Section 8.3 do not apply to an </w:t>
      </w:r>
      <w:r w:rsidR="000D1A90" w:rsidRPr="00E4265B">
        <w:rPr>
          <w:rFonts w:ascii="Arial" w:hAnsi="Arial" w:cs="Arial"/>
          <w:sz w:val="22"/>
          <w:szCs w:val="22"/>
        </w:rPr>
        <w:t>Authorised Person</w:t>
      </w:r>
      <w:r w:rsidRPr="00E4265B">
        <w:rPr>
          <w:rFonts w:ascii="Arial" w:hAnsi="Arial" w:cs="Arial"/>
          <w:sz w:val="22"/>
          <w:szCs w:val="22"/>
        </w:rPr>
        <w:t xml:space="preserve"> if:</w:t>
      </w:r>
    </w:p>
    <w:p w14:paraId="1781D5A2" w14:textId="77777777" w:rsidR="00E22FF2" w:rsidRPr="00E4265B" w:rsidRDefault="00E22FF2" w:rsidP="003D4C5D">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's Financial Group is already the subject of Financial Group prudential supervision by the Regulator as a result of the authorisation of another Financial Group member;</w:t>
      </w:r>
    </w:p>
    <w:p w14:paraId="6AED54CE" w14:textId="77777777" w:rsidR="00E22FF2" w:rsidRPr="00E4265B" w:rsidRDefault="00E22FF2" w:rsidP="003D4C5D">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Regulator has confirmed in writing, in response to an application from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that it is satisfied that the </w:t>
      </w:r>
      <w:r w:rsidR="000D1A90" w:rsidRPr="00E4265B">
        <w:rPr>
          <w:rFonts w:ascii="Arial" w:hAnsi="Arial" w:cs="Arial"/>
          <w:sz w:val="22"/>
          <w:szCs w:val="22"/>
          <w:lang w:val="en-GB"/>
        </w:rPr>
        <w:t>Authorised Person</w:t>
      </w:r>
      <w:r w:rsidRPr="00E4265B">
        <w:rPr>
          <w:rFonts w:ascii="Arial" w:hAnsi="Arial" w:cs="Arial"/>
          <w:sz w:val="22"/>
          <w:szCs w:val="22"/>
          <w:lang w:val="en-GB"/>
        </w:rPr>
        <w:t>'s Group is the subject of consolidated prudential supervision by an appropriate regulator; or</w:t>
      </w:r>
    </w:p>
    <w:p w14:paraId="2DDB6271" w14:textId="062F57FB" w:rsidR="00E22FF2" w:rsidRPr="00E4265B" w:rsidRDefault="00E22FF2" w:rsidP="00601D29">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except where the Regulator has directed the inclusion of an entity pursuant to Rule 8.1.</w:t>
      </w:r>
      <w:r w:rsidR="00601D29" w:rsidRPr="00E4265B">
        <w:rPr>
          <w:rFonts w:ascii="Arial" w:hAnsi="Arial" w:cs="Arial"/>
          <w:sz w:val="22"/>
          <w:szCs w:val="22"/>
          <w:lang w:val="en-GB"/>
        </w:rPr>
        <w:t>3</w:t>
      </w:r>
      <w:r w:rsidRPr="00E4265B">
        <w:rPr>
          <w:rFonts w:ascii="Arial" w:hAnsi="Arial" w:cs="Arial"/>
          <w:sz w:val="22"/>
          <w:szCs w:val="22"/>
          <w:lang w:val="en-GB"/>
        </w:rPr>
        <w:t xml:space="preserve">, the percentage of total assets of </w:t>
      </w:r>
      <w:r w:rsidR="000D1A90" w:rsidRPr="00E4265B">
        <w:rPr>
          <w:rFonts w:ascii="Arial" w:hAnsi="Arial" w:cs="Arial"/>
          <w:sz w:val="22"/>
          <w:szCs w:val="22"/>
          <w:lang w:val="en-GB"/>
        </w:rPr>
        <w:t>Authorised Person</w:t>
      </w:r>
      <w:r w:rsidRPr="00E4265B">
        <w:rPr>
          <w:rFonts w:ascii="Arial" w:hAnsi="Arial" w:cs="Arial"/>
          <w:sz w:val="22"/>
          <w:szCs w:val="22"/>
          <w:lang w:val="en-GB"/>
        </w:rPr>
        <w:t>s and Financial Institutions in the Financial Group is less than 40% of the total Financial Group assets.</w:t>
      </w:r>
    </w:p>
    <w:p w14:paraId="545C496A" w14:textId="68E89EDD" w:rsidR="00E22FF2" w:rsidRPr="00E4265B" w:rsidRDefault="00E22FF2" w:rsidP="00896E3B">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receives confirmation in writing from the Regulator in accordance with (1)(b), it </w:t>
      </w:r>
      <w:r w:rsidR="00896E3B" w:rsidRPr="00E4265B">
        <w:rPr>
          <w:rFonts w:ascii="Arial" w:hAnsi="Arial" w:cs="Arial"/>
          <w:sz w:val="22"/>
          <w:szCs w:val="22"/>
          <w:lang w:val="en-GB"/>
        </w:rPr>
        <w:t>must</w:t>
      </w:r>
      <w:r w:rsidRPr="00E4265B">
        <w:rPr>
          <w:rFonts w:ascii="Arial" w:hAnsi="Arial" w:cs="Arial"/>
          <w:sz w:val="22"/>
          <w:szCs w:val="22"/>
          <w:lang w:val="en-GB"/>
        </w:rPr>
        <w:t xml:space="preserve"> immediately advise the Regulator in writing if the circumstances upon which the confirmation was based change.</w:t>
      </w:r>
    </w:p>
    <w:p w14:paraId="7379427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ensure at all times that its Financial Group Capital Resources, as calculated in Rule 8.3.4, are equal to or in excess of its Financial Group Capital Requirement as calculated in Rule 8.3.3.</w:t>
      </w:r>
    </w:p>
    <w:p w14:paraId="0DF7E311" w14:textId="77777777" w:rsidR="00E22FF2" w:rsidRPr="00E4265B" w:rsidRDefault="00E22FF2" w:rsidP="006957A1">
      <w:pPr>
        <w:pStyle w:val="TitleL5"/>
        <w:rPr>
          <w:rFonts w:ascii="Arial" w:hAnsi="Arial" w:cs="Arial"/>
          <w:sz w:val="22"/>
          <w:szCs w:val="22"/>
          <w:lang w:val="en-GB"/>
        </w:rPr>
      </w:pPr>
      <w:r w:rsidRPr="00E4265B">
        <w:rPr>
          <w:rFonts w:ascii="Arial" w:hAnsi="Arial" w:cs="Arial"/>
          <w:sz w:val="22"/>
          <w:szCs w:val="22"/>
          <w:lang w:val="en-GB"/>
        </w:rPr>
        <w:t>Guidance</w:t>
      </w:r>
    </w:p>
    <w:p w14:paraId="79CEC52F" w14:textId="77777777" w:rsidR="00E22FF2" w:rsidRPr="00E4265B" w:rsidRDefault="00E22FF2" w:rsidP="003D4C5D">
      <w:pPr>
        <w:pStyle w:val="UK12Block05"/>
        <w:rPr>
          <w:rFonts w:ascii="Arial" w:hAnsi="Arial" w:cs="Arial"/>
          <w:sz w:val="22"/>
          <w:szCs w:val="22"/>
          <w:lang w:val="en-GB"/>
        </w:rPr>
      </w:pPr>
      <w:r w:rsidRPr="00E4265B">
        <w:rPr>
          <w:rFonts w:ascii="Arial" w:hAnsi="Arial" w:cs="Arial"/>
          <w:sz w:val="22"/>
          <w:szCs w:val="22"/>
          <w:lang w:val="en-GB"/>
        </w:rPr>
        <w:t xml:space="preserve">If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breaches Rule 8.3.2, the Regulator will take into account the full circumstances of the case, including any remedial steps taken by another regulator or the </w:t>
      </w:r>
      <w:r w:rsidR="000D1A90" w:rsidRPr="00E4265B">
        <w:rPr>
          <w:rFonts w:ascii="Arial" w:hAnsi="Arial" w:cs="Arial"/>
          <w:sz w:val="22"/>
          <w:szCs w:val="22"/>
          <w:lang w:val="en-GB"/>
        </w:rPr>
        <w:t>Authorised Person</w:t>
      </w:r>
      <w:r w:rsidRPr="00E4265B">
        <w:rPr>
          <w:rFonts w:ascii="Arial" w:hAnsi="Arial" w:cs="Arial"/>
          <w:sz w:val="22"/>
          <w:szCs w:val="22"/>
          <w:lang w:val="en-GB"/>
        </w:rPr>
        <w:t>, in determining what enforcement action, if any, it will take.</w:t>
      </w:r>
    </w:p>
    <w:p w14:paraId="0C6F9D41" w14:textId="77777777" w:rsidR="00E22FF2" w:rsidRPr="00E4265B" w:rsidRDefault="00E22FF2" w:rsidP="006957A1">
      <w:pPr>
        <w:pStyle w:val="TitleL5"/>
        <w:rPr>
          <w:rFonts w:ascii="Arial" w:hAnsi="Arial" w:cs="Arial"/>
          <w:sz w:val="22"/>
          <w:szCs w:val="22"/>
          <w:lang w:val="en-GB"/>
        </w:rPr>
      </w:pPr>
      <w:r w:rsidRPr="00E4265B">
        <w:rPr>
          <w:rFonts w:ascii="Arial" w:hAnsi="Arial" w:cs="Arial"/>
          <w:sz w:val="22"/>
          <w:szCs w:val="22"/>
          <w:lang w:val="en-GB"/>
        </w:rPr>
        <w:lastRenderedPageBreak/>
        <w:t>Financial Group Capital Requirement</w:t>
      </w:r>
    </w:p>
    <w:p w14:paraId="30F07FC9" w14:textId="77777777" w:rsidR="00E22FF2" w:rsidRPr="00E4265B" w:rsidRDefault="00E22FF2" w:rsidP="00942BEE">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 Category 1, 2 or 5 must calculate its Financial Group Capital Requirement by applying the accounting consolidation method, which calculates the Capital Requirement of the Financial Group based on the Financial Group's consolidated financial statements, and using applicable prudential Rules as set out in these Rules.</w:t>
      </w:r>
    </w:p>
    <w:p w14:paraId="15630C34" w14:textId="77777777" w:rsidR="00E22FF2" w:rsidRPr="00E4265B" w:rsidRDefault="00E22FF2" w:rsidP="006957A1">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For the purposes of this Rule, the consolidated financial statements of the Financial Group must be prepared in accordance with International Financial Reporting Standards.</w:t>
      </w:r>
    </w:p>
    <w:p w14:paraId="13D7D3A0" w14:textId="77777777" w:rsidR="00E22FF2" w:rsidRPr="00E4265B" w:rsidRDefault="00E22FF2" w:rsidP="006957A1">
      <w:pPr>
        <w:pStyle w:val="TitleL5"/>
        <w:rPr>
          <w:rFonts w:ascii="Arial" w:hAnsi="Arial" w:cs="Arial"/>
          <w:sz w:val="22"/>
          <w:szCs w:val="22"/>
          <w:lang w:val="en-GB"/>
        </w:rPr>
      </w:pPr>
      <w:r w:rsidRPr="00E4265B">
        <w:rPr>
          <w:rFonts w:ascii="Arial" w:hAnsi="Arial" w:cs="Arial"/>
          <w:sz w:val="22"/>
          <w:szCs w:val="22"/>
          <w:lang w:val="en-GB"/>
        </w:rPr>
        <w:t>Financial Group Capital Resources</w:t>
      </w:r>
    </w:p>
    <w:p w14:paraId="59DE6575" w14:textId="77777777" w:rsidR="00E22FF2" w:rsidRPr="00E4265B" w:rsidRDefault="00E22FF2" w:rsidP="00942BEE">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 Category 1, 2 or 5 must calculate its Financial Group Capital Resources by applying either of the following methods, excluding those amounts referred to in Rule 8.3.5:</w:t>
      </w:r>
    </w:p>
    <w:p w14:paraId="43E72C85"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accounting consolidation method, which calculates the Capital Resources of the Financial Group based on the Financial Group's consolidated financial statements; or</w:t>
      </w:r>
    </w:p>
    <w:p w14:paraId="16A3BD31"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aggregation method, which is the sum of:</w:t>
      </w:r>
    </w:p>
    <w:p w14:paraId="229DB03C" w14:textId="77777777" w:rsidR="00E22FF2" w:rsidRPr="00E4265B" w:rsidRDefault="00E22FF2" w:rsidP="006957A1">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 Capital Resources of the Parent of the Financial Group;</w:t>
      </w:r>
    </w:p>
    <w:p w14:paraId="167EA074" w14:textId="77777777" w:rsidR="00E22FF2" w:rsidRPr="00E4265B" w:rsidRDefault="00E22FF2" w:rsidP="006957A1">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subject to (2), the Capital Resources of any </w:t>
      </w:r>
      <w:r w:rsidR="000D1A90" w:rsidRPr="00E4265B">
        <w:rPr>
          <w:rFonts w:ascii="Arial" w:hAnsi="Arial" w:cs="Arial"/>
          <w:sz w:val="22"/>
          <w:szCs w:val="22"/>
          <w:lang w:val="en-GB"/>
        </w:rPr>
        <w:t>Authorised Person</w:t>
      </w:r>
      <w:r w:rsidRPr="00E4265B">
        <w:rPr>
          <w:rFonts w:ascii="Arial" w:hAnsi="Arial" w:cs="Arial"/>
          <w:sz w:val="22"/>
          <w:szCs w:val="22"/>
          <w:lang w:val="en-GB"/>
        </w:rPr>
        <w:t>s and Financial Institutions included in the Financial Group; and</w:t>
      </w:r>
    </w:p>
    <w:p w14:paraId="12DE2D87" w14:textId="77777777" w:rsidR="00E22FF2" w:rsidRPr="00E4265B" w:rsidRDefault="00E22FF2" w:rsidP="006957A1">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the Financial Group's proportionate share of Capital Resources in Financial Institutions not included in the Financial Group in which any member of the Financial Group has a participation.</w:t>
      </w:r>
    </w:p>
    <w:p w14:paraId="70854E09" w14:textId="77777777" w:rsidR="00E22FF2" w:rsidRPr="00E4265B" w:rsidRDefault="00E22FF2" w:rsidP="006957A1">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For the purposes of (1)(b)(ii), an investment by one Financial Group member in another must not be included.</w:t>
      </w:r>
    </w:p>
    <w:p w14:paraId="450F9FBD" w14:textId="77777777" w:rsidR="00E22FF2" w:rsidRPr="00E4265B" w:rsidRDefault="00E22FF2" w:rsidP="006957A1">
      <w:pPr>
        <w:pStyle w:val="TitleL5"/>
        <w:rPr>
          <w:rFonts w:ascii="Arial" w:hAnsi="Arial" w:cs="Arial"/>
          <w:sz w:val="22"/>
          <w:szCs w:val="22"/>
          <w:lang w:val="en-GB"/>
        </w:rPr>
      </w:pPr>
      <w:r w:rsidRPr="00E4265B">
        <w:rPr>
          <w:rFonts w:ascii="Arial" w:hAnsi="Arial" w:cs="Arial"/>
          <w:sz w:val="22"/>
          <w:szCs w:val="22"/>
          <w:lang w:val="en-GB"/>
        </w:rPr>
        <w:t>Guidance</w:t>
      </w:r>
    </w:p>
    <w:p w14:paraId="036FE1DE" w14:textId="66427735" w:rsidR="00E22FF2" w:rsidRPr="00E4265B" w:rsidRDefault="00E22FF2" w:rsidP="00601D29">
      <w:pPr>
        <w:pStyle w:val="UK12Block05"/>
        <w:rPr>
          <w:rFonts w:ascii="Arial" w:hAnsi="Arial" w:cs="Arial"/>
          <w:sz w:val="22"/>
          <w:szCs w:val="22"/>
          <w:lang w:val="en-GB"/>
        </w:rPr>
      </w:pPr>
      <w:r w:rsidRPr="00E4265B">
        <w:rPr>
          <w:rFonts w:ascii="Arial" w:hAnsi="Arial" w:cs="Arial"/>
          <w:sz w:val="22"/>
          <w:szCs w:val="22"/>
          <w:lang w:val="en-GB"/>
        </w:rPr>
        <w:t>The calculation of Financial Group Capital Resources is subject to the provisions in Part </w:t>
      </w:r>
      <w:r w:rsidR="00601D29" w:rsidRPr="00E4265B">
        <w:rPr>
          <w:rFonts w:ascii="Arial" w:hAnsi="Arial" w:cs="Arial"/>
          <w:sz w:val="22"/>
          <w:szCs w:val="22"/>
          <w:lang w:val="en-GB"/>
        </w:rPr>
        <w:t>4</w:t>
      </w:r>
      <w:r w:rsidRPr="00E4265B">
        <w:rPr>
          <w:rFonts w:ascii="Arial" w:hAnsi="Arial" w:cs="Arial"/>
          <w:sz w:val="22"/>
          <w:szCs w:val="22"/>
          <w:lang w:val="en-GB"/>
        </w:rPr>
        <w:t> of Chapter 3.</w:t>
      </w:r>
    </w:p>
    <w:p w14:paraId="7638AAB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When calculating the Financial Group Capital Resources of a Financial Group, an </w:t>
      </w:r>
      <w:r w:rsidR="000D1A90" w:rsidRPr="00E4265B">
        <w:rPr>
          <w:rFonts w:ascii="Arial" w:hAnsi="Arial" w:cs="Arial"/>
          <w:sz w:val="22"/>
          <w:szCs w:val="22"/>
        </w:rPr>
        <w:t>Authorised Person</w:t>
      </w:r>
      <w:r w:rsidRPr="00E4265B">
        <w:rPr>
          <w:rFonts w:ascii="Arial" w:hAnsi="Arial" w:cs="Arial"/>
          <w:sz w:val="22"/>
          <w:szCs w:val="22"/>
        </w:rPr>
        <w:t xml:space="preserve"> must not include Capital Resources or Adjusted Capital Resources (as the case may be) of subsidiaries or participations of that Financial Group to the extent that those Capital Resources or Adjusted Capital Resources:</w:t>
      </w:r>
    </w:p>
    <w:p w14:paraId="76F9D04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exceed the entity </w:t>
      </w:r>
      <w:r w:rsidR="00B62CE8" w:rsidRPr="00E4265B">
        <w:rPr>
          <w:rFonts w:ascii="Arial" w:hAnsi="Arial" w:cs="Arial"/>
          <w:sz w:val="22"/>
          <w:szCs w:val="22"/>
        </w:rPr>
        <w:t>requirement in respect of that S</w:t>
      </w:r>
      <w:r w:rsidRPr="00E4265B">
        <w:rPr>
          <w:rFonts w:ascii="Arial" w:hAnsi="Arial" w:cs="Arial"/>
          <w:sz w:val="22"/>
          <w:szCs w:val="22"/>
        </w:rPr>
        <w:t>ubsidiary or participation, calculated in accordance with Rule 8.3.3; and</w:t>
      </w:r>
    </w:p>
    <w:p w14:paraId="68B7E44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are not freely transferable within the Financial Group.</w:t>
      </w:r>
    </w:p>
    <w:p w14:paraId="71BD18FC" w14:textId="77777777" w:rsidR="00E22FF2" w:rsidRPr="00E4265B" w:rsidRDefault="00E22FF2" w:rsidP="006957A1">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7E74674A" w14:textId="77777777" w:rsidR="00E22FF2" w:rsidRPr="00E4265B" w:rsidRDefault="00E22FF2" w:rsidP="006957A1">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Because the Financial Group Capital Requirement set out in Rule 8.3.3 includes Capital Requirements in respect of Group entities, Capital Resources may be included in the calculation of Financial Group Capital Resources to the extent of those requirements. Capital that is surplus to those requirements is, however, subject to an additional condition before it may be taken into account for the purposes of Financial Group capital adequacy.</w:t>
      </w:r>
    </w:p>
    <w:p w14:paraId="52AB89E0" w14:textId="77777777" w:rsidR="00E22FF2" w:rsidRPr="00E4265B" w:rsidRDefault="00E22FF2" w:rsidP="006957A1">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In general, Capital Resources or Adjusted Capital Resources are considered not to be freely transferable if they are subject to a legal or constructive limitation on their transferability, whether that transfer would be made by dividend, return of capital or other form of distribution. Examples of relevant limitations might include obligations to maintain minimum Capital Requirements to meet domestic solvency requirements, or to comply with debt covenants.</w:t>
      </w:r>
    </w:p>
    <w:p w14:paraId="19D54A4B" w14:textId="67A016A6" w:rsidR="00E22FF2" w:rsidRPr="00E4265B" w:rsidRDefault="00E22FF2" w:rsidP="00791A2B">
      <w:pPr>
        <w:pStyle w:val="Heading4"/>
        <w:rPr>
          <w:rFonts w:ascii="Arial" w:hAnsi="Arial" w:cs="Arial"/>
          <w:sz w:val="22"/>
          <w:szCs w:val="22"/>
        </w:rPr>
      </w:pPr>
      <w:r w:rsidRPr="00E4265B">
        <w:rPr>
          <w:rFonts w:ascii="Arial" w:hAnsi="Arial" w:cs="Arial"/>
          <w:sz w:val="22"/>
          <w:szCs w:val="22"/>
        </w:rPr>
        <w:t>Deductions for Qualifying Holdings under Section 3.1</w:t>
      </w:r>
      <w:r w:rsidR="00791A2B" w:rsidRPr="00E4265B">
        <w:rPr>
          <w:rFonts w:ascii="Arial" w:hAnsi="Arial" w:cs="Arial"/>
          <w:sz w:val="22"/>
          <w:szCs w:val="22"/>
        </w:rPr>
        <w:t>4</w:t>
      </w:r>
      <w:r w:rsidRPr="00E4265B">
        <w:rPr>
          <w:rFonts w:ascii="Arial" w:hAnsi="Arial" w:cs="Arial"/>
          <w:sz w:val="22"/>
          <w:szCs w:val="22"/>
        </w:rPr>
        <w:t> may be calculated based on the Group's total T1 and T2 Capital.</w:t>
      </w:r>
    </w:p>
    <w:p w14:paraId="268FD2A6" w14:textId="061F2BBF" w:rsidR="00E22FF2" w:rsidRPr="00E4265B" w:rsidRDefault="00E22FF2" w:rsidP="0078487E">
      <w:pPr>
        <w:pStyle w:val="Heading3"/>
        <w:rPr>
          <w:rFonts w:ascii="Arial" w:hAnsi="Arial" w:cs="Arial"/>
          <w:sz w:val="22"/>
          <w:szCs w:val="22"/>
        </w:rPr>
      </w:pPr>
      <w:bookmarkStart w:id="780" w:name="_Toc403223990"/>
      <w:bookmarkStart w:id="781" w:name="_Toc403254028"/>
      <w:bookmarkStart w:id="782" w:name="_Toc403273428"/>
      <w:bookmarkStart w:id="783" w:name="_Toc403273577"/>
      <w:bookmarkStart w:id="784" w:name="_Toc403274536"/>
      <w:bookmarkStart w:id="785" w:name="_Toc403280032"/>
      <w:bookmarkStart w:id="786" w:name="_Toc404285833"/>
      <w:bookmarkStart w:id="787" w:name="_Toc404621782"/>
      <w:bookmarkStart w:id="788" w:name="_Toc404624423"/>
      <w:bookmarkStart w:id="789" w:name="_Toc33622449"/>
      <w:r w:rsidRPr="00E4265B">
        <w:rPr>
          <w:rFonts w:ascii="Arial" w:hAnsi="Arial" w:cs="Arial"/>
          <w:sz w:val="22"/>
          <w:szCs w:val="22"/>
        </w:rPr>
        <w:t xml:space="preserve">Financial Group </w:t>
      </w:r>
      <w:r w:rsidR="0078487E" w:rsidRPr="00E4265B">
        <w:rPr>
          <w:rFonts w:ascii="Arial" w:hAnsi="Arial" w:cs="Arial"/>
          <w:sz w:val="22"/>
          <w:szCs w:val="22"/>
        </w:rPr>
        <w:t>Large Exposure</w:t>
      </w:r>
      <w:r w:rsidRPr="00E4265B">
        <w:rPr>
          <w:rFonts w:ascii="Arial" w:hAnsi="Arial" w:cs="Arial"/>
          <w:sz w:val="22"/>
          <w:szCs w:val="22"/>
        </w:rPr>
        <w:t xml:space="preserve"> limits</w:t>
      </w:r>
      <w:bookmarkEnd w:id="780"/>
      <w:bookmarkEnd w:id="781"/>
      <w:bookmarkEnd w:id="782"/>
      <w:bookmarkEnd w:id="783"/>
      <w:bookmarkEnd w:id="784"/>
      <w:bookmarkEnd w:id="785"/>
      <w:bookmarkEnd w:id="786"/>
      <w:bookmarkEnd w:id="787"/>
      <w:bookmarkEnd w:id="788"/>
      <w:bookmarkEnd w:id="789"/>
    </w:p>
    <w:p w14:paraId="7690F501" w14:textId="52E349A6" w:rsidR="00E22FF2" w:rsidRPr="00E4265B" w:rsidRDefault="0078487E" w:rsidP="0078487E">
      <w:pPr>
        <w:pStyle w:val="Heading4"/>
        <w:rPr>
          <w:rFonts w:ascii="Arial" w:hAnsi="Arial" w:cs="Arial"/>
          <w:sz w:val="22"/>
          <w:szCs w:val="22"/>
        </w:rPr>
      </w:pPr>
      <w:r w:rsidRPr="00E4265B">
        <w:rPr>
          <w:rFonts w:ascii="Arial" w:hAnsi="Arial" w:cs="Arial"/>
          <w:sz w:val="22"/>
          <w:szCs w:val="22"/>
        </w:rPr>
        <w:t>Subject to IFR Rule 5.4.15, a</w:t>
      </w:r>
      <w:r w:rsidR="00E22FF2" w:rsidRPr="00E4265B">
        <w:rPr>
          <w:rFonts w:ascii="Arial" w:hAnsi="Arial" w:cs="Arial"/>
          <w:sz w:val="22"/>
          <w:szCs w:val="22"/>
        </w:rPr>
        <w:t xml:space="preserve">n </w:t>
      </w:r>
      <w:r w:rsidR="000D1A90" w:rsidRPr="00E4265B">
        <w:rPr>
          <w:rFonts w:ascii="Arial" w:hAnsi="Arial" w:cs="Arial"/>
          <w:sz w:val="22"/>
          <w:szCs w:val="22"/>
        </w:rPr>
        <w:t>Authorised Person</w:t>
      </w:r>
      <w:r w:rsidR="00E22FF2" w:rsidRPr="00E4265B">
        <w:rPr>
          <w:rFonts w:ascii="Arial" w:hAnsi="Arial" w:cs="Arial"/>
          <w:sz w:val="22"/>
          <w:szCs w:val="22"/>
        </w:rPr>
        <w:t xml:space="preserve"> in Category 1, 2 or 5 must </w:t>
      </w:r>
      <w:r w:rsidRPr="00E4265B">
        <w:rPr>
          <w:rFonts w:ascii="Arial" w:hAnsi="Arial" w:cs="Arial"/>
          <w:sz w:val="22"/>
          <w:szCs w:val="22"/>
        </w:rPr>
        <w:t xml:space="preserve">not incur any </w:t>
      </w:r>
      <w:r w:rsidR="00E22FF2" w:rsidRPr="00E4265B">
        <w:rPr>
          <w:rFonts w:ascii="Arial" w:hAnsi="Arial" w:cs="Arial"/>
          <w:sz w:val="22"/>
          <w:szCs w:val="22"/>
        </w:rPr>
        <w:t xml:space="preserve">Financial Group </w:t>
      </w:r>
      <w:r w:rsidRPr="00E4265B">
        <w:rPr>
          <w:rFonts w:ascii="Arial" w:hAnsi="Arial" w:cs="Arial"/>
          <w:sz w:val="22"/>
          <w:szCs w:val="22"/>
        </w:rPr>
        <w:t xml:space="preserve">Large </w:t>
      </w:r>
      <w:r w:rsidR="00E22FF2" w:rsidRPr="00E4265B">
        <w:rPr>
          <w:rFonts w:ascii="Arial" w:hAnsi="Arial" w:cs="Arial"/>
          <w:sz w:val="22"/>
          <w:szCs w:val="22"/>
        </w:rPr>
        <w:t xml:space="preserve">Exposure, including the Financial Group's PSIAus, </w:t>
      </w:r>
      <w:r w:rsidRPr="00E4265B">
        <w:rPr>
          <w:rFonts w:ascii="Arial" w:hAnsi="Arial" w:cs="Arial"/>
          <w:sz w:val="22"/>
          <w:szCs w:val="22"/>
        </w:rPr>
        <w:t xml:space="preserve">that </w:t>
      </w:r>
      <w:r w:rsidR="00E22FF2" w:rsidRPr="00E4265B">
        <w:rPr>
          <w:rFonts w:ascii="Arial" w:hAnsi="Arial" w:cs="Arial"/>
          <w:sz w:val="22"/>
          <w:szCs w:val="22"/>
        </w:rPr>
        <w:t>exceed</w:t>
      </w:r>
      <w:r w:rsidRPr="00E4265B">
        <w:rPr>
          <w:rFonts w:ascii="Arial" w:hAnsi="Arial" w:cs="Arial"/>
          <w:sz w:val="22"/>
          <w:szCs w:val="22"/>
        </w:rPr>
        <w:t>s</w:t>
      </w:r>
      <w:r w:rsidR="00E22FF2" w:rsidRPr="00E4265B">
        <w:rPr>
          <w:rFonts w:ascii="Arial" w:hAnsi="Arial" w:cs="Arial"/>
          <w:sz w:val="22"/>
          <w:szCs w:val="22"/>
        </w:rPr>
        <w:t xml:space="preserve"> 25% of its Group's </w:t>
      </w:r>
      <w:r w:rsidRPr="00E4265B">
        <w:rPr>
          <w:rFonts w:ascii="Arial" w:hAnsi="Arial" w:cs="Arial"/>
          <w:sz w:val="22"/>
          <w:szCs w:val="22"/>
        </w:rPr>
        <w:t>Tier 1</w:t>
      </w:r>
      <w:r w:rsidR="00E22FF2" w:rsidRPr="00E4265B">
        <w:rPr>
          <w:rFonts w:ascii="Arial" w:hAnsi="Arial" w:cs="Arial"/>
          <w:sz w:val="22"/>
          <w:szCs w:val="22"/>
        </w:rPr>
        <w:t>.</w:t>
      </w:r>
    </w:p>
    <w:p w14:paraId="073B3443" w14:textId="32C94EFD" w:rsidR="00D84350" w:rsidRPr="00E4265B" w:rsidRDefault="00E22FF2" w:rsidP="0078487E">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 Category 1, 2 or 5 must ensure that the sum of its Financial Group Large Exposures, including the Financial Group's PSIAus, to a Counterparty or group of Closely Related Counterparties does not exceed 800% of its Financial Group's </w:t>
      </w:r>
      <w:r w:rsidR="0078487E" w:rsidRPr="00E4265B">
        <w:rPr>
          <w:rFonts w:ascii="Arial" w:hAnsi="Arial" w:cs="Arial"/>
          <w:sz w:val="22"/>
          <w:szCs w:val="22"/>
        </w:rPr>
        <w:t>Tier 1</w:t>
      </w:r>
      <w:r w:rsidRPr="00E4265B">
        <w:rPr>
          <w:rFonts w:ascii="Arial" w:hAnsi="Arial" w:cs="Arial"/>
          <w:sz w:val="22"/>
          <w:szCs w:val="22"/>
        </w:rPr>
        <w:t>.</w:t>
      </w:r>
    </w:p>
    <w:p w14:paraId="4ACB9103" w14:textId="77777777" w:rsidR="00E22FF2" w:rsidRPr="00E4265B" w:rsidRDefault="00E22FF2" w:rsidP="00246497">
      <w:pPr>
        <w:pStyle w:val="Heading3"/>
        <w:rPr>
          <w:rFonts w:ascii="Arial" w:hAnsi="Arial" w:cs="Arial"/>
          <w:sz w:val="22"/>
          <w:szCs w:val="22"/>
        </w:rPr>
      </w:pPr>
      <w:bookmarkStart w:id="790" w:name="_Toc403223991"/>
      <w:bookmarkStart w:id="791" w:name="_Toc403254029"/>
      <w:bookmarkStart w:id="792" w:name="_Toc403273429"/>
      <w:bookmarkStart w:id="793" w:name="_Toc403273578"/>
      <w:bookmarkStart w:id="794" w:name="_Toc403274537"/>
      <w:bookmarkStart w:id="795" w:name="_Toc403280033"/>
      <w:bookmarkStart w:id="796" w:name="_Toc404285834"/>
      <w:bookmarkStart w:id="797" w:name="_Toc404621783"/>
      <w:bookmarkStart w:id="798" w:name="_Toc404624424"/>
      <w:bookmarkStart w:id="799" w:name="_Toc33622450"/>
      <w:r w:rsidRPr="00E4265B">
        <w:rPr>
          <w:rFonts w:ascii="Arial" w:hAnsi="Arial" w:cs="Arial"/>
          <w:sz w:val="22"/>
          <w:szCs w:val="22"/>
        </w:rPr>
        <w:t>Restrictions on ownership or control</w:t>
      </w:r>
      <w:bookmarkEnd w:id="790"/>
      <w:bookmarkEnd w:id="791"/>
      <w:bookmarkEnd w:id="792"/>
      <w:bookmarkEnd w:id="793"/>
      <w:bookmarkEnd w:id="794"/>
      <w:bookmarkEnd w:id="795"/>
      <w:bookmarkEnd w:id="796"/>
      <w:bookmarkEnd w:id="797"/>
      <w:bookmarkEnd w:id="798"/>
      <w:bookmarkEnd w:id="799"/>
    </w:p>
    <w:p w14:paraId="7E86EF5C" w14:textId="77777777" w:rsidR="00E22FF2" w:rsidRPr="00E4265B" w:rsidRDefault="00E22FF2" w:rsidP="00755697">
      <w:pPr>
        <w:pStyle w:val="TitleL5"/>
        <w:rPr>
          <w:rFonts w:ascii="Arial" w:hAnsi="Arial" w:cs="Arial"/>
          <w:sz w:val="22"/>
          <w:szCs w:val="22"/>
          <w:lang w:val="en-GB"/>
        </w:rPr>
      </w:pPr>
      <w:r w:rsidRPr="00E4265B">
        <w:rPr>
          <w:rFonts w:ascii="Arial" w:hAnsi="Arial" w:cs="Arial"/>
          <w:sz w:val="22"/>
          <w:szCs w:val="22"/>
          <w:lang w:val="en-GB"/>
        </w:rPr>
        <w:t>Guidance</w:t>
      </w:r>
    </w:p>
    <w:p w14:paraId="1999A35F" w14:textId="77777777" w:rsidR="00E22FF2" w:rsidRPr="00E4265B" w:rsidRDefault="00E22FF2" w:rsidP="00755697">
      <w:pPr>
        <w:pStyle w:val="UK12Block05"/>
        <w:rPr>
          <w:rFonts w:ascii="Arial" w:hAnsi="Arial" w:cs="Arial"/>
          <w:sz w:val="22"/>
          <w:szCs w:val="22"/>
          <w:lang w:val="en-GB"/>
        </w:rPr>
      </w:pPr>
      <w:r w:rsidRPr="00E4265B">
        <w:rPr>
          <w:rFonts w:ascii="Arial" w:hAnsi="Arial" w:cs="Arial"/>
          <w:sz w:val="22"/>
          <w:szCs w:val="22"/>
          <w:lang w:val="en-GB"/>
        </w:rPr>
        <w:t xml:space="preserve">By Rule 8.1.1(1), this Section applies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any Category.</w:t>
      </w:r>
    </w:p>
    <w:p w14:paraId="361D2C3C" w14:textId="77777777" w:rsidR="00E22FF2" w:rsidRPr="00E4265B" w:rsidRDefault="00E22FF2" w:rsidP="00755697">
      <w:pPr>
        <w:pStyle w:val="TitleL5"/>
        <w:rPr>
          <w:rFonts w:ascii="Arial" w:hAnsi="Arial" w:cs="Arial"/>
          <w:sz w:val="22"/>
          <w:szCs w:val="22"/>
          <w:lang w:val="en-GB"/>
        </w:rPr>
      </w:pPr>
      <w:r w:rsidRPr="00E4265B">
        <w:rPr>
          <w:rFonts w:ascii="Arial" w:hAnsi="Arial" w:cs="Arial"/>
          <w:sz w:val="22"/>
          <w:szCs w:val="22"/>
          <w:lang w:val="en-GB"/>
        </w:rPr>
        <w:t>Parents of Category 1 and 5 </w:t>
      </w:r>
      <w:r w:rsidR="000D1A90" w:rsidRPr="00E4265B">
        <w:rPr>
          <w:rFonts w:ascii="Arial" w:hAnsi="Arial" w:cs="Arial"/>
          <w:sz w:val="22"/>
          <w:szCs w:val="22"/>
          <w:lang w:val="en-GB"/>
        </w:rPr>
        <w:t>Authorised Person</w:t>
      </w:r>
      <w:r w:rsidRPr="00E4265B">
        <w:rPr>
          <w:rFonts w:ascii="Arial" w:hAnsi="Arial" w:cs="Arial"/>
          <w:sz w:val="22"/>
          <w:szCs w:val="22"/>
          <w:lang w:val="en-GB"/>
        </w:rPr>
        <w:t>s</w:t>
      </w:r>
    </w:p>
    <w:p w14:paraId="1836C088" w14:textId="77777777" w:rsidR="00E22FF2" w:rsidRPr="00E4265B" w:rsidRDefault="00E22FF2" w:rsidP="00942BEE">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No entity other than one of the following may be the Parent of, or any of the Parents of, an </w:t>
      </w:r>
      <w:r w:rsidR="000D1A90" w:rsidRPr="00E4265B">
        <w:rPr>
          <w:rFonts w:ascii="Arial" w:hAnsi="Arial" w:cs="Arial"/>
          <w:sz w:val="22"/>
          <w:szCs w:val="22"/>
        </w:rPr>
        <w:t>Authorised Person</w:t>
      </w:r>
      <w:r w:rsidRPr="00E4265B">
        <w:rPr>
          <w:rFonts w:ascii="Arial" w:hAnsi="Arial" w:cs="Arial"/>
          <w:sz w:val="22"/>
          <w:szCs w:val="22"/>
        </w:rPr>
        <w:t xml:space="preserve"> in Category 1 or 5:</w:t>
      </w:r>
    </w:p>
    <w:p w14:paraId="0784E6DE" w14:textId="77777777" w:rsidR="00E22FF2" w:rsidRPr="00E4265B" w:rsidRDefault="00E22FF2" w:rsidP="00755697">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another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Category 1 or 5; or</w:t>
      </w:r>
    </w:p>
    <w:p w14:paraId="109994BD"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w:t>
      </w:r>
      <w:r w:rsidR="00BF2706" w:rsidRPr="00E4265B">
        <w:rPr>
          <w:rFonts w:ascii="Arial" w:hAnsi="Arial" w:cs="Arial"/>
          <w:sz w:val="22"/>
          <w:szCs w:val="22"/>
          <w:lang w:val="en-GB"/>
        </w:rPr>
        <w:t>n Authorised Person</w:t>
      </w:r>
      <w:r w:rsidRPr="00E4265B">
        <w:rPr>
          <w:rFonts w:ascii="Arial" w:hAnsi="Arial" w:cs="Arial"/>
          <w:sz w:val="22"/>
          <w:szCs w:val="22"/>
          <w:lang w:val="en-GB"/>
        </w:rPr>
        <w:t xml:space="preserve"> </w:t>
      </w:r>
      <w:r w:rsidR="00264F1B" w:rsidRPr="00E4265B">
        <w:rPr>
          <w:rFonts w:ascii="Arial" w:hAnsi="Arial" w:cs="Arial"/>
          <w:sz w:val="22"/>
          <w:szCs w:val="22"/>
          <w:lang w:val="en-GB"/>
        </w:rPr>
        <w:t>with a Financial Services Permission</w:t>
      </w:r>
      <w:r w:rsidR="004D029A" w:rsidRPr="00E4265B">
        <w:rPr>
          <w:rFonts w:ascii="Arial" w:hAnsi="Arial" w:cs="Arial"/>
          <w:sz w:val="22"/>
          <w:szCs w:val="22"/>
          <w:lang w:val="en-GB"/>
        </w:rPr>
        <w:t xml:space="preserve"> to carry on the activities of Accepting D</w:t>
      </w:r>
      <w:r w:rsidRPr="00E4265B">
        <w:rPr>
          <w:rFonts w:ascii="Arial" w:hAnsi="Arial" w:cs="Arial"/>
          <w:sz w:val="22"/>
          <w:szCs w:val="22"/>
          <w:lang w:val="en-GB"/>
        </w:rPr>
        <w:t>eposits.</w:t>
      </w:r>
    </w:p>
    <w:p w14:paraId="6EEBD213" w14:textId="1E4F5C0F" w:rsidR="00E22FF2" w:rsidRPr="00E4265B" w:rsidRDefault="00E22FF2" w:rsidP="0078487E">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entity other than one referred to in (1)(a) or (b) may be the Parent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Category 1 or 5 where the ultimate, or any intermediate, Parent is an </w:t>
      </w:r>
      <w:r w:rsidR="0078487E" w:rsidRPr="00E4265B">
        <w:rPr>
          <w:rFonts w:ascii="Arial" w:hAnsi="Arial" w:cs="Arial"/>
          <w:sz w:val="22"/>
          <w:szCs w:val="22"/>
          <w:lang w:val="en-GB"/>
        </w:rPr>
        <w:t>Authorised Peson</w:t>
      </w:r>
      <w:r w:rsidRPr="00E4265B">
        <w:rPr>
          <w:rFonts w:ascii="Arial" w:hAnsi="Arial" w:cs="Arial"/>
          <w:sz w:val="22"/>
          <w:szCs w:val="22"/>
          <w:lang w:val="en-GB"/>
        </w:rPr>
        <w:t xml:space="preserve"> of the type specified under 1(a) or (b).</w:t>
      </w:r>
    </w:p>
    <w:p w14:paraId="67E724AD" w14:textId="77777777" w:rsidR="00E22FF2" w:rsidRPr="00E4265B" w:rsidRDefault="00E22FF2" w:rsidP="00755697">
      <w:pPr>
        <w:pStyle w:val="TitleL"/>
        <w:rPr>
          <w:rFonts w:ascii="Arial" w:hAnsi="Arial" w:cs="Arial"/>
          <w:sz w:val="22"/>
          <w:szCs w:val="22"/>
          <w:lang w:val="en-GB"/>
        </w:rPr>
      </w:pPr>
      <w:r w:rsidRPr="00E4265B">
        <w:rPr>
          <w:rFonts w:ascii="Arial" w:hAnsi="Arial" w:cs="Arial"/>
          <w:sz w:val="22"/>
          <w:szCs w:val="22"/>
          <w:lang w:val="en-GB"/>
        </w:rPr>
        <w:lastRenderedPageBreak/>
        <w:t>Restrictions on Category 3A, 3B, 3C and 4 </w:t>
      </w:r>
      <w:r w:rsidR="000D1A90" w:rsidRPr="00E4265B">
        <w:rPr>
          <w:rFonts w:ascii="Arial" w:hAnsi="Arial" w:cs="Arial"/>
          <w:sz w:val="22"/>
          <w:szCs w:val="22"/>
          <w:lang w:val="en-GB"/>
        </w:rPr>
        <w:t>Authorised Person</w:t>
      </w:r>
      <w:r w:rsidRPr="00E4265B">
        <w:rPr>
          <w:rFonts w:ascii="Arial" w:hAnsi="Arial" w:cs="Arial"/>
          <w:sz w:val="22"/>
          <w:szCs w:val="22"/>
          <w:lang w:val="en-GB"/>
        </w:rPr>
        <w:t>s</w:t>
      </w:r>
    </w:p>
    <w:p w14:paraId="2976F1C4" w14:textId="77777777" w:rsidR="00E22FF2" w:rsidRPr="00E4265B" w:rsidRDefault="00E22FF2" w:rsidP="0070607E">
      <w:pPr>
        <w:pStyle w:val="Heading4"/>
        <w:tabs>
          <w:tab w:val="clear" w:pos="936"/>
          <w:tab w:val="left" w:pos="900"/>
          <w:tab w:val="num" w:pos="1080"/>
        </w:tabs>
        <w:ind w:left="1800" w:hanging="180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 Category 3A, 3B, 3C or 4 must not, subject to (2), </w:t>
      </w:r>
      <w:r w:rsidR="00E762BF" w:rsidRPr="00E4265B">
        <w:rPr>
          <w:rFonts w:ascii="Arial" w:hAnsi="Arial" w:cs="Arial"/>
          <w:sz w:val="22"/>
          <w:szCs w:val="22"/>
        </w:rPr>
        <w:t xml:space="preserve">be </w:t>
      </w:r>
      <w:r w:rsidRPr="00E4265B">
        <w:rPr>
          <w:rFonts w:ascii="Arial" w:hAnsi="Arial" w:cs="Arial"/>
          <w:sz w:val="22"/>
          <w:szCs w:val="22"/>
        </w:rPr>
        <w:t>a Parent of an entity that:</w:t>
      </w:r>
    </w:p>
    <w:p w14:paraId="5325BBC7"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is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Category 1 or 5 or an Insurer; or</w:t>
      </w:r>
    </w:p>
    <w:p w14:paraId="69A19762"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carries on activities that would, if conducted in the ADGM</w:t>
      </w:r>
      <w:r w:rsidR="004A0BC2" w:rsidRPr="00E4265B">
        <w:rPr>
          <w:rFonts w:ascii="Arial" w:hAnsi="Arial" w:cs="Arial"/>
          <w:sz w:val="22"/>
          <w:szCs w:val="22"/>
          <w:lang w:val="en-GB"/>
        </w:rPr>
        <w:t>, constitute Accepting Deposits or</w:t>
      </w:r>
      <w:r w:rsidRPr="00E4265B">
        <w:rPr>
          <w:rFonts w:ascii="Arial" w:hAnsi="Arial" w:cs="Arial"/>
          <w:sz w:val="22"/>
          <w:szCs w:val="22"/>
          <w:lang w:val="en-GB"/>
        </w:rPr>
        <w:t xml:space="preserve"> Managing a </w:t>
      </w:r>
      <w:r w:rsidR="00C51AC9" w:rsidRPr="00E4265B">
        <w:rPr>
          <w:rFonts w:ascii="Arial" w:hAnsi="Arial" w:cs="Arial"/>
          <w:sz w:val="22"/>
          <w:szCs w:val="22"/>
          <w:lang w:val="en-GB"/>
        </w:rPr>
        <w:t>Profit Sharing Investment Account which is a</w:t>
      </w:r>
      <w:r w:rsidRPr="00E4265B">
        <w:rPr>
          <w:rFonts w:ascii="Arial" w:hAnsi="Arial" w:cs="Arial"/>
          <w:sz w:val="22"/>
          <w:szCs w:val="22"/>
          <w:lang w:val="en-GB"/>
        </w:rPr>
        <w:t xml:space="preserve"> P</w:t>
      </w:r>
      <w:r w:rsidR="004A0BC2" w:rsidRPr="00E4265B">
        <w:rPr>
          <w:rFonts w:ascii="Arial" w:hAnsi="Arial" w:cs="Arial"/>
          <w:sz w:val="22"/>
          <w:szCs w:val="22"/>
          <w:lang w:val="en-GB"/>
        </w:rPr>
        <w:t>SIAu</w:t>
      </w:r>
      <w:r w:rsidRPr="00E4265B">
        <w:rPr>
          <w:rFonts w:ascii="Arial" w:hAnsi="Arial" w:cs="Arial"/>
          <w:sz w:val="22"/>
          <w:szCs w:val="22"/>
          <w:lang w:val="en-GB"/>
        </w:rPr>
        <w:t>.</w:t>
      </w:r>
    </w:p>
    <w:p w14:paraId="77397F7D"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Category 3A, 3B, 3C or 4 may own or control an entity referred to in (1) where it is itself a Subsidiary of:</w:t>
      </w:r>
    </w:p>
    <w:p w14:paraId="73DCC608"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r>
      <w:r w:rsidR="00BF2706" w:rsidRPr="00E4265B">
        <w:rPr>
          <w:rFonts w:ascii="Arial" w:hAnsi="Arial" w:cs="Arial"/>
          <w:sz w:val="22"/>
          <w:szCs w:val="22"/>
          <w:lang w:val="en-GB"/>
        </w:rPr>
        <w:t>a</w:t>
      </w:r>
      <w:r w:rsidR="00F5245A" w:rsidRPr="00E4265B">
        <w:rPr>
          <w:rFonts w:ascii="Arial" w:hAnsi="Arial" w:cs="Arial"/>
          <w:sz w:val="22"/>
          <w:szCs w:val="22"/>
          <w:lang w:val="en-GB"/>
        </w:rPr>
        <w:t xml:space="preserve"> Financial Institution</w:t>
      </w:r>
      <w:r w:rsidR="00BF2706" w:rsidRPr="00E4265B">
        <w:rPr>
          <w:rFonts w:ascii="Arial" w:hAnsi="Arial" w:cs="Arial"/>
          <w:sz w:val="22"/>
          <w:szCs w:val="22"/>
          <w:lang w:val="en-GB"/>
        </w:rPr>
        <w:t xml:space="preserve"> with</w:t>
      </w:r>
      <w:r w:rsidR="00264F1B" w:rsidRPr="00E4265B">
        <w:rPr>
          <w:rFonts w:ascii="Arial" w:hAnsi="Arial" w:cs="Arial"/>
          <w:sz w:val="22"/>
          <w:szCs w:val="22"/>
          <w:lang w:val="en-GB"/>
        </w:rPr>
        <w:t xml:space="preserve"> a Financial Services Permission</w:t>
      </w:r>
      <w:r w:rsidRPr="00E4265B">
        <w:rPr>
          <w:rFonts w:ascii="Arial" w:hAnsi="Arial" w:cs="Arial"/>
          <w:sz w:val="22"/>
          <w:szCs w:val="22"/>
          <w:lang w:val="en-GB"/>
        </w:rPr>
        <w:t xml:space="preserve"> to carry on any one or more of the activities specified in (1)(b); or</w:t>
      </w:r>
    </w:p>
    <w:p w14:paraId="77A62933"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Category 1 or 5 or an Insurer.</w:t>
      </w:r>
    </w:p>
    <w:p w14:paraId="3C8772F4" w14:textId="77777777" w:rsidR="00E22FF2" w:rsidRPr="00E4265B" w:rsidRDefault="00E22FF2" w:rsidP="00A23B4A">
      <w:pPr>
        <w:rPr>
          <w:rFonts w:ascii="Arial" w:hAnsi="Arial" w:cs="Arial"/>
          <w:sz w:val="22"/>
          <w:szCs w:val="22"/>
          <w:lang w:val="en-GB"/>
        </w:rPr>
      </w:pPr>
    </w:p>
    <w:p w14:paraId="3351C3FF" w14:textId="77777777" w:rsidR="00E22FF2" w:rsidRPr="00E4265B" w:rsidRDefault="00E22FF2">
      <w:pPr>
        <w:rPr>
          <w:rFonts w:ascii="Arial" w:hAnsi="Arial" w:cs="Arial"/>
          <w:sz w:val="22"/>
          <w:szCs w:val="22"/>
          <w:lang w:val="en-GB"/>
        </w:rPr>
      </w:pPr>
      <w:r w:rsidRPr="00E4265B">
        <w:rPr>
          <w:rFonts w:ascii="Arial" w:hAnsi="Arial" w:cs="Arial"/>
          <w:sz w:val="22"/>
          <w:szCs w:val="22"/>
          <w:lang w:val="en-GB"/>
        </w:rPr>
        <w:br w:type="page"/>
      </w:r>
    </w:p>
    <w:p w14:paraId="62D8E0CE" w14:textId="77777777" w:rsidR="00E22FF2" w:rsidRPr="00E4265B" w:rsidRDefault="00E22FF2" w:rsidP="00755697">
      <w:pPr>
        <w:pStyle w:val="Heading1"/>
        <w:rPr>
          <w:rFonts w:ascii="Arial" w:hAnsi="Arial" w:cs="Arial"/>
          <w:sz w:val="22"/>
          <w:szCs w:val="22"/>
          <w:lang w:val="en-GB"/>
        </w:rPr>
      </w:pPr>
      <w:bookmarkStart w:id="800" w:name="_Toc403280034"/>
      <w:bookmarkStart w:id="801" w:name="_Toc404285835"/>
      <w:bookmarkStart w:id="802" w:name="_Toc404621784"/>
      <w:bookmarkStart w:id="803" w:name="_Toc404624425"/>
      <w:bookmarkStart w:id="804" w:name="_Toc33622451"/>
      <w:bookmarkStart w:id="805" w:name="_Toc403223992"/>
      <w:bookmarkStart w:id="806" w:name="_Toc403254030"/>
      <w:bookmarkStart w:id="807" w:name="_Toc403254109"/>
      <w:bookmarkStart w:id="808" w:name="_Toc403273430"/>
      <w:bookmarkStart w:id="809" w:name="_Toc403273579"/>
      <w:bookmarkStart w:id="810" w:name="_Toc403274538"/>
      <w:r w:rsidRPr="00E4265B">
        <w:rPr>
          <w:rFonts w:ascii="Arial" w:hAnsi="Arial" w:cs="Arial"/>
          <w:sz w:val="22"/>
          <w:szCs w:val="22"/>
          <w:lang w:val="en-GB"/>
        </w:rPr>
        <w:lastRenderedPageBreak/>
        <w:t>LIQUIDITY RISK</w:t>
      </w:r>
      <w:bookmarkEnd w:id="800"/>
      <w:bookmarkEnd w:id="801"/>
      <w:bookmarkEnd w:id="802"/>
      <w:bookmarkEnd w:id="803"/>
      <w:bookmarkEnd w:id="804"/>
    </w:p>
    <w:p w14:paraId="35353081" w14:textId="77777777" w:rsidR="00E22FF2" w:rsidRPr="00E4265B" w:rsidRDefault="00E22FF2" w:rsidP="00A23B4A">
      <w:pPr>
        <w:pStyle w:val="TitleL5"/>
        <w:rPr>
          <w:rFonts w:ascii="Arial" w:hAnsi="Arial" w:cs="Arial"/>
          <w:sz w:val="22"/>
          <w:szCs w:val="22"/>
          <w:lang w:val="en-GB"/>
        </w:rPr>
      </w:pPr>
      <w:r w:rsidRPr="00E4265B">
        <w:rPr>
          <w:rFonts w:ascii="Arial" w:hAnsi="Arial" w:cs="Arial"/>
          <w:sz w:val="22"/>
          <w:szCs w:val="22"/>
          <w:lang w:val="en-GB"/>
        </w:rPr>
        <w:t>Introduction</w:t>
      </w:r>
      <w:bookmarkEnd w:id="805"/>
      <w:bookmarkEnd w:id="806"/>
      <w:bookmarkEnd w:id="807"/>
      <w:bookmarkEnd w:id="808"/>
      <w:bookmarkEnd w:id="809"/>
      <w:bookmarkEnd w:id="810"/>
    </w:p>
    <w:p w14:paraId="54928D65" w14:textId="77777777" w:rsidR="00E22FF2" w:rsidRPr="00E4265B" w:rsidRDefault="00E22FF2" w:rsidP="00755697">
      <w:pPr>
        <w:pStyle w:val="TitleL5"/>
        <w:rPr>
          <w:rFonts w:ascii="Arial" w:hAnsi="Arial" w:cs="Arial"/>
          <w:sz w:val="22"/>
          <w:szCs w:val="22"/>
          <w:lang w:val="en-GB"/>
        </w:rPr>
      </w:pPr>
      <w:r w:rsidRPr="00E4265B">
        <w:rPr>
          <w:rFonts w:ascii="Arial" w:hAnsi="Arial" w:cs="Arial"/>
          <w:sz w:val="22"/>
          <w:szCs w:val="22"/>
          <w:lang w:val="en-GB"/>
        </w:rPr>
        <w:t>Guidance</w:t>
      </w:r>
    </w:p>
    <w:p w14:paraId="15472EF1" w14:textId="77777777" w:rsidR="00E22FF2" w:rsidRPr="00E4265B" w:rsidRDefault="00E22FF2" w:rsidP="00755697">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This Chapter deals with management of Liquidity Risk by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Liquidity Risk refers to the risk of potential losses incurred by an </w:t>
      </w:r>
      <w:r w:rsidR="000D1A90" w:rsidRPr="00E4265B">
        <w:rPr>
          <w:rFonts w:ascii="Arial" w:hAnsi="Arial" w:cs="Arial"/>
          <w:sz w:val="22"/>
          <w:szCs w:val="22"/>
          <w:lang w:val="en-GB"/>
        </w:rPr>
        <w:t>Authorised Person</w:t>
      </w:r>
      <w:r w:rsidRPr="00E4265B">
        <w:rPr>
          <w:rFonts w:ascii="Arial" w:hAnsi="Arial" w:cs="Arial"/>
          <w:sz w:val="22"/>
          <w:szCs w:val="22"/>
          <w:lang w:val="en-GB"/>
        </w:rPr>
        <w:t>'s failure to have liquid assets to ensure payment of all its liabilities as they fall due and be in a position to meet all payments required to sustain its business on a planned growth path.</w:t>
      </w:r>
    </w:p>
    <w:p w14:paraId="66E07F75" w14:textId="77777777" w:rsidR="00E22FF2" w:rsidRPr="00E4265B" w:rsidRDefault="00E22FF2" w:rsidP="00755697">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This Chapter requires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w:t>
      </w:r>
    </w:p>
    <w:p w14:paraId="4D869647"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implement Liquidity Risk management systems and controls;</w:t>
      </w:r>
    </w:p>
    <w:p w14:paraId="3F3FF56A"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identify, measure and monitor Liquidity Risk; </w:t>
      </w:r>
    </w:p>
    <w:p w14:paraId="13B6B243"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maintain a minimum level of HQLA; and</w:t>
      </w:r>
    </w:p>
    <w:p w14:paraId="62E16424"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 xml:space="preserve">d. </w:t>
      </w:r>
      <w:r w:rsidRPr="00E4265B">
        <w:rPr>
          <w:rFonts w:ascii="Arial" w:hAnsi="Arial" w:cs="Arial"/>
          <w:sz w:val="22"/>
          <w:szCs w:val="22"/>
          <w:lang w:val="en-GB"/>
        </w:rPr>
        <w:tab/>
        <w:t xml:space="preserve">determine quantitative limits on cumulative negative </w:t>
      </w:r>
      <w:r w:rsidR="005D344E" w:rsidRPr="00E4265B">
        <w:rPr>
          <w:rFonts w:ascii="Arial" w:hAnsi="Arial" w:cs="Arial"/>
          <w:sz w:val="22"/>
          <w:szCs w:val="22"/>
          <w:lang w:val="en-GB"/>
        </w:rPr>
        <w:t>Maturity Mismatch</w:t>
      </w:r>
      <w:r w:rsidRPr="00E4265B">
        <w:rPr>
          <w:rFonts w:ascii="Arial" w:hAnsi="Arial" w:cs="Arial"/>
          <w:sz w:val="22"/>
          <w:szCs w:val="22"/>
          <w:lang w:val="en-GB"/>
        </w:rPr>
        <w:t xml:space="preserve"> in accordance with a specified methodology.</w:t>
      </w:r>
    </w:p>
    <w:p w14:paraId="7BCBB4EE" w14:textId="77777777" w:rsidR="00E22FF2" w:rsidRPr="00E4265B" w:rsidRDefault="00E22FF2" w:rsidP="00246497">
      <w:pPr>
        <w:pStyle w:val="Heading3"/>
        <w:rPr>
          <w:rFonts w:ascii="Arial" w:hAnsi="Arial" w:cs="Arial"/>
          <w:sz w:val="22"/>
          <w:szCs w:val="22"/>
        </w:rPr>
      </w:pPr>
      <w:bookmarkStart w:id="811" w:name="_Toc403223993"/>
      <w:bookmarkStart w:id="812" w:name="_Toc403254031"/>
      <w:bookmarkStart w:id="813" w:name="_Toc403273431"/>
      <w:bookmarkStart w:id="814" w:name="_Toc403273580"/>
      <w:bookmarkStart w:id="815" w:name="_Toc403274539"/>
      <w:bookmarkStart w:id="816" w:name="_Toc403280035"/>
      <w:bookmarkStart w:id="817" w:name="_Toc404285836"/>
      <w:bookmarkStart w:id="818" w:name="_Toc404621785"/>
      <w:bookmarkStart w:id="819" w:name="_Toc404624426"/>
      <w:bookmarkStart w:id="820" w:name="_Toc33622452"/>
      <w:r w:rsidRPr="00E4265B">
        <w:rPr>
          <w:rFonts w:ascii="Arial" w:hAnsi="Arial" w:cs="Arial"/>
          <w:sz w:val="22"/>
          <w:szCs w:val="22"/>
        </w:rPr>
        <w:t>Application</w:t>
      </w:r>
      <w:bookmarkEnd w:id="811"/>
      <w:bookmarkEnd w:id="812"/>
      <w:bookmarkEnd w:id="813"/>
      <w:bookmarkEnd w:id="814"/>
      <w:bookmarkEnd w:id="815"/>
      <w:bookmarkEnd w:id="816"/>
      <w:bookmarkEnd w:id="817"/>
      <w:bookmarkEnd w:id="818"/>
      <w:bookmarkEnd w:id="819"/>
      <w:bookmarkEnd w:id="820"/>
    </w:p>
    <w:p w14:paraId="50E91854" w14:textId="77777777" w:rsidR="00E22FF2" w:rsidRPr="00E4265B" w:rsidRDefault="00E22FF2" w:rsidP="00942BEE">
      <w:pPr>
        <w:pStyle w:val="Heading4"/>
        <w:tabs>
          <w:tab w:val="clear" w:pos="936"/>
          <w:tab w:val="num" w:pos="900"/>
        </w:tabs>
        <w:ind w:left="1620" w:hanging="162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This Chapter applies to an </w:t>
      </w:r>
      <w:r w:rsidR="000D1A90" w:rsidRPr="00E4265B">
        <w:rPr>
          <w:rFonts w:ascii="Arial" w:hAnsi="Arial" w:cs="Arial"/>
          <w:sz w:val="22"/>
          <w:szCs w:val="22"/>
        </w:rPr>
        <w:t>Authorised Person</w:t>
      </w:r>
      <w:r w:rsidRPr="00E4265B">
        <w:rPr>
          <w:rFonts w:ascii="Arial" w:hAnsi="Arial" w:cs="Arial"/>
          <w:sz w:val="22"/>
          <w:szCs w:val="22"/>
        </w:rPr>
        <w:t xml:space="preserve"> in Category 1, 2</w:t>
      </w:r>
      <w:r w:rsidR="00CB6FAB" w:rsidRPr="00E4265B">
        <w:rPr>
          <w:rFonts w:ascii="Arial" w:hAnsi="Arial" w:cs="Arial"/>
          <w:sz w:val="22"/>
          <w:szCs w:val="22"/>
        </w:rPr>
        <w:t>, 3A</w:t>
      </w:r>
      <w:r w:rsidRPr="00E4265B">
        <w:rPr>
          <w:rFonts w:ascii="Arial" w:hAnsi="Arial" w:cs="Arial"/>
          <w:sz w:val="22"/>
          <w:szCs w:val="22"/>
        </w:rPr>
        <w:t> or 5.</w:t>
      </w:r>
    </w:p>
    <w:p w14:paraId="195730C0" w14:textId="73B73D92" w:rsidR="00E22FF2" w:rsidRPr="00E4265B" w:rsidRDefault="00E22FF2" w:rsidP="00942BEE">
      <w:pPr>
        <w:pStyle w:val="1List"/>
        <w:tabs>
          <w:tab w:val="left" w:pos="1620"/>
        </w:tabs>
        <w:ind w:left="1620" w:hanging="684"/>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Rule 9.2.2(3) </w:t>
      </w:r>
      <w:r w:rsidR="00BF6338" w:rsidRPr="00E4265B">
        <w:rPr>
          <w:rFonts w:ascii="Arial" w:hAnsi="Arial" w:cs="Arial"/>
          <w:sz w:val="22"/>
          <w:szCs w:val="22"/>
          <w:lang w:val="en-GB"/>
        </w:rPr>
        <w:t xml:space="preserve">only </w:t>
      </w:r>
      <w:r w:rsidRPr="00E4265B">
        <w:rPr>
          <w:rFonts w:ascii="Arial" w:hAnsi="Arial" w:cs="Arial"/>
          <w:sz w:val="22"/>
          <w:szCs w:val="22"/>
          <w:lang w:val="en-GB"/>
        </w:rPr>
        <w:t xml:space="preserve">applies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Category 2</w:t>
      </w:r>
      <w:r w:rsidR="00CB6FAB" w:rsidRPr="00E4265B">
        <w:rPr>
          <w:rFonts w:ascii="Arial" w:hAnsi="Arial" w:cs="Arial"/>
          <w:sz w:val="22"/>
          <w:szCs w:val="22"/>
          <w:lang w:val="en-GB"/>
        </w:rPr>
        <w:t xml:space="preserve"> or </w:t>
      </w:r>
      <w:r w:rsidR="00BF6338" w:rsidRPr="00E4265B">
        <w:rPr>
          <w:rFonts w:ascii="Arial" w:hAnsi="Arial" w:cs="Arial"/>
          <w:sz w:val="22"/>
          <w:szCs w:val="22"/>
          <w:lang w:val="en-GB"/>
        </w:rPr>
        <w:t xml:space="preserve">an Authorised Person that is a Domestic Firm in Category </w:t>
      </w:r>
      <w:r w:rsidR="00CB6FAB" w:rsidRPr="00E4265B">
        <w:rPr>
          <w:rFonts w:ascii="Arial" w:hAnsi="Arial" w:cs="Arial"/>
          <w:sz w:val="22"/>
          <w:szCs w:val="22"/>
          <w:lang w:val="en-GB"/>
        </w:rPr>
        <w:t>3A</w:t>
      </w:r>
      <w:r w:rsidRPr="00E4265B">
        <w:rPr>
          <w:rFonts w:ascii="Arial" w:hAnsi="Arial" w:cs="Arial"/>
          <w:sz w:val="22"/>
          <w:szCs w:val="22"/>
          <w:lang w:val="en-GB"/>
        </w:rPr>
        <w:t>.</w:t>
      </w:r>
    </w:p>
    <w:p w14:paraId="57C20AD7" w14:textId="598CD42E" w:rsidR="004E1995" w:rsidRPr="00E4265B" w:rsidRDefault="004E1995" w:rsidP="00942BEE">
      <w:pPr>
        <w:pStyle w:val="1List"/>
        <w:tabs>
          <w:tab w:val="left" w:pos="1620"/>
        </w:tabs>
        <w:ind w:left="1620" w:hanging="684"/>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Rules 9.3.12 and 9.3.13 only apply to Domestic Firms.</w:t>
      </w:r>
    </w:p>
    <w:p w14:paraId="40F5EE3F" w14:textId="77777777" w:rsidR="00E22FF2" w:rsidRPr="00E4265B" w:rsidRDefault="00E22FF2" w:rsidP="00755697">
      <w:pPr>
        <w:pStyle w:val="TitleL5"/>
        <w:rPr>
          <w:rFonts w:ascii="Arial" w:hAnsi="Arial" w:cs="Arial"/>
          <w:sz w:val="22"/>
          <w:szCs w:val="22"/>
          <w:lang w:val="en-GB"/>
        </w:rPr>
      </w:pPr>
      <w:r w:rsidRPr="00E4265B">
        <w:rPr>
          <w:rFonts w:ascii="Arial" w:hAnsi="Arial" w:cs="Arial"/>
          <w:sz w:val="22"/>
          <w:szCs w:val="22"/>
          <w:lang w:val="en-GB"/>
        </w:rPr>
        <w:t>Guidance</w:t>
      </w:r>
    </w:p>
    <w:p w14:paraId="35C1BF14" w14:textId="4B18C350" w:rsidR="00E22FF2" w:rsidRPr="00E4265B" w:rsidRDefault="00E22FF2" w:rsidP="0078487E">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In accordance with Rule 3.2.2 or </w:t>
      </w:r>
      <w:r w:rsidR="0078487E" w:rsidRPr="00E4265B">
        <w:rPr>
          <w:rFonts w:ascii="Arial" w:hAnsi="Arial" w:cs="Arial"/>
          <w:sz w:val="22"/>
          <w:szCs w:val="22"/>
          <w:lang w:val="en-GB"/>
        </w:rPr>
        <w:t xml:space="preserve">Rule </w:t>
      </w:r>
      <w:r w:rsidRPr="00E4265B">
        <w:rPr>
          <w:rFonts w:ascii="Arial" w:hAnsi="Arial" w:cs="Arial"/>
          <w:sz w:val="22"/>
          <w:szCs w:val="22"/>
          <w:lang w:val="en-GB"/>
        </w:rPr>
        <w:t xml:space="preserve">3.2.4,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required to ensure that there is no significant risk that liabilities cannot be met as they fall due. With specific reference to liquidity,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meet its obligations in a number of ways, including:</w:t>
      </w:r>
    </w:p>
    <w:p w14:paraId="64CC3416"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by holding sufficient immediately available cash or readily marketable assets;</w:t>
      </w:r>
    </w:p>
    <w:p w14:paraId="08F71752"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by securing an appropriate matching future profile of cashflows; and</w:t>
      </w:r>
    </w:p>
    <w:p w14:paraId="0A466AC7"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by further borrowing.</w:t>
      </w:r>
    </w:p>
    <w:p w14:paraId="4A7AFA6E" w14:textId="7F414E92" w:rsidR="00D84350" w:rsidRPr="00E4265B" w:rsidRDefault="00E22FF2" w:rsidP="00755697">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In 1.b., "future profile of cashflows" refers to the pattern of cashflows including, for example, in the terms of source, maturity date, amounts and nature of cashflows.</w:t>
      </w:r>
    </w:p>
    <w:p w14:paraId="6AE63942" w14:textId="77777777" w:rsidR="00E22FF2" w:rsidRPr="00E4265B" w:rsidRDefault="00E22FF2" w:rsidP="00246497">
      <w:pPr>
        <w:pStyle w:val="Heading3"/>
        <w:rPr>
          <w:rFonts w:ascii="Arial" w:hAnsi="Arial" w:cs="Arial"/>
          <w:sz w:val="22"/>
          <w:szCs w:val="22"/>
        </w:rPr>
      </w:pPr>
      <w:bookmarkStart w:id="821" w:name="_Toc403223994"/>
      <w:bookmarkStart w:id="822" w:name="_Toc403254032"/>
      <w:bookmarkStart w:id="823" w:name="_Toc403273432"/>
      <w:bookmarkStart w:id="824" w:name="_Toc403273581"/>
      <w:bookmarkStart w:id="825" w:name="_Toc403274540"/>
      <w:bookmarkStart w:id="826" w:name="_Toc403280036"/>
      <w:bookmarkStart w:id="827" w:name="_Toc404285837"/>
      <w:bookmarkStart w:id="828" w:name="_Toc404621786"/>
      <w:bookmarkStart w:id="829" w:name="_Toc404624427"/>
      <w:bookmarkStart w:id="830" w:name="_Toc33622453"/>
      <w:r w:rsidRPr="00E4265B">
        <w:rPr>
          <w:rFonts w:ascii="Arial" w:hAnsi="Arial" w:cs="Arial"/>
          <w:sz w:val="22"/>
          <w:szCs w:val="22"/>
        </w:rPr>
        <w:t>Liquidity Risk policy systems and controls</w:t>
      </w:r>
      <w:bookmarkEnd w:id="821"/>
      <w:bookmarkEnd w:id="822"/>
      <w:bookmarkEnd w:id="823"/>
      <w:bookmarkEnd w:id="824"/>
      <w:bookmarkEnd w:id="825"/>
      <w:bookmarkEnd w:id="826"/>
      <w:bookmarkEnd w:id="827"/>
      <w:bookmarkEnd w:id="828"/>
      <w:bookmarkEnd w:id="829"/>
      <w:bookmarkEnd w:id="830"/>
    </w:p>
    <w:p w14:paraId="1D2F7704" w14:textId="77777777" w:rsidR="00E22FF2" w:rsidRPr="00E4265B" w:rsidRDefault="00E22FF2" w:rsidP="00BF6338">
      <w:pPr>
        <w:pStyle w:val="Heading4"/>
        <w:tabs>
          <w:tab w:val="clear" w:pos="936"/>
          <w:tab w:val="left" w:pos="990"/>
        </w:tabs>
        <w:ind w:left="1800" w:hanging="180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establish and maintain a Liquidity Risk policy which is in writing and is approved at least annually by its Governing Body.</w:t>
      </w:r>
    </w:p>
    <w:p w14:paraId="40F5866E"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lastRenderedPageBreak/>
        <w:t>(2)</w:t>
      </w:r>
      <w:r w:rsidRPr="00E4265B">
        <w:rPr>
          <w:rFonts w:ascii="Arial" w:hAnsi="Arial" w:cs="Arial"/>
          <w:sz w:val="22"/>
          <w:szCs w:val="22"/>
          <w:lang w:val="en-GB"/>
        </w:rPr>
        <w:tab/>
        <w:t xml:space="preserve">The policy must set out the level of Liquidity Risk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willing to tolerate and include the strategy for the daily and long</w:t>
      </w:r>
      <w:r w:rsidRPr="00E4265B">
        <w:rPr>
          <w:rFonts w:ascii="Arial" w:hAnsi="Arial" w:cs="Arial"/>
          <w:sz w:val="22"/>
          <w:szCs w:val="22"/>
          <w:lang w:val="en-GB"/>
        </w:rPr>
        <w:noBreakHyphen/>
        <w:t>term management of Liquidity Risk appropriate to the nature, scale and complexity of the activities conducted and the strategy must include the matters referred to in (3), (4), and (5).</w:t>
      </w:r>
    </w:p>
    <w:p w14:paraId="263309B9"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The strategy must include a system for identifying and assessing Liquidity Risk in accordance with Rule 9.2.4.</w:t>
      </w:r>
    </w:p>
    <w:p w14:paraId="0F08B6EE"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The strategy must include a process for the measurement and monitoring of Liquidity Risk using a robust and consistent method which enables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implement the requirements set out in Rule 9.2.5.</w:t>
      </w:r>
    </w:p>
    <w:p w14:paraId="5C5E8F31"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 xml:space="preserve">The strategy must include a system for controlling Liquidity Risk which enables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implement the requirements set out in Rule 9.2.6.</w:t>
      </w:r>
    </w:p>
    <w:p w14:paraId="32A836A0"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t>(6)</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ensure that it has risk management systems to implement the policy.</w:t>
      </w:r>
    </w:p>
    <w:p w14:paraId="7A445A35" w14:textId="77777777" w:rsidR="00E22FF2" w:rsidRPr="00E4265B" w:rsidRDefault="00E22FF2" w:rsidP="00755697">
      <w:pPr>
        <w:pStyle w:val="TitleL5"/>
        <w:rPr>
          <w:rFonts w:ascii="Arial" w:hAnsi="Arial" w:cs="Arial"/>
          <w:sz w:val="22"/>
          <w:szCs w:val="22"/>
          <w:lang w:val="en-GB"/>
        </w:rPr>
      </w:pPr>
      <w:r w:rsidRPr="00E4265B">
        <w:rPr>
          <w:rFonts w:ascii="Arial" w:hAnsi="Arial" w:cs="Arial"/>
          <w:sz w:val="22"/>
          <w:szCs w:val="22"/>
          <w:lang w:val="en-GB"/>
        </w:rPr>
        <w:t>Guidance</w:t>
      </w:r>
    </w:p>
    <w:p w14:paraId="2B45AB66" w14:textId="77777777" w:rsidR="00E22FF2" w:rsidRPr="00E4265B" w:rsidRDefault="00E22FF2" w:rsidP="003D4C5D">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The Regulator expects that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Liquidity Risk strategy will set out the approach that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will take to Liquidity Risk management, including various quantitative and qualitative targets. It should be communicated to all relevant functions and staff within the organisation and be set out in the </w:t>
      </w:r>
      <w:r w:rsidR="000D1A90" w:rsidRPr="00E4265B">
        <w:rPr>
          <w:rFonts w:ascii="Arial" w:hAnsi="Arial" w:cs="Arial"/>
          <w:sz w:val="22"/>
          <w:szCs w:val="22"/>
          <w:lang w:val="en-GB"/>
        </w:rPr>
        <w:t>Authorised Person</w:t>
      </w:r>
      <w:r w:rsidRPr="00E4265B">
        <w:rPr>
          <w:rFonts w:ascii="Arial" w:hAnsi="Arial" w:cs="Arial"/>
          <w:sz w:val="22"/>
          <w:szCs w:val="22"/>
          <w:lang w:val="en-GB"/>
        </w:rPr>
        <w:t>'s Liquidity Risk policy.</w:t>
      </w:r>
    </w:p>
    <w:p w14:paraId="2ACD438B" w14:textId="77777777" w:rsidR="00E22FF2" w:rsidRPr="00E4265B" w:rsidRDefault="00E22FF2" w:rsidP="003D4C5D">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Regulator expects that an </w:t>
      </w:r>
      <w:r w:rsidR="000D1A90" w:rsidRPr="00E4265B">
        <w:rPr>
          <w:rFonts w:ascii="Arial" w:hAnsi="Arial" w:cs="Arial"/>
          <w:sz w:val="22"/>
          <w:szCs w:val="22"/>
          <w:lang w:val="en-GB"/>
        </w:rPr>
        <w:t>Authorised Person</w:t>
      </w:r>
      <w:r w:rsidRPr="00E4265B">
        <w:rPr>
          <w:rFonts w:ascii="Arial" w:hAnsi="Arial" w:cs="Arial"/>
          <w:sz w:val="22"/>
          <w:szCs w:val="22"/>
          <w:lang w:val="en-GB"/>
        </w:rPr>
        <w:t>'s strategy for managing Liquidity Risk will take into account the need to:</w:t>
      </w:r>
    </w:p>
    <w:p w14:paraId="1FA4FD05" w14:textId="77777777" w:rsidR="00E22FF2" w:rsidRPr="00E4265B" w:rsidRDefault="00E22FF2" w:rsidP="0033542C">
      <w:pPr>
        <w:pStyle w:val="aList"/>
        <w:rPr>
          <w:rFonts w:ascii="Arial" w:hAnsi="Arial" w:cs="Arial"/>
          <w:sz w:val="22"/>
          <w:szCs w:val="22"/>
          <w:lang w:val="en-GB"/>
        </w:rPr>
      </w:pPr>
      <w:r w:rsidRPr="00E4265B">
        <w:rPr>
          <w:rFonts w:ascii="Arial" w:hAnsi="Arial" w:cs="Arial"/>
          <w:sz w:val="22"/>
          <w:szCs w:val="22"/>
          <w:lang w:val="en-GB"/>
        </w:rPr>
        <w:t xml:space="preserve">a. </w:t>
      </w:r>
      <w:r w:rsidRPr="00E4265B">
        <w:rPr>
          <w:rFonts w:ascii="Arial" w:hAnsi="Arial" w:cs="Arial"/>
          <w:sz w:val="22"/>
          <w:szCs w:val="22"/>
          <w:lang w:val="en-GB"/>
        </w:rPr>
        <w:tab/>
        <w:t xml:space="preserve">develop a liquidity management strategy, policies and processes in accordance with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stated Liquidity Risk tolerance; </w:t>
      </w:r>
    </w:p>
    <w:p w14:paraId="178B7446" w14:textId="77777777" w:rsidR="00E22FF2" w:rsidRPr="00E4265B" w:rsidRDefault="00E22FF2" w:rsidP="0033542C">
      <w:pPr>
        <w:pStyle w:val="aList"/>
        <w:rPr>
          <w:rFonts w:ascii="Arial" w:hAnsi="Arial" w:cs="Arial"/>
          <w:sz w:val="22"/>
          <w:szCs w:val="22"/>
          <w:lang w:val="en-GB"/>
        </w:rPr>
      </w:pPr>
      <w:r w:rsidRPr="00E4265B">
        <w:rPr>
          <w:rFonts w:ascii="Arial" w:hAnsi="Arial" w:cs="Arial"/>
          <w:sz w:val="22"/>
          <w:szCs w:val="22"/>
          <w:lang w:val="en-GB"/>
        </w:rPr>
        <w:t xml:space="preserve">b. </w:t>
      </w:r>
      <w:r w:rsidRPr="00E4265B">
        <w:rPr>
          <w:rFonts w:ascii="Arial" w:hAnsi="Arial" w:cs="Arial"/>
          <w:sz w:val="22"/>
          <w:szCs w:val="22"/>
          <w:lang w:val="en-GB"/>
        </w:rPr>
        <w:tab/>
        <w:t xml:space="preserve">ensure that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maintains sufficient liquidity at all times; </w:t>
      </w:r>
    </w:p>
    <w:p w14:paraId="5BF85188" w14:textId="77777777" w:rsidR="00E22FF2" w:rsidRPr="00E4265B" w:rsidRDefault="00E22FF2" w:rsidP="0033542C">
      <w:pPr>
        <w:pStyle w:val="aList"/>
        <w:rPr>
          <w:rFonts w:ascii="Arial" w:hAnsi="Arial" w:cs="Arial"/>
          <w:sz w:val="22"/>
          <w:szCs w:val="22"/>
          <w:lang w:val="en-GB"/>
        </w:rPr>
      </w:pPr>
      <w:r w:rsidRPr="00E4265B">
        <w:rPr>
          <w:rFonts w:ascii="Arial" w:hAnsi="Arial" w:cs="Arial"/>
          <w:sz w:val="22"/>
          <w:szCs w:val="22"/>
          <w:lang w:val="en-GB"/>
        </w:rPr>
        <w:t xml:space="preserve">c. </w:t>
      </w:r>
      <w:r w:rsidRPr="00E4265B">
        <w:rPr>
          <w:rFonts w:ascii="Arial" w:hAnsi="Arial" w:cs="Arial"/>
          <w:sz w:val="22"/>
          <w:szCs w:val="22"/>
          <w:lang w:val="en-GB"/>
        </w:rPr>
        <w:tab/>
        <w:t xml:space="preserve">determine the structure, responsibilities and controls for managing Liquidity Risk and for overseeing the liquidity positions of all branches and subsidiaries in the jurisdictions in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active, and outline these elements clearly in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liquidity policies; </w:t>
      </w:r>
    </w:p>
    <w:p w14:paraId="605CBFC5" w14:textId="77777777" w:rsidR="00E22FF2" w:rsidRPr="00E4265B" w:rsidRDefault="00E22FF2" w:rsidP="0033542C">
      <w:pPr>
        <w:pStyle w:val="aList"/>
        <w:rPr>
          <w:rFonts w:ascii="Arial" w:hAnsi="Arial" w:cs="Arial"/>
          <w:sz w:val="22"/>
          <w:szCs w:val="22"/>
          <w:lang w:val="en-GB"/>
        </w:rPr>
      </w:pPr>
      <w:r w:rsidRPr="00E4265B">
        <w:rPr>
          <w:rFonts w:ascii="Arial" w:hAnsi="Arial" w:cs="Arial"/>
          <w:sz w:val="22"/>
          <w:szCs w:val="22"/>
          <w:lang w:val="en-GB"/>
        </w:rPr>
        <w:t xml:space="preserve">d. </w:t>
      </w:r>
      <w:r w:rsidRPr="00E4265B">
        <w:rPr>
          <w:rFonts w:ascii="Arial" w:hAnsi="Arial" w:cs="Arial"/>
          <w:sz w:val="22"/>
          <w:szCs w:val="22"/>
          <w:lang w:val="en-GB"/>
        </w:rPr>
        <w:tab/>
        <w:t xml:space="preserve">have in place adequate internal controls to ensure the integrity of its Liquidity Risk management processes; </w:t>
      </w:r>
    </w:p>
    <w:p w14:paraId="6135E1F3" w14:textId="77777777" w:rsidR="00E22FF2" w:rsidRPr="00E4265B" w:rsidRDefault="00E22FF2" w:rsidP="0033542C">
      <w:pPr>
        <w:pStyle w:val="aList"/>
        <w:rPr>
          <w:rFonts w:ascii="Arial" w:hAnsi="Arial" w:cs="Arial"/>
          <w:sz w:val="22"/>
          <w:szCs w:val="22"/>
          <w:lang w:val="en-GB"/>
        </w:rPr>
      </w:pPr>
      <w:r w:rsidRPr="00E4265B">
        <w:rPr>
          <w:rFonts w:ascii="Arial" w:hAnsi="Arial" w:cs="Arial"/>
          <w:sz w:val="22"/>
          <w:szCs w:val="22"/>
          <w:lang w:val="en-GB"/>
        </w:rPr>
        <w:t xml:space="preserve">e. </w:t>
      </w:r>
      <w:r w:rsidRPr="00E4265B">
        <w:rPr>
          <w:rFonts w:ascii="Arial" w:hAnsi="Arial" w:cs="Arial"/>
          <w:sz w:val="22"/>
          <w:szCs w:val="22"/>
          <w:lang w:val="en-GB"/>
        </w:rPr>
        <w:tab/>
        <w:t xml:space="preserve">ensure that stress tests, contingency funding plans and holdings of HQLA are effective and appropriate for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t>
      </w:r>
    </w:p>
    <w:p w14:paraId="6B2A0B01" w14:textId="77777777" w:rsidR="00E22FF2" w:rsidRPr="00E4265B" w:rsidRDefault="00E22FF2" w:rsidP="0033542C">
      <w:pPr>
        <w:pStyle w:val="aList"/>
        <w:rPr>
          <w:rFonts w:ascii="Arial" w:hAnsi="Arial" w:cs="Arial"/>
          <w:sz w:val="22"/>
          <w:szCs w:val="22"/>
          <w:lang w:val="en-GB"/>
        </w:rPr>
      </w:pPr>
      <w:r w:rsidRPr="00E4265B">
        <w:rPr>
          <w:rFonts w:ascii="Arial" w:hAnsi="Arial" w:cs="Arial"/>
          <w:sz w:val="22"/>
          <w:szCs w:val="22"/>
          <w:lang w:val="en-GB"/>
        </w:rPr>
        <w:t xml:space="preserve">f. </w:t>
      </w:r>
      <w:r w:rsidRPr="00E4265B">
        <w:rPr>
          <w:rFonts w:ascii="Arial" w:hAnsi="Arial" w:cs="Arial"/>
          <w:sz w:val="22"/>
          <w:szCs w:val="22"/>
          <w:lang w:val="en-GB"/>
        </w:rPr>
        <w:tab/>
        <w:t>establish a set of reporting criteria, specifying the scope, manner and frequency of reporting to various recipients (such as the Governing Body, senior management and the</w:t>
      </w:r>
      <w:r w:rsidR="004D3979" w:rsidRPr="00E4265B">
        <w:rPr>
          <w:rFonts w:ascii="Arial" w:hAnsi="Arial" w:cs="Arial"/>
          <w:sz w:val="22"/>
          <w:szCs w:val="22"/>
          <w:lang w:val="en-GB"/>
        </w:rPr>
        <w:t xml:space="preserve"> Asset and Liability Committee (ALCO)</w:t>
      </w:r>
      <w:r w:rsidRPr="00E4265B">
        <w:rPr>
          <w:rFonts w:ascii="Arial" w:hAnsi="Arial" w:cs="Arial"/>
          <w:sz w:val="22"/>
          <w:szCs w:val="22"/>
          <w:lang w:val="en-GB"/>
        </w:rPr>
        <w:t>) and who is responsible for preparing the reports;</w:t>
      </w:r>
    </w:p>
    <w:p w14:paraId="46F51C80" w14:textId="77777777" w:rsidR="00E22FF2" w:rsidRPr="00E4265B" w:rsidRDefault="00E22FF2" w:rsidP="0033542C">
      <w:pPr>
        <w:pStyle w:val="aList"/>
        <w:rPr>
          <w:rFonts w:ascii="Arial" w:hAnsi="Arial" w:cs="Arial"/>
          <w:sz w:val="22"/>
          <w:szCs w:val="22"/>
          <w:lang w:val="en-GB"/>
        </w:rPr>
      </w:pPr>
      <w:r w:rsidRPr="00E4265B">
        <w:rPr>
          <w:rFonts w:ascii="Arial" w:hAnsi="Arial" w:cs="Arial"/>
          <w:sz w:val="22"/>
          <w:szCs w:val="22"/>
          <w:lang w:val="en-GB"/>
        </w:rPr>
        <w:lastRenderedPageBreak/>
        <w:t xml:space="preserve">g. </w:t>
      </w:r>
      <w:r w:rsidRPr="00E4265B">
        <w:rPr>
          <w:rFonts w:ascii="Arial" w:hAnsi="Arial" w:cs="Arial"/>
          <w:sz w:val="22"/>
          <w:szCs w:val="22"/>
          <w:lang w:val="en-GB"/>
        </w:rPr>
        <w:tab/>
        <w:t xml:space="preserve">establish the specific procedures and approvals necessary for exceptions to policies and limits, including the escalation procedures and follow-up actions to be taken for breaches of limits; </w:t>
      </w:r>
    </w:p>
    <w:p w14:paraId="44532D25" w14:textId="77777777" w:rsidR="00E22FF2" w:rsidRPr="00E4265B" w:rsidRDefault="00E22FF2" w:rsidP="0033542C">
      <w:pPr>
        <w:pStyle w:val="aList"/>
        <w:rPr>
          <w:rFonts w:ascii="Arial" w:hAnsi="Arial" w:cs="Arial"/>
          <w:sz w:val="22"/>
          <w:szCs w:val="22"/>
          <w:lang w:val="en-GB"/>
        </w:rPr>
      </w:pPr>
      <w:r w:rsidRPr="00E4265B">
        <w:rPr>
          <w:rFonts w:ascii="Arial" w:hAnsi="Arial" w:cs="Arial"/>
          <w:sz w:val="22"/>
          <w:szCs w:val="22"/>
          <w:lang w:val="en-GB"/>
        </w:rPr>
        <w:t xml:space="preserve">h. </w:t>
      </w:r>
      <w:r w:rsidRPr="00E4265B">
        <w:rPr>
          <w:rFonts w:ascii="Arial" w:hAnsi="Arial" w:cs="Arial"/>
          <w:sz w:val="22"/>
          <w:szCs w:val="22"/>
          <w:lang w:val="en-GB"/>
        </w:rPr>
        <w:tab/>
        <w:t xml:space="preserve">monitor closely current trends and potential market developments that may present significant, unprecedented and complex challenges for managing Liquidity Risk so that appropriate and prompt changes to the liquidity management strategy can be made as needed; and </w:t>
      </w:r>
    </w:p>
    <w:p w14:paraId="45F7CBB1" w14:textId="77777777" w:rsidR="00E22FF2" w:rsidRPr="00E4265B" w:rsidRDefault="00E22FF2" w:rsidP="0033542C">
      <w:pPr>
        <w:pStyle w:val="aList"/>
        <w:rPr>
          <w:rFonts w:ascii="Arial" w:hAnsi="Arial" w:cs="Arial"/>
          <w:sz w:val="22"/>
          <w:szCs w:val="22"/>
          <w:lang w:val="en-GB"/>
        </w:rPr>
      </w:pPr>
      <w:r w:rsidRPr="00E4265B">
        <w:rPr>
          <w:rFonts w:ascii="Arial" w:hAnsi="Arial" w:cs="Arial"/>
          <w:sz w:val="22"/>
          <w:szCs w:val="22"/>
          <w:lang w:val="en-GB"/>
        </w:rPr>
        <w:t xml:space="preserve">i. </w:t>
      </w:r>
      <w:r w:rsidRPr="00E4265B">
        <w:rPr>
          <w:rFonts w:ascii="Arial" w:hAnsi="Arial" w:cs="Arial"/>
          <w:sz w:val="22"/>
          <w:szCs w:val="22"/>
          <w:lang w:val="en-GB"/>
        </w:rPr>
        <w:tab/>
        <w:t xml:space="preserve">continuously review information on the </w:t>
      </w:r>
      <w:r w:rsidR="000D1A90" w:rsidRPr="00E4265B">
        <w:rPr>
          <w:rFonts w:ascii="Arial" w:hAnsi="Arial" w:cs="Arial"/>
          <w:sz w:val="22"/>
          <w:szCs w:val="22"/>
          <w:lang w:val="en-GB"/>
        </w:rPr>
        <w:t>Authorised Person</w:t>
      </w:r>
      <w:r w:rsidRPr="00E4265B">
        <w:rPr>
          <w:rFonts w:ascii="Arial" w:hAnsi="Arial" w:cs="Arial"/>
          <w:sz w:val="22"/>
          <w:szCs w:val="22"/>
          <w:lang w:val="en-GB"/>
        </w:rPr>
        <w:t>'s liquidity developments and report regularly to the Governing Body.</w:t>
      </w:r>
    </w:p>
    <w:p w14:paraId="4E4E2AAE" w14:textId="77777777" w:rsidR="00E22FF2" w:rsidRPr="00E4265B" w:rsidRDefault="00E22FF2" w:rsidP="00942BEE">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ensure that its Governing Body is responsible for monitoring the nature and level of Liquidity Risk assumed by the </w:t>
      </w:r>
      <w:r w:rsidR="000D1A90" w:rsidRPr="00E4265B">
        <w:rPr>
          <w:rFonts w:ascii="Arial" w:hAnsi="Arial" w:cs="Arial"/>
          <w:sz w:val="22"/>
          <w:szCs w:val="22"/>
        </w:rPr>
        <w:t>Authorised Person</w:t>
      </w:r>
      <w:r w:rsidRPr="00E4265B">
        <w:rPr>
          <w:rFonts w:ascii="Arial" w:hAnsi="Arial" w:cs="Arial"/>
          <w:sz w:val="22"/>
          <w:szCs w:val="22"/>
        </w:rPr>
        <w:t xml:space="preserve"> and the process used to manage that risk.</w:t>
      </w:r>
    </w:p>
    <w:p w14:paraId="27C825D6"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eastAsia="Arial" w:hAnsi="Arial" w:cs="Arial"/>
          <w:sz w:val="22"/>
          <w:szCs w:val="22"/>
          <w:lang w:val="en-GB"/>
        </w:rPr>
        <w:tab/>
      </w:r>
      <w:r w:rsidRPr="00E4265B">
        <w:rPr>
          <w:rFonts w:ascii="Arial" w:hAnsi="Arial" w:cs="Arial"/>
          <w:sz w:val="22"/>
          <w:szCs w:val="22"/>
          <w:lang w:val="en-GB"/>
        </w:rPr>
        <w:t xml:space="preserve">Without limiting the operation of (1), the responsibilities of an </w:t>
      </w:r>
      <w:r w:rsidR="000D1A90" w:rsidRPr="00E4265B">
        <w:rPr>
          <w:rFonts w:ascii="Arial" w:hAnsi="Arial" w:cs="Arial"/>
          <w:sz w:val="22"/>
          <w:szCs w:val="22"/>
          <w:lang w:val="en-GB"/>
        </w:rPr>
        <w:t>Authorised Person</w:t>
      </w:r>
      <w:r w:rsidRPr="00E4265B">
        <w:rPr>
          <w:rFonts w:ascii="Arial" w:hAnsi="Arial" w:cs="Arial"/>
          <w:sz w:val="22"/>
          <w:szCs w:val="22"/>
          <w:lang w:val="en-GB"/>
        </w:rPr>
        <w:t>'s Governing Body in respect of Liquidity Risk include:</w:t>
      </w:r>
    </w:p>
    <w:p w14:paraId="4460474D"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approving the statement of the </w:t>
      </w:r>
      <w:r w:rsidR="000D1A90" w:rsidRPr="00E4265B">
        <w:rPr>
          <w:rFonts w:ascii="Arial" w:hAnsi="Arial" w:cs="Arial"/>
          <w:sz w:val="22"/>
          <w:szCs w:val="22"/>
          <w:lang w:val="en-GB"/>
        </w:rPr>
        <w:t>Authorised Person</w:t>
      </w:r>
      <w:r w:rsidRPr="00E4265B">
        <w:rPr>
          <w:rFonts w:ascii="Arial" w:hAnsi="Arial" w:cs="Arial"/>
          <w:sz w:val="22"/>
          <w:szCs w:val="22"/>
          <w:lang w:val="en-GB"/>
        </w:rPr>
        <w:t>'s Liquidity Risk strategy;</w:t>
      </w:r>
    </w:p>
    <w:p w14:paraId="3C9C3688"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establishing and maintaining a senior management structure with clearly defined responsibilities and roles for the management of Liquidity Risk and for ensuring compliance with the </w:t>
      </w:r>
      <w:r w:rsidR="000D1A90" w:rsidRPr="00E4265B">
        <w:rPr>
          <w:rFonts w:ascii="Arial" w:hAnsi="Arial" w:cs="Arial"/>
          <w:sz w:val="22"/>
          <w:szCs w:val="22"/>
          <w:lang w:val="en-GB"/>
        </w:rPr>
        <w:t>Authorised Person</w:t>
      </w:r>
      <w:r w:rsidRPr="00E4265B">
        <w:rPr>
          <w:rFonts w:ascii="Arial" w:hAnsi="Arial" w:cs="Arial"/>
          <w:sz w:val="22"/>
          <w:szCs w:val="22"/>
          <w:lang w:val="en-GB"/>
        </w:rPr>
        <w:t>'s Risk strategy;</w:t>
      </w:r>
    </w:p>
    <w:p w14:paraId="4FE4C5EA"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ensuring the senior management in (b) and other relevant personnel have the necessary experience to manage Liquidity Risk;</w:t>
      </w:r>
    </w:p>
    <w:p w14:paraId="168978ED"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monitoring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overall Liquidity Risk profile on a regular basis and being aware of any material changes in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current or prospective Liquidity Risk profile; </w:t>
      </w:r>
    </w:p>
    <w:p w14:paraId="32F0EA8C"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ensuring that Liquidity Risk is adequately identified, assessed, mitigated, controlled and monitored in accordance with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Liquidity Risk tolerance and strategy; </w:t>
      </w:r>
    </w:p>
    <w:p w14:paraId="5F62DD84"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ensuring that the Liquidity Risk tolerance and strategy is documented; and</w:t>
      </w:r>
    </w:p>
    <w:p w14:paraId="6ED8F6EE"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 xml:space="preserve">ensuring that the Liquidity Risk tolerance and strategy is reviewed at least annually. </w:t>
      </w:r>
    </w:p>
    <w:p w14:paraId="1485EA78" w14:textId="0EEF567A" w:rsidR="00E22FF2" w:rsidRPr="00E4265B" w:rsidRDefault="00E22FF2" w:rsidP="00A373A2">
      <w:pPr>
        <w:pStyle w:val="TitleL5"/>
        <w:rPr>
          <w:rFonts w:ascii="Arial" w:hAnsi="Arial" w:cs="Arial"/>
          <w:sz w:val="22"/>
          <w:szCs w:val="22"/>
          <w:lang w:val="en-GB"/>
        </w:rPr>
      </w:pPr>
      <w:r w:rsidRPr="00E4265B">
        <w:rPr>
          <w:rFonts w:ascii="Arial" w:hAnsi="Arial" w:cs="Arial"/>
          <w:sz w:val="22"/>
          <w:szCs w:val="22"/>
          <w:lang w:val="en-GB"/>
        </w:rPr>
        <w:t>Requirements imposed on a</w:t>
      </w:r>
      <w:r w:rsidR="00A373A2" w:rsidRPr="00E4265B">
        <w:rPr>
          <w:rFonts w:ascii="Arial" w:hAnsi="Arial" w:cs="Arial"/>
          <w:sz w:val="22"/>
          <w:szCs w:val="22"/>
          <w:lang w:val="en-GB"/>
        </w:rPr>
        <w:t>n Authorised Person</w:t>
      </w:r>
      <w:r w:rsidR="00CB6FAB" w:rsidRPr="00E4265B">
        <w:rPr>
          <w:rFonts w:ascii="Arial" w:hAnsi="Arial" w:cs="Arial"/>
          <w:sz w:val="22"/>
          <w:szCs w:val="22"/>
          <w:lang w:val="en-GB"/>
        </w:rPr>
        <w:t xml:space="preserve"> in</w:t>
      </w:r>
      <w:r w:rsidRPr="00E4265B">
        <w:rPr>
          <w:rFonts w:ascii="Arial" w:hAnsi="Arial" w:cs="Arial"/>
          <w:sz w:val="22"/>
          <w:szCs w:val="22"/>
          <w:lang w:val="en-GB"/>
        </w:rPr>
        <w:t xml:space="preserve"> Category 2</w:t>
      </w:r>
      <w:r w:rsidR="00CB6FAB" w:rsidRPr="00E4265B">
        <w:rPr>
          <w:rFonts w:ascii="Arial" w:hAnsi="Arial" w:cs="Arial"/>
          <w:sz w:val="22"/>
          <w:szCs w:val="22"/>
          <w:lang w:val="en-GB"/>
        </w:rPr>
        <w:t xml:space="preserve"> or 3A</w:t>
      </w:r>
    </w:p>
    <w:p w14:paraId="7080C78C" w14:textId="29C713EF" w:rsidR="00E22FF2" w:rsidRPr="00E4265B" w:rsidRDefault="00E22FF2" w:rsidP="00A053EF">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A053EF" w:rsidRPr="00E4265B">
        <w:rPr>
          <w:rFonts w:ascii="Arial" w:hAnsi="Arial" w:cs="Arial"/>
          <w:sz w:val="22"/>
          <w:szCs w:val="22"/>
          <w:lang w:val="en-GB"/>
        </w:rPr>
        <w:t xml:space="preserve">Authorised Person in Category 2 or an Authorised Person that is a Domestic Firm in Category 3A </w:t>
      </w:r>
      <w:r w:rsidRPr="00E4265B">
        <w:rPr>
          <w:rFonts w:ascii="Arial" w:hAnsi="Arial" w:cs="Arial"/>
          <w:sz w:val="22"/>
          <w:szCs w:val="22"/>
          <w:lang w:val="en-GB"/>
        </w:rPr>
        <w:t>must:</w:t>
      </w:r>
    </w:p>
    <w:p w14:paraId="17742A6A"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establish and maintain a senior management structure to manage Liquidity Risk;</w:t>
      </w:r>
    </w:p>
    <w:p w14:paraId="5E8BF55B"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identify, assess, mitigate, control and monitor Liquidity Risk; and</w:t>
      </w:r>
    </w:p>
    <w:p w14:paraId="3A507D86"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lastRenderedPageBreak/>
        <w:t>(c)</w:t>
      </w:r>
      <w:r w:rsidRPr="00E4265B">
        <w:rPr>
          <w:rFonts w:ascii="Arial" w:hAnsi="Arial" w:cs="Arial"/>
          <w:sz w:val="22"/>
          <w:szCs w:val="22"/>
          <w:lang w:val="en-GB"/>
        </w:rPr>
        <w:tab/>
        <w:t xml:space="preserve">monitor the </w:t>
      </w:r>
      <w:r w:rsidR="000D1A90" w:rsidRPr="00E4265B">
        <w:rPr>
          <w:rFonts w:ascii="Arial" w:hAnsi="Arial" w:cs="Arial"/>
          <w:sz w:val="22"/>
          <w:szCs w:val="22"/>
          <w:lang w:val="en-GB"/>
        </w:rPr>
        <w:t>Authorised Person</w:t>
      </w:r>
      <w:r w:rsidRPr="00E4265B">
        <w:rPr>
          <w:rFonts w:ascii="Arial" w:hAnsi="Arial" w:cs="Arial"/>
          <w:sz w:val="22"/>
          <w:szCs w:val="22"/>
          <w:lang w:val="en-GB"/>
        </w:rPr>
        <w:t>'s overall Liquidity Risk profile on a regular basis.</w:t>
      </w:r>
    </w:p>
    <w:p w14:paraId="3CEC52E0" w14:textId="77777777" w:rsidR="00E22FF2" w:rsidRPr="00E4265B" w:rsidRDefault="00E22FF2" w:rsidP="00755697">
      <w:pPr>
        <w:pStyle w:val="TitleL5"/>
        <w:rPr>
          <w:rFonts w:ascii="Arial" w:hAnsi="Arial" w:cs="Arial"/>
          <w:sz w:val="22"/>
          <w:szCs w:val="22"/>
          <w:lang w:val="en-GB"/>
        </w:rPr>
      </w:pPr>
      <w:r w:rsidRPr="00E4265B">
        <w:rPr>
          <w:rFonts w:ascii="Arial" w:hAnsi="Arial" w:cs="Arial"/>
          <w:sz w:val="22"/>
          <w:szCs w:val="22"/>
          <w:lang w:val="en-GB"/>
        </w:rPr>
        <w:t>Guidance</w:t>
      </w:r>
    </w:p>
    <w:p w14:paraId="51342301" w14:textId="77777777" w:rsidR="00E22FF2" w:rsidRPr="00E4265B" w:rsidRDefault="00E22FF2" w:rsidP="00755697">
      <w:pPr>
        <w:pStyle w:val="UK12Block05"/>
        <w:rPr>
          <w:rFonts w:ascii="Arial" w:hAnsi="Arial" w:cs="Arial"/>
          <w:sz w:val="22"/>
          <w:szCs w:val="22"/>
          <w:lang w:val="en-GB"/>
        </w:rPr>
      </w:pPr>
      <w:r w:rsidRPr="00E4265B">
        <w:rPr>
          <w:rFonts w:ascii="Arial" w:hAnsi="Arial" w:cs="Arial"/>
          <w:sz w:val="22"/>
          <w:szCs w:val="22"/>
          <w:lang w:val="en-GB"/>
        </w:rPr>
        <w:t>In respect of Rule 9.2.2(2)(b), senior management are expected to:</w:t>
      </w:r>
    </w:p>
    <w:p w14:paraId="582FD014"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oversee the development, establishment and maintenance of procedures and practices that translate the goals, objectives and risk tolerances approved by the Governing Body into operating standards that are consistent with the Governing Body's intent and which are understood by the relevant members of an </w:t>
      </w:r>
      <w:r w:rsidR="000D1A90" w:rsidRPr="00E4265B">
        <w:rPr>
          <w:rFonts w:ascii="Arial" w:hAnsi="Arial" w:cs="Arial"/>
          <w:sz w:val="22"/>
          <w:szCs w:val="22"/>
          <w:lang w:val="en-GB"/>
        </w:rPr>
        <w:t>Authorised Person</w:t>
      </w:r>
      <w:r w:rsidRPr="00E4265B">
        <w:rPr>
          <w:rFonts w:ascii="Arial" w:hAnsi="Arial" w:cs="Arial"/>
          <w:sz w:val="22"/>
          <w:szCs w:val="22"/>
          <w:lang w:val="en-GB"/>
        </w:rPr>
        <w:t>'s staff;</w:t>
      </w:r>
    </w:p>
    <w:p w14:paraId="3D4E6CA0"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adhere to the lines of authority and responsibility that the Governing Body has established for managing Liquidity Risk;</w:t>
      </w:r>
    </w:p>
    <w:p w14:paraId="04AA1C68"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oversee the establishment and maintenance of management information and other systems that identify, assess, control and monitor the </w:t>
      </w:r>
      <w:r w:rsidR="000D1A90" w:rsidRPr="00E4265B">
        <w:rPr>
          <w:rFonts w:ascii="Arial" w:hAnsi="Arial" w:cs="Arial"/>
          <w:sz w:val="22"/>
          <w:szCs w:val="22"/>
          <w:lang w:val="en-GB"/>
        </w:rPr>
        <w:t>Authorised Person</w:t>
      </w:r>
      <w:r w:rsidRPr="00E4265B">
        <w:rPr>
          <w:rFonts w:ascii="Arial" w:hAnsi="Arial" w:cs="Arial"/>
          <w:sz w:val="22"/>
          <w:szCs w:val="22"/>
          <w:lang w:val="en-GB"/>
        </w:rPr>
        <w:t>'s Liquidity Risk; and</w:t>
      </w:r>
    </w:p>
    <w:p w14:paraId="0D1072F0"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oversee the establishment of effective internal controls over the Liquidity Risk management process.</w:t>
      </w:r>
    </w:p>
    <w:p w14:paraId="4B161AA8" w14:textId="77777777" w:rsidR="00E22FF2" w:rsidRPr="00E4265B" w:rsidRDefault="00E22FF2" w:rsidP="00942BEE">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may delegate the day</w:t>
      </w:r>
      <w:r w:rsidRPr="00E4265B">
        <w:rPr>
          <w:rFonts w:ascii="Arial" w:hAnsi="Arial" w:cs="Arial"/>
          <w:sz w:val="22"/>
          <w:szCs w:val="22"/>
        </w:rPr>
        <w:noBreakHyphen/>
        <w:t>to</w:t>
      </w:r>
      <w:r w:rsidRPr="00E4265B">
        <w:rPr>
          <w:rFonts w:ascii="Arial" w:hAnsi="Arial" w:cs="Arial"/>
          <w:sz w:val="22"/>
          <w:szCs w:val="22"/>
        </w:rPr>
        <w:noBreakHyphen/>
        <w:t>day management of its Liquidity Risk to another entity in the same Group for management on a Group basis only if:</w:t>
      </w:r>
    </w:p>
    <w:p w14:paraId="2A098516"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Governing Body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4A435F9A" w14:textId="77777777" w:rsidR="00E22FF2" w:rsidRPr="00E4265B" w:rsidRDefault="00E22FF2" w:rsidP="00755697">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has formally approved the delegation;</w:t>
      </w:r>
    </w:p>
    <w:p w14:paraId="15B78325" w14:textId="77777777" w:rsidR="00E22FF2" w:rsidRPr="00E4265B" w:rsidRDefault="00E22FF2" w:rsidP="00755697">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keeps the delegation under review; and</w:t>
      </w:r>
    </w:p>
    <w:p w14:paraId="3C2EE102" w14:textId="2F9E1AF8" w:rsidR="00E22FF2" w:rsidRPr="00E4265B" w:rsidRDefault="00E22FF2" w:rsidP="003D4C5D">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notifies the Regulator in writing of the delegation immediately upon it</w:t>
      </w:r>
      <w:r w:rsidR="00896E3B" w:rsidRPr="00E4265B">
        <w:rPr>
          <w:rFonts w:ascii="Arial" w:hAnsi="Arial" w:cs="Arial"/>
          <w:sz w:val="22"/>
          <w:szCs w:val="22"/>
          <w:lang w:val="en-GB"/>
        </w:rPr>
        <w:t>s</w:t>
      </w:r>
      <w:r w:rsidRPr="00E4265B">
        <w:rPr>
          <w:rFonts w:ascii="Arial" w:hAnsi="Arial" w:cs="Arial"/>
          <w:sz w:val="22"/>
          <w:szCs w:val="22"/>
          <w:lang w:val="en-GB"/>
        </w:rPr>
        <w:t xml:space="preserve"> being made.</w:t>
      </w:r>
    </w:p>
    <w:p w14:paraId="6D7AD6E6" w14:textId="77777777" w:rsidR="00E22FF2" w:rsidRPr="00E4265B" w:rsidRDefault="00E22FF2" w:rsidP="00A23B4A">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delegates the management of its Liquidity Risk in accordance with (1), the requirements in this Chapter continue to apply to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1C933935" w14:textId="77777777" w:rsidR="00E22FF2" w:rsidRPr="00E4265B" w:rsidRDefault="00E22FF2" w:rsidP="00755697">
      <w:pPr>
        <w:pStyle w:val="TitleL5"/>
        <w:rPr>
          <w:rFonts w:ascii="Arial" w:hAnsi="Arial" w:cs="Arial"/>
          <w:sz w:val="22"/>
          <w:szCs w:val="22"/>
          <w:lang w:val="en-GB"/>
        </w:rPr>
      </w:pPr>
      <w:r w:rsidRPr="00E4265B">
        <w:rPr>
          <w:rFonts w:ascii="Arial" w:hAnsi="Arial" w:cs="Arial"/>
          <w:sz w:val="22"/>
          <w:szCs w:val="22"/>
          <w:lang w:val="en-GB"/>
        </w:rPr>
        <w:t>Guidance</w:t>
      </w:r>
    </w:p>
    <w:p w14:paraId="57065F46" w14:textId="77777777" w:rsidR="00E22FF2" w:rsidRPr="00E4265B" w:rsidRDefault="00E22FF2" w:rsidP="00755697">
      <w:pPr>
        <w:pStyle w:val="UK12Block05"/>
        <w:rPr>
          <w:rFonts w:ascii="Arial" w:hAnsi="Arial" w:cs="Arial"/>
          <w:sz w:val="22"/>
          <w:szCs w:val="22"/>
          <w:lang w:val="en-GB"/>
        </w:rPr>
      </w:pPr>
      <w:r w:rsidRPr="00E4265B">
        <w:rPr>
          <w:rFonts w:ascii="Arial" w:hAnsi="Arial" w:cs="Arial"/>
          <w:sz w:val="22"/>
          <w:szCs w:val="22"/>
          <w:lang w:val="en-GB"/>
        </w:rPr>
        <w:t xml:space="preserve">If Liquidity Risk management is delegated as set out in Rule 9.2.3, responsibility for its effectiveness remains with the </w:t>
      </w:r>
      <w:r w:rsidR="000D1A90" w:rsidRPr="00E4265B">
        <w:rPr>
          <w:rFonts w:ascii="Arial" w:hAnsi="Arial" w:cs="Arial"/>
          <w:sz w:val="22"/>
          <w:szCs w:val="22"/>
          <w:lang w:val="en-GB"/>
        </w:rPr>
        <w:t>Authorised Person</w:t>
      </w:r>
      <w:r w:rsidRPr="00E4265B">
        <w:rPr>
          <w:rFonts w:ascii="Arial" w:hAnsi="Arial" w:cs="Arial"/>
          <w:sz w:val="22"/>
          <w:szCs w:val="22"/>
          <w:lang w:val="en-GB"/>
        </w:rPr>
        <w:t>'s Governing Body.</w:t>
      </w:r>
    </w:p>
    <w:p w14:paraId="2A81E309" w14:textId="77777777" w:rsidR="00E22FF2" w:rsidRPr="00E4265B" w:rsidRDefault="00E22FF2" w:rsidP="00755697">
      <w:pPr>
        <w:pStyle w:val="TitleL5"/>
        <w:rPr>
          <w:rFonts w:ascii="Arial" w:hAnsi="Arial" w:cs="Arial"/>
          <w:sz w:val="22"/>
          <w:szCs w:val="22"/>
          <w:lang w:val="en-GB"/>
        </w:rPr>
      </w:pPr>
      <w:r w:rsidRPr="00E4265B">
        <w:rPr>
          <w:rFonts w:ascii="Arial" w:hAnsi="Arial" w:cs="Arial"/>
          <w:sz w:val="22"/>
          <w:szCs w:val="22"/>
          <w:lang w:val="en-GB"/>
        </w:rPr>
        <w:t>Identifying Liquidity Risk</w:t>
      </w:r>
    </w:p>
    <w:p w14:paraId="53EFAB9B" w14:textId="77777777" w:rsidR="00E22FF2" w:rsidRPr="00E4265B" w:rsidRDefault="00E22FF2" w:rsidP="00942BEE">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assess the repayment profiles of its assets under both normal market conditions and stressed conditions resulting from either general market turbulence or firm</w:t>
      </w:r>
      <w:r w:rsidRPr="00E4265B">
        <w:rPr>
          <w:rFonts w:ascii="Arial" w:hAnsi="Arial" w:cs="Arial"/>
          <w:sz w:val="22"/>
          <w:szCs w:val="22"/>
        </w:rPr>
        <w:noBreakHyphen/>
        <w:t>specific difficulties.</w:t>
      </w:r>
    </w:p>
    <w:p w14:paraId="2C974342"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assess the extent to which committed facilities can be relied upon under stressed conditions identified in accordance with Rule 9.2.9.</w:t>
      </w:r>
    </w:p>
    <w:p w14:paraId="41FC0EAC"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lastRenderedPageBreak/>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consider potential liability concentrations when determining the appropriate mix of liabilities.</w:t>
      </w:r>
    </w:p>
    <w:p w14:paraId="7DCBB233"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consider how its off</w:t>
      </w:r>
      <w:r w:rsidRPr="00E4265B">
        <w:rPr>
          <w:rFonts w:ascii="Arial" w:hAnsi="Arial" w:cs="Arial"/>
          <w:sz w:val="22"/>
          <w:szCs w:val="22"/>
          <w:lang w:val="en-GB"/>
        </w:rPr>
        <w:noBreakHyphen/>
        <w:t>balance sheet activities affect its cash flows and Liquidity Risk profile under both normal and stressed conditions.</w:t>
      </w:r>
    </w:p>
    <w:p w14:paraId="0A8046F1"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 xml:space="preserve">If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significant, unhedged liquidity mismatches in particular currencies, it must assess:</w:t>
      </w:r>
    </w:p>
    <w:p w14:paraId="762E3B21"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volatilities of the exchange rates of the mismatched currencies;</w:t>
      </w:r>
    </w:p>
    <w:p w14:paraId="669F47F0"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likely access to the foreign exchange markets in normal and stressed conditions; and</w:t>
      </w:r>
    </w:p>
    <w:p w14:paraId="0797B236"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the stability of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xml:space="preserve"> in those currencies with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stressed conditions.</w:t>
      </w:r>
    </w:p>
    <w:p w14:paraId="619C63EF" w14:textId="77777777" w:rsidR="00E22FF2" w:rsidRPr="00E4265B" w:rsidRDefault="00E22FF2" w:rsidP="00755697">
      <w:pPr>
        <w:pStyle w:val="TitleL5"/>
        <w:rPr>
          <w:rFonts w:ascii="Arial" w:hAnsi="Arial" w:cs="Arial"/>
          <w:sz w:val="22"/>
          <w:szCs w:val="22"/>
          <w:lang w:val="en-GB"/>
        </w:rPr>
      </w:pPr>
      <w:r w:rsidRPr="00E4265B">
        <w:rPr>
          <w:rFonts w:ascii="Arial" w:hAnsi="Arial" w:cs="Arial"/>
          <w:sz w:val="22"/>
          <w:szCs w:val="22"/>
          <w:lang w:val="en-GB"/>
        </w:rPr>
        <w:t>Guidance</w:t>
      </w:r>
    </w:p>
    <w:p w14:paraId="47B2A902" w14:textId="77777777" w:rsidR="00E22FF2" w:rsidRPr="00E4265B" w:rsidRDefault="00E22FF2" w:rsidP="00755697">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As part of the assessment for the purposes of Rule 9.2.4(1),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identify significant concentrations within its asset portfolio.</w:t>
      </w:r>
    </w:p>
    <w:p w14:paraId="2C0A7BC2" w14:textId="77777777" w:rsidR="00E22FF2" w:rsidRPr="00E4265B" w:rsidRDefault="00E22FF2" w:rsidP="00755697">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For the purposes of Rule 9.2.4(3),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factors including:</w:t>
      </w:r>
    </w:p>
    <w:p w14:paraId="293A86A3"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term structure of its liabilities;</w:t>
      </w:r>
    </w:p>
    <w:p w14:paraId="454BE7CB"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credit</w:t>
      </w:r>
      <w:r w:rsidRPr="00E4265B">
        <w:rPr>
          <w:rFonts w:ascii="Arial" w:hAnsi="Arial" w:cs="Arial"/>
          <w:sz w:val="22"/>
          <w:szCs w:val="22"/>
          <w:lang w:val="en-GB"/>
        </w:rPr>
        <w:noBreakHyphen/>
        <w:t>sensitivity of its liabilities;</w:t>
      </w:r>
    </w:p>
    <w:p w14:paraId="0C0822A7"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mix of secured and unsecured funding;</w:t>
      </w:r>
    </w:p>
    <w:p w14:paraId="2F261438"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concentrations among its liability providers or related Groups of liability providers;</w:t>
      </w:r>
    </w:p>
    <w:p w14:paraId="62E280FB"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reliance on particular instruments or products;</w:t>
      </w:r>
    </w:p>
    <w:p w14:paraId="267B18D1"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 xml:space="preserve">the geographical location of liability providers; and </w:t>
      </w:r>
    </w:p>
    <w:p w14:paraId="5B73D886"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reliance on intra</w:t>
      </w:r>
      <w:r w:rsidRPr="00E4265B">
        <w:rPr>
          <w:rFonts w:ascii="Arial" w:hAnsi="Arial" w:cs="Arial"/>
          <w:sz w:val="22"/>
          <w:szCs w:val="22"/>
          <w:lang w:val="en-GB"/>
        </w:rPr>
        <w:noBreakHyphen/>
        <w:t>Group funding.</w:t>
      </w:r>
    </w:p>
    <w:p w14:paraId="06467B47" w14:textId="77777777" w:rsidR="00E22FF2" w:rsidRPr="00E4265B" w:rsidRDefault="00E22FF2" w:rsidP="00755697">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As appropriate,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would be expected to consider the amount of funding required by:</w:t>
      </w:r>
    </w:p>
    <w:p w14:paraId="58F40A2A"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commitments given;</w:t>
      </w:r>
    </w:p>
    <w:p w14:paraId="2536D004"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standby facilities given;</w:t>
      </w:r>
    </w:p>
    <w:p w14:paraId="42D6EC5D"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wholesale overdraft facilities given;</w:t>
      </w:r>
    </w:p>
    <w:p w14:paraId="4A368D7E"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proprietary </w:t>
      </w:r>
      <w:r w:rsidR="005F3B3B" w:rsidRPr="00E4265B">
        <w:rPr>
          <w:rFonts w:ascii="Arial" w:hAnsi="Arial" w:cs="Arial"/>
          <w:sz w:val="22"/>
          <w:szCs w:val="22"/>
          <w:lang w:val="en-GB"/>
        </w:rPr>
        <w:t>Derivative</w:t>
      </w:r>
      <w:r w:rsidRPr="00E4265B">
        <w:rPr>
          <w:rFonts w:ascii="Arial" w:hAnsi="Arial" w:cs="Arial"/>
          <w:sz w:val="22"/>
          <w:szCs w:val="22"/>
          <w:lang w:val="en-GB"/>
        </w:rPr>
        <w:t>s positions; and</w:t>
      </w:r>
    </w:p>
    <w:p w14:paraId="29DEEF38"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liquidity facilities given for securitisation transactions.</w:t>
      </w:r>
    </w:p>
    <w:p w14:paraId="688C0604" w14:textId="77777777" w:rsidR="00E22FF2" w:rsidRPr="00E4265B" w:rsidRDefault="00E22FF2" w:rsidP="00755697">
      <w:pPr>
        <w:pStyle w:val="TitleL5"/>
        <w:rPr>
          <w:rFonts w:ascii="Arial" w:hAnsi="Arial" w:cs="Arial"/>
          <w:sz w:val="22"/>
          <w:szCs w:val="22"/>
          <w:lang w:val="en-GB"/>
        </w:rPr>
      </w:pPr>
      <w:r w:rsidRPr="00E4265B">
        <w:rPr>
          <w:rFonts w:ascii="Arial" w:hAnsi="Arial" w:cs="Arial"/>
          <w:sz w:val="22"/>
          <w:szCs w:val="22"/>
          <w:lang w:val="en-GB"/>
        </w:rPr>
        <w:lastRenderedPageBreak/>
        <w:t>Measuring and monitoring Liquidity Risk</w:t>
      </w:r>
    </w:p>
    <w:p w14:paraId="5ECFBD04" w14:textId="77777777" w:rsidR="00E22FF2" w:rsidRPr="00E4265B" w:rsidRDefault="00E22FF2" w:rsidP="00942BEE">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ensure that the method referred to in Rule 9.2.1(4) for measuring Liquidity Risk is capable of:</w:t>
      </w:r>
    </w:p>
    <w:p w14:paraId="62931C11"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measuring the extent of the Liquidity Risk it is incurring</w:t>
      </w:r>
      <w:r w:rsidR="00461CE0" w:rsidRPr="00E4265B">
        <w:rPr>
          <w:rFonts w:ascii="Arial" w:hAnsi="Arial" w:cs="Arial"/>
          <w:sz w:val="22"/>
          <w:szCs w:val="22"/>
          <w:lang w:val="en-GB"/>
        </w:rPr>
        <w:t xml:space="preserve"> and includes early warning indicators to aid its daily liquidity risk measurement and management processes</w:t>
      </w:r>
      <w:r w:rsidRPr="00E4265B">
        <w:rPr>
          <w:rFonts w:ascii="Arial" w:hAnsi="Arial" w:cs="Arial"/>
          <w:sz w:val="22"/>
          <w:szCs w:val="22"/>
          <w:lang w:val="en-GB"/>
        </w:rPr>
        <w:t>;</w:t>
      </w:r>
    </w:p>
    <w:p w14:paraId="40A89B4E"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dealing with the dynamic aspects of the </w:t>
      </w:r>
      <w:r w:rsidR="000D1A90" w:rsidRPr="00E4265B">
        <w:rPr>
          <w:rFonts w:ascii="Arial" w:hAnsi="Arial" w:cs="Arial"/>
          <w:sz w:val="22"/>
          <w:szCs w:val="22"/>
          <w:lang w:val="en-GB"/>
        </w:rPr>
        <w:t>Authorised Person</w:t>
      </w:r>
      <w:r w:rsidRPr="00E4265B">
        <w:rPr>
          <w:rFonts w:ascii="Arial" w:hAnsi="Arial" w:cs="Arial"/>
          <w:sz w:val="22"/>
          <w:szCs w:val="22"/>
          <w:lang w:val="en-GB"/>
        </w:rPr>
        <w:t>'s liquidity profile;</w:t>
      </w:r>
    </w:p>
    <w:p w14:paraId="1F5AE517"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where appropriate, measuring the </w:t>
      </w:r>
      <w:r w:rsidR="000D1A90" w:rsidRPr="00E4265B">
        <w:rPr>
          <w:rFonts w:ascii="Arial" w:hAnsi="Arial" w:cs="Arial"/>
          <w:sz w:val="22"/>
          <w:szCs w:val="22"/>
          <w:lang w:val="en-GB"/>
        </w:rPr>
        <w:t>Authorised Person</w:t>
      </w:r>
      <w:r w:rsidRPr="00E4265B">
        <w:rPr>
          <w:rFonts w:ascii="Arial" w:hAnsi="Arial" w:cs="Arial"/>
          <w:sz w:val="22"/>
          <w:szCs w:val="22"/>
          <w:lang w:val="en-GB"/>
        </w:rPr>
        <w:t>'s Exposure to Foreign Currency Liquidity Risk;</w:t>
      </w:r>
    </w:p>
    <w:p w14:paraId="7D137074"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where appropriate, measuring the </w:t>
      </w:r>
      <w:r w:rsidR="000D1A90" w:rsidRPr="00E4265B">
        <w:rPr>
          <w:rFonts w:ascii="Arial" w:hAnsi="Arial" w:cs="Arial"/>
          <w:sz w:val="22"/>
          <w:szCs w:val="22"/>
          <w:lang w:val="en-GB"/>
        </w:rPr>
        <w:t>Authorised Person</w:t>
      </w:r>
      <w:r w:rsidRPr="00E4265B">
        <w:rPr>
          <w:rFonts w:ascii="Arial" w:hAnsi="Arial" w:cs="Arial"/>
          <w:sz w:val="22"/>
          <w:szCs w:val="22"/>
          <w:lang w:val="en-GB"/>
        </w:rPr>
        <w:t>'s intra</w:t>
      </w:r>
      <w:r w:rsidRPr="00E4265B">
        <w:rPr>
          <w:rFonts w:ascii="Arial" w:hAnsi="Arial" w:cs="Arial"/>
          <w:sz w:val="22"/>
          <w:szCs w:val="22"/>
          <w:lang w:val="en-GB"/>
        </w:rPr>
        <w:noBreakHyphen/>
        <w:t>day liquidity positions; and</w:t>
      </w:r>
    </w:p>
    <w:p w14:paraId="6DCE0ED2"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where appropriate, measuring the </w:t>
      </w:r>
      <w:r w:rsidR="000D1A90" w:rsidRPr="00E4265B">
        <w:rPr>
          <w:rFonts w:ascii="Arial" w:hAnsi="Arial" w:cs="Arial"/>
          <w:sz w:val="22"/>
          <w:szCs w:val="22"/>
          <w:lang w:val="en-GB"/>
        </w:rPr>
        <w:t>Authorised Person</w:t>
      </w:r>
      <w:r w:rsidRPr="00E4265B">
        <w:rPr>
          <w:rFonts w:ascii="Arial" w:hAnsi="Arial" w:cs="Arial"/>
          <w:sz w:val="22"/>
          <w:szCs w:val="22"/>
          <w:lang w:val="en-GB"/>
        </w:rPr>
        <w:t>'s Exposure to PSIA and Islamic Contract Liquidity Risk.</w:t>
      </w:r>
    </w:p>
    <w:p w14:paraId="151B71B9"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establish and maintain a system of management reporting which provides relevant, accurate, comprehensive, timely and reliable Liquidity Risk reports to relevant functions within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58E67B2E" w14:textId="77777777" w:rsidR="00E22FF2" w:rsidRPr="00E4265B" w:rsidRDefault="00E22FF2" w:rsidP="00755697">
      <w:pPr>
        <w:pStyle w:val="TitleL5"/>
        <w:rPr>
          <w:rFonts w:ascii="Arial" w:hAnsi="Arial" w:cs="Arial"/>
          <w:sz w:val="22"/>
          <w:szCs w:val="22"/>
          <w:lang w:val="en-GB"/>
        </w:rPr>
      </w:pPr>
      <w:r w:rsidRPr="00E4265B">
        <w:rPr>
          <w:rFonts w:ascii="Arial" w:hAnsi="Arial" w:cs="Arial"/>
          <w:sz w:val="22"/>
          <w:szCs w:val="22"/>
          <w:lang w:val="en-GB"/>
        </w:rPr>
        <w:t>Guidance</w:t>
      </w:r>
    </w:p>
    <w:p w14:paraId="1D107DA9" w14:textId="77777777" w:rsidR="00E22FF2" w:rsidRPr="00E4265B" w:rsidRDefault="00E22FF2" w:rsidP="00755697">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Management information should include the following:</w:t>
      </w:r>
    </w:p>
    <w:p w14:paraId="1CB19018"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 cash</w:t>
      </w:r>
      <w:r w:rsidRPr="00E4265B">
        <w:rPr>
          <w:rFonts w:ascii="Arial" w:hAnsi="Arial" w:cs="Arial"/>
          <w:sz w:val="22"/>
          <w:szCs w:val="22"/>
          <w:lang w:val="en-GB"/>
        </w:rPr>
        <w:noBreakHyphen/>
        <w:t>flow or funding gap report;</w:t>
      </w:r>
    </w:p>
    <w:p w14:paraId="62F19812"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 funding maturity schedule;</w:t>
      </w:r>
    </w:p>
    <w:p w14:paraId="6963E2F2"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a list of large providers of funding;</w:t>
      </w:r>
    </w:p>
    <w:p w14:paraId="38065A25"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where appropriate, a schedule of Islamic funding sources;</w:t>
      </w:r>
    </w:p>
    <w:p w14:paraId="66BD1D6C"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a limit monitoring and exception report;</w:t>
      </w:r>
    </w:p>
    <w:p w14:paraId="001EAC3A"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asset quality and trends;</w:t>
      </w:r>
    </w:p>
    <w:p w14:paraId="33C1E771"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earnings projections; and</w:t>
      </w:r>
    </w:p>
    <w:p w14:paraId="30D8A0A3"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h.</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's reputation in the market and the condition of the market itself.</w:t>
      </w:r>
    </w:p>
    <w:p w14:paraId="01975321" w14:textId="77777777" w:rsidR="00E22FF2" w:rsidRPr="00E4265B" w:rsidRDefault="00E22FF2" w:rsidP="00755697">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a member of a Group, it should be able to assess the potential impact on it of Liquidity Risk arising in other parts of the Group.</w:t>
      </w:r>
    </w:p>
    <w:p w14:paraId="255CB829" w14:textId="77777777" w:rsidR="00E22FF2" w:rsidRPr="00E4265B" w:rsidRDefault="00E22FF2" w:rsidP="00755697">
      <w:pPr>
        <w:pStyle w:val="TitleL5"/>
        <w:rPr>
          <w:rFonts w:ascii="Arial" w:hAnsi="Arial" w:cs="Arial"/>
          <w:sz w:val="22"/>
          <w:szCs w:val="22"/>
          <w:lang w:val="en-GB"/>
        </w:rPr>
      </w:pPr>
      <w:r w:rsidRPr="00E4265B">
        <w:rPr>
          <w:rFonts w:ascii="Arial" w:hAnsi="Arial" w:cs="Arial"/>
          <w:sz w:val="22"/>
          <w:szCs w:val="22"/>
          <w:lang w:val="en-GB"/>
        </w:rPr>
        <w:t>Controlling Liquidity Risk</w:t>
      </w:r>
    </w:p>
    <w:p w14:paraId="7111C5F3"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ensure that the system referred to in Rule 9.2.1(5):</w:t>
      </w:r>
    </w:p>
    <w:p w14:paraId="51E3E47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lastRenderedPageBreak/>
        <w:t xml:space="preserve">enables the </w:t>
      </w:r>
      <w:r w:rsidR="000D1A90" w:rsidRPr="00E4265B">
        <w:rPr>
          <w:rFonts w:ascii="Arial" w:hAnsi="Arial" w:cs="Arial"/>
          <w:sz w:val="22"/>
          <w:szCs w:val="22"/>
        </w:rPr>
        <w:t>Authorised Person</w:t>
      </w:r>
      <w:r w:rsidRPr="00E4265B">
        <w:rPr>
          <w:rFonts w:ascii="Arial" w:hAnsi="Arial" w:cs="Arial"/>
          <w:sz w:val="22"/>
          <w:szCs w:val="22"/>
        </w:rPr>
        <w:t>'s Governing Body and senior management to review compliance with limits set in accordance with Rule 9.2.7 and operating procedures; and</w:t>
      </w:r>
    </w:p>
    <w:p w14:paraId="2EBF8729"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has appropriate approval processes, limits and other mechanisms designed to provide reasonable assurance that the </w:t>
      </w:r>
      <w:r w:rsidR="000D1A90" w:rsidRPr="00E4265B">
        <w:rPr>
          <w:rFonts w:ascii="Arial" w:hAnsi="Arial" w:cs="Arial"/>
          <w:sz w:val="22"/>
          <w:szCs w:val="22"/>
        </w:rPr>
        <w:t>Authorised Person</w:t>
      </w:r>
      <w:r w:rsidRPr="00E4265B">
        <w:rPr>
          <w:rFonts w:ascii="Arial" w:hAnsi="Arial" w:cs="Arial"/>
          <w:sz w:val="22"/>
          <w:szCs w:val="22"/>
        </w:rPr>
        <w:t>'s Liquidity Risk management processes are adhered to.</w:t>
      </w:r>
    </w:p>
    <w:p w14:paraId="04B10E02" w14:textId="77777777" w:rsidR="00E22FF2" w:rsidRPr="00E4265B" w:rsidRDefault="00E22FF2" w:rsidP="00942BEE">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ensure that its Governing Body sets appropriate liquidity limits covering Liquidity Risk management in both day</w:t>
      </w:r>
      <w:r w:rsidRPr="00E4265B">
        <w:rPr>
          <w:rFonts w:ascii="Arial" w:hAnsi="Arial" w:cs="Arial"/>
          <w:sz w:val="22"/>
          <w:szCs w:val="22"/>
        </w:rPr>
        <w:noBreakHyphen/>
        <w:t>to</w:t>
      </w:r>
      <w:r w:rsidRPr="00E4265B">
        <w:rPr>
          <w:rFonts w:ascii="Arial" w:hAnsi="Arial" w:cs="Arial"/>
          <w:sz w:val="22"/>
          <w:szCs w:val="22"/>
        </w:rPr>
        <w:noBreakHyphen/>
        <w:t>day and stressed conditions.</w:t>
      </w:r>
    </w:p>
    <w:p w14:paraId="17731B9A"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periodically review and, where appropriate, adjust the limits referred to in (1) when its Liquidity Risk policy changes.</w:t>
      </w:r>
    </w:p>
    <w:p w14:paraId="35F69140" w14:textId="77777777" w:rsidR="00E22FF2" w:rsidRPr="00E4265B" w:rsidRDefault="00E22FF2" w:rsidP="00755697">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promptly resolve any policy or limit exceptions according to the processes described in its Liquidity Risk policy.</w:t>
      </w:r>
    </w:p>
    <w:p w14:paraId="4F2F27D4"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assess market access under a variety of normal and stressed conditions.</w:t>
      </w:r>
    </w:p>
    <w:p w14:paraId="5F17D937" w14:textId="77777777" w:rsidR="00E22FF2" w:rsidRPr="00E4265B" w:rsidRDefault="00E22FF2" w:rsidP="00942BEE">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use stress and scenario testing to assess the Liquidity Risk it would face in different circumstances.</w:t>
      </w:r>
    </w:p>
    <w:p w14:paraId="30F4EDB8" w14:textId="77777777" w:rsidR="00E22FF2" w:rsidRPr="00E4265B" w:rsidRDefault="00E22FF2" w:rsidP="00942BEE">
      <w:pPr>
        <w:pStyle w:val="1List"/>
        <w:ind w:left="1710" w:hanging="72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When using stress and scenario testing in accordance with (1),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w:t>
      </w:r>
    </w:p>
    <w:p w14:paraId="3F508469"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use scenarios based on varying degrees of stress and both </w:t>
      </w:r>
      <w:r w:rsidR="000D1A90" w:rsidRPr="00E4265B">
        <w:rPr>
          <w:rFonts w:ascii="Arial" w:hAnsi="Arial" w:cs="Arial"/>
          <w:sz w:val="22"/>
          <w:szCs w:val="22"/>
          <w:lang w:val="en-GB"/>
        </w:rPr>
        <w:t>Authorised Person</w:t>
      </w:r>
      <w:r w:rsidRPr="00E4265B">
        <w:rPr>
          <w:rFonts w:ascii="Arial" w:hAnsi="Arial" w:cs="Arial"/>
          <w:sz w:val="22"/>
          <w:szCs w:val="22"/>
          <w:lang w:val="en-GB"/>
        </w:rPr>
        <w:noBreakHyphen/>
        <w:t>specific and market</w:t>
      </w:r>
      <w:r w:rsidRPr="00E4265B">
        <w:rPr>
          <w:rFonts w:ascii="Arial" w:hAnsi="Arial" w:cs="Arial"/>
          <w:sz w:val="22"/>
          <w:szCs w:val="22"/>
          <w:lang w:val="en-GB"/>
        </w:rPr>
        <w:noBreakHyphen/>
        <w:t>wide difficulties; and</w:t>
      </w:r>
    </w:p>
    <w:p w14:paraId="0EF47E73"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include a cash</w:t>
      </w:r>
      <w:r w:rsidRPr="00E4265B">
        <w:rPr>
          <w:rFonts w:ascii="Arial" w:hAnsi="Arial" w:cs="Arial"/>
          <w:sz w:val="22"/>
          <w:szCs w:val="22"/>
          <w:lang w:val="en-GB"/>
        </w:rPr>
        <w:noBreakHyphen/>
        <w:t>flow projection for each scenario tested, based on reasonable estimates of the impact (both on and off</w:t>
      </w:r>
      <w:r w:rsidRPr="00E4265B">
        <w:rPr>
          <w:rFonts w:ascii="Arial" w:hAnsi="Arial" w:cs="Arial"/>
          <w:sz w:val="22"/>
          <w:szCs w:val="22"/>
          <w:lang w:val="en-GB"/>
        </w:rPr>
        <w:noBreakHyphen/>
        <w:t xml:space="preserve">balance sheet) of that scenario on the </w:t>
      </w:r>
      <w:r w:rsidR="000D1A90" w:rsidRPr="00E4265B">
        <w:rPr>
          <w:rFonts w:ascii="Arial" w:hAnsi="Arial" w:cs="Arial"/>
          <w:sz w:val="22"/>
          <w:szCs w:val="22"/>
          <w:lang w:val="en-GB"/>
        </w:rPr>
        <w:t>Authorised Person</w:t>
      </w:r>
      <w:r w:rsidRPr="00E4265B">
        <w:rPr>
          <w:rFonts w:ascii="Arial" w:hAnsi="Arial" w:cs="Arial"/>
          <w:sz w:val="22"/>
          <w:szCs w:val="22"/>
          <w:lang w:val="en-GB"/>
        </w:rPr>
        <w:t>'s funding needs and sources.</w:t>
      </w:r>
    </w:p>
    <w:p w14:paraId="54A3AE22" w14:textId="77777777" w:rsidR="00E22FF2" w:rsidRPr="00E4265B" w:rsidRDefault="00E22FF2" w:rsidP="00DC4EB4">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frequently review the assumptions used in stress testing scenarios to ensure they remain appropriate.</w:t>
      </w:r>
    </w:p>
    <w:p w14:paraId="265C3C93" w14:textId="77777777" w:rsidR="00E22FF2" w:rsidRPr="00E4265B" w:rsidRDefault="00E22FF2" w:rsidP="00DC4EB4">
      <w:pPr>
        <w:pStyle w:val="TitleL5"/>
        <w:rPr>
          <w:rFonts w:ascii="Arial" w:hAnsi="Arial" w:cs="Arial"/>
          <w:sz w:val="22"/>
          <w:szCs w:val="22"/>
          <w:lang w:val="en-GB"/>
        </w:rPr>
      </w:pPr>
      <w:r w:rsidRPr="00E4265B">
        <w:rPr>
          <w:rFonts w:ascii="Arial" w:hAnsi="Arial" w:cs="Arial"/>
          <w:sz w:val="22"/>
          <w:szCs w:val="22"/>
          <w:lang w:val="en-GB"/>
        </w:rPr>
        <w:t>Guidance</w:t>
      </w:r>
    </w:p>
    <w:p w14:paraId="3B8C8E4C" w14:textId="77777777" w:rsidR="00E22FF2" w:rsidRPr="00E4265B" w:rsidRDefault="00E22FF2" w:rsidP="00DC4EB4">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The identification of the possible balance sheet and off</w:t>
      </w:r>
      <w:r w:rsidRPr="00E4265B">
        <w:rPr>
          <w:rFonts w:ascii="Arial" w:hAnsi="Arial" w:cs="Arial"/>
          <w:sz w:val="22"/>
          <w:szCs w:val="22"/>
          <w:lang w:val="en-GB"/>
        </w:rPr>
        <w:noBreakHyphen/>
        <w:t>balance sheet impact referred to in Rule 9.2.9(2)(b) should take into account:</w:t>
      </w:r>
    </w:p>
    <w:p w14:paraId="1A3BCA9C"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possible changes in the market's perception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the effects that this might have on the </w:t>
      </w:r>
      <w:r w:rsidR="000D1A90" w:rsidRPr="00E4265B">
        <w:rPr>
          <w:rFonts w:ascii="Arial" w:hAnsi="Arial" w:cs="Arial"/>
          <w:sz w:val="22"/>
          <w:szCs w:val="22"/>
          <w:lang w:val="en-GB"/>
        </w:rPr>
        <w:t>Authorised Person</w:t>
      </w:r>
      <w:r w:rsidRPr="00E4265B">
        <w:rPr>
          <w:rFonts w:ascii="Arial" w:hAnsi="Arial" w:cs="Arial"/>
          <w:sz w:val="22"/>
          <w:szCs w:val="22"/>
          <w:lang w:val="en-GB"/>
        </w:rPr>
        <w:t>'s access to the markets, including:</w:t>
      </w:r>
    </w:p>
    <w:p w14:paraId="02D883B7" w14:textId="77777777" w:rsidR="00E22FF2" w:rsidRPr="00E4265B" w:rsidRDefault="00E22FF2" w:rsidP="00DC4EB4">
      <w:pPr>
        <w:pStyle w:val="iList"/>
        <w:ind w:left="3060"/>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where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funds its holdings of assets in one currency with liabilities in another, access to foreign exchange markets, particularly in less frequently traded currencies;</w:t>
      </w:r>
    </w:p>
    <w:p w14:paraId="4741AA12" w14:textId="77777777" w:rsidR="00E22FF2" w:rsidRPr="00E4265B" w:rsidRDefault="00E22FF2" w:rsidP="00DC4EB4">
      <w:pPr>
        <w:pStyle w:val="aList"/>
        <w:ind w:left="3060"/>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access to secured funding, including by way of repurchase agreement transactions; and</w:t>
      </w:r>
    </w:p>
    <w:p w14:paraId="3D263CEC" w14:textId="77777777" w:rsidR="00E22FF2" w:rsidRPr="00E4265B" w:rsidRDefault="00E22FF2" w:rsidP="00DC4EB4">
      <w:pPr>
        <w:pStyle w:val="aList"/>
        <w:ind w:left="3060"/>
        <w:rPr>
          <w:rFonts w:ascii="Arial" w:hAnsi="Arial" w:cs="Arial"/>
          <w:sz w:val="22"/>
          <w:szCs w:val="22"/>
          <w:lang w:val="en-GB"/>
        </w:rPr>
      </w:pPr>
      <w:r w:rsidRPr="00E4265B">
        <w:rPr>
          <w:rFonts w:ascii="Arial" w:hAnsi="Arial" w:cs="Arial"/>
          <w:sz w:val="22"/>
          <w:szCs w:val="22"/>
          <w:lang w:val="en-GB"/>
        </w:rPr>
        <w:lastRenderedPageBreak/>
        <w:t>iii.</w:t>
      </w:r>
      <w:r w:rsidRPr="00E4265B">
        <w:rPr>
          <w:rFonts w:ascii="Arial" w:hAnsi="Arial" w:cs="Arial"/>
          <w:sz w:val="22"/>
          <w:szCs w:val="22"/>
          <w:lang w:val="en-GB"/>
        </w:rPr>
        <w:tab/>
        <w:t xml:space="preserve">the extent to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rely on committed facilities made available to it;</w:t>
      </w:r>
    </w:p>
    <w:p w14:paraId="7EFC060B"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whenever applicable the possible effect of each scenario tested on currencies whose exchange rates are currently pegged or fixed; and</w:t>
      </w:r>
    </w:p>
    <w:p w14:paraId="2580CBCF" w14:textId="77777777" w:rsidR="00E22FF2" w:rsidRPr="00E4265B" w:rsidRDefault="00E22FF2" w:rsidP="00791AB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that:</w:t>
      </w:r>
    </w:p>
    <w:p w14:paraId="591788C2" w14:textId="77777777" w:rsidR="00E22FF2" w:rsidRPr="00E4265B" w:rsidRDefault="00E22FF2" w:rsidP="00DC4EB4">
      <w:pPr>
        <w:pStyle w:val="iList"/>
        <w:ind w:left="3060"/>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general market turbulence may trigger a substantial increase in the extent to which </w:t>
      </w:r>
      <w:r w:rsidR="0005735E" w:rsidRPr="00E4265B">
        <w:rPr>
          <w:rFonts w:ascii="Arial" w:hAnsi="Arial" w:cs="Arial"/>
          <w:sz w:val="22"/>
          <w:szCs w:val="22"/>
          <w:lang w:val="en-GB"/>
        </w:rPr>
        <w:t>Persons</w:t>
      </w:r>
      <w:r w:rsidRPr="00E4265B">
        <w:rPr>
          <w:rFonts w:ascii="Arial" w:hAnsi="Arial" w:cs="Arial"/>
          <w:sz w:val="22"/>
          <w:szCs w:val="22"/>
          <w:lang w:val="en-GB"/>
        </w:rPr>
        <w:t xml:space="preserve"> exercise rights against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under off</w:t>
      </w:r>
      <w:r w:rsidRPr="00E4265B">
        <w:rPr>
          <w:rFonts w:ascii="Arial" w:hAnsi="Arial" w:cs="Arial"/>
          <w:sz w:val="22"/>
          <w:szCs w:val="22"/>
          <w:lang w:val="en-GB"/>
        </w:rPr>
        <w:noBreakHyphen/>
        <w:t xml:space="preserve">balance sheet instruments to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party;</w:t>
      </w:r>
    </w:p>
    <w:p w14:paraId="76E65C08" w14:textId="77777777" w:rsidR="00E22FF2" w:rsidRPr="00E4265B" w:rsidRDefault="00E22FF2" w:rsidP="00DC4EB4">
      <w:pPr>
        <w:pStyle w:val="iList"/>
        <w:ind w:left="3060"/>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access to OTC </w:t>
      </w:r>
      <w:r w:rsidR="005F3B3B" w:rsidRPr="00E4265B">
        <w:rPr>
          <w:rFonts w:ascii="Arial" w:hAnsi="Arial" w:cs="Arial"/>
          <w:sz w:val="22"/>
          <w:szCs w:val="22"/>
          <w:lang w:val="en-GB"/>
        </w:rPr>
        <w:t>Derivative</w:t>
      </w:r>
      <w:r w:rsidRPr="00E4265B">
        <w:rPr>
          <w:rFonts w:ascii="Arial" w:hAnsi="Arial" w:cs="Arial"/>
          <w:sz w:val="22"/>
          <w:szCs w:val="22"/>
          <w:lang w:val="en-GB"/>
        </w:rPr>
        <w:t xml:space="preserve"> and foreign exchange markets is sensitive to credit</w:t>
      </w:r>
      <w:r w:rsidRPr="00E4265B">
        <w:rPr>
          <w:rFonts w:ascii="Arial" w:hAnsi="Arial" w:cs="Arial"/>
          <w:sz w:val="22"/>
          <w:szCs w:val="22"/>
          <w:lang w:val="en-GB"/>
        </w:rPr>
        <w:noBreakHyphen/>
        <w:t>ratings;</w:t>
      </w:r>
    </w:p>
    <w:p w14:paraId="7E658BC6" w14:textId="77777777" w:rsidR="00E22FF2" w:rsidRPr="00E4265B" w:rsidRDefault="00E22FF2" w:rsidP="00DC4EB4">
      <w:pPr>
        <w:pStyle w:val="iList"/>
        <w:ind w:left="3060"/>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Early Amortisation in asset securitisation transactions with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a connection may be triggered; and</w:t>
      </w:r>
    </w:p>
    <w:p w14:paraId="18B0284A" w14:textId="77777777" w:rsidR="00E22FF2" w:rsidRPr="00E4265B" w:rsidRDefault="00E22FF2" w:rsidP="00DC4EB4">
      <w:pPr>
        <w:pStyle w:val="iList"/>
        <w:ind w:left="3060"/>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its ability to securitise assets may be reduced.</w:t>
      </w:r>
    </w:p>
    <w:p w14:paraId="39064E03" w14:textId="77777777" w:rsidR="00E22FF2" w:rsidRPr="00E4265B" w:rsidRDefault="00E22FF2" w:rsidP="00942BEE">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have a documented contingency funding plan to ensure that, for each of the tested scenarios, the </w:t>
      </w:r>
      <w:r w:rsidR="000D1A90" w:rsidRPr="00E4265B">
        <w:rPr>
          <w:rFonts w:ascii="Arial" w:hAnsi="Arial" w:cs="Arial"/>
          <w:sz w:val="22"/>
          <w:szCs w:val="22"/>
        </w:rPr>
        <w:t>Authorised Person</w:t>
      </w:r>
      <w:r w:rsidRPr="00E4265B">
        <w:rPr>
          <w:rFonts w:ascii="Arial" w:hAnsi="Arial" w:cs="Arial"/>
          <w:sz w:val="22"/>
          <w:szCs w:val="22"/>
        </w:rPr>
        <w:t xml:space="preserve"> has sufficient liquid financial resources to meet its liabilities as they fall due.</w:t>
      </w:r>
    </w:p>
    <w:p w14:paraId="41EBAC98" w14:textId="77777777" w:rsidR="00E22FF2" w:rsidRPr="00E4265B" w:rsidRDefault="00E22FF2" w:rsidP="00DC4EB4">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contingency funding plan referred to in (1) must:</w:t>
      </w:r>
    </w:p>
    <w:p w14:paraId="09492574"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list the events or circumstances that will lead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put any part of the plan into action;</w:t>
      </w:r>
    </w:p>
    <w:p w14:paraId="562E8BA3"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set out the extent to which the plan relies upon:</w:t>
      </w:r>
    </w:p>
    <w:p w14:paraId="52AFC468" w14:textId="77777777" w:rsidR="00E22FF2" w:rsidRPr="00E4265B" w:rsidRDefault="00E22FF2" w:rsidP="00DC4EB4">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asset sales, using assets as Collateral on secured funding (including repurchase agreements), securitising its assets or otherwise reducing its assets;</w:t>
      </w:r>
    </w:p>
    <w:p w14:paraId="3C0E9B9A" w14:textId="77777777" w:rsidR="00E22FF2" w:rsidRPr="00E4265B" w:rsidRDefault="00E22FF2" w:rsidP="00DC4EB4">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modifying the structure of, or increasing, its liabilities; and</w:t>
      </w:r>
    </w:p>
    <w:p w14:paraId="17744A46" w14:textId="77777777" w:rsidR="00E22FF2" w:rsidRPr="00E4265B" w:rsidRDefault="00E22FF2" w:rsidP="00DC4EB4">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the use of committed facilities; and</w:t>
      </w:r>
    </w:p>
    <w:p w14:paraId="63522569"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contain administrative policies and procedures that will enable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manage the implementation of the plan, including:</w:t>
      </w:r>
    </w:p>
    <w:p w14:paraId="61722002" w14:textId="77777777" w:rsidR="00E22FF2" w:rsidRPr="00E4265B" w:rsidRDefault="00E22FF2" w:rsidP="00DC4EB4">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 responsibilities of senior management;</w:t>
      </w:r>
    </w:p>
    <w:p w14:paraId="7242D805" w14:textId="77777777" w:rsidR="00E22FF2" w:rsidRPr="00E4265B" w:rsidRDefault="00E22FF2" w:rsidP="00DC4EB4">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the names, location and contact details of members of the team responsible for implementing the plan;</w:t>
      </w:r>
    </w:p>
    <w:p w14:paraId="09663C38" w14:textId="77777777" w:rsidR="00E22FF2" w:rsidRPr="00E4265B" w:rsidRDefault="00E22FF2" w:rsidP="00DC4EB4">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the details of who is responsible for contact with the </w:t>
      </w:r>
      <w:r w:rsidR="000D1A90" w:rsidRPr="00E4265B">
        <w:rPr>
          <w:rFonts w:ascii="Arial" w:hAnsi="Arial" w:cs="Arial"/>
          <w:sz w:val="22"/>
          <w:szCs w:val="22"/>
          <w:lang w:val="en-GB"/>
        </w:rPr>
        <w:t>Authorised Person</w:t>
      </w:r>
      <w:r w:rsidRPr="00E4265B">
        <w:rPr>
          <w:rFonts w:ascii="Arial" w:hAnsi="Arial" w:cs="Arial"/>
          <w:sz w:val="22"/>
          <w:szCs w:val="22"/>
          <w:lang w:val="en-GB"/>
        </w:rPr>
        <w:t>'s head office (if appropriate),</w:t>
      </w:r>
      <w:r w:rsidR="00D77FC6" w:rsidRPr="00E4265B">
        <w:rPr>
          <w:rFonts w:ascii="Arial" w:hAnsi="Arial" w:cs="Arial"/>
          <w:sz w:val="22"/>
          <w:szCs w:val="22"/>
          <w:lang w:val="en-GB"/>
        </w:rPr>
        <w:t xml:space="preserve"> analysts, investors, external A</w:t>
      </w:r>
      <w:r w:rsidRPr="00E4265B">
        <w:rPr>
          <w:rFonts w:ascii="Arial" w:hAnsi="Arial" w:cs="Arial"/>
          <w:sz w:val="22"/>
          <w:szCs w:val="22"/>
          <w:lang w:val="en-GB"/>
        </w:rPr>
        <w:t>uditors, media, significant customers, regulators and others; and</w:t>
      </w:r>
    </w:p>
    <w:p w14:paraId="3220E252" w14:textId="77777777" w:rsidR="00E22FF2" w:rsidRPr="00E4265B" w:rsidRDefault="00E22FF2" w:rsidP="00DC4EB4">
      <w:pPr>
        <w:pStyle w:val="iList"/>
        <w:rPr>
          <w:rFonts w:ascii="Arial" w:hAnsi="Arial" w:cs="Arial"/>
          <w:sz w:val="22"/>
          <w:szCs w:val="22"/>
          <w:lang w:val="en-GB"/>
        </w:rPr>
      </w:pPr>
      <w:r w:rsidRPr="00E4265B">
        <w:rPr>
          <w:rFonts w:ascii="Arial" w:hAnsi="Arial" w:cs="Arial"/>
          <w:sz w:val="22"/>
          <w:szCs w:val="22"/>
          <w:lang w:val="en-GB"/>
        </w:rPr>
        <w:lastRenderedPageBreak/>
        <w:t>(iv)</w:t>
      </w:r>
      <w:r w:rsidRPr="00E4265B">
        <w:rPr>
          <w:rFonts w:ascii="Arial" w:hAnsi="Arial" w:cs="Arial"/>
          <w:sz w:val="22"/>
          <w:szCs w:val="22"/>
          <w:lang w:val="en-GB"/>
        </w:rPr>
        <w:tab/>
        <w:t>the mechanisms that enable senior management and the Governing Body to receive relevant, accurate, comprehensive, timely and reliable management information.</w:t>
      </w:r>
    </w:p>
    <w:p w14:paraId="3297438C" w14:textId="77777777" w:rsidR="00E22FF2" w:rsidRPr="00E4265B" w:rsidRDefault="00E22FF2" w:rsidP="00246497">
      <w:pPr>
        <w:pStyle w:val="Heading3"/>
        <w:rPr>
          <w:rFonts w:ascii="Arial" w:hAnsi="Arial" w:cs="Arial"/>
          <w:sz w:val="22"/>
          <w:szCs w:val="22"/>
        </w:rPr>
      </w:pPr>
      <w:bookmarkStart w:id="831" w:name="_Toc403223995"/>
      <w:bookmarkStart w:id="832" w:name="_Toc403254033"/>
      <w:bookmarkStart w:id="833" w:name="_Toc403273433"/>
      <w:bookmarkStart w:id="834" w:name="_Toc403273582"/>
      <w:bookmarkStart w:id="835" w:name="_Toc403274541"/>
      <w:bookmarkStart w:id="836" w:name="_Toc403280037"/>
      <w:bookmarkStart w:id="837" w:name="_Toc404285838"/>
      <w:bookmarkStart w:id="838" w:name="_Toc404621787"/>
      <w:bookmarkStart w:id="839" w:name="_Toc404624428"/>
      <w:bookmarkStart w:id="840" w:name="_Toc33622454"/>
      <w:r w:rsidRPr="00E4265B">
        <w:rPr>
          <w:rFonts w:ascii="Arial" w:hAnsi="Arial" w:cs="Arial"/>
          <w:sz w:val="22"/>
          <w:szCs w:val="22"/>
        </w:rPr>
        <w:t>Liquidity requirements</w:t>
      </w:r>
      <w:bookmarkEnd w:id="831"/>
      <w:bookmarkEnd w:id="832"/>
      <w:bookmarkEnd w:id="833"/>
      <w:bookmarkEnd w:id="834"/>
      <w:bookmarkEnd w:id="835"/>
      <w:bookmarkEnd w:id="836"/>
      <w:bookmarkEnd w:id="837"/>
      <w:bookmarkEnd w:id="838"/>
      <w:bookmarkEnd w:id="839"/>
      <w:bookmarkEnd w:id="840"/>
    </w:p>
    <w:p w14:paraId="700730F1"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This Section applies to an </w:t>
      </w:r>
      <w:r w:rsidR="000D1A90" w:rsidRPr="00E4265B">
        <w:rPr>
          <w:rFonts w:ascii="Arial" w:hAnsi="Arial" w:cs="Arial"/>
          <w:sz w:val="22"/>
          <w:szCs w:val="22"/>
        </w:rPr>
        <w:t>Authorised Person</w:t>
      </w:r>
      <w:r w:rsidRPr="00E4265B">
        <w:rPr>
          <w:rFonts w:ascii="Arial" w:hAnsi="Arial" w:cs="Arial"/>
          <w:sz w:val="22"/>
          <w:szCs w:val="22"/>
        </w:rPr>
        <w:t xml:space="preserve"> in Category 1 or 5.</w:t>
      </w:r>
    </w:p>
    <w:p w14:paraId="5EED7AA5" w14:textId="77777777" w:rsidR="00E22FF2" w:rsidRPr="00E4265B" w:rsidRDefault="00E22FF2" w:rsidP="00E8372C">
      <w:pPr>
        <w:pStyle w:val="TitleL5"/>
        <w:rPr>
          <w:rFonts w:ascii="Arial" w:hAnsi="Arial" w:cs="Arial"/>
          <w:sz w:val="22"/>
          <w:szCs w:val="22"/>
          <w:lang w:val="en-GB"/>
        </w:rPr>
      </w:pPr>
      <w:r w:rsidRPr="00E4265B">
        <w:rPr>
          <w:rFonts w:ascii="Arial" w:hAnsi="Arial" w:cs="Arial"/>
          <w:sz w:val="22"/>
          <w:szCs w:val="22"/>
          <w:lang w:val="en-GB"/>
        </w:rPr>
        <w:t>Global liquidity concession</w:t>
      </w:r>
    </w:p>
    <w:p w14:paraId="5786F7C3" w14:textId="77777777" w:rsidR="00E22FF2" w:rsidRPr="00E4265B" w:rsidRDefault="00E22FF2" w:rsidP="00942BEE">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which carries on business in the ADGM through a Branch may apply to the Regulator for a global liquidity concession.</w:t>
      </w:r>
    </w:p>
    <w:p w14:paraId="6FDBDC4A" w14:textId="77777777" w:rsidR="00E22FF2" w:rsidRPr="00E4265B" w:rsidRDefault="00E22FF2" w:rsidP="00D24359">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An application for a global liquidity concession must be made in accordance with the requirements in section A</w:t>
      </w:r>
      <w:r w:rsidR="009B0107" w:rsidRPr="00E4265B">
        <w:rPr>
          <w:rFonts w:ascii="Arial" w:hAnsi="Arial" w:cs="Arial"/>
          <w:sz w:val="22"/>
          <w:szCs w:val="22"/>
          <w:lang w:val="en-GB"/>
        </w:rPr>
        <w:t>10</w:t>
      </w:r>
      <w:r w:rsidRPr="00E4265B">
        <w:rPr>
          <w:rFonts w:ascii="Arial" w:hAnsi="Arial" w:cs="Arial"/>
          <w:sz w:val="22"/>
          <w:szCs w:val="22"/>
          <w:lang w:val="en-GB"/>
        </w:rPr>
        <w:t>.1 of App</w:t>
      </w:r>
      <w:r w:rsidR="009B0107" w:rsidRPr="00E4265B">
        <w:rPr>
          <w:rFonts w:ascii="Arial" w:hAnsi="Arial" w:cs="Arial"/>
          <w:sz w:val="22"/>
          <w:szCs w:val="22"/>
          <w:lang w:val="en-GB"/>
        </w:rPr>
        <w:t>10</w:t>
      </w:r>
      <w:r w:rsidRPr="00E4265B">
        <w:rPr>
          <w:rFonts w:ascii="Arial" w:hAnsi="Arial" w:cs="Arial"/>
          <w:sz w:val="22"/>
          <w:szCs w:val="22"/>
          <w:lang w:val="en-GB"/>
        </w:rPr>
        <w:t>.</w:t>
      </w:r>
    </w:p>
    <w:p w14:paraId="609EE4AA" w14:textId="77777777" w:rsidR="00E22FF2" w:rsidRPr="00E4265B" w:rsidRDefault="00E22FF2" w:rsidP="003D4C5D">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If the Regulator grants a global liquidity concession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that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need not comply with the quantitative liquidity requirements of this Section.</w:t>
      </w:r>
    </w:p>
    <w:p w14:paraId="4AB7293F" w14:textId="77777777" w:rsidR="00E22FF2" w:rsidRPr="00E4265B" w:rsidRDefault="00E22FF2" w:rsidP="003D4C5D">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The Regulator may specify the period for which a global liqu</w:t>
      </w:r>
      <w:r w:rsidR="009B0107" w:rsidRPr="00E4265B">
        <w:rPr>
          <w:rFonts w:ascii="Arial" w:hAnsi="Arial" w:cs="Arial"/>
          <w:sz w:val="22"/>
          <w:szCs w:val="22"/>
          <w:lang w:val="en-GB"/>
        </w:rPr>
        <w:t>i</w:t>
      </w:r>
      <w:r w:rsidRPr="00E4265B">
        <w:rPr>
          <w:rFonts w:ascii="Arial" w:hAnsi="Arial" w:cs="Arial"/>
          <w:sz w:val="22"/>
          <w:szCs w:val="22"/>
          <w:lang w:val="en-GB"/>
        </w:rPr>
        <w:t>dity concession is valid.</w:t>
      </w:r>
    </w:p>
    <w:p w14:paraId="6FB62768" w14:textId="77777777" w:rsidR="00E22FF2" w:rsidRPr="00E4265B" w:rsidRDefault="00E22FF2" w:rsidP="00D24359">
      <w:pPr>
        <w:pStyle w:val="TitleL5"/>
        <w:rPr>
          <w:rFonts w:ascii="Arial" w:hAnsi="Arial" w:cs="Arial"/>
          <w:sz w:val="22"/>
          <w:szCs w:val="22"/>
          <w:lang w:val="en-GB"/>
        </w:rPr>
      </w:pPr>
      <w:r w:rsidRPr="00E4265B">
        <w:rPr>
          <w:rFonts w:ascii="Arial" w:hAnsi="Arial" w:cs="Arial"/>
          <w:sz w:val="22"/>
          <w:szCs w:val="22"/>
          <w:lang w:val="en-GB"/>
        </w:rPr>
        <w:t>Guidance</w:t>
      </w:r>
    </w:p>
    <w:p w14:paraId="3A12B299" w14:textId="77777777" w:rsidR="00E22FF2" w:rsidRPr="00E4265B" w:rsidRDefault="00E22FF2" w:rsidP="003D4C5D">
      <w:pPr>
        <w:pStyle w:val="UK12Block05"/>
        <w:rPr>
          <w:rFonts w:ascii="Arial" w:hAnsi="Arial" w:cs="Arial"/>
          <w:sz w:val="22"/>
          <w:szCs w:val="22"/>
          <w:lang w:val="en-GB"/>
        </w:rPr>
      </w:pPr>
      <w:r w:rsidRPr="00E4265B">
        <w:rPr>
          <w:rFonts w:ascii="Arial" w:hAnsi="Arial" w:cs="Arial"/>
          <w:sz w:val="22"/>
          <w:szCs w:val="22"/>
          <w:lang w:val="en-GB"/>
        </w:rPr>
        <w:t>Section A</w:t>
      </w:r>
      <w:r w:rsidR="009B0107" w:rsidRPr="00E4265B">
        <w:rPr>
          <w:rFonts w:ascii="Arial" w:hAnsi="Arial" w:cs="Arial"/>
          <w:sz w:val="22"/>
          <w:szCs w:val="22"/>
          <w:lang w:val="en-GB"/>
        </w:rPr>
        <w:t>10</w:t>
      </w:r>
      <w:r w:rsidRPr="00E4265B">
        <w:rPr>
          <w:rFonts w:ascii="Arial" w:hAnsi="Arial" w:cs="Arial"/>
          <w:sz w:val="22"/>
          <w:szCs w:val="22"/>
          <w:lang w:val="en-GB"/>
        </w:rPr>
        <w:t>.1 in App</w:t>
      </w:r>
      <w:r w:rsidR="009B0107" w:rsidRPr="00E4265B">
        <w:rPr>
          <w:rFonts w:ascii="Arial" w:hAnsi="Arial" w:cs="Arial"/>
          <w:sz w:val="22"/>
          <w:szCs w:val="22"/>
          <w:lang w:val="en-GB"/>
        </w:rPr>
        <w:t>10</w:t>
      </w:r>
      <w:r w:rsidRPr="00E4265B">
        <w:rPr>
          <w:rFonts w:ascii="Arial" w:hAnsi="Arial" w:cs="Arial"/>
          <w:sz w:val="22"/>
          <w:szCs w:val="22"/>
          <w:lang w:val="en-GB"/>
        </w:rPr>
        <w:t> provides guidance in respect of the type of information upon which the Regulator will base its assessment of an application for a global liquidity concession.</w:t>
      </w:r>
    </w:p>
    <w:p w14:paraId="7A5A6E1F" w14:textId="77777777" w:rsidR="00E22FF2" w:rsidRPr="00E4265B" w:rsidRDefault="00E22FF2" w:rsidP="00D24359">
      <w:pPr>
        <w:pStyle w:val="TitleL5"/>
        <w:rPr>
          <w:rFonts w:ascii="Arial" w:hAnsi="Arial" w:cs="Arial"/>
          <w:sz w:val="22"/>
          <w:szCs w:val="22"/>
          <w:lang w:val="en-GB"/>
        </w:rPr>
      </w:pPr>
      <w:r w:rsidRPr="00E4265B">
        <w:rPr>
          <w:rFonts w:ascii="Arial" w:hAnsi="Arial" w:cs="Arial"/>
          <w:sz w:val="22"/>
          <w:szCs w:val="22"/>
          <w:lang w:val="en-GB"/>
        </w:rPr>
        <w:t>HQLA requirement</w:t>
      </w:r>
    </w:p>
    <w:p w14:paraId="7A3F9398"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at all times maintain an adequate level of HQLA to meet its liquidity needs for a minimum 30 calendar day period under a severe stress scenario.</w:t>
      </w:r>
    </w:p>
    <w:p w14:paraId="740E23A1" w14:textId="77777777" w:rsidR="00E22FF2" w:rsidRPr="00E4265B" w:rsidRDefault="00E22FF2" w:rsidP="005A414D">
      <w:pPr>
        <w:pStyle w:val="UK12Block05"/>
        <w:ind w:left="993"/>
        <w:rPr>
          <w:rFonts w:ascii="Arial" w:hAnsi="Arial" w:cs="Arial"/>
          <w:sz w:val="22"/>
          <w:szCs w:val="22"/>
          <w:lang w:val="en-GB"/>
        </w:rPr>
      </w:pPr>
      <w:r w:rsidRPr="00E4265B">
        <w:rPr>
          <w:rFonts w:ascii="Arial" w:hAnsi="Arial" w:cs="Arial"/>
          <w:sz w:val="22"/>
          <w:szCs w:val="22"/>
          <w:lang w:val="en-GB"/>
        </w:rPr>
        <w:t>Rules A</w:t>
      </w:r>
      <w:r w:rsidR="009B0107" w:rsidRPr="00E4265B">
        <w:rPr>
          <w:rFonts w:ascii="Arial" w:hAnsi="Arial" w:cs="Arial"/>
          <w:sz w:val="22"/>
          <w:szCs w:val="22"/>
          <w:lang w:val="en-GB"/>
        </w:rPr>
        <w:t>10</w:t>
      </w:r>
      <w:r w:rsidRPr="00E4265B">
        <w:rPr>
          <w:rFonts w:ascii="Arial" w:hAnsi="Arial" w:cs="Arial"/>
          <w:sz w:val="22"/>
          <w:szCs w:val="22"/>
          <w:lang w:val="en-GB"/>
        </w:rPr>
        <w:t>.2.2 to A</w:t>
      </w:r>
      <w:r w:rsidR="009B0107" w:rsidRPr="00E4265B">
        <w:rPr>
          <w:rFonts w:ascii="Arial" w:hAnsi="Arial" w:cs="Arial"/>
          <w:sz w:val="22"/>
          <w:szCs w:val="22"/>
          <w:lang w:val="en-GB"/>
        </w:rPr>
        <w:t>10</w:t>
      </w:r>
      <w:r w:rsidRPr="00E4265B">
        <w:rPr>
          <w:rFonts w:ascii="Arial" w:hAnsi="Arial" w:cs="Arial"/>
          <w:sz w:val="22"/>
          <w:szCs w:val="22"/>
          <w:lang w:val="en-GB"/>
        </w:rPr>
        <w:t>.2.9 in App</w:t>
      </w:r>
      <w:r w:rsidR="009B0107" w:rsidRPr="00E4265B">
        <w:rPr>
          <w:rFonts w:ascii="Arial" w:hAnsi="Arial" w:cs="Arial"/>
          <w:sz w:val="22"/>
          <w:szCs w:val="22"/>
          <w:lang w:val="en-GB"/>
        </w:rPr>
        <w:t>10</w:t>
      </w:r>
      <w:r w:rsidRPr="00E4265B">
        <w:rPr>
          <w:rFonts w:ascii="Arial" w:hAnsi="Arial" w:cs="Arial"/>
          <w:sz w:val="22"/>
          <w:szCs w:val="22"/>
          <w:lang w:val="en-GB"/>
        </w:rPr>
        <w:t xml:space="preserve"> set out the conditions for assets to be treated as HQLA.</w:t>
      </w:r>
    </w:p>
    <w:p w14:paraId="5D79C99A" w14:textId="77777777" w:rsidR="00E22FF2" w:rsidRPr="00E4265B" w:rsidRDefault="00E22FF2" w:rsidP="00D24359">
      <w:pPr>
        <w:pStyle w:val="TitleL5"/>
        <w:rPr>
          <w:rFonts w:ascii="Arial" w:hAnsi="Arial" w:cs="Arial"/>
          <w:sz w:val="22"/>
          <w:szCs w:val="22"/>
          <w:lang w:val="en-GB"/>
        </w:rPr>
      </w:pPr>
      <w:r w:rsidRPr="00E4265B">
        <w:rPr>
          <w:rFonts w:ascii="Arial" w:hAnsi="Arial" w:cs="Arial"/>
          <w:sz w:val="22"/>
          <w:szCs w:val="22"/>
          <w:lang w:val="en-GB"/>
        </w:rPr>
        <w:t>Liquidity Coverage Ratio</w:t>
      </w:r>
    </w:p>
    <w:p w14:paraId="24380B5D" w14:textId="287A0F50" w:rsidR="00E22FF2" w:rsidRPr="00E4265B" w:rsidRDefault="00E22FF2" w:rsidP="0078487E">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except as provided in Rule 9.3.</w:t>
      </w:r>
      <w:r w:rsidR="009B0107" w:rsidRPr="00E4265B">
        <w:rPr>
          <w:rFonts w:ascii="Arial" w:hAnsi="Arial" w:cs="Arial"/>
          <w:sz w:val="22"/>
          <w:szCs w:val="22"/>
        </w:rPr>
        <w:t>7</w:t>
      </w:r>
      <w:r w:rsidR="0078487E" w:rsidRPr="00E4265B">
        <w:rPr>
          <w:rFonts w:ascii="Arial" w:hAnsi="Arial" w:cs="Arial"/>
          <w:sz w:val="22"/>
          <w:szCs w:val="22"/>
        </w:rPr>
        <w:t>,</w:t>
      </w:r>
      <w:r w:rsidRPr="00E4265B">
        <w:rPr>
          <w:rFonts w:ascii="Arial" w:hAnsi="Arial" w:cs="Arial"/>
          <w:sz w:val="22"/>
          <w:szCs w:val="22"/>
        </w:rPr>
        <w:t xml:space="preserve"> maintain an LCR of at least </w:t>
      </w:r>
      <w:r w:rsidR="0078487E" w:rsidRPr="00E4265B">
        <w:rPr>
          <w:rFonts w:ascii="Arial" w:hAnsi="Arial" w:cs="Arial"/>
          <w:sz w:val="22"/>
          <w:szCs w:val="22"/>
        </w:rPr>
        <w:t>100%</w:t>
      </w:r>
      <w:r w:rsidRPr="00E4265B">
        <w:rPr>
          <w:rFonts w:ascii="Arial" w:hAnsi="Arial" w:cs="Arial"/>
          <w:sz w:val="22"/>
          <w:szCs w:val="22"/>
        </w:rPr>
        <w:t>.</w:t>
      </w:r>
    </w:p>
    <w:p w14:paraId="2737C629" w14:textId="77777777" w:rsidR="009B0107" w:rsidRPr="00E4265B" w:rsidRDefault="009B0107" w:rsidP="009B0107">
      <w:pPr>
        <w:pStyle w:val="TitleL5"/>
        <w:rPr>
          <w:rFonts w:ascii="Arial" w:hAnsi="Arial" w:cs="Arial"/>
          <w:sz w:val="22"/>
          <w:szCs w:val="22"/>
          <w:lang w:val="en-GB"/>
        </w:rPr>
      </w:pPr>
      <w:r w:rsidRPr="00E4265B">
        <w:rPr>
          <w:rFonts w:ascii="Arial" w:hAnsi="Arial" w:cs="Arial"/>
          <w:sz w:val="22"/>
          <w:szCs w:val="22"/>
          <w:lang w:val="en-GB"/>
        </w:rPr>
        <w:t>Guidance</w:t>
      </w:r>
    </w:p>
    <w:p w14:paraId="21B9CACB" w14:textId="7719BD0D" w:rsidR="00E22FF2" w:rsidRPr="00E4265B" w:rsidRDefault="009B0107" w:rsidP="00D24359">
      <w:pPr>
        <w:pStyle w:val="UK12Block05"/>
        <w:rPr>
          <w:rFonts w:ascii="Arial" w:hAnsi="Arial" w:cs="Arial"/>
          <w:sz w:val="22"/>
          <w:szCs w:val="22"/>
          <w:lang w:val="en-GB"/>
        </w:rPr>
      </w:pPr>
      <w:r w:rsidRPr="00E4265B">
        <w:rPr>
          <w:rFonts w:ascii="Arial" w:hAnsi="Arial" w:cs="Arial"/>
          <w:sz w:val="22"/>
          <w:szCs w:val="22"/>
          <w:lang w:val="en-GB"/>
        </w:rPr>
        <w:t xml:space="preserve">Rule 9.3.4 sets </w:t>
      </w:r>
      <w:r w:rsidR="0078487E" w:rsidRPr="00E4265B">
        <w:rPr>
          <w:rFonts w:ascii="Arial" w:hAnsi="Arial" w:cs="Arial"/>
          <w:sz w:val="22"/>
          <w:szCs w:val="22"/>
          <w:lang w:val="en-GB"/>
        </w:rPr>
        <w:t>a minimum level</w:t>
      </w:r>
      <w:r w:rsidRPr="00E4265B">
        <w:rPr>
          <w:rFonts w:ascii="Arial" w:hAnsi="Arial" w:cs="Arial"/>
          <w:sz w:val="22"/>
          <w:szCs w:val="22"/>
          <w:lang w:val="en-GB"/>
        </w:rPr>
        <w:t xml:space="preserve"> and is not intended to limit the generality of the requirement in Rule 9.3.3.</w:t>
      </w:r>
    </w:p>
    <w:p w14:paraId="6FA5948D"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calculate its LCR using the following formula and in accordance with the Rules in section A</w:t>
      </w:r>
      <w:r w:rsidR="009B0107" w:rsidRPr="00E4265B">
        <w:rPr>
          <w:rFonts w:ascii="Arial" w:hAnsi="Arial" w:cs="Arial"/>
          <w:sz w:val="22"/>
          <w:szCs w:val="22"/>
        </w:rPr>
        <w:t>10</w:t>
      </w:r>
      <w:r w:rsidRPr="00E4265B">
        <w:rPr>
          <w:rFonts w:ascii="Arial" w:hAnsi="Arial" w:cs="Arial"/>
          <w:sz w:val="22"/>
          <w:szCs w:val="22"/>
        </w:rPr>
        <w:t>.2 of App</w:t>
      </w:r>
      <w:r w:rsidR="009B0107" w:rsidRPr="00E4265B">
        <w:rPr>
          <w:rFonts w:ascii="Arial" w:hAnsi="Arial" w:cs="Arial"/>
          <w:sz w:val="22"/>
          <w:szCs w:val="22"/>
        </w:rPr>
        <w:t>10</w:t>
      </w:r>
      <w:r w:rsidRPr="00E4265B">
        <w:rPr>
          <w:rFonts w:ascii="Arial" w:hAnsi="Arial" w:cs="Arial"/>
          <w:sz w:val="22"/>
          <w:szCs w:val="22"/>
        </w:rPr>
        <w:t>.</w:t>
      </w:r>
    </w:p>
    <w:p w14:paraId="3E40D803" w14:textId="77777777" w:rsidR="00E22FF2" w:rsidRPr="00E4265B" w:rsidRDefault="00E22FF2" w:rsidP="00D24359">
      <w:pPr>
        <w:pStyle w:val="UK12Block05"/>
        <w:rPr>
          <w:rFonts w:ascii="Arial" w:hAnsi="Arial" w:cs="Arial"/>
          <w:sz w:val="22"/>
          <w:szCs w:val="22"/>
          <w:lang w:val="en-GB"/>
        </w:rPr>
      </w:pPr>
      <w:r w:rsidRPr="00E4265B">
        <w:rPr>
          <w:rFonts w:ascii="Arial" w:hAnsi="Arial" w:cs="Arial"/>
          <w:sz w:val="22"/>
          <w:szCs w:val="22"/>
          <w:lang w:val="en-GB"/>
        </w:rPr>
        <w:t>LCR = Value of stock of HQLA / Total Net Cash Outflows over the next 30 calendar days</w:t>
      </w:r>
      <w:r w:rsidR="009B0107" w:rsidRPr="00E4265B">
        <w:rPr>
          <w:rFonts w:ascii="Arial" w:hAnsi="Arial" w:cs="Arial"/>
          <w:sz w:val="22"/>
          <w:szCs w:val="22"/>
          <w:lang w:val="en-GB"/>
        </w:rPr>
        <w:t>.</w:t>
      </w:r>
    </w:p>
    <w:p w14:paraId="58ABCF6B" w14:textId="77777777" w:rsidR="00E22FF2" w:rsidRPr="00E4265B" w:rsidRDefault="00E22FF2" w:rsidP="00D24359">
      <w:pPr>
        <w:pStyle w:val="TitleL5"/>
        <w:rPr>
          <w:rFonts w:ascii="Arial" w:hAnsi="Arial" w:cs="Arial"/>
          <w:sz w:val="22"/>
          <w:szCs w:val="22"/>
          <w:lang w:val="en-GB"/>
        </w:rPr>
      </w:pPr>
      <w:r w:rsidRPr="00E4265B">
        <w:rPr>
          <w:rFonts w:ascii="Arial" w:hAnsi="Arial" w:cs="Arial"/>
          <w:sz w:val="22"/>
          <w:szCs w:val="22"/>
          <w:lang w:val="en-GB"/>
        </w:rPr>
        <w:lastRenderedPageBreak/>
        <w:t xml:space="preserve">Guidance </w:t>
      </w:r>
    </w:p>
    <w:p w14:paraId="52411E07" w14:textId="77777777" w:rsidR="00E22FF2" w:rsidRPr="00E4265B" w:rsidRDefault="00E22FF2" w:rsidP="00D24359">
      <w:pPr>
        <w:pStyle w:val="1List0"/>
        <w:rPr>
          <w:rFonts w:ascii="Arial" w:hAnsi="Arial" w:cs="Arial"/>
          <w:sz w:val="22"/>
          <w:szCs w:val="22"/>
          <w:lang w:val="en-GB"/>
        </w:rPr>
      </w:pPr>
      <w:r w:rsidRPr="00E4265B">
        <w:rPr>
          <w:rFonts w:ascii="Arial" w:hAnsi="Arial" w:cs="Arial"/>
          <w:sz w:val="22"/>
          <w:szCs w:val="22"/>
          <w:lang w:val="en-GB"/>
        </w:rPr>
        <w:t xml:space="preserve">1. </w:t>
      </w:r>
      <w:r w:rsidRPr="00E4265B">
        <w:rPr>
          <w:rFonts w:ascii="Arial" w:hAnsi="Arial" w:cs="Arial"/>
          <w:sz w:val="22"/>
          <w:szCs w:val="22"/>
          <w:lang w:val="en-GB"/>
        </w:rPr>
        <w:tab/>
        <w:t>Section A</w:t>
      </w:r>
      <w:r w:rsidR="009B0107" w:rsidRPr="00E4265B">
        <w:rPr>
          <w:rFonts w:ascii="Arial" w:hAnsi="Arial" w:cs="Arial"/>
          <w:sz w:val="22"/>
          <w:szCs w:val="22"/>
          <w:lang w:val="en-GB"/>
        </w:rPr>
        <w:t>10</w:t>
      </w:r>
      <w:r w:rsidRPr="00E4265B">
        <w:rPr>
          <w:rFonts w:ascii="Arial" w:hAnsi="Arial" w:cs="Arial"/>
          <w:sz w:val="22"/>
          <w:szCs w:val="22"/>
          <w:lang w:val="en-GB"/>
        </w:rPr>
        <w:t>.2 of App</w:t>
      </w:r>
      <w:r w:rsidR="009B0107" w:rsidRPr="00E4265B">
        <w:rPr>
          <w:rFonts w:ascii="Arial" w:hAnsi="Arial" w:cs="Arial"/>
          <w:sz w:val="22"/>
          <w:szCs w:val="22"/>
          <w:lang w:val="en-GB"/>
        </w:rPr>
        <w:t>10</w:t>
      </w:r>
      <w:r w:rsidRPr="00E4265B">
        <w:rPr>
          <w:rFonts w:ascii="Arial" w:hAnsi="Arial" w:cs="Arial"/>
          <w:sz w:val="22"/>
          <w:szCs w:val="22"/>
          <w:lang w:val="en-GB"/>
        </w:rPr>
        <w:t xml:space="preserve"> sets out how the value of stock of HQLA and Total Net Cash Outflows are to be calculated. </w:t>
      </w:r>
    </w:p>
    <w:p w14:paraId="2729CA70" w14:textId="77777777" w:rsidR="00E22FF2" w:rsidRPr="00E4265B" w:rsidRDefault="00E22FF2" w:rsidP="00D24359">
      <w:pPr>
        <w:pStyle w:val="1List0"/>
        <w:rPr>
          <w:rFonts w:ascii="Arial" w:hAnsi="Arial" w:cs="Arial"/>
          <w:sz w:val="22"/>
          <w:szCs w:val="22"/>
          <w:lang w:val="en-GB"/>
        </w:rPr>
      </w:pPr>
      <w:r w:rsidRPr="00E4265B">
        <w:rPr>
          <w:rFonts w:ascii="Arial" w:hAnsi="Arial" w:cs="Arial"/>
          <w:sz w:val="22"/>
          <w:szCs w:val="22"/>
          <w:lang w:val="en-GB"/>
        </w:rPr>
        <w:t xml:space="preserve">2. </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active in multiple currencies should: </w:t>
      </w:r>
    </w:p>
    <w:p w14:paraId="0947E0A4" w14:textId="77777777" w:rsidR="00E22FF2" w:rsidRPr="00E4265B" w:rsidRDefault="00E22FF2" w:rsidP="00D24359">
      <w:pPr>
        <w:pStyle w:val="aList0"/>
        <w:rPr>
          <w:rFonts w:ascii="Arial" w:hAnsi="Arial" w:cs="Arial"/>
          <w:sz w:val="22"/>
          <w:szCs w:val="22"/>
          <w:lang w:val="en-GB"/>
        </w:rPr>
      </w:pPr>
      <w:r w:rsidRPr="00E4265B">
        <w:rPr>
          <w:rFonts w:ascii="Arial" w:hAnsi="Arial" w:cs="Arial"/>
          <w:sz w:val="22"/>
          <w:szCs w:val="22"/>
          <w:lang w:val="en-GB"/>
        </w:rPr>
        <w:t xml:space="preserve">a. </w:t>
      </w:r>
      <w:r w:rsidRPr="00E4265B">
        <w:rPr>
          <w:rFonts w:ascii="Arial" w:hAnsi="Arial" w:cs="Arial"/>
          <w:sz w:val="22"/>
          <w:szCs w:val="22"/>
          <w:lang w:val="en-GB"/>
        </w:rPr>
        <w:tab/>
        <w:t xml:space="preserve">maintain HQLA consistent with the distribution of its liquidity needs by currency; </w:t>
      </w:r>
    </w:p>
    <w:p w14:paraId="25819EAA" w14:textId="77777777" w:rsidR="00E22FF2" w:rsidRPr="00E4265B" w:rsidRDefault="00E22FF2" w:rsidP="00D24359">
      <w:pPr>
        <w:pStyle w:val="aList0"/>
        <w:rPr>
          <w:rFonts w:ascii="Arial" w:hAnsi="Arial" w:cs="Arial"/>
          <w:sz w:val="22"/>
          <w:szCs w:val="22"/>
          <w:lang w:val="en-GB"/>
        </w:rPr>
      </w:pPr>
      <w:r w:rsidRPr="00E4265B">
        <w:rPr>
          <w:rFonts w:ascii="Arial" w:hAnsi="Arial" w:cs="Arial"/>
          <w:sz w:val="22"/>
          <w:szCs w:val="22"/>
          <w:lang w:val="en-GB"/>
        </w:rPr>
        <w:t xml:space="preserve">b. </w:t>
      </w:r>
      <w:r w:rsidRPr="00E4265B">
        <w:rPr>
          <w:rFonts w:ascii="Arial" w:hAnsi="Arial" w:cs="Arial"/>
          <w:sz w:val="22"/>
          <w:szCs w:val="22"/>
          <w:lang w:val="en-GB"/>
        </w:rPr>
        <w:tab/>
        <w:t xml:space="preserve">assess its aggregate foreign currency liquidity needs and determine an acceptable level of currency mismatches; and </w:t>
      </w:r>
    </w:p>
    <w:p w14:paraId="78B0A43D" w14:textId="77777777" w:rsidR="00E22FF2" w:rsidRPr="00E4265B" w:rsidRDefault="00E22FF2" w:rsidP="00D24359">
      <w:pPr>
        <w:pStyle w:val="aList0"/>
        <w:rPr>
          <w:rFonts w:ascii="Arial" w:hAnsi="Arial" w:cs="Arial"/>
          <w:sz w:val="22"/>
          <w:szCs w:val="22"/>
          <w:lang w:val="en-GB"/>
        </w:rPr>
      </w:pPr>
      <w:r w:rsidRPr="00E4265B">
        <w:rPr>
          <w:rFonts w:ascii="Arial" w:hAnsi="Arial" w:cs="Arial"/>
          <w:sz w:val="22"/>
          <w:szCs w:val="22"/>
          <w:lang w:val="en-GB"/>
        </w:rPr>
        <w:t xml:space="preserve">c. </w:t>
      </w:r>
      <w:r w:rsidRPr="00E4265B">
        <w:rPr>
          <w:rFonts w:ascii="Arial" w:hAnsi="Arial" w:cs="Arial"/>
          <w:sz w:val="22"/>
          <w:szCs w:val="22"/>
          <w:lang w:val="en-GB"/>
        </w:rPr>
        <w:tab/>
        <w:t xml:space="preserve">undertake a separate analysis of its strategy for each currency in which it has material activities, considering potential constraints in times of stress. </w:t>
      </w:r>
    </w:p>
    <w:p w14:paraId="2B99B91D" w14:textId="4215723A" w:rsidR="00E22FF2" w:rsidRPr="00E4265B" w:rsidRDefault="00942BEE" w:rsidP="00942BEE">
      <w:pPr>
        <w:pStyle w:val="Heading4"/>
        <w:tabs>
          <w:tab w:val="clear" w:pos="936"/>
          <w:tab w:val="left" w:pos="972"/>
        </w:tabs>
        <w:ind w:left="1692" w:hanging="1692"/>
        <w:rPr>
          <w:rFonts w:ascii="Arial" w:hAnsi="Arial" w:cs="Arial"/>
          <w:sz w:val="22"/>
          <w:szCs w:val="22"/>
        </w:rPr>
      </w:pPr>
      <w:r w:rsidRPr="00E4265B">
        <w:rPr>
          <w:rFonts w:ascii="Arial" w:hAnsi="Arial" w:cs="Arial"/>
          <w:sz w:val="22"/>
          <w:szCs w:val="22"/>
        </w:rPr>
        <w:t>(1)</w:t>
      </w:r>
      <w:r w:rsidR="00E22FF2" w:rsidRPr="00E4265B">
        <w:rPr>
          <w:rFonts w:ascii="Arial" w:hAnsi="Arial" w:cs="Arial"/>
          <w:sz w:val="22"/>
          <w:szCs w:val="22"/>
        </w:rPr>
        <w:tab/>
        <w:t xml:space="preserve">The Regulator may by written notice to an </w:t>
      </w:r>
      <w:r w:rsidR="000D1A90" w:rsidRPr="00E4265B">
        <w:rPr>
          <w:rFonts w:ascii="Arial" w:hAnsi="Arial" w:cs="Arial"/>
          <w:sz w:val="22"/>
          <w:szCs w:val="22"/>
        </w:rPr>
        <w:t>Authorised Person</w:t>
      </w:r>
      <w:r w:rsidR="00E22FF2" w:rsidRPr="00E4265B">
        <w:rPr>
          <w:rFonts w:ascii="Arial" w:hAnsi="Arial" w:cs="Arial"/>
          <w:sz w:val="22"/>
          <w:szCs w:val="22"/>
        </w:rPr>
        <w:t xml:space="preserve"> in relation to the LCR Requirement applying to it: </w:t>
      </w:r>
    </w:p>
    <w:p w14:paraId="435F583D" w14:textId="77777777" w:rsidR="00E22FF2" w:rsidRPr="00E4265B" w:rsidRDefault="00E22FF2" w:rsidP="00D24359">
      <w:pPr>
        <w:pStyle w:val="aList"/>
        <w:rPr>
          <w:rFonts w:ascii="Arial" w:hAnsi="Arial" w:cs="Arial"/>
          <w:sz w:val="22"/>
          <w:szCs w:val="22"/>
          <w:lang w:val="en-GB"/>
        </w:rPr>
      </w:pPr>
      <w:r w:rsidRPr="00E4265B">
        <w:rPr>
          <w:rFonts w:ascii="Arial" w:hAnsi="Arial" w:cs="Arial"/>
          <w:sz w:val="22"/>
          <w:szCs w:val="22"/>
          <w:lang w:val="en-GB"/>
        </w:rPr>
        <w:t xml:space="preserve">(a) </w:t>
      </w:r>
      <w:r w:rsidRPr="00E4265B">
        <w:rPr>
          <w:rFonts w:ascii="Arial" w:hAnsi="Arial" w:cs="Arial"/>
          <w:sz w:val="22"/>
          <w:szCs w:val="22"/>
          <w:lang w:val="en-GB"/>
        </w:rPr>
        <w:tab/>
        <w:t xml:space="preserve">adjust the LCR Requirement; </w:t>
      </w:r>
    </w:p>
    <w:p w14:paraId="3BC8F9AC" w14:textId="77777777" w:rsidR="00E22FF2" w:rsidRPr="00E4265B" w:rsidRDefault="00E22FF2" w:rsidP="00D24359">
      <w:pPr>
        <w:pStyle w:val="aList"/>
        <w:rPr>
          <w:rFonts w:ascii="Arial" w:hAnsi="Arial" w:cs="Arial"/>
          <w:sz w:val="22"/>
          <w:szCs w:val="22"/>
          <w:lang w:val="en-GB"/>
        </w:rPr>
      </w:pPr>
      <w:r w:rsidRPr="00E4265B">
        <w:rPr>
          <w:rFonts w:ascii="Arial" w:hAnsi="Arial" w:cs="Arial"/>
          <w:sz w:val="22"/>
          <w:szCs w:val="22"/>
          <w:lang w:val="en-GB"/>
        </w:rPr>
        <w:t xml:space="preserve">(b) </w:t>
      </w:r>
      <w:r w:rsidRPr="00E4265B">
        <w:rPr>
          <w:rFonts w:ascii="Arial" w:hAnsi="Arial" w:cs="Arial"/>
          <w:sz w:val="22"/>
          <w:szCs w:val="22"/>
          <w:lang w:val="en-GB"/>
        </w:rPr>
        <w:tab/>
        <w:t>adjust requirements under section A</w:t>
      </w:r>
      <w:r w:rsidR="009B0107" w:rsidRPr="00E4265B">
        <w:rPr>
          <w:rFonts w:ascii="Arial" w:hAnsi="Arial" w:cs="Arial"/>
          <w:sz w:val="22"/>
          <w:szCs w:val="22"/>
          <w:lang w:val="en-GB"/>
        </w:rPr>
        <w:t>10</w:t>
      </w:r>
      <w:r w:rsidRPr="00E4265B">
        <w:rPr>
          <w:rFonts w:ascii="Arial" w:hAnsi="Arial" w:cs="Arial"/>
          <w:sz w:val="22"/>
          <w:szCs w:val="22"/>
          <w:lang w:val="en-GB"/>
        </w:rPr>
        <w:t>.2 of App</w:t>
      </w:r>
      <w:r w:rsidR="009B0107" w:rsidRPr="00E4265B">
        <w:rPr>
          <w:rFonts w:ascii="Arial" w:hAnsi="Arial" w:cs="Arial"/>
          <w:sz w:val="22"/>
          <w:szCs w:val="22"/>
          <w:lang w:val="en-GB"/>
        </w:rPr>
        <w:t>10</w:t>
      </w:r>
      <w:r w:rsidRPr="00E4265B">
        <w:rPr>
          <w:rFonts w:ascii="Arial" w:hAnsi="Arial" w:cs="Arial"/>
          <w:sz w:val="22"/>
          <w:szCs w:val="22"/>
          <w:lang w:val="en-GB"/>
        </w:rPr>
        <w:t xml:space="preserve"> for calculating its stock of HQLA or the Total Net Cash Outflows; </w:t>
      </w:r>
    </w:p>
    <w:p w14:paraId="281F0956" w14:textId="77777777" w:rsidR="00E22FF2" w:rsidRPr="00E4265B" w:rsidRDefault="00E22FF2" w:rsidP="00D24359">
      <w:pPr>
        <w:pStyle w:val="aList"/>
        <w:rPr>
          <w:rFonts w:ascii="Arial" w:hAnsi="Arial" w:cs="Arial"/>
          <w:sz w:val="22"/>
          <w:szCs w:val="22"/>
          <w:lang w:val="en-GB"/>
        </w:rPr>
      </w:pPr>
      <w:r w:rsidRPr="00E4265B">
        <w:rPr>
          <w:rFonts w:ascii="Arial" w:hAnsi="Arial" w:cs="Arial"/>
          <w:sz w:val="22"/>
          <w:szCs w:val="22"/>
          <w:lang w:val="en-GB"/>
        </w:rPr>
        <w:t xml:space="preserve">(c) </w:t>
      </w:r>
      <w:r w:rsidRPr="00E4265B">
        <w:rPr>
          <w:rFonts w:ascii="Arial" w:hAnsi="Arial" w:cs="Arial"/>
          <w:sz w:val="22"/>
          <w:szCs w:val="22"/>
          <w:lang w:val="en-GB"/>
        </w:rPr>
        <w:tab/>
        <w:t xml:space="preserve">alter the calculation methodologies or parameters for the purposes of the LCR Requirement; </w:t>
      </w:r>
    </w:p>
    <w:p w14:paraId="49B5F784" w14:textId="77777777" w:rsidR="00E22FF2" w:rsidRPr="00E4265B" w:rsidRDefault="00E22FF2" w:rsidP="00D24359">
      <w:pPr>
        <w:pStyle w:val="aList"/>
        <w:rPr>
          <w:rFonts w:ascii="Arial" w:hAnsi="Arial" w:cs="Arial"/>
          <w:sz w:val="22"/>
          <w:szCs w:val="22"/>
          <w:lang w:val="en-GB"/>
        </w:rPr>
      </w:pPr>
      <w:r w:rsidRPr="00E4265B">
        <w:rPr>
          <w:rFonts w:ascii="Arial" w:hAnsi="Arial" w:cs="Arial"/>
          <w:sz w:val="22"/>
          <w:szCs w:val="22"/>
          <w:lang w:val="en-GB"/>
        </w:rPr>
        <w:t xml:space="preserve">(d) </w:t>
      </w:r>
      <w:r w:rsidRPr="00E4265B">
        <w:rPr>
          <w:rFonts w:ascii="Arial" w:hAnsi="Arial" w:cs="Arial"/>
          <w:sz w:val="22"/>
          <w:szCs w:val="22"/>
          <w:lang w:val="en-GB"/>
        </w:rPr>
        <w:tab/>
        <w:t xml:space="preserve">disapply the LCR Requirement; or </w:t>
      </w:r>
    </w:p>
    <w:p w14:paraId="64E56389" w14:textId="77777777" w:rsidR="00E22FF2" w:rsidRPr="00E4265B" w:rsidRDefault="00E22FF2" w:rsidP="00D24359">
      <w:pPr>
        <w:pStyle w:val="aList"/>
        <w:rPr>
          <w:rFonts w:ascii="Arial" w:hAnsi="Arial" w:cs="Arial"/>
          <w:sz w:val="22"/>
          <w:szCs w:val="22"/>
          <w:lang w:val="en-GB"/>
        </w:rPr>
      </w:pPr>
      <w:r w:rsidRPr="00E4265B">
        <w:rPr>
          <w:rFonts w:ascii="Arial" w:hAnsi="Arial" w:cs="Arial"/>
          <w:sz w:val="22"/>
          <w:szCs w:val="22"/>
          <w:lang w:val="en-GB"/>
        </w:rPr>
        <w:t xml:space="preserve">(e) </w:t>
      </w:r>
      <w:r w:rsidRPr="00E4265B">
        <w:rPr>
          <w:rFonts w:ascii="Arial" w:hAnsi="Arial" w:cs="Arial"/>
          <w:sz w:val="22"/>
          <w:szCs w:val="22"/>
          <w:lang w:val="en-GB"/>
        </w:rPr>
        <w:tab/>
        <w:t xml:space="preserve">impose additional requirements based on its assessment of the Liquidity Risk </w:t>
      </w:r>
      <w:r w:rsidR="005F3B3B" w:rsidRPr="00E4265B">
        <w:rPr>
          <w:rFonts w:ascii="Arial" w:hAnsi="Arial" w:cs="Arial"/>
          <w:sz w:val="22"/>
          <w:szCs w:val="22"/>
          <w:lang w:val="en-GB"/>
        </w:rPr>
        <w:t>Exposure</w:t>
      </w:r>
      <w:r w:rsidRPr="00E4265B">
        <w:rPr>
          <w:rFonts w:ascii="Arial" w:hAnsi="Arial" w:cs="Arial"/>
          <w:sz w:val="22"/>
          <w:szCs w:val="22"/>
          <w:lang w:val="en-GB"/>
        </w:rPr>
        <w:t xml:space="preserve"> of that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t>
      </w:r>
    </w:p>
    <w:p w14:paraId="4F285DC7" w14:textId="77777777" w:rsidR="00E22FF2" w:rsidRPr="00E4265B" w:rsidRDefault="00E22FF2" w:rsidP="003D4C5D">
      <w:pPr>
        <w:pStyle w:val="1List"/>
        <w:rPr>
          <w:rFonts w:ascii="Arial" w:hAnsi="Arial" w:cs="Arial"/>
          <w:sz w:val="22"/>
          <w:szCs w:val="22"/>
          <w:lang w:val="en-GB"/>
        </w:rPr>
      </w:pPr>
      <w:r w:rsidRPr="00E4265B">
        <w:rPr>
          <w:rFonts w:ascii="Arial" w:hAnsi="Arial" w:cs="Arial"/>
          <w:sz w:val="22"/>
          <w:szCs w:val="22"/>
          <w:lang w:val="en-GB"/>
        </w:rPr>
        <w:t xml:space="preserve">(2) </w:t>
      </w:r>
      <w:r w:rsidRPr="00E4265B">
        <w:rPr>
          <w:rFonts w:ascii="Arial" w:hAnsi="Arial" w:cs="Arial"/>
          <w:sz w:val="22"/>
          <w:szCs w:val="22"/>
          <w:lang w:val="en-GB"/>
        </w:rPr>
        <w:tab/>
        <w:t xml:space="preserve">If the Regulator amends a requirement under (1)(a), (b), (c) or (e),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comply with the requirement as amended. If the Regulator disapplies a requirement under (1)(d),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need not comply with that requirement. </w:t>
      </w:r>
    </w:p>
    <w:p w14:paraId="5AA2816B" w14:textId="77777777" w:rsidR="00E22FF2" w:rsidRPr="00E4265B" w:rsidRDefault="00E22FF2" w:rsidP="00D24359">
      <w:pPr>
        <w:pStyle w:val="TitleL5"/>
        <w:rPr>
          <w:rFonts w:ascii="Arial" w:hAnsi="Arial" w:cs="Arial"/>
          <w:sz w:val="22"/>
          <w:szCs w:val="22"/>
          <w:lang w:val="en-GB"/>
        </w:rPr>
      </w:pPr>
      <w:r w:rsidRPr="00E4265B">
        <w:rPr>
          <w:rFonts w:ascii="Arial" w:hAnsi="Arial" w:cs="Arial"/>
          <w:sz w:val="22"/>
          <w:szCs w:val="22"/>
          <w:lang w:val="en-GB"/>
        </w:rPr>
        <w:t xml:space="preserve">Liquid assets buffer </w:t>
      </w:r>
    </w:p>
    <w:p w14:paraId="274BD5D1" w14:textId="67FE5D27" w:rsidR="00E22FF2" w:rsidRPr="00E4265B" w:rsidRDefault="00942BEE" w:rsidP="00A053EF">
      <w:pPr>
        <w:pStyle w:val="Heading4"/>
        <w:tabs>
          <w:tab w:val="clear" w:pos="936"/>
          <w:tab w:val="num" w:pos="900"/>
        </w:tabs>
        <w:ind w:left="1710" w:hanging="1710"/>
        <w:rPr>
          <w:rFonts w:ascii="Arial" w:hAnsi="Arial" w:cs="Arial"/>
          <w:sz w:val="22"/>
          <w:szCs w:val="22"/>
        </w:rPr>
      </w:pPr>
      <w:r w:rsidRPr="00E4265B">
        <w:rPr>
          <w:rFonts w:ascii="Arial" w:hAnsi="Arial" w:cs="Arial"/>
          <w:sz w:val="22"/>
          <w:szCs w:val="22"/>
        </w:rPr>
        <w:t>(1)</w:t>
      </w:r>
      <w:r w:rsidR="00227F0C" w:rsidRPr="00E4265B">
        <w:rPr>
          <w:rFonts w:ascii="Arial" w:hAnsi="Arial" w:cs="Arial"/>
          <w:sz w:val="22"/>
          <w:szCs w:val="22"/>
        </w:rPr>
        <w:tab/>
      </w:r>
      <w:r w:rsidR="00E22FF2" w:rsidRPr="00E4265B">
        <w:rPr>
          <w:rFonts w:ascii="Arial" w:hAnsi="Arial" w:cs="Arial"/>
          <w:sz w:val="22"/>
          <w:szCs w:val="22"/>
        </w:rPr>
        <w:t xml:space="preserve">An </w:t>
      </w:r>
      <w:r w:rsidR="000D1A90" w:rsidRPr="00E4265B">
        <w:rPr>
          <w:rFonts w:ascii="Arial" w:hAnsi="Arial" w:cs="Arial"/>
          <w:sz w:val="22"/>
          <w:szCs w:val="22"/>
        </w:rPr>
        <w:t>Authorised Person</w:t>
      </w:r>
      <w:r w:rsidR="00E22FF2" w:rsidRPr="00E4265B">
        <w:rPr>
          <w:rFonts w:ascii="Arial" w:hAnsi="Arial" w:cs="Arial"/>
          <w:sz w:val="22"/>
          <w:szCs w:val="22"/>
        </w:rPr>
        <w:t xml:space="preserve"> must, except as provided under Rule 9.3.8, maintain a buffer of HQLA over the minimum level of LCR required under its LCR Requirement, appropriate to the nature, scale and complexity of its operations and in line with its Liquidity Risk tolerance. </w:t>
      </w:r>
    </w:p>
    <w:p w14:paraId="235674A4" w14:textId="11102EF0" w:rsidR="00227F0C" w:rsidRPr="00E4265B" w:rsidRDefault="00942BEE" w:rsidP="00227F0C">
      <w:pPr>
        <w:pStyle w:val="1List0"/>
        <w:rPr>
          <w:rFonts w:ascii="Arial" w:hAnsi="Arial" w:cs="Arial"/>
          <w:sz w:val="22"/>
          <w:szCs w:val="22"/>
          <w:lang w:val="en-GB"/>
        </w:rPr>
      </w:pPr>
      <w:r w:rsidRPr="00E4265B">
        <w:rPr>
          <w:rFonts w:ascii="Arial" w:hAnsi="Arial" w:cs="Arial"/>
          <w:sz w:val="22"/>
          <w:szCs w:val="22"/>
          <w:lang w:val="en-GB"/>
        </w:rPr>
        <w:t>(2)</w:t>
      </w:r>
      <w:r w:rsidR="00227F0C" w:rsidRPr="00E4265B">
        <w:rPr>
          <w:rFonts w:ascii="Arial" w:hAnsi="Arial" w:cs="Arial"/>
          <w:sz w:val="22"/>
          <w:szCs w:val="22"/>
          <w:lang w:val="en-GB"/>
        </w:rPr>
        <w:tab/>
        <w:t xml:space="preserve">The Regulator may require an Authorised Person to maintain an additional buffer of liquid assets in cases where the Regulator assesses that the Authorised Person has failed to carry out stress tests effectively. </w:t>
      </w:r>
    </w:p>
    <w:p w14:paraId="46C57685" w14:textId="77777777" w:rsidR="00E22FF2" w:rsidRPr="00E4265B" w:rsidRDefault="009B0107" w:rsidP="00D24359">
      <w:pPr>
        <w:pStyle w:val="TitleL5"/>
        <w:rPr>
          <w:rFonts w:ascii="Arial" w:hAnsi="Arial" w:cs="Arial"/>
          <w:sz w:val="22"/>
          <w:szCs w:val="22"/>
          <w:lang w:val="en-GB"/>
        </w:rPr>
      </w:pPr>
      <w:r w:rsidRPr="00E4265B">
        <w:rPr>
          <w:rFonts w:ascii="Arial" w:hAnsi="Arial" w:cs="Arial"/>
          <w:sz w:val="22"/>
          <w:szCs w:val="22"/>
          <w:lang w:val="en-GB"/>
        </w:rPr>
        <w:t>Guidance</w:t>
      </w:r>
    </w:p>
    <w:p w14:paraId="206095F9" w14:textId="342732B0" w:rsidR="00E22FF2" w:rsidRPr="00E4265B" w:rsidRDefault="00227F0C" w:rsidP="00A053EF">
      <w:pPr>
        <w:pStyle w:val="1List0"/>
        <w:ind w:left="990" w:firstLine="0"/>
        <w:rPr>
          <w:rFonts w:ascii="Arial" w:hAnsi="Arial" w:cs="Arial"/>
          <w:sz w:val="22"/>
          <w:szCs w:val="22"/>
          <w:lang w:val="en-GB"/>
        </w:rPr>
      </w:pPr>
      <w:r w:rsidRPr="00E4265B">
        <w:rPr>
          <w:rFonts w:ascii="Arial" w:hAnsi="Arial" w:cs="Arial"/>
          <w:sz w:val="22"/>
          <w:szCs w:val="22"/>
          <w:lang w:val="en-GB"/>
        </w:rPr>
        <w:t>A</w:t>
      </w:r>
      <w:r w:rsidR="00E22FF2" w:rsidRPr="00E4265B">
        <w:rPr>
          <w:rFonts w:ascii="Arial" w:hAnsi="Arial" w:cs="Arial"/>
          <w:sz w:val="22"/>
          <w:szCs w:val="22"/>
          <w:lang w:val="en-GB"/>
        </w:rPr>
        <w:t xml:space="preserve">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should conduct its own stress tests to assess the level of liquidity it should hold beyond the minimum required under this section, and construct its own scenarios that could cause difficulties for its specific business activities. Such internal stress tests should incorporate longer periods than the one </w:t>
      </w:r>
      <w:r w:rsidR="00E22FF2" w:rsidRPr="00E4265B">
        <w:rPr>
          <w:rFonts w:ascii="Arial" w:hAnsi="Arial" w:cs="Arial"/>
          <w:sz w:val="22"/>
          <w:szCs w:val="22"/>
          <w:lang w:val="en-GB"/>
        </w:rPr>
        <w:lastRenderedPageBreak/>
        <w:t xml:space="preserve">required under this section.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s are expected to share the results of these additional stress tests with the Regulator. </w:t>
      </w:r>
    </w:p>
    <w:p w14:paraId="34663A23" w14:textId="77777777" w:rsidR="00E22FF2" w:rsidRPr="00E4265B" w:rsidRDefault="00E22FF2" w:rsidP="00D24359">
      <w:pPr>
        <w:pStyle w:val="TitleL5"/>
        <w:rPr>
          <w:rFonts w:ascii="Arial" w:hAnsi="Arial" w:cs="Arial"/>
          <w:sz w:val="22"/>
          <w:szCs w:val="22"/>
          <w:lang w:val="en-GB"/>
        </w:rPr>
      </w:pPr>
      <w:r w:rsidRPr="00E4265B">
        <w:rPr>
          <w:rFonts w:ascii="Arial" w:hAnsi="Arial" w:cs="Arial"/>
          <w:sz w:val="22"/>
          <w:szCs w:val="22"/>
          <w:lang w:val="en-GB"/>
        </w:rPr>
        <w:t xml:space="preserve">Liquidation of assets during periods of stress </w:t>
      </w:r>
    </w:p>
    <w:p w14:paraId="50D131E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During a period of financial or liquidity stress, an </w:t>
      </w:r>
      <w:r w:rsidR="000D1A90" w:rsidRPr="00E4265B">
        <w:rPr>
          <w:rFonts w:ascii="Arial" w:hAnsi="Arial" w:cs="Arial"/>
          <w:sz w:val="22"/>
          <w:szCs w:val="22"/>
        </w:rPr>
        <w:t>Authorised Person</w:t>
      </w:r>
      <w:r w:rsidRPr="00E4265B">
        <w:rPr>
          <w:rFonts w:ascii="Arial" w:hAnsi="Arial" w:cs="Arial"/>
          <w:sz w:val="22"/>
          <w:szCs w:val="22"/>
        </w:rPr>
        <w:t xml:space="preserve"> may liquidate part of its stock of HQLA and use the cash generated to cover cash outflows. Subject to Rule 9.3.9, the </w:t>
      </w:r>
      <w:r w:rsidR="000D1A90" w:rsidRPr="00E4265B">
        <w:rPr>
          <w:rFonts w:ascii="Arial" w:hAnsi="Arial" w:cs="Arial"/>
          <w:sz w:val="22"/>
          <w:szCs w:val="22"/>
        </w:rPr>
        <w:t>Authorised Person</w:t>
      </w:r>
      <w:r w:rsidRPr="00E4265B">
        <w:rPr>
          <w:rFonts w:ascii="Arial" w:hAnsi="Arial" w:cs="Arial"/>
          <w:sz w:val="22"/>
          <w:szCs w:val="22"/>
        </w:rPr>
        <w:t>'s level of HQLA may fall below the levels required under its LCR Requirement to the extent necessary to deal with cash outflows during that period.</w:t>
      </w:r>
    </w:p>
    <w:p w14:paraId="04740E96" w14:textId="555486CC" w:rsidR="00E22FF2" w:rsidRPr="00E4265B" w:rsidRDefault="00E22FF2" w:rsidP="00D24359">
      <w:pPr>
        <w:pStyle w:val="TitleL5"/>
        <w:rPr>
          <w:rFonts w:ascii="Arial" w:hAnsi="Arial" w:cs="Arial"/>
          <w:sz w:val="22"/>
          <w:szCs w:val="22"/>
          <w:lang w:val="en-GB"/>
        </w:rPr>
      </w:pPr>
      <w:r w:rsidRPr="00E4265B">
        <w:rPr>
          <w:rFonts w:ascii="Arial" w:hAnsi="Arial" w:cs="Arial"/>
          <w:sz w:val="22"/>
          <w:szCs w:val="22"/>
          <w:lang w:val="en-GB"/>
        </w:rPr>
        <w:t xml:space="preserve">Notification if LCR Requirement </w:t>
      </w:r>
      <w:r w:rsidR="00A053EF" w:rsidRPr="00E4265B">
        <w:rPr>
          <w:rFonts w:ascii="Arial" w:hAnsi="Arial" w:cs="Arial"/>
          <w:sz w:val="22"/>
          <w:szCs w:val="22"/>
          <w:lang w:val="en-GB"/>
        </w:rPr>
        <w:t xml:space="preserve">is </w:t>
      </w:r>
      <w:r w:rsidRPr="00E4265B">
        <w:rPr>
          <w:rFonts w:ascii="Arial" w:hAnsi="Arial" w:cs="Arial"/>
          <w:sz w:val="22"/>
          <w:szCs w:val="22"/>
          <w:lang w:val="en-GB"/>
        </w:rPr>
        <w:t xml:space="preserve">not met </w:t>
      </w:r>
    </w:p>
    <w:p w14:paraId="736055A6" w14:textId="3B857685"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notify the Regulator in writing immediately if it does not meet, or becomes aware of circumstances that may result in it not meeting, at any time, its LCR Requirement (including during a perio</w:t>
      </w:r>
      <w:r w:rsidR="00A053EF" w:rsidRPr="00E4265B">
        <w:rPr>
          <w:rFonts w:ascii="Arial" w:hAnsi="Arial" w:cs="Arial"/>
          <w:sz w:val="22"/>
          <w:szCs w:val="22"/>
        </w:rPr>
        <w:t>d of stress referred to in Rule </w:t>
      </w:r>
      <w:r w:rsidRPr="00E4265B">
        <w:rPr>
          <w:rFonts w:ascii="Arial" w:hAnsi="Arial" w:cs="Arial"/>
          <w:sz w:val="22"/>
          <w:szCs w:val="22"/>
        </w:rPr>
        <w:t xml:space="preserve">9.3.8). </w:t>
      </w:r>
    </w:p>
    <w:p w14:paraId="51C2B43E" w14:textId="77777777" w:rsidR="00E22FF2" w:rsidRPr="00E4265B" w:rsidRDefault="00E22FF2" w:rsidP="00D24359">
      <w:pPr>
        <w:pStyle w:val="TitleL5"/>
        <w:rPr>
          <w:rFonts w:ascii="Arial" w:hAnsi="Arial" w:cs="Arial"/>
          <w:sz w:val="22"/>
          <w:szCs w:val="22"/>
          <w:lang w:val="en-GB"/>
        </w:rPr>
      </w:pPr>
      <w:r w:rsidRPr="00E4265B">
        <w:rPr>
          <w:rFonts w:ascii="Arial" w:hAnsi="Arial" w:cs="Arial"/>
          <w:sz w:val="22"/>
          <w:szCs w:val="22"/>
          <w:lang w:val="en-GB"/>
        </w:rPr>
        <w:t xml:space="preserve">Guidance </w:t>
      </w:r>
    </w:p>
    <w:p w14:paraId="3589A0F1" w14:textId="651789AA" w:rsidR="00E22FF2" w:rsidRPr="00E4265B" w:rsidRDefault="00942BEE" w:rsidP="00D24359">
      <w:pPr>
        <w:pStyle w:val="1List0"/>
        <w:rPr>
          <w:rFonts w:ascii="Arial" w:hAnsi="Arial" w:cs="Arial"/>
          <w:sz w:val="22"/>
          <w:szCs w:val="22"/>
          <w:lang w:val="en-GB"/>
        </w:rPr>
      </w:pPr>
      <w:r w:rsidRPr="00E4265B">
        <w:rPr>
          <w:rFonts w:ascii="Arial" w:hAnsi="Arial" w:cs="Arial"/>
          <w:sz w:val="22"/>
          <w:szCs w:val="22"/>
          <w:lang w:val="en-GB"/>
        </w:rPr>
        <w:t>1.</w:t>
      </w:r>
      <w:r w:rsidR="00E22FF2"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should in its notification clearly explain: </w:t>
      </w:r>
    </w:p>
    <w:p w14:paraId="7BEFFF09" w14:textId="236E044D" w:rsidR="00E22FF2" w:rsidRPr="00E4265B" w:rsidRDefault="00942BEE" w:rsidP="00D24359">
      <w:pPr>
        <w:pStyle w:val="aList0"/>
        <w:rPr>
          <w:rFonts w:ascii="Arial" w:hAnsi="Arial" w:cs="Arial"/>
          <w:sz w:val="22"/>
          <w:szCs w:val="22"/>
          <w:lang w:val="en-GB"/>
        </w:rPr>
      </w:pPr>
      <w:r w:rsidRPr="00E4265B">
        <w:rPr>
          <w:rFonts w:ascii="Arial" w:hAnsi="Arial" w:cs="Arial"/>
          <w:sz w:val="22"/>
          <w:szCs w:val="22"/>
          <w:lang w:val="en-GB"/>
        </w:rPr>
        <w:t>a.</w:t>
      </w:r>
      <w:r w:rsidR="00E22FF2" w:rsidRPr="00E4265B">
        <w:rPr>
          <w:rFonts w:ascii="Arial" w:hAnsi="Arial" w:cs="Arial"/>
          <w:sz w:val="22"/>
          <w:szCs w:val="22"/>
          <w:lang w:val="en-GB"/>
        </w:rPr>
        <w:tab/>
        <w:t xml:space="preserve">the reasons for not meeting the LCR Requirement; </w:t>
      </w:r>
    </w:p>
    <w:p w14:paraId="4117F308" w14:textId="1620AE7B" w:rsidR="00E22FF2" w:rsidRPr="00E4265B" w:rsidRDefault="00942BEE" w:rsidP="00D24359">
      <w:pPr>
        <w:pStyle w:val="aList0"/>
        <w:rPr>
          <w:rFonts w:ascii="Arial" w:hAnsi="Arial" w:cs="Arial"/>
          <w:sz w:val="22"/>
          <w:szCs w:val="22"/>
          <w:lang w:val="en-GB"/>
        </w:rPr>
      </w:pPr>
      <w:r w:rsidRPr="00E4265B">
        <w:rPr>
          <w:rFonts w:ascii="Arial" w:hAnsi="Arial" w:cs="Arial"/>
          <w:sz w:val="22"/>
          <w:szCs w:val="22"/>
          <w:lang w:val="en-GB"/>
        </w:rPr>
        <w:t>b.</w:t>
      </w:r>
      <w:r w:rsidR="00E22FF2" w:rsidRPr="00E4265B">
        <w:rPr>
          <w:rFonts w:ascii="Arial" w:hAnsi="Arial" w:cs="Arial"/>
          <w:sz w:val="22"/>
          <w:szCs w:val="22"/>
          <w:lang w:val="en-GB"/>
        </w:rPr>
        <w:tab/>
        <w:t xml:space="preserve">measures that have been taken and will be taken to ensure it reverts to meeting its LCR Requirement as soon as possible; and </w:t>
      </w:r>
    </w:p>
    <w:p w14:paraId="4ED35000" w14:textId="69390FC9" w:rsidR="00E22FF2" w:rsidRPr="00E4265B" w:rsidRDefault="00942BEE" w:rsidP="00D24359">
      <w:pPr>
        <w:pStyle w:val="aList0"/>
        <w:rPr>
          <w:rFonts w:ascii="Arial" w:hAnsi="Arial" w:cs="Arial"/>
          <w:sz w:val="22"/>
          <w:szCs w:val="22"/>
          <w:lang w:val="en-GB"/>
        </w:rPr>
      </w:pPr>
      <w:r w:rsidRPr="00E4265B">
        <w:rPr>
          <w:rFonts w:ascii="Arial" w:hAnsi="Arial" w:cs="Arial"/>
          <w:sz w:val="22"/>
          <w:szCs w:val="22"/>
          <w:lang w:val="en-GB"/>
        </w:rPr>
        <w:t>c.</w:t>
      </w:r>
      <w:r w:rsidR="00E22FF2" w:rsidRPr="00E4265B">
        <w:rPr>
          <w:rFonts w:ascii="Arial" w:hAnsi="Arial" w:cs="Arial"/>
          <w:sz w:val="22"/>
          <w:szCs w:val="22"/>
          <w:lang w:val="en-GB"/>
        </w:rPr>
        <w:tab/>
        <w:t xml:space="preserve">its expectations regarding the potential duration of the situation. </w:t>
      </w:r>
    </w:p>
    <w:p w14:paraId="1BB0DE87" w14:textId="5F528493" w:rsidR="00E22FF2" w:rsidRPr="00E4265B" w:rsidRDefault="00942BEE" w:rsidP="000933A0">
      <w:pPr>
        <w:pStyle w:val="1List0"/>
        <w:tabs>
          <w:tab w:val="left" w:pos="993"/>
        </w:tabs>
        <w:rPr>
          <w:rFonts w:ascii="Arial" w:hAnsi="Arial" w:cs="Arial"/>
          <w:sz w:val="22"/>
          <w:szCs w:val="22"/>
          <w:lang w:val="en-GB"/>
        </w:rPr>
      </w:pPr>
      <w:r w:rsidRPr="00E4265B">
        <w:rPr>
          <w:rFonts w:ascii="Arial" w:hAnsi="Arial" w:cs="Arial"/>
          <w:sz w:val="22"/>
          <w:szCs w:val="22"/>
          <w:lang w:val="en-GB"/>
        </w:rPr>
        <w:t>2.</w:t>
      </w:r>
      <w:r w:rsidR="00E22FF2"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that makes a notification should discuss with the Regulator what, if any, further steps it should take to deal with the situation.</w:t>
      </w:r>
    </w:p>
    <w:p w14:paraId="6B55A24E" w14:textId="184B45E4" w:rsidR="00E22FF2" w:rsidRPr="00E4265B" w:rsidRDefault="00E22FF2" w:rsidP="0078487E">
      <w:pPr>
        <w:pStyle w:val="TitleL5"/>
        <w:rPr>
          <w:rFonts w:ascii="Arial" w:hAnsi="Arial" w:cs="Arial"/>
          <w:sz w:val="22"/>
          <w:szCs w:val="22"/>
          <w:lang w:val="en-GB"/>
        </w:rPr>
      </w:pPr>
      <w:r w:rsidRPr="00E4265B">
        <w:rPr>
          <w:rFonts w:ascii="Arial" w:hAnsi="Arial" w:cs="Arial"/>
          <w:sz w:val="22"/>
          <w:szCs w:val="22"/>
          <w:lang w:val="en-GB"/>
        </w:rPr>
        <w:t xml:space="preserve">The </w:t>
      </w:r>
      <w:r w:rsidR="0078487E" w:rsidRPr="00E4265B">
        <w:rPr>
          <w:rFonts w:ascii="Arial" w:hAnsi="Arial" w:cs="Arial"/>
          <w:sz w:val="22"/>
          <w:szCs w:val="22"/>
          <w:lang w:val="en-GB"/>
        </w:rPr>
        <w:t>Liquidity</w:t>
      </w:r>
      <w:r w:rsidRPr="00E4265B">
        <w:rPr>
          <w:rFonts w:ascii="Arial" w:hAnsi="Arial" w:cs="Arial"/>
          <w:sz w:val="22"/>
          <w:szCs w:val="22"/>
          <w:lang w:val="en-GB"/>
        </w:rPr>
        <w:t xml:space="preserve"> Mismatch </w:t>
      </w:r>
      <w:r w:rsidR="0078487E" w:rsidRPr="00E4265B">
        <w:rPr>
          <w:rFonts w:ascii="Arial" w:hAnsi="Arial" w:cs="Arial"/>
          <w:sz w:val="22"/>
          <w:szCs w:val="22"/>
          <w:lang w:val="en-GB"/>
        </w:rPr>
        <w:t>A</w:t>
      </w:r>
      <w:r w:rsidRPr="00E4265B">
        <w:rPr>
          <w:rFonts w:ascii="Arial" w:hAnsi="Arial" w:cs="Arial"/>
          <w:sz w:val="22"/>
          <w:szCs w:val="22"/>
          <w:lang w:val="en-GB"/>
        </w:rPr>
        <w:t>pproach</w:t>
      </w:r>
    </w:p>
    <w:p w14:paraId="4F406C31" w14:textId="77777777" w:rsidR="00E22FF2" w:rsidRPr="00E4265B" w:rsidRDefault="00E22FF2" w:rsidP="00D24359">
      <w:pPr>
        <w:pStyle w:val="TitleL5"/>
        <w:rPr>
          <w:rFonts w:ascii="Arial" w:hAnsi="Arial" w:cs="Arial"/>
          <w:sz w:val="22"/>
          <w:szCs w:val="22"/>
          <w:lang w:val="en-GB"/>
        </w:rPr>
      </w:pPr>
      <w:r w:rsidRPr="00E4265B">
        <w:rPr>
          <w:rFonts w:ascii="Arial" w:hAnsi="Arial" w:cs="Arial"/>
          <w:sz w:val="22"/>
          <w:szCs w:val="22"/>
          <w:lang w:val="en-GB"/>
        </w:rPr>
        <w:t>Guidance</w:t>
      </w:r>
    </w:p>
    <w:p w14:paraId="75837654" w14:textId="4ABB0744" w:rsidR="00E22FF2" w:rsidRPr="00E4265B" w:rsidRDefault="00E22FF2" w:rsidP="0078487E">
      <w:pPr>
        <w:pStyle w:val="UK12Block05"/>
        <w:rPr>
          <w:rFonts w:ascii="Arial" w:hAnsi="Arial" w:cs="Arial"/>
          <w:sz w:val="22"/>
          <w:szCs w:val="22"/>
          <w:lang w:val="en-GB"/>
        </w:rPr>
      </w:pPr>
      <w:r w:rsidRPr="00E4265B">
        <w:rPr>
          <w:rFonts w:ascii="Arial" w:hAnsi="Arial" w:cs="Arial"/>
          <w:sz w:val="22"/>
          <w:szCs w:val="22"/>
          <w:lang w:val="en-GB"/>
        </w:rPr>
        <w:t xml:space="preserve">The </w:t>
      </w:r>
      <w:r w:rsidR="0078487E" w:rsidRPr="00E4265B">
        <w:rPr>
          <w:rFonts w:ascii="Arial" w:hAnsi="Arial" w:cs="Arial"/>
          <w:sz w:val="22"/>
          <w:szCs w:val="22"/>
          <w:lang w:val="en-GB"/>
        </w:rPr>
        <w:t xml:space="preserve">Liquidity </w:t>
      </w:r>
      <w:r w:rsidRPr="00E4265B">
        <w:rPr>
          <w:rFonts w:ascii="Arial" w:hAnsi="Arial" w:cs="Arial"/>
          <w:sz w:val="22"/>
          <w:szCs w:val="22"/>
          <w:lang w:val="en-GB"/>
        </w:rPr>
        <w:t xml:space="preserve">Mismatch </w:t>
      </w:r>
      <w:r w:rsidR="0078487E" w:rsidRPr="00E4265B">
        <w:rPr>
          <w:rFonts w:ascii="Arial" w:hAnsi="Arial" w:cs="Arial"/>
          <w:sz w:val="22"/>
          <w:szCs w:val="22"/>
          <w:lang w:val="en-GB"/>
        </w:rPr>
        <w:t>A</w:t>
      </w:r>
      <w:r w:rsidRPr="00E4265B">
        <w:rPr>
          <w:rFonts w:ascii="Arial" w:hAnsi="Arial" w:cs="Arial"/>
          <w:sz w:val="22"/>
          <w:szCs w:val="22"/>
          <w:lang w:val="en-GB"/>
        </w:rPr>
        <w:t xml:space="preserve">pproach measures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w:t>
      </w:r>
      <w:r w:rsidR="0078487E" w:rsidRPr="00E4265B">
        <w:rPr>
          <w:rFonts w:ascii="Arial" w:hAnsi="Arial" w:cs="Arial"/>
          <w:sz w:val="22"/>
          <w:szCs w:val="22"/>
          <w:lang w:val="en-GB"/>
        </w:rPr>
        <w:t xml:space="preserve">short-term </w:t>
      </w:r>
      <w:r w:rsidRPr="00E4265B">
        <w:rPr>
          <w:rFonts w:ascii="Arial" w:hAnsi="Arial" w:cs="Arial"/>
          <w:sz w:val="22"/>
          <w:szCs w:val="22"/>
          <w:lang w:val="en-GB"/>
        </w:rPr>
        <w:t xml:space="preserve">liquidity by assessing the </w:t>
      </w:r>
      <w:r w:rsidR="0078487E" w:rsidRPr="00E4265B">
        <w:rPr>
          <w:rFonts w:ascii="Arial" w:hAnsi="Arial" w:cs="Arial"/>
          <w:sz w:val="22"/>
          <w:szCs w:val="22"/>
          <w:lang w:val="en-GB"/>
        </w:rPr>
        <w:t xml:space="preserve">maturity </w:t>
      </w:r>
      <w:r w:rsidRPr="00E4265B">
        <w:rPr>
          <w:rFonts w:ascii="Arial" w:hAnsi="Arial" w:cs="Arial"/>
          <w:sz w:val="22"/>
          <w:szCs w:val="22"/>
          <w:lang w:val="en-GB"/>
        </w:rPr>
        <w:t xml:space="preserve">mismatch between its inflows (assets) and outflows (liabilities) </w:t>
      </w:r>
      <w:r w:rsidR="0078487E" w:rsidRPr="00E4265B">
        <w:rPr>
          <w:rFonts w:ascii="Arial" w:hAnsi="Arial" w:cs="Arial"/>
          <w:sz w:val="22"/>
          <w:szCs w:val="22"/>
          <w:lang w:val="en-GB"/>
        </w:rPr>
        <w:t>over an eight-day time horizon</w:t>
      </w:r>
      <w:r w:rsidRPr="00E4265B">
        <w:rPr>
          <w:rFonts w:ascii="Arial" w:hAnsi="Arial" w:cs="Arial"/>
          <w:sz w:val="22"/>
          <w:szCs w:val="22"/>
          <w:lang w:val="en-GB"/>
        </w:rPr>
        <w:t>.</w:t>
      </w:r>
    </w:p>
    <w:p w14:paraId="1B3BB21C" w14:textId="68B04556" w:rsidR="00E22FF2" w:rsidRPr="00E4265B" w:rsidRDefault="00E22FF2" w:rsidP="00D72B2B">
      <w:pPr>
        <w:pStyle w:val="Heading4"/>
        <w:tabs>
          <w:tab w:val="clear" w:pos="936"/>
          <w:tab w:val="num" w:pos="900"/>
        </w:tabs>
        <w:ind w:left="1800" w:hanging="180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 Category 1 or 5 must use the </w:t>
      </w:r>
      <w:r w:rsidR="00D72B2B" w:rsidRPr="00E4265B">
        <w:rPr>
          <w:rFonts w:ascii="Arial" w:hAnsi="Arial" w:cs="Arial"/>
          <w:sz w:val="22"/>
          <w:szCs w:val="22"/>
        </w:rPr>
        <w:t xml:space="preserve">Liquidity </w:t>
      </w:r>
      <w:r w:rsidRPr="00E4265B">
        <w:rPr>
          <w:rFonts w:ascii="Arial" w:hAnsi="Arial" w:cs="Arial"/>
          <w:sz w:val="22"/>
          <w:szCs w:val="22"/>
        </w:rPr>
        <w:t xml:space="preserve">Mismatch </w:t>
      </w:r>
      <w:r w:rsidR="00D72B2B" w:rsidRPr="00E4265B">
        <w:rPr>
          <w:rFonts w:ascii="Arial" w:hAnsi="Arial" w:cs="Arial"/>
          <w:sz w:val="22"/>
          <w:szCs w:val="22"/>
        </w:rPr>
        <w:t>A</w:t>
      </w:r>
      <w:r w:rsidRPr="00E4265B">
        <w:rPr>
          <w:rFonts w:ascii="Arial" w:hAnsi="Arial" w:cs="Arial"/>
          <w:sz w:val="22"/>
          <w:szCs w:val="22"/>
        </w:rPr>
        <w:t>pproach, as set out in this Section, to measure</w:t>
      </w:r>
      <w:r w:rsidR="00D72B2B" w:rsidRPr="00E4265B">
        <w:rPr>
          <w:rFonts w:ascii="Arial" w:hAnsi="Arial" w:cs="Arial"/>
          <w:sz w:val="22"/>
          <w:szCs w:val="22"/>
        </w:rPr>
        <w:t xml:space="preserve"> its short-term</w:t>
      </w:r>
      <w:r w:rsidRPr="00E4265B">
        <w:rPr>
          <w:rFonts w:ascii="Arial" w:hAnsi="Arial" w:cs="Arial"/>
          <w:sz w:val="22"/>
          <w:szCs w:val="22"/>
        </w:rPr>
        <w:t xml:space="preserve"> liquidity.</w:t>
      </w:r>
    </w:p>
    <w:p w14:paraId="5C2C9710" w14:textId="1E037125" w:rsidR="00E22FF2" w:rsidRPr="00E4265B" w:rsidRDefault="00E22FF2" w:rsidP="00D72B2B">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When using the </w:t>
      </w:r>
      <w:r w:rsidR="00D72B2B" w:rsidRPr="00E4265B">
        <w:rPr>
          <w:rFonts w:ascii="Arial" w:hAnsi="Arial" w:cs="Arial"/>
          <w:sz w:val="22"/>
          <w:szCs w:val="22"/>
          <w:lang w:val="en-GB"/>
        </w:rPr>
        <w:t>Liquidity</w:t>
      </w:r>
      <w:r w:rsidRPr="00E4265B">
        <w:rPr>
          <w:rFonts w:ascii="Arial" w:hAnsi="Arial" w:cs="Arial"/>
          <w:sz w:val="22"/>
          <w:szCs w:val="22"/>
          <w:lang w:val="en-GB"/>
        </w:rPr>
        <w:t xml:space="preserve"> Mismatch </w:t>
      </w:r>
      <w:r w:rsidR="00D72B2B" w:rsidRPr="00E4265B">
        <w:rPr>
          <w:rFonts w:ascii="Arial" w:hAnsi="Arial" w:cs="Arial"/>
          <w:sz w:val="22"/>
          <w:szCs w:val="22"/>
          <w:lang w:val="en-GB"/>
        </w:rPr>
        <w:t>A</w:t>
      </w:r>
      <w:r w:rsidRPr="00E4265B">
        <w:rPr>
          <w:rFonts w:ascii="Arial" w:hAnsi="Arial" w:cs="Arial"/>
          <w:sz w:val="22"/>
          <w:szCs w:val="22"/>
          <w:lang w:val="en-GB"/>
        </w:rPr>
        <w:t xml:space="preserve">pproach,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determine the net cumulative </w:t>
      </w:r>
      <w:r w:rsidR="00D72B2B" w:rsidRPr="00E4265B">
        <w:rPr>
          <w:rFonts w:ascii="Arial" w:hAnsi="Arial" w:cs="Arial"/>
          <w:sz w:val="22"/>
          <w:szCs w:val="22"/>
          <w:lang w:val="en-GB"/>
        </w:rPr>
        <w:t>maturity m</w:t>
      </w:r>
      <w:r w:rsidRPr="00E4265B">
        <w:rPr>
          <w:rFonts w:ascii="Arial" w:hAnsi="Arial" w:cs="Arial"/>
          <w:sz w:val="22"/>
          <w:szCs w:val="22"/>
          <w:lang w:val="en-GB"/>
        </w:rPr>
        <w:t xml:space="preserve">ismatch position for </w:t>
      </w:r>
      <w:r w:rsidR="00D72B2B" w:rsidRPr="00E4265B">
        <w:rPr>
          <w:rFonts w:ascii="Arial" w:hAnsi="Arial" w:cs="Arial"/>
          <w:sz w:val="22"/>
          <w:szCs w:val="22"/>
          <w:lang w:val="en-GB"/>
        </w:rPr>
        <w:t>the</w:t>
      </w:r>
      <w:r w:rsidRPr="00E4265B">
        <w:rPr>
          <w:rFonts w:ascii="Arial" w:hAnsi="Arial" w:cs="Arial"/>
          <w:sz w:val="22"/>
          <w:szCs w:val="22"/>
          <w:lang w:val="en-GB"/>
        </w:rPr>
        <w:t xml:space="preserve"> time band</w:t>
      </w:r>
      <w:r w:rsidR="00D72B2B" w:rsidRPr="00E4265B">
        <w:rPr>
          <w:rFonts w:ascii="Arial" w:hAnsi="Arial" w:cs="Arial"/>
          <w:sz w:val="22"/>
          <w:szCs w:val="22"/>
          <w:lang w:val="en-GB"/>
        </w:rPr>
        <w:t xml:space="preserve"> from sight to eight days</w:t>
      </w:r>
      <w:r w:rsidRPr="00E4265B">
        <w:rPr>
          <w:rFonts w:ascii="Arial" w:hAnsi="Arial" w:cs="Arial"/>
          <w:sz w:val="22"/>
          <w:szCs w:val="22"/>
          <w:lang w:val="en-GB"/>
        </w:rPr>
        <w:t xml:space="preserve"> by:</w:t>
      </w:r>
    </w:p>
    <w:p w14:paraId="35AC382D" w14:textId="5451A74E" w:rsidR="00E22FF2" w:rsidRPr="00E4265B" w:rsidRDefault="00E22FF2" w:rsidP="00D72B2B">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determining, in accordance with the Rules in Sections A</w:t>
      </w:r>
      <w:r w:rsidR="009B0107" w:rsidRPr="00E4265B">
        <w:rPr>
          <w:rFonts w:ascii="Arial" w:hAnsi="Arial" w:cs="Arial"/>
          <w:sz w:val="22"/>
          <w:szCs w:val="22"/>
          <w:lang w:val="en-GB"/>
        </w:rPr>
        <w:t>10</w:t>
      </w:r>
      <w:r w:rsidRPr="00E4265B">
        <w:rPr>
          <w:rFonts w:ascii="Arial" w:hAnsi="Arial" w:cs="Arial"/>
          <w:sz w:val="22"/>
          <w:szCs w:val="22"/>
          <w:lang w:val="en-GB"/>
        </w:rPr>
        <w:t>.2 and A</w:t>
      </w:r>
      <w:r w:rsidR="009B0107" w:rsidRPr="00E4265B">
        <w:rPr>
          <w:rFonts w:ascii="Arial" w:hAnsi="Arial" w:cs="Arial"/>
          <w:sz w:val="22"/>
          <w:szCs w:val="22"/>
          <w:lang w:val="en-GB"/>
        </w:rPr>
        <w:t>10</w:t>
      </w:r>
      <w:r w:rsidR="00D72B2B" w:rsidRPr="00E4265B">
        <w:rPr>
          <w:rFonts w:ascii="Arial" w:hAnsi="Arial" w:cs="Arial"/>
          <w:sz w:val="22"/>
          <w:szCs w:val="22"/>
          <w:lang w:val="en-GB"/>
        </w:rPr>
        <w:t>.3</w:t>
      </w:r>
      <w:r w:rsidRPr="00E4265B">
        <w:rPr>
          <w:rFonts w:ascii="Arial" w:hAnsi="Arial" w:cs="Arial"/>
          <w:sz w:val="22"/>
          <w:szCs w:val="22"/>
          <w:lang w:val="en-GB"/>
        </w:rPr>
        <w:t xml:space="preserve">, the inflows (assets) and outflows (liabilities) </w:t>
      </w:r>
      <w:r w:rsidR="00D72B2B" w:rsidRPr="00E4265B">
        <w:rPr>
          <w:rFonts w:ascii="Arial" w:hAnsi="Arial" w:cs="Arial"/>
          <w:sz w:val="22"/>
          <w:szCs w:val="22"/>
          <w:lang w:val="en-GB"/>
        </w:rPr>
        <w:t>in that time band</w:t>
      </w:r>
      <w:r w:rsidRPr="00E4265B">
        <w:rPr>
          <w:rFonts w:ascii="Arial" w:hAnsi="Arial" w:cs="Arial"/>
          <w:sz w:val="22"/>
          <w:szCs w:val="22"/>
          <w:lang w:val="en-GB"/>
        </w:rPr>
        <w:t>;</w:t>
      </w:r>
      <w:r w:rsidR="00D72B2B" w:rsidRPr="00E4265B">
        <w:rPr>
          <w:rFonts w:ascii="Arial" w:hAnsi="Arial" w:cs="Arial"/>
          <w:sz w:val="22"/>
          <w:szCs w:val="22"/>
          <w:lang w:val="en-GB"/>
        </w:rPr>
        <w:t xml:space="preserve"> and</w:t>
      </w:r>
    </w:p>
    <w:p w14:paraId="347AB96C" w14:textId="52A2BB76" w:rsidR="00E22FF2" w:rsidRPr="00E4265B" w:rsidRDefault="00E22FF2" w:rsidP="00D72B2B">
      <w:pPr>
        <w:pStyle w:val="aList"/>
        <w:rPr>
          <w:rFonts w:ascii="Arial" w:hAnsi="Arial" w:cs="Arial"/>
          <w:sz w:val="22"/>
          <w:szCs w:val="22"/>
          <w:lang w:val="en-GB"/>
        </w:rPr>
      </w:pPr>
      <w:r w:rsidRPr="00E4265B">
        <w:rPr>
          <w:rFonts w:ascii="Arial" w:hAnsi="Arial" w:cs="Arial"/>
          <w:sz w:val="22"/>
          <w:szCs w:val="22"/>
          <w:lang w:val="en-GB"/>
        </w:rPr>
        <w:t>(</w:t>
      </w:r>
      <w:r w:rsidR="00D72B2B" w:rsidRPr="00E4265B">
        <w:rPr>
          <w:rFonts w:ascii="Arial" w:hAnsi="Arial" w:cs="Arial"/>
          <w:sz w:val="22"/>
          <w:szCs w:val="22"/>
          <w:lang w:val="en-GB"/>
        </w:rPr>
        <w:t>b</w:t>
      </w:r>
      <w:r w:rsidRPr="00E4265B">
        <w:rPr>
          <w:rFonts w:ascii="Arial" w:hAnsi="Arial" w:cs="Arial"/>
          <w:sz w:val="22"/>
          <w:szCs w:val="22"/>
          <w:lang w:val="en-GB"/>
        </w:rPr>
        <w:t>)</w:t>
      </w:r>
      <w:r w:rsidRPr="00E4265B">
        <w:rPr>
          <w:rFonts w:ascii="Arial" w:hAnsi="Arial" w:cs="Arial"/>
          <w:sz w:val="22"/>
          <w:szCs w:val="22"/>
          <w:lang w:val="en-GB"/>
        </w:rPr>
        <w:tab/>
        <w:t xml:space="preserve">subtracting outflows (liabilities) from inflows (assets) in </w:t>
      </w:r>
      <w:r w:rsidR="00D72B2B" w:rsidRPr="00E4265B">
        <w:rPr>
          <w:rFonts w:ascii="Arial" w:hAnsi="Arial" w:cs="Arial"/>
          <w:sz w:val="22"/>
          <w:szCs w:val="22"/>
          <w:lang w:val="en-GB"/>
        </w:rPr>
        <w:t>that</w:t>
      </w:r>
      <w:r w:rsidRPr="00E4265B">
        <w:rPr>
          <w:rFonts w:ascii="Arial" w:hAnsi="Arial" w:cs="Arial"/>
          <w:sz w:val="22"/>
          <w:szCs w:val="22"/>
          <w:lang w:val="en-GB"/>
        </w:rPr>
        <w:t xml:space="preserve"> time band.</w:t>
      </w:r>
    </w:p>
    <w:p w14:paraId="63283EBF" w14:textId="77777777" w:rsidR="00E22FF2" w:rsidRPr="00E4265B" w:rsidRDefault="00E22FF2" w:rsidP="00D24359">
      <w:pPr>
        <w:pStyle w:val="TitleL5"/>
        <w:rPr>
          <w:rFonts w:ascii="Arial" w:hAnsi="Arial" w:cs="Arial"/>
          <w:sz w:val="22"/>
          <w:szCs w:val="22"/>
          <w:lang w:val="en-GB"/>
        </w:rPr>
      </w:pPr>
      <w:r w:rsidRPr="00E4265B">
        <w:rPr>
          <w:rFonts w:ascii="Arial" w:hAnsi="Arial" w:cs="Arial"/>
          <w:sz w:val="22"/>
          <w:szCs w:val="22"/>
          <w:lang w:val="en-GB"/>
        </w:rPr>
        <w:lastRenderedPageBreak/>
        <w:t>Measuring liquidity for Category 1 and Category 5</w:t>
      </w:r>
    </w:p>
    <w:p w14:paraId="19FC0F6A" w14:textId="3CEB4877" w:rsidR="00E22FF2" w:rsidRPr="00E4265B" w:rsidRDefault="00E22FF2" w:rsidP="00463D38">
      <w:pPr>
        <w:pStyle w:val="Heading4"/>
        <w:tabs>
          <w:tab w:val="clear" w:pos="936"/>
          <w:tab w:val="num" w:pos="900"/>
        </w:tabs>
        <w:ind w:left="1800" w:hanging="180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 Category 1 or 5 must determine a net cumulative </w:t>
      </w:r>
      <w:r w:rsidR="00463D38" w:rsidRPr="00E4265B">
        <w:rPr>
          <w:rFonts w:ascii="Arial" w:hAnsi="Arial" w:cs="Arial"/>
          <w:sz w:val="22"/>
          <w:szCs w:val="22"/>
        </w:rPr>
        <w:t>m</w:t>
      </w:r>
      <w:r w:rsidRPr="00E4265B">
        <w:rPr>
          <w:rFonts w:ascii="Arial" w:hAnsi="Arial" w:cs="Arial"/>
          <w:sz w:val="22"/>
          <w:szCs w:val="22"/>
        </w:rPr>
        <w:t xml:space="preserve">aturity </w:t>
      </w:r>
      <w:r w:rsidR="00463D38" w:rsidRPr="00E4265B">
        <w:rPr>
          <w:rFonts w:ascii="Arial" w:hAnsi="Arial" w:cs="Arial"/>
          <w:sz w:val="22"/>
          <w:szCs w:val="22"/>
        </w:rPr>
        <w:t>m</w:t>
      </w:r>
      <w:r w:rsidRPr="00E4265B">
        <w:rPr>
          <w:rFonts w:ascii="Arial" w:hAnsi="Arial" w:cs="Arial"/>
          <w:sz w:val="22"/>
          <w:szCs w:val="22"/>
        </w:rPr>
        <w:t xml:space="preserve">ismatch position for </w:t>
      </w:r>
      <w:r w:rsidR="00463D38" w:rsidRPr="00E4265B">
        <w:rPr>
          <w:rFonts w:ascii="Arial" w:hAnsi="Arial" w:cs="Arial"/>
          <w:sz w:val="22"/>
          <w:szCs w:val="22"/>
        </w:rPr>
        <w:t>the sight-eight day</w:t>
      </w:r>
      <w:r w:rsidRPr="00E4265B">
        <w:rPr>
          <w:rFonts w:ascii="Arial" w:hAnsi="Arial" w:cs="Arial"/>
          <w:sz w:val="22"/>
          <w:szCs w:val="22"/>
        </w:rPr>
        <w:t xml:space="preserve"> time band in respect of each of the following means of funding used by the </w:t>
      </w:r>
      <w:r w:rsidR="000D1A90" w:rsidRPr="00E4265B">
        <w:rPr>
          <w:rFonts w:ascii="Arial" w:hAnsi="Arial" w:cs="Arial"/>
          <w:sz w:val="22"/>
          <w:szCs w:val="22"/>
        </w:rPr>
        <w:t>Authorised Person</w:t>
      </w:r>
      <w:r w:rsidRPr="00E4265B">
        <w:rPr>
          <w:rFonts w:ascii="Arial" w:hAnsi="Arial" w:cs="Arial"/>
          <w:sz w:val="22"/>
          <w:szCs w:val="22"/>
        </w:rPr>
        <w:t>:</w:t>
      </w:r>
    </w:p>
    <w:p w14:paraId="75E809CE" w14:textId="5A18CA2D" w:rsidR="00E22FF2" w:rsidRPr="00E4265B" w:rsidRDefault="00463D38"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PSIAu</w:t>
      </w:r>
      <w:r w:rsidR="00E22FF2" w:rsidRPr="00E4265B">
        <w:rPr>
          <w:rFonts w:ascii="Arial" w:hAnsi="Arial" w:cs="Arial"/>
          <w:sz w:val="22"/>
          <w:szCs w:val="22"/>
          <w:lang w:val="en-GB"/>
        </w:rPr>
        <w:t>s; and</w:t>
      </w:r>
    </w:p>
    <w:p w14:paraId="61CD1BCB"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w:t>
      </w:r>
    </w:p>
    <w:p w14:paraId="14B0339C" w14:textId="2E4620EB" w:rsidR="00E22FF2" w:rsidRPr="00E4265B" w:rsidRDefault="00E22FF2" w:rsidP="00463D38">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Category 1 or 5 must calculate its</w:t>
      </w:r>
      <w:r w:rsidR="00463D38" w:rsidRPr="00E4265B">
        <w:rPr>
          <w:rFonts w:ascii="Arial" w:hAnsi="Arial" w:cs="Arial"/>
          <w:sz w:val="22"/>
          <w:szCs w:val="22"/>
          <w:lang w:val="en-GB"/>
        </w:rPr>
        <w:t xml:space="preserve"> short-term</w:t>
      </w:r>
      <w:r w:rsidRPr="00E4265B">
        <w:rPr>
          <w:rFonts w:ascii="Arial" w:hAnsi="Arial" w:cs="Arial"/>
          <w:sz w:val="22"/>
          <w:szCs w:val="22"/>
          <w:lang w:val="en-GB"/>
        </w:rPr>
        <w:t xml:space="preserve"> liquidity by using the net cumulative </w:t>
      </w:r>
      <w:r w:rsidR="00463D38" w:rsidRPr="00E4265B">
        <w:rPr>
          <w:rFonts w:ascii="Arial" w:hAnsi="Arial" w:cs="Arial"/>
          <w:sz w:val="22"/>
          <w:szCs w:val="22"/>
          <w:lang w:val="en-GB"/>
        </w:rPr>
        <w:t>m</w:t>
      </w:r>
      <w:r w:rsidRPr="00E4265B">
        <w:rPr>
          <w:rFonts w:ascii="Arial" w:hAnsi="Arial" w:cs="Arial"/>
          <w:sz w:val="22"/>
          <w:szCs w:val="22"/>
          <w:lang w:val="en-GB"/>
        </w:rPr>
        <w:t xml:space="preserve">aturity </w:t>
      </w:r>
      <w:r w:rsidR="00463D38" w:rsidRPr="00E4265B">
        <w:rPr>
          <w:rFonts w:ascii="Arial" w:hAnsi="Arial" w:cs="Arial"/>
          <w:sz w:val="22"/>
          <w:szCs w:val="22"/>
          <w:lang w:val="en-GB"/>
        </w:rPr>
        <w:t>m</w:t>
      </w:r>
      <w:r w:rsidRPr="00E4265B">
        <w:rPr>
          <w:rFonts w:ascii="Arial" w:hAnsi="Arial" w:cs="Arial"/>
          <w:sz w:val="22"/>
          <w:szCs w:val="22"/>
          <w:lang w:val="en-GB"/>
        </w:rPr>
        <w:t xml:space="preserve">ismatch position separately for each means of funding used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as a percentage of the means of funding in </w:t>
      </w:r>
      <w:r w:rsidR="00463D38" w:rsidRPr="00E4265B">
        <w:rPr>
          <w:rFonts w:ascii="Arial" w:hAnsi="Arial" w:cs="Arial"/>
          <w:sz w:val="22"/>
          <w:szCs w:val="22"/>
          <w:lang w:val="en-GB"/>
        </w:rPr>
        <w:t>the sight-eight day</w:t>
      </w:r>
      <w:r w:rsidRPr="00E4265B">
        <w:rPr>
          <w:rFonts w:ascii="Arial" w:hAnsi="Arial" w:cs="Arial"/>
          <w:sz w:val="22"/>
          <w:szCs w:val="22"/>
          <w:lang w:val="en-GB"/>
        </w:rPr>
        <w:t xml:space="preserve"> time band as follows:</w:t>
      </w:r>
    </w:p>
    <w:p w14:paraId="46B89A9F" w14:textId="158B3C5C" w:rsidR="00E22FF2" w:rsidRPr="00E4265B" w:rsidRDefault="00463D38"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PSIAus net cumulative maturity m</w:t>
      </w:r>
      <w:r w:rsidR="00E22FF2" w:rsidRPr="00E4265B">
        <w:rPr>
          <w:rFonts w:ascii="Arial" w:hAnsi="Arial" w:cs="Arial"/>
          <w:sz w:val="22"/>
          <w:szCs w:val="22"/>
          <w:lang w:val="en-GB"/>
        </w:rPr>
        <w:t>ismatch % =</w:t>
      </w:r>
    </w:p>
    <w:p w14:paraId="3310B362" w14:textId="2259408B" w:rsidR="00E22FF2" w:rsidRPr="00E4265B" w:rsidRDefault="00463D38" w:rsidP="00B24E07">
      <w:pPr>
        <w:pStyle w:val="UK12Block15"/>
        <w:ind w:left="720"/>
        <w:jc w:val="center"/>
        <w:rPr>
          <w:rFonts w:ascii="Arial" w:hAnsi="Arial" w:cs="Arial"/>
          <w:sz w:val="22"/>
          <w:szCs w:val="22"/>
          <w:lang w:val="en-GB"/>
        </w:rPr>
      </w:pPr>
      <w:r w:rsidRPr="00E4265B">
        <w:rPr>
          <w:rFonts w:ascii="Arial" w:hAnsi="Arial" w:cs="Arial"/>
          <w:sz w:val="22"/>
          <w:szCs w:val="22"/>
          <w:u w:val="single" w:color="000000"/>
          <w:lang w:val="en-GB"/>
        </w:rPr>
        <w:t>Net cumulative maturity m</w:t>
      </w:r>
      <w:r w:rsidR="00E22FF2" w:rsidRPr="00E4265B">
        <w:rPr>
          <w:rFonts w:ascii="Arial" w:hAnsi="Arial" w:cs="Arial"/>
          <w:sz w:val="22"/>
          <w:szCs w:val="22"/>
          <w:u w:val="single" w:color="000000"/>
          <w:lang w:val="en-GB"/>
        </w:rPr>
        <w:t>ismatch x 100</w:t>
      </w:r>
      <w:r w:rsidR="00E22FF2" w:rsidRPr="00E4265B">
        <w:rPr>
          <w:rFonts w:ascii="Arial" w:hAnsi="Arial" w:cs="Arial"/>
          <w:sz w:val="22"/>
          <w:szCs w:val="22"/>
          <w:u w:color="000000"/>
          <w:lang w:val="en-GB"/>
        </w:rPr>
        <w:br/>
      </w:r>
      <w:r w:rsidRPr="00E4265B">
        <w:rPr>
          <w:rFonts w:ascii="Arial" w:hAnsi="Arial" w:cs="Arial"/>
          <w:sz w:val="22"/>
          <w:szCs w:val="22"/>
          <w:lang w:val="en-GB"/>
        </w:rPr>
        <w:t>Total PSIAu</w:t>
      </w:r>
      <w:r w:rsidR="00E22FF2" w:rsidRPr="00E4265B">
        <w:rPr>
          <w:rFonts w:ascii="Arial" w:hAnsi="Arial" w:cs="Arial"/>
          <w:sz w:val="22"/>
          <w:szCs w:val="22"/>
          <w:lang w:val="en-GB"/>
        </w:rPr>
        <w:t>s</w:t>
      </w:r>
    </w:p>
    <w:p w14:paraId="22BE867A" w14:textId="02B93CAD"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Total </w:t>
      </w:r>
      <w:r w:rsidR="006C764B" w:rsidRPr="00E4265B">
        <w:rPr>
          <w:rFonts w:ascii="Arial" w:hAnsi="Arial" w:cs="Arial"/>
          <w:sz w:val="22"/>
          <w:szCs w:val="22"/>
          <w:lang w:val="en-GB"/>
        </w:rPr>
        <w:t>Deposit</w:t>
      </w:r>
      <w:r w:rsidRPr="00E4265B">
        <w:rPr>
          <w:rFonts w:ascii="Arial" w:hAnsi="Arial" w:cs="Arial"/>
          <w:sz w:val="22"/>
          <w:szCs w:val="22"/>
          <w:lang w:val="en-GB"/>
        </w:rPr>
        <w:t xml:space="preserve"> liabilities net cumulative</w:t>
      </w:r>
      <w:r w:rsidR="00463D38" w:rsidRPr="00E4265B">
        <w:rPr>
          <w:rFonts w:ascii="Arial" w:hAnsi="Arial" w:cs="Arial"/>
          <w:sz w:val="22"/>
          <w:szCs w:val="22"/>
          <w:lang w:val="en-GB"/>
        </w:rPr>
        <w:t xml:space="preserve"> maturity m</w:t>
      </w:r>
      <w:r w:rsidRPr="00E4265B">
        <w:rPr>
          <w:rFonts w:ascii="Arial" w:hAnsi="Arial" w:cs="Arial"/>
          <w:sz w:val="22"/>
          <w:szCs w:val="22"/>
          <w:lang w:val="en-GB"/>
        </w:rPr>
        <w:t>ismatch % =</w:t>
      </w:r>
    </w:p>
    <w:p w14:paraId="0239C1ED" w14:textId="4B311971" w:rsidR="00E22FF2" w:rsidRPr="00E4265B" w:rsidRDefault="00463D38" w:rsidP="00B24E07">
      <w:pPr>
        <w:pStyle w:val="UK12Block15"/>
        <w:ind w:left="720"/>
        <w:jc w:val="center"/>
        <w:rPr>
          <w:rFonts w:ascii="Arial" w:hAnsi="Arial" w:cs="Arial"/>
          <w:sz w:val="22"/>
          <w:szCs w:val="22"/>
          <w:u w:color="000000"/>
          <w:lang w:val="en-GB"/>
        </w:rPr>
      </w:pPr>
      <w:r w:rsidRPr="00E4265B">
        <w:rPr>
          <w:rFonts w:ascii="Arial" w:hAnsi="Arial" w:cs="Arial"/>
          <w:sz w:val="22"/>
          <w:szCs w:val="22"/>
          <w:u w:val="single" w:color="000000"/>
          <w:lang w:val="en-GB"/>
        </w:rPr>
        <w:t>Net cumulative maturity m</w:t>
      </w:r>
      <w:r w:rsidR="00E22FF2" w:rsidRPr="00E4265B">
        <w:rPr>
          <w:rFonts w:ascii="Arial" w:hAnsi="Arial" w:cs="Arial"/>
          <w:sz w:val="22"/>
          <w:szCs w:val="22"/>
          <w:u w:val="single" w:color="000000"/>
          <w:lang w:val="en-GB"/>
        </w:rPr>
        <w:t>ismatch x 100</w:t>
      </w:r>
      <w:r w:rsidR="00E22FF2" w:rsidRPr="00E4265B">
        <w:rPr>
          <w:rFonts w:ascii="Arial" w:hAnsi="Arial" w:cs="Arial"/>
          <w:sz w:val="22"/>
          <w:szCs w:val="22"/>
          <w:u w:val="single" w:color="000000"/>
          <w:lang w:val="en-GB"/>
        </w:rPr>
        <w:br/>
      </w:r>
      <w:r w:rsidR="00E22FF2" w:rsidRPr="00E4265B">
        <w:rPr>
          <w:rFonts w:ascii="Arial" w:hAnsi="Arial" w:cs="Arial"/>
          <w:sz w:val="22"/>
          <w:szCs w:val="22"/>
          <w:u w:color="000000"/>
          <w:lang w:val="en-GB"/>
        </w:rPr>
        <w:t xml:space="preserve">Total </w:t>
      </w:r>
      <w:r w:rsidR="006C764B" w:rsidRPr="00E4265B">
        <w:rPr>
          <w:rFonts w:ascii="Arial" w:hAnsi="Arial" w:cs="Arial"/>
          <w:sz w:val="22"/>
          <w:szCs w:val="22"/>
          <w:u w:color="000000"/>
          <w:lang w:val="en-GB"/>
        </w:rPr>
        <w:t>Deposit</w:t>
      </w:r>
      <w:r w:rsidR="00A72B66" w:rsidRPr="00E4265B">
        <w:rPr>
          <w:rFonts w:ascii="Arial" w:hAnsi="Arial" w:cs="Arial"/>
          <w:sz w:val="22"/>
          <w:szCs w:val="22"/>
          <w:u w:color="000000"/>
          <w:lang w:val="en-GB"/>
        </w:rPr>
        <w:t>s</w:t>
      </w:r>
    </w:p>
    <w:p w14:paraId="1715E4E2" w14:textId="3D24234D" w:rsidR="00E22FF2" w:rsidRPr="00E4265B" w:rsidRDefault="00E22FF2" w:rsidP="00463D38">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If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exceeds </w:t>
      </w:r>
      <w:r w:rsidR="00463D38" w:rsidRPr="00E4265B">
        <w:rPr>
          <w:rFonts w:ascii="Arial" w:hAnsi="Arial" w:cs="Arial"/>
          <w:sz w:val="22"/>
          <w:szCs w:val="22"/>
          <w:lang w:val="en-GB"/>
        </w:rPr>
        <w:t>a net cumulative maturity m</w:t>
      </w:r>
      <w:r w:rsidRPr="00E4265B">
        <w:rPr>
          <w:rFonts w:ascii="Arial" w:hAnsi="Arial" w:cs="Arial"/>
          <w:sz w:val="22"/>
          <w:szCs w:val="22"/>
          <w:lang w:val="en-GB"/>
        </w:rPr>
        <w:t xml:space="preserve">ismatch limit </w:t>
      </w:r>
      <w:r w:rsidR="00463D38" w:rsidRPr="00E4265B">
        <w:rPr>
          <w:rFonts w:ascii="Arial" w:hAnsi="Arial" w:cs="Arial"/>
          <w:sz w:val="22"/>
          <w:szCs w:val="22"/>
          <w:lang w:val="en-GB"/>
        </w:rPr>
        <w:t xml:space="preserve">of -15% </w:t>
      </w:r>
      <w:r w:rsidRPr="00E4265B">
        <w:rPr>
          <w:rFonts w:ascii="Arial" w:hAnsi="Arial" w:cs="Arial"/>
          <w:sz w:val="22"/>
          <w:szCs w:val="22"/>
          <w:lang w:val="en-GB"/>
        </w:rPr>
        <w:t xml:space="preserve">in respect of any of the means of funding it must immediately inform the Regulator in writing and clearly explain what steps </w:t>
      </w:r>
      <w:r w:rsidR="00463D38" w:rsidRPr="00E4265B">
        <w:rPr>
          <w:rFonts w:ascii="Arial" w:hAnsi="Arial" w:cs="Arial"/>
          <w:sz w:val="22"/>
          <w:szCs w:val="22"/>
          <w:lang w:val="en-GB"/>
        </w:rPr>
        <w:t>it</w:t>
      </w:r>
      <w:r w:rsidRPr="00E4265B">
        <w:rPr>
          <w:rFonts w:ascii="Arial" w:hAnsi="Arial" w:cs="Arial"/>
          <w:sz w:val="22"/>
          <w:szCs w:val="22"/>
          <w:lang w:val="en-GB"/>
        </w:rPr>
        <w:t xml:space="preserve"> will take to bring its liquidity</w:t>
      </w:r>
      <w:r w:rsidR="00463D38" w:rsidRPr="00E4265B">
        <w:rPr>
          <w:rFonts w:ascii="Arial" w:hAnsi="Arial" w:cs="Arial"/>
          <w:sz w:val="22"/>
          <w:szCs w:val="22"/>
          <w:lang w:val="en-GB"/>
        </w:rPr>
        <w:t xml:space="preserve"> position back within the limit.</w:t>
      </w:r>
    </w:p>
    <w:p w14:paraId="340BBF22" w14:textId="77777777" w:rsidR="00463D38" w:rsidRPr="00E4265B" w:rsidRDefault="00463D38" w:rsidP="00463D38">
      <w:pPr>
        <w:pStyle w:val="TitleL5"/>
        <w:rPr>
          <w:rFonts w:ascii="Arial" w:hAnsi="Arial" w:cs="Arial"/>
          <w:sz w:val="22"/>
          <w:szCs w:val="22"/>
          <w:lang w:val="en-GB"/>
        </w:rPr>
      </w:pPr>
      <w:r w:rsidRPr="00E4265B">
        <w:rPr>
          <w:rFonts w:ascii="Arial" w:hAnsi="Arial" w:cs="Arial"/>
          <w:sz w:val="22"/>
          <w:szCs w:val="22"/>
          <w:lang w:val="en-GB"/>
        </w:rPr>
        <w:t>Net Stable Funding Ratio - NSFR</w:t>
      </w:r>
    </w:p>
    <w:p w14:paraId="41B044C8" w14:textId="3B40BDCE" w:rsidR="00463D38" w:rsidRPr="00E4265B" w:rsidRDefault="00463D38" w:rsidP="00463D38">
      <w:pPr>
        <w:pStyle w:val="Heading4"/>
        <w:rPr>
          <w:rFonts w:ascii="Arial" w:hAnsi="Arial" w:cs="Arial"/>
          <w:sz w:val="22"/>
          <w:szCs w:val="22"/>
        </w:rPr>
      </w:pPr>
      <w:r w:rsidRPr="00E4265B">
        <w:rPr>
          <w:rFonts w:ascii="Arial" w:hAnsi="Arial" w:cs="Arial"/>
          <w:sz w:val="22"/>
          <w:szCs w:val="22"/>
        </w:rPr>
        <w:t>An Authorised Person must maintain an NSFR of at least 100% at all times, calculated using the following formula.</w:t>
      </w:r>
    </w:p>
    <w:p w14:paraId="224B86CC" w14:textId="77777777" w:rsidR="00463D38" w:rsidRPr="00E4265B" w:rsidRDefault="00463D38" w:rsidP="00463D38">
      <w:pPr>
        <w:pStyle w:val="UK12Block05"/>
        <w:jc w:val="center"/>
        <w:rPr>
          <w:rFonts w:ascii="Arial" w:hAnsi="Arial" w:cs="Arial"/>
          <w:sz w:val="22"/>
          <w:szCs w:val="22"/>
          <w:lang w:val="en-GB"/>
        </w:rPr>
      </w:pPr>
      <w:r w:rsidRPr="00E4265B">
        <w:rPr>
          <w:rFonts w:ascii="Arial" w:hAnsi="Arial" w:cs="Arial"/>
          <w:sz w:val="22"/>
          <w:szCs w:val="22"/>
          <w:lang w:val="en-GB"/>
        </w:rPr>
        <w:t xml:space="preserve">NSFR = </w:t>
      </w:r>
      <w:r w:rsidRPr="00E4265B">
        <w:rPr>
          <w:rFonts w:ascii="Arial" w:hAnsi="Arial" w:cs="Arial"/>
          <w:sz w:val="22"/>
          <w:szCs w:val="22"/>
        </w:rPr>
        <w:t>Available Stable Funding</w:t>
      </w:r>
      <w:r w:rsidRPr="00E4265B">
        <w:rPr>
          <w:rFonts w:ascii="Arial" w:hAnsi="Arial" w:cs="Arial"/>
          <w:sz w:val="22"/>
          <w:szCs w:val="22"/>
          <w:lang w:val="en-GB"/>
        </w:rPr>
        <w:t xml:space="preserve"> / </w:t>
      </w:r>
      <w:r w:rsidRPr="00E4265B">
        <w:rPr>
          <w:rFonts w:ascii="Arial" w:hAnsi="Arial" w:cs="Arial"/>
          <w:sz w:val="22"/>
          <w:szCs w:val="22"/>
        </w:rPr>
        <w:t>Required Stable Funding</w:t>
      </w:r>
    </w:p>
    <w:p w14:paraId="467F074B" w14:textId="77777777" w:rsidR="00463D38" w:rsidRPr="00E4265B" w:rsidRDefault="00463D38" w:rsidP="00463D38">
      <w:pPr>
        <w:pStyle w:val="TitleL5"/>
        <w:rPr>
          <w:rFonts w:ascii="Arial" w:hAnsi="Arial" w:cs="Arial"/>
          <w:sz w:val="22"/>
          <w:szCs w:val="22"/>
          <w:lang w:val="en-GB"/>
        </w:rPr>
      </w:pPr>
      <w:r w:rsidRPr="00E4265B">
        <w:rPr>
          <w:rFonts w:ascii="Arial" w:hAnsi="Arial" w:cs="Arial"/>
          <w:sz w:val="22"/>
          <w:szCs w:val="22"/>
          <w:lang w:val="en-GB"/>
        </w:rPr>
        <w:t xml:space="preserve">Guidance </w:t>
      </w:r>
    </w:p>
    <w:p w14:paraId="12479128" w14:textId="7511C78E" w:rsidR="00463D38" w:rsidRPr="00E4265B" w:rsidRDefault="00463D38" w:rsidP="00DA6F03">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The NSFR complements the LCR and is designed to enable Authorised Persons to maintain a stable funding profile over a longer time horizon than that associated with the LCR. It is based on assigning factors to the liabilities and capital instruments of an Authorised Person that reflect their stability, and to the assets and off-balance sheet items of that Authorised Person that reflect their liquidity.</w:t>
      </w:r>
    </w:p>
    <w:p w14:paraId="5E9854E4" w14:textId="77777777" w:rsidR="00463D38" w:rsidRPr="00E4265B" w:rsidRDefault="00463D38" w:rsidP="00463D38">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Section A10.4 of App10 sets out how the amounts of Available Stable Funding and Required Stable Funding are to be calculated.</w:t>
      </w:r>
    </w:p>
    <w:p w14:paraId="14FD92DC" w14:textId="29686141" w:rsidR="00463D38" w:rsidRPr="00E4265B" w:rsidRDefault="00463D38" w:rsidP="00463D38">
      <w:pPr>
        <w:pStyle w:val="Heading4"/>
        <w:rPr>
          <w:rFonts w:ascii="Arial" w:hAnsi="Arial" w:cs="Arial"/>
          <w:sz w:val="22"/>
          <w:szCs w:val="22"/>
        </w:rPr>
      </w:pPr>
      <w:r w:rsidRPr="00E4265B">
        <w:rPr>
          <w:rFonts w:ascii="Arial" w:hAnsi="Arial" w:cs="Arial"/>
          <w:sz w:val="22"/>
          <w:szCs w:val="22"/>
        </w:rPr>
        <w:t>An Authorised Person must notify the Regulator immediately and confirm in writing if its NSFR falls below 100% or if it believes that is likely to happen.</w:t>
      </w:r>
    </w:p>
    <w:p w14:paraId="49043D27" w14:textId="77777777" w:rsidR="00E22FF2" w:rsidRPr="00E4265B" w:rsidRDefault="00E22FF2" w:rsidP="00A23B4A">
      <w:pPr>
        <w:rPr>
          <w:rFonts w:ascii="Arial" w:hAnsi="Arial" w:cs="Arial"/>
          <w:sz w:val="22"/>
          <w:szCs w:val="22"/>
          <w:lang w:val="en-GB"/>
        </w:rPr>
      </w:pPr>
    </w:p>
    <w:p w14:paraId="42AAD6A9" w14:textId="77777777" w:rsidR="00E22FF2" w:rsidRPr="00E4265B" w:rsidRDefault="00E22FF2">
      <w:pPr>
        <w:rPr>
          <w:rFonts w:ascii="Arial" w:hAnsi="Arial" w:cs="Arial"/>
          <w:sz w:val="22"/>
          <w:szCs w:val="22"/>
          <w:lang w:val="en-GB"/>
        </w:rPr>
      </w:pPr>
      <w:r w:rsidRPr="00E4265B">
        <w:rPr>
          <w:rFonts w:ascii="Arial" w:hAnsi="Arial" w:cs="Arial"/>
          <w:sz w:val="22"/>
          <w:szCs w:val="22"/>
          <w:lang w:val="en-GB"/>
        </w:rPr>
        <w:br w:type="page"/>
      </w:r>
    </w:p>
    <w:p w14:paraId="2EF9F4E7" w14:textId="4BB27E70" w:rsidR="00E22FF2" w:rsidRPr="00E4265B" w:rsidRDefault="00E22FF2" w:rsidP="00F903BB">
      <w:pPr>
        <w:pStyle w:val="Heading1"/>
        <w:rPr>
          <w:rFonts w:ascii="Arial" w:hAnsi="Arial" w:cs="Arial"/>
          <w:sz w:val="22"/>
          <w:szCs w:val="22"/>
          <w:lang w:val="en-GB"/>
        </w:rPr>
      </w:pPr>
      <w:bookmarkStart w:id="841" w:name="_Toc403274542"/>
      <w:bookmarkStart w:id="842" w:name="_Toc403280038"/>
      <w:bookmarkStart w:id="843" w:name="_Toc404285839"/>
      <w:bookmarkStart w:id="844" w:name="_Toc404621788"/>
      <w:bookmarkStart w:id="845" w:name="_Toc404624429"/>
      <w:bookmarkStart w:id="846" w:name="_Toc33622455"/>
      <w:bookmarkStart w:id="847" w:name="_Toc403223996"/>
      <w:bookmarkStart w:id="848" w:name="_Toc403254034"/>
      <w:bookmarkStart w:id="849" w:name="_Toc403254110"/>
      <w:bookmarkStart w:id="850" w:name="_Toc403273434"/>
      <w:bookmarkStart w:id="851" w:name="_Toc403273583"/>
      <w:r w:rsidRPr="00E4265B">
        <w:rPr>
          <w:rFonts w:ascii="Arial" w:hAnsi="Arial" w:cs="Arial"/>
          <w:sz w:val="22"/>
          <w:szCs w:val="22"/>
          <w:lang w:val="en-GB"/>
        </w:rPr>
        <w:lastRenderedPageBreak/>
        <w:t>SUPERVISORY REVIEW AND EVALUATION PROCESS</w:t>
      </w:r>
      <w:bookmarkEnd w:id="841"/>
      <w:bookmarkEnd w:id="842"/>
      <w:bookmarkEnd w:id="843"/>
      <w:bookmarkEnd w:id="844"/>
      <w:bookmarkEnd w:id="845"/>
      <w:bookmarkEnd w:id="846"/>
      <w:r w:rsidRPr="00E4265B">
        <w:rPr>
          <w:rFonts w:ascii="Arial" w:hAnsi="Arial" w:cs="Arial"/>
          <w:sz w:val="22"/>
          <w:szCs w:val="22"/>
          <w:lang w:val="en-GB"/>
        </w:rPr>
        <w:t xml:space="preserve"> </w:t>
      </w:r>
    </w:p>
    <w:p w14:paraId="4634FDC9" w14:textId="77777777" w:rsidR="00E22FF2" w:rsidRPr="00E4265B" w:rsidRDefault="00E22FF2" w:rsidP="00BA74F7">
      <w:pPr>
        <w:pStyle w:val="TitleL5"/>
        <w:rPr>
          <w:rFonts w:ascii="Arial" w:hAnsi="Arial" w:cs="Arial"/>
          <w:sz w:val="22"/>
          <w:szCs w:val="22"/>
          <w:lang w:val="en-GB"/>
        </w:rPr>
      </w:pPr>
      <w:r w:rsidRPr="00E4265B">
        <w:rPr>
          <w:rFonts w:ascii="Arial" w:hAnsi="Arial" w:cs="Arial"/>
          <w:sz w:val="22"/>
          <w:szCs w:val="22"/>
          <w:lang w:val="en-GB"/>
        </w:rPr>
        <w:t>Introduction</w:t>
      </w:r>
      <w:bookmarkEnd w:id="847"/>
      <w:bookmarkEnd w:id="848"/>
      <w:bookmarkEnd w:id="849"/>
      <w:bookmarkEnd w:id="850"/>
      <w:bookmarkEnd w:id="851"/>
    </w:p>
    <w:p w14:paraId="79F8E6E0" w14:textId="77777777" w:rsidR="00E22FF2" w:rsidRPr="00E4265B" w:rsidRDefault="00E22FF2" w:rsidP="00E8372C">
      <w:pPr>
        <w:pStyle w:val="TitleL5"/>
        <w:rPr>
          <w:rFonts w:ascii="Arial" w:hAnsi="Arial" w:cs="Arial"/>
          <w:sz w:val="22"/>
          <w:szCs w:val="22"/>
          <w:lang w:val="en-GB"/>
        </w:rPr>
      </w:pPr>
      <w:r w:rsidRPr="00E4265B">
        <w:rPr>
          <w:rFonts w:ascii="Arial" w:hAnsi="Arial" w:cs="Arial"/>
          <w:sz w:val="22"/>
          <w:szCs w:val="22"/>
          <w:lang w:val="en-GB"/>
        </w:rPr>
        <w:t>Guidance</w:t>
      </w:r>
    </w:p>
    <w:p w14:paraId="5CBE1DED" w14:textId="07E35009" w:rsidR="00E22FF2" w:rsidRPr="00E4265B" w:rsidRDefault="00E22FF2" w:rsidP="00F903BB">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This Chapter deals with the </w:t>
      </w:r>
      <w:r w:rsidR="00F903BB" w:rsidRPr="00E4265B">
        <w:rPr>
          <w:rFonts w:ascii="Arial" w:hAnsi="Arial" w:cs="Arial"/>
          <w:sz w:val="22"/>
          <w:szCs w:val="22"/>
          <w:lang w:val="en-GB"/>
        </w:rPr>
        <w:t>r</w:t>
      </w:r>
      <w:r w:rsidRPr="00E4265B">
        <w:rPr>
          <w:rFonts w:ascii="Arial" w:hAnsi="Arial" w:cs="Arial"/>
          <w:sz w:val="22"/>
          <w:szCs w:val="22"/>
          <w:lang w:val="en-GB"/>
        </w:rPr>
        <w:t xml:space="preserve">egulatory requirements arising out of the need for </w:t>
      </w:r>
      <w:r w:rsidR="000D1A90" w:rsidRPr="00E4265B">
        <w:rPr>
          <w:rFonts w:ascii="Arial" w:hAnsi="Arial" w:cs="Arial"/>
          <w:sz w:val="22"/>
          <w:szCs w:val="22"/>
          <w:lang w:val="en-GB"/>
        </w:rPr>
        <w:t>Authorised Person</w:t>
      </w:r>
      <w:r w:rsidRPr="00E4265B">
        <w:rPr>
          <w:rFonts w:ascii="Arial" w:hAnsi="Arial" w:cs="Arial"/>
          <w:sz w:val="22"/>
          <w:szCs w:val="22"/>
          <w:lang w:val="en-GB"/>
        </w:rPr>
        <w:t>s to carry out a self</w:t>
      </w:r>
      <w:r w:rsidRPr="00E4265B">
        <w:rPr>
          <w:rFonts w:ascii="Arial" w:hAnsi="Arial" w:cs="Arial"/>
          <w:sz w:val="22"/>
          <w:szCs w:val="22"/>
          <w:lang w:val="en-GB"/>
        </w:rPr>
        <w:noBreakHyphen/>
        <w:t xml:space="preserve">assessment of their risk which can be reviewed and assessed by the Regulator. This Chapter details the Rules stipulating the need to complete internal risk assessments by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in defined frequencies and the Regulator's role in reviewing the results of such assessments. In the case of </w:t>
      </w:r>
      <w:r w:rsidR="000D1A90" w:rsidRPr="00E4265B">
        <w:rPr>
          <w:rFonts w:ascii="Arial" w:hAnsi="Arial" w:cs="Arial"/>
          <w:sz w:val="22"/>
          <w:szCs w:val="22"/>
          <w:lang w:val="en-GB"/>
        </w:rPr>
        <w:t>Authorised Person</w:t>
      </w:r>
      <w:r w:rsidRPr="00E4265B">
        <w:rPr>
          <w:rFonts w:ascii="Arial" w:hAnsi="Arial" w:cs="Arial"/>
          <w:sz w:val="22"/>
          <w:szCs w:val="22"/>
          <w:lang w:val="en-GB"/>
        </w:rPr>
        <w:t>s facing financial risks, the requirements in this Ch</w:t>
      </w:r>
      <w:r w:rsidR="005D2601" w:rsidRPr="00E4265B">
        <w:rPr>
          <w:rFonts w:ascii="Arial" w:hAnsi="Arial" w:cs="Arial"/>
          <w:sz w:val="22"/>
          <w:szCs w:val="22"/>
          <w:lang w:val="en-GB"/>
        </w:rPr>
        <w:t>apter mandate completion of an Internal Capital Adequacy Assessment P</w:t>
      </w:r>
      <w:r w:rsidRPr="00E4265B">
        <w:rPr>
          <w:rFonts w:ascii="Arial" w:hAnsi="Arial" w:cs="Arial"/>
          <w:sz w:val="22"/>
          <w:szCs w:val="22"/>
          <w:lang w:val="en-GB"/>
        </w:rPr>
        <w:t>rocess. The Regulator will review the results of such internal risk assessments. This Chapter also sets out how the Regulator</w:t>
      </w:r>
      <w:r w:rsidR="00233D00" w:rsidRPr="00E4265B">
        <w:rPr>
          <w:rFonts w:ascii="Arial" w:hAnsi="Arial" w:cs="Arial"/>
          <w:sz w:val="22"/>
          <w:szCs w:val="22"/>
          <w:lang w:val="en-GB"/>
        </w:rPr>
        <w:t xml:space="preserve"> may impose an additional Capital R</w:t>
      </w:r>
      <w:r w:rsidRPr="00E4265B">
        <w:rPr>
          <w:rFonts w:ascii="Arial" w:hAnsi="Arial" w:cs="Arial"/>
          <w:sz w:val="22"/>
          <w:szCs w:val="22"/>
          <w:lang w:val="en-GB"/>
        </w:rPr>
        <w:t>equirement on a firm</w:t>
      </w:r>
      <w:r w:rsidRPr="00E4265B">
        <w:rPr>
          <w:rFonts w:ascii="Arial" w:hAnsi="Arial" w:cs="Arial"/>
          <w:sz w:val="22"/>
          <w:szCs w:val="22"/>
          <w:lang w:val="en-GB"/>
        </w:rPr>
        <w:noBreakHyphen/>
        <w:t xml:space="preserve">specific basis in addition to the minimum requirement specified in Chapter 3 of these Rules to address higher-than-normal risk. </w:t>
      </w:r>
    </w:p>
    <w:p w14:paraId="048F055D" w14:textId="5169FCB1" w:rsidR="00E22FF2" w:rsidRPr="00E4265B" w:rsidRDefault="00E22FF2" w:rsidP="00040BF7">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App1</w:t>
      </w:r>
      <w:r w:rsidR="00BA7344" w:rsidRPr="00E4265B">
        <w:rPr>
          <w:rFonts w:ascii="Arial" w:hAnsi="Arial" w:cs="Arial"/>
          <w:sz w:val="22"/>
          <w:szCs w:val="22"/>
          <w:lang w:val="en-GB"/>
        </w:rPr>
        <w:t>1</w:t>
      </w:r>
      <w:r w:rsidRPr="00E4265B">
        <w:rPr>
          <w:rFonts w:ascii="Arial" w:hAnsi="Arial" w:cs="Arial"/>
          <w:sz w:val="22"/>
          <w:szCs w:val="22"/>
          <w:lang w:val="en-GB"/>
        </w:rPr>
        <w:t> provides detailed guidance on</w:t>
      </w:r>
      <w:r w:rsidR="00F346EF" w:rsidRPr="00E4265B">
        <w:rPr>
          <w:rFonts w:ascii="Arial" w:hAnsi="Arial" w:cs="Arial"/>
          <w:sz w:val="22"/>
          <w:szCs w:val="22"/>
          <w:lang w:val="en-GB"/>
        </w:rPr>
        <w:t xml:space="preserve"> the various components of the Supervisory Review and Evaluation P</w:t>
      </w:r>
      <w:r w:rsidR="00040BF7" w:rsidRPr="00E4265B">
        <w:rPr>
          <w:rFonts w:ascii="Arial" w:hAnsi="Arial" w:cs="Arial"/>
          <w:sz w:val="22"/>
          <w:szCs w:val="22"/>
          <w:lang w:val="en-GB"/>
        </w:rPr>
        <w:t>rocess</w:t>
      </w:r>
      <w:r w:rsidR="00BA7344" w:rsidRPr="00E4265B">
        <w:rPr>
          <w:rFonts w:ascii="Arial" w:hAnsi="Arial" w:cs="Arial"/>
          <w:sz w:val="22"/>
          <w:szCs w:val="22"/>
          <w:lang w:val="en-GB"/>
        </w:rPr>
        <w:t xml:space="preserve"> </w:t>
      </w:r>
      <w:r w:rsidRPr="00E4265B">
        <w:rPr>
          <w:rFonts w:ascii="Arial" w:hAnsi="Arial" w:cs="Arial"/>
          <w:sz w:val="22"/>
          <w:szCs w:val="22"/>
          <w:lang w:val="en-GB"/>
        </w:rPr>
        <w:t>and explains the role of the different parties in completing the required processes.</w:t>
      </w:r>
    </w:p>
    <w:p w14:paraId="7DCD6259" w14:textId="77777777" w:rsidR="00E22FF2" w:rsidRPr="00E4265B" w:rsidRDefault="00E22FF2" w:rsidP="00246497">
      <w:pPr>
        <w:pStyle w:val="Heading3"/>
        <w:rPr>
          <w:rFonts w:ascii="Arial" w:hAnsi="Arial" w:cs="Arial"/>
          <w:sz w:val="22"/>
          <w:szCs w:val="22"/>
        </w:rPr>
      </w:pPr>
      <w:bookmarkStart w:id="852" w:name="_Toc403223997"/>
      <w:bookmarkStart w:id="853" w:name="_Toc403254035"/>
      <w:bookmarkStart w:id="854" w:name="_Toc403273435"/>
      <w:bookmarkStart w:id="855" w:name="_Toc403273584"/>
      <w:bookmarkStart w:id="856" w:name="_Toc403274543"/>
      <w:bookmarkStart w:id="857" w:name="_Toc403280039"/>
      <w:bookmarkStart w:id="858" w:name="_Toc404285840"/>
      <w:bookmarkStart w:id="859" w:name="_Toc404621789"/>
      <w:bookmarkStart w:id="860" w:name="_Toc404624430"/>
      <w:bookmarkStart w:id="861" w:name="_Toc33622456"/>
      <w:r w:rsidRPr="00E4265B">
        <w:rPr>
          <w:rFonts w:ascii="Arial" w:hAnsi="Arial" w:cs="Arial"/>
          <w:sz w:val="22"/>
          <w:szCs w:val="22"/>
        </w:rPr>
        <w:t>Application</w:t>
      </w:r>
      <w:bookmarkEnd w:id="852"/>
      <w:bookmarkEnd w:id="853"/>
      <w:bookmarkEnd w:id="854"/>
      <w:bookmarkEnd w:id="855"/>
      <w:bookmarkEnd w:id="856"/>
      <w:bookmarkEnd w:id="857"/>
      <w:bookmarkEnd w:id="858"/>
      <w:bookmarkEnd w:id="859"/>
      <w:bookmarkEnd w:id="860"/>
      <w:bookmarkEnd w:id="861"/>
    </w:p>
    <w:p w14:paraId="4B42FEEC"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This Chapter applies to an </w:t>
      </w:r>
      <w:r w:rsidR="000D1A90" w:rsidRPr="00E4265B">
        <w:rPr>
          <w:rFonts w:ascii="Arial" w:hAnsi="Arial" w:cs="Arial"/>
          <w:sz w:val="22"/>
          <w:szCs w:val="22"/>
        </w:rPr>
        <w:t>Authorised Person</w:t>
      </w:r>
      <w:r w:rsidRPr="00E4265B">
        <w:rPr>
          <w:rFonts w:ascii="Arial" w:hAnsi="Arial" w:cs="Arial"/>
          <w:sz w:val="22"/>
          <w:szCs w:val="22"/>
        </w:rPr>
        <w:t xml:space="preserve"> in Category 1, 2, 3A, 3B, 3C or 5 as follows:</w:t>
      </w:r>
    </w:p>
    <w:p w14:paraId="643A70A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Sections 10.1, 10.2, 10.3 and 10.5 apply only to an </w:t>
      </w:r>
      <w:r w:rsidR="000D1A90" w:rsidRPr="00E4265B">
        <w:rPr>
          <w:rFonts w:ascii="Arial" w:hAnsi="Arial" w:cs="Arial"/>
          <w:sz w:val="22"/>
          <w:szCs w:val="22"/>
        </w:rPr>
        <w:t>Authorised Person</w:t>
      </w:r>
      <w:r w:rsidRPr="00E4265B">
        <w:rPr>
          <w:rFonts w:ascii="Arial" w:hAnsi="Arial" w:cs="Arial"/>
          <w:sz w:val="22"/>
          <w:szCs w:val="22"/>
        </w:rPr>
        <w:t xml:space="preserve"> in Category 1, 2, 3A, 3B, 3C or 5; and</w:t>
      </w:r>
    </w:p>
    <w:p w14:paraId="3101D852"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 xml:space="preserve">Sections 10.4 and 10.6 apply only to an </w:t>
      </w:r>
      <w:r w:rsidR="000D1A90" w:rsidRPr="00E4265B">
        <w:rPr>
          <w:rFonts w:ascii="Arial" w:hAnsi="Arial" w:cs="Arial"/>
          <w:sz w:val="22"/>
          <w:szCs w:val="22"/>
        </w:rPr>
        <w:t>Authorised Person</w:t>
      </w:r>
      <w:r w:rsidRPr="00E4265B">
        <w:rPr>
          <w:rFonts w:ascii="Arial" w:hAnsi="Arial" w:cs="Arial"/>
          <w:sz w:val="22"/>
          <w:szCs w:val="22"/>
        </w:rPr>
        <w:t xml:space="preserve"> in Category 1, 2, 3A or 5.</w:t>
      </w:r>
    </w:p>
    <w:p w14:paraId="2ED48719"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Where an </w:t>
      </w:r>
      <w:r w:rsidR="000D1A90" w:rsidRPr="00E4265B">
        <w:rPr>
          <w:rFonts w:ascii="Arial" w:hAnsi="Arial" w:cs="Arial"/>
          <w:sz w:val="22"/>
          <w:szCs w:val="22"/>
        </w:rPr>
        <w:t>Authorised Person</w:t>
      </w:r>
      <w:r w:rsidRPr="00E4265B">
        <w:rPr>
          <w:rFonts w:ascii="Arial" w:hAnsi="Arial" w:cs="Arial"/>
          <w:sz w:val="22"/>
          <w:szCs w:val="22"/>
        </w:rPr>
        <w:t xml:space="preserve"> to which this Chapter applies is part of a Financial Group, this Chapter applies on a consolidated basis in relation to all the entities within the Financial Group.</w:t>
      </w:r>
    </w:p>
    <w:p w14:paraId="2A4FA499"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In implementing the requirements prescribed in this Chapter, an </w:t>
      </w:r>
      <w:r w:rsidR="000D1A90" w:rsidRPr="00E4265B">
        <w:rPr>
          <w:rFonts w:ascii="Arial" w:hAnsi="Arial" w:cs="Arial"/>
          <w:sz w:val="22"/>
          <w:szCs w:val="22"/>
        </w:rPr>
        <w:t>Authorised Person</w:t>
      </w:r>
      <w:r w:rsidRPr="00E4265B">
        <w:rPr>
          <w:rFonts w:ascii="Arial" w:hAnsi="Arial" w:cs="Arial"/>
          <w:sz w:val="22"/>
          <w:szCs w:val="22"/>
        </w:rPr>
        <w:t xml:space="preserve"> must give due and appropriate regard to the provisions in App1</w:t>
      </w:r>
      <w:r w:rsidR="00BA7344" w:rsidRPr="00E4265B">
        <w:rPr>
          <w:rFonts w:ascii="Arial" w:hAnsi="Arial" w:cs="Arial"/>
          <w:sz w:val="22"/>
          <w:szCs w:val="22"/>
        </w:rPr>
        <w:t>1</w:t>
      </w:r>
      <w:r w:rsidRPr="00E4265B">
        <w:rPr>
          <w:rFonts w:ascii="Arial" w:hAnsi="Arial" w:cs="Arial"/>
          <w:sz w:val="22"/>
          <w:szCs w:val="22"/>
        </w:rPr>
        <w:t>.</w:t>
      </w:r>
    </w:p>
    <w:p w14:paraId="4C6A453E" w14:textId="77777777" w:rsidR="00E22FF2" w:rsidRPr="00E4265B" w:rsidRDefault="00E22FF2" w:rsidP="00E8372C">
      <w:pPr>
        <w:pStyle w:val="TitleL5"/>
        <w:rPr>
          <w:rFonts w:ascii="Arial" w:hAnsi="Arial" w:cs="Arial"/>
          <w:sz w:val="22"/>
          <w:szCs w:val="22"/>
          <w:lang w:val="en-GB"/>
        </w:rPr>
      </w:pPr>
      <w:r w:rsidRPr="00E4265B">
        <w:rPr>
          <w:rFonts w:ascii="Arial" w:hAnsi="Arial" w:cs="Arial"/>
          <w:sz w:val="22"/>
          <w:szCs w:val="22"/>
          <w:lang w:val="en-GB"/>
        </w:rPr>
        <w:t>Guidance</w:t>
      </w:r>
    </w:p>
    <w:p w14:paraId="23EF3630" w14:textId="57FB36D4" w:rsidR="00D84350" w:rsidRPr="00E4265B" w:rsidRDefault="00E22FF2" w:rsidP="003D4C5D">
      <w:pPr>
        <w:pStyle w:val="UK12Block05"/>
        <w:rPr>
          <w:rFonts w:ascii="Arial" w:hAnsi="Arial" w:cs="Arial"/>
          <w:sz w:val="22"/>
          <w:szCs w:val="22"/>
          <w:lang w:val="en-GB"/>
        </w:rPr>
      </w:pPr>
      <w:r w:rsidRPr="00E4265B">
        <w:rPr>
          <w:rFonts w:ascii="Arial" w:hAnsi="Arial" w:cs="Arial"/>
          <w:sz w:val="22"/>
          <w:szCs w:val="22"/>
          <w:lang w:val="en-GB"/>
        </w:rPr>
        <w:t xml:space="preserve">If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part of a Financial Group which is already subject to requirements similar to those prescribed in this Chapter, the Regulator may consider a request for a waiver or modification in relation to the requirements of this Chapter.</w:t>
      </w:r>
    </w:p>
    <w:p w14:paraId="2AFEA109" w14:textId="77777777" w:rsidR="00E22FF2" w:rsidRPr="00E4265B" w:rsidRDefault="00E22FF2" w:rsidP="00246497">
      <w:pPr>
        <w:pStyle w:val="Heading3"/>
        <w:rPr>
          <w:rFonts w:ascii="Arial" w:hAnsi="Arial" w:cs="Arial"/>
          <w:sz w:val="22"/>
          <w:szCs w:val="22"/>
        </w:rPr>
      </w:pPr>
      <w:bookmarkStart w:id="862" w:name="_Toc403223998"/>
      <w:bookmarkStart w:id="863" w:name="_Toc403254036"/>
      <w:bookmarkStart w:id="864" w:name="_Toc403273436"/>
      <w:bookmarkStart w:id="865" w:name="_Toc403273585"/>
      <w:bookmarkStart w:id="866" w:name="_Toc403274544"/>
      <w:bookmarkStart w:id="867" w:name="_Toc403280040"/>
      <w:bookmarkStart w:id="868" w:name="_Toc404285841"/>
      <w:bookmarkStart w:id="869" w:name="_Toc404621790"/>
      <w:bookmarkStart w:id="870" w:name="_Toc404624431"/>
      <w:bookmarkStart w:id="871" w:name="_Toc33622457"/>
      <w:r w:rsidRPr="00E4265B">
        <w:rPr>
          <w:rFonts w:ascii="Arial" w:hAnsi="Arial" w:cs="Arial"/>
          <w:sz w:val="22"/>
          <w:szCs w:val="22"/>
        </w:rPr>
        <w:t>Overview</w:t>
      </w:r>
      <w:bookmarkEnd w:id="862"/>
      <w:bookmarkEnd w:id="863"/>
      <w:bookmarkEnd w:id="864"/>
      <w:bookmarkEnd w:id="865"/>
      <w:bookmarkEnd w:id="866"/>
      <w:bookmarkEnd w:id="867"/>
      <w:bookmarkEnd w:id="868"/>
      <w:bookmarkEnd w:id="869"/>
      <w:bookmarkEnd w:id="870"/>
      <w:bookmarkEnd w:id="871"/>
    </w:p>
    <w:p w14:paraId="0574A8B2" w14:textId="77777777" w:rsidR="00E22FF2" w:rsidRPr="00E4265B" w:rsidRDefault="00E22FF2" w:rsidP="00E8372C">
      <w:pPr>
        <w:pStyle w:val="TitleL5"/>
        <w:rPr>
          <w:rFonts w:ascii="Arial" w:hAnsi="Arial" w:cs="Arial"/>
          <w:sz w:val="22"/>
          <w:szCs w:val="22"/>
          <w:lang w:val="en-GB"/>
        </w:rPr>
      </w:pPr>
      <w:r w:rsidRPr="00E4265B">
        <w:rPr>
          <w:rFonts w:ascii="Arial" w:hAnsi="Arial" w:cs="Arial"/>
          <w:sz w:val="22"/>
          <w:szCs w:val="22"/>
          <w:lang w:val="en-GB"/>
        </w:rPr>
        <w:t>Guidance</w:t>
      </w:r>
    </w:p>
    <w:p w14:paraId="677860A5" w14:textId="77777777" w:rsidR="00E22FF2" w:rsidRPr="00E4265B" w:rsidRDefault="00E22FF2" w:rsidP="00E8372C">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These Rules are designed to implement key aspects of Pillar 2 of the revised framework of capital adequacy, commonly known as Basel III, published by the BCBS.</w:t>
      </w:r>
    </w:p>
    <w:p w14:paraId="10208BB0" w14:textId="77777777" w:rsidR="00E22FF2" w:rsidRPr="00E4265B" w:rsidRDefault="00E22FF2" w:rsidP="00E8372C">
      <w:pPr>
        <w:pStyle w:val="TitleL5"/>
        <w:rPr>
          <w:rFonts w:ascii="Arial" w:hAnsi="Arial" w:cs="Arial"/>
          <w:sz w:val="22"/>
          <w:szCs w:val="22"/>
          <w:lang w:val="en-GB"/>
        </w:rPr>
      </w:pPr>
      <w:r w:rsidRPr="00E4265B">
        <w:rPr>
          <w:rFonts w:ascii="Arial" w:hAnsi="Arial" w:cs="Arial"/>
          <w:sz w:val="22"/>
          <w:szCs w:val="22"/>
          <w:lang w:val="en-GB"/>
        </w:rPr>
        <w:lastRenderedPageBreak/>
        <w:t>Internal Risk Assessment Process (IRAP)</w:t>
      </w:r>
    </w:p>
    <w:p w14:paraId="4B9B8813" w14:textId="3CFB614E" w:rsidR="00E22FF2" w:rsidRPr="00E4265B" w:rsidRDefault="00301E62" w:rsidP="00301E62">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in Category 1, 2, 3A, 3B, 3C or 5 is required to carry out an IRAP</w:t>
      </w:r>
      <w:r w:rsidR="00F903BB" w:rsidRPr="00E4265B">
        <w:rPr>
          <w:rFonts w:ascii="Arial" w:hAnsi="Arial" w:cs="Arial"/>
          <w:sz w:val="22"/>
          <w:szCs w:val="22"/>
          <w:lang w:val="en-GB"/>
        </w:rPr>
        <w:t xml:space="preserve"> as detailed in Section 10.3, which is proportionate to the nature, size and complexity of its business activities and risk profile</w:t>
      </w:r>
      <w:r w:rsidR="00E22FF2" w:rsidRPr="00E4265B">
        <w:rPr>
          <w:rFonts w:ascii="Arial" w:hAnsi="Arial" w:cs="Arial"/>
          <w:sz w:val="22"/>
          <w:szCs w:val="22"/>
          <w:lang w:val="en-GB"/>
        </w:rPr>
        <w:t>. An IRAP is a comprehensive internal risk evaluation as detailed in Section 10.3. More detail on the establishment of an IRAP and the manner of carrying out an IRAP assessment is provided in App1</w:t>
      </w:r>
      <w:r w:rsidR="00BA7344" w:rsidRPr="00E4265B">
        <w:rPr>
          <w:rFonts w:ascii="Arial" w:hAnsi="Arial" w:cs="Arial"/>
          <w:sz w:val="22"/>
          <w:szCs w:val="22"/>
          <w:lang w:val="en-GB"/>
        </w:rPr>
        <w:t>1</w:t>
      </w:r>
      <w:r w:rsidR="00E22FF2" w:rsidRPr="00E4265B">
        <w:rPr>
          <w:rFonts w:ascii="Arial" w:hAnsi="Arial" w:cs="Arial"/>
          <w:sz w:val="22"/>
          <w:szCs w:val="22"/>
          <w:lang w:val="en-GB"/>
        </w:rPr>
        <w:t>.</w:t>
      </w:r>
    </w:p>
    <w:p w14:paraId="28C01007" w14:textId="77777777" w:rsidR="00E22FF2" w:rsidRPr="00E4265B" w:rsidRDefault="00E22FF2" w:rsidP="00E8372C">
      <w:pPr>
        <w:pStyle w:val="TitleL5"/>
        <w:rPr>
          <w:rFonts w:ascii="Arial" w:hAnsi="Arial" w:cs="Arial"/>
          <w:sz w:val="22"/>
          <w:szCs w:val="22"/>
          <w:lang w:val="en-GB"/>
        </w:rPr>
      </w:pPr>
      <w:r w:rsidRPr="00E4265B">
        <w:rPr>
          <w:rFonts w:ascii="Arial" w:hAnsi="Arial" w:cs="Arial"/>
          <w:sz w:val="22"/>
          <w:szCs w:val="22"/>
          <w:lang w:val="en-GB"/>
        </w:rPr>
        <w:t>Internal Capital Adequacy Assessment Process (ICAAP)</w:t>
      </w:r>
    </w:p>
    <w:p w14:paraId="6B33AF30" w14:textId="21A89EC9" w:rsidR="00E22FF2" w:rsidRPr="00E4265B" w:rsidRDefault="00301E62" w:rsidP="0006444A">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in Category 1, 2, 3A or 5 is also required to carry out an ICAAP as detailed in Section 10.4</w:t>
      </w:r>
      <w:r w:rsidR="00F903BB" w:rsidRPr="00E4265B">
        <w:rPr>
          <w:rFonts w:ascii="Arial" w:hAnsi="Arial" w:cs="Arial"/>
          <w:sz w:val="22"/>
          <w:szCs w:val="22"/>
          <w:lang w:val="en-GB"/>
        </w:rPr>
        <w:t>, which is proportionate to the nature, size and complexity of its business activities and risk profile</w:t>
      </w:r>
      <w:r w:rsidR="00E22FF2" w:rsidRPr="00E4265B">
        <w:rPr>
          <w:rFonts w:ascii="Arial" w:hAnsi="Arial" w:cs="Arial"/>
          <w:sz w:val="22"/>
          <w:szCs w:val="22"/>
          <w:lang w:val="en-GB"/>
        </w:rPr>
        <w:t xml:space="preserve">. This process enables such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to determine and maintain an adequate amount and quality of </w:t>
      </w:r>
      <w:r w:rsidR="0006444A" w:rsidRPr="00E4265B">
        <w:rPr>
          <w:rFonts w:ascii="Arial" w:hAnsi="Arial" w:cs="Arial"/>
          <w:sz w:val="22"/>
          <w:szCs w:val="22"/>
          <w:lang w:val="en-GB"/>
        </w:rPr>
        <w:t>C</w:t>
      </w:r>
      <w:r w:rsidR="00E22FF2" w:rsidRPr="00E4265B">
        <w:rPr>
          <w:rFonts w:ascii="Arial" w:hAnsi="Arial" w:cs="Arial"/>
          <w:sz w:val="22"/>
          <w:szCs w:val="22"/>
          <w:lang w:val="en-GB"/>
        </w:rPr>
        <w:t>apital</w:t>
      </w:r>
      <w:r w:rsidR="0006444A" w:rsidRPr="00E4265B">
        <w:rPr>
          <w:rFonts w:ascii="Arial" w:hAnsi="Arial" w:cs="Arial"/>
          <w:sz w:val="22"/>
          <w:szCs w:val="22"/>
          <w:lang w:val="en-GB"/>
        </w:rPr>
        <w:t xml:space="preserve"> Resources</w:t>
      </w:r>
      <w:r w:rsidR="00E22FF2" w:rsidRPr="00E4265B">
        <w:rPr>
          <w:rFonts w:ascii="Arial" w:hAnsi="Arial" w:cs="Arial"/>
          <w:sz w:val="22"/>
          <w:szCs w:val="22"/>
          <w:lang w:val="en-GB"/>
        </w:rPr>
        <w:t>, relative to its risk profile. More detail on the establishment of an ICAAP and the manner of carrying out an ICAAP assessment is provided in App1</w:t>
      </w:r>
      <w:r w:rsidR="00BA7344" w:rsidRPr="00E4265B">
        <w:rPr>
          <w:rFonts w:ascii="Arial" w:hAnsi="Arial" w:cs="Arial"/>
          <w:sz w:val="22"/>
          <w:szCs w:val="22"/>
          <w:lang w:val="en-GB"/>
        </w:rPr>
        <w:t>1</w:t>
      </w:r>
      <w:r w:rsidR="00E22FF2" w:rsidRPr="00E4265B">
        <w:rPr>
          <w:rFonts w:ascii="Arial" w:hAnsi="Arial" w:cs="Arial"/>
          <w:sz w:val="22"/>
          <w:szCs w:val="22"/>
          <w:lang w:val="en-GB"/>
        </w:rPr>
        <w:t>.</w:t>
      </w:r>
    </w:p>
    <w:p w14:paraId="38D4ABB1" w14:textId="77777777" w:rsidR="00E22FF2" w:rsidRPr="00E4265B" w:rsidRDefault="00E22FF2" w:rsidP="00E8372C">
      <w:pPr>
        <w:pStyle w:val="TitleL5"/>
        <w:rPr>
          <w:rFonts w:ascii="Arial" w:hAnsi="Arial" w:cs="Arial"/>
          <w:sz w:val="22"/>
          <w:szCs w:val="22"/>
          <w:lang w:val="en-GB"/>
        </w:rPr>
      </w:pPr>
      <w:r w:rsidRPr="00E4265B">
        <w:rPr>
          <w:rFonts w:ascii="Arial" w:hAnsi="Arial" w:cs="Arial"/>
          <w:sz w:val="22"/>
          <w:szCs w:val="22"/>
          <w:lang w:val="en-GB"/>
        </w:rPr>
        <w:t>Supervisory Review and Evaluation Process (SREP)</w:t>
      </w:r>
    </w:p>
    <w:p w14:paraId="51CB6477" w14:textId="66861194" w:rsidR="00E22FF2" w:rsidRPr="00E4265B" w:rsidRDefault="00301E62" w:rsidP="00301E62">
      <w:pPr>
        <w:pStyle w:val="1List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r>
      <w:r w:rsidR="00E22FF2" w:rsidRPr="00E4265B">
        <w:rPr>
          <w:rFonts w:ascii="Arial" w:hAnsi="Arial" w:cs="Arial"/>
          <w:sz w:val="22"/>
          <w:szCs w:val="22"/>
          <w:lang w:val="en-GB"/>
        </w:rPr>
        <w:t xml:space="preserve">The documented results of IRAP and ICAAP assessments are required to be submitted to the Regulator. The Regulator then applies a process known as the SREP as detailed in Section 10.5. As part of the SREP, the Regulator will evaluate the quality, completeness and consistency of the IRAP and, where applicable, the ICAAP of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to form a view on the overall risk profile of the firm and whether the capital held by the firm is sufficient to deal with the risks. More detail concerning the SREP is provided in App1</w:t>
      </w:r>
      <w:r w:rsidR="00BA7344" w:rsidRPr="00E4265B">
        <w:rPr>
          <w:rFonts w:ascii="Arial" w:hAnsi="Arial" w:cs="Arial"/>
          <w:sz w:val="22"/>
          <w:szCs w:val="22"/>
          <w:lang w:val="en-GB"/>
        </w:rPr>
        <w:t>1</w:t>
      </w:r>
      <w:r w:rsidR="00E22FF2" w:rsidRPr="00E4265B">
        <w:rPr>
          <w:rFonts w:ascii="Arial" w:hAnsi="Arial" w:cs="Arial"/>
          <w:sz w:val="22"/>
          <w:szCs w:val="22"/>
          <w:lang w:val="en-GB"/>
        </w:rPr>
        <w:t>.</w:t>
      </w:r>
    </w:p>
    <w:p w14:paraId="02DA07CB" w14:textId="405D3A73" w:rsidR="00E22FF2" w:rsidRPr="00E4265B" w:rsidRDefault="00301E62" w:rsidP="00301E62">
      <w:pPr>
        <w:pStyle w:val="1List0"/>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r>
      <w:r w:rsidR="00E22FF2" w:rsidRPr="00E4265B">
        <w:rPr>
          <w:rFonts w:ascii="Arial" w:hAnsi="Arial" w:cs="Arial"/>
          <w:sz w:val="22"/>
          <w:szCs w:val="22"/>
          <w:lang w:val="en-GB"/>
        </w:rPr>
        <w:t xml:space="preserve">Following review of the IRAP and ICAAP of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the Regulator may engage in a dialogue with the firm to evaluate the assessment of risks and where relevant, additional capital which the Regulator considers that the firm should hold resulting from the IRAP, ICAAP or SREP.</w:t>
      </w:r>
    </w:p>
    <w:p w14:paraId="0169B311" w14:textId="77777777" w:rsidR="00E22FF2" w:rsidRPr="00E4265B" w:rsidRDefault="00E22FF2" w:rsidP="00E8372C">
      <w:pPr>
        <w:pStyle w:val="TitleL5"/>
        <w:rPr>
          <w:rFonts w:ascii="Arial" w:hAnsi="Arial" w:cs="Arial"/>
          <w:sz w:val="22"/>
          <w:szCs w:val="22"/>
          <w:lang w:val="en-GB"/>
        </w:rPr>
      </w:pPr>
      <w:r w:rsidRPr="00E4265B">
        <w:rPr>
          <w:rFonts w:ascii="Arial" w:hAnsi="Arial" w:cs="Arial"/>
          <w:sz w:val="22"/>
          <w:szCs w:val="22"/>
          <w:lang w:val="en-GB"/>
        </w:rPr>
        <w:t>Individual Capital Requirement (ICR)</w:t>
      </w:r>
    </w:p>
    <w:p w14:paraId="4F074F1F" w14:textId="70728176" w:rsidR="00D84350" w:rsidRPr="00E4265B" w:rsidRDefault="00301E62" w:rsidP="00301E62">
      <w:pPr>
        <w:pStyle w:val="1List0"/>
        <w:rPr>
          <w:rFonts w:ascii="Arial" w:hAnsi="Arial" w:cs="Arial"/>
          <w:sz w:val="22"/>
          <w:szCs w:val="22"/>
          <w:lang w:val="en-GB"/>
        </w:rPr>
      </w:pPr>
      <w:r w:rsidRPr="00E4265B">
        <w:rPr>
          <w:rFonts w:ascii="Arial" w:hAnsi="Arial" w:cs="Arial"/>
          <w:sz w:val="22"/>
          <w:szCs w:val="22"/>
          <w:lang w:val="en-GB"/>
        </w:rPr>
        <w:t>6.</w:t>
      </w:r>
      <w:r w:rsidRPr="00E4265B">
        <w:rPr>
          <w:rFonts w:ascii="Arial" w:hAnsi="Arial" w:cs="Arial"/>
          <w:sz w:val="22"/>
          <w:szCs w:val="22"/>
          <w:lang w:val="en-GB"/>
        </w:rPr>
        <w:tab/>
      </w:r>
      <w:r w:rsidR="00E22FF2" w:rsidRPr="00E4265B">
        <w:rPr>
          <w:rFonts w:ascii="Arial" w:hAnsi="Arial" w:cs="Arial"/>
          <w:sz w:val="22"/>
          <w:szCs w:val="22"/>
          <w:lang w:val="en-GB"/>
        </w:rPr>
        <w:t xml:space="preserve">Upon completing the SREP, the Regulator may impose an Individual Capital Requirement on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in Category 1, 2, 3A or 5 as detailed in Section 10.6. The ICR may be imposed where the Regulator concludes that the firm should hold more capital to provide for its overall risks.</w:t>
      </w:r>
    </w:p>
    <w:p w14:paraId="66732EB9" w14:textId="77777777" w:rsidR="00E22FF2" w:rsidRPr="00E4265B" w:rsidRDefault="00E22FF2" w:rsidP="00246497">
      <w:pPr>
        <w:pStyle w:val="Heading3"/>
        <w:rPr>
          <w:rFonts w:ascii="Arial" w:hAnsi="Arial" w:cs="Arial"/>
          <w:sz w:val="22"/>
          <w:szCs w:val="22"/>
        </w:rPr>
      </w:pPr>
      <w:bookmarkStart w:id="872" w:name="_Toc403223999"/>
      <w:bookmarkStart w:id="873" w:name="_Toc403254037"/>
      <w:bookmarkStart w:id="874" w:name="_Toc403273437"/>
      <w:bookmarkStart w:id="875" w:name="_Toc403273586"/>
      <w:bookmarkStart w:id="876" w:name="_Toc403274545"/>
      <w:bookmarkStart w:id="877" w:name="_Toc403280041"/>
      <w:bookmarkStart w:id="878" w:name="_Toc404285842"/>
      <w:bookmarkStart w:id="879" w:name="_Toc404621791"/>
      <w:bookmarkStart w:id="880" w:name="_Toc404624432"/>
      <w:bookmarkStart w:id="881" w:name="_Toc33622458"/>
      <w:r w:rsidRPr="00E4265B">
        <w:rPr>
          <w:rFonts w:ascii="Arial" w:hAnsi="Arial" w:cs="Arial"/>
          <w:sz w:val="22"/>
          <w:szCs w:val="22"/>
        </w:rPr>
        <w:t>IRAP</w:t>
      </w:r>
      <w:bookmarkEnd w:id="872"/>
      <w:bookmarkEnd w:id="873"/>
      <w:bookmarkEnd w:id="874"/>
      <w:bookmarkEnd w:id="875"/>
      <w:bookmarkEnd w:id="876"/>
      <w:bookmarkEnd w:id="877"/>
      <w:bookmarkEnd w:id="878"/>
      <w:bookmarkEnd w:id="879"/>
      <w:bookmarkEnd w:id="880"/>
      <w:bookmarkEnd w:id="881"/>
    </w:p>
    <w:p w14:paraId="6BD44D77"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This Section applies to an </w:t>
      </w:r>
      <w:r w:rsidR="000D1A90" w:rsidRPr="00E4265B">
        <w:rPr>
          <w:rFonts w:ascii="Arial" w:hAnsi="Arial" w:cs="Arial"/>
          <w:sz w:val="22"/>
          <w:szCs w:val="22"/>
        </w:rPr>
        <w:t>Authorised Person</w:t>
      </w:r>
      <w:r w:rsidRPr="00E4265B">
        <w:rPr>
          <w:rFonts w:ascii="Arial" w:hAnsi="Arial" w:cs="Arial"/>
          <w:sz w:val="22"/>
          <w:szCs w:val="22"/>
        </w:rPr>
        <w:t xml:space="preserve"> in Category 1, 2, 3A, 3B, 3C or 5.</w:t>
      </w:r>
    </w:p>
    <w:p w14:paraId="4AACBB67" w14:textId="77777777" w:rsidR="00E22FF2" w:rsidRPr="00E4265B" w:rsidRDefault="00E22FF2" w:rsidP="0006444A">
      <w:pPr>
        <w:pStyle w:val="Heading4"/>
        <w:tabs>
          <w:tab w:val="clear" w:pos="936"/>
          <w:tab w:val="num" w:pos="900"/>
        </w:tabs>
        <w:ind w:left="1800" w:hanging="180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establish and maintain an IRAP which details the processes and procedures by which the firm will identify, assess, aggregate and monitor the risks faced by it.</w:t>
      </w:r>
    </w:p>
    <w:p w14:paraId="5F9E2AEB" w14:textId="77777777" w:rsidR="00E22FF2" w:rsidRPr="00E4265B" w:rsidRDefault="00E22FF2" w:rsidP="00E8372C">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firm must conduct the IRAP assessment at least annually giving due regard to the Guidance in Section A1</w:t>
      </w:r>
      <w:r w:rsidR="00BA7344" w:rsidRPr="00E4265B">
        <w:rPr>
          <w:rFonts w:ascii="Arial" w:hAnsi="Arial" w:cs="Arial"/>
          <w:sz w:val="22"/>
          <w:szCs w:val="22"/>
          <w:lang w:val="en-GB"/>
        </w:rPr>
        <w:t>1</w:t>
      </w:r>
      <w:r w:rsidRPr="00E4265B">
        <w:rPr>
          <w:rFonts w:ascii="Arial" w:hAnsi="Arial" w:cs="Arial"/>
          <w:sz w:val="22"/>
          <w:szCs w:val="22"/>
          <w:lang w:val="en-GB"/>
        </w:rPr>
        <w:t>.1 of App1</w:t>
      </w:r>
      <w:r w:rsidR="00BA7344" w:rsidRPr="00E4265B">
        <w:rPr>
          <w:rFonts w:ascii="Arial" w:hAnsi="Arial" w:cs="Arial"/>
          <w:sz w:val="22"/>
          <w:szCs w:val="22"/>
          <w:lang w:val="en-GB"/>
        </w:rPr>
        <w:t>1</w:t>
      </w:r>
      <w:r w:rsidRPr="00E4265B">
        <w:rPr>
          <w:rFonts w:ascii="Arial" w:hAnsi="Arial" w:cs="Arial"/>
          <w:sz w:val="22"/>
          <w:szCs w:val="22"/>
          <w:lang w:val="en-GB"/>
        </w:rPr>
        <w:t>.</w:t>
      </w:r>
    </w:p>
    <w:p w14:paraId="51E164AB"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The IRAP assessment conducted by the firm pursuant to (2) must be approved by its Governing Body and then submitted to the Regulator within four months from the end of the firm's financial year.</w:t>
      </w:r>
    </w:p>
    <w:p w14:paraId="4EDFD228" w14:textId="77777777" w:rsidR="00E22FF2" w:rsidRPr="00E4265B" w:rsidRDefault="00E22FF2" w:rsidP="00E8372C">
      <w:pPr>
        <w:pStyle w:val="1List"/>
        <w:rPr>
          <w:rFonts w:ascii="Arial" w:hAnsi="Arial" w:cs="Arial"/>
          <w:sz w:val="22"/>
          <w:szCs w:val="22"/>
          <w:lang w:val="en-GB"/>
        </w:rPr>
      </w:pPr>
      <w:r w:rsidRPr="00E4265B">
        <w:rPr>
          <w:rFonts w:ascii="Arial" w:hAnsi="Arial" w:cs="Arial"/>
          <w:sz w:val="22"/>
          <w:szCs w:val="22"/>
          <w:lang w:val="en-GB"/>
        </w:rPr>
        <w:lastRenderedPageBreak/>
        <w:t>(4)</w:t>
      </w:r>
      <w:r w:rsidRPr="00E4265B">
        <w:rPr>
          <w:rFonts w:ascii="Arial" w:hAnsi="Arial" w:cs="Arial"/>
          <w:sz w:val="22"/>
          <w:szCs w:val="22"/>
          <w:lang w:val="en-GB"/>
        </w:rPr>
        <w:tab/>
        <w:t>In addition to (2), the firm must conduct an IRAP assessment:</w:t>
      </w:r>
    </w:p>
    <w:p w14:paraId="7B8E20CB" w14:textId="77777777" w:rsidR="00E22FF2" w:rsidRPr="00E4265B" w:rsidRDefault="00E22FF2" w:rsidP="000C21F8">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whenever there is material change to the business, strategy, nature or scale of the activities of the firm which may have a significant impact on its risk profile or adequacy of its Capital Resources or Adjusted Capital Resources, as applicable; or</w:t>
      </w:r>
    </w:p>
    <w:p w14:paraId="168D0AE7" w14:textId="77777777" w:rsidR="00E22FF2" w:rsidRPr="00E4265B" w:rsidRDefault="00E22FF2" w:rsidP="00B40809">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as and when required by the Regulator.</w:t>
      </w:r>
    </w:p>
    <w:p w14:paraId="3BE7FCD6"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An IRAP assessment conducted by the firm pursuant to (4) must be approved by its Governing Body and then submitted to the Regulator within two months, or such other period as may be specified by the Regulator, from the date of such material change or requirement.</w:t>
      </w:r>
    </w:p>
    <w:p w14:paraId="4DDB6B11"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The results of an IRAP assessment must be documented by the </w:t>
      </w:r>
      <w:r w:rsidR="000D1A90" w:rsidRPr="00E4265B">
        <w:rPr>
          <w:rFonts w:ascii="Arial" w:hAnsi="Arial" w:cs="Arial"/>
          <w:sz w:val="22"/>
          <w:szCs w:val="22"/>
        </w:rPr>
        <w:t>Authorised Person</w:t>
      </w:r>
      <w:r w:rsidRPr="00E4265B">
        <w:rPr>
          <w:rFonts w:ascii="Arial" w:hAnsi="Arial" w:cs="Arial"/>
          <w:sz w:val="22"/>
          <w:szCs w:val="22"/>
        </w:rPr>
        <w:t xml:space="preserve"> in writing and include details of:</w:t>
      </w:r>
    </w:p>
    <w:p w14:paraId="75A75665"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risks identified;</w:t>
      </w:r>
    </w:p>
    <w:p w14:paraId="2FAA5E1F"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firm's strategies and plans to deal with those risks;</w:t>
      </w:r>
    </w:p>
    <w:p w14:paraId="35E9A7CD"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firm's assessment of the adequacy of its Capital Requirement as calculated under these Rules to address all the risks identified by its IRAP;</w:t>
      </w:r>
    </w:p>
    <w:p w14:paraId="5FD7237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details of any stress testing and scenario analysis carried out and the resultant impact on the Capital Requirement; and</w:t>
      </w:r>
    </w:p>
    <w:p w14:paraId="5B78445A"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any other relevant information, giving due regard to the Guidance in App1</w:t>
      </w:r>
      <w:r w:rsidR="00BA7344" w:rsidRPr="00E4265B">
        <w:rPr>
          <w:rFonts w:ascii="Arial" w:hAnsi="Arial" w:cs="Arial"/>
          <w:sz w:val="22"/>
          <w:szCs w:val="22"/>
        </w:rPr>
        <w:t>1</w:t>
      </w:r>
      <w:r w:rsidRPr="00E4265B">
        <w:rPr>
          <w:rFonts w:ascii="Arial" w:hAnsi="Arial" w:cs="Arial"/>
          <w:sz w:val="22"/>
          <w:szCs w:val="22"/>
        </w:rPr>
        <w:t>.</w:t>
      </w:r>
    </w:p>
    <w:p w14:paraId="2FE30C69"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retain the records of an IRAP assessment for at least six years.</w:t>
      </w:r>
    </w:p>
    <w:p w14:paraId="345FD836" w14:textId="77777777" w:rsidR="00E22FF2" w:rsidRPr="00E4265B" w:rsidRDefault="00E22FF2" w:rsidP="00246497">
      <w:pPr>
        <w:pStyle w:val="Heading3"/>
        <w:rPr>
          <w:rFonts w:ascii="Arial" w:hAnsi="Arial" w:cs="Arial"/>
          <w:sz w:val="22"/>
          <w:szCs w:val="22"/>
        </w:rPr>
      </w:pPr>
      <w:bookmarkStart w:id="882" w:name="_Toc403224000"/>
      <w:bookmarkStart w:id="883" w:name="_Toc403254038"/>
      <w:bookmarkStart w:id="884" w:name="_Toc403273438"/>
      <w:bookmarkStart w:id="885" w:name="_Toc403273587"/>
      <w:bookmarkStart w:id="886" w:name="_Toc403274546"/>
      <w:bookmarkStart w:id="887" w:name="_Toc403280042"/>
      <w:bookmarkStart w:id="888" w:name="_Toc404285843"/>
      <w:bookmarkStart w:id="889" w:name="_Toc404621792"/>
      <w:bookmarkStart w:id="890" w:name="_Toc404624433"/>
      <w:bookmarkStart w:id="891" w:name="_Toc33622459"/>
      <w:r w:rsidRPr="00E4265B">
        <w:rPr>
          <w:rFonts w:ascii="Arial" w:hAnsi="Arial" w:cs="Arial"/>
          <w:sz w:val="22"/>
          <w:szCs w:val="22"/>
        </w:rPr>
        <w:t>ICAAP</w:t>
      </w:r>
      <w:bookmarkEnd w:id="882"/>
      <w:bookmarkEnd w:id="883"/>
      <w:bookmarkEnd w:id="884"/>
      <w:bookmarkEnd w:id="885"/>
      <w:bookmarkEnd w:id="886"/>
      <w:bookmarkEnd w:id="887"/>
      <w:bookmarkEnd w:id="888"/>
      <w:bookmarkEnd w:id="889"/>
      <w:bookmarkEnd w:id="890"/>
      <w:bookmarkEnd w:id="891"/>
    </w:p>
    <w:p w14:paraId="5BF64EB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This Section applies to an </w:t>
      </w:r>
      <w:r w:rsidR="000D1A90" w:rsidRPr="00E4265B">
        <w:rPr>
          <w:rFonts w:ascii="Arial" w:hAnsi="Arial" w:cs="Arial"/>
          <w:sz w:val="22"/>
          <w:szCs w:val="22"/>
        </w:rPr>
        <w:t>Authorised Person</w:t>
      </w:r>
      <w:r w:rsidRPr="00E4265B">
        <w:rPr>
          <w:rFonts w:ascii="Arial" w:hAnsi="Arial" w:cs="Arial"/>
          <w:sz w:val="22"/>
          <w:szCs w:val="22"/>
        </w:rPr>
        <w:t xml:space="preserve"> in Category 1, 2, 3A or 5.</w:t>
      </w:r>
    </w:p>
    <w:p w14:paraId="13364D59" w14:textId="77777777" w:rsidR="00E22FF2" w:rsidRPr="00E4265B" w:rsidRDefault="00E22FF2" w:rsidP="00942BEE">
      <w:pPr>
        <w:pStyle w:val="Heading4"/>
        <w:tabs>
          <w:tab w:val="clear" w:pos="936"/>
          <w:tab w:val="num" w:pos="900"/>
        </w:tabs>
        <w:ind w:left="1800" w:hanging="180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implement and maintain an ICAAP which details the processes and procedures by which the firm will assess and maintain adequate Capital Resources in relation to the risks faced by it.</w:t>
      </w:r>
    </w:p>
    <w:p w14:paraId="25420FC6" w14:textId="77777777" w:rsidR="00E22FF2" w:rsidRPr="00E4265B" w:rsidRDefault="00E22FF2" w:rsidP="00E8372C">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firm must conduct an ICAAP assessment at least annually giving due regard to the Guidance in Section A1</w:t>
      </w:r>
      <w:r w:rsidR="00C64028" w:rsidRPr="00E4265B">
        <w:rPr>
          <w:rFonts w:ascii="Arial" w:hAnsi="Arial" w:cs="Arial"/>
          <w:sz w:val="22"/>
          <w:szCs w:val="22"/>
          <w:lang w:val="en-GB"/>
        </w:rPr>
        <w:t>1</w:t>
      </w:r>
      <w:r w:rsidRPr="00E4265B">
        <w:rPr>
          <w:rFonts w:ascii="Arial" w:hAnsi="Arial" w:cs="Arial"/>
          <w:sz w:val="22"/>
          <w:szCs w:val="22"/>
          <w:lang w:val="en-GB"/>
        </w:rPr>
        <w:t>.2 of App1</w:t>
      </w:r>
      <w:r w:rsidR="00C64028" w:rsidRPr="00E4265B">
        <w:rPr>
          <w:rFonts w:ascii="Arial" w:hAnsi="Arial" w:cs="Arial"/>
          <w:sz w:val="22"/>
          <w:szCs w:val="22"/>
          <w:lang w:val="en-GB"/>
        </w:rPr>
        <w:t>1</w:t>
      </w:r>
      <w:r w:rsidRPr="00E4265B">
        <w:rPr>
          <w:rFonts w:ascii="Arial" w:hAnsi="Arial" w:cs="Arial"/>
          <w:sz w:val="22"/>
          <w:szCs w:val="22"/>
          <w:lang w:val="en-GB"/>
        </w:rPr>
        <w:t>.</w:t>
      </w:r>
    </w:p>
    <w:p w14:paraId="7263DA7F"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The ICAAP assessment conducted by the firm pursuant to (2) must be approved by its Governing Body and then submitted to the Regulator within four months from the end of the firm's financial year.</w:t>
      </w:r>
    </w:p>
    <w:p w14:paraId="7BC2237C" w14:textId="77777777" w:rsidR="00E22FF2" w:rsidRPr="00E4265B" w:rsidRDefault="00E22FF2" w:rsidP="00E8372C">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In addition to (2), the firm must conduct an ICAAP assessment:</w:t>
      </w:r>
    </w:p>
    <w:p w14:paraId="61D834DF"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whenever there is material change to the business, strategy, nature or scale of the activities of the firm which may have a significant impact on its risk profile or adequacy of its Capital Resources or Adjusted Capital Resources, as applicable; or</w:t>
      </w:r>
    </w:p>
    <w:p w14:paraId="3E712D59" w14:textId="77777777" w:rsidR="00E22FF2" w:rsidRPr="00E4265B" w:rsidRDefault="00E22FF2" w:rsidP="00B40809">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as and when required by the Regulator.</w:t>
      </w:r>
    </w:p>
    <w:p w14:paraId="16E57D1C"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lastRenderedPageBreak/>
        <w:t>(5)</w:t>
      </w:r>
      <w:r w:rsidRPr="00E4265B">
        <w:rPr>
          <w:rFonts w:ascii="Arial" w:hAnsi="Arial" w:cs="Arial"/>
          <w:sz w:val="22"/>
          <w:szCs w:val="22"/>
          <w:lang w:val="en-GB"/>
        </w:rPr>
        <w:tab/>
        <w:t>The ICAAP assessment conducted by the firm pursuant to (4) must be approved by its Governing Body and then submitted to the Regulator within two months from the date of such material change or requirement.</w:t>
      </w:r>
    </w:p>
    <w:p w14:paraId="7CFD6379"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ensure that an ICAAP assessment is documented in writing and includes details of:</w:t>
      </w:r>
    </w:p>
    <w:p w14:paraId="1FDE2407"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calculations and models used in the determination of the level of Capital Requirements which it considers will be adequate to cover all the risks identified by its ICAAP assessment;</w:t>
      </w:r>
    </w:p>
    <w:p w14:paraId="2818D8D1"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the firm's strategies and plans to ensure availability of the level of capital determined by the ICAAP;</w:t>
      </w:r>
    </w:p>
    <w:p w14:paraId="5C428D36"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specifications of any models used in the ICAAP, including the underlying assumptions, parameters, and results of back</w:t>
      </w:r>
      <w:r w:rsidRPr="00E4265B">
        <w:rPr>
          <w:rFonts w:ascii="Arial" w:hAnsi="Arial" w:cs="Arial"/>
          <w:sz w:val="22"/>
          <w:szCs w:val="22"/>
        </w:rPr>
        <w:noBreakHyphen/>
        <w:t>testing; and</w:t>
      </w:r>
    </w:p>
    <w:p w14:paraId="00302EC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any other relevant information, giving due and appropriate regard to the Guidance in App1</w:t>
      </w:r>
      <w:r w:rsidR="00C64028" w:rsidRPr="00E4265B">
        <w:rPr>
          <w:rFonts w:ascii="Arial" w:hAnsi="Arial" w:cs="Arial"/>
          <w:sz w:val="22"/>
          <w:szCs w:val="22"/>
        </w:rPr>
        <w:t>1</w:t>
      </w:r>
      <w:r w:rsidRPr="00E4265B">
        <w:rPr>
          <w:rFonts w:ascii="Arial" w:hAnsi="Arial" w:cs="Arial"/>
          <w:sz w:val="22"/>
          <w:szCs w:val="22"/>
        </w:rPr>
        <w:t>.</w:t>
      </w:r>
    </w:p>
    <w:p w14:paraId="538054AD"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retain the records of an ICAAP assessment for at least six years.</w:t>
      </w:r>
    </w:p>
    <w:p w14:paraId="7D3D4165" w14:textId="77777777" w:rsidR="00E22FF2" w:rsidRPr="00E4265B" w:rsidRDefault="00E22FF2" w:rsidP="00246497">
      <w:pPr>
        <w:pStyle w:val="Heading3"/>
        <w:rPr>
          <w:rFonts w:ascii="Arial" w:hAnsi="Arial" w:cs="Arial"/>
          <w:sz w:val="22"/>
          <w:szCs w:val="22"/>
        </w:rPr>
      </w:pPr>
      <w:bookmarkStart w:id="892" w:name="_Toc403224001"/>
      <w:bookmarkStart w:id="893" w:name="_Toc403254039"/>
      <w:bookmarkStart w:id="894" w:name="_Toc403273439"/>
      <w:bookmarkStart w:id="895" w:name="_Toc403273588"/>
      <w:bookmarkStart w:id="896" w:name="_Toc403274547"/>
      <w:bookmarkStart w:id="897" w:name="_Toc403280043"/>
      <w:bookmarkStart w:id="898" w:name="_Toc404285844"/>
      <w:bookmarkStart w:id="899" w:name="_Toc404621793"/>
      <w:bookmarkStart w:id="900" w:name="_Toc404624434"/>
      <w:bookmarkStart w:id="901" w:name="_Toc33622460"/>
      <w:r w:rsidRPr="00E4265B">
        <w:rPr>
          <w:rFonts w:ascii="Arial" w:hAnsi="Arial" w:cs="Arial"/>
          <w:sz w:val="22"/>
          <w:szCs w:val="22"/>
        </w:rPr>
        <w:t>SREP</w:t>
      </w:r>
      <w:bookmarkEnd w:id="892"/>
      <w:bookmarkEnd w:id="893"/>
      <w:bookmarkEnd w:id="894"/>
      <w:bookmarkEnd w:id="895"/>
      <w:bookmarkEnd w:id="896"/>
      <w:bookmarkEnd w:id="897"/>
      <w:bookmarkEnd w:id="898"/>
      <w:bookmarkEnd w:id="899"/>
      <w:bookmarkEnd w:id="900"/>
      <w:bookmarkEnd w:id="901"/>
    </w:p>
    <w:p w14:paraId="3202B208" w14:textId="77777777" w:rsidR="00E22FF2" w:rsidRPr="00E4265B" w:rsidRDefault="00E22FF2" w:rsidP="000C21F8">
      <w:pPr>
        <w:pStyle w:val="TitleL5"/>
        <w:rPr>
          <w:rFonts w:ascii="Arial" w:hAnsi="Arial" w:cs="Arial"/>
          <w:sz w:val="22"/>
          <w:szCs w:val="22"/>
          <w:lang w:val="en-GB"/>
        </w:rPr>
      </w:pPr>
      <w:r w:rsidRPr="00E4265B">
        <w:rPr>
          <w:rFonts w:ascii="Arial" w:hAnsi="Arial" w:cs="Arial"/>
          <w:sz w:val="22"/>
          <w:szCs w:val="22"/>
          <w:lang w:val="en-GB"/>
        </w:rPr>
        <w:t>Guidance</w:t>
      </w:r>
    </w:p>
    <w:p w14:paraId="2C74BDF1" w14:textId="77777777" w:rsidR="00E22FF2" w:rsidRPr="00E4265B" w:rsidRDefault="00E22FF2" w:rsidP="00B40809">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The Regulator may conduct a SREP to review and evaluate the assessments carried out by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under its IRAP (relevant to firms in Categories 1, 2, 3A, 3B, 3C and 5) and ICAAP (relevant to firms in Categories 1, 2, 3A and 5). Section A1</w:t>
      </w:r>
      <w:r w:rsidR="00C64028" w:rsidRPr="00E4265B">
        <w:rPr>
          <w:rFonts w:ascii="Arial" w:hAnsi="Arial" w:cs="Arial"/>
          <w:sz w:val="22"/>
          <w:szCs w:val="22"/>
          <w:lang w:val="en-GB"/>
        </w:rPr>
        <w:t>1</w:t>
      </w:r>
      <w:r w:rsidRPr="00E4265B">
        <w:rPr>
          <w:rFonts w:ascii="Arial" w:hAnsi="Arial" w:cs="Arial"/>
          <w:sz w:val="22"/>
          <w:szCs w:val="22"/>
          <w:lang w:val="en-GB"/>
        </w:rPr>
        <w:t>.3 of App1</w:t>
      </w:r>
      <w:r w:rsidR="00C64028" w:rsidRPr="00E4265B">
        <w:rPr>
          <w:rFonts w:ascii="Arial" w:hAnsi="Arial" w:cs="Arial"/>
          <w:sz w:val="22"/>
          <w:szCs w:val="22"/>
          <w:lang w:val="en-GB"/>
        </w:rPr>
        <w:t>1</w:t>
      </w:r>
      <w:r w:rsidRPr="00E4265B">
        <w:rPr>
          <w:rFonts w:ascii="Arial" w:hAnsi="Arial" w:cs="Arial"/>
          <w:sz w:val="22"/>
          <w:szCs w:val="22"/>
          <w:lang w:val="en-GB"/>
        </w:rPr>
        <w:t> contains guidance in relation to a SREP.</w:t>
      </w:r>
    </w:p>
    <w:p w14:paraId="15A782A5" w14:textId="77777777" w:rsidR="00E22FF2" w:rsidRPr="00E4265B" w:rsidRDefault="00E22FF2" w:rsidP="00B40809">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Regulator may engage with a firm in Categories 1, 2, 3A and 5 in a dialogue where, following an SREP, the Regulator considers that it is or may be appropriate to impose an Individual Capital Requirement on the firm.</w:t>
      </w:r>
    </w:p>
    <w:p w14:paraId="564BC157" w14:textId="77777777" w:rsidR="00E22FF2" w:rsidRPr="00E4265B" w:rsidRDefault="00E22FF2" w:rsidP="00B40809">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It is important that a firm cooperates in an open and co</w:t>
      </w:r>
      <w:r w:rsidRPr="00E4265B">
        <w:rPr>
          <w:rFonts w:ascii="Arial" w:hAnsi="Arial" w:cs="Arial"/>
          <w:sz w:val="22"/>
          <w:szCs w:val="22"/>
          <w:lang w:val="en-GB"/>
        </w:rPr>
        <w:noBreakHyphen/>
        <w:t>operative manner with the Regulator in the course of its conduct of the dialogue.</w:t>
      </w:r>
    </w:p>
    <w:p w14:paraId="334518CC" w14:textId="77777777" w:rsidR="00E22FF2" w:rsidRPr="00E4265B" w:rsidRDefault="00E22FF2" w:rsidP="00246497">
      <w:pPr>
        <w:pStyle w:val="Heading3"/>
        <w:rPr>
          <w:rFonts w:ascii="Arial" w:hAnsi="Arial" w:cs="Arial"/>
          <w:sz w:val="22"/>
          <w:szCs w:val="22"/>
        </w:rPr>
      </w:pPr>
      <w:bookmarkStart w:id="902" w:name="_Toc403224002"/>
      <w:bookmarkStart w:id="903" w:name="_Toc403254040"/>
      <w:bookmarkStart w:id="904" w:name="_Toc403273440"/>
      <w:bookmarkStart w:id="905" w:name="_Toc403273589"/>
      <w:bookmarkStart w:id="906" w:name="_Toc403274548"/>
      <w:bookmarkStart w:id="907" w:name="_Toc403280044"/>
      <w:bookmarkStart w:id="908" w:name="_Toc404285845"/>
      <w:bookmarkStart w:id="909" w:name="_Toc404621794"/>
      <w:bookmarkStart w:id="910" w:name="_Toc404624435"/>
      <w:bookmarkStart w:id="911" w:name="_Toc33622461"/>
      <w:r w:rsidRPr="00E4265B">
        <w:rPr>
          <w:rFonts w:ascii="Arial" w:hAnsi="Arial" w:cs="Arial"/>
          <w:sz w:val="22"/>
          <w:szCs w:val="22"/>
        </w:rPr>
        <w:t>Imposition of an Individual Capital Requirement</w:t>
      </w:r>
      <w:bookmarkEnd w:id="902"/>
      <w:bookmarkEnd w:id="903"/>
      <w:bookmarkEnd w:id="904"/>
      <w:bookmarkEnd w:id="905"/>
      <w:bookmarkEnd w:id="906"/>
      <w:bookmarkEnd w:id="907"/>
      <w:bookmarkEnd w:id="908"/>
      <w:bookmarkEnd w:id="909"/>
      <w:bookmarkEnd w:id="910"/>
      <w:bookmarkEnd w:id="911"/>
    </w:p>
    <w:p w14:paraId="7CD51D0D" w14:textId="77777777" w:rsidR="00E22FF2" w:rsidRPr="00E4265B" w:rsidRDefault="00E22FF2" w:rsidP="0006444A">
      <w:pPr>
        <w:pStyle w:val="Heading4"/>
        <w:tabs>
          <w:tab w:val="clear" w:pos="936"/>
          <w:tab w:val="num" w:pos="900"/>
        </w:tabs>
        <w:ind w:left="1800" w:hanging="180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This Section applies to an </w:t>
      </w:r>
      <w:r w:rsidR="000D1A90" w:rsidRPr="00E4265B">
        <w:rPr>
          <w:rFonts w:ascii="Arial" w:hAnsi="Arial" w:cs="Arial"/>
          <w:sz w:val="22"/>
          <w:szCs w:val="22"/>
        </w:rPr>
        <w:t>Authorised Person</w:t>
      </w:r>
      <w:r w:rsidRPr="00E4265B">
        <w:rPr>
          <w:rFonts w:ascii="Arial" w:hAnsi="Arial" w:cs="Arial"/>
          <w:sz w:val="22"/>
          <w:szCs w:val="22"/>
        </w:rPr>
        <w:t xml:space="preserve"> in Category 1, 2, 3A or 5.</w:t>
      </w:r>
    </w:p>
    <w:p w14:paraId="16C87EDA"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Regulator may, subject to (3) and (4), at any time by written notice to an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24B71FE1"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impose an Individual Capital Requirement; or</w:t>
      </w:r>
    </w:p>
    <w:p w14:paraId="204EB46F"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vary or withdraw an Individual Capital Requirement.</w:t>
      </w:r>
    </w:p>
    <w:p w14:paraId="066CDAEC" w14:textId="2950F63A" w:rsidR="00E22FF2" w:rsidRPr="00E4265B" w:rsidRDefault="00E22FF2" w:rsidP="00F903BB">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The Regulator may act under (2) on its own initiative where the Regulator forms the view that the Capital Requirement </w:t>
      </w:r>
      <w:r w:rsidR="00F903BB" w:rsidRPr="00E4265B">
        <w:rPr>
          <w:rFonts w:ascii="Arial" w:hAnsi="Arial" w:cs="Arial"/>
          <w:sz w:val="22"/>
          <w:szCs w:val="22"/>
          <w:lang w:val="en-GB"/>
        </w:rPr>
        <w:t xml:space="preserve">of the Authorised Person </w:t>
      </w:r>
      <w:r w:rsidRPr="00E4265B">
        <w:rPr>
          <w:rFonts w:ascii="Arial" w:hAnsi="Arial" w:cs="Arial"/>
          <w:sz w:val="22"/>
          <w:szCs w:val="22"/>
          <w:lang w:val="en-GB"/>
        </w:rPr>
        <w:t>is insufficient to address adequately all its risks.</w:t>
      </w:r>
    </w:p>
    <w:p w14:paraId="191745FC" w14:textId="7312B19C" w:rsidR="00E22FF2" w:rsidRPr="00E4265B" w:rsidRDefault="00E22FF2" w:rsidP="00F903BB">
      <w:pPr>
        <w:pStyle w:val="1List"/>
        <w:rPr>
          <w:rFonts w:ascii="Arial" w:hAnsi="Arial" w:cs="Arial"/>
          <w:sz w:val="22"/>
          <w:szCs w:val="22"/>
          <w:lang w:val="en-GB"/>
        </w:rPr>
      </w:pPr>
      <w:r w:rsidRPr="00E4265B">
        <w:rPr>
          <w:rFonts w:ascii="Arial" w:hAnsi="Arial" w:cs="Arial"/>
          <w:sz w:val="22"/>
          <w:szCs w:val="22"/>
          <w:lang w:val="en-GB"/>
        </w:rPr>
        <w:lastRenderedPageBreak/>
        <w:t>(4)</w:t>
      </w:r>
      <w:r w:rsidRPr="00E4265B">
        <w:rPr>
          <w:rFonts w:ascii="Arial" w:hAnsi="Arial" w:cs="Arial"/>
          <w:sz w:val="22"/>
          <w:szCs w:val="22"/>
          <w:lang w:val="en-GB"/>
        </w:rPr>
        <w:tab/>
        <w:t xml:space="preserve">The Regulator will, </w:t>
      </w:r>
      <w:r w:rsidR="00F903BB" w:rsidRPr="00E4265B">
        <w:rPr>
          <w:rFonts w:ascii="Arial" w:hAnsi="Arial" w:cs="Arial"/>
          <w:sz w:val="22"/>
          <w:szCs w:val="22"/>
          <w:lang w:val="en-GB"/>
        </w:rPr>
        <w:t>where</w:t>
      </w:r>
      <w:r w:rsidRPr="00E4265B">
        <w:rPr>
          <w:rFonts w:ascii="Arial" w:hAnsi="Arial" w:cs="Arial"/>
          <w:sz w:val="22"/>
          <w:szCs w:val="22"/>
          <w:lang w:val="en-GB"/>
        </w:rPr>
        <w:t xml:space="preserve"> prescribing an Individual Capital Requirement, also specify in the notice the types and amounts of Capital Resources required to meet the Individual Capital Requirement.</w:t>
      </w:r>
    </w:p>
    <w:p w14:paraId="2CE49B81" w14:textId="77777777" w:rsidR="00E22FF2" w:rsidRPr="00E4265B" w:rsidRDefault="00BA3FA3" w:rsidP="00014630">
      <w:pPr>
        <w:pStyle w:val="1List"/>
        <w:rPr>
          <w:rFonts w:ascii="Arial" w:hAnsi="Arial" w:cs="Arial"/>
          <w:sz w:val="22"/>
          <w:szCs w:val="22"/>
          <w:lang w:val="en-GB"/>
        </w:rPr>
      </w:pPr>
      <w:r w:rsidRPr="00E4265B">
        <w:rPr>
          <w:rFonts w:ascii="Arial" w:hAnsi="Arial" w:cs="Arial"/>
          <w:sz w:val="22"/>
          <w:szCs w:val="22"/>
          <w:lang w:val="en-GB"/>
        </w:rPr>
        <w:t>(5</w:t>
      </w:r>
      <w:r w:rsidR="00E22FF2" w:rsidRPr="00E4265B">
        <w:rPr>
          <w:rFonts w:ascii="Arial" w:hAnsi="Arial" w:cs="Arial"/>
          <w:sz w:val="22"/>
          <w:szCs w:val="22"/>
          <w:lang w:val="en-GB"/>
        </w:rPr>
        <w:t>)</w:t>
      </w:r>
      <w:r w:rsidR="00E22FF2" w:rsidRPr="00E4265B">
        <w:rPr>
          <w:rFonts w:ascii="Arial" w:hAnsi="Arial" w:cs="Arial"/>
          <w:sz w:val="22"/>
          <w:szCs w:val="22"/>
          <w:lang w:val="en-GB"/>
        </w:rPr>
        <w:tab/>
        <w:t xml:space="preserve">If the Regulator decides to exercise its power under (2) after a </w:t>
      </w:r>
      <w:r w:rsidR="00014630" w:rsidRPr="00E4265B">
        <w:rPr>
          <w:rFonts w:ascii="Arial" w:hAnsi="Arial" w:cs="Arial"/>
          <w:sz w:val="22"/>
          <w:szCs w:val="22"/>
          <w:lang w:val="en-GB"/>
        </w:rPr>
        <w:t xml:space="preserve">Financial Services Permission </w:t>
      </w:r>
      <w:r w:rsidR="00E22FF2" w:rsidRPr="00E4265B">
        <w:rPr>
          <w:rFonts w:ascii="Arial" w:hAnsi="Arial" w:cs="Arial"/>
          <w:sz w:val="22"/>
          <w:szCs w:val="22"/>
          <w:lang w:val="en-GB"/>
        </w:rPr>
        <w:t xml:space="preserve">has been granted,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may refer the matter to the Court for review.</w:t>
      </w:r>
    </w:p>
    <w:p w14:paraId="592E7E3A" w14:textId="09886885"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have and maintain, at all times, </w:t>
      </w:r>
      <w:r w:rsidR="00F903BB" w:rsidRPr="00E4265B">
        <w:rPr>
          <w:rFonts w:ascii="Arial" w:hAnsi="Arial" w:cs="Arial"/>
          <w:sz w:val="22"/>
          <w:szCs w:val="22"/>
        </w:rPr>
        <w:t xml:space="preserve">minimum </w:t>
      </w:r>
      <w:r w:rsidRPr="00E4265B">
        <w:rPr>
          <w:rFonts w:ascii="Arial" w:hAnsi="Arial" w:cs="Arial"/>
          <w:sz w:val="22"/>
          <w:szCs w:val="22"/>
        </w:rPr>
        <w:t>Capital Resources of the types and amounts specified in the notice issued to it under Rule 10.6.1 to meet its Individual Capital Requirement.</w:t>
      </w:r>
    </w:p>
    <w:p w14:paraId="7F5C086F" w14:textId="77777777" w:rsidR="00E22FF2" w:rsidRPr="00E4265B" w:rsidRDefault="00E22FF2">
      <w:pPr>
        <w:rPr>
          <w:rFonts w:ascii="Arial" w:hAnsi="Arial" w:cs="Arial"/>
          <w:sz w:val="22"/>
          <w:szCs w:val="22"/>
          <w:lang w:val="en-GB"/>
        </w:rPr>
      </w:pPr>
      <w:r w:rsidRPr="00E4265B">
        <w:rPr>
          <w:rFonts w:ascii="Arial" w:hAnsi="Arial" w:cs="Arial"/>
          <w:sz w:val="22"/>
          <w:szCs w:val="22"/>
          <w:lang w:val="en-GB"/>
        </w:rPr>
        <w:br w:type="page"/>
      </w:r>
    </w:p>
    <w:p w14:paraId="08BC818A" w14:textId="77777777" w:rsidR="00E22FF2" w:rsidRPr="00E4265B" w:rsidRDefault="00E22FF2" w:rsidP="00E8372C">
      <w:pPr>
        <w:pStyle w:val="Heading1"/>
        <w:rPr>
          <w:rFonts w:ascii="Arial" w:hAnsi="Arial" w:cs="Arial"/>
          <w:sz w:val="22"/>
          <w:szCs w:val="22"/>
          <w:lang w:val="en-GB"/>
        </w:rPr>
      </w:pPr>
      <w:bookmarkStart w:id="912" w:name="_Toc403274549"/>
      <w:bookmarkStart w:id="913" w:name="_Toc403280045"/>
      <w:bookmarkStart w:id="914" w:name="_Toc404285846"/>
      <w:bookmarkStart w:id="915" w:name="_Toc404621795"/>
      <w:bookmarkStart w:id="916" w:name="_Toc404624436"/>
      <w:bookmarkStart w:id="917" w:name="_Toc33622462"/>
      <w:bookmarkStart w:id="918" w:name="_Toc403224003"/>
      <w:bookmarkStart w:id="919" w:name="_Toc403254041"/>
      <w:bookmarkStart w:id="920" w:name="_Toc403254111"/>
      <w:bookmarkStart w:id="921" w:name="_Toc403273441"/>
      <w:bookmarkStart w:id="922" w:name="_Toc403273590"/>
      <w:r w:rsidRPr="00E4265B">
        <w:rPr>
          <w:rFonts w:ascii="Arial" w:hAnsi="Arial" w:cs="Arial"/>
          <w:sz w:val="22"/>
          <w:szCs w:val="22"/>
          <w:lang w:val="en-GB"/>
        </w:rPr>
        <w:lastRenderedPageBreak/>
        <w:t>DISCLOSURE REQUIREMENTS</w:t>
      </w:r>
      <w:bookmarkEnd w:id="912"/>
      <w:bookmarkEnd w:id="913"/>
      <w:bookmarkEnd w:id="914"/>
      <w:bookmarkEnd w:id="915"/>
      <w:bookmarkEnd w:id="916"/>
      <w:bookmarkEnd w:id="917"/>
    </w:p>
    <w:p w14:paraId="42C23E4F" w14:textId="77777777" w:rsidR="00E22FF2" w:rsidRPr="00E4265B" w:rsidRDefault="00E22FF2" w:rsidP="00BA74F7">
      <w:pPr>
        <w:pStyle w:val="TitleL5"/>
        <w:rPr>
          <w:rFonts w:ascii="Arial" w:hAnsi="Arial" w:cs="Arial"/>
          <w:sz w:val="22"/>
          <w:szCs w:val="22"/>
          <w:lang w:val="en-GB"/>
        </w:rPr>
      </w:pPr>
      <w:r w:rsidRPr="00E4265B">
        <w:rPr>
          <w:rFonts w:ascii="Arial" w:hAnsi="Arial" w:cs="Arial"/>
          <w:sz w:val="22"/>
          <w:szCs w:val="22"/>
          <w:lang w:val="en-GB"/>
        </w:rPr>
        <w:t>Introduction</w:t>
      </w:r>
      <w:bookmarkEnd w:id="918"/>
      <w:bookmarkEnd w:id="919"/>
      <w:bookmarkEnd w:id="920"/>
      <w:bookmarkEnd w:id="921"/>
      <w:bookmarkEnd w:id="922"/>
    </w:p>
    <w:p w14:paraId="30DD38DD" w14:textId="77777777" w:rsidR="00E22FF2" w:rsidRPr="00E4265B" w:rsidRDefault="00E22FF2" w:rsidP="00E8372C">
      <w:pPr>
        <w:pStyle w:val="TitleL5"/>
        <w:rPr>
          <w:rFonts w:ascii="Arial" w:hAnsi="Arial" w:cs="Arial"/>
          <w:sz w:val="22"/>
          <w:szCs w:val="22"/>
          <w:lang w:val="en-GB"/>
        </w:rPr>
      </w:pPr>
      <w:r w:rsidRPr="00E4265B">
        <w:rPr>
          <w:rFonts w:ascii="Arial" w:hAnsi="Arial" w:cs="Arial"/>
          <w:sz w:val="22"/>
          <w:szCs w:val="22"/>
          <w:lang w:val="en-GB"/>
        </w:rPr>
        <w:t>Guidance</w:t>
      </w:r>
    </w:p>
    <w:p w14:paraId="31DB39CC" w14:textId="77777777" w:rsidR="00E22FF2" w:rsidRPr="00E4265B" w:rsidRDefault="00E22FF2" w:rsidP="00E8372C">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This Chapter specifies the disclosures required to be made by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enable mar</w:t>
      </w:r>
      <w:r w:rsidR="00322D1A" w:rsidRPr="00E4265B">
        <w:rPr>
          <w:rFonts w:ascii="Arial" w:hAnsi="Arial" w:cs="Arial"/>
          <w:sz w:val="22"/>
          <w:szCs w:val="22"/>
          <w:lang w:val="en-GB"/>
        </w:rPr>
        <w:t>ket participants and potential C</w:t>
      </w:r>
      <w:r w:rsidRPr="00E4265B">
        <w:rPr>
          <w:rFonts w:ascii="Arial" w:hAnsi="Arial" w:cs="Arial"/>
          <w:sz w:val="22"/>
          <w:szCs w:val="22"/>
          <w:lang w:val="en-GB"/>
        </w:rPr>
        <w:t>ounterparties to exercise market discipline in relation to the firm. Chapter 11 applies to banks, principal dealers and Islamic banks and specifies the disclosure requirements for such firms.</w:t>
      </w:r>
    </w:p>
    <w:p w14:paraId="424513D6" w14:textId="77777777" w:rsidR="00E22FF2" w:rsidRPr="00E4265B" w:rsidRDefault="00E22FF2" w:rsidP="00E8372C">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App1</w:t>
      </w:r>
      <w:r w:rsidR="00C64028" w:rsidRPr="00E4265B">
        <w:rPr>
          <w:rFonts w:ascii="Arial" w:hAnsi="Arial" w:cs="Arial"/>
          <w:sz w:val="22"/>
          <w:szCs w:val="22"/>
          <w:lang w:val="en-GB"/>
        </w:rPr>
        <w:t>2</w:t>
      </w:r>
      <w:r w:rsidRPr="00E4265B">
        <w:rPr>
          <w:rFonts w:ascii="Arial" w:hAnsi="Arial" w:cs="Arial"/>
          <w:sz w:val="22"/>
          <w:szCs w:val="22"/>
          <w:lang w:val="en-GB"/>
        </w:rPr>
        <w:t xml:space="preserve"> provides a detailed list of disclosure requirements for </w:t>
      </w:r>
      <w:r w:rsidR="000D1A90" w:rsidRPr="00E4265B">
        <w:rPr>
          <w:rFonts w:ascii="Arial" w:hAnsi="Arial" w:cs="Arial"/>
          <w:sz w:val="22"/>
          <w:szCs w:val="22"/>
          <w:lang w:val="en-GB"/>
        </w:rPr>
        <w:t>Authorised Person</w:t>
      </w:r>
      <w:r w:rsidRPr="00E4265B">
        <w:rPr>
          <w:rFonts w:ascii="Arial" w:hAnsi="Arial" w:cs="Arial"/>
          <w:sz w:val="22"/>
          <w:szCs w:val="22"/>
          <w:lang w:val="en-GB"/>
        </w:rPr>
        <w:t>s to which this Chapter applies.</w:t>
      </w:r>
    </w:p>
    <w:p w14:paraId="6F16D294" w14:textId="77777777" w:rsidR="00E22FF2" w:rsidRPr="00E4265B" w:rsidRDefault="00E22FF2" w:rsidP="00246497">
      <w:pPr>
        <w:pStyle w:val="Heading3"/>
        <w:rPr>
          <w:rFonts w:ascii="Arial" w:hAnsi="Arial" w:cs="Arial"/>
          <w:sz w:val="22"/>
          <w:szCs w:val="22"/>
        </w:rPr>
      </w:pPr>
      <w:bookmarkStart w:id="923" w:name="_Toc403224004"/>
      <w:bookmarkStart w:id="924" w:name="_Toc403254042"/>
      <w:bookmarkStart w:id="925" w:name="_Toc403273442"/>
      <w:bookmarkStart w:id="926" w:name="_Toc403273591"/>
      <w:bookmarkStart w:id="927" w:name="_Toc403274550"/>
      <w:bookmarkStart w:id="928" w:name="_Toc403280046"/>
      <w:bookmarkStart w:id="929" w:name="_Toc404285847"/>
      <w:bookmarkStart w:id="930" w:name="_Toc404621796"/>
      <w:bookmarkStart w:id="931" w:name="_Toc404624437"/>
      <w:bookmarkStart w:id="932" w:name="_Toc33622463"/>
      <w:r w:rsidRPr="00E4265B">
        <w:rPr>
          <w:rFonts w:ascii="Arial" w:hAnsi="Arial" w:cs="Arial"/>
          <w:sz w:val="22"/>
          <w:szCs w:val="22"/>
        </w:rPr>
        <w:t>Application and general obligation of disclosure</w:t>
      </w:r>
      <w:bookmarkEnd w:id="923"/>
      <w:bookmarkEnd w:id="924"/>
      <w:bookmarkEnd w:id="925"/>
      <w:bookmarkEnd w:id="926"/>
      <w:bookmarkEnd w:id="927"/>
      <w:bookmarkEnd w:id="928"/>
      <w:bookmarkEnd w:id="929"/>
      <w:bookmarkEnd w:id="930"/>
      <w:bookmarkEnd w:id="931"/>
      <w:bookmarkEnd w:id="932"/>
    </w:p>
    <w:p w14:paraId="59996FCD" w14:textId="77777777" w:rsidR="00E22FF2" w:rsidRPr="00E4265B" w:rsidRDefault="00E22FF2" w:rsidP="00E8372C">
      <w:pPr>
        <w:pStyle w:val="TitleL5"/>
        <w:rPr>
          <w:rFonts w:ascii="Arial" w:hAnsi="Arial" w:cs="Arial"/>
          <w:sz w:val="22"/>
          <w:szCs w:val="22"/>
          <w:lang w:val="en-GB"/>
        </w:rPr>
      </w:pPr>
      <w:r w:rsidRPr="00E4265B">
        <w:rPr>
          <w:rFonts w:ascii="Arial" w:hAnsi="Arial" w:cs="Arial"/>
          <w:sz w:val="22"/>
          <w:szCs w:val="22"/>
          <w:lang w:val="en-GB"/>
        </w:rPr>
        <w:t>Guidance</w:t>
      </w:r>
    </w:p>
    <w:p w14:paraId="6E62E502" w14:textId="77777777" w:rsidR="00E22FF2" w:rsidRPr="00E4265B" w:rsidRDefault="00E22FF2" w:rsidP="00B40809">
      <w:pPr>
        <w:pStyle w:val="UK12Block05"/>
        <w:rPr>
          <w:rFonts w:ascii="Arial" w:hAnsi="Arial" w:cs="Arial"/>
          <w:sz w:val="22"/>
          <w:szCs w:val="22"/>
          <w:lang w:val="en-GB"/>
        </w:rPr>
      </w:pPr>
      <w:r w:rsidRPr="00E4265B">
        <w:rPr>
          <w:rFonts w:ascii="Arial" w:hAnsi="Arial" w:cs="Arial"/>
          <w:sz w:val="22"/>
          <w:szCs w:val="22"/>
          <w:lang w:val="en-GB"/>
        </w:rPr>
        <w:t xml:space="preserve">The purpose of the requirements in this Chapter is to ensure that minimum public disclosures are made available to market participants to assist them in forming an opinion on the risk profile and capital adequacy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The Regulator expects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convey its actual risk profile to market participants.</w:t>
      </w:r>
    </w:p>
    <w:p w14:paraId="62F88040"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in Category 1, 2 or 5 must make the disclosures as prescribed in this Chapter.</w:t>
      </w:r>
    </w:p>
    <w:p w14:paraId="725D0145" w14:textId="77777777" w:rsidR="00E22FF2" w:rsidRPr="00E4265B" w:rsidRDefault="00E22FF2" w:rsidP="0006444A">
      <w:pPr>
        <w:pStyle w:val="Heading4"/>
        <w:tabs>
          <w:tab w:val="clear" w:pos="936"/>
          <w:tab w:val="num" w:pos="900"/>
        </w:tabs>
        <w:ind w:left="1800" w:hanging="180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which is a member of a Financial Group must, subject to (2), ensure that the disclosures specified in App1</w:t>
      </w:r>
      <w:r w:rsidR="00C64028" w:rsidRPr="00E4265B">
        <w:rPr>
          <w:rFonts w:ascii="Arial" w:hAnsi="Arial" w:cs="Arial"/>
          <w:sz w:val="22"/>
          <w:szCs w:val="22"/>
        </w:rPr>
        <w:t>2</w:t>
      </w:r>
      <w:r w:rsidRPr="00E4265B">
        <w:rPr>
          <w:rFonts w:ascii="Arial" w:hAnsi="Arial" w:cs="Arial"/>
          <w:sz w:val="22"/>
          <w:szCs w:val="22"/>
        </w:rPr>
        <w:t> are made at Financial Group level.</w:t>
      </w:r>
    </w:p>
    <w:p w14:paraId="7506B517" w14:textId="77777777" w:rsidR="00E22FF2" w:rsidRPr="00E4265B" w:rsidRDefault="00E22FF2" w:rsidP="00E8372C">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which is a Subsidiary of</w:t>
      </w:r>
    </w:p>
    <w:p w14:paraId="1D5E2B78"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 Financial Institution; or</w:t>
      </w:r>
    </w:p>
    <w:p w14:paraId="40B654AA"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another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which is in Category 1, 2 or 5; </w:t>
      </w:r>
    </w:p>
    <w:p w14:paraId="2DDACED5" w14:textId="77777777" w:rsidR="00E22FF2" w:rsidRPr="00E4265B" w:rsidRDefault="00E22FF2" w:rsidP="000C21F8">
      <w:pPr>
        <w:pStyle w:val="UK12Block10"/>
        <w:ind w:left="1800"/>
        <w:rPr>
          <w:rFonts w:ascii="Arial" w:hAnsi="Arial" w:cs="Arial"/>
          <w:sz w:val="22"/>
          <w:szCs w:val="22"/>
          <w:lang w:val="en-GB"/>
        </w:rPr>
      </w:pPr>
      <w:r w:rsidRPr="00E4265B">
        <w:rPr>
          <w:rFonts w:ascii="Arial" w:hAnsi="Arial" w:cs="Arial"/>
          <w:sz w:val="22"/>
          <w:szCs w:val="22"/>
          <w:lang w:val="en-GB"/>
        </w:rPr>
        <w:t>which is already subject to equivalent public disclosure requirements, does not need to comply with the requirements in this Chapter to the extent that it meets those equivalent public disclosure requirements.</w:t>
      </w:r>
    </w:p>
    <w:p w14:paraId="3E3D8963" w14:textId="77777777" w:rsidR="00E22FF2" w:rsidRPr="00E4265B" w:rsidRDefault="00E22FF2" w:rsidP="00246497">
      <w:pPr>
        <w:pStyle w:val="Heading3"/>
        <w:rPr>
          <w:rFonts w:ascii="Arial" w:hAnsi="Arial" w:cs="Arial"/>
          <w:sz w:val="22"/>
          <w:szCs w:val="22"/>
        </w:rPr>
      </w:pPr>
      <w:bookmarkStart w:id="933" w:name="_Toc403224005"/>
      <w:bookmarkStart w:id="934" w:name="_Toc403254043"/>
      <w:bookmarkStart w:id="935" w:name="_Toc403273443"/>
      <w:bookmarkStart w:id="936" w:name="_Toc403273592"/>
      <w:bookmarkStart w:id="937" w:name="_Toc403274551"/>
      <w:bookmarkStart w:id="938" w:name="_Toc403280047"/>
      <w:bookmarkStart w:id="939" w:name="_Toc404285848"/>
      <w:bookmarkStart w:id="940" w:name="_Toc404621797"/>
      <w:bookmarkStart w:id="941" w:name="_Toc404624438"/>
      <w:bookmarkStart w:id="942" w:name="_Toc33622464"/>
      <w:r w:rsidRPr="00E4265B">
        <w:rPr>
          <w:rFonts w:ascii="Arial" w:hAnsi="Arial" w:cs="Arial"/>
          <w:sz w:val="22"/>
          <w:szCs w:val="22"/>
        </w:rPr>
        <w:t>Disclosure policy</w:t>
      </w:r>
      <w:bookmarkEnd w:id="933"/>
      <w:bookmarkEnd w:id="934"/>
      <w:bookmarkEnd w:id="935"/>
      <w:bookmarkEnd w:id="936"/>
      <w:bookmarkEnd w:id="937"/>
      <w:bookmarkEnd w:id="938"/>
      <w:bookmarkEnd w:id="939"/>
      <w:bookmarkEnd w:id="940"/>
      <w:bookmarkEnd w:id="941"/>
      <w:bookmarkEnd w:id="942"/>
    </w:p>
    <w:p w14:paraId="59CC63CB"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implement and maintain a written disclosure policy that:</w:t>
      </w:r>
    </w:p>
    <w:p w14:paraId="111D51D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sets out the firm's approach for determining which of the disclosures set out in App1</w:t>
      </w:r>
      <w:r w:rsidR="00C64028" w:rsidRPr="00E4265B">
        <w:rPr>
          <w:rFonts w:ascii="Arial" w:hAnsi="Arial" w:cs="Arial"/>
          <w:sz w:val="22"/>
          <w:szCs w:val="22"/>
        </w:rPr>
        <w:t>2</w:t>
      </w:r>
      <w:r w:rsidRPr="00E4265B">
        <w:rPr>
          <w:rFonts w:ascii="Arial" w:hAnsi="Arial" w:cs="Arial"/>
          <w:sz w:val="22"/>
          <w:szCs w:val="22"/>
        </w:rPr>
        <w:t> it needs to make;</w:t>
      </w:r>
    </w:p>
    <w:p w14:paraId="2CDA7370"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details the processes and procedures and its internal controls in relation to such disclosure;</w:t>
      </w:r>
    </w:p>
    <w:p w14:paraId="538B5598"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details the medium for disclosure that most appropriately meets the purposes of this Chapter; and</w:t>
      </w:r>
    </w:p>
    <w:p w14:paraId="235F941E" w14:textId="77777777" w:rsidR="00E22FF2" w:rsidRPr="00E4265B" w:rsidRDefault="00E22FF2" w:rsidP="008432F8">
      <w:pPr>
        <w:pStyle w:val="Heading5"/>
        <w:rPr>
          <w:rFonts w:ascii="Arial" w:hAnsi="Arial" w:cs="Arial"/>
          <w:sz w:val="22"/>
          <w:szCs w:val="22"/>
        </w:rPr>
      </w:pPr>
      <w:r w:rsidRPr="00E4265B">
        <w:rPr>
          <w:rFonts w:ascii="Arial" w:hAnsi="Arial" w:cs="Arial"/>
          <w:sz w:val="22"/>
          <w:szCs w:val="22"/>
        </w:rPr>
        <w:t>is approved by the Governing Body of the firm.</w:t>
      </w:r>
    </w:p>
    <w:p w14:paraId="24C20BF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lastRenderedPageBreak/>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ensure that appropriate verification, whether internal or external, is performed in relation to any disclosure, and take all reasonable steps to ensure its accuracy and timeliness.</w:t>
      </w:r>
    </w:p>
    <w:p w14:paraId="43516D4D"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 xml:space="preserve">To the extent that any required disclosure is substantially similar to a disclosure required of the </w:t>
      </w:r>
      <w:r w:rsidR="000D1A90" w:rsidRPr="00E4265B">
        <w:rPr>
          <w:rFonts w:ascii="Arial" w:hAnsi="Arial" w:cs="Arial"/>
          <w:sz w:val="22"/>
          <w:szCs w:val="22"/>
        </w:rPr>
        <w:t>Authorised Person</w:t>
      </w:r>
      <w:r w:rsidRPr="00E4265B">
        <w:rPr>
          <w:rFonts w:ascii="Arial" w:hAnsi="Arial" w:cs="Arial"/>
          <w:sz w:val="22"/>
          <w:szCs w:val="22"/>
        </w:rPr>
        <w:t xml:space="preserve"> under the International Financial Reporting Standards, a disclosure under such standards must be taken to meet the requirement for disclosure under this Chapter.</w:t>
      </w:r>
    </w:p>
    <w:p w14:paraId="25DAFEC3" w14:textId="77777777" w:rsidR="00E22FF2" w:rsidRPr="00E4265B" w:rsidRDefault="00E22FF2" w:rsidP="00246497">
      <w:pPr>
        <w:pStyle w:val="Heading3"/>
        <w:rPr>
          <w:rFonts w:ascii="Arial" w:hAnsi="Arial" w:cs="Arial"/>
          <w:sz w:val="22"/>
          <w:szCs w:val="22"/>
        </w:rPr>
      </w:pPr>
      <w:bookmarkStart w:id="943" w:name="_Toc403224006"/>
      <w:bookmarkStart w:id="944" w:name="_Toc403254044"/>
      <w:bookmarkStart w:id="945" w:name="_Toc403273444"/>
      <w:bookmarkStart w:id="946" w:name="_Toc403273593"/>
      <w:bookmarkStart w:id="947" w:name="_Toc403274552"/>
      <w:bookmarkStart w:id="948" w:name="_Toc403280048"/>
      <w:bookmarkStart w:id="949" w:name="_Toc404285849"/>
      <w:bookmarkStart w:id="950" w:name="_Toc404621798"/>
      <w:bookmarkStart w:id="951" w:name="_Toc404624439"/>
      <w:bookmarkStart w:id="952" w:name="_Toc33622465"/>
      <w:r w:rsidRPr="00E4265B">
        <w:rPr>
          <w:rFonts w:ascii="Arial" w:hAnsi="Arial" w:cs="Arial"/>
          <w:sz w:val="22"/>
          <w:szCs w:val="22"/>
        </w:rPr>
        <w:t>Disclosure frequency, locations and process</w:t>
      </w:r>
      <w:bookmarkEnd w:id="943"/>
      <w:bookmarkEnd w:id="944"/>
      <w:bookmarkEnd w:id="945"/>
      <w:bookmarkEnd w:id="946"/>
      <w:bookmarkEnd w:id="947"/>
      <w:bookmarkEnd w:id="948"/>
      <w:bookmarkEnd w:id="949"/>
      <w:bookmarkEnd w:id="950"/>
      <w:bookmarkEnd w:id="951"/>
      <w:bookmarkEnd w:id="952"/>
    </w:p>
    <w:p w14:paraId="5D6C45DF" w14:textId="77777777" w:rsidR="00E22FF2" w:rsidRPr="00E4265B" w:rsidRDefault="00E22FF2" w:rsidP="0055460B">
      <w:pPr>
        <w:pStyle w:val="TitleL5"/>
        <w:rPr>
          <w:rFonts w:ascii="Arial" w:hAnsi="Arial" w:cs="Arial"/>
          <w:sz w:val="22"/>
          <w:szCs w:val="22"/>
          <w:lang w:val="en-GB"/>
        </w:rPr>
      </w:pPr>
      <w:r w:rsidRPr="00E4265B">
        <w:rPr>
          <w:rFonts w:ascii="Arial" w:hAnsi="Arial" w:cs="Arial"/>
          <w:sz w:val="22"/>
          <w:szCs w:val="22"/>
          <w:lang w:val="en-GB"/>
        </w:rPr>
        <w:t>Frequency</w:t>
      </w:r>
    </w:p>
    <w:p w14:paraId="1DC15D59" w14:textId="59B5ABFD" w:rsidR="00E22FF2" w:rsidRPr="00E4265B" w:rsidRDefault="00E22FF2" w:rsidP="00B24E07">
      <w:pPr>
        <w:pStyle w:val="Heading4"/>
        <w:tabs>
          <w:tab w:val="clear" w:pos="936"/>
          <w:tab w:val="num" w:pos="900"/>
        </w:tabs>
        <w:ind w:left="1800" w:hanging="180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The disclosures set out in this Chapter must be made by the </w:t>
      </w:r>
      <w:r w:rsidR="000D1A90" w:rsidRPr="00E4265B">
        <w:rPr>
          <w:rFonts w:ascii="Arial" w:hAnsi="Arial" w:cs="Arial"/>
          <w:sz w:val="22"/>
          <w:szCs w:val="22"/>
        </w:rPr>
        <w:t>Authorised Person</w:t>
      </w:r>
      <w:r w:rsidRPr="00E4265B">
        <w:rPr>
          <w:rFonts w:ascii="Arial" w:hAnsi="Arial" w:cs="Arial"/>
          <w:sz w:val="22"/>
          <w:szCs w:val="22"/>
        </w:rPr>
        <w:t xml:space="preserve"> at least once a year, other than disclosures of CET1 Capital, T1 Capital and T2 Capital</w:t>
      </w:r>
      <w:r w:rsidR="00C64028" w:rsidRPr="00E4265B">
        <w:rPr>
          <w:rFonts w:ascii="Arial" w:hAnsi="Arial" w:cs="Arial"/>
          <w:sz w:val="22"/>
          <w:szCs w:val="22"/>
        </w:rPr>
        <w:t>,</w:t>
      </w:r>
      <w:r w:rsidRPr="00E4265B">
        <w:rPr>
          <w:rFonts w:ascii="Arial" w:hAnsi="Arial" w:cs="Arial"/>
          <w:sz w:val="22"/>
          <w:szCs w:val="22"/>
        </w:rPr>
        <w:t xml:space="preserve"> deductions from Capital Resources</w:t>
      </w:r>
      <w:r w:rsidR="00CB6FAB" w:rsidRPr="00E4265B">
        <w:rPr>
          <w:rFonts w:ascii="Arial" w:hAnsi="Arial" w:cs="Arial"/>
          <w:sz w:val="22"/>
          <w:szCs w:val="22"/>
        </w:rPr>
        <w:t>,</w:t>
      </w:r>
      <w:r w:rsidRPr="00E4265B">
        <w:rPr>
          <w:rFonts w:ascii="Arial" w:hAnsi="Arial" w:cs="Arial"/>
          <w:sz w:val="22"/>
          <w:szCs w:val="22"/>
        </w:rPr>
        <w:t xml:space="preserve"> </w:t>
      </w:r>
      <w:r w:rsidR="00C64028" w:rsidRPr="00E4265B">
        <w:rPr>
          <w:rFonts w:ascii="Arial" w:hAnsi="Arial" w:cs="Arial"/>
          <w:sz w:val="22"/>
          <w:szCs w:val="22"/>
        </w:rPr>
        <w:t xml:space="preserve">the Leverage Ratio </w:t>
      </w:r>
      <w:r w:rsidR="00CB6FAB" w:rsidRPr="00E4265B">
        <w:rPr>
          <w:rFonts w:ascii="Arial" w:hAnsi="Arial" w:cs="Arial"/>
          <w:sz w:val="22"/>
          <w:szCs w:val="22"/>
        </w:rPr>
        <w:t xml:space="preserve">and its components (the capital measure and the exposure measure), and the Liquidity Coverage Ratio and its components </w:t>
      </w:r>
      <w:r w:rsidRPr="00E4265B">
        <w:rPr>
          <w:rFonts w:ascii="Arial" w:hAnsi="Arial" w:cs="Arial"/>
          <w:sz w:val="22"/>
          <w:szCs w:val="22"/>
        </w:rPr>
        <w:t>which must be made on a quarterly basis.</w:t>
      </w:r>
    </w:p>
    <w:p w14:paraId="1E26D0F0" w14:textId="77777777" w:rsidR="00E22FF2" w:rsidRPr="00E4265B" w:rsidRDefault="00E22FF2" w:rsidP="0055460B">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Reporting deadlines must be in accordance with quarterly and annual reporting obligations contained in these Rules.</w:t>
      </w:r>
    </w:p>
    <w:p w14:paraId="522A441A" w14:textId="77777777" w:rsidR="00E22FF2" w:rsidRPr="00E4265B" w:rsidRDefault="00E22FF2" w:rsidP="0055460B">
      <w:pPr>
        <w:pStyle w:val="TitleL5"/>
        <w:rPr>
          <w:rFonts w:ascii="Arial" w:hAnsi="Arial" w:cs="Arial"/>
          <w:sz w:val="22"/>
          <w:szCs w:val="22"/>
          <w:lang w:val="en-GB"/>
        </w:rPr>
      </w:pPr>
      <w:r w:rsidRPr="00E4265B">
        <w:rPr>
          <w:rFonts w:ascii="Arial" w:hAnsi="Arial" w:cs="Arial"/>
          <w:sz w:val="22"/>
          <w:szCs w:val="22"/>
          <w:lang w:val="en-GB"/>
        </w:rPr>
        <w:t>Locations</w:t>
      </w:r>
    </w:p>
    <w:p w14:paraId="3A838D23" w14:textId="77777777" w:rsidR="00E22FF2" w:rsidRPr="00E4265B" w:rsidRDefault="00E22FF2" w:rsidP="0006444A">
      <w:pPr>
        <w:pStyle w:val="Heading4"/>
        <w:tabs>
          <w:tab w:val="clear" w:pos="936"/>
          <w:tab w:val="num" w:pos="900"/>
        </w:tabs>
        <w:ind w:left="1800" w:hanging="1800"/>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must, subject to (2), make these disclosures either in its annual report or periodic financial statements.</w:t>
      </w:r>
    </w:p>
    <w:p w14:paraId="63CA3C92" w14:textId="77777777" w:rsidR="00E22FF2" w:rsidRPr="00E4265B" w:rsidRDefault="00E22FF2" w:rsidP="0055460B">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disclose the items marked as quantitative in App1</w:t>
      </w:r>
      <w:r w:rsidR="00C64028" w:rsidRPr="00E4265B">
        <w:rPr>
          <w:rFonts w:ascii="Arial" w:hAnsi="Arial" w:cs="Arial"/>
          <w:sz w:val="22"/>
          <w:szCs w:val="22"/>
          <w:lang w:val="en-GB"/>
        </w:rPr>
        <w:t>2</w:t>
      </w:r>
      <w:r w:rsidRPr="00E4265B">
        <w:rPr>
          <w:rFonts w:ascii="Arial" w:hAnsi="Arial" w:cs="Arial"/>
          <w:sz w:val="22"/>
          <w:szCs w:val="22"/>
          <w:lang w:val="en-GB"/>
        </w:rPr>
        <w:t> in a medium or location other than its annual report or periodic financial statements, provided that:</w:t>
      </w:r>
    </w:p>
    <w:p w14:paraId="6082AA78" w14:textId="77777777" w:rsidR="00E22FF2" w:rsidRPr="00E4265B" w:rsidRDefault="00E22FF2" w:rsidP="00B40809">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it has prior written approval of the Regulator to do so;</w:t>
      </w:r>
    </w:p>
    <w:p w14:paraId="0FD299FC"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annual report or periodic financial statements contain clear references to the location of such disclosures; and</w:t>
      </w:r>
    </w:p>
    <w:p w14:paraId="1D6A0A9A"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such disclosures are readily accessible by the market.</w:t>
      </w:r>
    </w:p>
    <w:p w14:paraId="08257650" w14:textId="77777777" w:rsidR="00E22FF2" w:rsidRPr="00E4265B" w:rsidRDefault="00E22FF2" w:rsidP="0055460B">
      <w:pPr>
        <w:pStyle w:val="TitleL5"/>
        <w:rPr>
          <w:rFonts w:ascii="Arial" w:hAnsi="Arial" w:cs="Arial"/>
          <w:sz w:val="22"/>
          <w:szCs w:val="22"/>
          <w:lang w:val="en-GB"/>
        </w:rPr>
      </w:pPr>
      <w:r w:rsidRPr="00E4265B">
        <w:rPr>
          <w:rFonts w:ascii="Arial" w:hAnsi="Arial" w:cs="Arial"/>
          <w:sz w:val="22"/>
          <w:szCs w:val="22"/>
          <w:lang w:val="en-GB"/>
        </w:rPr>
        <w:t>Guidance</w:t>
      </w:r>
    </w:p>
    <w:p w14:paraId="20388FAA" w14:textId="77777777" w:rsidR="00E22FF2" w:rsidRPr="00E4265B" w:rsidRDefault="00E22FF2" w:rsidP="0055460B">
      <w:pPr>
        <w:pStyle w:val="UK12Block05"/>
        <w:rPr>
          <w:rFonts w:ascii="Arial" w:hAnsi="Arial" w:cs="Arial"/>
          <w:sz w:val="22"/>
          <w:szCs w:val="22"/>
          <w:lang w:val="en-GB"/>
        </w:rPr>
      </w:pP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discretion to determine the form of the disclosures required, and may choose to use graphical and other representations where appropriate.</w:t>
      </w:r>
    </w:p>
    <w:p w14:paraId="34EC33DE" w14:textId="77777777" w:rsidR="00E22FF2" w:rsidRPr="00E4265B" w:rsidRDefault="00E22FF2" w:rsidP="0055460B">
      <w:pPr>
        <w:pStyle w:val="TitleL5"/>
        <w:rPr>
          <w:rFonts w:ascii="Arial" w:hAnsi="Arial" w:cs="Arial"/>
          <w:sz w:val="22"/>
          <w:szCs w:val="22"/>
          <w:lang w:val="en-GB"/>
        </w:rPr>
      </w:pPr>
      <w:r w:rsidRPr="00E4265B">
        <w:rPr>
          <w:rFonts w:ascii="Arial" w:hAnsi="Arial" w:cs="Arial"/>
          <w:sz w:val="22"/>
          <w:szCs w:val="22"/>
          <w:lang w:val="en-GB"/>
        </w:rPr>
        <w:t>Omissions</w:t>
      </w:r>
    </w:p>
    <w:p w14:paraId="648E8D95" w14:textId="77777777" w:rsidR="00E22FF2" w:rsidRPr="00E4265B" w:rsidRDefault="00E22FF2" w:rsidP="00246497">
      <w:pPr>
        <w:pStyle w:val="Heading4"/>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 xml:space="preserve">An </w:t>
      </w:r>
      <w:r w:rsidR="000D1A90" w:rsidRPr="00E4265B">
        <w:rPr>
          <w:rFonts w:ascii="Arial" w:hAnsi="Arial" w:cs="Arial"/>
          <w:sz w:val="22"/>
          <w:szCs w:val="22"/>
        </w:rPr>
        <w:t>Authorised Person</w:t>
      </w:r>
      <w:r w:rsidRPr="00E4265B">
        <w:rPr>
          <w:rFonts w:ascii="Arial" w:hAnsi="Arial" w:cs="Arial"/>
          <w:sz w:val="22"/>
          <w:szCs w:val="22"/>
        </w:rPr>
        <w:t xml:space="preserve"> may omit certain disclosures if the omitted item is:</w:t>
      </w:r>
    </w:p>
    <w:p w14:paraId="4BDA8756"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not material, in accordance with the concept of materiality under the International Financial Reporting Standards,</w:t>
      </w:r>
    </w:p>
    <w:p w14:paraId="1986D1E6"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proprietary in nature, and the disclosure of the relevant information to the public would undermine the Firm's competitive position or render the Firm's investments in products and systems less valuable, or</w:t>
      </w:r>
    </w:p>
    <w:p w14:paraId="642F2E5B"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lastRenderedPageBreak/>
        <w:t>(c)</w:t>
      </w:r>
      <w:r w:rsidRPr="00E4265B">
        <w:rPr>
          <w:rFonts w:ascii="Arial" w:hAnsi="Arial" w:cs="Arial"/>
          <w:sz w:val="22"/>
          <w:szCs w:val="22"/>
          <w:lang w:val="en-GB"/>
        </w:rPr>
        <w:tab/>
        <w:t>confidential in nature, and the disclosure of the relevant information would violate or jeopardise confidentiality agreements with Clients or Counterparties.</w:t>
      </w:r>
    </w:p>
    <w:p w14:paraId="0112560B" w14:textId="67C334D4" w:rsidR="00301E62" w:rsidRPr="00E4265B" w:rsidRDefault="00E22FF2" w:rsidP="0055460B">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Where in reliance upon (1)(b) or (c)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omits an item that is marked as a quantitative disclosure in App1</w:t>
      </w:r>
      <w:r w:rsidR="00C64028" w:rsidRPr="00E4265B">
        <w:rPr>
          <w:rFonts w:ascii="Arial" w:hAnsi="Arial" w:cs="Arial"/>
          <w:sz w:val="22"/>
          <w:szCs w:val="22"/>
          <w:lang w:val="en-GB"/>
        </w:rPr>
        <w:t>2</w:t>
      </w:r>
      <w:r w:rsidRPr="00E4265B">
        <w:rPr>
          <w:rFonts w:ascii="Arial" w:hAnsi="Arial" w:cs="Arial"/>
          <w:sz w:val="22"/>
          <w:szCs w:val="22"/>
          <w:lang w:val="en-GB"/>
        </w:rPr>
        <w:t>, it must disclose general qualitative information about the subject matter of that particular requirement, together with the reasons for the omission.</w:t>
      </w:r>
    </w:p>
    <w:p w14:paraId="46CE9E5A" w14:textId="77777777" w:rsidR="00301E62" w:rsidRPr="00E4265B" w:rsidRDefault="00301E62">
      <w:pPr>
        <w:rPr>
          <w:rFonts w:ascii="Arial" w:hAnsi="Arial" w:cs="Arial"/>
          <w:sz w:val="22"/>
          <w:szCs w:val="22"/>
          <w:lang w:val="en-GB"/>
        </w:rPr>
      </w:pPr>
      <w:r w:rsidRPr="00E4265B">
        <w:rPr>
          <w:rFonts w:ascii="Arial" w:hAnsi="Arial" w:cs="Arial"/>
          <w:sz w:val="22"/>
          <w:szCs w:val="22"/>
          <w:lang w:val="en-GB"/>
        </w:rPr>
        <w:br w:type="page"/>
      </w:r>
    </w:p>
    <w:p w14:paraId="508DA44D" w14:textId="77777777" w:rsidR="00301E62" w:rsidRPr="00E4265B" w:rsidRDefault="00301E62" w:rsidP="00143FFA">
      <w:pPr>
        <w:pStyle w:val="UK12Title"/>
        <w:tabs>
          <w:tab w:val="left" w:pos="990"/>
        </w:tabs>
        <w:rPr>
          <w:rFonts w:ascii="Arial" w:hAnsi="Arial" w:cs="Arial"/>
          <w:sz w:val="22"/>
          <w:szCs w:val="22"/>
          <w:lang w:val="en-GB"/>
        </w:rPr>
      </w:pPr>
      <w:bookmarkStart w:id="953" w:name="_Toc404624440"/>
      <w:bookmarkStart w:id="954" w:name="_Toc33622466"/>
      <w:r w:rsidRPr="00E4265B">
        <w:rPr>
          <w:rFonts w:ascii="Arial" w:hAnsi="Arial" w:cs="Arial"/>
          <w:sz w:val="22"/>
          <w:szCs w:val="22"/>
          <w:lang w:val="en-GB"/>
        </w:rPr>
        <w:lastRenderedPageBreak/>
        <w:t>APP1</w:t>
      </w:r>
      <w:r w:rsidRPr="00E4265B">
        <w:rPr>
          <w:rFonts w:ascii="Arial" w:hAnsi="Arial" w:cs="Arial"/>
          <w:sz w:val="22"/>
          <w:szCs w:val="22"/>
          <w:lang w:val="en-GB"/>
        </w:rPr>
        <w:tab/>
        <w:t>CATEGORIES OF AUTHORISED PERSONS</w:t>
      </w:r>
      <w:bookmarkEnd w:id="953"/>
      <w:bookmarkEnd w:id="954"/>
    </w:p>
    <w:p w14:paraId="64E4EFA4" w14:textId="77777777" w:rsidR="00301E62" w:rsidRPr="00E4265B" w:rsidRDefault="00301E62" w:rsidP="00301E62">
      <w:pPr>
        <w:pStyle w:val="UK12Title2"/>
        <w:rPr>
          <w:rFonts w:ascii="Arial" w:hAnsi="Arial" w:cs="Arial"/>
          <w:sz w:val="22"/>
          <w:szCs w:val="22"/>
        </w:rPr>
      </w:pPr>
      <w:bookmarkStart w:id="955" w:name="_Toc33622467"/>
      <w:r w:rsidRPr="00E4265B">
        <w:rPr>
          <w:rFonts w:ascii="Arial" w:hAnsi="Arial" w:cs="Arial"/>
          <w:sz w:val="22"/>
          <w:szCs w:val="22"/>
        </w:rPr>
        <w:t>A1.1</w:t>
      </w:r>
      <w:r w:rsidRPr="00E4265B">
        <w:rPr>
          <w:rFonts w:ascii="Arial" w:hAnsi="Arial" w:cs="Arial"/>
          <w:sz w:val="22"/>
          <w:szCs w:val="22"/>
        </w:rPr>
        <w:tab/>
        <w:t>Categorisation of Authorised Persons</w:t>
      </w:r>
      <w:bookmarkEnd w:id="955"/>
    </w:p>
    <w:p w14:paraId="3DCA6655" w14:textId="77777777" w:rsidR="00301E62" w:rsidRPr="00E4265B" w:rsidRDefault="00301E62" w:rsidP="00301E62">
      <w:pPr>
        <w:pStyle w:val="TitleL5"/>
        <w:rPr>
          <w:rFonts w:ascii="Arial" w:hAnsi="Arial" w:cs="Arial"/>
          <w:sz w:val="22"/>
          <w:szCs w:val="22"/>
          <w:lang w:val="en-GB"/>
        </w:rPr>
      </w:pPr>
      <w:r w:rsidRPr="00E4265B">
        <w:rPr>
          <w:rFonts w:ascii="Arial" w:hAnsi="Arial" w:cs="Arial"/>
          <w:sz w:val="22"/>
          <w:szCs w:val="22"/>
          <w:lang w:val="en-GB"/>
        </w:rPr>
        <w:t>Guidance</w:t>
      </w:r>
    </w:p>
    <w:p w14:paraId="18C4991B" w14:textId="24428DB7" w:rsidR="00301E62" w:rsidRPr="00E4265B" w:rsidRDefault="00301E62" w:rsidP="004E1995">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This Section contains the table referred to in the Guidance notes at </w:t>
      </w:r>
      <w:r w:rsidR="004E1995" w:rsidRPr="00E4265B">
        <w:rPr>
          <w:rFonts w:ascii="Arial" w:hAnsi="Arial" w:cs="Arial"/>
          <w:sz w:val="22"/>
          <w:szCs w:val="22"/>
          <w:lang w:val="en-GB"/>
        </w:rPr>
        <w:t>the commencement of Section 1.3</w:t>
      </w:r>
      <w:r w:rsidRPr="00E4265B">
        <w:rPr>
          <w:rFonts w:ascii="Arial" w:hAnsi="Arial" w:cs="Arial"/>
          <w:sz w:val="22"/>
          <w:szCs w:val="22"/>
          <w:lang w:val="en-GB"/>
        </w:rPr>
        <w:t>. This table is for guidance purposes only.</w:t>
      </w:r>
    </w:p>
    <w:p w14:paraId="49326C90" w14:textId="0B1ABB54" w:rsidR="00301E62" w:rsidRPr="00E4265B" w:rsidRDefault="00301E62" w:rsidP="004E1995">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activities set out in the boxes in the table are Regulated Activities (see the FSMR). The Regulated Activities that an Authorised Person is authorised to carry on </w:t>
      </w:r>
      <w:r w:rsidR="0081098A" w:rsidRPr="00E4265B">
        <w:rPr>
          <w:rFonts w:ascii="Arial" w:hAnsi="Arial" w:cs="Arial"/>
          <w:sz w:val="22"/>
          <w:szCs w:val="22"/>
          <w:lang w:val="en-GB"/>
        </w:rPr>
        <w:t>are specified i</w:t>
      </w:r>
      <w:r w:rsidRPr="00E4265B">
        <w:rPr>
          <w:rFonts w:ascii="Arial" w:hAnsi="Arial" w:cs="Arial"/>
          <w:sz w:val="22"/>
          <w:szCs w:val="22"/>
          <w:lang w:val="en-GB"/>
        </w:rPr>
        <w:t>n its Financial Services Permission.</w:t>
      </w:r>
      <w:r w:rsidR="004E1995" w:rsidRPr="00E4265B">
        <w:rPr>
          <w:rFonts w:ascii="Arial" w:hAnsi="Arial" w:cs="Arial"/>
          <w:sz w:val="22"/>
          <w:szCs w:val="22"/>
          <w:lang w:val="en-GB"/>
        </w:rPr>
        <w:t xml:space="preserve"> The Regulated Activities described in the emboldened boxes in the table are the determinants for the prudential Category to which the Authorised Person is assigned.</w:t>
      </w:r>
    </w:p>
    <w:p w14:paraId="2E7B9C4B" w14:textId="780D3DB8" w:rsidR="00301E62" w:rsidRPr="00E4265B" w:rsidRDefault="00301E62" w:rsidP="0081098A">
      <w:pPr>
        <w:pStyle w:val="1List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r>
      <w:r w:rsidR="0081098A" w:rsidRPr="00E4265B">
        <w:rPr>
          <w:rFonts w:ascii="Arial" w:hAnsi="Arial" w:cs="Arial"/>
          <w:sz w:val="22"/>
          <w:szCs w:val="22"/>
          <w:lang w:val="en-GB"/>
        </w:rPr>
        <w:t>Where</w:t>
      </w:r>
      <w:r w:rsidRPr="00E4265B">
        <w:rPr>
          <w:rFonts w:ascii="Arial" w:hAnsi="Arial" w:cs="Arial"/>
          <w:sz w:val="22"/>
          <w:szCs w:val="22"/>
          <w:lang w:val="en-GB"/>
        </w:rPr>
        <w:t xml:space="preserve"> a Person carries on any one or more of the Regulated Activities specified in an emboldened box under a Category, then the highest such Category is that Person's </w:t>
      </w:r>
      <w:r w:rsidR="0081098A" w:rsidRPr="00E4265B">
        <w:rPr>
          <w:rFonts w:ascii="Arial" w:hAnsi="Arial" w:cs="Arial"/>
          <w:sz w:val="22"/>
          <w:szCs w:val="22"/>
          <w:lang w:val="en-GB"/>
        </w:rPr>
        <w:t xml:space="preserve">prudential </w:t>
      </w:r>
      <w:r w:rsidRPr="00E4265B">
        <w:rPr>
          <w:rFonts w:ascii="Arial" w:hAnsi="Arial" w:cs="Arial"/>
          <w:sz w:val="22"/>
          <w:szCs w:val="22"/>
          <w:lang w:val="en-GB"/>
        </w:rPr>
        <w:t>Category for the purposes of these Rules.</w:t>
      </w:r>
    </w:p>
    <w:p w14:paraId="26C26AB9" w14:textId="06D0131D" w:rsidR="00301E62" w:rsidRPr="00E4265B" w:rsidRDefault="00301E62" w:rsidP="00143FFA">
      <w:pPr>
        <w:pStyle w:val="1List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An exception to the above is an Islamic Financial Institution which Manages a Profit Sharing Investment Account which is a PSIAu. Such an i</w:t>
      </w:r>
      <w:r w:rsidR="00143FFA" w:rsidRPr="00E4265B">
        <w:rPr>
          <w:rFonts w:ascii="Arial" w:hAnsi="Arial" w:cs="Arial"/>
          <w:sz w:val="22"/>
          <w:szCs w:val="22"/>
          <w:lang w:val="en-GB"/>
        </w:rPr>
        <w:t>nstitution falls in</w:t>
      </w:r>
      <w:r w:rsidR="004E1995" w:rsidRPr="00E4265B">
        <w:rPr>
          <w:rFonts w:ascii="Arial" w:hAnsi="Arial" w:cs="Arial"/>
          <w:sz w:val="22"/>
          <w:szCs w:val="22"/>
          <w:lang w:val="en-GB"/>
        </w:rPr>
        <w:t>to</w:t>
      </w:r>
      <w:r w:rsidR="00143FFA" w:rsidRPr="00E4265B">
        <w:rPr>
          <w:rFonts w:ascii="Arial" w:hAnsi="Arial" w:cs="Arial"/>
          <w:sz w:val="22"/>
          <w:szCs w:val="22"/>
          <w:lang w:val="en-GB"/>
        </w:rPr>
        <w:t xml:space="preserve"> Category 5.</w:t>
      </w:r>
    </w:p>
    <w:p w14:paraId="21DE2D73" w14:textId="77777777" w:rsidR="0081098A" w:rsidRPr="00E4265B" w:rsidRDefault="0081098A" w:rsidP="0081098A">
      <w:pPr>
        <w:pStyle w:val="1List0"/>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This is not a definitive list of the Regulated Activities detailed in the FSMR: others exist that are not subject to these Rules.</w:t>
      </w:r>
    </w:p>
    <w:p w14:paraId="7779EBE4" w14:textId="77777777" w:rsidR="0081098A" w:rsidRPr="00E4265B" w:rsidRDefault="0081098A" w:rsidP="00143FFA">
      <w:pPr>
        <w:pStyle w:val="1List0"/>
        <w:rPr>
          <w:rFonts w:ascii="Arial" w:hAnsi="Arial" w:cs="Arial"/>
          <w:sz w:val="22"/>
          <w:szCs w:val="22"/>
          <w:lang w:val="en-GB"/>
        </w:rPr>
      </w:pPr>
    </w:p>
    <w:p w14:paraId="2CBB0F63" w14:textId="75496281" w:rsidR="00C77E48" w:rsidRPr="00E4265B" w:rsidRDefault="00C77E48">
      <w:pPr>
        <w:rPr>
          <w:rFonts w:ascii="Arial" w:hAnsi="Arial" w:cs="Arial"/>
          <w:sz w:val="22"/>
          <w:szCs w:val="22"/>
          <w:lang w:val="en-GB"/>
        </w:rPr>
      </w:pPr>
      <w:r w:rsidRPr="00E4265B">
        <w:rPr>
          <w:rFonts w:ascii="Arial" w:hAnsi="Arial" w:cs="Arial"/>
          <w:sz w:val="22"/>
          <w:szCs w:val="22"/>
          <w:lang w:val="en-GB"/>
        </w:rPr>
        <w:br w:type="page"/>
      </w:r>
    </w:p>
    <w:p w14:paraId="1F4A025D" w14:textId="77777777" w:rsidR="00C77E48" w:rsidRPr="00E4265B" w:rsidRDefault="00C77E48">
      <w:pPr>
        <w:rPr>
          <w:rFonts w:ascii="Arial" w:hAnsi="Arial" w:cs="Arial"/>
          <w:sz w:val="22"/>
          <w:szCs w:val="22"/>
          <w:lang w:val="en-GB"/>
        </w:rPr>
      </w:pPr>
    </w:p>
    <w:p w14:paraId="377B9693" w14:textId="79B88D14" w:rsidR="003C0E67" w:rsidRPr="00E4265B" w:rsidRDefault="00717E75">
      <w:pPr>
        <w:rPr>
          <w:rFonts w:ascii="Arial" w:hAnsi="Arial" w:cs="Arial"/>
          <w:sz w:val="22"/>
          <w:szCs w:val="22"/>
          <w:lang w:val="en-GB"/>
        </w:rPr>
      </w:pPr>
      <w:r w:rsidRPr="00E4265B">
        <w:rPr>
          <w:rFonts w:ascii="Arial" w:hAnsi="Arial" w:cs="Arial"/>
          <w:noProof/>
          <w:sz w:val="22"/>
          <w:szCs w:val="22"/>
          <w:lang w:val="en-GB" w:eastAsia="en-GB"/>
        </w:rPr>
        <w:drawing>
          <wp:inline distT="0" distB="0" distL="0" distR="0" wp14:anchorId="38091F71" wp14:editId="51081089">
            <wp:extent cx="5731510" cy="575822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758223"/>
                    </a:xfrm>
                    <a:prstGeom prst="rect">
                      <a:avLst/>
                    </a:prstGeom>
                    <a:noFill/>
                    <a:ln>
                      <a:noFill/>
                    </a:ln>
                  </pic:spPr>
                </pic:pic>
              </a:graphicData>
            </a:graphic>
          </wp:inline>
        </w:drawing>
      </w:r>
    </w:p>
    <w:p w14:paraId="1B4C502F" w14:textId="77777777" w:rsidR="00E22FF2" w:rsidRPr="00E4265B" w:rsidRDefault="00E22FF2">
      <w:pPr>
        <w:rPr>
          <w:rFonts w:ascii="Arial" w:hAnsi="Arial" w:cs="Arial"/>
          <w:sz w:val="22"/>
          <w:szCs w:val="22"/>
          <w:lang w:val="en-GB"/>
        </w:rPr>
      </w:pPr>
      <w:r w:rsidRPr="00E4265B">
        <w:rPr>
          <w:rFonts w:ascii="Arial" w:hAnsi="Arial" w:cs="Arial"/>
          <w:sz w:val="22"/>
          <w:szCs w:val="22"/>
          <w:lang w:val="en-GB"/>
        </w:rPr>
        <w:br w:type="page"/>
      </w:r>
    </w:p>
    <w:p w14:paraId="17117176" w14:textId="196F71F1" w:rsidR="00E22FF2" w:rsidRPr="00E4265B" w:rsidRDefault="00E22FF2" w:rsidP="00143FFA">
      <w:pPr>
        <w:pStyle w:val="UK12Title"/>
        <w:tabs>
          <w:tab w:val="left" w:pos="990"/>
        </w:tabs>
        <w:rPr>
          <w:rFonts w:ascii="Arial" w:hAnsi="Arial" w:cs="Arial"/>
          <w:sz w:val="22"/>
          <w:szCs w:val="22"/>
          <w:lang w:val="en-GB"/>
        </w:rPr>
      </w:pPr>
      <w:bookmarkStart w:id="956" w:name="_Toc404624441"/>
      <w:bookmarkStart w:id="957" w:name="_Toc33622468"/>
      <w:r w:rsidRPr="00E4265B">
        <w:rPr>
          <w:rFonts w:ascii="Arial" w:hAnsi="Arial" w:cs="Arial"/>
          <w:sz w:val="22"/>
          <w:szCs w:val="22"/>
          <w:lang w:val="en-GB"/>
        </w:rPr>
        <w:lastRenderedPageBreak/>
        <w:t>APP2</w:t>
      </w:r>
      <w:r w:rsidR="00143FFA" w:rsidRPr="00E4265B">
        <w:rPr>
          <w:rFonts w:ascii="Arial" w:hAnsi="Arial" w:cs="Arial"/>
          <w:sz w:val="22"/>
          <w:szCs w:val="22"/>
          <w:lang w:val="en-GB"/>
        </w:rPr>
        <w:tab/>
      </w:r>
      <w:r w:rsidRPr="00E4265B">
        <w:rPr>
          <w:rFonts w:ascii="Arial" w:hAnsi="Arial" w:cs="Arial"/>
          <w:sz w:val="22"/>
          <w:szCs w:val="22"/>
          <w:lang w:val="en-GB"/>
        </w:rPr>
        <w:t>GENERAL REQUIREMENTS</w:t>
      </w:r>
      <w:bookmarkEnd w:id="956"/>
      <w:bookmarkEnd w:id="957"/>
    </w:p>
    <w:p w14:paraId="133A87C6" w14:textId="77777777" w:rsidR="00E22FF2" w:rsidRPr="00E4265B" w:rsidRDefault="00E22FF2" w:rsidP="004F0272">
      <w:pPr>
        <w:pStyle w:val="UK12Title2"/>
        <w:rPr>
          <w:rFonts w:ascii="Arial" w:hAnsi="Arial" w:cs="Arial"/>
          <w:sz w:val="22"/>
          <w:szCs w:val="22"/>
        </w:rPr>
      </w:pPr>
      <w:bookmarkStart w:id="958" w:name="_Toc33622469"/>
      <w:r w:rsidRPr="00E4265B">
        <w:rPr>
          <w:rFonts w:ascii="Arial" w:hAnsi="Arial" w:cs="Arial"/>
          <w:sz w:val="22"/>
          <w:szCs w:val="22"/>
        </w:rPr>
        <w:t>A2.1</w:t>
      </w:r>
      <w:r w:rsidRPr="00E4265B">
        <w:rPr>
          <w:rFonts w:ascii="Arial" w:hAnsi="Arial" w:cs="Arial"/>
          <w:sz w:val="22"/>
          <w:szCs w:val="22"/>
        </w:rPr>
        <w:tab/>
        <w:t>Detail in the Trading Book</w:t>
      </w:r>
      <w:bookmarkEnd w:id="958"/>
    </w:p>
    <w:p w14:paraId="47776A7B" w14:textId="77777777" w:rsidR="00E22FF2" w:rsidRPr="00E4265B" w:rsidRDefault="00E22FF2" w:rsidP="007C102C">
      <w:pPr>
        <w:pStyle w:val="List2TabStops"/>
        <w:rPr>
          <w:rFonts w:ascii="Arial" w:hAnsi="Arial" w:cs="Arial"/>
          <w:sz w:val="22"/>
          <w:szCs w:val="22"/>
          <w:lang w:val="en-GB"/>
        </w:rPr>
      </w:pPr>
      <w:r w:rsidRPr="00E4265B">
        <w:rPr>
          <w:rFonts w:ascii="Arial" w:hAnsi="Arial" w:cs="Arial"/>
          <w:b/>
          <w:sz w:val="22"/>
          <w:szCs w:val="22"/>
          <w:lang w:val="en-GB"/>
        </w:rPr>
        <w:t>A2.1.1</w:t>
      </w:r>
      <w:r w:rsidRPr="00E4265B">
        <w:rPr>
          <w:rFonts w:ascii="Arial" w:hAnsi="Arial" w:cs="Arial"/>
          <w:b/>
          <w:sz w:val="22"/>
          <w:szCs w:val="22"/>
          <w:lang w:val="en-GB"/>
        </w:rPr>
        <w:tab/>
      </w:r>
      <w:r w:rsidRPr="00E4265B">
        <w:rPr>
          <w:rFonts w:ascii="Arial" w:hAnsi="Arial" w:cs="Arial"/>
          <w:sz w:val="22"/>
          <w:szCs w:val="22"/>
          <w:lang w:val="en-GB"/>
        </w:rPr>
        <w:t>(1)</w:t>
      </w:r>
      <w:r w:rsidRPr="00E4265B">
        <w:rPr>
          <w:rFonts w:ascii="Arial" w:hAnsi="Arial" w:cs="Arial"/>
          <w:sz w:val="22"/>
          <w:szCs w:val="22"/>
          <w:lang w:val="en-GB"/>
        </w:rPr>
        <w:tab/>
        <w:t xml:space="preserve">This Appendix applies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which meets the criteria in Rule 2.2.1 and is thereby required to have a Trading Book.</w:t>
      </w:r>
    </w:p>
    <w:p w14:paraId="4B3CC953" w14:textId="77777777" w:rsidR="00E22FF2" w:rsidRPr="00E4265B" w:rsidRDefault="00E22FF2" w:rsidP="00F42497">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which is required to have a Trading Book must:</w:t>
      </w:r>
    </w:p>
    <w:p w14:paraId="76044A6B"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have a Trading Book policy in accordance with Section A2.2; and</w:t>
      </w:r>
    </w:p>
    <w:p w14:paraId="1DA7DFD6"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include positions in its Trading Book on a consistent basis in accordance with the policy and procedures set out in the Trading Book policy.</w:t>
      </w:r>
    </w:p>
    <w:p w14:paraId="4C42DD0C" w14:textId="77777777" w:rsidR="00E22FF2" w:rsidRPr="00E4265B" w:rsidRDefault="00E22FF2" w:rsidP="00F42497">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include every position that is not included in its Trading Book in its Non</w:t>
      </w:r>
      <w:r w:rsidRPr="00E4265B">
        <w:rPr>
          <w:rFonts w:ascii="Arial" w:hAnsi="Arial" w:cs="Arial"/>
          <w:sz w:val="22"/>
          <w:szCs w:val="22"/>
          <w:lang w:val="en-GB"/>
        </w:rPr>
        <w:noBreakHyphen/>
        <w:t>Trading Book.</w:t>
      </w:r>
    </w:p>
    <w:p w14:paraId="3C26FA10" w14:textId="77777777" w:rsidR="00E22FF2" w:rsidRPr="00E4265B" w:rsidRDefault="00E22FF2" w:rsidP="00F42497">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value every position included in its Trading Book and the Non</w:t>
      </w:r>
      <w:r w:rsidRPr="00E4265B">
        <w:rPr>
          <w:rFonts w:ascii="Arial" w:hAnsi="Arial" w:cs="Arial"/>
          <w:sz w:val="22"/>
          <w:szCs w:val="22"/>
          <w:lang w:val="en-GB"/>
        </w:rPr>
        <w:noBreakHyphen/>
        <w:t>Trading Book in accordance with the relevant accounting standards and practices.</w:t>
      </w:r>
    </w:p>
    <w:p w14:paraId="3E541673" w14:textId="77777777" w:rsidR="00E22FF2" w:rsidRPr="00E4265B" w:rsidRDefault="00E22FF2" w:rsidP="007C102C">
      <w:pPr>
        <w:pStyle w:val="UK12Block05"/>
        <w:rPr>
          <w:rFonts w:ascii="Arial" w:hAnsi="Arial" w:cs="Arial"/>
          <w:b/>
          <w:sz w:val="22"/>
          <w:szCs w:val="22"/>
          <w:lang w:val="en-GB"/>
        </w:rPr>
      </w:pPr>
      <w:r w:rsidRPr="00E4265B">
        <w:rPr>
          <w:rFonts w:ascii="Arial" w:hAnsi="Arial" w:cs="Arial"/>
          <w:b/>
          <w:sz w:val="22"/>
          <w:szCs w:val="22"/>
          <w:lang w:val="en-GB"/>
        </w:rPr>
        <w:t>Value of Trading Book positions</w:t>
      </w:r>
    </w:p>
    <w:p w14:paraId="3AEDFD10" w14:textId="77777777" w:rsidR="00E22FF2" w:rsidRPr="00E4265B" w:rsidRDefault="00E22FF2" w:rsidP="007C102C">
      <w:pPr>
        <w:pStyle w:val="List2TabStops"/>
        <w:rPr>
          <w:rFonts w:ascii="Arial" w:hAnsi="Arial" w:cs="Arial"/>
          <w:sz w:val="22"/>
          <w:szCs w:val="22"/>
          <w:lang w:val="en-GB"/>
        </w:rPr>
      </w:pPr>
      <w:r w:rsidRPr="00E4265B">
        <w:rPr>
          <w:rFonts w:ascii="Arial" w:hAnsi="Arial" w:cs="Arial"/>
          <w:b/>
          <w:bCs/>
          <w:sz w:val="22"/>
          <w:szCs w:val="22"/>
          <w:lang w:val="en-GB"/>
        </w:rPr>
        <w:t>A2.1.2</w:t>
      </w:r>
      <w:r w:rsidRPr="00E4265B">
        <w:rPr>
          <w:rFonts w:ascii="Arial" w:eastAsia="Arial" w:hAnsi="Arial" w:cs="Arial"/>
          <w:b/>
          <w:bCs/>
          <w:sz w:val="22"/>
          <w:szCs w:val="22"/>
          <w:lang w:val="en-GB"/>
        </w:rPr>
        <w:tab/>
      </w:r>
      <w:r w:rsidRPr="00E4265B">
        <w:rPr>
          <w:rFonts w:ascii="Arial" w:hAnsi="Arial" w:cs="Arial"/>
          <w:sz w:val="22"/>
          <w:szCs w:val="22"/>
          <w:lang w:val="en-GB"/>
        </w:rPr>
        <w:t>(1)</w:t>
      </w:r>
      <w:r w:rsidRPr="00E4265B">
        <w:rPr>
          <w:rFonts w:ascii="Arial" w:hAnsi="Arial" w:cs="Arial"/>
          <w:sz w:val="22"/>
          <w:szCs w:val="22"/>
          <w:lang w:val="en-GB"/>
        </w:rPr>
        <w:tab/>
        <w:t xml:space="preserve">In calculating the value of positions for the purposes of Rule 2.2.1(c)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value:</w:t>
      </w:r>
    </w:p>
    <w:p w14:paraId="57122CFF"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equities and debt instruments at their market prices;</w:t>
      </w:r>
    </w:p>
    <w:p w14:paraId="6F5518D6" w14:textId="77777777" w:rsidR="00E22FF2" w:rsidRPr="00E4265B" w:rsidRDefault="00E22FF2" w:rsidP="001D72F4">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r>
      <w:r w:rsidR="005F3B3B" w:rsidRPr="00E4265B">
        <w:rPr>
          <w:rFonts w:ascii="Arial" w:hAnsi="Arial" w:cs="Arial"/>
          <w:sz w:val="22"/>
          <w:szCs w:val="22"/>
          <w:lang w:val="en-GB"/>
        </w:rPr>
        <w:t>Derivative</w:t>
      </w:r>
      <w:r w:rsidRPr="00E4265B">
        <w:rPr>
          <w:rFonts w:ascii="Arial" w:hAnsi="Arial" w:cs="Arial"/>
          <w:sz w:val="22"/>
          <w:szCs w:val="22"/>
          <w:lang w:val="en-GB"/>
        </w:rPr>
        <w:t>s according to the values of the underlying; and</w:t>
      </w:r>
    </w:p>
    <w:p w14:paraId="2EA6C0A8"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r>
      <w:r w:rsidR="00C033FC" w:rsidRPr="00E4265B">
        <w:rPr>
          <w:rFonts w:ascii="Arial" w:hAnsi="Arial" w:cs="Arial"/>
          <w:sz w:val="22"/>
          <w:szCs w:val="22"/>
          <w:lang w:val="en-GB"/>
        </w:rPr>
        <w:t>Underwriting</w:t>
      </w:r>
      <w:r w:rsidRPr="00E4265B">
        <w:rPr>
          <w:rFonts w:ascii="Arial" w:hAnsi="Arial" w:cs="Arial"/>
          <w:sz w:val="22"/>
          <w:szCs w:val="22"/>
          <w:lang w:val="en-GB"/>
        </w:rPr>
        <w:t xml:space="preserve"> positions according to the market value of the underlying </w:t>
      </w:r>
      <w:r w:rsidR="00877CEA" w:rsidRPr="00E4265B">
        <w:rPr>
          <w:rFonts w:ascii="Arial" w:hAnsi="Arial" w:cs="Arial"/>
          <w:sz w:val="22"/>
          <w:szCs w:val="22"/>
          <w:lang w:val="en-GB"/>
        </w:rPr>
        <w:t>Securities</w:t>
      </w:r>
      <w:r w:rsidRPr="00E4265B">
        <w:rPr>
          <w:rFonts w:ascii="Arial" w:hAnsi="Arial" w:cs="Arial"/>
          <w:sz w:val="22"/>
          <w:szCs w:val="22"/>
          <w:lang w:val="en-GB"/>
        </w:rPr>
        <w:t>.</w:t>
      </w:r>
    </w:p>
    <w:p w14:paraId="4E39AAB2" w14:textId="77777777" w:rsidR="00E22FF2" w:rsidRPr="00E4265B" w:rsidRDefault="00E22FF2" w:rsidP="007C102C">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sum all long and short positions (ignoring the sign) to calculate its total Trading Book size.</w:t>
      </w:r>
    </w:p>
    <w:p w14:paraId="15565B50" w14:textId="77777777" w:rsidR="00E22FF2" w:rsidRPr="00E4265B" w:rsidRDefault="00E22FF2" w:rsidP="007C102C">
      <w:pPr>
        <w:pStyle w:val="TitleL5"/>
        <w:rPr>
          <w:rFonts w:ascii="Arial" w:hAnsi="Arial" w:cs="Arial"/>
          <w:sz w:val="22"/>
          <w:szCs w:val="22"/>
          <w:lang w:val="en-GB"/>
        </w:rPr>
      </w:pPr>
      <w:r w:rsidRPr="00E4265B">
        <w:rPr>
          <w:rFonts w:ascii="Arial" w:hAnsi="Arial" w:cs="Arial"/>
          <w:sz w:val="22"/>
          <w:szCs w:val="22"/>
          <w:lang w:val="en-GB"/>
        </w:rPr>
        <w:t>Positions included in the Trading Book</w:t>
      </w:r>
    </w:p>
    <w:p w14:paraId="2CF9CE13" w14:textId="77777777" w:rsidR="00E22FF2" w:rsidRPr="00E4265B" w:rsidRDefault="00E22FF2" w:rsidP="001D72F4">
      <w:pPr>
        <w:pStyle w:val="A1List"/>
        <w:rPr>
          <w:rFonts w:ascii="Arial" w:hAnsi="Arial" w:cs="Arial"/>
          <w:sz w:val="22"/>
          <w:szCs w:val="22"/>
          <w:lang w:val="en-GB"/>
        </w:rPr>
      </w:pPr>
      <w:r w:rsidRPr="00E4265B">
        <w:rPr>
          <w:rFonts w:ascii="Arial" w:hAnsi="Arial" w:cs="Arial"/>
          <w:b/>
          <w:bCs/>
          <w:sz w:val="22"/>
          <w:szCs w:val="22"/>
          <w:lang w:val="en-GB"/>
        </w:rPr>
        <w:t>A2.1.3</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include in its Trading Book, subject to the Rules on trading intent and hedging Non</w:t>
      </w:r>
      <w:r w:rsidRPr="00E4265B">
        <w:rPr>
          <w:rFonts w:ascii="Arial" w:hAnsi="Arial" w:cs="Arial"/>
          <w:sz w:val="22"/>
          <w:szCs w:val="22"/>
          <w:lang w:val="en-GB"/>
        </w:rPr>
        <w:noBreakHyphen/>
        <w:t>Trading Book Exposures:</w:t>
      </w:r>
    </w:p>
    <w:p w14:paraId="066389B8"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each proprietary position in a </w:t>
      </w:r>
      <w:r w:rsidR="00690BF6" w:rsidRPr="00E4265B">
        <w:rPr>
          <w:rFonts w:ascii="Arial" w:hAnsi="Arial" w:cs="Arial"/>
          <w:sz w:val="22"/>
          <w:szCs w:val="22"/>
          <w:lang w:val="en-GB"/>
        </w:rPr>
        <w:t>Financial Instrument</w:t>
      </w:r>
      <w:r w:rsidRPr="00E4265B">
        <w:rPr>
          <w:rFonts w:ascii="Arial" w:hAnsi="Arial" w:cs="Arial"/>
          <w:sz w:val="22"/>
          <w:szCs w:val="22"/>
          <w:lang w:val="en-GB"/>
        </w:rPr>
        <w:t xml:space="preserve">, commodity or commodity </w:t>
      </w:r>
      <w:r w:rsidR="005F3B3B" w:rsidRPr="00E4265B">
        <w:rPr>
          <w:rFonts w:ascii="Arial" w:hAnsi="Arial" w:cs="Arial"/>
          <w:sz w:val="22"/>
          <w:szCs w:val="22"/>
          <w:lang w:val="en-GB"/>
        </w:rPr>
        <w:t>Derivative</w:t>
      </w:r>
      <w:r w:rsidRPr="00E4265B">
        <w:rPr>
          <w:rFonts w:ascii="Arial" w:hAnsi="Arial" w:cs="Arial"/>
          <w:sz w:val="22"/>
          <w:szCs w:val="22"/>
          <w:lang w:val="en-GB"/>
        </w:rPr>
        <w:t xml:space="preserve"> which is held with trading intent as detailed in Rule A2.1.5(3);</w:t>
      </w:r>
    </w:p>
    <w:p w14:paraId="33A71104"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each position arising from Matched Principal broking and market making;</w:t>
      </w:r>
    </w:p>
    <w:p w14:paraId="2B4490A2"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each position taken in order to hedge another element of the Trading Book; </w:t>
      </w:r>
    </w:p>
    <w:p w14:paraId="006D69F4"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each Exposure due to a repurchase agreement (repo),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and commodities lending, which is based on a </w:t>
      </w:r>
      <w:r w:rsidR="00877CEA" w:rsidRPr="00E4265B">
        <w:rPr>
          <w:rFonts w:ascii="Arial" w:hAnsi="Arial" w:cs="Arial"/>
          <w:sz w:val="22"/>
          <w:szCs w:val="22"/>
          <w:lang w:val="en-GB"/>
        </w:rPr>
        <w:t>Security</w:t>
      </w:r>
      <w:r w:rsidRPr="00E4265B">
        <w:rPr>
          <w:rFonts w:ascii="Arial" w:hAnsi="Arial" w:cs="Arial"/>
          <w:sz w:val="22"/>
          <w:szCs w:val="22"/>
          <w:lang w:val="en-GB"/>
        </w:rPr>
        <w:t xml:space="preserve"> or commodity included in the Trading Book;</w:t>
      </w:r>
    </w:p>
    <w:p w14:paraId="0086539E"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lastRenderedPageBreak/>
        <w:t>(e)</w:t>
      </w:r>
      <w:r w:rsidRPr="00E4265B">
        <w:rPr>
          <w:rFonts w:ascii="Arial" w:hAnsi="Arial" w:cs="Arial"/>
          <w:sz w:val="22"/>
          <w:szCs w:val="22"/>
          <w:lang w:val="en-GB"/>
        </w:rPr>
        <w:tab/>
        <w:t xml:space="preserve">each Exposure due to a reverse repurchase agreement (reverse repo),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and commodities borrowing transaction included in the Trading Book;</w:t>
      </w:r>
    </w:p>
    <w:p w14:paraId="3C427AB0"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 xml:space="preserve">each Exposure arising from an Unsettled Transaction, free delivery or OTC </w:t>
      </w:r>
      <w:r w:rsidR="005F3B3B" w:rsidRPr="00E4265B">
        <w:rPr>
          <w:rFonts w:ascii="Arial" w:hAnsi="Arial" w:cs="Arial"/>
          <w:sz w:val="22"/>
          <w:szCs w:val="22"/>
          <w:lang w:val="en-GB"/>
        </w:rPr>
        <w:t>Derivative</w:t>
      </w:r>
      <w:r w:rsidRPr="00E4265B">
        <w:rPr>
          <w:rFonts w:ascii="Arial" w:hAnsi="Arial" w:cs="Arial"/>
          <w:sz w:val="22"/>
          <w:szCs w:val="22"/>
          <w:lang w:val="en-GB"/>
        </w:rPr>
        <w:t>; and</w:t>
      </w:r>
    </w:p>
    <w:p w14:paraId="5D69904E"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each Exposure in the form of a fee, commission, interest, dividend or margin on an exchange</w:t>
      </w:r>
      <w:r w:rsidRPr="00E4265B">
        <w:rPr>
          <w:rFonts w:ascii="Arial" w:hAnsi="Arial" w:cs="Arial"/>
          <w:sz w:val="22"/>
          <w:szCs w:val="22"/>
          <w:lang w:val="en-GB"/>
        </w:rPr>
        <w:noBreakHyphen/>
        <w:t xml:space="preserve">traded </w:t>
      </w:r>
      <w:r w:rsidR="005F3B3B" w:rsidRPr="00E4265B">
        <w:rPr>
          <w:rFonts w:ascii="Arial" w:hAnsi="Arial" w:cs="Arial"/>
          <w:sz w:val="22"/>
          <w:szCs w:val="22"/>
          <w:lang w:val="en-GB"/>
        </w:rPr>
        <w:t>Derivative</w:t>
      </w:r>
      <w:r w:rsidRPr="00E4265B">
        <w:rPr>
          <w:rFonts w:ascii="Arial" w:hAnsi="Arial" w:cs="Arial"/>
          <w:sz w:val="22"/>
          <w:szCs w:val="22"/>
          <w:lang w:val="en-GB"/>
        </w:rPr>
        <w:t xml:space="preserve"> directly related to the items included in the Trading Book.</w:t>
      </w:r>
    </w:p>
    <w:p w14:paraId="35D1F42D" w14:textId="77777777" w:rsidR="00E22FF2" w:rsidRPr="00E4265B" w:rsidRDefault="00E22FF2" w:rsidP="001D72F4">
      <w:pPr>
        <w:pStyle w:val="TitleL5"/>
        <w:rPr>
          <w:rFonts w:ascii="Arial" w:hAnsi="Arial" w:cs="Arial"/>
          <w:sz w:val="22"/>
          <w:szCs w:val="22"/>
          <w:lang w:val="en-GB"/>
        </w:rPr>
      </w:pPr>
      <w:r w:rsidRPr="00E4265B">
        <w:rPr>
          <w:rFonts w:ascii="Arial" w:hAnsi="Arial" w:cs="Arial"/>
          <w:sz w:val="22"/>
          <w:szCs w:val="22"/>
          <w:lang w:val="en-GB"/>
        </w:rPr>
        <w:t>Guidance</w:t>
      </w:r>
    </w:p>
    <w:p w14:paraId="52913525" w14:textId="77777777" w:rsidR="00E22FF2" w:rsidRPr="00E4265B" w:rsidRDefault="00E22FF2" w:rsidP="001D72F4">
      <w:pPr>
        <w:pStyle w:val="UK12Block05"/>
        <w:rPr>
          <w:rFonts w:ascii="Arial" w:hAnsi="Arial" w:cs="Arial"/>
          <w:sz w:val="22"/>
          <w:szCs w:val="22"/>
          <w:lang w:val="en-GB"/>
        </w:rPr>
      </w:pPr>
      <w:r w:rsidRPr="00E4265B">
        <w:rPr>
          <w:rFonts w:ascii="Arial" w:hAnsi="Arial" w:cs="Arial"/>
          <w:sz w:val="22"/>
          <w:szCs w:val="22"/>
          <w:lang w:val="en-GB"/>
        </w:rPr>
        <w:t xml:space="preserve">Whenever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acts as principal (even in the context of activity normally described as 'broking' or 'customer business'), positions should be assigned to the Trading Book. This applies even if the nature of the business means that the only risks being incurred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are Counterparty Risks (that is, no Market Risk Capital Requirements apply).</w:t>
      </w:r>
    </w:p>
    <w:p w14:paraId="27B09B45" w14:textId="77777777" w:rsidR="00E22FF2" w:rsidRPr="00E4265B" w:rsidRDefault="00E22FF2" w:rsidP="001D72F4">
      <w:pPr>
        <w:pStyle w:val="List2TabStops"/>
        <w:rPr>
          <w:rFonts w:ascii="Arial" w:hAnsi="Arial" w:cs="Arial"/>
          <w:sz w:val="22"/>
          <w:szCs w:val="22"/>
          <w:lang w:val="en-GB"/>
        </w:rPr>
      </w:pPr>
      <w:r w:rsidRPr="00E4265B">
        <w:rPr>
          <w:rFonts w:ascii="Arial" w:hAnsi="Arial" w:cs="Arial"/>
          <w:b/>
          <w:bCs/>
          <w:sz w:val="22"/>
          <w:szCs w:val="22"/>
          <w:lang w:val="en-GB"/>
        </w:rPr>
        <w:t>A2.1.4</w:t>
      </w:r>
      <w:r w:rsidRPr="00E4265B">
        <w:rPr>
          <w:rFonts w:ascii="Arial" w:hAnsi="Arial" w:cs="Arial"/>
          <w:sz w:val="22"/>
          <w:szCs w:val="22"/>
          <w:lang w:val="en-GB"/>
        </w:rPr>
        <w:tab/>
        <w:t>(a)</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not include loans or traded loans in its Trading Book unless they have been used to hedge a Trading Book transaction.</w:t>
      </w:r>
    </w:p>
    <w:p w14:paraId="3D415CD7"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not include in its Trading Book an Exposure relating to a direct holding of immovable property.</w:t>
      </w:r>
    </w:p>
    <w:p w14:paraId="0F93757B" w14:textId="77777777" w:rsidR="00E22FF2" w:rsidRPr="00E4265B" w:rsidRDefault="00E22FF2" w:rsidP="001D72F4">
      <w:pPr>
        <w:pStyle w:val="TitleL5"/>
        <w:rPr>
          <w:rFonts w:ascii="Arial" w:hAnsi="Arial" w:cs="Arial"/>
          <w:sz w:val="22"/>
          <w:szCs w:val="22"/>
          <w:lang w:val="en-GB"/>
        </w:rPr>
      </w:pPr>
      <w:r w:rsidRPr="00E4265B">
        <w:rPr>
          <w:rFonts w:ascii="Arial" w:hAnsi="Arial" w:cs="Arial"/>
          <w:sz w:val="22"/>
          <w:szCs w:val="22"/>
          <w:lang w:val="en-GB"/>
        </w:rPr>
        <w:t>Trading intent</w:t>
      </w:r>
    </w:p>
    <w:p w14:paraId="270EAD34" w14:textId="77777777" w:rsidR="00E22FF2" w:rsidRPr="00E4265B" w:rsidRDefault="00E22FF2" w:rsidP="001D72F4">
      <w:pPr>
        <w:pStyle w:val="List2TabStops"/>
        <w:rPr>
          <w:rFonts w:ascii="Arial" w:hAnsi="Arial" w:cs="Arial"/>
          <w:sz w:val="22"/>
          <w:szCs w:val="22"/>
          <w:lang w:val="en-GB"/>
        </w:rPr>
      </w:pPr>
      <w:r w:rsidRPr="00E4265B">
        <w:rPr>
          <w:rFonts w:ascii="Arial" w:hAnsi="Arial" w:cs="Arial"/>
          <w:b/>
          <w:bCs/>
          <w:sz w:val="22"/>
          <w:szCs w:val="22"/>
          <w:lang w:val="en-GB"/>
        </w:rPr>
        <w:t>A2.1.5</w:t>
      </w:r>
      <w:r w:rsidRPr="00E4265B">
        <w:rPr>
          <w:rFonts w:ascii="Arial" w:eastAsia="Arial" w:hAnsi="Arial" w:cs="Arial"/>
          <w:b/>
          <w:bCs/>
          <w:sz w:val="22"/>
          <w:szCs w:val="22"/>
          <w:lang w:val="en-GB"/>
        </w:rPr>
        <w:tab/>
      </w: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subject to Rule A2.1.3, only include in its Trading Book:</w:t>
      </w:r>
    </w:p>
    <w:p w14:paraId="79175C3C"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 position in a </w:t>
      </w:r>
      <w:r w:rsidR="00690BF6" w:rsidRPr="00E4265B">
        <w:rPr>
          <w:rFonts w:ascii="Arial" w:hAnsi="Arial" w:cs="Arial"/>
          <w:sz w:val="22"/>
          <w:szCs w:val="22"/>
          <w:lang w:val="en-GB"/>
        </w:rPr>
        <w:t>Financial Instrument</w:t>
      </w:r>
      <w:r w:rsidRPr="00E4265B">
        <w:rPr>
          <w:rFonts w:ascii="Arial" w:hAnsi="Arial" w:cs="Arial"/>
          <w:sz w:val="22"/>
          <w:szCs w:val="22"/>
          <w:lang w:val="en-GB"/>
        </w:rPr>
        <w:t xml:space="preserve">, commodity or commodity </w:t>
      </w:r>
      <w:r w:rsidR="005F3B3B" w:rsidRPr="00E4265B">
        <w:rPr>
          <w:rFonts w:ascii="Arial" w:hAnsi="Arial" w:cs="Arial"/>
          <w:sz w:val="22"/>
          <w:szCs w:val="22"/>
          <w:lang w:val="en-GB"/>
        </w:rPr>
        <w:t>Derivative</w:t>
      </w:r>
      <w:r w:rsidRPr="00E4265B">
        <w:rPr>
          <w:rFonts w:ascii="Arial" w:hAnsi="Arial" w:cs="Arial"/>
          <w:sz w:val="22"/>
          <w:szCs w:val="22"/>
          <w:lang w:val="en-GB"/>
        </w:rPr>
        <w:t xml:space="preserve"> held with trading intent; or</w:t>
      </w:r>
    </w:p>
    <w:p w14:paraId="103A5A6B"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 position hedging other positions in the Trading Book.</w:t>
      </w:r>
    </w:p>
    <w:p w14:paraId="29AB6EA6"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For the purpose of (1), such positions included in the Trading Book must be free of any restrictive covenants which limit their tradability or ability to be hedged.</w:t>
      </w:r>
    </w:p>
    <w:p w14:paraId="30C09D7D"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For the purpose of (1), a position in a </w:t>
      </w:r>
      <w:r w:rsidR="00690BF6" w:rsidRPr="00E4265B">
        <w:rPr>
          <w:rFonts w:ascii="Arial" w:hAnsi="Arial" w:cs="Arial"/>
          <w:sz w:val="22"/>
          <w:szCs w:val="22"/>
          <w:lang w:val="en-GB"/>
        </w:rPr>
        <w:t>Financial Instrument</w:t>
      </w:r>
      <w:r w:rsidRPr="00E4265B">
        <w:rPr>
          <w:rFonts w:ascii="Arial" w:hAnsi="Arial" w:cs="Arial"/>
          <w:sz w:val="22"/>
          <w:szCs w:val="22"/>
          <w:lang w:val="en-GB"/>
        </w:rPr>
        <w:t xml:space="preserve">, commodity or commodity </w:t>
      </w:r>
      <w:r w:rsidR="005F3B3B" w:rsidRPr="00E4265B">
        <w:rPr>
          <w:rFonts w:ascii="Arial" w:hAnsi="Arial" w:cs="Arial"/>
          <w:sz w:val="22"/>
          <w:szCs w:val="22"/>
          <w:lang w:val="en-GB"/>
        </w:rPr>
        <w:t>Derivative</w:t>
      </w:r>
      <w:r w:rsidRPr="00E4265B">
        <w:rPr>
          <w:rFonts w:ascii="Arial" w:hAnsi="Arial" w:cs="Arial"/>
          <w:sz w:val="22"/>
          <w:szCs w:val="22"/>
          <w:lang w:val="en-GB"/>
        </w:rPr>
        <w:t xml:space="preserve"> is held with trading intent if:</w:t>
      </w:r>
    </w:p>
    <w:p w14:paraId="68668D50"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it is held with the intention of:</w:t>
      </w:r>
    </w:p>
    <w:p w14:paraId="41482C26" w14:textId="77777777" w:rsidR="00E22FF2" w:rsidRPr="00E4265B" w:rsidRDefault="00E22FF2" w:rsidP="001D72F4">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benefiting in the short term from actual or expected differences between buying and selling prices or from other price or interest</w:t>
      </w:r>
      <w:r w:rsidRPr="00E4265B">
        <w:rPr>
          <w:rFonts w:ascii="Arial" w:hAnsi="Arial" w:cs="Arial"/>
          <w:sz w:val="22"/>
          <w:szCs w:val="22"/>
          <w:lang w:val="en-GB"/>
        </w:rPr>
        <w:noBreakHyphen/>
        <w:t>rate variations;</w:t>
      </w:r>
    </w:p>
    <w:p w14:paraId="08D291D6" w14:textId="77777777" w:rsidR="00E22FF2" w:rsidRPr="00E4265B" w:rsidRDefault="00E22FF2" w:rsidP="001D72F4">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selling it over the short term;</w:t>
      </w:r>
    </w:p>
    <w:p w14:paraId="11318507" w14:textId="77777777" w:rsidR="00E22FF2" w:rsidRPr="00E4265B" w:rsidRDefault="00E22FF2" w:rsidP="001D72F4">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locking in arbitrage profits; or</w:t>
      </w:r>
    </w:p>
    <w:p w14:paraId="33C91F8E" w14:textId="77777777" w:rsidR="00E22FF2" w:rsidRPr="00E4265B" w:rsidRDefault="00E22FF2" w:rsidP="001D72F4">
      <w:pPr>
        <w:pStyle w:val="iList"/>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market making;</w:t>
      </w:r>
    </w:p>
    <w:p w14:paraId="45CC6566"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lastRenderedPageBreak/>
        <w:t>(b)</w:t>
      </w:r>
      <w:r w:rsidRPr="00E4265B">
        <w:rPr>
          <w:rFonts w:ascii="Arial" w:hAnsi="Arial" w:cs="Arial"/>
          <w:sz w:val="22"/>
          <w:szCs w:val="22"/>
          <w:lang w:val="en-GB"/>
        </w:rPr>
        <w:tab/>
        <w:t xml:space="preserve">it is marked to market or marked to model regularly on a prudent and consistent basis, as part of the </w:t>
      </w:r>
      <w:r w:rsidR="000D1A90" w:rsidRPr="00E4265B">
        <w:rPr>
          <w:rFonts w:ascii="Arial" w:hAnsi="Arial" w:cs="Arial"/>
          <w:sz w:val="22"/>
          <w:szCs w:val="22"/>
          <w:lang w:val="en-GB"/>
        </w:rPr>
        <w:t>Authorised Person</w:t>
      </w:r>
      <w:r w:rsidRPr="00E4265B">
        <w:rPr>
          <w:rFonts w:ascii="Arial" w:hAnsi="Arial" w:cs="Arial"/>
          <w:sz w:val="22"/>
          <w:szCs w:val="22"/>
          <w:lang w:val="en-GB"/>
        </w:rPr>
        <w:t>'s internal risk management processes;</w:t>
      </w:r>
    </w:p>
    <w:p w14:paraId="4D5AD996"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position</w:t>
      </w:r>
      <w:r w:rsidRPr="00E4265B">
        <w:rPr>
          <w:rFonts w:ascii="Arial" w:hAnsi="Arial" w:cs="Arial"/>
          <w:sz w:val="22"/>
          <w:szCs w:val="22"/>
          <w:lang w:val="en-GB"/>
        </w:rPr>
        <w:noBreakHyphen/>
        <w:t xml:space="preserve">takers at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have autonomy in entering into or changing transactions within pre</w:t>
      </w:r>
      <w:r w:rsidRPr="00E4265B">
        <w:rPr>
          <w:rFonts w:ascii="Arial" w:hAnsi="Arial" w:cs="Arial"/>
          <w:sz w:val="22"/>
          <w:szCs w:val="22"/>
          <w:lang w:val="en-GB"/>
        </w:rPr>
        <w:noBreakHyphen/>
        <w:t xml:space="preserve">determined limits, or the position satisfies other criteria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applies to the composition of its Trading Book;</w:t>
      </w:r>
    </w:p>
    <w:p w14:paraId="315A4009"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there is an appropriate documented trading strategy for the position, approved by senior management which includes the expected holding horizon; and</w:t>
      </w:r>
    </w:p>
    <w:p w14:paraId="6E576C5D"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active monitoring of the position is undertaken using market information sources.</w:t>
      </w:r>
    </w:p>
    <w:p w14:paraId="2AE5167C" w14:textId="77777777" w:rsidR="00E22FF2" w:rsidRPr="00E4265B" w:rsidRDefault="00E22FF2" w:rsidP="001D72F4">
      <w:pPr>
        <w:pStyle w:val="A1List"/>
        <w:rPr>
          <w:rFonts w:ascii="Arial" w:hAnsi="Arial" w:cs="Arial"/>
          <w:sz w:val="22"/>
          <w:szCs w:val="22"/>
          <w:lang w:val="en-GB"/>
        </w:rPr>
      </w:pPr>
      <w:r w:rsidRPr="00E4265B">
        <w:rPr>
          <w:rFonts w:ascii="Arial" w:hAnsi="Arial" w:cs="Arial"/>
          <w:b/>
          <w:bCs/>
          <w:sz w:val="22"/>
          <w:szCs w:val="22"/>
          <w:lang w:val="en-GB"/>
        </w:rPr>
        <w:t>A2.1.6</w:t>
      </w:r>
      <w:r w:rsidRPr="00E4265B">
        <w:rPr>
          <w:rFonts w:ascii="Arial" w:eastAsia="Arial" w:hAnsi="Arial" w:cs="Arial"/>
          <w:b/>
          <w:bCs/>
          <w:sz w:val="22"/>
          <w:szCs w:val="22"/>
          <w:lang w:val="en-GB"/>
        </w:rPr>
        <w:tab/>
      </w:r>
      <w:r w:rsidRPr="00E4265B">
        <w:rPr>
          <w:rFonts w:ascii="Arial" w:hAnsi="Arial" w:cs="Arial"/>
          <w:sz w:val="22"/>
          <w:szCs w:val="22"/>
          <w:lang w:val="en-GB"/>
        </w:rPr>
        <w:t>Positions held with trading intent must comply with the following requirements:</w:t>
      </w:r>
    </w:p>
    <w:p w14:paraId="319C5FB3"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trading intent must be evidenced in the strategies, policies and procedures established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manage the position or its portfolio;</w:t>
      </w:r>
    </w:p>
    <w:p w14:paraId="571028E6"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there must be clearly defined policies and procedures for active management of the position to ensure the following:</w:t>
      </w:r>
    </w:p>
    <w:p w14:paraId="21FDD55A" w14:textId="77777777" w:rsidR="00E22FF2" w:rsidRPr="00E4265B" w:rsidRDefault="00E22FF2" w:rsidP="001D72F4">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position is entered and/or managed on a trading desk; </w:t>
      </w:r>
    </w:p>
    <w:p w14:paraId="21EE9059" w14:textId="77777777" w:rsidR="00E22FF2" w:rsidRPr="00E4265B" w:rsidRDefault="00E22FF2" w:rsidP="001D72F4">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position limits are set and monitored for appropriateness;</w:t>
      </w:r>
    </w:p>
    <w:p w14:paraId="58247814" w14:textId="77777777" w:rsidR="00E22FF2" w:rsidRPr="00E4265B" w:rsidRDefault="00E22FF2" w:rsidP="001D72F4">
      <w:pPr>
        <w:pStyle w:val="a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position</w:t>
      </w:r>
      <w:r w:rsidRPr="00E4265B">
        <w:rPr>
          <w:rFonts w:ascii="Arial" w:hAnsi="Arial" w:cs="Arial"/>
          <w:sz w:val="22"/>
          <w:szCs w:val="22"/>
          <w:lang w:val="en-GB"/>
        </w:rPr>
        <w:noBreakHyphen/>
        <w:t xml:space="preserve">takers at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have autonomy in entering into or changing transactions within pre</w:t>
      </w:r>
      <w:r w:rsidRPr="00E4265B">
        <w:rPr>
          <w:rFonts w:ascii="Arial" w:hAnsi="Arial" w:cs="Arial"/>
          <w:sz w:val="22"/>
          <w:szCs w:val="22"/>
          <w:lang w:val="en-GB"/>
        </w:rPr>
        <w:noBreakHyphen/>
        <w:t xml:space="preserve">determined limits, or the position satisfies other criteria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applies to the composition of its Trading Book;</w:t>
      </w:r>
    </w:p>
    <w:p w14:paraId="0A1F77A1" w14:textId="77777777" w:rsidR="00E22FF2" w:rsidRPr="00E4265B" w:rsidRDefault="00E22FF2" w:rsidP="001D72F4">
      <w:pPr>
        <w:pStyle w:val="aList"/>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the position is marked</w:t>
      </w:r>
      <w:r w:rsidRPr="00E4265B">
        <w:rPr>
          <w:rFonts w:ascii="Arial" w:hAnsi="Arial" w:cs="Arial"/>
          <w:sz w:val="22"/>
          <w:szCs w:val="22"/>
          <w:lang w:val="en-GB"/>
        </w:rPr>
        <w:noBreakHyphen/>
        <w:t>to</w:t>
      </w:r>
      <w:r w:rsidRPr="00E4265B">
        <w:rPr>
          <w:rFonts w:ascii="Arial" w:hAnsi="Arial" w:cs="Arial"/>
          <w:sz w:val="22"/>
          <w:szCs w:val="22"/>
          <w:lang w:val="en-GB"/>
        </w:rPr>
        <w:noBreakHyphen/>
        <w:t>market or marked</w:t>
      </w:r>
      <w:r w:rsidRPr="00E4265B">
        <w:rPr>
          <w:rFonts w:ascii="Arial" w:hAnsi="Arial" w:cs="Arial"/>
          <w:sz w:val="22"/>
          <w:szCs w:val="22"/>
          <w:lang w:val="en-GB"/>
        </w:rPr>
        <w:noBreakHyphen/>
        <w:t>to</w:t>
      </w:r>
      <w:r w:rsidRPr="00E4265B">
        <w:rPr>
          <w:rFonts w:ascii="Arial" w:hAnsi="Arial" w:cs="Arial"/>
          <w:sz w:val="22"/>
          <w:szCs w:val="22"/>
          <w:lang w:val="en-GB"/>
        </w:rPr>
        <w:noBreakHyphen/>
        <w:t xml:space="preserve">model at least daily on a prudent and consistent basis as part of the </w:t>
      </w:r>
      <w:r w:rsidR="000D1A90" w:rsidRPr="00E4265B">
        <w:rPr>
          <w:rFonts w:ascii="Arial" w:hAnsi="Arial" w:cs="Arial"/>
          <w:sz w:val="22"/>
          <w:szCs w:val="22"/>
          <w:lang w:val="en-GB"/>
        </w:rPr>
        <w:t>Authorised Person</w:t>
      </w:r>
      <w:r w:rsidRPr="00E4265B">
        <w:rPr>
          <w:rFonts w:ascii="Arial" w:hAnsi="Arial" w:cs="Arial"/>
          <w:sz w:val="22"/>
          <w:szCs w:val="22"/>
          <w:lang w:val="en-GB"/>
        </w:rPr>
        <w:t>'s internal risk management processes;</w:t>
      </w:r>
    </w:p>
    <w:p w14:paraId="743CFF3A" w14:textId="77777777" w:rsidR="00E22FF2" w:rsidRPr="00E4265B" w:rsidRDefault="00E22FF2" w:rsidP="001D72F4">
      <w:pPr>
        <w:pStyle w:val="aList"/>
        <w:rPr>
          <w:rFonts w:ascii="Arial" w:hAnsi="Arial" w:cs="Arial"/>
          <w:sz w:val="22"/>
          <w:szCs w:val="22"/>
          <w:lang w:val="en-GB"/>
        </w:rPr>
      </w:pPr>
      <w:r w:rsidRPr="00E4265B">
        <w:rPr>
          <w:rFonts w:ascii="Arial" w:hAnsi="Arial" w:cs="Arial"/>
          <w:sz w:val="22"/>
          <w:szCs w:val="22"/>
          <w:lang w:val="en-GB"/>
        </w:rPr>
        <w:t>(v)</w:t>
      </w:r>
      <w:r w:rsidRPr="00E4265B">
        <w:rPr>
          <w:rFonts w:ascii="Arial" w:hAnsi="Arial" w:cs="Arial"/>
          <w:sz w:val="22"/>
          <w:szCs w:val="22"/>
          <w:lang w:val="en-GB"/>
        </w:rPr>
        <w:tab/>
        <w:t>where the position is marked</w:t>
      </w:r>
      <w:r w:rsidRPr="00E4265B">
        <w:rPr>
          <w:rFonts w:ascii="Arial" w:hAnsi="Arial" w:cs="Arial"/>
          <w:sz w:val="22"/>
          <w:szCs w:val="22"/>
          <w:lang w:val="en-GB"/>
        </w:rPr>
        <w:noBreakHyphen/>
        <w:t>to</w:t>
      </w:r>
      <w:r w:rsidRPr="00E4265B">
        <w:rPr>
          <w:rFonts w:ascii="Arial" w:hAnsi="Arial" w:cs="Arial"/>
          <w:sz w:val="22"/>
          <w:szCs w:val="22"/>
          <w:lang w:val="en-GB"/>
        </w:rPr>
        <w:noBreakHyphen/>
        <w:t>model, the parameters for the model are assessed on a daily basis;</w:t>
      </w:r>
    </w:p>
    <w:p w14:paraId="6318468F" w14:textId="77777777" w:rsidR="00E22FF2" w:rsidRPr="00E4265B" w:rsidRDefault="00E22FF2" w:rsidP="001D72F4">
      <w:pPr>
        <w:pStyle w:val="aList"/>
        <w:rPr>
          <w:rFonts w:ascii="Arial" w:hAnsi="Arial" w:cs="Arial"/>
          <w:sz w:val="22"/>
          <w:szCs w:val="22"/>
          <w:lang w:val="en-GB"/>
        </w:rPr>
      </w:pPr>
      <w:r w:rsidRPr="00E4265B">
        <w:rPr>
          <w:rFonts w:ascii="Arial" w:hAnsi="Arial" w:cs="Arial"/>
          <w:sz w:val="22"/>
          <w:szCs w:val="22"/>
          <w:lang w:val="en-GB"/>
        </w:rPr>
        <w:t>(vi)</w:t>
      </w:r>
      <w:r w:rsidRPr="00E4265B">
        <w:rPr>
          <w:rFonts w:ascii="Arial" w:hAnsi="Arial" w:cs="Arial"/>
          <w:sz w:val="22"/>
          <w:szCs w:val="22"/>
          <w:lang w:val="en-GB"/>
        </w:rPr>
        <w:tab/>
        <w:t xml:space="preserve">the position is monitored against the documented trading strategy including the monitoring of turnover and stale positions in the </w:t>
      </w:r>
      <w:r w:rsidR="000D1A90" w:rsidRPr="00E4265B">
        <w:rPr>
          <w:rFonts w:ascii="Arial" w:hAnsi="Arial" w:cs="Arial"/>
          <w:sz w:val="22"/>
          <w:szCs w:val="22"/>
          <w:lang w:val="en-GB"/>
        </w:rPr>
        <w:t>Authorised Person</w:t>
      </w:r>
      <w:r w:rsidRPr="00E4265B">
        <w:rPr>
          <w:rFonts w:ascii="Arial" w:hAnsi="Arial" w:cs="Arial"/>
          <w:sz w:val="22"/>
          <w:szCs w:val="22"/>
          <w:lang w:val="en-GB"/>
        </w:rPr>
        <w:t>'s Trading Book;</w:t>
      </w:r>
    </w:p>
    <w:p w14:paraId="3557CAC5" w14:textId="77777777" w:rsidR="00E22FF2" w:rsidRPr="00E4265B" w:rsidRDefault="00E22FF2" w:rsidP="001D72F4">
      <w:pPr>
        <w:pStyle w:val="aList"/>
        <w:rPr>
          <w:rFonts w:ascii="Arial" w:hAnsi="Arial" w:cs="Arial"/>
          <w:sz w:val="22"/>
          <w:szCs w:val="22"/>
          <w:lang w:val="en-GB"/>
        </w:rPr>
      </w:pPr>
      <w:r w:rsidRPr="00E4265B">
        <w:rPr>
          <w:rFonts w:ascii="Arial" w:hAnsi="Arial" w:cs="Arial"/>
          <w:sz w:val="22"/>
          <w:szCs w:val="22"/>
          <w:lang w:val="en-GB"/>
        </w:rPr>
        <w:t>(vii)</w:t>
      </w:r>
      <w:r w:rsidRPr="00E4265B">
        <w:rPr>
          <w:rFonts w:ascii="Arial" w:hAnsi="Arial" w:cs="Arial"/>
          <w:sz w:val="22"/>
          <w:szCs w:val="22"/>
          <w:lang w:val="en-GB"/>
        </w:rPr>
        <w:tab/>
        <w:t>active monitoring of the position is undertaken using market information sources and an assessment made of the marketability or hedge</w:t>
      </w:r>
      <w:r w:rsidRPr="00E4265B">
        <w:rPr>
          <w:rFonts w:ascii="Arial" w:hAnsi="Arial" w:cs="Arial"/>
          <w:sz w:val="22"/>
          <w:szCs w:val="22"/>
          <w:lang w:val="en-GB"/>
        </w:rPr>
        <w:noBreakHyphen/>
        <w:t>ability of the position or its component risks, including the assessment of the quality and availability of market inputs to the valuation process, level of markets turnover and sizes of positions traded in the market; and</w:t>
      </w:r>
    </w:p>
    <w:p w14:paraId="040AB3D9"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(viii)</w:t>
      </w:r>
      <w:r w:rsidRPr="00E4265B">
        <w:rPr>
          <w:rFonts w:ascii="Arial" w:hAnsi="Arial" w:cs="Arial"/>
          <w:sz w:val="22"/>
          <w:szCs w:val="22"/>
          <w:lang w:val="en-GB"/>
        </w:rPr>
        <w:tab/>
        <w:t xml:space="preserve">positions and exceptions are reported to senior management as an integral part of the risk management process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29A23BDD" w14:textId="77777777" w:rsidR="00E22FF2" w:rsidRPr="00E4265B" w:rsidRDefault="00E22FF2" w:rsidP="001D72F4">
      <w:pPr>
        <w:pStyle w:val="TitleL5"/>
        <w:rPr>
          <w:rFonts w:ascii="Arial" w:hAnsi="Arial" w:cs="Arial"/>
          <w:sz w:val="22"/>
          <w:szCs w:val="22"/>
          <w:lang w:val="en-GB"/>
        </w:rPr>
      </w:pPr>
      <w:r w:rsidRPr="00E4265B">
        <w:rPr>
          <w:rFonts w:ascii="Arial" w:hAnsi="Arial" w:cs="Arial"/>
          <w:sz w:val="22"/>
          <w:szCs w:val="22"/>
          <w:lang w:val="en-GB"/>
        </w:rPr>
        <w:lastRenderedPageBreak/>
        <w:t>Treatment of structural foreign exchange positions</w:t>
      </w:r>
    </w:p>
    <w:p w14:paraId="4FDF5152" w14:textId="77777777" w:rsidR="00E22FF2" w:rsidRPr="00E4265B" w:rsidRDefault="00E22FF2" w:rsidP="001D72F4">
      <w:pPr>
        <w:pStyle w:val="A1List"/>
        <w:rPr>
          <w:rFonts w:ascii="Arial" w:hAnsi="Arial" w:cs="Arial"/>
          <w:sz w:val="22"/>
          <w:szCs w:val="22"/>
          <w:lang w:val="en-GB"/>
        </w:rPr>
      </w:pPr>
      <w:r w:rsidRPr="00E4265B">
        <w:rPr>
          <w:rFonts w:ascii="Arial" w:hAnsi="Arial" w:cs="Arial"/>
          <w:b/>
          <w:bCs/>
          <w:sz w:val="22"/>
          <w:szCs w:val="22"/>
          <w:lang w:val="en-GB"/>
        </w:rPr>
        <w:t>A2.1.7</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Category 1 or 5 which has assumed a position in order to hedge partially or totally against the adverse effect of the exchange rate on its Capital Resources, in respect of an asset or any other item, may exclude such a position from the calculation of its net open foreign exchange positions subject to the following:</w:t>
      </w:r>
    </w:p>
    <w:p w14:paraId="453F8DEE"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position is of a non</w:t>
      </w:r>
      <w:r w:rsidRPr="00E4265B">
        <w:rPr>
          <w:rFonts w:ascii="Arial" w:hAnsi="Arial" w:cs="Arial"/>
          <w:sz w:val="22"/>
          <w:szCs w:val="22"/>
          <w:lang w:val="en-GB"/>
        </w:rPr>
        <w:noBreakHyphen/>
        <w:t>dealing nature;</w:t>
      </w:r>
    </w:p>
    <w:p w14:paraId="3234C6D1"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position does no more than protect the Capital Resources of the </w:t>
      </w:r>
      <w:r w:rsidR="000D1A90" w:rsidRPr="00E4265B">
        <w:rPr>
          <w:rFonts w:ascii="Arial" w:hAnsi="Arial" w:cs="Arial"/>
          <w:sz w:val="22"/>
          <w:szCs w:val="22"/>
          <w:lang w:val="en-GB"/>
        </w:rPr>
        <w:t>Authorised Person</w:t>
      </w:r>
      <w:r w:rsidRPr="00E4265B">
        <w:rPr>
          <w:rFonts w:ascii="Arial" w:hAnsi="Arial" w:cs="Arial"/>
          <w:sz w:val="22"/>
          <w:szCs w:val="22"/>
          <w:lang w:val="en-GB"/>
        </w:rPr>
        <w:t>; and</w:t>
      </w:r>
    </w:p>
    <w:p w14:paraId="2DBC1439"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any exclusion of the position is applied consistently, with the treatment of the hedge remaining the same for the life of the asset or other item.</w:t>
      </w:r>
    </w:p>
    <w:p w14:paraId="23608F72" w14:textId="77777777" w:rsidR="00E22FF2" w:rsidRPr="00E4265B" w:rsidRDefault="00E22FF2" w:rsidP="001D72F4">
      <w:pPr>
        <w:pStyle w:val="A1List"/>
        <w:rPr>
          <w:rFonts w:ascii="Arial" w:hAnsi="Arial" w:cs="Arial"/>
          <w:sz w:val="22"/>
          <w:szCs w:val="22"/>
          <w:lang w:val="en-GB"/>
        </w:rPr>
      </w:pPr>
      <w:r w:rsidRPr="00E4265B">
        <w:rPr>
          <w:rFonts w:ascii="Arial" w:hAnsi="Arial" w:cs="Arial"/>
          <w:b/>
          <w:bCs/>
          <w:sz w:val="22"/>
          <w:szCs w:val="22"/>
          <w:lang w:val="en-GB"/>
        </w:rPr>
        <w:t>A2.1.8</w:t>
      </w:r>
      <w:r w:rsidRPr="00E4265B">
        <w:rPr>
          <w:rFonts w:ascii="Arial" w:eastAsia="Arial" w:hAnsi="Arial" w:cs="Arial"/>
          <w:b/>
          <w:bCs/>
          <w:sz w:val="22"/>
          <w:szCs w:val="22"/>
          <w:lang w:val="en-GB"/>
        </w:rPr>
        <w:tab/>
      </w:r>
      <w:r w:rsidRPr="00E4265B">
        <w:rPr>
          <w:rFonts w:ascii="Arial" w:hAnsi="Arial" w:cs="Arial"/>
          <w:sz w:val="22"/>
          <w:szCs w:val="22"/>
          <w:lang w:val="en-GB"/>
        </w:rPr>
        <w:t xml:space="preserve">In calculating its net open foreign exchange positions,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exclude any foreign exchange position related to:</w:t>
      </w:r>
    </w:p>
    <w:p w14:paraId="4A6BDFDB"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items which are included as deductions from T1 Capital or deductions from T2 Capital, such as investments in unconsolidated subsidiaries; and</w:t>
      </w:r>
    </w:p>
    <w:p w14:paraId="2777AD6D"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associated companies and joint ventures, denominated in foreign currencies, which are reported in the published accounts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at historic cost.</w:t>
      </w:r>
    </w:p>
    <w:p w14:paraId="3544F269" w14:textId="77777777" w:rsidR="00E22FF2" w:rsidRPr="00E4265B" w:rsidRDefault="00E22FF2" w:rsidP="001D72F4">
      <w:pPr>
        <w:pStyle w:val="TitleL5"/>
        <w:rPr>
          <w:rFonts w:ascii="Arial" w:hAnsi="Arial" w:cs="Arial"/>
          <w:sz w:val="22"/>
          <w:szCs w:val="22"/>
          <w:lang w:val="en-GB"/>
        </w:rPr>
      </w:pPr>
      <w:r w:rsidRPr="00E4265B">
        <w:rPr>
          <w:rFonts w:ascii="Arial" w:hAnsi="Arial" w:cs="Arial"/>
          <w:sz w:val="22"/>
          <w:szCs w:val="22"/>
          <w:lang w:val="en-GB"/>
        </w:rPr>
        <w:t>Repurchase and reverse repurchase agreements</w:t>
      </w:r>
    </w:p>
    <w:p w14:paraId="31146862" w14:textId="77777777" w:rsidR="00E22FF2" w:rsidRPr="00E4265B" w:rsidRDefault="00E22FF2" w:rsidP="001D72F4">
      <w:pPr>
        <w:pStyle w:val="A1List"/>
        <w:rPr>
          <w:rFonts w:ascii="Arial" w:hAnsi="Arial" w:cs="Arial"/>
          <w:sz w:val="22"/>
          <w:szCs w:val="22"/>
          <w:lang w:val="en-GB"/>
        </w:rPr>
      </w:pPr>
      <w:r w:rsidRPr="00E4265B">
        <w:rPr>
          <w:rFonts w:ascii="Arial" w:hAnsi="Arial" w:cs="Arial"/>
          <w:b/>
          <w:bCs/>
          <w:sz w:val="22"/>
          <w:szCs w:val="22"/>
          <w:lang w:val="en-GB"/>
        </w:rPr>
        <w:t>A2.1.9</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include in its Trading Book an Exposure due to a repurchase agreement, reverse repurchase agreement,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and commodities borrowing,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and commodities lending transactions if:</w:t>
      </w:r>
    </w:p>
    <w:p w14:paraId="76F540F4"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Exposure is marked to market daily (cash borrowed or lent under a repurchase agreement or a reverse repurchase agreement may be included in the Trading Book even if not marked to market provided that the residual maturity of the borrowing or lending is one month or less);</w:t>
      </w:r>
    </w:p>
    <w:p w14:paraId="39C9CA2D"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Collateral is adjusted to take account of changes in the value of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or commodities involved;</w:t>
      </w:r>
    </w:p>
    <w:p w14:paraId="0D5DEBCE"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the agreement or transaction provides for the </w:t>
      </w:r>
      <w:r w:rsidR="000D1A90" w:rsidRPr="00E4265B">
        <w:rPr>
          <w:rFonts w:ascii="Arial" w:hAnsi="Arial" w:cs="Arial"/>
          <w:sz w:val="22"/>
          <w:szCs w:val="22"/>
          <w:lang w:val="en-GB"/>
        </w:rPr>
        <w:t>Authorised Person</w:t>
      </w:r>
      <w:r w:rsidRPr="00E4265B">
        <w:rPr>
          <w:rFonts w:ascii="Arial" w:hAnsi="Arial" w:cs="Arial"/>
          <w:sz w:val="22"/>
          <w:szCs w:val="22"/>
          <w:lang w:val="en-GB"/>
        </w:rPr>
        <w:t>'s claims to be automatically and immediately offset against its Counterparty's claims if the latter defaults; and</w:t>
      </w:r>
    </w:p>
    <w:p w14:paraId="672BEDF0"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such agreements and transactions are confined to their accepted and appropriate use and artificial transactions, especially those not of a short</w:t>
      </w:r>
      <w:r w:rsidRPr="00E4265B">
        <w:rPr>
          <w:rFonts w:ascii="Arial" w:hAnsi="Arial" w:cs="Arial"/>
          <w:sz w:val="22"/>
          <w:szCs w:val="22"/>
          <w:lang w:val="en-GB"/>
        </w:rPr>
        <w:noBreakHyphen/>
        <w:t>term nature, are excluded.</w:t>
      </w:r>
    </w:p>
    <w:p w14:paraId="1B54018E" w14:textId="77777777" w:rsidR="00E22FF2" w:rsidRPr="00E4265B" w:rsidRDefault="00E22FF2" w:rsidP="001D72F4">
      <w:pPr>
        <w:pStyle w:val="TitleL5"/>
        <w:rPr>
          <w:rFonts w:ascii="Arial" w:hAnsi="Arial" w:cs="Arial"/>
          <w:sz w:val="22"/>
          <w:szCs w:val="22"/>
          <w:lang w:val="en-GB"/>
        </w:rPr>
      </w:pPr>
      <w:r w:rsidRPr="00E4265B">
        <w:rPr>
          <w:rFonts w:ascii="Arial" w:hAnsi="Arial" w:cs="Arial"/>
          <w:sz w:val="22"/>
          <w:szCs w:val="22"/>
          <w:lang w:val="en-GB"/>
        </w:rPr>
        <w:t>Guidance</w:t>
      </w:r>
    </w:p>
    <w:p w14:paraId="09A4C5E5" w14:textId="77777777" w:rsidR="002C421A" w:rsidRPr="00E4265B" w:rsidRDefault="00E22FF2" w:rsidP="002C421A">
      <w:pPr>
        <w:pStyle w:val="UK12Block05"/>
        <w:ind w:left="851"/>
        <w:rPr>
          <w:rFonts w:ascii="Arial" w:hAnsi="Arial" w:cs="Arial"/>
          <w:sz w:val="22"/>
          <w:szCs w:val="22"/>
          <w:lang w:val="en-GB"/>
        </w:rPr>
      </w:pPr>
      <w:r w:rsidRPr="00E4265B">
        <w:rPr>
          <w:rFonts w:ascii="Arial" w:hAnsi="Arial" w:cs="Arial"/>
          <w:sz w:val="22"/>
          <w:szCs w:val="22"/>
          <w:lang w:val="en-GB"/>
        </w:rPr>
        <w:t xml:space="preserve">Cash items include loans and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xml:space="preserve"> and the cash legs of repurchase, stock borrowing, reverse repurchase and stock lending transactions.</w:t>
      </w:r>
      <w:r w:rsidR="002C421A" w:rsidRPr="00E4265B">
        <w:rPr>
          <w:rFonts w:ascii="Arial" w:hAnsi="Arial" w:cs="Arial"/>
          <w:sz w:val="22"/>
          <w:szCs w:val="22"/>
          <w:lang w:val="en-GB"/>
        </w:rPr>
        <w:t xml:space="preserve"> The Trading Book treatment for such Exposures is set out in Rule A4.7.</w:t>
      </w:r>
    </w:p>
    <w:p w14:paraId="3F15590A" w14:textId="77777777" w:rsidR="00E22FF2" w:rsidRPr="00E4265B" w:rsidRDefault="00E22FF2" w:rsidP="001D72F4">
      <w:pPr>
        <w:pStyle w:val="A1List"/>
        <w:rPr>
          <w:rFonts w:ascii="Arial" w:hAnsi="Arial" w:cs="Arial"/>
          <w:sz w:val="22"/>
          <w:szCs w:val="22"/>
          <w:lang w:val="en-GB"/>
        </w:rPr>
      </w:pPr>
      <w:r w:rsidRPr="00E4265B">
        <w:rPr>
          <w:rFonts w:ascii="Arial" w:hAnsi="Arial" w:cs="Arial"/>
          <w:b/>
          <w:bCs/>
          <w:sz w:val="22"/>
          <w:szCs w:val="22"/>
          <w:lang w:val="en-GB"/>
        </w:rPr>
        <w:t>A2.1.10</w:t>
      </w:r>
      <w:r w:rsidRPr="00E4265B">
        <w:rPr>
          <w:rFonts w:ascii="Arial" w:hAnsi="Arial" w:cs="Arial"/>
          <w:b/>
          <w:bCs/>
          <w:sz w:val="22"/>
          <w:szCs w:val="22"/>
          <w:lang w:val="en-GB"/>
        </w:rPr>
        <w:tab/>
      </w:r>
      <w:r w:rsidRPr="00E4265B">
        <w:rPr>
          <w:rFonts w:ascii="Arial" w:hAnsi="Arial" w:cs="Arial"/>
          <w:sz w:val="22"/>
          <w:szCs w:val="22"/>
          <w:lang w:val="en-GB"/>
        </w:rPr>
        <w:t xml:space="preserve">Where the conditions under Rule A2.1.9 are not met,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subject to Rule A2.1.3, include an Exposure arising under a repurchase agreement, </w:t>
      </w:r>
      <w:r w:rsidRPr="00E4265B">
        <w:rPr>
          <w:rFonts w:ascii="Arial" w:hAnsi="Arial" w:cs="Arial"/>
          <w:sz w:val="22"/>
          <w:szCs w:val="22"/>
          <w:lang w:val="en-GB"/>
        </w:rPr>
        <w:lastRenderedPageBreak/>
        <w:t xml:space="preserve">reverse repurchase agreement,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and commodities borrowing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and commodities lending in its Non</w:t>
      </w:r>
      <w:r w:rsidRPr="00E4265B">
        <w:rPr>
          <w:rFonts w:ascii="Arial" w:hAnsi="Arial" w:cs="Arial"/>
          <w:sz w:val="22"/>
          <w:szCs w:val="22"/>
          <w:lang w:val="en-GB"/>
        </w:rPr>
        <w:noBreakHyphen/>
        <w:t>Trading Book.</w:t>
      </w:r>
    </w:p>
    <w:p w14:paraId="3105A568" w14:textId="77777777" w:rsidR="00E22FF2" w:rsidRPr="00E4265B" w:rsidRDefault="00E22FF2" w:rsidP="001D72F4">
      <w:pPr>
        <w:pStyle w:val="TitleL5"/>
        <w:rPr>
          <w:rFonts w:ascii="Arial" w:hAnsi="Arial" w:cs="Arial"/>
          <w:sz w:val="22"/>
          <w:szCs w:val="22"/>
          <w:lang w:val="en-GB"/>
        </w:rPr>
      </w:pPr>
      <w:r w:rsidRPr="00E4265B">
        <w:rPr>
          <w:rFonts w:ascii="Arial" w:hAnsi="Arial" w:cs="Arial"/>
          <w:sz w:val="22"/>
          <w:szCs w:val="22"/>
          <w:lang w:val="en-GB"/>
        </w:rPr>
        <w:t>Guidance</w:t>
      </w:r>
    </w:p>
    <w:p w14:paraId="40A764BE" w14:textId="77777777" w:rsidR="00E22FF2" w:rsidRPr="00E4265B" w:rsidRDefault="00E22FF2" w:rsidP="001D72F4">
      <w:pPr>
        <w:pStyle w:val="UK12Block05"/>
        <w:rPr>
          <w:rFonts w:ascii="Arial" w:hAnsi="Arial" w:cs="Arial"/>
          <w:sz w:val="22"/>
          <w:szCs w:val="22"/>
          <w:lang w:val="en-GB"/>
        </w:rPr>
      </w:pPr>
      <w:r w:rsidRPr="00E4265B">
        <w:rPr>
          <w:rFonts w:ascii="Arial" w:hAnsi="Arial" w:cs="Arial"/>
          <w:sz w:val="22"/>
          <w:szCs w:val="22"/>
          <w:lang w:val="en-GB"/>
        </w:rPr>
        <w:t>The Non</w:t>
      </w:r>
      <w:r w:rsidRPr="00E4265B">
        <w:rPr>
          <w:rFonts w:ascii="Arial" w:hAnsi="Arial" w:cs="Arial"/>
          <w:sz w:val="22"/>
          <w:szCs w:val="22"/>
          <w:lang w:val="en-GB"/>
        </w:rPr>
        <w:noBreakHyphen/>
        <w:t>Trading Book treatment for such Exposures is set out in Rules in A4.8 and A4.9.</w:t>
      </w:r>
    </w:p>
    <w:p w14:paraId="70D09E51" w14:textId="77777777" w:rsidR="00E22FF2" w:rsidRPr="00E4265B" w:rsidRDefault="00E22FF2" w:rsidP="001D72F4">
      <w:pPr>
        <w:pStyle w:val="TitleL5"/>
        <w:rPr>
          <w:rFonts w:ascii="Arial" w:hAnsi="Arial" w:cs="Arial"/>
          <w:sz w:val="22"/>
          <w:szCs w:val="22"/>
          <w:lang w:val="en-GB"/>
        </w:rPr>
      </w:pPr>
      <w:r w:rsidRPr="00E4265B">
        <w:rPr>
          <w:rFonts w:ascii="Arial" w:hAnsi="Arial" w:cs="Arial"/>
          <w:sz w:val="22"/>
          <w:szCs w:val="22"/>
          <w:lang w:val="en-GB"/>
        </w:rPr>
        <w:t>Hedging of a Trading Book Exposure by a non</w:t>
      </w:r>
      <w:r w:rsidRPr="00E4265B">
        <w:rPr>
          <w:rFonts w:ascii="Arial" w:hAnsi="Arial" w:cs="Arial"/>
          <w:sz w:val="22"/>
          <w:szCs w:val="22"/>
          <w:lang w:val="en-GB"/>
        </w:rPr>
        <w:noBreakHyphen/>
      </w:r>
      <w:r w:rsidR="00690BF6" w:rsidRPr="00E4265B">
        <w:rPr>
          <w:rFonts w:ascii="Arial" w:hAnsi="Arial" w:cs="Arial"/>
          <w:sz w:val="22"/>
          <w:szCs w:val="22"/>
          <w:lang w:val="en-GB"/>
        </w:rPr>
        <w:t>Financial Instrument</w:t>
      </w:r>
    </w:p>
    <w:p w14:paraId="0E568CB4" w14:textId="77777777" w:rsidR="00E22FF2" w:rsidRPr="00E4265B" w:rsidRDefault="00E22FF2" w:rsidP="001D72F4">
      <w:pPr>
        <w:pStyle w:val="List2TabStops"/>
        <w:rPr>
          <w:rFonts w:ascii="Arial" w:hAnsi="Arial" w:cs="Arial"/>
          <w:sz w:val="22"/>
          <w:szCs w:val="22"/>
          <w:lang w:val="en-GB"/>
        </w:rPr>
      </w:pPr>
      <w:r w:rsidRPr="00E4265B">
        <w:rPr>
          <w:rFonts w:ascii="Arial" w:hAnsi="Arial" w:cs="Arial"/>
          <w:b/>
          <w:bCs/>
          <w:sz w:val="22"/>
          <w:szCs w:val="22"/>
          <w:lang w:val="en-GB"/>
        </w:rPr>
        <w:t>A2.1.11</w:t>
      </w:r>
      <w:r w:rsidRPr="00E4265B">
        <w:rPr>
          <w:rFonts w:ascii="Arial" w:hAnsi="Arial" w:cs="Arial"/>
          <w:b/>
          <w:bCs/>
          <w:sz w:val="22"/>
          <w:szCs w:val="22"/>
          <w:lang w:val="en-GB"/>
        </w:rPr>
        <w:tab/>
      </w: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hedge a Trading Book Exposure, completely or partially, by a non</w:t>
      </w:r>
      <w:r w:rsidRPr="00E4265B">
        <w:rPr>
          <w:rFonts w:ascii="Arial" w:hAnsi="Arial" w:cs="Arial"/>
          <w:sz w:val="22"/>
          <w:szCs w:val="22"/>
          <w:lang w:val="en-GB"/>
        </w:rPr>
        <w:noBreakHyphen/>
      </w:r>
      <w:r w:rsidR="00690BF6" w:rsidRPr="00E4265B">
        <w:rPr>
          <w:rFonts w:ascii="Arial" w:hAnsi="Arial" w:cs="Arial"/>
          <w:sz w:val="22"/>
          <w:szCs w:val="22"/>
          <w:lang w:val="en-GB"/>
        </w:rPr>
        <w:t>Financial Instrument</w:t>
      </w:r>
      <w:r w:rsidRPr="00E4265B">
        <w:rPr>
          <w:rFonts w:ascii="Arial" w:hAnsi="Arial" w:cs="Arial"/>
          <w:sz w:val="22"/>
          <w:szCs w:val="22"/>
          <w:lang w:val="en-GB"/>
        </w:rPr>
        <w:t xml:space="preserve"> that is not listed in A2.1.3. The General Market Risk Exposure associated with the non</w:t>
      </w:r>
      <w:r w:rsidRPr="00E4265B">
        <w:rPr>
          <w:rFonts w:ascii="Arial" w:hAnsi="Arial" w:cs="Arial"/>
          <w:sz w:val="22"/>
          <w:szCs w:val="22"/>
          <w:lang w:val="en-GB"/>
        </w:rPr>
        <w:noBreakHyphen/>
      </w:r>
      <w:r w:rsidR="00690BF6" w:rsidRPr="00E4265B">
        <w:rPr>
          <w:rFonts w:ascii="Arial" w:hAnsi="Arial" w:cs="Arial"/>
          <w:sz w:val="22"/>
          <w:szCs w:val="22"/>
          <w:lang w:val="en-GB"/>
        </w:rPr>
        <w:t>Financial Instrument</w:t>
      </w:r>
      <w:r w:rsidRPr="00E4265B">
        <w:rPr>
          <w:rFonts w:ascii="Arial" w:hAnsi="Arial" w:cs="Arial"/>
          <w:sz w:val="22"/>
          <w:szCs w:val="22"/>
          <w:lang w:val="en-GB"/>
        </w:rPr>
        <w:t xml:space="preserve"> may be incorporated into the calculation of General Market Risk in the Trading Book if:</w:t>
      </w:r>
    </w:p>
    <w:p w14:paraId="296091DC"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specific instrument is used to hedge an Exposure in an </w:t>
      </w:r>
      <w:r w:rsidR="000D1A90" w:rsidRPr="00E4265B">
        <w:rPr>
          <w:rFonts w:ascii="Arial" w:hAnsi="Arial" w:cs="Arial"/>
          <w:sz w:val="22"/>
          <w:szCs w:val="22"/>
          <w:lang w:val="en-GB"/>
        </w:rPr>
        <w:t>Authorised Person</w:t>
      </w:r>
      <w:r w:rsidRPr="00E4265B">
        <w:rPr>
          <w:rFonts w:ascii="Arial" w:hAnsi="Arial" w:cs="Arial"/>
          <w:sz w:val="22"/>
          <w:szCs w:val="22"/>
          <w:lang w:val="en-GB"/>
        </w:rPr>
        <w:t>'s Trading Book;</w:t>
      </w:r>
    </w:p>
    <w:p w14:paraId="78C86ECC"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hedge position satisfies the Netting rules contained in the relevant Sections of the Market Risk Chapter; and</w:t>
      </w:r>
    </w:p>
    <w:p w14:paraId="3C4F8C0F"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hedge position is marked to market or marked to model and is valued regularly on a prudent and consistent basis.</w:t>
      </w:r>
    </w:p>
    <w:p w14:paraId="52BCF058"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For the purposes of (1), the non</w:t>
      </w:r>
      <w:r w:rsidRPr="00E4265B">
        <w:rPr>
          <w:rFonts w:ascii="Arial" w:hAnsi="Arial" w:cs="Arial"/>
          <w:sz w:val="22"/>
          <w:szCs w:val="22"/>
          <w:lang w:val="en-GB"/>
        </w:rPr>
        <w:noBreakHyphen/>
      </w:r>
      <w:r w:rsidR="00690BF6" w:rsidRPr="00E4265B">
        <w:rPr>
          <w:rFonts w:ascii="Arial" w:hAnsi="Arial" w:cs="Arial"/>
          <w:sz w:val="22"/>
          <w:szCs w:val="22"/>
          <w:lang w:val="en-GB"/>
        </w:rPr>
        <w:t>Financial Instrument</w:t>
      </w:r>
      <w:r w:rsidRPr="00E4265B">
        <w:rPr>
          <w:rFonts w:ascii="Arial" w:hAnsi="Arial" w:cs="Arial"/>
          <w:sz w:val="22"/>
          <w:szCs w:val="22"/>
          <w:lang w:val="en-GB"/>
        </w:rPr>
        <w:t xml:space="preserve"> must be treated as attracting capital charges as if it were a </w:t>
      </w:r>
      <w:r w:rsidR="00690BF6" w:rsidRPr="00E4265B">
        <w:rPr>
          <w:rFonts w:ascii="Arial" w:hAnsi="Arial" w:cs="Arial"/>
          <w:sz w:val="22"/>
          <w:szCs w:val="22"/>
          <w:lang w:val="en-GB"/>
        </w:rPr>
        <w:t>Financial Instrument</w:t>
      </w:r>
      <w:r w:rsidRPr="00E4265B">
        <w:rPr>
          <w:rFonts w:ascii="Arial" w:hAnsi="Arial" w:cs="Arial"/>
          <w:sz w:val="22"/>
          <w:szCs w:val="22"/>
          <w:lang w:val="en-GB"/>
        </w:rPr>
        <w:t>.</w:t>
      </w:r>
    </w:p>
    <w:p w14:paraId="355D3217" w14:textId="77777777" w:rsidR="00E22FF2" w:rsidRPr="00E4265B" w:rsidRDefault="00E22FF2" w:rsidP="001D72F4">
      <w:pPr>
        <w:pStyle w:val="TitleL5"/>
        <w:rPr>
          <w:rFonts w:ascii="Arial" w:hAnsi="Arial" w:cs="Arial"/>
          <w:sz w:val="22"/>
          <w:szCs w:val="22"/>
          <w:lang w:val="en-GB"/>
        </w:rPr>
      </w:pPr>
      <w:r w:rsidRPr="00E4265B">
        <w:rPr>
          <w:rFonts w:ascii="Arial" w:hAnsi="Arial" w:cs="Arial"/>
          <w:sz w:val="22"/>
          <w:szCs w:val="22"/>
          <w:lang w:val="en-GB"/>
        </w:rPr>
        <w:t>Guidance</w:t>
      </w:r>
    </w:p>
    <w:p w14:paraId="53577931" w14:textId="77777777" w:rsidR="00E22FF2" w:rsidRPr="00E4265B" w:rsidRDefault="00E22FF2" w:rsidP="001D72F4">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If the conditions for incorporating non</w:t>
      </w:r>
      <w:r w:rsidRPr="00E4265B">
        <w:rPr>
          <w:rFonts w:ascii="Arial" w:hAnsi="Arial" w:cs="Arial"/>
          <w:sz w:val="22"/>
          <w:szCs w:val="22"/>
          <w:lang w:val="en-GB"/>
        </w:rPr>
        <w:noBreakHyphen/>
      </w:r>
      <w:r w:rsidR="00690BF6" w:rsidRPr="00E4265B">
        <w:rPr>
          <w:rFonts w:ascii="Arial" w:hAnsi="Arial" w:cs="Arial"/>
          <w:sz w:val="22"/>
          <w:szCs w:val="22"/>
          <w:lang w:val="en-GB"/>
        </w:rPr>
        <w:t>Financial Instruments</w:t>
      </w:r>
      <w:r w:rsidRPr="00E4265B">
        <w:rPr>
          <w:rFonts w:ascii="Arial" w:hAnsi="Arial" w:cs="Arial"/>
          <w:sz w:val="22"/>
          <w:szCs w:val="22"/>
          <w:lang w:val="en-GB"/>
        </w:rPr>
        <w:t xml:space="preserve"> in the calculation of General Market Risk in the Trading Book under Rule A2.1.11 are not met, they will be treated as Non-Trading Book items.</w:t>
      </w:r>
    </w:p>
    <w:p w14:paraId="5DD128A9" w14:textId="77777777" w:rsidR="00E22FF2" w:rsidRPr="00E4265B" w:rsidRDefault="00E22FF2" w:rsidP="001D72F4">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For the purposes of Section A2.1, a loan will attract General Market Risk (see Chapter 5) and Counterparty Risk (see Chapter 4) on the marked</w:t>
      </w:r>
      <w:r w:rsidRPr="00E4265B">
        <w:rPr>
          <w:rFonts w:ascii="Arial" w:hAnsi="Arial" w:cs="Arial"/>
          <w:sz w:val="22"/>
          <w:szCs w:val="22"/>
          <w:lang w:val="en-GB"/>
        </w:rPr>
        <w:noBreakHyphen/>
        <w:t>to</w:t>
      </w:r>
      <w:r w:rsidRPr="00E4265B">
        <w:rPr>
          <w:rFonts w:ascii="Arial" w:hAnsi="Arial" w:cs="Arial"/>
          <w:sz w:val="22"/>
          <w:szCs w:val="22"/>
          <w:lang w:val="en-GB"/>
        </w:rPr>
        <w:noBreakHyphen/>
        <w:t>market valuation.</w:t>
      </w:r>
    </w:p>
    <w:p w14:paraId="3C11CFC2" w14:textId="77777777" w:rsidR="00E22FF2" w:rsidRPr="00E4265B" w:rsidRDefault="00E22FF2" w:rsidP="001D72F4">
      <w:pPr>
        <w:pStyle w:val="List2TabStops"/>
        <w:rPr>
          <w:rFonts w:ascii="Arial" w:hAnsi="Arial" w:cs="Arial"/>
          <w:sz w:val="22"/>
          <w:szCs w:val="22"/>
          <w:lang w:val="en-GB"/>
        </w:rPr>
      </w:pPr>
      <w:r w:rsidRPr="00E4265B">
        <w:rPr>
          <w:rFonts w:ascii="Arial" w:hAnsi="Arial" w:cs="Arial"/>
          <w:b/>
          <w:bCs/>
          <w:sz w:val="22"/>
          <w:szCs w:val="22"/>
          <w:lang w:val="en-GB"/>
        </w:rPr>
        <w:t>A2.1.12</w:t>
      </w:r>
      <w:r w:rsidRPr="00E4265B">
        <w:rPr>
          <w:rFonts w:ascii="Arial" w:hAnsi="Arial" w:cs="Arial"/>
          <w:b/>
          <w:bCs/>
          <w:sz w:val="22"/>
          <w:szCs w:val="22"/>
          <w:lang w:val="en-GB"/>
        </w:rPr>
        <w:tab/>
      </w:r>
      <w:r w:rsidRPr="00E4265B">
        <w:rPr>
          <w:rFonts w:ascii="Arial" w:hAnsi="Arial" w:cs="Arial"/>
          <w:sz w:val="22"/>
          <w:szCs w:val="22"/>
          <w:lang w:val="en-GB"/>
        </w:rPr>
        <w:t>(1)</w:t>
      </w:r>
      <w:r w:rsidRPr="00E4265B">
        <w:rPr>
          <w:rFonts w:ascii="Arial" w:hAnsi="Arial" w:cs="Arial"/>
          <w:sz w:val="22"/>
          <w:szCs w:val="22"/>
          <w:lang w:val="en-GB"/>
        </w:rPr>
        <w:tab/>
        <w:t xml:space="preserve">If an internal hedge meets the criteria specified in (2),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include it in the Trading Book without prejudice to the Capital Requirement application to the Non</w:t>
      </w:r>
      <w:r w:rsidRPr="00E4265B">
        <w:rPr>
          <w:rFonts w:ascii="Arial" w:hAnsi="Arial" w:cs="Arial"/>
          <w:sz w:val="22"/>
          <w:szCs w:val="22"/>
          <w:lang w:val="en-GB"/>
        </w:rPr>
        <w:noBreakHyphen/>
        <w:t>Trading Book "leg" of the internal hedge.</w:t>
      </w:r>
    </w:p>
    <w:p w14:paraId="125C22B1"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Positions arising from internal hedges are eligible for Trading Book capital treatment, provided that they meet the criteria for trading intent specified in Rule A2.1.5 and the following criteria on prudent valuation:</w:t>
      </w:r>
    </w:p>
    <w:p w14:paraId="73AB9246"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internal hedge is not primarily intended to avoid or reduce Capital Requirements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would be otherwise required to maintain;</w:t>
      </w:r>
    </w:p>
    <w:p w14:paraId="18178D8E"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internal hedge is properly documented and subject to specific internal approval and audit procedures;</w:t>
      </w:r>
    </w:p>
    <w:p w14:paraId="5A9E3975"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internal hedge is dealt with at market conditions;</w:t>
      </w:r>
    </w:p>
    <w:p w14:paraId="030F122D"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lastRenderedPageBreak/>
        <w:t>(d)</w:t>
      </w:r>
      <w:r w:rsidRPr="00E4265B">
        <w:rPr>
          <w:rFonts w:ascii="Arial" w:hAnsi="Arial" w:cs="Arial"/>
          <w:sz w:val="22"/>
          <w:szCs w:val="22"/>
          <w:lang w:val="en-GB"/>
        </w:rPr>
        <w:tab/>
        <w:t>the bulk of the Market Risk which is generated by the internal hedge is dynamically managed in the Trading Book within the limits approved by senior management; and</w:t>
      </w:r>
    </w:p>
    <w:p w14:paraId="74390590"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the internal hedge is carefully monitored with adequate procedures.</w:t>
      </w:r>
    </w:p>
    <w:p w14:paraId="4A974E84" w14:textId="77777777" w:rsidR="00E22FF2" w:rsidRPr="00E4265B" w:rsidRDefault="00E22FF2" w:rsidP="000C21F8">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hedges a Non</w:t>
      </w:r>
      <w:r w:rsidRPr="00E4265B">
        <w:rPr>
          <w:rFonts w:ascii="Arial" w:hAnsi="Arial" w:cs="Arial"/>
          <w:sz w:val="22"/>
          <w:szCs w:val="22"/>
          <w:lang w:val="en-GB"/>
        </w:rPr>
        <w:noBreakHyphen/>
        <w:t>Trading Book Exposure using a Credit Derivative booked in the Trading Book, the Non</w:t>
      </w:r>
      <w:r w:rsidRPr="00E4265B">
        <w:rPr>
          <w:rFonts w:ascii="Arial" w:hAnsi="Arial" w:cs="Arial"/>
          <w:sz w:val="22"/>
          <w:szCs w:val="22"/>
          <w:lang w:val="en-GB"/>
        </w:rPr>
        <w:noBreakHyphen/>
        <w:t xml:space="preserve">Trading Book Exposure is not deemed to be hedged for the purpose of calculating its regulatory Capital Requirement, unless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purchases from an eligible protection provider a Credit Derivative which complies with the requirements and meets the guidelines set out in the relevant Section of Chapter 4. Where eligible credit protection is purchased and is recognised as a hedge of the Non</w:t>
      </w:r>
      <w:r w:rsidRPr="00E4265B">
        <w:rPr>
          <w:rFonts w:ascii="Arial" w:hAnsi="Arial" w:cs="Arial"/>
          <w:sz w:val="22"/>
          <w:szCs w:val="22"/>
          <w:lang w:val="en-GB"/>
        </w:rPr>
        <w:noBreakHyphen/>
        <w:t xml:space="preserve">Trading Book Exposure for the purpose of calculating its regulatory Capital Requirement,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exclude both the internal and external Credit Derivative hedge from the Trading Book for the purpose of calculating its regulatory Capital Requirement for the period of the hedge.</w:t>
      </w:r>
    </w:p>
    <w:p w14:paraId="29ABE968" w14:textId="77777777" w:rsidR="00E22FF2" w:rsidRPr="00E4265B" w:rsidRDefault="00E22FF2" w:rsidP="001D72F4">
      <w:pPr>
        <w:pStyle w:val="TitleL5"/>
        <w:rPr>
          <w:rFonts w:ascii="Arial" w:hAnsi="Arial" w:cs="Arial"/>
          <w:sz w:val="22"/>
          <w:szCs w:val="22"/>
          <w:lang w:val="en-GB"/>
        </w:rPr>
      </w:pPr>
      <w:r w:rsidRPr="00E4265B">
        <w:rPr>
          <w:rFonts w:ascii="Arial" w:hAnsi="Arial" w:cs="Arial"/>
          <w:sz w:val="22"/>
          <w:szCs w:val="22"/>
          <w:lang w:val="en-GB"/>
        </w:rPr>
        <w:t>Guidance</w:t>
      </w:r>
    </w:p>
    <w:p w14:paraId="43261140" w14:textId="77777777" w:rsidR="00E22FF2" w:rsidRPr="00E4265B" w:rsidRDefault="00E22FF2" w:rsidP="001D72F4">
      <w:pPr>
        <w:pStyle w:val="UK12Block05"/>
        <w:rPr>
          <w:rFonts w:ascii="Arial" w:hAnsi="Arial" w:cs="Arial"/>
          <w:sz w:val="22"/>
          <w:szCs w:val="22"/>
          <w:lang w:val="en-GB"/>
        </w:rPr>
      </w:pPr>
      <w:r w:rsidRPr="00E4265B">
        <w:rPr>
          <w:rFonts w:ascii="Arial" w:hAnsi="Arial" w:cs="Arial"/>
          <w:sz w:val="22"/>
          <w:szCs w:val="22"/>
          <w:lang w:val="en-GB"/>
        </w:rPr>
        <w:t>An internal hedge is a position that materially or completely offsets the component risk element of a Non</w:t>
      </w:r>
      <w:r w:rsidRPr="00E4265B">
        <w:rPr>
          <w:rFonts w:ascii="Arial" w:hAnsi="Arial" w:cs="Arial"/>
          <w:sz w:val="22"/>
          <w:szCs w:val="22"/>
          <w:lang w:val="en-GB"/>
        </w:rPr>
        <w:noBreakHyphen/>
        <w:t>Trading Book position or a set of positions.</w:t>
      </w:r>
    </w:p>
    <w:p w14:paraId="26708F41" w14:textId="77777777" w:rsidR="00E22FF2" w:rsidRPr="00E4265B" w:rsidRDefault="00E22FF2" w:rsidP="001D72F4">
      <w:pPr>
        <w:pStyle w:val="TitleL5"/>
        <w:rPr>
          <w:rFonts w:ascii="Arial" w:hAnsi="Arial" w:cs="Arial"/>
          <w:sz w:val="22"/>
          <w:szCs w:val="22"/>
          <w:lang w:val="en-GB"/>
        </w:rPr>
      </w:pPr>
      <w:r w:rsidRPr="00E4265B">
        <w:rPr>
          <w:rFonts w:ascii="Arial" w:hAnsi="Arial" w:cs="Arial"/>
          <w:sz w:val="22"/>
          <w:szCs w:val="22"/>
          <w:lang w:val="en-GB"/>
        </w:rPr>
        <w:t xml:space="preserve">Transfer of General Market Risk between the Trading Book and the Non-Trading Book </w:t>
      </w:r>
    </w:p>
    <w:p w14:paraId="473483A2" w14:textId="77777777" w:rsidR="00E22FF2" w:rsidRPr="00E4265B" w:rsidRDefault="00E22FF2" w:rsidP="001D72F4">
      <w:pPr>
        <w:pStyle w:val="TitleL5"/>
        <w:rPr>
          <w:rFonts w:ascii="Arial" w:hAnsi="Arial" w:cs="Arial"/>
          <w:sz w:val="22"/>
          <w:szCs w:val="22"/>
          <w:lang w:val="en-GB"/>
        </w:rPr>
      </w:pPr>
      <w:r w:rsidRPr="00E4265B">
        <w:rPr>
          <w:rFonts w:ascii="Arial" w:hAnsi="Arial" w:cs="Arial"/>
          <w:sz w:val="22"/>
          <w:szCs w:val="22"/>
          <w:lang w:val="en-GB"/>
        </w:rPr>
        <w:t>Guidance</w:t>
      </w:r>
    </w:p>
    <w:p w14:paraId="44AAC195"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General Market Risk arising from the Trading Book may hedge Non</w:t>
      </w:r>
      <w:r w:rsidRPr="00E4265B">
        <w:rPr>
          <w:rFonts w:ascii="Arial" w:hAnsi="Arial" w:cs="Arial"/>
          <w:sz w:val="22"/>
          <w:szCs w:val="22"/>
          <w:lang w:val="en-GB"/>
        </w:rPr>
        <w:noBreakHyphen/>
        <w:t xml:space="preserve">Trading Book positions without reference to specific </w:t>
      </w:r>
      <w:r w:rsidR="00690BF6" w:rsidRPr="00E4265B">
        <w:rPr>
          <w:rFonts w:ascii="Arial" w:hAnsi="Arial" w:cs="Arial"/>
          <w:sz w:val="22"/>
          <w:szCs w:val="22"/>
          <w:lang w:val="en-GB"/>
        </w:rPr>
        <w:t>Financial Instruments</w:t>
      </w:r>
      <w:r w:rsidRPr="00E4265B">
        <w:rPr>
          <w:rFonts w:ascii="Arial" w:hAnsi="Arial" w:cs="Arial"/>
          <w:sz w:val="22"/>
          <w:szCs w:val="22"/>
          <w:lang w:val="en-GB"/>
        </w:rPr>
        <w:t>.</w:t>
      </w:r>
    </w:p>
    <w:p w14:paraId="65D141E6"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achieve the transfer of General Market Risk between the Trading Book and Non</w:t>
      </w:r>
      <w:r w:rsidRPr="00E4265B">
        <w:rPr>
          <w:rFonts w:ascii="Arial" w:hAnsi="Arial" w:cs="Arial"/>
          <w:sz w:val="22"/>
          <w:szCs w:val="22"/>
          <w:lang w:val="en-GB"/>
        </w:rPr>
        <w:noBreakHyphen/>
        <w:t>Trading Book by entering into a notional legal agreement between the Trading Book and Non</w:t>
      </w:r>
      <w:r w:rsidRPr="00E4265B">
        <w:rPr>
          <w:rFonts w:ascii="Arial" w:hAnsi="Arial" w:cs="Arial"/>
          <w:sz w:val="22"/>
          <w:szCs w:val="22"/>
          <w:lang w:val="en-GB"/>
        </w:rPr>
        <w:noBreakHyphen/>
        <w:t>Trading Book as if they were third parties.</w:t>
      </w:r>
    </w:p>
    <w:p w14:paraId="27DA0D6A" w14:textId="77777777" w:rsidR="00E22FF2" w:rsidRPr="00E4265B" w:rsidRDefault="00E22FF2" w:rsidP="001D72F4">
      <w:pPr>
        <w:pStyle w:val="A1List"/>
        <w:rPr>
          <w:rFonts w:ascii="Arial" w:hAnsi="Arial" w:cs="Arial"/>
          <w:sz w:val="22"/>
          <w:szCs w:val="22"/>
          <w:lang w:val="en-GB"/>
        </w:rPr>
      </w:pPr>
      <w:r w:rsidRPr="00E4265B">
        <w:rPr>
          <w:rFonts w:ascii="Arial" w:hAnsi="Arial" w:cs="Arial"/>
          <w:b/>
          <w:bCs/>
          <w:sz w:val="22"/>
          <w:szCs w:val="22"/>
          <w:lang w:val="en-GB"/>
        </w:rPr>
        <w:t>A2.1.13</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ensure that:</w:t>
      </w:r>
    </w:p>
    <w:p w14:paraId="734174D2"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 transfer of General Market Risk between its Trading Book and Non-Trading Book  is subject to appropriate documentation and evidenced by a clear audit trail;</w:t>
      </w:r>
    </w:p>
    <w:p w14:paraId="312B89E9"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positions held in its Non</w:t>
      </w:r>
      <w:r w:rsidRPr="00E4265B">
        <w:rPr>
          <w:rFonts w:ascii="Arial" w:hAnsi="Arial" w:cs="Arial"/>
          <w:sz w:val="22"/>
          <w:szCs w:val="22"/>
          <w:lang w:val="en-GB"/>
        </w:rPr>
        <w:noBreakHyphen/>
        <w:t>Trading Book that are being hedged by General Market Risk arising from positions in the Trading Book remain in the Non-Trading Book; and</w:t>
      </w:r>
    </w:p>
    <w:p w14:paraId="6E567F97"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General Market Risk Exposure associated with the positions in the Non</w:t>
      </w:r>
      <w:r w:rsidRPr="00E4265B">
        <w:rPr>
          <w:rFonts w:ascii="Arial" w:hAnsi="Arial" w:cs="Arial"/>
          <w:sz w:val="22"/>
          <w:szCs w:val="22"/>
          <w:lang w:val="en-GB"/>
        </w:rPr>
        <w:noBreakHyphen/>
        <w:t>Trading Book is incorporated into the calculation of General Market Risk in the Trading Book.</w:t>
      </w:r>
    </w:p>
    <w:p w14:paraId="0769BCCB" w14:textId="77777777" w:rsidR="00E22FF2" w:rsidRPr="00E4265B" w:rsidRDefault="00E22FF2" w:rsidP="001D72F4">
      <w:pPr>
        <w:pStyle w:val="TitleL5"/>
        <w:rPr>
          <w:rFonts w:ascii="Arial" w:hAnsi="Arial" w:cs="Arial"/>
          <w:sz w:val="22"/>
          <w:szCs w:val="22"/>
          <w:lang w:val="en-GB"/>
        </w:rPr>
      </w:pPr>
      <w:r w:rsidRPr="00E4265B">
        <w:rPr>
          <w:rFonts w:ascii="Arial" w:hAnsi="Arial" w:cs="Arial"/>
          <w:sz w:val="22"/>
          <w:szCs w:val="22"/>
          <w:lang w:val="en-GB"/>
        </w:rPr>
        <w:t>Guidance</w:t>
      </w:r>
    </w:p>
    <w:p w14:paraId="7E7C71D0" w14:textId="77777777" w:rsidR="00E22FF2" w:rsidRPr="00E4265B" w:rsidRDefault="00E22FF2" w:rsidP="001D72F4">
      <w:pPr>
        <w:pStyle w:val="UK12Block05"/>
        <w:rPr>
          <w:rFonts w:ascii="Arial" w:hAnsi="Arial" w:cs="Arial"/>
          <w:sz w:val="22"/>
          <w:szCs w:val="22"/>
          <w:lang w:val="en-GB"/>
        </w:rPr>
      </w:pPr>
      <w:r w:rsidRPr="00E4265B">
        <w:rPr>
          <w:rFonts w:ascii="Arial" w:hAnsi="Arial" w:cs="Arial"/>
          <w:sz w:val="22"/>
          <w:szCs w:val="22"/>
          <w:lang w:val="en-GB"/>
        </w:rPr>
        <w:t>An example of the application of Rule A2.1.13(c) is as follows:</w:t>
      </w:r>
    </w:p>
    <w:p w14:paraId="07273001"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have a fixed</w:t>
      </w:r>
      <w:r w:rsidRPr="00E4265B">
        <w:rPr>
          <w:rFonts w:ascii="Arial" w:hAnsi="Arial" w:cs="Arial"/>
          <w:sz w:val="22"/>
          <w:szCs w:val="22"/>
          <w:lang w:val="en-GB"/>
        </w:rPr>
        <w:noBreakHyphen/>
        <w:t>rate loan portfolio in the Non</w:t>
      </w:r>
      <w:r w:rsidRPr="00E4265B">
        <w:rPr>
          <w:rFonts w:ascii="Arial" w:hAnsi="Arial" w:cs="Arial"/>
          <w:sz w:val="22"/>
          <w:szCs w:val="22"/>
          <w:lang w:val="en-GB"/>
        </w:rPr>
        <w:noBreakHyphen/>
        <w:t>Trading Book. Although the Non</w:t>
      </w:r>
      <w:r w:rsidRPr="00E4265B">
        <w:rPr>
          <w:rFonts w:ascii="Arial" w:hAnsi="Arial" w:cs="Arial"/>
          <w:sz w:val="22"/>
          <w:szCs w:val="22"/>
          <w:lang w:val="en-GB"/>
        </w:rPr>
        <w:noBreakHyphen/>
        <w:t>Trading Book does not attract a regulatory capital charge for interest rate risk, the portfolio is subject to interest rate risk. Firms may prefer to transfer this risk to the Trading Book where it may be actively managed.</w:t>
      </w:r>
    </w:p>
    <w:p w14:paraId="05693829"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transfer this interest rate risk by entering into, for example, a fixed versus floating rate swap between the Trading Book and the Non</w:t>
      </w:r>
      <w:r w:rsidRPr="00E4265B">
        <w:rPr>
          <w:rFonts w:ascii="Arial" w:hAnsi="Arial" w:cs="Arial"/>
          <w:sz w:val="22"/>
          <w:szCs w:val="22"/>
          <w:lang w:val="en-GB"/>
        </w:rPr>
        <w:noBreakHyphen/>
        <w:t xml:space="preserve">Trading Book. The notional long and short positions created as result of the swap are recorded in the Trading Book, and the swap positions may be treated as </w:t>
      </w:r>
      <w:r w:rsidR="00690BF6" w:rsidRPr="00E4265B">
        <w:rPr>
          <w:rFonts w:ascii="Arial" w:hAnsi="Arial" w:cs="Arial"/>
          <w:sz w:val="22"/>
          <w:szCs w:val="22"/>
          <w:lang w:val="en-GB"/>
        </w:rPr>
        <w:t>Financial Instruments</w:t>
      </w:r>
      <w:r w:rsidRPr="00E4265B">
        <w:rPr>
          <w:rFonts w:ascii="Arial" w:hAnsi="Arial" w:cs="Arial"/>
          <w:sz w:val="22"/>
          <w:szCs w:val="22"/>
          <w:lang w:val="en-GB"/>
        </w:rPr>
        <w:t xml:space="preserve"> provided that appropriate documentation is in place (see Rule A2.1.14). The General Market Risk requirements associated with the swap legs are allocated to the appropriate Trading Book General Market Risk bucket and thus may reduce the overall General Market Risk requirement in the Trading Book.</w:t>
      </w:r>
    </w:p>
    <w:p w14:paraId="309C2D4D"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For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undertake such a transaction there should be existing positions in the Trading Book, which result in a sufficient General Market Risk requirement to offset the General Market Risk created as a result of the swap.</w:t>
      </w:r>
    </w:p>
    <w:p w14:paraId="7282A37C" w14:textId="77777777" w:rsidR="00E22FF2" w:rsidRPr="00E4265B" w:rsidRDefault="00E22FF2" w:rsidP="001D72F4">
      <w:pPr>
        <w:pStyle w:val="A1List"/>
        <w:rPr>
          <w:rFonts w:ascii="Arial" w:hAnsi="Arial" w:cs="Arial"/>
          <w:sz w:val="22"/>
          <w:szCs w:val="22"/>
          <w:lang w:val="en-GB"/>
        </w:rPr>
      </w:pPr>
      <w:r w:rsidRPr="00E4265B">
        <w:rPr>
          <w:rFonts w:ascii="Arial" w:hAnsi="Arial" w:cs="Arial"/>
          <w:b/>
          <w:bCs/>
          <w:sz w:val="22"/>
          <w:szCs w:val="22"/>
          <w:lang w:val="en-GB"/>
        </w:rPr>
        <w:t>A2.1.14</w:t>
      </w:r>
      <w:r w:rsidRPr="00E4265B">
        <w:rPr>
          <w:rFonts w:ascii="Arial" w:hAnsi="Arial" w:cs="Arial"/>
          <w:b/>
          <w:bCs/>
          <w:sz w:val="22"/>
          <w:szCs w:val="22"/>
          <w:lang w:val="en-GB"/>
        </w:rPr>
        <w:tab/>
      </w:r>
      <w:r w:rsidRPr="00E4265B">
        <w:rPr>
          <w:rFonts w:ascii="Arial" w:hAnsi="Arial" w:cs="Arial"/>
          <w:sz w:val="22"/>
          <w:szCs w:val="22"/>
          <w:lang w:val="en-GB"/>
        </w:rPr>
        <w:t>Appropriate documentation under A2.1.13 must cover:</w:t>
      </w:r>
    </w:p>
    <w:p w14:paraId="18C6B4F3"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details of the instruments or Exposures being transferred and the method used to transfer; and</w:t>
      </w:r>
    </w:p>
    <w:p w14:paraId="1A188D25"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pricing of the transfer.</w:t>
      </w:r>
    </w:p>
    <w:p w14:paraId="3AEB8721" w14:textId="77777777" w:rsidR="00E22FF2" w:rsidRPr="00E4265B" w:rsidRDefault="00E22FF2" w:rsidP="001D72F4">
      <w:pPr>
        <w:pStyle w:val="TitleL5"/>
        <w:rPr>
          <w:rFonts w:ascii="Arial" w:hAnsi="Arial" w:cs="Arial"/>
          <w:sz w:val="22"/>
          <w:szCs w:val="22"/>
          <w:lang w:val="en-GB"/>
        </w:rPr>
      </w:pPr>
      <w:r w:rsidRPr="00E4265B">
        <w:rPr>
          <w:rFonts w:ascii="Arial" w:hAnsi="Arial" w:cs="Arial"/>
          <w:sz w:val="22"/>
          <w:szCs w:val="22"/>
          <w:lang w:val="en-GB"/>
        </w:rPr>
        <w:t>Guidance</w:t>
      </w:r>
    </w:p>
    <w:p w14:paraId="78ABC9C9" w14:textId="77777777" w:rsidR="00E22FF2" w:rsidRPr="00E4265B" w:rsidRDefault="00E22FF2" w:rsidP="001D72F4">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Separate documentation need not be produced for every transfer. If the same method is used for a number of transfers, a single document detailing the procedures will suffice. However,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still be able to distinguish transactions that have been undertaken for risk transfer purposes from other transactions.</w:t>
      </w:r>
    </w:p>
    <w:p w14:paraId="71692B30" w14:textId="77777777" w:rsidR="00E22FF2" w:rsidRPr="00E4265B" w:rsidRDefault="00E22FF2" w:rsidP="001D72F4">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Arm's</w:t>
      </w:r>
      <w:r w:rsidRPr="00E4265B">
        <w:rPr>
          <w:rFonts w:ascii="Arial" w:hAnsi="Arial" w:cs="Arial"/>
          <w:sz w:val="22"/>
          <w:szCs w:val="22"/>
          <w:lang w:val="en-GB"/>
        </w:rPr>
        <w:noBreakHyphen/>
        <w:t>length prices must be used in any transfer. 'Arm's</w:t>
      </w:r>
      <w:r w:rsidRPr="00E4265B">
        <w:rPr>
          <w:rFonts w:ascii="Arial" w:hAnsi="Arial" w:cs="Arial"/>
          <w:sz w:val="22"/>
          <w:szCs w:val="22"/>
          <w:lang w:val="en-GB"/>
        </w:rPr>
        <w:noBreakHyphen/>
        <w:t>length' means the prevailing market price for the particular transaction.</w:t>
      </w:r>
    </w:p>
    <w:p w14:paraId="6AAAC459" w14:textId="77777777" w:rsidR="00E22FF2" w:rsidRPr="00E4265B" w:rsidRDefault="00E22FF2" w:rsidP="004F0272">
      <w:pPr>
        <w:pStyle w:val="UK12Title2"/>
        <w:rPr>
          <w:rFonts w:ascii="Arial" w:hAnsi="Arial" w:cs="Arial"/>
          <w:sz w:val="22"/>
          <w:szCs w:val="22"/>
        </w:rPr>
      </w:pPr>
      <w:bookmarkStart w:id="959" w:name="_Toc33622470"/>
      <w:r w:rsidRPr="00E4265B">
        <w:rPr>
          <w:rFonts w:ascii="Arial" w:hAnsi="Arial" w:cs="Arial"/>
          <w:sz w:val="22"/>
          <w:szCs w:val="22"/>
        </w:rPr>
        <w:t>A2.2</w:t>
      </w:r>
      <w:r w:rsidRPr="00E4265B">
        <w:rPr>
          <w:rFonts w:ascii="Arial" w:hAnsi="Arial" w:cs="Arial"/>
          <w:sz w:val="22"/>
          <w:szCs w:val="22"/>
        </w:rPr>
        <w:tab/>
        <w:t>Trading Book policy</w:t>
      </w:r>
      <w:bookmarkEnd w:id="959"/>
    </w:p>
    <w:p w14:paraId="343B8A89" w14:textId="77777777" w:rsidR="00E22FF2" w:rsidRPr="00E4265B" w:rsidRDefault="00E22FF2" w:rsidP="000C21F8">
      <w:pPr>
        <w:pStyle w:val="TitleL5"/>
        <w:rPr>
          <w:rFonts w:ascii="Arial" w:hAnsi="Arial" w:cs="Arial"/>
          <w:sz w:val="22"/>
          <w:szCs w:val="22"/>
          <w:lang w:val="en-GB"/>
        </w:rPr>
      </w:pPr>
      <w:r w:rsidRPr="00E4265B">
        <w:rPr>
          <w:rFonts w:ascii="Arial" w:hAnsi="Arial" w:cs="Arial"/>
          <w:sz w:val="22"/>
          <w:szCs w:val="22"/>
          <w:lang w:val="en-GB"/>
        </w:rPr>
        <w:t>Guidance</w:t>
      </w:r>
    </w:p>
    <w:p w14:paraId="6B3E7B70" w14:textId="77777777" w:rsidR="00E22FF2" w:rsidRPr="00E4265B" w:rsidRDefault="00E22FF2" w:rsidP="001D72F4">
      <w:pPr>
        <w:pStyle w:val="UK12Block05"/>
        <w:rPr>
          <w:rFonts w:ascii="Arial" w:hAnsi="Arial" w:cs="Arial"/>
          <w:sz w:val="22"/>
          <w:szCs w:val="22"/>
          <w:lang w:val="en-GB"/>
        </w:rPr>
      </w:pPr>
      <w:r w:rsidRPr="00E4265B">
        <w:rPr>
          <w:rFonts w:ascii="Arial" w:hAnsi="Arial" w:cs="Arial"/>
          <w:sz w:val="22"/>
          <w:szCs w:val="22"/>
          <w:lang w:val="en-GB"/>
        </w:rPr>
        <w:t>The requirement for a Trading Book policy is prescribed in Rule A2.1.1.</w:t>
      </w:r>
    </w:p>
    <w:p w14:paraId="57127770" w14:textId="77777777" w:rsidR="00E22FF2" w:rsidRPr="00E4265B" w:rsidRDefault="00E22FF2" w:rsidP="001D72F4">
      <w:pPr>
        <w:pStyle w:val="A1List"/>
        <w:rPr>
          <w:rFonts w:ascii="Arial" w:hAnsi="Arial" w:cs="Arial"/>
          <w:sz w:val="22"/>
          <w:szCs w:val="22"/>
          <w:lang w:val="en-GB"/>
        </w:rPr>
      </w:pPr>
      <w:r w:rsidRPr="00E4265B">
        <w:rPr>
          <w:rFonts w:ascii="Arial" w:hAnsi="Arial" w:cs="Arial"/>
          <w:b/>
          <w:bCs/>
          <w:sz w:val="22"/>
          <w:szCs w:val="22"/>
          <w:lang w:val="en-GB"/>
        </w:rPr>
        <w:t>A2.2.1</w:t>
      </w:r>
      <w:r w:rsidRPr="00E4265B">
        <w:rPr>
          <w:rFonts w:ascii="Arial" w:eastAsia="Arial" w:hAnsi="Arial" w:cs="Arial"/>
          <w:b/>
          <w:bCs/>
          <w:sz w:val="22"/>
          <w:szCs w:val="22"/>
          <w:lang w:val="en-GB"/>
        </w:rPr>
        <w:tab/>
      </w:r>
      <w:r w:rsidRPr="00E4265B">
        <w:rPr>
          <w:rFonts w:ascii="Arial" w:hAnsi="Arial" w:cs="Arial"/>
          <w:sz w:val="22"/>
          <w:szCs w:val="22"/>
          <w:lang w:val="en-GB"/>
        </w:rPr>
        <w:t xml:space="preserve">A Trading Book policy must include clearly defined policies, procedures and methodologies by which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7A7CF859"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defines its Trading Book and identifies positions to be included in its Trading Book;</w:t>
      </w:r>
    </w:p>
    <w:p w14:paraId="2750676B"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allocates positions between the Non</w:t>
      </w:r>
      <w:r w:rsidRPr="00E4265B">
        <w:rPr>
          <w:rFonts w:ascii="Arial" w:hAnsi="Arial" w:cs="Arial"/>
          <w:sz w:val="22"/>
          <w:szCs w:val="22"/>
          <w:lang w:val="en-GB"/>
        </w:rPr>
        <w:noBreakHyphen/>
        <w:t>Trading Book and the Trading Book;</w:t>
      </w:r>
    </w:p>
    <w:p w14:paraId="529C3BBA"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actively manages and values its positions in the Trading Book;</w:t>
      </w:r>
    </w:p>
    <w:p w14:paraId="4EAC2FD4"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measures its Trading Book risks; and</w:t>
      </w:r>
    </w:p>
    <w:p w14:paraId="3EB3A903" w14:textId="77777777" w:rsidR="00E22FF2" w:rsidRPr="00E4265B" w:rsidRDefault="00E22FF2" w:rsidP="001D72F4">
      <w:pPr>
        <w:pStyle w:val="1List"/>
        <w:rPr>
          <w:rFonts w:ascii="Arial" w:hAnsi="Arial" w:cs="Arial"/>
          <w:sz w:val="22"/>
          <w:szCs w:val="22"/>
          <w:lang w:val="en-GB"/>
        </w:rPr>
      </w:pPr>
      <w:r w:rsidRPr="00E4265B">
        <w:rPr>
          <w:rFonts w:ascii="Arial" w:hAnsi="Arial" w:cs="Arial"/>
          <w:sz w:val="22"/>
          <w:szCs w:val="22"/>
          <w:lang w:val="en-GB"/>
        </w:rPr>
        <w:lastRenderedPageBreak/>
        <w:t>(e)</w:t>
      </w:r>
      <w:r w:rsidRPr="00E4265B">
        <w:rPr>
          <w:rFonts w:ascii="Arial" w:hAnsi="Arial" w:cs="Arial"/>
          <w:sz w:val="22"/>
          <w:szCs w:val="22"/>
          <w:lang w:val="en-GB"/>
        </w:rPr>
        <w:tab/>
        <w:t>controls transfers of positions between the Non</w:t>
      </w:r>
      <w:r w:rsidRPr="00E4265B">
        <w:rPr>
          <w:rFonts w:ascii="Arial" w:hAnsi="Arial" w:cs="Arial"/>
          <w:sz w:val="22"/>
          <w:szCs w:val="22"/>
          <w:lang w:val="en-GB"/>
        </w:rPr>
        <w:noBreakHyphen/>
        <w:t>Trading Book and the Trading Book.</w:t>
      </w:r>
    </w:p>
    <w:p w14:paraId="0D67BF7F" w14:textId="77777777" w:rsidR="00E22FF2" w:rsidRPr="00E4265B" w:rsidRDefault="00E22FF2" w:rsidP="001D72F4">
      <w:pPr>
        <w:pStyle w:val="A1List"/>
        <w:rPr>
          <w:rFonts w:ascii="Arial" w:hAnsi="Arial" w:cs="Arial"/>
          <w:sz w:val="22"/>
          <w:szCs w:val="22"/>
          <w:lang w:val="en-GB"/>
        </w:rPr>
      </w:pPr>
      <w:r w:rsidRPr="00E4265B">
        <w:rPr>
          <w:rFonts w:ascii="Arial" w:hAnsi="Arial" w:cs="Arial"/>
          <w:b/>
          <w:bCs/>
          <w:sz w:val="22"/>
          <w:szCs w:val="22"/>
          <w:lang w:val="en-GB"/>
        </w:rPr>
        <w:t>A2.2.2</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obtain the prior written approval of its Governing Body for its Trading Book policy.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review and where necessary update the policy at least annually.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obtain the prior written approval of the Governing Body for all significant changes.</w:t>
      </w:r>
    </w:p>
    <w:p w14:paraId="602A11B9" w14:textId="77777777" w:rsidR="00E22FF2" w:rsidRPr="00E4265B" w:rsidRDefault="00E22FF2" w:rsidP="00B40809">
      <w:pPr>
        <w:pStyle w:val="A1List"/>
        <w:rPr>
          <w:rFonts w:ascii="Arial" w:hAnsi="Arial" w:cs="Arial"/>
          <w:sz w:val="22"/>
          <w:szCs w:val="22"/>
          <w:lang w:val="en-GB"/>
        </w:rPr>
      </w:pPr>
      <w:r w:rsidRPr="00E4265B">
        <w:rPr>
          <w:rFonts w:ascii="Arial" w:hAnsi="Arial" w:cs="Arial"/>
          <w:b/>
          <w:bCs/>
          <w:sz w:val="22"/>
          <w:szCs w:val="22"/>
          <w:lang w:val="en-GB"/>
        </w:rPr>
        <w:t>A2.2.3</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without undue delay, notify the Regulator when its Governing Body approves the adoption of a Trading Book policy or approves any changes to the policy.</w:t>
      </w:r>
    </w:p>
    <w:p w14:paraId="48F6D4F3" w14:textId="77777777" w:rsidR="00E22FF2" w:rsidRPr="00E4265B" w:rsidRDefault="00E22FF2" w:rsidP="001D72F4">
      <w:pPr>
        <w:pStyle w:val="TitleL5"/>
        <w:rPr>
          <w:rFonts w:ascii="Arial" w:hAnsi="Arial" w:cs="Arial"/>
          <w:sz w:val="22"/>
          <w:szCs w:val="22"/>
          <w:lang w:val="en-GB"/>
        </w:rPr>
      </w:pPr>
      <w:r w:rsidRPr="00E4265B">
        <w:rPr>
          <w:rFonts w:ascii="Arial" w:hAnsi="Arial" w:cs="Arial"/>
          <w:sz w:val="22"/>
          <w:szCs w:val="22"/>
          <w:lang w:val="en-GB"/>
        </w:rPr>
        <w:t>Guidance</w:t>
      </w:r>
    </w:p>
    <w:p w14:paraId="405459F3"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At a minimum, the Regulator expects that a Trading Book policy will address the following:</w:t>
      </w:r>
    </w:p>
    <w:p w14:paraId="7F0B99CA"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definition of Trading Book and trading strategy, including:</w:t>
      </w:r>
    </w:p>
    <w:p w14:paraId="7B17C467" w14:textId="77777777" w:rsidR="00E22FF2" w:rsidRPr="00E4265B" w:rsidRDefault="00E22FF2" w:rsidP="001D72F4">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activities that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considers to be trading and the types of positions that are to be allocated to the Trading Book for the purposes of calculating its regulatory Capital Requirements;</w:t>
      </w:r>
    </w:p>
    <w:p w14:paraId="59D6A485" w14:textId="77777777" w:rsidR="00E22FF2" w:rsidRPr="00E4265B" w:rsidRDefault="00E22FF2" w:rsidP="001D72F4">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the types of positions that are excluded from the Trading Book; and</w:t>
      </w:r>
    </w:p>
    <w:p w14:paraId="1A725AF6" w14:textId="77777777" w:rsidR="00E22FF2" w:rsidRPr="00E4265B" w:rsidRDefault="00E22FF2" w:rsidP="001D72F4">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the procedures to ensure that the criteria by which positions are allocated to the Trading Book are adhered to on a consistent basis, including details on:</w:t>
      </w:r>
    </w:p>
    <w:p w14:paraId="30183E46" w14:textId="77777777" w:rsidR="00E22FF2" w:rsidRPr="00E4265B" w:rsidRDefault="00E22FF2" w:rsidP="001D72F4">
      <w:pPr>
        <w:pStyle w:val="ListCapsA"/>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organisational unit or department within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responsible for monitoring adherence to the Trading Book policy;</w:t>
      </w:r>
    </w:p>
    <w:p w14:paraId="2D19D208" w14:textId="77777777" w:rsidR="00E22FF2" w:rsidRPr="00E4265B" w:rsidRDefault="00E22FF2" w:rsidP="001D72F4">
      <w:pPr>
        <w:pStyle w:val="ListCapsA"/>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frequency of monitoring;</w:t>
      </w:r>
    </w:p>
    <w:p w14:paraId="529B4523" w14:textId="77777777" w:rsidR="00E22FF2" w:rsidRPr="00E4265B" w:rsidRDefault="00E22FF2" w:rsidP="001D72F4">
      <w:pPr>
        <w:pStyle w:val="ListCapsA"/>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process and methodology of this monitoring; and</w:t>
      </w:r>
    </w:p>
    <w:p w14:paraId="29B82D74" w14:textId="77777777" w:rsidR="00E22FF2" w:rsidRPr="00E4265B" w:rsidRDefault="00E22FF2" w:rsidP="001D72F4">
      <w:pPr>
        <w:pStyle w:val="ListCapsA"/>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how the continuing appropriateness of allocations is confirmed;</w:t>
      </w:r>
    </w:p>
    <w:p w14:paraId="19B47789"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extent of active management and valuation, including:</w:t>
      </w:r>
    </w:p>
    <w:p w14:paraId="3B5A85AE" w14:textId="77777777" w:rsidR="00E22FF2" w:rsidRPr="00E4265B" w:rsidRDefault="00E22FF2" w:rsidP="001D72F4">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 extent to which a position can be marked</w:t>
      </w:r>
      <w:r w:rsidRPr="00E4265B">
        <w:rPr>
          <w:rFonts w:ascii="Arial" w:hAnsi="Arial" w:cs="Arial"/>
          <w:sz w:val="22"/>
          <w:szCs w:val="22"/>
          <w:lang w:val="en-GB"/>
        </w:rPr>
        <w:noBreakHyphen/>
        <w:t>to</w:t>
      </w:r>
      <w:r w:rsidRPr="00E4265B">
        <w:rPr>
          <w:rFonts w:ascii="Arial" w:hAnsi="Arial" w:cs="Arial"/>
          <w:sz w:val="22"/>
          <w:szCs w:val="22"/>
          <w:lang w:val="en-GB"/>
        </w:rPr>
        <w:noBreakHyphen/>
        <w:t>market daily by reference to an active, liquid two</w:t>
      </w:r>
      <w:r w:rsidRPr="00E4265B">
        <w:rPr>
          <w:rFonts w:ascii="Arial" w:hAnsi="Arial" w:cs="Arial"/>
          <w:sz w:val="22"/>
          <w:szCs w:val="22"/>
          <w:lang w:val="en-GB"/>
        </w:rPr>
        <w:noBreakHyphen/>
        <w:t>way market;</w:t>
      </w:r>
    </w:p>
    <w:p w14:paraId="1AC745EC" w14:textId="77777777" w:rsidR="00E22FF2" w:rsidRPr="00E4265B" w:rsidRDefault="00E22FF2" w:rsidP="001D72F4">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for positions which are marked</w:t>
      </w:r>
      <w:r w:rsidRPr="00E4265B">
        <w:rPr>
          <w:rFonts w:ascii="Arial" w:hAnsi="Arial" w:cs="Arial"/>
          <w:sz w:val="22"/>
          <w:szCs w:val="22"/>
          <w:lang w:val="en-GB"/>
        </w:rPr>
        <w:noBreakHyphen/>
        <w:t>to</w:t>
      </w:r>
      <w:r w:rsidRPr="00E4265B">
        <w:rPr>
          <w:rFonts w:ascii="Arial" w:hAnsi="Arial" w:cs="Arial"/>
          <w:sz w:val="22"/>
          <w:szCs w:val="22"/>
          <w:lang w:val="en-GB"/>
        </w:rPr>
        <w:noBreakHyphen/>
        <w:t xml:space="preserve">model, the extent to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can:</w:t>
      </w:r>
    </w:p>
    <w:p w14:paraId="69D21CD0" w14:textId="77777777" w:rsidR="00E22FF2" w:rsidRPr="00E4265B" w:rsidRDefault="00E22FF2" w:rsidP="001D72F4">
      <w:pPr>
        <w:pStyle w:val="ListCapsA"/>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identify all the material risks of the position;</w:t>
      </w:r>
    </w:p>
    <w:p w14:paraId="3CA84C9A" w14:textId="529C2A44" w:rsidR="00E22FF2" w:rsidRPr="00E4265B" w:rsidRDefault="00E22FF2" w:rsidP="003D051C">
      <w:pPr>
        <w:pStyle w:val="ListCapsA"/>
        <w:rPr>
          <w:rFonts w:ascii="Arial" w:hAnsi="Arial" w:cs="Arial"/>
          <w:sz w:val="22"/>
          <w:szCs w:val="22"/>
          <w:lang w:val="en-GB"/>
        </w:rPr>
      </w:pPr>
      <w:r w:rsidRPr="00E4265B">
        <w:rPr>
          <w:rFonts w:ascii="Arial" w:hAnsi="Arial" w:cs="Arial"/>
          <w:sz w:val="22"/>
          <w:szCs w:val="22"/>
          <w:lang w:val="en-GB"/>
        </w:rPr>
        <w:t>B.</w:t>
      </w:r>
      <w:r w:rsidR="007D16A4" w:rsidRPr="00E4265B">
        <w:rPr>
          <w:rFonts w:ascii="Arial" w:hAnsi="Arial" w:cs="Arial"/>
          <w:sz w:val="22"/>
          <w:szCs w:val="22"/>
          <w:lang w:val="en-GB"/>
        </w:rPr>
        <w:tab/>
      </w:r>
      <w:r w:rsidR="00040BF7" w:rsidRPr="00E4265B">
        <w:rPr>
          <w:rFonts w:ascii="Arial" w:hAnsi="Arial" w:cs="Arial"/>
          <w:sz w:val="22"/>
          <w:szCs w:val="22"/>
          <w:lang w:val="en-GB"/>
        </w:rPr>
        <w:t>hedge</w:t>
      </w:r>
      <w:r w:rsidRPr="00E4265B">
        <w:rPr>
          <w:rFonts w:ascii="Arial" w:hAnsi="Arial" w:cs="Arial"/>
          <w:sz w:val="22"/>
          <w:szCs w:val="22"/>
          <w:lang w:val="en-GB"/>
        </w:rPr>
        <w:t xml:space="preserve"> the material risks of the position and, where the material risks of the position are hedged, the extent to which hedging instruments used have an active and liquid two</w:t>
      </w:r>
      <w:r w:rsidRPr="00E4265B">
        <w:rPr>
          <w:rFonts w:ascii="Arial" w:hAnsi="Arial" w:cs="Arial"/>
          <w:sz w:val="22"/>
          <w:szCs w:val="22"/>
          <w:lang w:val="en-GB"/>
        </w:rPr>
        <w:noBreakHyphen/>
        <w:t>way market; and</w:t>
      </w:r>
    </w:p>
    <w:p w14:paraId="1F8F7F26" w14:textId="77777777" w:rsidR="00E22FF2" w:rsidRPr="00E4265B" w:rsidRDefault="00E22FF2" w:rsidP="003D051C">
      <w:pPr>
        <w:pStyle w:val="ListCapsA"/>
        <w:rPr>
          <w:rFonts w:ascii="Arial" w:hAnsi="Arial" w:cs="Arial"/>
          <w:sz w:val="22"/>
          <w:szCs w:val="22"/>
          <w:lang w:val="en-GB"/>
        </w:rPr>
      </w:pPr>
      <w:r w:rsidRPr="00E4265B">
        <w:rPr>
          <w:rFonts w:ascii="Arial" w:hAnsi="Arial" w:cs="Arial"/>
          <w:sz w:val="22"/>
          <w:szCs w:val="22"/>
          <w:lang w:val="en-GB"/>
        </w:rPr>
        <w:lastRenderedPageBreak/>
        <w:t>C.</w:t>
      </w:r>
      <w:r w:rsidRPr="00E4265B">
        <w:rPr>
          <w:rFonts w:ascii="Arial" w:hAnsi="Arial" w:cs="Arial"/>
          <w:sz w:val="22"/>
          <w:szCs w:val="22"/>
          <w:lang w:val="en-GB"/>
        </w:rPr>
        <w:tab/>
        <w:t>derive reliable external estimates for the key assumptions and parameters used in the model;</w:t>
      </w:r>
    </w:p>
    <w:p w14:paraId="5F0D880E" w14:textId="77777777" w:rsidR="00E22FF2" w:rsidRPr="00E4265B" w:rsidRDefault="00E22FF2" w:rsidP="00B40809">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the extent to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can, and is required to, generate valuations for the position which c</w:t>
      </w:r>
      <w:r w:rsidR="00D77FC6" w:rsidRPr="00E4265B">
        <w:rPr>
          <w:rFonts w:ascii="Arial" w:hAnsi="Arial" w:cs="Arial"/>
          <w:sz w:val="22"/>
          <w:szCs w:val="22"/>
          <w:lang w:val="en-GB"/>
        </w:rPr>
        <w:t>an validated externally by its A</w:t>
      </w:r>
      <w:r w:rsidRPr="00E4265B">
        <w:rPr>
          <w:rFonts w:ascii="Arial" w:hAnsi="Arial" w:cs="Arial"/>
          <w:sz w:val="22"/>
          <w:szCs w:val="22"/>
          <w:lang w:val="en-GB"/>
        </w:rPr>
        <w:t>uditors or by the Regulator in a consistent manner;</w:t>
      </w:r>
    </w:p>
    <w:p w14:paraId="25296438" w14:textId="77777777" w:rsidR="00E22FF2" w:rsidRPr="00E4265B" w:rsidRDefault="00E22FF2" w:rsidP="003D051C">
      <w:pPr>
        <w:pStyle w:val="iList"/>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 xml:space="preserve">the extent to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can, and is required to, maintain documents to support valuations of its Trading Book positions;</w:t>
      </w:r>
    </w:p>
    <w:p w14:paraId="3FF677BC" w14:textId="77777777" w:rsidR="00E22FF2" w:rsidRPr="00E4265B" w:rsidRDefault="00E22FF2" w:rsidP="003D051C">
      <w:pPr>
        <w:pStyle w:val="iList"/>
        <w:rPr>
          <w:rFonts w:ascii="Arial" w:hAnsi="Arial" w:cs="Arial"/>
          <w:sz w:val="22"/>
          <w:szCs w:val="22"/>
          <w:lang w:val="en-GB"/>
        </w:rPr>
      </w:pPr>
      <w:r w:rsidRPr="00E4265B">
        <w:rPr>
          <w:rFonts w:ascii="Arial" w:hAnsi="Arial" w:cs="Arial"/>
          <w:sz w:val="22"/>
          <w:szCs w:val="22"/>
          <w:lang w:val="en-GB"/>
        </w:rPr>
        <w:t>v.</w:t>
      </w:r>
      <w:r w:rsidRPr="00E4265B">
        <w:rPr>
          <w:rFonts w:ascii="Arial" w:hAnsi="Arial" w:cs="Arial"/>
          <w:sz w:val="22"/>
          <w:szCs w:val="22"/>
          <w:lang w:val="en-GB"/>
        </w:rPr>
        <w:tab/>
        <w:t>the basis for determining and maintaining valuation adjustments for the purposes of calculating regulatory Capital Requirements;</w:t>
      </w:r>
    </w:p>
    <w:p w14:paraId="6D5C3465" w14:textId="77777777" w:rsidR="00E22FF2" w:rsidRPr="00E4265B" w:rsidRDefault="00E22FF2" w:rsidP="003D051C">
      <w:pPr>
        <w:pStyle w:val="iList"/>
        <w:rPr>
          <w:rFonts w:ascii="Arial" w:hAnsi="Arial" w:cs="Arial"/>
          <w:sz w:val="22"/>
          <w:szCs w:val="22"/>
          <w:lang w:val="en-GB"/>
        </w:rPr>
      </w:pPr>
      <w:r w:rsidRPr="00E4265B">
        <w:rPr>
          <w:rFonts w:ascii="Arial" w:hAnsi="Arial" w:cs="Arial"/>
          <w:sz w:val="22"/>
          <w:szCs w:val="22"/>
          <w:lang w:val="en-GB"/>
        </w:rPr>
        <w:t>vi.</w:t>
      </w:r>
      <w:r w:rsidRPr="00E4265B">
        <w:rPr>
          <w:rFonts w:ascii="Arial" w:hAnsi="Arial" w:cs="Arial"/>
          <w:sz w:val="22"/>
          <w:szCs w:val="22"/>
          <w:lang w:val="en-GB"/>
        </w:rPr>
        <w:tab/>
        <w:t xml:space="preserve">the extent to which legal restrictions or other operational requirements would impede the ability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effect an immediate liquidation of the position; and</w:t>
      </w:r>
    </w:p>
    <w:p w14:paraId="05530360" w14:textId="77777777" w:rsidR="00E22FF2" w:rsidRPr="00E4265B" w:rsidRDefault="00E22FF2" w:rsidP="003D051C">
      <w:pPr>
        <w:pStyle w:val="iList"/>
        <w:rPr>
          <w:rFonts w:ascii="Arial" w:hAnsi="Arial" w:cs="Arial"/>
          <w:sz w:val="22"/>
          <w:szCs w:val="22"/>
          <w:lang w:val="en-GB"/>
        </w:rPr>
      </w:pPr>
      <w:r w:rsidRPr="00E4265B">
        <w:rPr>
          <w:rFonts w:ascii="Arial" w:hAnsi="Arial" w:cs="Arial"/>
          <w:sz w:val="22"/>
          <w:szCs w:val="22"/>
          <w:lang w:val="en-GB"/>
        </w:rPr>
        <w:t>vii.</w:t>
      </w:r>
      <w:r w:rsidRPr="00E4265B">
        <w:rPr>
          <w:rFonts w:ascii="Arial" w:hAnsi="Arial" w:cs="Arial"/>
          <w:sz w:val="22"/>
          <w:szCs w:val="22"/>
          <w:lang w:val="en-GB"/>
        </w:rPr>
        <w:tab/>
        <w:t xml:space="preserve">the extent to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can, and is required to, actively risk manage a position within its trading operations;</w:t>
      </w:r>
    </w:p>
    <w:p w14:paraId="5CB536F1"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transfers between Non</w:t>
      </w:r>
      <w:r w:rsidRPr="00E4265B">
        <w:rPr>
          <w:rFonts w:ascii="Arial" w:hAnsi="Arial" w:cs="Arial"/>
          <w:sz w:val="22"/>
          <w:szCs w:val="22"/>
          <w:lang w:val="en-GB"/>
        </w:rPr>
        <w:noBreakHyphen/>
        <w:t>Trading and Trading Books, including:</w:t>
      </w:r>
    </w:p>
    <w:p w14:paraId="2F0996D1" w14:textId="77777777" w:rsidR="00E22FF2" w:rsidRPr="00E4265B" w:rsidRDefault="00E22FF2" w:rsidP="003D051C">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extent to which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transfer positions between the Non</w:t>
      </w:r>
      <w:r w:rsidRPr="00E4265B">
        <w:rPr>
          <w:rFonts w:ascii="Arial" w:hAnsi="Arial" w:cs="Arial"/>
          <w:sz w:val="22"/>
          <w:szCs w:val="22"/>
          <w:lang w:val="en-GB"/>
        </w:rPr>
        <w:noBreakHyphen/>
        <w:t>Trading Book and the Trading Book and the criteria for such transfers;</w:t>
      </w:r>
    </w:p>
    <w:p w14:paraId="1DEB8C8C" w14:textId="77777777" w:rsidR="00E22FF2" w:rsidRPr="00E4265B" w:rsidRDefault="00E22FF2" w:rsidP="003D051C">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the procedures to effect such transfers; and</w:t>
      </w:r>
    </w:p>
    <w:p w14:paraId="707B884F" w14:textId="77777777" w:rsidR="00E22FF2" w:rsidRPr="00E4265B" w:rsidRDefault="00E22FF2" w:rsidP="003D051C">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the controls in place to prevent inappropriate transfers of positions between the Non</w:t>
      </w:r>
      <w:r w:rsidRPr="00E4265B">
        <w:rPr>
          <w:rFonts w:ascii="Arial" w:hAnsi="Arial" w:cs="Arial"/>
          <w:sz w:val="22"/>
          <w:szCs w:val="22"/>
          <w:lang w:val="en-GB"/>
        </w:rPr>
        <w:noBreakHyphen/>
        <w:t>Trading Book and the Trading Book; and</w:t>
      </w:r>
    </w:p>
    <w:p w14:paraId="4E293A68"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the following additional considerations:</w:t>
      </w:r>
    </w:p>
    <w:p w14:paraId="1EB27D6D" w14:textId="77777777" w:rsidR="00E22FF2" w:rsidRPr="00E4265B" w:rsidRDefault="00E22FF2" w:rsidP="003D051C">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whether there are any subsidiaries or offshore branches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undertaking transactions to be included in the Trading Book. If so, a list of such subsidiaries or branches shall be included, along with a description of the trading activities carried out by such entities;</w:t>
      </w:r>
    </w:p>
    <w:p w14:paraId="408289AD" w14:textId="77777777" w:rsidR="00E22FF2" w:rsidRPr="00E4265B" w:rsidRDefault="00E22FF2" w:rsidP="003D051C">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the treatment of inter</w:t>
      </w:r>
      <w:r w:rsidRPr="00E4265B">
        <w:rPr>
          <w:rFonts w:ascii="Arial" w:hAnsi="Arial" w:cs="Arial"/>
          <w:sz w:val="22"/>
          <w:szCs w:val="22"/>
          <w:lang w:val="en-GB"/>
        </w:rPr>
        <w:noBreakHyphen/>
        <w:t>desk deals; and</w:t>
      </w:r>
    </w:p>
    <w:p w14:paraId="6AE88BD6" w14:textId="77777777" w:rsidR="00E22FF2" w:rsidRPr="00E4265B" w:rsidRDefault="00E22FF2" w:rsidP="003D051C">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the identification and management of structural foreign exchange positions.</w:t>
      </w:r>
    </w:p>
    <w:p w14:paraId="76497059" w14:textId="77777777" w:rsidR="00E22FF2" w:rsidRPr="00E4265B" w:rsidRDefault="00E22FF2" w:rsidP="003D051C">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prepare its Trading Book policy on a consolidated basis where the Financial Group either manages its trading risk centrally or employs the same risk management techniques across all the entities in the Financial Group. Where a Trading Book policy is prepared on a consolidated basis,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ensure that its application to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each of the other entities in the </w:t>
      </w:r>
      <w:r w:rsidRPr="00E4265B">
        <w:rPr>
          <w:rFonts w:ascii="Arial" w:hAnsi="Arial" w:cs="Arial"/>
          <w:sz w:val="22"/>
          <w:szCs w:val="22"/>
          <w:lang w:val="en-GB"/>
        </w:rPr>
        <w:lastRenderedPageBreak/>
        <w:t xml:space="preserve">Financial Group is made clear and approved by the Governing Body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the Governing Body of each of those entities.</w:t>
      </w:r>
    </w:p>
    <w:p w14:paraId="7A67FDD7" w14:textId="77777777" w:rsidR="00E22FF2" w:rsidRPr="00E4265B" w:rsidRDefault="00E22FF2" w:rsidP="004F0272">
      <w:pPr>
        <w:pStyle w:val="UK12Title2"/>
        <w:rPr>
          <w:rFonts w:ascii="Arial" w:hAnsi="Arial" w:cs="Arial"/>
          <w:sz w:val="22"/>
          <w:szCs w:val="22"/>
        </w:rPr>
      </w:pPr>
      <w:bookmarkStart w:id="960" w:name="_Toc33622471"/>
      <w:r w:rsidRPr="00E4265B">
        <w:rPr>
          <w:rFonts w:ascii="Arial" w:hAnsi="Arial" w:cs="Arial"/>
          <w:sz w:val="22"/>
          <w:szCs w:val="22"/>
        </w:rPr>
        <w:t>A2.3</w:t>
      </w:r>
      <w:r w:rsidRPr="00E4265B">
        <w:rPr>
          <w:rFonts w:ascii="Arial" w:hAnsi="Arial" w:cs="Arial"/>
          <w:sz w:val="22"/>
          <w:szCs w:val="22"/>
        </w:rPr>
        <w:tab/>
        <w:t>Risk management systems and controls for Trading Book</w:t>
      </w:r>
      <w:bookmarkEnd w:id="960"/>
    </w:p>
    <w:p w14:paraId="02821686" w14:textId="77777777" w:rsidR="00E22FF2" w:rsidRPr="00E4265B" w:rsidRDefault="00E22FF2" w:rsidP="003D051C">
      <w:pPr>
        <w:pStyle w:val="A1List"/>
        <w:rPr>
          <w:rFonts w:ascii="Arial" w:hAnsi="Arial" w:cs="Arial"/>
          <w:sz w:val="22"/>
          <w:szCs w:val="22"/>
          <w:lang w:val="en-GB"/>
        </w:rPr>
      </w:pPr>
      <w:r w:rsidRPr="00E4265B">
        <w:rPr>
          <w:rFonts w:ascii="Arial" w:hAnsi="Arial" w:cs="Arial"/>
          <w:b/>
          <w:bCs/>
          <w:sz w:val="22"/>
          <w:szCs w:val="22"/>
          <w:lang w:val="en-GB"/>
        </w:rPr>
        <w:t>A2.3.1</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establish and maintain effective systems and controls to manage its Trading Book.</w:t>
      </w:r>
    </w:p>
    <w:p w14:paraId="53A6B811" w14:textId="77777777" w:rsidR="00E22FF2" w:rsidRPr="00E4265B" w:rsidRDefault="00E22FF2" w:rsidP="003D051C">
      <w:pPr>
        <w:pStyle w:val="A1List"/>
        <w:rPr>
          <w:rFonts w:ascii="Arial" w:hAnsi="Arial" w:cs="Arial"/>
          <w:sz w:val="22"/>
          <w:szCs w:val="22"/>
          <w:lang w:val="en-GB"/>
        </w:rPr>
      </w:pPr>
      <w:r w:rsidRPr="00E4265B">
        <w:rPr>
          <w:rFonts w:ascii="Arial" w:hAnsi="Arial" w:cs="Arial"/>
          <w:b/>
          <w:bCs/>
          <w:sz w:val="22"/>
          <w:szCs w:val="22"/>
          <w:lang w:val="en-GB"/>
        </w:rPr>
        <w:t>A2.3.2</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establish and maintain systems and controls sufficient to provide prudent and reliable valuation estimates. These systems and controls must include:</w:t>
      </w:r>
    </w:p>
    <w:p w14:paraId="3DF05685" w14:textId="77777777" w:rsidR="00E22FF2" w:rsidRPr="00E4265B" w:rsidRDefault="00E22FF2" w:rsidP="003D051C">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documented policies and procedures for the process of valuation (including clearly defined responsibilities of the various areas involved in the determination of the valuation, sources of market information and review of their appropriateness, frequency of independent valuation, timing of closing prices, procedures for adjusting valuations, month end and ad</w:t>
      </w:r>
      <w:r w:rsidRPr="00E4265B">
        <w:rPr>
          <w:rFonts w:ascii="Arial" w:hAnsi="Arial" w:cs="Arial"/>
          <w:sz w:val="22"/>
          <w:szCs w:val="22"/>
          <w:lang w:val="en-GB"/>
        </w:rPr>
        <w:noBreakHyphen/>
        <w:t>hoc verification procedures); and</w:t>
      </w:r>
    </w:p>
    <w:p w14:paraId="4833FDD7" w14:textId="77777777" w:rsidR="00E22FF2" w:rsidRPr="00E4265B" w:rsidRDefault="00E22FF2" w:rsidP="003D051C">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reporting lines for the department accountable for the valuation process that are clear and independent of the front office.</w:t>
      </w:r>
    </w:p>
    <w:p w14:paraId="0D9DEC90" w14:textId="77777777" w:rsidR="00E22FF2" w:rsidRPr="00E4265B" w:rsidRDefault="00E22FF2" w:rsidP="00B40809">
      <w:pPr>
        <w:pStyle w:val="UK12Title2"/>
        <w:rPr>
          <w:rFonts w:ascii="Arial" w:hAnsi="Arial" w:cs="Arial"/>
          <w:sz w:val="22"/>
          <w:szCs w:val="22"/>
        </w:rPr>
      </w:pPr>
      <w:bookmarkStart w:id="961" w:name="_Toc33622472"/>
      <w:r w:rsidRPr="00E4265B">
        <w:rPr>
          <w:rFonts w:ascii="Arial" w:hAnsi="Arial" w:cs="Arial"/>
          <w:sz w:val="22"/>
          <w:szCs w:val="22"/>
        </w:rPr>
        <w:t>A2.4</w:t>
      </w:r>
      <w:r w:rsidRPr="00E4265B">
        <w:rPr>
          <w:rFonts w:ascii="Arial" w:hAnsi="Arial" w:cs="Arial"/>
          <w:sz w:val="22"/>
          <w:szCs w:val="22"/>
        </w:rPr>
        <w:tab/>
        <w:t>Reporting to the Regulator</w:t>
      </w:r>
      <w:bookmarkEnd w:id="961"/>
    </w:p>
    <w:p w14:paraId="7E89006A" w14:textId="77777777" w:rsidR="00E22FF2" w:rsidRPr="00E4265B" w:rsidRDefault="00E22FF2" w:rsidP="00861A3A">
      <w:pPr>
        <w:pStyle w:val="A1List"/>
        <w:rPr>
          <w:rFonts w:ascii="Arial" w:hAnsi="Arial" w:cs="Arial"/>
          <w:sz w:val="22"/>
          <w:szCs w:val="22"/>
          <w:lang w:val="en-GB"/>
        </w:rPr>
      </w:pPr>
      <w:r w:rsidRPr="00E4265B">
        <w:rPr>
          <w:rFonts w:ascii="Arial" w:hAnsi="Arial" w:cs="Arial"/>
          <w:b/>
          <w:bCs/>
          <w:sz w:val="22"/>
          <w:szCs w:val="22"/>
          <w:lang w:val="en-GB"/>
        </w:rPr>
        <w:t>A2.4.1</w:t>
      </w:r>
      <w:r w:rsidRPr="00E4265B">
        <w:rPr>
          <w:rFonts w:ascii="Arial" w:eastAsia="Arial" w:hAnsi="Arial" w:cs="Arial"/>
          <w:b/>
          <w:bCs/>
          <w:sz w:val="22"/>
          <w:szCs w:val="22"/>
          <w:lang w:val="en-GB"/>
        </w:rPr>
        <w:tab/>
      </w:r>
      <w:r w:rsidR="003021D3" w:rsidRPr="00E4265B">
        <w:rPr>
          <w:rFonts w:ascii="Arial" w:eastAsia="Arial" w:hAnsi="Arial" w:cs="Arial"/>
          <w:bCs/>
          <w:sz w:val="22"/>
          <w:szCs w:val="22"/>
          <w:lang w:val="en-GB"/>
        </w:rPr>
        <w:t>The f</w:t>
      </w:r>
      <w:r w:rsidR="00861A3A" w:rsidRPr="00E4265B">
        <w:rPr>
          <w:rFonts w:ascii="Arial" w:hAnsi="Arial" w:cs="Arial"/>
          <w:sz w:val="22"/>
          <w:szCs w:val="22"/>
          <w:lang w:val="en-GB"/>
        </w:rPr>
        <w:t>orms to be used by Authorised Persons for the purpose of reporting under these Rules are set out i</w:t>
      </w:r>
      <w:r w:rsidR="003021D3" w:rsidRPr="00E4265B">
        <w:rPr>
          <w:rFonts w:ascii="Arial" w:hAnsi="Arial" w:cs="Arial"/>
          <w:sz w:val="22"/>
          <w:szCs w:val="22"/>
          <w:lang w:val="en-GB"/>
        </w:rPr>
        <w:t>n EPRS</w:t>
      </w:r>
      <w:r w:rsidR="00861A3A" w:rsidRPr="00E4265B">
        <w:rPr>
          <w:rFonts w:ascii="Arial" w:hAnsi="Arial" w:cs="Arial"/>
          <w:sz w:val="22"/>
          <w:szCs w:val="22"/>
          <w:lang w:val="en-GB"/>
        </w:rPr>
        <w:t>.</w:t>
      </w:r>
    </w:p>
    <w:p w14:paraId="3A8A0B79" w14:textId="77777777" w:rsidR="00E22FF2" w:rsidRPr="00E4265B" w:rsidRDefault="00E22FF2" w:rsidP="004F0272">
      <w:pPr>
        <w:pStyle w:val="UK12Title2"/>
        <w:rPr>
          <w:rFonts w:ascii="Arial" w:hAnsi="Arial" w:cs="Arial"/>
          <w:sz w:val="22"/>
          <w:szCs w:val="22"/>
        </w:rPr>
      </w:pPr>
      <w:bookmarkStart w:id="962" w:name="_Toc33622473"/>
      <w:r w:rsidRPr="00E4265B">
        <w:rPr>
          <w:rFonts w:ascii="Arial" w:hAnsi="Arial" w:cs="Arial"/>
          <w:sz w:val="22"/>
          <w:szCs w:val="22"/>
        </w:rPr>
        <w:t>A2.5 </w:t>
      </w:r>
      <w:r w:rsidRPr="00E4265B">
        <w:rPr>
          <w:rFonts w:ascii="Arial" w:hAnsi="Arial" w:cs="Arial"/>
          <w:sz w:val="22"/>
          <w:szCs w:val="22"/>
        </w:rPr>
        <w:tab/>
        <w:t>Prudent Valuation Practices</w:t>
      </w:r>
      <w:bookmarkEnd w:id="962"/>
    </w:p>
    <w:p w14:paraId="5CE6E54A" w14:textId="77777777" w:rsidR="00E22FF2" w:rsidRPr="00E4265B" w:rsidRDefault="00E22FF2" w:rsidP="003D051C">
      <w:pPr>
        <w:pStyle w:val="TitleL5"/>
        <w:rPr>
          <w:rFonts w:ascii="Arial" w:hAnsi="Arial" w:cs="Arial"/>
          <w:sz w:val="22"/>
          <w:szCs w:val="22"/>
          <w:lang w:val="en-GB"/>
        </w:rPr>
      </w:pPr>
      <w:r w:rsidRPr="00E4265B">
        <w:rPr>
          <w:rFonts w:ascii="Arial" w:hAnsi="Arial" w:cs="Arial"/>
          <w:sz w:val="22"/>
          <w:szCs w:val="22"/>
          <w:lang w:val="en-GB"/>
        </w:rPr>
        <w:t>Guidance</w:t>
      </w:r>
    </w:p>
    <w:p w14:paraId="20F73AE6" w14:textId="2208C69D"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1</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This following guidance sets out the Regulator's expectations for prudent valuation practices, including adequate systems and controls and valuation methodologies, for the purpose of Section 2.4 of these Rules.</w:t>
      </w:r>
    </w:p>
    <w:p w14:paraId="479B5C6D" w14:textId="77777777" w:rsidR="00E22FF2" w:rsidRPr="00E4265B" w:rsidRDefault="00E22FF2" w:rsidP="003D051C">
      <w:pPr>
        <w:pStyle w:val="TitleL5"/>
        <w:rPr>
          <w:rFonts w:ascii="Arial" w:hAnsi="Arial" w:cs="Arial"/>
          <w:sz w:val="22"/>
          <w:szCs w:val="22"/>
          <w:lang w:val="en-GB"/>
        </w:rPr>
      </w:pPr>
      <w:r w:rsidRPr="00E4265B">
        <w:rPr>
          <w:rFonts w:ascii="Arial" w:hAnsi="Arial" w:cs="Arial"/>
          <w:sz w:val="22"/>
          <w:szCs w:val="22"/>
          <w:lang w:val="en-GB"/>
        </w:rPr>
        <w:t>Systems and controls</w:t>
      </w:r>
    </w:p>
    <w:p w14:paraId="2E359764" w14:textId="77777777" w:rsidR="00E22FF2" w:rsidRPr="00E4265B" w:rsidRDefault="00E22FF2" w:rsidP="00B40809">
      <w:pPr>
        <w:pStyle w:val="1List0"/>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r>
      <w:r w:rsidR="000D1A90" w:rsidRPr="00E4265B">
        <w:rPr>
          <w:rFonts w:ascii="Arial" w:hAnsi="Arial" w:cs="Arial"/>
          <w:sz w:val="22"/>
          <w:szCs w:val="22"/>
          <w:lang w:val="en-GB"/>
        </w:rPr>
        <w:t>Authorised Person</w:t>
      </w:r>
      <w:r w:rsidRPr="00E4265B">
        <w:rPr>
          <w:rFonts w:ascii="Arial" w:hAnsi="Arial" w:cs="Arial"/>
          <w:sz w:val="22"/>
          <w:szCs w:val="22"/>
          <w:lang w:val="en-GB"/>
        </w:rPr>
        <w:t>s should establish and maintain adequate systems and controls sufficient to give management and the Regulator the confidence that their valuation estimates are prudent and reliable. These systems should be integrated with other risk management systems within the organisation (such as credit analysis). Such systems are expected to include:</w:t>
      </w:r>
    </w:p>
    <w:p w14:paraId="58FDB057"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documented policies and procedures for the process of valuation. This includes clearly defined responsibilities of the various areas involved in the determination of the valuation, sources of market information and review of their appropriateness, guidelines for the use of unobservable inputs reflecting the </w:t>
      </w:r>
      <w:r w:rsidR="000D1A90" w:rsidRPr="00E4265B">
        <w:rPr>
          <w:rFonts w:ascii="Arial" w:hAnsi="Arial" w:cs="Arial"/>
          <w:sz w:val="22"/>
          <w:szCs w:val="22"/>
          <w:lang w:val="en-GB"/>
        </w:rPr>
        <w:t>Authorised Person</w:t>
      </w:r>
      <w:r w:rsidRPr="00E4265B">
        <w:rPr>
          <w:rFonts w:ascii="Arial" w:hAnsi="Arial" w:cs="Arial"/>
          <w:sz w:val="22"/>
          <w:szCs w:val="22"/>
          <w:lang w:val="en-GB"/>
        </w:rPr>
        <w:t>'s assumptions of what market participants would use in pricing the position, frequency of independent valuation, timing of closing prices, procedures for adjusting valuations, end of the month and ad</w:t>
      </w:r>
      <w:r w:rsidRPr="00E4265B">
        <w:rPr>
          <w:rFonts w:ascii="Arial" w:hAnsi="Arial" w:cs="Arial"/>
          <w:sz w:val="22"/>
          <w:szCs w:val="22"/>
          <w:lang w:val="en-GB"/>
        </w:rPr>
        <w:noBreakHyphen/>
        <w:t>hoc verification procedures; and</w:t>
      </w:r>
    </w:p>
    <w:p w14:paraId="1762F1B8"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clear and independent (i.e. independent of front office) reporting lines for the department accountable for the valuation process. The </w:t>
      </w:r>
      <w:r w:rsidRPr="00E4265B">
        <w:rPr>
          <w:rFonts w:ascii="Arial" w:hAnsi="Arial" w:cs="Arial"/>
          <w:sz w:val="22"/>
          <w:szCs w:val="22"/>
          <w:lang w:val="en-GB"/>
        </w:rPr>
        <w:lastRenderedPageBreak/>
        <w:t xml:space="preserve">reporting line should ultimately be to a main board executive </w:t>
      </w:r>
      <w:r w:rsidR="005F3B3B" w:rsidRPr="00E4265B">
        <w:rPr>
          <w:rFonts w:ascii="Arial" w:hAnsi="Arial" w:cs="Arial"/>
          <w:sz w:val="22"/>
          <w:szCs w:val="22"/>
          <w:lang w:val="en-GB"/>
        </w:rPr>
        <w:t>D</w:t>
      </w:r>
      <w:r w:rsidRPr="00E4265B">
        <w:rPr>
          <w:rFonts w:ascii="Arial" w:hAnsi="Arial" w:cs="Arial"/>
          <w:sz w:val="22"/>
          <w:szCs w:val="22"/>
          <w:lang w:val="en-GB"/>
        </w:rPr>
        <w:t>irector or equivalent.</w:t>
      </w:r>
    </w:p>
    <w:p w14:paraId="49DFD9D7" w14:textId="77777777" w:rsidR="00E22FF2" w:rsidRPr="00E4265B" w:rsidRDefault="00E22FF2" w:rsidP="003D051C">
      <w:pPr>
        <w:pStyle w:val="TitleL5"/>
        <w:rPr>
          <w:rFonts w:ascii="Arial" w:hAnsi="Arial" w:cs="Arial"/>
          <w:sz w:val="22"/>
          <w:szCs w:val="22"/>
          <w:lang w:val="en-GB"/>
        </w:rPr>
      </w:pPr>
      <w:r w:rsidRPr="00E4265B">
        <w:rPr>
          <w:rFonts w:ascii="Arial" w:hAnsi="Arial" w:cs="Arial"/>
          <w:sz w:val="22"/>
          <w:szCs w:val="22"/>
          <w:lang w:val="en-GB"/>
        </w:rPr>
        <w:t>Valuation methodologies</w:t>
      </w:r>
    </w:p>
    <w:p w14:paraId="2BB4D736" w14:textId="77777777" w:rsidR="00E22FF2" w:rsidRPr="00E4265B" w:rsidRDefault="00E22FF2" w:rsidP="003D051C">
      <w:pPr>
        <w:pStyle w:val="TitleL5"/>
        <w:rPr>
          <w:rFonts w:ascii="Arial" w:hAnsi="Arial" w:cs="Arial"/>
          <w:sz w:val="22"/>
          <w:szCs w:val="22"/>
          <w:lang w:val="en-GB"/>
        </w:rPr>
      </w:pPr>
      <w:r w:rsidRPr="00E4265B">
        <w:rPr>
          <w:rFonts w:ascii="Arial" w:hAnsi="Arial" w:cs="Arial"/>
          <w:sz w:val="22"/>
          <w:szCs w:val="22"/>
          <w:lang w:val="en-GB"/>
        </w:rPr>
        <w:t>Marking</w:t>
      </w:r>
      <w:r w:rsidRPr="00E4265B">
        <w:rPr>
          <w:rFonts w:ascii="Arial" w:hAnsi="Arial" w:cs="Arial"/>
          <w:sz w:val="22"/>
          <w:szCs w:val="22"/>
          <w:lang w:val="en-GB"/>
        </w:rPr>
        <w:noBreakHyphen/>
        <w:t>to</w:t>
      </w:r>
      <w:r w:rsidRPr="00E4265B">
        <w:rPr>
          <w:rFonts w:ascii="Arial" w:hAnsi="Arial" w:cs="Arial"/>
          <w:sz w:val="22"/>
          <w:szCs w:val="22"/>
          <w:lang w:val="en-GB"/>
        </w:rPr>
        <w:noBreakHyphen/>
        <w:t>market</w:t>
      </w:r>
    </w:p>
    <w:p w14:paraId="53B0FEBE" w14:textId="46C8A650" w:rsidR="00E22FF2" w:rsidRPr="00E4265B" w:rsidRDefault="00E22FF2" w:rsidP="003D051C">
      <w:pPr>
        <w:pStyle w:val="1List0"/>
        <w:rPr>
          <w:rFonts w:ascii="Arial" w:hAnsi="Arial" w:cs="Arial"/>
          <w:sz w:val="22"/>
          <w:szCs w:val="22"/>
          <w:lang w:val="en-GB"/>
        </w:rPr>
      </w:pPr>
      <w:r w:rsidRPr="00E4265B">
        <w:rPr>
          <w:rFonts w:ascii="Arial" w:hAnsi="Arial" w:cs="Arial"/>
          <w:sz w:val="22"/>
          <w:szCs w:val="22"/>
          <w:lang w:val="en-GB"/>
        </w:rPr>
        <w:t>3</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Marking</w:t>
      </w:r>
      <w:r w:rsidRPr="00E4265B">
        <w:rPr>
          <w:rFonts w:ascii="Arial" w:hAnsi="Arial" w:cs="Arial"/>
          <w:sz w:val="22"/>
          <w:szCs w:val="22"/>
          <w:lang w:val="en-GB"/>
        </w:rPr>
        <w:noBreakHyphen/>
        <w:t>to</w:t>
      </w:r>
      <w:r w:rsidRPr="00E4265B">
        <w:rPr>
          <w:rFonts w:ascii="Arial" w:hAnsi="Arial" w:cs="Arial"/>
          <w:sz w:val="22"/>
          <w:szCs w:val="22"/>
          <w:lang w:val="en-GB"/>
        </w:rPr>
        <w:noBreakHyphen/>
        <w:t>market is at least the daily valuation of positions at readily available close out prices in orderly transactions that are sourced independently. Examples of readily available close out prices include exchange prices, screen prices, or quotes from several independent reputable brokers.</w:t>
      </w:r>
    </w:p>
    <w:p w14:paraId="4829ADD8" w14:textId="30B01F02" w:rsidR="00E22FF2" w:rsidRPr="00E4265B" w:rsidRDefault="00E22FF2" w:rsidP="003D051C">
      <w:pPr>
        <w:pStyle w:val="1List0"/>
        <w:rPr>
          <w:rFonts w:ascii="Arial" w:hAnsi="Arial" w:cs="Arial"/>
          <w:sz w:val="22"/>
          <w:szCs w:val="22"/>
          <w:lang w:val="en-GB"/>
        </w:rPr>
      </w:pPr>
      <w:r w:rsidRPr="00E4265B">
        <w:rPr>
          <w:rFonts w:ascii="Arial" w:hAnsi="Arial" w:cs="Arial"/>
          <w:sz w:val="22"/>
          <w:szCs w:val="22"/>
          <w:lang w:val="en-GB"/>
        </w:rPr>
        <w:t>4</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000D1A90" w:rsidRPr="00E4265B">
        <w:rPr>
          <w:rFonts w:ascii="Arial" w:hAnsi="Arial" w:cs="Arial"/>
          <w:sz w:val="22"/>
          <w:szCs w:val="22"/>
          <w:lang w:val="en-GB"/>
        </w:rPr>
        <w:t>Authorised Person</w:t>
      </w:r>
      <w:r w:rsidRPr="00E4265B">
        <w:rPr>
          <w:rFonts w:ascii="Arial" w:hAnsi="Arial" w:cs="Arial"/>
          <w:sz w:val="22"/>
          <w:szCs w:val="22"/>
          <w:lang w:val="en-GB"/>
        </w:rPr>
        <w:t>s should mark</w:t>
      </w:r>
      <w:r w:rsidRPr="00E4265B">
        <w:rPr>
          <w:rFonts w:ascii="Arial" w:hAnsi="Arial" w:cs="Arial"/>
          <w:sz w:val="22"/>
          <w:szCs w:val="22"/>
          <w:lang w:val="en-GB"/>
        </w:rPr>
        <w:noBreakHyphen/>
        <w:t>to</w:t>
      </w:r>
      <w:r w:rsidRPr="00E4265B">
        <w:rPr>
          <w:rFonts w:ascii="Arial" w:hAnsi="Arial" w:cs="Arial"/>
          <w:sz w:val="22"/>
          <w:szCs w:val="22"/>
          <w:lang w:val="en-GB"/>
        </w:rPr>
        <w:noBreakHyphen/>
        <w:t>market as much as possible. The more prudent side of bid/offer should be used unless the institution is a significant market maker in a particular position type and it can close out at mid</w:t>
      </w:r>
      <w:r w:rsidRPr="00E4265B">
        <w:rPr>
          <w:rFonts w:ascii="Arial" w:hAnsi="Arial" w:cs="Arial"/>
          <w:sz w:val="22"/>
          <w:szCs w:val="22"/>
          <w:lang w:val="en-GB"/>
        </w:rPr>
        <w:noBreakHyphen/>
        <w:t xml:space="preserve">market. </w:t>
      </w:r>
      <w:r w:rsidR="000D1A90" w:rsidRPr="00E4265B">
        <w:rPr>
          <w:rFonts w:ascii="Arial" w:hAnsi="Arial" w:cs="Arial"/>
          <w:sz w:val="22"/>
          <w:szCs w:val="22"/>
          <w:lang w:val="en-GB"/>
        </w:rPr>
        <w:t>Authorised Person</w:t>
      </w:r>
      <w:r w:rsidRPr="00E4265B">
        <w:rPr>
          <w:rFonts w:ascii="Arial" w:hAnsi="Arial" w:cs="Arial"/>
          <w:sz w:val="22"/>
          <w:szCs w:val="22"/>
          <w:lang w:val="en-GB"/>
        </w:rPr>
        <w:t>s should maximise the use of relevant observable inputs and minimise the use of unobservable inputs when estimating fair value using a valuation technique. However, observable inputs or transactions may not be relevant, such as in a forced liquidation or distressed sale, or transactions may not be observable, such as when markets are inactive. In such cases, the observable data should be considered, but may not be determinative.</w:t>
      </w:r>
    </w:p>
    <w:p w14:paraId="01FF03C0" w14:textId="77777777" w:rsidR="00E22FF2" w:rsidRPr="00E4265B" w:rsidRDefault="00E22FF2" w:rsidP="003D051C">
      <w:pPr>
        <w:pStyle w:val="TitleL5"/>
        <w:rPr>
          <w:rFonts w:ascii="Arial" w:hAnsi="Arial" w:cs="Arial"/>
          <w:sz w:val="22"/>
          <w:szCs w:val="22"/>
          <w:lang w:val="en-GB"/>
        </w:rPr>
      </w:pPr>
      <w:r w:rsidRPr="00E4265B">
        <w:rPr>
          <w:rFonts w:ascii="Arial" w:hAnsi="Arial" w:cs="Arial"/>
          <w:sz w:val="22"/>
          <w:szCs w:val="22"/>
          <w:lang w:val="en-GB"/>
        </w:rPr>
        <w:t>Marking</w:t>
      </w:r>
      <w:r w:rsidRPr="00E4265B">
        <w:rPr>
          <w:rFonts w:ascii="Arial" w:hAnsi="Arial" w:cs="Arial"/>
          <w:sz w:val="22"/>
          <w:szCs w:val="22"/>
          <w:lang w:val="en-GB"/>
        </w:rPr>
        <w:noBreakHyphen/>
        <w:t>to</w:t>
      </w:r>
      <w:r w:rsidRPr="00E4265B">
        <w:rPr>
          <w:rFonts w:ascii="Arial" w:hAnsi="Arial" w:cs="Arial"/>
          <w:sz w:val="22"/>
          <w:szCs w:val="22"/>
          <w:lang w:val="en-GB"/>
        </w:rPr>
        <w:noBreakHyphen/>
        <w:t>Model</w:t>
      </w:r>
    </w:p>
    <w:p w14:paraId="2F3F8CC8" w14:textId="435A0120"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5</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Only where marking</w:t>
      </w:r>
      <w:r w:rsidRPr="00E4265B">
        <w:rPr>
          <w:rFonts w:ascii="Arial" w:hAnsi="Arial" w:cs="Arial"/>
          <w:sz w:val="22"/>
          <w:szCs w:val="22"/>
          <w:lang w:val="en-GB"/>
        </w:rPr>
        <w:noBreakHyphen/>
        <w:t>to</w:t>
      </w:r>
      <w:r w:rsidRPr="00E4265B">
        <w:rPr>
          <w:rFonts w:ascii="Arial" w:hAnsi="Arial" w:cs="Arial"/>
          <w:sz w:val="22"/>
          <w:szCs w:val="22"/>
          <w:lang w:val="en-GB"/>
        </w:rPr>
        <w:noBreakHyphen/>
        <w:t xml:space="preserve">market is not possible should </w:t>
      </w:r>
      <w:r w:rsidR="000D1A90" w:rsidRPr="00E4265B">
        <w:rPr>
          <w:rFonts w:ascii="Arial" w:hAnsi="Arial" w:cs="Arial"/>
          <w:sz w:val="22"/>
          <w:szCs w:val="22"/>
          <w:lang w:val="en-GB"/>
        </w:rPr>
        <w:t>Authorised Person</w:t>
      </w:r>
      <w:r w:rsidRPr="00E4265B">
        <w:rPr>
          <w:rFonts w:ascii="Arial" w:hAnsi="Arial" w:cs="Arial"/>
          <w:sz w:val="22"/>
          <w:szCs w:val="22"/>
          <w:lang w:val="en-GB"/>
        </w:rPr>
        <w:t>s mark</w:t>
      </w:r>
      <w:r w:rsidRPr="00E4265B">
        <w:rPr>
          <w:rFonts w:ascii="Arial" w:hAnsi="Arial" w:cs="Arial"/>
          <w:sz w:val="22"/>
          <w:szCs w:val="22"/>
          <w:lang w:val="en-GB"/>
        </w:rPr>
        <w:noBreakHyphen/>
        <w:t>to</w:t>
      </w:r>
      <w:r w:rsidRPr="00E4265B">
        <w:rPr>
          <w:rFonts w:ascii="Arial" w:hAnsi="Arial" w:cs="Arial"/>
          <w:sz w:val="22"/>
          <w:szCs w:val="22"/>
          <w:lang w:val="en-GB"/>
        </w:rPr>
        <w:noBreakHyphen/>
        <w:t xml:space="preserve">model, but in such cases,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be able to demonstrate to the Regulator that the approach is prudent. Marking</w:t>
      </w:r>
      <w:r w:rsidRPr="00E4265B">
        <w:rPr>
          <w:rFonts w:ascii="Arial" w:hAnsi="Arial" w:cs="Arial"/>
          <w:sz w:val="22"/>
          <w:szCs w:val="22"/>
          <w:lang w:val="en-GB"/>
        </w:rPr>
        <w:noBreakHyphen/>
        <w:t>to</w:t>
      </w:r>
      <w:r w:rsidRPr="00E4265B">
        <w:rPr>
          <w:rFonts w:ascii="Arial" w:hAnsi="Arial" w:cs="Arial"/>
          <w:sz w:val="22"/>
          <w:szCs w:val="22"/>
          <w:lang w:val="en-GB"/>
        </w:rPr>
        <w:noBreakHyphen/>
        <w:t>model is defined as any valuation which has to be benchmarked, extrapolated or otherwise calculated from a market input. When marking</w:t>
      </w:r>
      <w:r w:rsidRPr="00E4265B">
        <w:rPr>
          <w:rFonts w:ascii="Arial" w:hAnsi="Arial" w:cs="Arial"/>
          <w:sz w:val="22"/>
          <w:szCs w:val="22"/>
          <w:lang w:val="en-GB"/>
        </w:rPr>
        <w:noBreakHyphen/>
        <w:t>to</w:t>
      </w:r>
      <w:r w:rsidRPr="00E4265B">
        <w:rPr>
          <w:rFonts w:ascii="Arial" w:hAnsi="Arial" w:cs="Arial"/>
          <w:sz w:val="22"/>
          <w:szCs w:val="22"/>
          <w:lang w:val="en-GB"/>
        </w:rPr>
        <w:noBreakHyphen/>
        <w:t>model, an extra degree of conservatism is appropriate. The Regulator will consider the following in assessing whether a mark</w:t>
      </w:r>
      <w:r w:rsidRPr="00E4265B">
        <w:rPr>
          <w:rFonts w:ascii="Arial" w:hAnsi="Arial" w:cs="Arial"/>
          <w:sz w:val="22"/>
          <w:szCs w:val="22"/>
          <w:lang w:val="en-GB"/>
        </w:rPr>
        <w:noBreakHyphen/>
        <w:t>to</w:t>
      </w:r>
      <w:r w:rsidRPr="00E4265B">
        <w:rPr>
          <w:rFonts w:ascii="Arial" w:hAnsi="Arial" w:cs="Arial"/>
          <w:sz w:val="22"/>
          <w:szCs w:val="22"/>
          <w:lang w:val="en-GB"/>
        </w:rPr>
        <w:noBreakHyphen/>
        <w:t>model valuation is prudent:</w:t>
      </w:r>
    </w:p>
    <w:p w14:paraId="340898B2"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senior management should b</w:t>
      </w:r>
      <w:r w:rsidR="00F346EF" w:rsidRPr="00E4265B">
        <w:rPr>
          <w:rFonts w:ascii="Arial" w:hAnsi="Arial" w:cs="Arial"/>
          <w:sz w:val="22"/>
          <w:szCs w:val="22"/>
          <w:lang w:val="en-GB"/>
        </w:rPr>
        <w:t>e aware of the elements of the T</w:t>
      </w:r>
      <w:r w:rsidRPr="00E4265B">
        <w:rPr>
          <w:rFonts w:ascii="Arial" w:hAnsi="Arial" w:cs="Arial"/>
          <w:sz w:val="22"/>
          <w:szCs w:val="22"/>
          <w:lang w:val="en-GB"/>
        </w:rPr>
        <w:t xml:space="preserve">rading </w:t>
      </w:r>
      <w:r w:rsidR="00F346EF" w:rsidRPr="00E4265B">
        <w:rPr>
          <w:rFonts w:ascii="Arial" w:hAnsi="Arial" w:cs="Arial"/>
          <w:sz w:val="22"/>
          <w:szCs w:val="22"/>
          <w:lang w:val="en-GB"/>
        </w:rPr>
        <w:t>B</w:t>
      </w:r>
      <w:r w:rsidRPr="00E4265B">
        <w:rPr>
          <w:rFonts w:ascii="Arial" w:hAnsi="Arial" w:cs="Arial"/>
          <w:sz w:val="22"/>
          <w:szCs w:val="22"/>
          <w:lang w:val="en-GB"/>
        </w:rPr>
        <w:t>ook or of other fair</w:t>
      </w:r>
      <w:r w:rsidRPr="00E4265B">
        <w:rPr>
          <w:rFonts w:ascii="Arial" w:hAnsi="Arial" w:cs="Arial"/>
          <w:sz w:val="22"/>
          <w:szCs w:val="22"/>
          <w:lang w:val="en-GB"/>
        </w:rPr>
        <w:noBreakHyphen/>
        <w:t>valued positions which are subject to mark</w:t>
      </w:r>
      <w:r w:rsidRPr="00E4265B">
        <w:rPr>
          <w:rFonts w:ascii="Arial" w:hAnsi="Arial" w:cs="Arial"/>
          <w:sz w:val="22"/>
          <w:szCs w:val="22"/>
          <w:lang w:val="en-GB"/>
        </w:rPr>
        <w:noBreakHyphen/>
        <w:t>to</w:t>
      </w:r>
      <w:r w:rsidRPr="00E4265B">
        <w:rPr>
          <w:rFonts w:ascii="Arial" w:hAnsi="Arial" w:cs="Arial"/>
          <w:sz w:val="22"/>
          <w:szCs w:val="22"/>
          <w:lang w:val="en-GB"/>
        </w:rPr>
        <w:noBreakHyphen/>
        <w:t>model and should understand the materiality of the uncertainty this creates in the reporting of the risk/performance of the business;</w:t>
      </w:r>
    </w:p>
    <w:p w14:paraId="48D6AC72" w14:textId="22F75AB2"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market inputs should be sourced, to the extent possible, in line with market prices (as discussed above). The appropriateness of the market inputs for the particular position being valued should be reviewed regularly;</w:t>
      </w:r>
    </w:p>
    <w:p w14:paraId="6EA26BB3"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where available, generally accepted valuation methodologies for particular products should be used as far as possible;</w:t>
      </w:r>
    </w:p>
    <w:p w14:paraId="680AAD82"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where the model is developed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itself, it should be based on appropriate assumptions, which have been assessed and challenged by suitably qualified parties independent of the development process. The model should be developed or approved independently of the front office. It should be independently tested. This includes validating the mathematics, the assumptions and the software implementation;</w:t>
      </w:r>
    </w:p>
    <w:p w14:paraId="7CAF3B40"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lastRenderedPageBreak/>
        <w:t>e.</w:t>
      </w:r>
      <w:r w:rsidRPr="00E4265B">
        <w:rPr>
          <w:rFonts w:ascii="Arial" w:hAnsi="Arial" w:cs="Arial"/>
          <w:sz w:val="22"/>
          <w:szCs w:val="22"/>
          <w:lang w:val="en-GB"/>
        </w:rPr>
        <w:tab/>
        <w:t>there should be formal change control procedures in place and a secure copy of the model should be held and periodically used to check valuations;</w:t>
      </w:r>
    </w:p>
    <w:p w14:paraId="6980FD16" w14:textId="0D16096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f</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risk management should be aware of the weaknesses of the models used and how best to reflect those in the valuation output;</w:t>
      </w:r>
    </w:p>
    <w:p w14:paraId="147A1222" w14:textId="6376CD16"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g</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the model should be subject to periodic review to determine the accuracy of its performance (e.g. assessing continued appropriateness of the assumptions, analysis of profit and loss versus risk factors, comparison of actual close out values to model outputs); and</w:t>
      </w:r>
    </w:p>
    <w:p w14:paraId="2A164D5D" w14:textId="18220C4B"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h</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valuation adjustments should be made as appropriate, for example, to cover the uncertainty of the model valuation (see also valuation adjustments in Guidance notes 6 to 14.)</w:t>
      </w:r>
    </w:p>
    <w:p w14:paraId="34A2A64D" w14:textId="77777777" w:rsidR="00E22FF2" w:rsidRPr="00E4265B" w:rsidRDefault="00E22FF2" w:rsidP="00A02596">
      <w:pPr>
        <w:pStyle w:val="TitleL5"/>
        <w:rPr>
          <w:rFonts w:ascii="Arial" w:hAnsi="Arial" w:cs="Arial"/>
          <w:sz w:val="22"/>
          <w:szCs w:val="22"/>
          <w:lang w:val="en-GB"/>
        </w:rPr>
      </w:pPr>
      <w:r w:rsidRPr="00E4265B">
        <w:rPr>
          <w:rFonts w:ascii="Arial" w:hAnsi="Arial" w:cs="Arial"/>
          <w:sz w:val="22"/>
          <w:szCs w:val="22"/>
          <w:lang w:val="en-GB"/>
        </w:rPr>
        <w:t>Independent price verification</w:t>
      </w:r>
    </w:p>
    <w:p w14:paraId="5ED2B6AE" w14:textId="0A8AE173"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6</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Independent price verification is distinct from daily mark</w:t>
      </w:r>
      <w:r w:rsidRPr="00E4265B">
        <w:rPr>
          <w:rFonts w:ascii="Arial" w:hAnsi="Arial" w:cs="Arial"/>
          <w:sz w:val="22"/>
          <w:szCs w:val="22"/>
          <w:lang w:val="en-GB"/>
        </w:rPr>
        <w:noBreakHyphen/>
        <w:t>to</w:t>
      </w:r>
      <w:r w:rsidRPr="00E4265B">
        <w:rPr>
          <w:rFonts w:ascii="Arial" w:hAnsi="Arial" w:cs="Arial"/>
          <w:sz w:val="22"/>
          <w:szCs w:val="22"/>
          <w:lang w:val="en-GB"/>
        </w:rPr>
        <w:noBreakHyphen/>
        <w:t>market. It is the process by which market prices or model inputs are regularly verified for accuracy. While daily marking</w:t>
      </w:r>
      <w:r w:rsidRPr="00E4265B">
        <w:rPr>
          <w:rFonts w:ascii="Arial" w:hAnsi="Arial" w:cs="Arial"/>
          <w:sz w:val="22"/>
          <w:szCs w:val="22"/>
          <w:lang w:val="en-GB"/>
        </w:rPr>
        <w:noBreakHyphen/>
        <w:t>to</w:t>
      </w:r>
      <w:r w:rsidRPr="00E4265B">
        <w:rPr>
          <w:rFonts w:ascii="Arial" w:hAnsi="Arial" w:cs="Arial"/>
          <w:sz w:val="22"/>
          <w:szCs w:val="22"/>
          <w:lang w:val="en-GB"/>
        </w:rPr>
        <w:noBreakHyphen/>
        <w:t>market may be performed by dealers, verification of market prices or model inputs should be performed by a unit independent of the dealing room, at least monthly (or, depending on the nature of the market/trading activity, more frequently). It need not be performed as frequently as daily mark</w:t>
      </w:r>
      <w:r w:rsidRPr="00E4265B">
        <w:rPr>
          <w:rFonts w:ascii="Arial" w:hAnsi="Arial" w:cs="Arial"/>
          <w:sz w:val="22"/>
          <w:szCs w:val="22"/>
          <w:lang w:val="en-GB"/>
        </w:rPr>
        <w:noBreakHyphen/>
        <w:t>to</w:t>
      </w:r>
      <w:r w:rsidRPr="00E4265B">
        <w:rPr>
          <w:rFonts w:ascii="Arial" w:hAnsi="Arial" w:cs="Arial"/>
          <w:sz w:val="22"/>
          <w:szCs w:val="22"/>
          <w:lang w:val="en-GB"/>
        </w:rPr>
        <w:noBreakHyphen/>
        <w:t>market, since the objective, i.e. independent, marking of positions should reveal any error or bias in pricing, which should result in the elimination of inaccurate daily marks.</w:t>
      </w:r>
    </w:p>
    <w:p w14:paraId="54B721D4" w14:textId="17556BBB"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7</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Independent price verification entails a higher standard of accuracy in that the market prices or model inputs are used to determine profit and loss figures, whereas daily marks are used primarily for management reporting in between reporting dates. For independent price verification, where pricing sources are more subjective, e.g. only one available broker quote, prudent measures such as valuation adjustments may be appropriate.</w:t>
      </w:r>
    </w:p>
    <w:p w14:paraId="10999C15" w14:textId="77777777" w:rsidR="00E22FF2" w:rsidRPr="00E4265B" w:rsidRDefault="00E22FF2" w:rsidP="00A02596">
      <w:pPr>
        <w:pStyle w:val="TitleL5"/>
        <w:rPr>
          <w:rFonts w:ascii="Arial" w:hAnsi="Arial" w:cs="Arial"/>
          <w:sz w:val="22"/>
          <w:szCs w:val="22"/>
          <w:lang w:val="en-GB"/>
        </w:rPr>
      </w:pPr>
      <w:r w:rsidRPr="00E4265B">
        <w:rPr>
          <w:rFonts w:ascii="Arial" w:hAnsi="Arial" w:cs="Arial"/>
          <w:sz w:val="22"/>
          <w:szCs w:val="22"/>
          <w:lang w:val="en-GB"/>
        </w:rPr>
        <w:t>Valuation adjustments</w:t>
      </w:r>
    </w:p>
    <w:p w14:paraId="700591D7" w14:textId="27C1C9C6"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8</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As part of their procedures for marking</w:t>
      </w:r>
      <w:r w:rsidRPr="00E4265B">
        <w:rPr>
          <w:rFonts w:ascii="Arial" w:hAnsi="Arial" w:cs="Arial"/>
          <w:sz w:val="22"/>
          <w:szCs w:val="22"/>
          <w:lang w:val="en-GB"/>
        </w:rPr>
        <w:noBreakHyphen/>
        <w:t>to</w:t>
      </w:r>
      <w:r w:rsidRPr="00E4265B">
        <w:rPr>
          <w:rFonts w:ascii="Arial" w:hAnsi="Arial" w:cs="Arial"/>
          <w:sz w:val="22"/>
          <w:szCs w:val="22"/>
          <w:lang w:val="en-GB"/>
        </w:rPr>
        <w:noBreakHyphen/>
        <w:t xml:space="preserve">market,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should establish and maintain procedures for considering valuation adjustments. The Regulator expects </w:t>
      </w:r>
      <w:r w:rsidR="000D1A90" w:rsidRPr="00E4265B">
        <w:rPr>
          <w:rFonts w:ascii="Arial" w:hAnsi="Arial" w:cs="Arial"/>
          <w:sz w:val="22"/>
          <w:szCs w:val="22"/>
          <w:lang w:val="en-GB"/>
        </w:rPr>
        <w:t>Authorised Person</w:t>
      </w:r>
      <w:r w:rsidRPr="00E4265B">
        <w:rPr>
          <w:rFonts w:ascii="Arial" w:hAnsi="Arial" w:cs="Arial"/>
          <w:sz w:val="22"/>
          <w:szCs w:val="22"/>
          <w:lang w:val="en-GB"/>
        </w:rPr>
        <w:t>s using third</w:t>
      </w:r>
      <w:r w:rsidRPr="00E4265B">
        <w:rPr>
          <w:rFonts w:ascii="Arial" w:hAnsi="Arial" w:cs="Arial"/>
          <w:sz w:val="22"/>
          <w:szCs w:val="22"/>
          <w:lang w:val="en-GB"/>
        </w:rPr>
        <w:noBreakHyphen/>
        <w:t>party valuations to consider whether valuation adjustments are necessary. Such considerations are also necessary when marking</w:t>
      </w:r>
      <w:r w:rsidRPr="00E4265B">
        <w:rPr>
          <w:rFonts w:ascii="Arial" w:hAnsi="Arial" w:cs="Arial"/>
          <w:sz w:val="22"/>
          <w:szCs w:val="22"/>
          <w:lang w:val="en-GB"/>
        </w:rPr>
        <w:noBreakHyphen/>
        <w:t>to</w:t>
      </w:r>
      <w:r w:rsidRPr="00E4265B">
        <w:rPr>
          <w:rFonts w:ascii="Arial" w:hAnsi="Arial" w:cs="Arial"/>
          <w:sz w:val="22"/>
          <w:szCs w:val="22"/>
          <w:lang w:val="en-GB"/>
        </w:rPr>
        <w:noBreakHyphen/>
        <w:t>model.</w:t>
      </w:r>
    </w:p>
    <w:p w14:paraId="20B8D87F" w14:textId="044ECE23"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9</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The Regulator expects the following valuation adjustments to be formally considered at a minimum: unearned credit spreads, close</w:t>
      </w:r>
      <w:r w:rsidRPr="00E4265B">
        <w:rPr>
          <w:rFonts w:ascii="Arial" w:hAnsi="Arial" w:cs="Arial"/>
          <w:sz w:val="22"/>
          <w:szCs w:val="22"/>
          <w:lang w:val="en-GB"/>
        </w:rPr>
        <w:noBreakHyphen/>
        <w:t>out costs, Operational Risks, early termination, investing and funding costs, and future administrative costs and, where appropriate, model risk.</w:t>
      </w:r>
    </w:p>
    <w:p w14:paraId="6E564F7C" w14:textId="77777777" w:rsidR="00E22FF2" w:rsidRPr="00E4265B" w:rsidRDefault="00E22FF2" w:rsidP="00A02596">
      <w:pPr>
        <w:pStyle w:val="TitleL5"/>
        <w:rPr>
          <w:rFonts w:ascii="Arial" w:hAnsi="Arial" w:cs="Arial"/>
          <w:sz w:val="22"/>
          <w:szCs w:val="22"/>
          <w:lang w:val="en-GB"/>
        </w:rPr>
      </w:pPr>
      <w:r w:rsidRPr="00E4265B">
        <w:rPr>
          <w:rFonts w:ascii="Arial" w:hAnsi="Arial" w:cs="Arial"/>
          <w:sz w:val="22"/>
          <w:szCs w:val="22"/>
          <w:lang w:val="en-GB"/>
        </w:rPr>
        <w:t>Adjustment to the current valuation of less liquid positions for regulatory capital purposes</w:t>
      </w:r>
    </w:p>
    <w:p w14:paraId="00342F9A" w14:textId="3FE5D258"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10</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should establish and maintain procedures for judging the necessity of and calculating an adjustment to the current valuation of less liquid positions for regulatory capital purposes. This adjustment may be in addition to any changes to the value of the position required for </w:t>
      </w:r>
      <w:r w:rsidRPr="00E4265B">
        <w:rPr>
          <w:rFonts w:ascii="Arial" w:hAnsi="Arial" w:cs="Arial"/>
          <w:sz w:val="22"/>
          <w:szCs w:val="22"/>
          <w:lang w:val="en-GB"/>
        </w:rPr>
        <w:lastRenderedPageBreak/>
        <w:t xml:space="preserve">financial reporting purposes and should be designed to reflect the illiquidity of the position. The Regulator expects </w:t>
      </w:r>
      <w:r w:rsidR="000D1A90" w:rsidRPr="00E4265B">
        <w:rPr>
          <w:rFonts w:ascii="Arial" w:hAnsi="Arial" w:cs="Arial"/>
          <w:sz w:val="22"/>
          <w:szCs w:val="22"/>
          <w:lang w:val="en-GB"/>
        </w:rPr>
        <w:t>Authorised Person</w:t>
      </w:r>
      <w:r w:rsidRPr="00E4265B">
        <w:rPr>
          <w:rFonts w:ascii="Arial" w:hAnsi="Arial" w:cs="Arial"/>
          <w:sz w:val="22"/>
          <w:szCs w:val="22"/>
          <w:lang w:val="en-GB"/>
        </w:rPr>
        <w:t>s to consider the need for an adjustment to a position's valuation to reflect current illiquidity whether the position is marked</w:t>
      </w:r>
      <w:r w:rsidRPr="00E4265B">
        <w:rPr>
          <w:rFonts w:ascii="Arial" w:hAnsi="Arial" w:cs="Arial"/>
          <w:sz w:val="22"/>
          <w:szCs w:val="22"/>
          <w:lang w:val="en-GB"/>
        </w:rPr>
        <w:noBreakHyphen/>
        <w:t>to</w:t>
      </w:r>
      <w:r w:rsidRPr="00E4265B">
        <w:rPr>
          <w:rFonts w:ascii="Arial" w:hAnsi="Arial" w:cs="Arial"/>
          <w:sz w:val="22"/>
          <w:szCs w:val="22"/>
          <w:lang w:val="en-GB"/>
        </w:rPr>
        <w:noBreakHyphen/>
        <w:t>market using market prices or observable inputs, third</w:t>
      </w:r>
      <w:r w:rsidRPr="00E4265B">
        <w:rPr>
          <w:rFonts w:ascii="Arial" w:hAnsi="Arial" w:cs="Arial"/>
          <w:sz w:val="22"/>
          <w:szCs w:val="22"/>
          <w:lang w:val="en-GB"/>
        </w:rPr>
        <w:noBreakHyphen/>
        <w:t>party valuations or marked</w:t>
      </w:r>
      <w:r w:rsidRPr="00E4265B">
        <w:rPr>
          <w:rFonts w:ascii="Arial" w:hAnsi="Arial" w:cs="Arial"/>
          <w:sz w:val="22"/>
          <w:szCs w:val="22"/>
          <w:lang w:val="en-GB"/>
        </w:rPr>
        <w:noBreakHyphen/>
        <w:t>to</w:t>
      </w:r>
      <w:r w:rsidRPr="00E4265B">
        <w:rPr>
          <w:rFonts w:ascii="Arial" w:hAnsi="Arial" w:cs="Arial"/>
          <w:sz w:val="22"/>
          <w:szCs w:val="22"/>
          <w:lang w:val="en-GB"/>
        </w:rPr>
        <w:noBreakHyphen/>
        <w:t>model.</w:t>
      </w:r>
    </w:p>
    <w:p w14:paraId="6D12DB9E" w14:textId="57CBEE5A"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11</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 xml:space="preserve">Bearing in mind that the assumptions made in relation to calculating VaR may not be consistent with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ability to sell or hedge out less liquid positions, where appropriate, </w:t>
      </w:r>
      <w:r w:rsidR="000D1A90" w:rsidRPr="00E4265B">
        <w:rPr>
          <w:rFonts w:ascii="Arial" w:hAnsi="Arial" w:cs="Arial"/>
          <w:sz w:val="22"/>
          <w:szCs w:val="22"/>
          <w:lang w:val="en-GB"/>
        </w:rPr>
        <w:t>Authorised Person</w:t>
      </w:r>
      <w:r w:rsidRPr="00E4265B">
        <w:rPr>
          <w:rFonts w:ascii="Arial" w:hAnsi="Arial" w:cs="Arial"/>
          <w:sz w:val="22"/>
          <w:szCs w:val="22"/>
          <w:lang w:val="en-GB"/>
        </w:rPr>
        <w:t>s should take an adjustment to the current valuation of these positions, and review their continued appropriateness on an on</w:t>
      </w:r>
      <w:r w:rsidRPr="00E4265B">
        <w:rPr>
          <w:rFonts w:ascii="Arial" w:hAnsi="Arial" w:cs="Arial"/>
          <w:sz w:val="22"/>
          <w:szCs w:val="22"/>
          <w:lang w:val="en-GB"/>
        </w:rPr>
        <w:noBreakHyphen/>
        <w:t>going basis. Reduced liquidity may have arisen from market events. Additionally, close</w:t>
      </w:r>
      <w:r w:rsidRPr="00E4265B">
        <w:rPr>
          <w:rFonts w:ascii="Arial" w:hAnsi="Arial" w:cs="Arial"/>
          <w:sz w:val="22"/>
          <w:szCs w:val="22"/>
          <w:lang w:val="en-GB"/>
        </w:rPr>
        <w:noBreakHyphen/>
        <w:t>out prices for concentrated positions and/or stale positions should be considered in establishing the adjustment.</w:t>
      </w:r>
    </w:p>
    <w:p w14:paraId="078030D8" w14:textId="6CDFEEB7"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12</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000D1A90" w:rsidRPr="00E4265B">
        <w:rPr>
          <w:rFonts w:ascii="Arial" w:hAnsi="Arial" w:cs="Arial"/>
          <w:sz w:val="22"/>
          <w:szCs w:val="22"/>
          <w:lang w:val="en-GB"/>
        </w:rPr>
        <w:t>Authorised Person</w:t>
      </w:r>
      <w:r w:rsidRPr="00E4265B">
        <w:rPr>
          <w:rFonts w:ascii="Arial" w:hAnsi="Arial" w:cs="Arial"/>
          <w:sz w:val="22"/>
          <w:szCs w:val="22"/>
          <w:lang w:val="en-GB"/>
        </w:rPr>
        <w:t>s should consider all relevant factors when determining the appropriateness of the adjustment for less liquid positions. These factors may include, but are not limited to, the amount of time it would take to hedge out the position/risks within the position, the average volatility of bid/offer spreads, the availability of independent market quotes (number and identity of market makers), the average and volatility of trading volumes (including trading volumes during periods of market stress), market concentrations, the aging of positions, the extent to which valuation relies on marking</w:t>
      </w:r>
      <w:r w:rsidRPr="00E4265B">
        <w:rPr>
          <w:rFonts w:ascii="Arial" w:hAnsi="Arial" w:cs="Arial"/>
          <w:sz w:val="22"/>
          <w:szCs w:val="22"/>
          <w:lang w:val="en-GB"/>
        </w:rPr>
        <w:noBreakHyphen/>
        <w:t>to</w:t>
      </w:r>
      <w:r w:rsidRPr="00E4265B">
        <w:rPr>
          <w:rFonts w:ascii="Arial" w:hAnsi="Arial" w:cs="Arial"/>
          <w:sz w:val="22"/>
          <w:szCs w:val="22"/>
          <w:lang w:val="en-GB"/>
        </w:rPr>
        <w:noBreakHyphen/>
        <w:t>model, and the impact of other model risks not included in Guidance note 10.</w:t>
      </w:r>
    </w:p>
    <w:p w14:paraId="5BDE744E" w14:textId="5E46C544"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13</w:t>
      </w:r>
      <w:r w:rsidR="00942BEE" w:rsidRPr="00E4265B">
        <w:rPr>
          <w:rFonts w:ascii="Arial" w:hAnsi="Arial" w:cs="Arial"/>
          <w:sz w:val="22"/>
          <w:szCs w:val="22"/>
          <w:lang w:val="en-GB"/>
        </w:rPr>
        <w:t>.</w:t>
      </w:r>
      <w:r w:rsidRPr="00E4265B">
        <w:rPr>
          <w:rFonts w:ascii="Arial" w:hAnsi="Arial" w:cs="Arial"/>
          <w:sz w:val="22"/>
          <w:szCs w:val="22"/>
          <w:lang w:val="en-GB"/>
        </w:rPr>
        <w:tab/>
        <w:t xml:space="preserve">For complex products including, but not limited to, securitisation Exposures and </w:t>
      </w:r>
      <w:r w:rsidRPr="00E4265B">
        <w:rPr>
          <w:rFonts w:ascii="Arial" w:hAnsi="Arial" w:cs="Arial"/>
          <w:i/>
          <w:iCs/>
          <w:sz w:val="22"/>
          <w:szCs w:val="22"/>
          <w:lang w:val="en-GB"/>
        </w:rPr>
        <w:t>n</w:t>
      </w:r>
      <w:r w:rsidRPr="00E4265B">
        <w:rPr>
          <w:rFonts w:ascii="Arial" w:hAnsi="Arial" w:cs="Arial"/>
          <w:sz w:val="22"/>
          <w:szCs w:val="22"/>
          <w:vertAlign w:val="superscript"/>
          <w:lang w:val="en-GB"/>
        </w:rPr>
        <w:t>th</w:t>
      </w:r>
      <w:r w:rsidRPr="00E4265B">
        <w:rPr>
          <w:rFonts w:ascii="Arial" w:hAnsi="Arial" w:cs="Arial"/>
          <w:sz w:val="22"/>
          <w:szCs w:val="22"/>
          <w:lang w:val="en-GB"/>
        </w:rPr>
        <w:noBreakHyphen/>
        <w:t>to</w:t>
      </w:r>
      <w:r w:rsidRPr="00E4265B">
        <w:rPr>
          <w:rFonts w:ascii="Arial" w:hAnsi="Arial" w:cs="Arial"/>
          <w:sz w:val="22"/>
          <w:szCs w:val="22"/>
          <w:lang w:val="en-GB"/>
        </w:rPr>
        <w:noBreakHyphen/>
        <w:t xml:space="preserve">default Credit Derivatives, </w:t>
      </w:r>
      <w:r w:rsidR="00363CED" w:rsidRPr="00E4265B">
        <w:rPr>
          <w:rFonts w:ascii="Arial" w:hAnsi="Arial" w:cs="Arial"/>
          <w:sz w:val="22"/>
          <w:szCs w:val="22"/>
          <w:lang w:val="en-GB"/>
        </w:rPr>
        <w:t>Authorised Persons which</w:t>
      </w:r>
      <w:r w:rsidRPr="00E4265B">
        <w:rPr>
          <w:rFonts w:ascii="Arial" w:hAnsi="Arial" w:cs="Arial"/>
          <w:sz w:val="22"/>
          <w:szCs w:val="22"/>
          <w:lang w:val="en-GB"/>
        </w:rPr>
        <w:t xml:space="preserve"> are approved to use models to calculate Market Risk should explicitly assess the need for valuation adjustments to reflect two forms of model risk: the model risk associated with using a possibly incorrect valuation methodology; and the risk associated with using unobservable (and possibly incorrect) calibration parameters in the valuation model.</w:t>
      </w:r>
    </w:p>
    <w:p w14:paraId="0020CA21" w14:textId="77777777"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14.</w:t>
      </w:r>
      <w:r w:rsidRPr="00E4265B">
        <w:rPr>
          <w:rFonts w:ascii="Arial" w:hAnsi="Arial" w:cs="Arial"/>
          <w:sz w:val="22"/>
          <w:szCs w:val="22"/>
          <w:lang w:val="en-GB"/>
        </w:rPr>
        <w:tab/>
        <w:t>The adjustment to the current valuation of less liquid positions made under Guidance note 11 is likely to impact minimum Capital Requirements and may exceed those valuation adjustments made under the International Financial Reporting Standards and Guidance notes 8 and 9.</w:t>
      </w:r>
    </w:p>
    <w:p w14:paraId="04F6F5C9" w14:textId="77777777" w:rsidR="00E22FF2" w:rsidRPr="00E4265B" w:rsidRDefault="00E22FF2">
      <w:pPr>
        <w:rPr>
          <w:rFonts w:ascii="Arial" w:hAnsi="Arial" w:cs="Arial"/>
          <w:sz w:val="22"/>
          <w:szCs w:val="22"/>
          <w:lang w:val="en-GB"/>
        </w:rPr>
      </w:pPr>
      <w:r w:rsidRPr="00E4265B">
        <w:rPr>
          <w:rFonts w:ascii="Arial" w:hAnsi="Arial" w:cs="Arial"/>
          <w:sz w:val="22"/>
          <w:szCs w:val="22"/>
          <w:lang w:val="en-GB"/>
        </w:rPr>
        <w:br w:type="page"/>
      </w:r>
    </w:p>
    <w:p w14:paraId="113FD06E" w14:textId="4C97FBD5" w:rsidR="00E22FF2" w:rsidRPr="00E4265B" w:rsidRDefault="00E22FF2" w:rsidP="00143FFA">
      <w:pPr>
        <w:pStyle w:val="UK12Title"/>
        <w:tabs>
          <w:tab w:val="left" w:pos="990"/>
        </w:tabs>
        <w:rPr>
          <w:rFonts w:ascii="Arial" w:hAnsi="Arial" w:cs="Arial"/>
          <w:sz w:val="22"/>
          <w:szCs w:val="22"/>
          <w:lang w:val="en-GB"/>
        </w:rPr>
      </w:pPr>
      <w:bookmarkStart w:id="963" w:name="_Toc404624442"/>
      <w:bookmarkStart w:id="964" w:name="_Toc33622474"/>
      <w:r w:rsidRPr="00E4265B">
        <w:rPr>
          <w:rFonts w:ascii="Arial" w:hAnsi="Arial" w:cs="Arial"/>
          <w:sz w:val="22"/>
          <w:szCs w:val="22"/>
          <w:lang w:val="en-GB"/>
        </w:rPr>
        <w:lastRenderedPageBreak/>
        <w:t>APP3</w:t>
      </w:r>
      <w:r w:rsidR="00143FFA" w:rsidRPr="00E4265B">
        <w:rPr>
          <w:rFonts w:ascii="Arial" w:hAnsi="Arial" w:cs="Arial"/>
          <w:sz w:val="22"/>
          <w:szCs w:val="22"/>
          <w:lang w:val="en-GB"/>
        </w:rPr>
        <w:tab/>
      </w:r>
      <w:r w:rsidRPr="00E4265B">
        <w:rPr>
          <w:rFonts w:ascii="Arial" w:hAnsi="Arial" w:cs="Arial"/>
          <w:sz w:val="22"/>
          <w:szCs w:val="22"/>
          <w:lang w:val="en-GB"/>
        </w:rPr>
        <w:t>CAPITAL</w:t>
      </w:r>
      <w:bookmarkEnd w:id="963"/>
      <w:r w:rsidR="00143FFA" w:rsidRPr="00E4265B">
        <w:rPr>
          <w:rFonts w:ascii="Arial" w:hAnsi="Arial" w:cs="Arial"/>
          <w:sz w:val="22"/>
          <w:szCs w:val="22"/>
          <w:lang w:val="en-GB"/>
        </w:rPr>
        <w:t xml:space="preserve"> AND LEVERAGE</w:t>
      </w:r>
      <w:bookmarkEnd w:id="964"/>
    </w:p>
    <w:p w14:paraId="582BB47B" w14:textId="77777777" w:rsidR="00E22FF2" w:rsidRPr="00E4265B" w:rsidRDefault="00E22FF2" w:rsidP="004F0272">
      <w:pPr>
        <w:pStyle w:val="UK12Title2"/>
        <w:rPr>
          <w:rFonts w:ascii="Arial" w:hAnsi="Arial" w:cs="Arial"/>
          <w:sz w:val="22"/>
          <w:szCs w:val="22"/>
        </w:rPr>
      </w:pPr>
      <w:bookmarkStart w:id="965" w:name="_Toc33622475"/>
      <w:r w:rsidRPr="00E4265B">
        <w:rPr>
          <w:rFonts w:ascii="Arial" w:hAnsi="Arial" w:cs="Arial"/>
          <w:sz w:val="22"/>
          <w:szCs w:val="22"/>
        </w:rPr>
        <w:t>A3.1 </w:t>
      </w:r>
      <w:r w:rsidRPr="00E4265B">
        <w:rPr>
          <w:rFonts w:ascii="Arial" w:hAnsi="Arial" w:cs="Arial"/>
          <w:sz w:val="22"/>
          <w:szCs w:val="22"/>
        </w:rPr>
        <w:tab/>
        <w:t>Stress and scenario testing</w:t>
      </w:r>
      <w:bookmarkEnd w:id="965"/>
    </w:p>
    <w:p w14:paraId="1FB7C643" w14:textId="77777777" w:rsidR="00E22FF2" w:rsidRPr="00E4265B" w:rsidRDefault="00E22FF2" w:rsidP="00A02596">
      <w:pPr>
        <w:pStyle w:val="TitleL5"/>
        <w:rPr>
          <w:rFonts w:ascii="Arial" w:hAnsi="Arial" w:cs="Arial"/>
          <w:sz w:val="22"/>
          <w:szCs w:val="22"/>
          <w:lang w:val="en-GB"/>
        </w:rPr>
      </w:pPr>
      <w:r w:rsidRPr="00E4265B">
        <w:rPr>
          <w:rFonts w:ascii="Arial" w:hAnsi="Arial" w:cs="Arial"/>
          <w:sz w:val="22"/>
          <w:szCs w:val="22"/>
          <w:lang w:val="en-GB"/>
        </w:rPr>
        <w:t>Guidance</w:t>
      </w:r>
    </w:p>
    <w:p w14:paraId="683DC5F7" w14:textId="55F68CE5"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1</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 xml:space="preserve">Stress and scenario testing seek to anticipate possible losses or risks that might occur or become manifest. In applying them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needs to decide how far forward to forecast and may want to consider the following factors:</w:t>
      </w:r>
    </w:p>
    <w:p w14:paraId="24E07577"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how quickly it would be able to identify events or changes in circumstances that might lead to a loss occurring or risk crystallising; and</w:t>
      </w:r>
    </w:p>
    <w:p w14:paraId="52071CD0" w14:textId="73BEECDC"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 xml:space="preserve">after the event or circumstance has been identified, how quickly and effectively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could act to prevent or mitigate any resulting loss occurring or risk crystallising and to reduce its Exposure to any further adverse event or change in circumstance.</w:t>
      </w:r>
    </w:p>
    <w:p w14:paraId="75E93572" w14:textId="353112F6"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2</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 xml:space="preserve">For example, the time horizon over which stress and scenario testing would need to be carried out for the Market Risk arising from the holding of </w:t>
      </w:r>
      <w:r w:rsidR="00834CCE" w:rsidRPr="00E4265B">
        <w:rPr>
          <w:rFonts w:ascii="Arial" w:hAnsi="Arial" w:cs="Arial"/>
          <w:sz w:val="22"/>
          <w:szCs w:val="22"/>
          <w:lang w:val="en-GB"/>
        </w:rPr>
        <w:t>Investment</w:t>
      </w:r>
      <w:r w:rsidRPr="00E4265B">
        <w:rPr>
          <w:rFonts w:ascii="Arial" w:hAnsi="Arial" w:cs="Arial"/>
          <w:sz w:val="22"/>
          <w:szCs w:val="22"/>
          <w:lang w:val="en-GB"/>
        </w:rPr>
        <w:t>s would depend upon:</w:t>
      </w:r>
    </w:p>
    <w:p w14:paraId="0EB4471C"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extent to which there is a regular, open and transparent market in those assets, which would allow fluctuations in the value of the </w:t>
      </w:r>
      <w:r w:rsidR="00834CCE" w:rsidRPr="00E4265B">
        <w:rPr>
          <w:rFonts w:ascii="Arial" w:hAnsi="Arial" w:cs="Arial"/>
          <w:sz w:val="22"/>
          <w:szCs w:val="22"/>
          <w:lang w:val="en-GB"/>
        </w:rPr>
        <w:t>Investment</w:t>
      </w:r>
      <w:r w:rsidRPr="00E4265B">
        <w:rPr>
          <w:rFonts w:ascii="Arial" w:hAnsi="Arial" w:cs="Arial"/>
          <w:sz w:val="22"/>
          <w:szCs w:val="22"/>
          <w:lang w:val="en-GB"/>
        </w:rPr>
        <w:t xml:space="preserve"> to be more readily and quickly identified; and</w:t>
      </w:r>
    </w:p>
    <w:p w14:paraId="3518B7D7" w14:textId="47DD6E69"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 xml:space="preserve">the extent to which the market in those assets is liquid (and would remain liquid in the changed circumstances contemplated in the stress or scenario test) which would allow the </w:t>
      </w:r>
      <w:r w:rsidR="000D1A90" w:rsidRPr="00E4265B">
        <w:rPr>
          <w:rFonts w:ascii="Arial" w:hAnsi="Arial" w:cs="Arial"/>
          <w:sz w:val="22"/>
          <w:szCs w:val="22"/>
          <w:lang w:val="en-GB"/>
        </w:rPr>
        <w:t>Authorised Person</w:t>
      </w:r>
      <w:r w:rsidRPr="00E4265B">
        <w:rPr>
          <w:rFonts w:ascii="Arial" w:hAnsi="Arial" w:cs="Arial"/>
          <w:sz w:val="22"/>
          <w:szCs w:val="22"/>
          <w:lang w:val="en-GB"/>
        </w:rPr>
        <w:t>, if needed, to sell its holding so as to prevent or reduce its Exposure to future price fluctuations.</w:t>
      </w:r>
    </w:p>
    <w:p w14:paraId="10519591" w14:textId="2BE0D2ED"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3</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000D1A90" w:rsidRPr="00E4265B">
        <w:rPr>
          <w:rFonts w:ascii="Arial" w:hAnsi="Arial" w:cs="Arial"/>
          <w:sz w:val="22"/>
          <w:szCs w:val="22"/>
          <w:lang w:val="en-GB"/>
        </w:rPr>
        <w:t>Authorised Person</w:t>
      </w:r>
      <w:r w:rsidRPr="00E4265B">
        <w:rPr>
          <w:rFonts w:ascii="Arial" w:hAnsi="Arial" w:cs="Arial"/>
          <w:sz w:val="22"/>
          <w:szCs w:val="22"/>
          <w:lang w:val="en-GB"/>
        </w:rPr>
        <w:t>s should focus on those scenarios and combinations of scenarios that are considered reasonably likely to occur. For this purpose other risks and losses include business risk, i.e. the potential impact of changes in business plans, future activities, and the business or economic environment.</w:t>
      </w:r>
    </w:p>
    <w:p w14:paraId="24E382B7" w14:textId="45A0F98D"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4</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 xml:space="preserve">In identifying what realistic combinations of losses or risks might occur or crystallise,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take into account scenarios in which expected correlations occur and where they might break down.</w:t>
      </w:r>
    </w:p>
    <w:p w14:paraId="471A724F" w14:textId="4A43FA1B"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5</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 xml:space="preserve">In identifying scenarios and assessing their impact,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take into account how changes in circumstances might impact upon:</w:t>
      </w:r>
    </w:p>
    <w:p w14:paraId="5CA013A5" w14:textId="79D8CEB6"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the nature, scale and mix of future activities; and</w:t>
      </w:r>
    </w:p>
    <w:p w14:paraId="041E7DB5" w14:textId="5F93D15D"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 xml:space="preserve">the behaviour of Counterparties, and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itself, including the exercise of choices (including </w:t>
      </w:r>
      <w:r w:rsidR="00BC49E0" w:rsidRPr="00E4265B">
        <w:rPr>
          <w:rFonts w:ascii="Arial" w:hAnsi="Arial" w:cs="Arial"/>
          <w:sz w:val="22"/>
          <w:szCs w:val="22"/>
          <w:lang w:val="en-GB"/>
        </w:rPr>
        <w:t>Option</w:t>
      </w:r>
      <w:r w:rsidRPr="00E4265B">
        <w:rPr>
          <w:rFonts w:ascii="Arial" w:hAnsi="Arial" w:cs="Arial"/>
          <w:sz w:val="22"/>
          <w:szCs w:val="22"/>
          <w:lang w:val="en-GB"/>
        </w:rPr>
        <w:t xml:space="preserve">s embedded in </w:t>
      </w:r>
      <w:r w:rsidR="00690BF6" w:rsidRPr="00E4265B">
        <w:rPr>
          <w:rFonts w:ascii="Arial" w:hAnsi="Arial" w:cs="Arial"/>
          <w:sz w:val="22"/>
          <w:szCs w:val="22"/>
          <w:lang w:val="en-GB"/>
        </w:rPr>
        <w:t>Financial Instruments</w:t>
      </w:r>
      <w:r w:rsidRPr="00E4265B">
        <w:rPr>
          <w:rFonts w:ascii="Arial" w:hAnsi="Arial" w:cs="Arial"/>
          <w:sz w:val="22"/>
          <w:szCs w:val="22"/>
          <w:lang w:val="en-GB"/>
        </w:rPr>
        <w:t>).</w:t>
      </w:r>
    </w:p>
    <w:p w14:paraId="20C93749" w14:textId="0AFD73B0"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6</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 xml:space="preserve">In determining whether it would have adequate financial resources in the event of each identified adverse scenario,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w:t>
      </w:r>
    </w:p>
    <w:p w14:paraId="625ABDA4"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t>only include financial resources that could reasonably be relied upon as being available in the circumstances of the identified scenario; and</w:t>
      </w:r>
    </w:p>
    <w:p w14:paraId="7C88EF6E" w14:textId="4ED65F66" w:rsidR="00143FFA" w:rsidRPr="00E4265B" w:rsidRDefault="00E22FF2" w:rsidP="00B40809">
      <w:pPr>
        <w:pStyle w:val="aList"/>
        <w:rPr>
          <w:rFonts w:ascii="Arial" w:hAnsi="Arial" w:cs="Arial"/>
          <w:sz w:val="22"/>
          <w:szCs w:val="22"/>
          <w:lang w:val="en-GB"/>
        </w:rPr>
        <w:sectPr w:rsidR="00143FFA" w:rsidRPr="00E4265B" w:rsidSect="00D33C4F">
          <w:headerReference w:type="default" r:id="rId17"/>
          <w:footerReference w:type="default" r:id="rId18"/>
          <w:pgSz w:w="11907" w:h="16839" w:code="9"/>
          <w:pgMar w:top="1440" w:right="1440" w:bottom="1350" w:left="1440" w:header="720" w:footer="720" w:gutter="0"/>
          <w:cols w:space="720"/>
          <w:docGrid w:linePitch="360"/>
        </w:sectPr>
      </w:pPr>
      <w:r w:rsidRPr="00E4265B">
        <w:rPr>
          <w:rFonts w:ascii="Arial" w:hAnsi="Arial" w:cs="Arial"/>
          <w:sz w:val="22"/>
          <w:szCs w:val="22"/>
          <w:lang w:val="en-GB"/>
        </w:rPr>
        <w:t>b</w:t>
      </w:r>
      <w:r w:rsidR="00942BEE" w:rsidRPr="00E4265B">
        <w:rPr>
          <w:rFonts w:ascii="Arial" w:hAnsi="Arial" w:cs="Arial"/>
          <w:sz w:val="22"/>
          <w:szCs w:val="22"/>
          <w:lang w:val="en-GB"/>
        </w:rPr>
        <w:t>.</w:t>
      </w:r>
      <w:r w:rsidR="00942BEE" w:rsidRPr="00E4265B">
        <w:rPr>
          <w:rFonts w:ascii="Arial" w:hAnsi="Arial" w:cs="Arial"/>
          <w:sz w:val="22"/>
          <w:szCs w:val="22"/>
          <w:lang w:val="en-GB"/>
        </w:rPr>
        <w:tab/>
      </w:r>
      <w:r w:rsidRPr="00E4265B">
        <w:rPr>
          <w:rFonts w:ascii="Arial" w:hAnsi="Arial" w:cs="Arial"/>
          <w:sz w:val="22"/>
          <w:szCs w:val="22"/>
          <w:lang w:val="en-GB"/>
        </w:rPr>
        <w:t>consider any legal or other restriction on the purposes for which financial resources may be used, including any restriction on the transfer to the Regulator of assets held in other jurisdictions.</w:t>
      </w:r>
    </w:p>
    <w:p w14:paraId="401DD35F" w14:textId="514FDBE7" w:rsidR="003021D3" w:rsidRPr="00E4265B" w:rsidRDefault="003021D3" w:rsidP="00A43B6D">
      <w:pPr>
        <w:pStyle w:val="UK12Title2"/>
        <w:rPr>
          <w:rFonts w:ascii="Arial" w:hAnsi="Arial" w:cs="Arial"/>
          <w:sz w:val="22"/>
          <w:szCs w:val="22"/>
        </w:rPr>
      </w:pPr>
      <w:bookmarkStart w:id="966" w:name="_Toc33622476"/>
      <w:r w:rsidRPr="00E4265B">
        <w:rPr>
          <w:rFonts w:ascii="Arial" w:hAnsi="Arial" w:cs="Arial"/>
          <w:sz w:val="22"/>
          <w:szCs w:val="22"/>
        </w:rPr>
        <w:lastRenderedPageBreak/>
        <w:t>A3.2</w:t>
      </w:r>
      <w:r w:rsidRPr="00E4265B">
        <w:rPr>
          <w:rFonts w:ascii="Arial" w:hAnsi="Arial" w:cs="Arial"/>
          <w:sz w:val="22"/>
          <w:szCs w:val="22"/>
        </w:rPr>
        <w:tab/>
        <w:t>Capital</w:t>
      </w:r>
      <w:r w:rsidR="002924E8" w:rsidRPr="00E4265B">
        <w:rPr>
          <w:rFonts w:ascii="Arial" w:hAnsi="Arial" w:cs="Arial"/>
          <w:sz w:val="22"/>
          <w:szCs w:val="22"/>
        </w:rPr>
        <w:t xml:space="preserve"> Requirements</w:t>
      </w:r>
      <w:bookmarkEnd w:id="966"/>
    </w:p>
    <w:p w14:paraId="5342B183" w14:textId="5A0F76D6" w:rsidR="003021D3" w:rsidRPr="00E4265B" w:rsidRDefault="003021D3" w:rsidP="003764D7">
      <w:pPr>
        <w:pStyle w:val="aList"/>
        <w:tabs>
          <w:tab w:val="left" w:pos="720"/>
          <w:tab w:val="left" w:pos="810"/>
        </w:tabs>
        <w:spacing w:after="60" w:line="240" w:lineRule="auto"/>
        <w:ind w:left="0" w:firstLine="0"/>
        <w:rPr>
          <w:rFonts w:ascii="Arial" w:hAnsi="Arial" w:cs="Arial"/>
          <w:b/>
          <w:sz w:val="22"/>
          <w:szCs w:val="22"/>
          <w:lang w:val="en-GB"/>
        </w:rPr>
      </w:pPr>
      <w:r w:rsidRPr="00E4265B">
        <w:rPr>
          <w:rFonts w:ascii="Arial" w:hAnsi="Arial" w:cs="Arial"/>
          <w:b/>
          <w:sz w:val="22"/>
          <w:szCs w:val="22"/>
          <w:lang w:val="en-GB"/>
        </w:rPr>
        <w:tab/>
        <w:t>Guidance</w:t>
      </w:r>
    </w:p>
    <w:p w14:paraId="40A0CBCD" w14:textId="21967CB6" w:rsidR="003021D3" w:rsidRPr="00E4265B" w:rsidRDefault="003021D3" w:rsidP="0019712D">
      <w:pPr>
        <w:pStyle w:val="aList"/>
        <w:numPr>
          <w:ilvl w:val="0"/>
          <w:numId w:val="67"/>
        </w:numPr>
        <w:spacing w:after="60" w:line="240" w:lineRule="auto"/>
        <w:ind w:left="1080"/>
        <w:rPr>
          <w:rFonts w:ascii="Arial" w:hAnsi="Arial" w:cs="Arial"/>
          <w:sz w:val="22"/>
          <w:szCs w:val="22"/>
          <w:lang w:val="en-GB"/>
        </w:rPr>
      </w:pPr>
      <w:r w:rsidRPr="00E4265B">
        <w:rPr>
          <w:rFonts w:ascii="Arial" w:hAnsi="Arial" w:cs="Arial"/>
          <w:sz w:val="22"/>
          <w:szCs w:val="22"/>
          <w:lang w:val="en-GB"/>
        </w:rPr>
        <w:t xml:space="preserve">This table summarises the </w:t>
      </w:r>
      <w:r w:rsidR="003A2A15" w:rsidRPr="00E4265B">
        <w:rPr>
          <w:rFonts w:ascii="Arial" w:hAnsi="Arial" w:cs="Arial"/>
          <w:sz w:val="22"/>
          <w:szCs w:val="22"/>
          <w:lang w:val="en-GB"/>
        </w:rPr>
        <w:t>C</w:t>
      </w:r>
      <w:r w:rsidRPr="00E4265B">
        <w:rPr>
          <w:rFonts w:ascii="Arial" w:hAnsi="Arial" w:cs="Arial"/>
          <w:sz w:val="22"/>
          <w:szCs w:val="22"/>
          <w:lang w:val="en-GB"/>
        </w:rPr>
        <w:t xml:space="preserve">apital </w:t>
      </w:r>
      <w:r w:rsidR="003A2A15" w:rsidRPr="00E4265B">
        <w:rPr>
          <w:rFonts w:ascii="Arial" w:hAnsi="Arial" w:cs="Arial"/>
          <w:sz w:val="22"/>
          <w:szCs w:val="22"/>
          <w:lang w:val="en-GB"/>
        </w:rPr>
        <w:t>R</w:t>
      </w:r>
      <w:r w:rsidRPr="00E4265B">
        <w:rPr>
          <w:rFonts w:ascii="Arial" w:hAnsi="Arial" w:cs="Arial"/>
          <w:sz w:val="22"/>
          <w:szCs w:val="22"/>
          <w:lang w:val="en-GB"/>
        </w:rPr>
        <w:t xml:space="preserve">equirement that </w:t>
      </w:r>
      <w:r w:rsidR="003A2A15" w:rsidRPr="00E4265B">
        <w:rPr>
          <w:rFonts w:ascii="Arial" w:hAnsi="Arial" w:cs="Arial"/>
          <w:sz w:val="22"/>
          <w:szCs w:val="22"/>
          <w:lang w:val="en-GB"/>
        </w:rPr>
        <w:t xml:space="preserve">an </w:t>
      </w:r>
      <w:r w:rsidRPr="00E4265B">
        <w:rPr>
          <w:rFonts w:ascii="Arial" w:hAnsi="Arial" w:cs="Arial"/>
          <w:sz w:val="22"/>
          <w:szCs w:val="22"/>
          <w:lang w:val="en-GB"/>
        </w:rPr>
        <w:t>Aut</w:t>
      </w:r>
      <w:r w:rsidR="003A2A15" w:rsidRPr="00E4265B">
        <w:rPr>
          <w:rFonts w:ascii="Arial" w:hAnsi="Arial" w:cs="Arial"/>
          <w:sz w:val="22"/>
          <w:szCs w:val="22"/>
          <w:lang w:val="en-GB"/>
        </w:rPr>
        <w:t>horised Person</w:t>
      </w:r>
      <w:r w:rsidR="000F4C66" w:rsidRPr="00E4265B">
        <w:rPr>
          <w:rFonts w:ascii="Arial" w:hAnsi="Arial" w:cs="Arial"/>
          <w:sz w:val="22"/>
          <w:szCs w:val="22"/>
          <w:lang w:val="en-GB"/>
        </w:rPr>
        <w:t xml:space="preserve"> </w:t>
      </w:r>
      <w:r w:rsidR="003A2A15" w:rsidRPr="00E4265B">
        <w:rPr>
          <w:rFonts w:ascii="Arial" w:hAnsi="Arial" w:cs="Arial"/>
          <w:sz w:val="22"/>
          <w:szCs w:val="22"/>
          <w:lang w:val="en-GB"/>
        </w:rPr>
        <w:t xml:space="preserve">is </w:t>
      </w:r>
      <w:r w:rsidR="000F4C66" w:rsidRPr="00E4265B">
        <w:rPr>
          <w:rFonts w:ascii="Arial" w:hAnsi="Arial" w:cs="Arial"/>
          <w:sz w:val="22"/>
          <w:szCs w:val="22"/>
          <w:lang w:val="en-GB"/>
        </w:rPr>
        <w:t>subject to</w:t>
      </w:r>
      <w:r w:rsidR="003764D7" w:rsidRPr="00E4265B">
        <w:rPr>
          <w:rFonts w:ascii="Arial" w:hAnsi="Arial" w:cs="Arial"/>
          <w:sz w:val="22"/>
          <w:szCs w:val="22"/>
          <w:lang w:val="en-GB"/>
        </w:rPr>
        <w:t xml:space="preserve"> and</w:t>
      </w:r>
      <w:r w:rsidR="000F4C66" w:rsidRPr="00E4265B">
        <w:rPr>
          <w:rFonts w:ascii="Arial" w:hAnsi="Arial" w:cs="Arial"/>
          <w:sz w:val="22"/>
          <w:szCs w:val="22"/>
          <w:lang w:val="en-GB"/>
        </w:rPr>
        <w:t xml:space="preserve"> a</w:t>
      </w:r>
      <w:r w:rsidRPr="00E4265B">
        <w:rPr>
          <w:rFonts w:ascii="Arial" w:hAnsi="Arial" w:cs="Arial"/>
          <w:sz w:val="22"/>
          <w:szCs w:val="22"/>
          <w:lang w:val="en-GB"/>
        </w:rPr>
        <w:t xml:space="preserve">n Authorised Person </w:t>
      </w:r>
      <w:r w:rsidR="00B17DCF" w:rsidRPr="00E4265B">
        <w:rPr>
          <w:rFonts w:ascii="Arial" w:hAnsi="Arial" w:cs="Arial"/>
          <w:sz w:val="22"/>
          <w:szCs w:val="22"/>
          <w:lang w:val="en-GB"/>
        </w:rPr>
        <w:t>must</w:t>
      </w:r>
      <w:r w:rsidRPr="00E4265B">
        <w:rPr>
          <w:rFonts w:ascii="Arial" w:hAnsi="Arial" w:cs="Arial"/>
          <w:sz w:val="22"/>
          <w:szCs w:val="22"/>
          <w:lang w:val="en-GB"/>
        </w:rPr>
        <w:t xml:space="preserve"> hold sufficient </w:t>
      </w:r>
      <w:r w:rsidR="003A2A15" w:rsidRPr="00E4265B">
        <w:rPr>
          <w:rFonts w:ascii="Arial" w:hAnsi="Arial" w:cs="Arial"/>
          <w:sz w:val="22"/>
          <w:szCs w:val="22"/>
          <w:lang w:val="en-GB"/>
        </w:rPr>
        <w:t>C</w:t>
      </w:r>
      <w:r w:rsidRPr="00E4265B">
        <w:rPr>
          <w:rFonts w:ascii="Arial" w:hAnsi="Arial" w:cs="Arial"/>
          <w:sz w:val="22"/>
          <w:szCs w:val="22"/>
          <w:lang w:val="en-GB"/>
        </w:rPr>
        <w:t xml:space="preserve">apital </w:t>
      </w:r>
      <w:r w:rsidR="003A2A15" w:rsidRPr="00E4265B">
        <w:rPr>
          <w:rFonts w:ascii="Arial" w:hAnsi="Arial" w:cs="Arial"/>
          <w:sz w:val="22"/>
          <w:szCs w:val="22"/>
          <w:lang w:val="en-GB"/>
        </w:rPr>
        <w:t>R</w:t>
      </w:r>
      <w:r w:rsidRPr="00E4265B">
        <w:rPr>
          <w:rFonts w:ascii="Arial" w:hAnsi="Arial" w:cs="Arial"/>
          <w:sz w:val="22"/>
          <w:szCs w:val="22"/>
          <w:lang w:val="en-GB"/>
        </w:rPr>
        <w:t xml:space="preserve">esources </w:t>
      </w:r>
      <w:r w:rsidR="000F4C66" w:rsidRPr="00E4265B">
        <w:rPr>
          <w:rFonts w:ascii="Arial" w:hAnsi="Arial" w:cs="Arial"/>
          <w:sz w:val="22"/>
          <w:szCs w:val="22"/>
          <w:lang w:val="en-GB"/>
        </w:rPr>
        <w:t xml:space="preserve">at all times </w:t>
      </w:r>
      <w:r w:rsidRPr="00E4265B">
        <w:rPr>
          <w:rFonts w:ascii="Arial" w:hAnsi="Arial" w:cs="Arial"/>
          <w:sz w:val="22"/>
          <w:szCs w:val="22"/>
          <w:lang w:val="en-GB"/>
        </w:rPr>
        <w:t>t</w:t>
      </w:r>
      <w:r w:rsidR="000F4C66" w:rsidRPr="00E4265B">
        <w:rPr>
          <w:rFonts w:ascii="Arial" w:hAnsi="Arial" w:cs="Arial"/>
          <w:sz w:val="22"/>
          <w:szCs w:val="22"/>
          <w:lang w:val="en-GB"/>
        </w:rPr>
        <w:t xml:space="preserve">o meet the </w:t>
      </w:r>
      <w:r w:rsidR="003A2A15" w:rsidRPr="00E4265B">
        <w:rPr>
          <w:rFonts w:ascii="Arial" w:hAnsi="Arial" w:cs="Arial"/>
          <w:sz w:val="22"/>
          <w:szCs w:val="22"/>
          <w:lang w:val="en-GB"/>
        </w:rPr>
        <w:t>C</w:t>
      </w:r>
      <w:r w:rsidR="000F4C66" w:rsidRPr="00E4265B">
        <w:rPr>
          <w:rFonts w:ascii="Arial" w:hAnsi="Arial" w:cs="Arial"/>
          <w:sz w:val="22"/>
          <w:szCs w:val="22"/>
          <w:lang w:val="en-GB"/>
        </w:rPr>
        <w:t xml:space="preserve">apital </w:t>
      </w:r>
      <w:r w:rsidR="003A2A15" w:rsidRPr="00E4265B">
        <w:rPr>
          <w:rFonts w:ascii="Arial" w:hAnsi="Arial" w:cs="Arial"/>
          <w:sz w:val="22"/>
          <w:szCs w:val="22"/>
          <w:lang w:val="en-GB"/>
        </w:rPr>
        <w:t>R</w:t>
      </w:r>
      <w:r w:rsidR="000F4C66" w:rsidRPr="00E4265B">
        <w:rPr>
          <w:rFonts w:ascii="Arial" w:hAnsi="Arial" w:cs="Arial"/>
          <w:sz w:val="22"/>
          <w:szCs w:val="22"/>
          <w:lang w:val="en-GB"/>
        </w:rPr>
        <w:t>equirement.</w:t>
      </w:r>
    </w:p>
    <w:tbl>
      <w:tblPr>
        <w:tblStyle w:val="TableGrid"/>
        <w:tblW w:w="0" w:type="auto"/>
        <w:tblInd w:w="198" w:type="dxa"/>
        <w:tblLook w:val="04A0" w:firstRow="1" w:lastRow="0" w:firstColumn="1" w:lastColumn="0" w:noHBand="0" w:noVBand="1"/>
      </w:tblPr>
      <w:tblGrid>
        <w:gridCol w:w="1170"/>
        <w:gridCol w:w="5807"/>
        <w:gridCol w:w="1756"/>
        <w:gridCol w:w="1391"/>
        <w:gridCol w:w="3717"/>
      </w:tblGrid>
      <w:tr w:rsidR="003021D3" w:rsidRPr="00E4265B" w14:paraId="5A7DBE52" w14:textId="77777777" w:rsidTr="00ED0AF1">
        <w:tc>
          <w:tcPr>
            <w:tcW w:w="0" w:type="auto"/>
            <w:gridSpan w:val="5"/>
            <w:shd w:val="clear" w:color="auto" w:fill="D9D9D9" w:themeFill="background1" w:themeFillShade="D9"/>
            <w:vAlign w:val="center"/>
          </w:tcPr>
          <w:p w14:paraId="73B74FCF" w14:textId="4ACA1E88" w:rsidR="003021D3" w:rsidRPr="00E4265B" w:rsidRDefault="000F4C66" w:rsidP="00BE62BE">
            <w:pPr>
              <w:spacing w:beforeLines="20" w:before="48" w:afterLines="20" w:after="48"/>
              <w:jc w:val="center"/>
              <w:rPr>
                <w:rFonts w:ascii="Arial" w:hAnsi="Arial" w:cs="Arial"/>
                <w:b/>
                <w:sz w:val="22"/>
                <w:szCs w:val="22"/>
                <w:lang w:val="en-GB"/>
              </w:rPr>
            </w:pPr>
            <w:r w:rsidRPr="00E4265B">
              <w:rPr>
                <w:rFonts w:ascii="Arial" w:hAnsi="Arial" w:cs="Arial"/>
                <w:b/>
                <w:sz w:val="22"/>
                <w:szCs w:val="22"/>
                <w:lang w:val="en-GB"/>
              </w:rPr>
              <w:t>Capital Requirement</w:t>
            </w:r>
            <w:r w:rsidR="00B17DCF" w:rsidRPr="00E4265B">
              <w:rPr>
                <w:rFonts w:ascii="Arial" w:hAnsi="Arial" w:cs="Arial"/>
                <w:b/>
                <w:sz w:val="22"/>
                <w:szCs w:val="22"/>
                <w:lang w:val="en-GB"/>
              </w:rPr>
              <w:t>(USD)</w:t>
            </w:r>
          </w:p>
        </w:tc>
      </w:tr>
      <w:tr w:rsidR="00ED0AF1" w:rsidRPr="00E4265B" w14:paraId="04B0E16A" w14:textId="77777777" w:rsidTr="00ED0AF1">
        <w:tc>
          <w:tcPr>
            <w:tcW w:w="0" w:type="auto"/>
            <w:vMerge w:val="restart"/>
            <w:shd w:val="clear" w:color="auto" w:fill="D9D9D9" w:themeFill="background1" w:themeFillShade="D9"/>
            <w:vAlign w:val="center"/>
          </w:tcPr>
          <w:p w14:paraId="24FB2F06" w14:textId="1023EC4C" w:rsidR="00ED0AF1" w:rsidRPr="00E4265B" w:rsidRDefault="00ED0AF1" w:rsidP="003764D7">
            <w:pPr>
              <w:spacing w:beforeLines="20" w:before="48" w:afterLines="20" w:after="48"/>
              <w:jc w:val="center"/>
              <w:rPr>
                <w:rFonts w:ascii="Arial" w:hAnsi="Arial" w:cs="Arial"/>
                <w:b/>
                <w:sz w:val="22"/>
                <w:szCs w:val="22"/>
                <w:lang w:val="en-GB"/>
              </w:rPr>
            </w:pPr>
            <w:r w:rsidRPr="00E4265B">
              <w:rPr>
                <w:rFonts w:ascii="Arial" w:hAnsi="Arial" w:cs="Arial"/>
                <w:b/>
                <w:sz w:val="22"/>
                <w:szCs w:val="22"/>
                <w:lang w:val="en-GB"/>
              </w:rPr>
              <w:t>Category</w:t>
            </w:r>
          </w:p>
        </w:tc>
        <w:tc>
          <w:tcPr>
            <w:tcW w:w="0" w:type="auto"/>
            <w:gridSpan w:val="4"/>
            <w:shd w:val="clear" w:color="auto" w:fill="D9D9D9" w:themeFill="background1" w:themeFillShade="D9"/>
            <w:vAlign w:val="center"/>
          </w:tcPr>
          <w:p w14:paraId="5347CDD9" w14:textId="3130A392" w:rsidR="00ED0AF1" w:rsidRPr="00E4265B" w:rsidRDefault="00ED0AF1" w:rsidP="003A2A15">
            <w:pPr>
              <w:spacing w:beforeLines="20" w:before="48" w:afterLines="20" w:after="48"/>
              <w:rPr>
                <w:rFonts w:ascii="Arial" w:hAnsi="Arial" w:cs="Arial"/>
                <w:sz w:val="22"/>
                <w:szCs w:val="22"/>
                <w:lang w:val="en-GB"/>
              </w:rPr>
            </w:pPr>
            <w:r w:rsidRPr="00E4265B">
              <w:rPr>
                <w:rFonts w:ascii="Arial" w:hAnsi="Arial" w:cs="Arial"/>
                <w:sz w:val="22"/>
                <w:szCs w:val="22"/>
                <w:lang w:val="en-GB"/>
              </w:rPr>
              <w:t>&lt;--------------------------------------------------------------------</w:t>
            </w:r>
            <w:r w:rsidR="00E96A35" w:rsidRPr="00E4265B">
              <w:rPr>
                <w:rFonts w:ascii="Arial" w:hAnsi="Arial" w:cs="Arial"/>
                <w:sz w:val="22"/>
                <w:szCs w:val="22"/>
                <w:lang w:val="en-GB"/>
              </w:rPr>
              <w:t>----------------</w:t>
            </w:r>
            <w:r w:rsidRPr="00E4265B">
              <w:rPr>
                <w:rFonts w:ascii="Arial" w:hAnsi="Arial" w:cs="Arial"/>
                <w:sz w:val="22"/>
                <w:szCs w:val="22"/>
                <w:lang w:val="en-GB"/>
              </w:rPr>
              <w:t>-----maximum of-</w:t>
            </w:r>
            <w:r w:rsidR="003A2A15" w:rsidRPr="00E4265B">
              <w:rPr>
                <w:rFonts w:ascii="Arial" w:hAnsi="Arial" w:cs="Arial"/>
                <w:sz w:val="22"/>
                <w:szCs w:val="22"/>
                <w:lang w:val="en-GB"/>
              </w:rPr>
              <w:t>----</w:t>
            </w:r>
            <w:r w:rsidRPr="00E4265B">
              <w:rPr>
                <w:rFonts w:ascii="Arial" w:hAnsi="Arial" w:cs="Arial"/>
                <w:sz w:val="22"/>
                <w:szCs w:val="22"/>
                <w:lang w:val="en-GB"/>
              </w:rPr>
              <w:t>----</w:t>
            </w:r>
            <w:r w:rsidR="00E96A35" w:rsidRPr="00E4265B">
              <w:rPr>
                <w:rFonts w:ascii="Arial" w:hAnsi="Arial" w:cs="Arial"/>
                <w:sz w:val="22"/>
                <w:szCs w:val="22"/>
                <w:lang w:val="en-GB"/>
              </w:rPr>
              <w:t>------</w:t>
            </w:r>
            <w:r w:rsidRPr="00E4265B">
              <w:rPr>
                <w:rFonts w:ascii="Arial" w:hAnsi="Arial" w:cs="Arial"/>
                <w:sz w:val="22"/>
                <w:szCs w:val="22"/>
                <w:lang w:val="en-GB"/>
              </w:rPr>
              <w:t>----------------------------------------------------------------------------------&gt;</w:t>
            </w:r>
          </w:p>
        </w:tc>
      </w:tr>
      <w:tr w:rsidR="00094DB9" w:rsidRPr="00E4265B" w14:paraId="1A4BE914" w14:textId="77777777" w:rsidTr="00917930">
        <w:trPr>
          <w:trHeight w:val="197"/>
        </w:trPr>
        <w:tc>
          <w:tcPr>
            <w:tcW w:w="0" w:type="auto"/>
            <w:vMerge/>
            <w:shd w:val="clear" w:color="auto" w:fill="D9D9D9" w:themeFill="background1" w:themeFillShade="D9"/>
            <w:vAlign w:val="center"/>
          </w:tcPr>
          <w:p w14:paraId="10C46259" w14:textId="5CC1805F" w:rsidR="00ED0AF1" w:rsidRPr="00E4265B" w:rsidRDefault="00ED0AF1" w:rsidP="00BE62BE">
            <w:pPr>
              <w:spacing w:beforeLines="20" w:before="48" w:afterLines="20" w:after="48"/>
              <w:jc w:val="center"/>
              <w:rPr>
                <w:rFonts w:ascii="Arial" w:hAnsi="Arial" w:cs="Arial"/>
                <w:b/>
                <w:sz w:val="22"/>
                <w:szCs w:val="22"/>
                <w:lang w:val="en-GB"/>
              </w:rPr>
            </w:pPr>
          </w:p>
        </w:tc>
        <w:tc>
          <w:tcPr>
            <w:tcW w:w="0" w:type="auto"/>
            <w:vMerge w:val="restart"/>
            <w:shd w:val="clear" w:color="auto" w:fill="D9D9D9" w:themeFill="background1" w:themeFillShade="D9"/>
            <w:vAlign w:val="center"/>
          </w:tcPr>
          <w:p w14:paraId="58FDA4B5" w14:textId="34EB87EB" w:rsidR="00ED0AF1" w:rsidRPr="00E4265B" w:rsidRDefault="00ED0AF1" w:rsidP="00B17DCF">
            <w:pPr>
              <w:spacing w:beforeLines="20" w:before="48" w:afterLines="20" w:after="48"/>
              <w:jc w:val="center"/>
              <w:rPr>
                <w:rFonts w:ascii="Arial" w:hAnsi="Arial" w:cs="Arial"/>
                <w:b/>
                <w:sz w:val="22"/>
                <w:szCs w:val="22"/>
                <w:lang w:val="en-GB"/>
              </w:rPr>
            </w:pPr>
            <w:r w:rsidRPr="00E4265B">
              <w:rPr>
                <w:rFonts w:ascii="Arial" w:hAnsi="Arial" w:cs="Arial"/>
                <w:b/>
                <w:sz w:val="22"/>
                <w:szCs w:val="22"/>
                <w:lang w:val="en-GB"/>
              </w:rPr>
              <w:t>Base Capital Requirement</w:t>
            </w:r>
            <w:r w:rsidR="00255031" w:rsidRPr="00E4265B">
              <w:rPr>
                <w:rFonts w:ascii="Arial" w:hAnsi="Arial" w:cs="Arial"/>
                <w:bCs/>
                <w:sz w:val="22"/>
                <w:szCs w:val="22"/>
                <w:vertAlign w:val="superscript"/>
                <w:lang w:val="en-GB"/>
              </w:rPr>
              <w:t>2</w:t>
            </w:r>
            <w:r w:rsidRPr="00E4265B">
              <w:rPr>
                <w:rFonts w:ascii="Arial" w:hAnsi="Arial" w:cs="Arial"/>
                <w:b/>
                <w:sz w:val="22"/>
                <w:szCs w:val="22"/>
                <w:lang w:val="en-GB"/>
              </w:rPr>
              <w:t xml:space="preserve"> </w:t>
            </w:r>
          </w:p>
        </w:tc>
        <w:tc>
          <w:tcPr>
            <w:tcW w:w="2980" w:type="dxa"/>
            <w:gridSpan w:val="2"/>
            <w:tcBorders>
              <w:bottom w:val="single" w:sz="4" w:space="0" w:color="auto"/>
            </w:tcBorders>
            <w:shd w:val="clear" w:color="auto" w:fill="D9D9D9" w:themeFill="background1" w:themeFillShade="D9"/>
            <w:vAlign w:val="center"/>
          </w:tcPr>
          <w:p w14:paraId="15A48C52" w14:textId="1FCA2F56" w:rsidR="00ED0AF1" w:rsidRPr="00E4265B" w:rsidRDefault="009A6EDB" w:rsidP="00BE62BE">
            <w:pPr>
              <w:spacing w:beforeLines="20" w:before="48" w:afterLines="20" w:after="48"/>
              <w:jc w:val="center"/>
              <w:rPr>
                <w:rFonts w:ascii="Arial" w:hAnsi="Arial" w:cs="Arial"/>
                <w:b/>
                <w:sz w:val="22"/>
                <w:szCs w:val="22"/>
                <w:lang w:val="en-GB"/>
              </w:rPr>
            </w:pPr>
            <w:r w:rsidRPr="00E4265B">
              <w:rPr>
                <w:rFonts w:ascii="Arial" w:hAnsi="Arial" w:cs="Arial"/>
                <w:b/>
                <w:sz w:val="22"/>
                <w:szCs w:val="22"/>
                <w:lang w:val="en-GB"/>
              </w:rPr>
              <w:t>Expenditure Based Capital M</w:t>
            </w:r>
            <w:r w:rsidR="00ED0AF1" w:rsidRPr="00E4265B">
              <w:rPr>
                <w:rFonts w:ascii="Arial" w:hAnsi="Arial" w:cs="Arial"/>
                <w:b/>
                <w:sz w:val="22"/>
                <w:szCs w:val="22"/>
                <w:lang w:val="en-GB"/>
              </w:rPr>
              <w:t>inimum</w:t>
            </w:r>
            <w:r w:rsidR="00FF2DA7" w:rsidRPr="00E4265B">
              <w:rPr>
                <w:rFonts w:ascii="Arial" w:hAnsi="Arial" w:cs="Arial"/>
                <w:bCs/>
                <w:sz w:val="22"/>
                <w:szCs w:val="22"/>
                <w:vertAlign w:val="superscript"/>
                <w:lang w:val="en-GB"/>
              </w:rPr>
              <w:t>3</w:t>
            </w:r>
          </w:p>
        </w:tc>
        <w:tc>
          <w:tcPr>
            <w:tcW w:w="3717" w:type="dxa"/>
            <w:vMerge w:val="restart"/>
            <w:shd w:val="clear" w:color="auto" w:fill="D9D9D9" w:themeFill="background1" w:themeFillShade="D9"/>
            <w:vAlign w:val="center"/>
          </w:tcPr>
          <w:p w14:paraId="64A7F416" w14:textId="7C39FE31" w:rsidR="00ED0AF1" w:rsidRPr="00E4265B" w:rsidRDefault="00ED0AF1" w:rsidP="00BE62BE">
            <w:pPr>
              <w:spacing w:beforeLines="20" w:before="48" w:afterLines="20" w:after="48"/>
              <w:jc w:val="center"/>
              <w:rPr>
                <w:rFonts w:ascii="Arial" w:hAnsi="Arial" w:cs="Arial"/>
                <w:b/>
                <w:sz w:val="22"/>
                <w:szCs w:val="22"/>
                <w:lang w:val="en-GB"/>
              </w:rPr>
            </w:pPr>
            <w:r w:rsidRPr="00E4265B">
              <w:rPr>
                <w:rFonts w:ascii="Arial" w:hAnsi="Arial" w:cs="Arial"/>
                <w:b/>
                <w:sz w:val="22"/>
                <w:szCs w:val="22"/>
                <w:lang w:val="en-GB"/>
              </w:rPr>
              <w:t>Risk Capital Requirement</w:t>
            </w:r>
            <w:r w:rsidR="00FF2DA7" w:rsidRPr="00E4265B">
              <w:rPr>
                <w:rFonts w:ascii="Arial" w:hAnsi="Arial" w:cs="Arial"/>
                <w:bCs/>
                <w:sz w:val="22"/>
                <w:szCs w:val="22"/>
                <w:vertAlign w:val="superscript"/>
                <w:lang w:val="en-GB"/>
              </w:rPr>
              <w:t>5</w:t>
            </w:r>
          </w:p>
        </w:tc>
      </w:tr>
      <w:tr w:rsidR="00094DB9" w:rsidRPr="00E4265B" w14:paraId="6CA40AF6" w14:textId="77777777" w:rsidTr="00917930">
        <w:trPr>
          <w:trHeight w:val="197"/>
        </w:trPr>
        <w:tc>
          <w:tcPr>
            <w:tcW w:w="0" w:type="auto"/>
            <w:vMerge/>
            <w:vAlign w:val="center"/>
          </w:tcPr>
          <w:p w14:paraId="6D396C1F" w14:textId="77777777" w:rsidR="00ED0AF1" w:rsidRPr="00E4265B" w:rsidRDefault="00ED0AF1" w:rsidP="00BE62BE">
            <w:pPr>
              <w:spacing w:beforeLines="20" w:before="48" w:afterLines="20" w:after="48"/>
              <w:jc w:val="center"/>
              <w:rPr>
                <w:rFonts w:ascii="Arial" w:hAnsi="Arial" w:cs="Arial"/>
                <w:b/>
                <w:sz w:val="22"/>
                <w:szCs w:val="22"/>
                <w:lang w:val="en-GB"/>
              </w:rPr>
            </w:pPr>
          </w:p>
        </w:tc>
        <w:tc>
          <w:tcPr>
            <w:tcW w:w="0" w:type="auto"/>
            <w:vMerge/>
            <w:vAlign w:val="center"/>
          </w:tcPr>
          <w:p w14:paraId="4EF5C285" w14:textId="77777777" w:rsidR="00ED0AF1" w:rsidRPr="00E4265B" w:rsidRDefault="00ED0AF1" w:rsidP="00BE62BE">
            <w:pPr>
              <w:spacing w:beforeLines="20" w:before="48" w:afterLines="20" w:after="48"/>
              <w:jc w:val="center"/>
              <w:rPr>
                <w:rFonts w:ascii="Arial" w:hAnsi="Arial" w:cs="Arial"/>
                <w:b/>
                <w:sz w:val="22"/>
                <w:szCs w:val="22"/>
                <w:lang w:val="en-GB"/>
              </w:rPr>
            </w:pPr>
          </w:p>
        </w:tc>
        <w:tc>
          <w:tcPr>
            <w:tcW w:w="2980" w:type="dxa"/>
            <w:gridSpan w:val="2"/>
            <w:tcBorders>
              <w:bottom w:val="dotted" w:sz="4" w:space="0" w:color="auto"/>
            </w:tcBorders>
            <w:shd w:val="clear" w:color="auto" w:fill="D9D9D9" w:themeFill="background1" w:themeFillShade="D9"/>
            <w:vAlign w:val="center"/>
          </w:tcPr>
          <w:p w14:paraId="45343977" w14:textId="42155353" w:rsidR="00ED0AF1" w:rsidRPr="00E4265B" w:rsidRDefault="00ED0AF1" w:rsidP="00B17DCF">
            <w:pPr>
              <w:spacing w:beforeLines="20" w:before="48" w:afterLines="20" w:after="48"/>
              <w:jc w:val="center"/>
              <w:rPr>
                <w:rFonts w:ascii="Arial" w:hAnsi="Arial" w:cs="Arial"/>
                <w:sz w:val="22"/>
                <w:szCs w:val="22"/>
                <w:lang w:val="en-GB"/>
              </w:rPr>
            </w:pPr>
            <w:r w:rsidRPr="00E4265B">
              <w:rPr>
                <w:rFonts w:ascii="Arial" w:hAnsi="Arial" w:cs="Arial"/>
                <w:sz w:val="22"/>
                <w:szCs w:val="22"/>
                <w:lang w:val="en-GB"/>
              </w:rPr>
              <w:t xml:space="preserve">Holding Client Assets </w:t>
            </w:r>
            <w:r w:rsidR="00B17DCF" w:rsidRPr="00E4265B">
              <w:rPr>
                <w:rFonts w:ascii="Arial" w:hAnsi="Arial" w:cs="Arial"/>
                <w:sz w:val="22"/>
                <w:szCs w:val="22"/>
                <w:lang w:val="en-GB"/>
              </w:rPr>
              <w:t>or Relevant Money</w:t>
            </w:r>
            <w:r w:rsidR="00B17DCF" w:rsidRPr="00E4265B">
              <w:rPr>
                <w:rFonts w:ascii="Arial" w:hAnsi="Arial" w:cs="Arial"/>
                <w:bCs/>
                <w:sz w:val="22"/>
                <w:szCs w:val="22"/>
                <w:vertAlign w:val="superscript"/>
                <w:lang w:val="en-GB"/>
              </w:rPr>
              <w:t>4</w:t>
            </w:r>
            <w:r w:rsidR="00B17DCF" w:rsidRPr="00E4265B">
              <w:rPr>
                <w:rFonts w:ascii="Arial" w:hAnsi="Arial" w:cs="Arial"/>
                <w:sz w:val="22"/>
                <w:szCs w:val="22"/>
                <w:lang w:val="en-GB"/>
              </w:rPr>
              <w:t xml:space="preserve"> </w:t>
            </w:r>
            <w:r w:rsidRPr="00E4265B">
              <w:rPr>
                <w:rFonts w:ascii="Arial" w:hAnsi="Arial" w:cs="Arial"/>
                <w:sz w:val="22"/>
                <w:szCs w:val="22"/>
                <w:lang w:val="en-GB"/>
              </w:rPr>
              <w:t>or Insurance Money?</w:t>
            </w:r>
          </w:p>
        </w:tc>
        <w:tc>
          <w:tcPr>
            <w:tcW w:w="3717" w:type="dxa"/>
            <w:vMerge/>
            <w:vAlign w:val="center"/>
          </w:tcPr>
          <w:p w14:paraId="7F8D5934" w14:textId="77777777" w:rsidR="00ED0AF1" w:rsidRPr="00E4265B" w:rsidRDefault="00ED0AF1" w:rsidP="00BE62BE">
            <w:pPr>
              <w:spacing w:beforeLines="20" w:before="48" w:afterLines="20" w:after="48"/>
              <w:rPr>
                <w:rFonts w:ascii="Arial" w:hAnsi="Arial" w:cs="Arial"/>
                <w:sz w:val="22"/>
                <w:szCs w:val="22"/>
                <w:lang w:val="en-GB"/>
              </w:rPr>
            </w:pPr>
          </w:p>
        </w:tc>
      </w:tr>
      <w:tr w:rsidR="00094DB9" w:rsidRPr="00E4265B" w14:paraId="2BDD6983" w14:textId="77777777" w:rsidTr="003764D7">
        <w:trPr>
          <w:trHeight w:val="197"/>
        </w:trPr>
        <w:tc>
          <w:tcPr>
            <w:tcW w:w="0" w:type="auto"/>
            <w:vMerge/>
            <w:vAlign w:val="center"/>
          </w:tcPr>
          <w:p w14:paraId="6C456EEF" w14:textId="77777777" w:rsidR="00ED0AF1" w:rsidRPr="00E4265B" w:rsidRDefault="00ED0AF1" w:rsidP="00BE62BE">
            <w:pPr>
              <w:spacing w:beforeLines="20" w:before="48" w:afterLines="20" w:after="48"/>
              <w:jc w:val="center"/>
              <w:rPr>
                <w:rFonts w:ascii="Arial" w:hAnsi="Arial" w:cs="Arial"/>
                <w:b/>
                <w:sz w:val="22"/>
                <w:szCs w:val="22"/>
                <w:lang w:val="en-GB"/>
              </w:rPr>
            </w:pPr>
          </w:p>
        </w:tc>
        <w:tc>
          <w:tcPr>
            <w:tcW w:w="0" w:type="auto"/>
            <w:vMerge/>
            <w:vAlign w:val="center"/>
          </w:tcPr>
          <w:p w14:paraId="3EBDB27F" w14:textId="77777777" w:rsidR="00ED0AF1" w:rsidRPr="00E4265B" w:rsidRDefault="00ED0AF1" w:rsidP="00BE62BE">
            <w:pPr>
              <w:spacing w:beforeLines="20" w:before="48" w:afterLines="20" w:after="48"/>
              <w:jc w:val="center"/>
              <w:rPr>
                <w:rFonts w:ascii="Arial" w:hAnsi="Arial" w:cs="Arial"/>
                <w:b/>
                <w:sz w:val="22"/>
                <w:szCs w:val="22"/>
                <w:lang w:val="en-GB"/>
              </w:rPr>
            </w:pPr>
          </w:p>
        </w:tc>
        <w:tc>
          <w:tcPr>
            <w:tcW w:w="0" w:type="auto"/>
            <w:tcBorders>
              <w:top w:val="dotted" w:sz="4" w:space="0" w:color="auto"/>
            </w:tcBorders>
            <w:shd w:val="clear" w:color="auto" w:fill="D9D9D9" w:themeFill="background1" w:themeFillShade="D9"/>
            <w:vAlign w:val="center"/>
          </w:tcPr>
          <w:p w14:paraId="0E758CBA" w14:textId="77777777" w:rsidR="00ED0AF1" w:rsidRPr="00E4265B" w:rsidRDefault="00ED0AF1" w:rsidP="00BE62BE">
            <w:pPr>
              <w:spacing w:beforeLines="20" w:before="48" w:afterLines="20" w:after="48"/>
              <w:jc w:val="center"/>
              <w:rPr>
                <w:rFonts w:ascii="Arial" w:hAnsi="Arial" w:cs="Arial"/>
                <w:sz w:val="22"/>
                <w:szCs w:val="22"/>
                <w:lang w:val="en-GB"/>
              </w:rPr>
            </w:pPr>
            <w:r w:rsidRPr="00E4265B">
              <w:rPr>
                <w:rFonts w:ascii="Arial" w:hAnsi="Arial" w:cs="Arial"/>
                <w:sz w:val="22"/>
                <w:szCs w:val="22"/>
                <w:lang w:val="en-GB"/>
              </w:rPr>
              <w:t>No</w:t>
            </w:r>
          </w:p>
        </w:tc>
        <w:tc>
          <w:tcPr>
            <w:tcW w:w="1349" w:type="dxa"/>
            <w:tcBorders>
              <w:top w:val="dotted" w:sz="4" w:space="0" w:color="auto"/>
            </w:tcBorders>
            <w:shd w:val="clear" w:color="auto" w:fill="D9D9D9" w:themeFill="background1" w:themeFillShade="D9"/>
            <w:vAlign w:val="center"/>
          </w:tcPr>
          <w:p w14:paraId="4EA48633" w14:textId="77777777" w:rsidR="00ED0AF1" w:rsidRPr="00E4265B" w:rsidRDefault="00ED0AF1" w:rsidP="00BE62BE">
            <w:pPr>
              <w:spacing w:beforeLines="20" w:before="48" w:afterLines="20" w:after="48"/>
              <w:jc w:val="center"/>
              <w:rPr>
                <w:rFonts w:ascii="Arial" w:hAnsi="Arial" w:cs="Arial"/>
                <w:sz w:val="22"/>
                <w:szCs w:val="22"/>
                <w:lang w:val="en-GB"/>
              </w:rPr>
            </w:pPr>
            <w:r w:rsidRPr="00E4265B">
              <w:rPr>
                <w:rFonts w:ascii="Arial" w:hAnsi="Arial" w:cs="Arial"/>
                <w:sz w:val="22"/>
                <w:szCs w:val="22"/>
                <w:lang w:val="en-GB"/>
              </w:rPr>
              <w:t>Yes</w:t>
            </w:r>
          </w:p>
        </w:tc>
        <w:tc>
          <w:tcPr>
            <w:tcW w:w="3717" w:type="dxa"/>
            <w:vMerge/>
            <w:vAlign w:val="center"/>
          </w:tcPr>
          <w:p w14:paraId="18BD2912" w14:textId="77777777" w:rsidR="00ED0AF1" w:rsidRPr="00E4265B" w:rsidRDefault="00ED0AF1" w:rsidP="00BE62BE">
            <w:pPr>
              <w:spacing w:beforeLines="20" w:before="48" w:afterLines="20" w:after="48"/>
              <w:rPr>
                <w:rFonts w:ascii="Arial" w:hAnsi="Arial" w:cs="Arial"/>
                <w:sz w:val="22"/>
                <w:szCs w:val="22"/>
                <w:lang w:val="en-GB"/>
              </w:rPr>
            </w:pPr>
          </w:p>
        </w:tc>
      </w:tr>
      <w:tr w:rsidR="009A6EDB" w:rsidRPr="00E4265B" w14:paraId="179DB6A2" w14:textId="77777777" w:rsidTr="00917930">
        <w:tc>
          <w:tcPr>
            <w:tcW w:w="0" w:type="auto"/>
            <w:vAlign w:val="center"/>
          </w:tcPr>
          <w:p w14:paraId="6825957D" w14:textId="77777777" w:rsidR="009A6EDB" w:rsidRPr="00E4265B" w:rsidRDefault="009A6EDB" w:rsidP="00BE62BE">
            <w:pPr>
              <w:spacing w:beforeLines="20" w:before="48" w:afterLines="20" w:after="48"/>
              <w:jc w:val="center"/>
              <w:rPr>
                <w:rFonts w:ascii="Arial" w:hAnsi="Arial" w:cs="Arial"/>
                <w:b/>
                <w:sz w:val="22"/>
                <w:szCs w:val="22"/>
                <w:lang w:val="en-GB"/>
              </w:rPr>
            </w:pPr>
            <w:r w:rsidRPr="00E4265B">
              <w:rPr>
                <w:rFonts w:ascii="Arial" w:hAnsi="Arial" w:cs="Arial"/>
                <w:b/>
                <w:sz w:val="22"/>
                <w:szCs w:val="22"/>
                <w:lang w:val="en-GB"/>
              </w:rPr>
              <w:t>1</w:t>
            </w:r>
          </w:p>
        </w:tc>
        <w:tc>
          <w:tcPr>
            <w:tcW w:w="0" w:type="auto"/>
            <w:vAlign w:val="center"/>
          </w:tcPr>
          <w:p w14:paraId="04E4C085" w14:textId="77777777" w:rsidR="009A6EDB" w:rsidRPr="00E4265B" w:rsidRDefault="009A6EDB" w:rsidP="00BE62BE">
            <w:pPr>
              <w:spacing w:beforeLines="20" w:before="48" w:afterLines="20" w:after="48"/>
              <w:jc w:val="center"/>
              <w:rPr>
                <w:rFonts w:ascii="Arial" w:hAnsi="Arial" w:cs="Arial"/>
                <w:sz w:val="22"/>
                <w:szCs w:val="22"/>
                <w:lang w:val="en-GB"/>
              </w:rPr>
            </w:pPr>
            <w:r w:rsidRPr="00E4265B">
              <w:rPr>
                <w:rFonts w:ascii="Arial" w:hAnsi="Arial" w:cs="Arial"/>
                <w:sz w:val="22"/>
                <w:szCs w:val="22"/>
                <w:lang w:val="en-GB"/>
              </w:rPr>
              <w:t>10mn</w:t>
            </w:r>
          </w:p>
        </w:tc>
        <w:tc>
          <w:tcPr>
            <w:tcW w:w="2980" w:type="dxa"/>
            <w:gridSpan w:val="2"/>
            <w:vMerge w:val="restart"/>
            <w:shd w:val="clear" w:color="auto" w:fill="F2F2F2" w:themeFill="background1" w:themeFillShade="F2"/>
            <w:vAlign w:val="center"/>
          </w:tcPr>
          <w:p w14:paraId="56BA5534" w14:textId="7DA5FCD1" w:rsidR="009A6EDB" w:rsidRPr="00E4265B" w:rsidRDefault="009A6EDB" w:rsidP="00BE62BE">
            <w:pPr>
              <w:spacing w:beforeLines="20" w:before="48" w:afterLines="20" w:after="48"/>
              <w:rPr>
                <w:rFonts w:ascii="Arial" w:hAnsi="Arial" w:cs="Arial"/>
                <w:sz w:val="22"/>
                <w:szCs w:val="22"/>
                <w:lang w:val="en-GB"/>
              </w:rPr>
            </w:pPr>
          </w:p>
        </w:tc>
        <w:tc>
          <w:tcPr>
            <w:tcW w:w="3717" w:type="dxa"/>
            <w:vAlign w:val="center"/>
          </w:tcPr>
          <w:p w14:paraId="45639025" w14:textId="60DABA4B" w:rsidR="009A6EDB" w:rsidRPr="00E4265B" w:rsidRDefault="009A6EDB" w:rsidP="00BE62BE">
            <w:pPr>
              <w:spacing w:beforeLines="20" w:before="48" w:afterLines="20" w:after="48"/>
              <w:rPr>
                <w:rFonts w:ascii="Arial" w:hAnsi="Arial" w:cs="Arial"/>
                <w:sz w:val="22"/>
                <w:szCs w:val="22"/>
                <w:lang w:val="en-GB"/>
              </w:rPr>
            </w:pPr>
            <w:r w:rsidRPr="00E4265B">
              <w:rPr>
                <w:rFonts w:ascii="Arial" w:hAnsi="Arial" w:cs="Arial"/>
                <w:sz w:val="22"/>
                <w:szCs w:val="22"/>
                <w:lang w:val="en-GB"/>
              </w:rPr>
              <w:t>Credit, Market, Operational and CVA (plus, where appropriate, Displaced Commercial)</w:t>
            </w:r>
          </w:p>
        </w:tc>
      </w:tr>
      <w:tr w:rsidR="009A6EDB" w:rsidRPr="00E4265B" w14:paraId="6F0EBC3D" w14:textId="77777777" w:rsidTr="00917930">
        <w:tc>
          <w:tcPr>
            <w:tcW w:w="0" w:type="auto"/>
            <w:tcBorders>
              <w:bottom w:val="single" w:sz="2" w:space="0" w:color="auto"/>
            </w:tcBorders>
            <w:vAlign w:val="center"/>
          </w:tcPr>
          <w:p w14:paraId="18741A81" w14:textId="77777777" w:rsidR="009A6EDB" w:rsidRPr="00E4265B" w:rsidRDefault="009A6EDB" w:rsidP="00BE62BE">
            <w:pPr>
              <w:spacing w:beforeLines="20" w:before="48" w:afterLines="20" w:after="48"/>
              <w:jc w:val="center"/>
              <w:rPr>
                <w:rFonts w:ascii="Arial" w:hAnsi="Arial" w:cs="Arial"/>
                <w:b/>
                <w:sz w:val="22"/>
                <w:szCs w:val="22"/>
                <w:lang w:val="en-GB"/>
              </w:rPr>
            </w:pPr>
            <w:r w:rsidRPr="00E4265B">
              <w:rPr>
                <w:rFonts w:ascii="Arial" w:hAnsi="Arial" w:cs="Arial"/>
                <w:b/>
                <w:sz w:val="22"/>
                <w:szCs w:val="22"/>
                <w:lang w:val="en-GB"/>
              </w:rPr>
              <w:t>2</w:t>
            </w:r>
          </w:p>
        </w:tc>
        <w:tc>
          <w:tcPr>
            <w:tcW w:w="0" w:type="auto"/>
            <w:tcBorders>
              <w:bottom w:val="single" w:sz="2" w:space="0" w:color="auto"/>
            </w:tcBorders>
            <w:vAlign w:val="center"/>
          </w:tcPr>
          <w:p w14:paraId="39297C70" w14:textId="77777777" w:rsidR="009A6EDB" w:rsidRPr="00E4265B" w:rsidRDefault="009A6EDB" w:rsidP="00BE62BE">
            <w:pPr>
              <w:spacing w:beforeLines="20" w:before="48" w:afterLines="20" w:after="48"/>
              <w:jc w:val="center"/>
              <w:rPr>
                <w:rFonts w:ascii="Arial" w:hAnsi="Arial" w:cs="Arial"/>
                <w:sz w:val="22"/>
                <w:szCs w:val="22"/>
                <w:lang w:val="en-GB"/>
              </w:rPr>
            </w:pPr>
            <w:r w:rsidRPr="00E4265B">
              <w:rPr>
                <w:rFonts w:ascii="Arial" w:hAnsi="Arial" w:cs="Arial"/>
                <w:sz w:val="22"/>
                <w:szCs w:val="22"/>
                <w:lang w:val="en-GB"/>
              </w:rPr>
              <w:t>2mn</w:t>
            </w:r>
          </w:p>
        </w:tc>
        <w:tc>
          <w:tcPr>
            <w:tcW w:w="2980" w:type="dxa"/>
            <w:gridSpan w:val="2"/>
            <w:vMerge/>
            <w:vAlign w:val="center"/>
          </w:tcPr>
          <w:p w14:paraId="4C0CC9B1" w14:textId="4EBAE15D" w:rsidR="009A6EDB" w:rsidRPr="00E4265B" w:rsidRDefault="009A6EDB" w:rsidP="00BE62BE">
            <w:pPr>
              <w:spacing w:beforeLines="20" w:before="48" w:afterLines="20" w:after="48"/>
              <w:rPr>
                <w:rFonts w:ascii="Arial" w:hAnsi="Arial" w:cs="Arial"/>
                <w:sz w:val="22"/>
                <w:szCs w:val="22"/>
                <w:lang w:val="en-GB"/>
              </w:rPr>
            </w:pPr>
          </w:p>
        </w:tc>
        <w:tc>
          <w:tcPr>
            <w:tcW w:w="3717" w:type="dxa"/>
            <w:tcBorders>
              <w:bottom w:val="single" w:sz="2" w:space="0" w:color="auto"/>
            </w:tcBorders>
            <w:vAlign w:val="center"/>
          </w:tcPr>
          <w:p w14:paraId="21A26BD0" w14:textId="139B1F58" w:rsidR="009A6EDB" w:rsidRPr="00E4265B" w:rsidRDefault="009A6EDB" w:rsidP="00BE62BE">
            <w:pPr>
              <w:spacing w:beforeLines="20" w:before="48" w:afterLines="20" w:after="48"/>
              <w:rPr>
                <w:rFonts w:ascii="Arial" w:hAnsi="Arial" w:cs="Arial"/>
                <w:sz w:val="22"/>
                <w:szCs w:val="22"/>
                <w:lang w:val="en-GB"/>
              </w:rPr>
            </w:pPr>
            <w:r w:rsidRPr="00E4265B">
              <w:rPr>
                <w:rFonts w:ascii="Arial" w:hAnsi="Arial" w:cs="Arial"/>
                <w:sz w:val="22"/>
                <w:szCs w:val="22"/>
                <w:lang w:val="en-GB"/>
              </w:rPr>
              <w:t>Credit, Market, Operational and CVA</w:t>
            </w:r>
          </w:p>
        </w:tc>
      </w:tr>
      <w:tr w:rsidR="00917930" w:rsidRPr="00E4265B" w14:paraId="352D6241" w14:textId="77777777" w:rsidTr="00917930">
        <w:trPr>
          <w:trHeight w:val="363"/>
        </w:trPr>
        <w:tc>
          <w:tcPr>
            <w:tcW w:w="0" w:type="auto"/>
            <w:tcBorders>
              <w:top w:val="single" w:sz="2" w:space="0" w:color="auto"/>
            </w:tcBorders>
            <w:vAlign w:val="center"/>
          </w:tcPr>
          <w:p w14:paraId="23585A69" w14:textId="77777777" w:rsidR="00917930" w:rsidRPr="00E4265B" w:rsidRDefault="00917930" w:rsidP="00BE62BE">
            <w:pPr>
              <w:spacing w:beforeLines="20" w:before="48" w:afterLines="20" w:after="48"/>
              <w:jc w:val="center"/>
              <w:rPr>
                <w:rFonts w:ascii="Arial" w:hAnsi="Arial" w:cs="Arial"/>
                <w:b/>
                <w:sz w:val="22"/>
                <w:szCs w:val="22"/>
                <w:lang w:val="en-GB"/>
              </w:rPr>
            </w:pPr>
            <w:r w:rsidRPr="00E4265B">
              <w:rPr>
                <w:rFonts w:ascii="Arial" w:hAnsi="Arial" w:cs="Arial"/>
                <w:b/>
                <w:sz w:val="22"/>
                <w:szCs w:val="22"/>
                <w:lang w:val="en-GB"/>
              </w:rPr>
              <w:t>3A</w:t>
            </w:r>
          </w:p>
        </w:tc>
        <w:tc>
          <w:tcPr>
            <w:tcW w:w="0" w:type="auto"/>
            <w:tcBorders>
              <w:top w:val="single" w:sz="2" w:space="0" w:color="auto"/>
            </w:tcBorders>
            <w:vAlign w:val="center"/>
          </w:tcPr>
          <w:p w14:paraId="0F913781" w14:textId="77777777" w:rsidR="00917930" w:rsidRPr="00E4265B" w:rsidRDefault="00917930" w:rsidP="00BE62BE">
            <w:pPr>
              <w:spacing w:beforeLines="20" w:before="48" w:afterLines="20" w:after="48"/>
              <w:jc w:val="center"/>
              <w:rPr>
                <w:rFonts w:ascii="Arial" w:hAnsi="Arial" w:cs="Arial"/>
                <w:sz w:val="22"/>
                <w:szCs w:val="22"/>
                <w:lang w:val="en-GB"/>
              </w:rPr>
            </w:pPr>
            <w:r w:rsidRPr="00E4265B">
              <w:rPr>
                <w:rFonts w:ascii="Arial" w:hAnsi="Arial" w:cs="Arial"/>
                <w:sz w:val="22"/>
                <w:szCs w:val="22"/>
                <w:lang w:val="en-GB"/>
              </w:rPr>
              <w:t>500k</w:t>
            </w:r>
          </w:p>
        </w:tc>
        <w:tc>
          <w:tcPr>
            <w:tcW w:w="2980" w:type="dxa"/>
            <w:gridSpan w:val="2"/>
            <w:vMerge/>
            <w:vAlign w:val="center"/>
          </w:tcPr>
          <w:p w14:paraId="2D8C1DCA" w14:textId="77777777" w:rsidR="00917930" w:rsidRPr="00E4265B" w:rsidRDefault="00917930" w:rsidP="00BE62BE">
            <w:pPr>
              <w:spacing w:beforeLines="20" w:before="48" w:afterLines="20" w:after="48"/>
              <w:rPr>
                <w:rFonts w:ascii="Arial" w:hAnsi="Arial" w:cs="Arial"/>
                <w:sz w:val="22"/>
                <w:szCs w:val="22"/>
                <w:lang w:val="en-GB"/>
              </w:rPr>
            </w:pPr>
          </w:p>
        </w:tc>
        <w:tc>
          <w:tcPr>
            <w:tcW w:w="3717" w:type="dxa"/>
            <w:vMerge w:val="restart"/>
            <w:tcBorders>
              <w:top w:val="single" w:sz="2" w:space="0" w:color="auto"/>
            </w:tcBorders>
            <w:shd w:val="clear" w:color="auto" w:fill="F2F2F2" w:themeFill="background1" w:themeFillShade="F2"/>
            <w:vAlign w:val="center"/>
          </w:tcPr>
          <w:p w14:paraId="735F96E9" w14:textId="39EEEB27" w:rsidR="00917930" w:rsidRPr="00E4265B" w:rsidRDefault="00917930" w:rsidP="00B17DCF">
            <w:pPr>
              <w:spacing w:beforeLines="20" w:before="48" w:afterLines="20" w:after="48"/>
              <w:rPr>
                <w:rFonts w:ascii="Arial" w:hAnsi="Arial" w:cs="Arial"/>
                <w:sz w:val="22"/>
                <w:szCs w:val="22"/>
                <w:lang w:val="en-GB"/>
              </w:rPr>
            </w:pPr>
            <w:r w:rsidRPr="00E4265B">
              <w:rPr>
                <w:rFonts w:ascii="Arial" w:hAnsi="Arial" w:cs="Arial"/>
                <w:sz w:val="22"/>
                <w:szCs w:val="22"/>
                <w:lang w:val="en-GB"/>
              </w:rPr>
              <w:t>See guidance note 8 for Money Remitters and Payment Service Providers</w:t>
            </w:r>
          </w:p>
        </w:tc>
      </w:tr>
      <w:tr w:rsidR="00917930" w:rsidRPr="00E4265B" w14:paraId="2073CAD4" w14:textId="77777777" w:rsidTr="003764D7">
        <w:tc>
          <w:tcPr>
            <w:tcW w:w="0" w:type="auto"/>
            <w:vAlign w:val="center"/>
          </w:tcPr>
          <w:p w14:paraId="291F29F6" w14:textId="046CD9C3" w:rsidR="00917930" w:rsidRPr="00E4265B" w:rsidRDefault="00917930" w:rsidP="00FF2DA7">
            <w:pPr>
              <w:spacing w:beforeLines="20" w:before="48" w:afterLines="20" w:after="48"/>
              <w:jc w:val="center"/>
              <w:rPr>
                <w:rFonts w:ascii="Arial" w:hAnsi="Arial" w:cs="Arial"/>
                <w:b/>
                <w:sz w:val="22"/>
                <w:szCs w:val="22"/>
                <w:lang w:val="en-GB"/>
              </w:rPr>
            </w:pPr>
            <w:r w:rsidRPr="00E4265B">
              <w:rPr>
                <w:rFonts w:ascii="Arial" w:hAnsi="Arial" w:cs="Arial"/>
                <w:b/>
                <w:sz w:val="22"/>
                <w:szCs w:val="22"/>
                <w:lang w:val="en-GB"/>
              </w:rPr>
              <w:t>3B</w:t>
            </w:r>
            <w:r w:rsidRPr="00E4265B">
              <w:rPr>
                <w:rFonts w:ascii="Arial" w:hAnsi="Arial" w:cs="Arial"/>
                <w:bCs/>
                <w:sz w:val="22"/>
                <w:szCs w:val="22"/>
                <w:vertAlign w:val="superscript"/>
                <w:lang w:val="en-GB"/>
              </w:rPr>
              <w:t>6</w:t>
            </w:r>
          </w:p>
        </w:tc>
        <w:tc>
          <w:tcPr>
            <w:tcW w:w="0" w:type="auto"/>
            <w:tcBorders>
              <w:bottom w:val="single" w:sz="4" w:space="0" w:color="auto"/>
            </w:tcBorders>
            <w:vAlign w:val="center"/>
          </w:tcPr>
          <w:p w14:paraId="2B998DBF" w14:textId="77777777" w:rsidR="00917930" w:rsidRPr="00E4265B" w:rsidRDefault="00917930" w:rsidP="009A6EDB">
            <w:pPr>
              <w:spacing w:beforeLines="20" w:before="48" w:afterLines="20" w:after="48"/>
              <w:jc w:val="center"/>
              <w:rPr>
                <w:rFonts w:ascii="Arial" w:hAnsi="Arial" w:cs="Arial"/>
                <w:sz w:val="22"/>
                <w:szCs w:val="22"/>
                <w:lang w:val="en-GB"/>
              </w:rPr>
            </w:pPr>
            <w:r w:rsidRPr="00E4265B">
              <w:rPr>
                <w:rFonts w:ascii="Arial" w:hAnsi="Arial" w:cs="Arial"/>
                <w:sz w:val="22"/>
                <w:szCs w:val="22"/>
                <w:lang w:val="en-GB"/>
              </w:rPr>
              <w:t>4mn</w:t>
            </w:r>
          </w:p>
        </w:tc>
        <w:tc>
          <w:tcPr>
            <w:tcW w:w="0" w:type="auto"/>
            <w:vMerge w:val="restart"/>
            <w:vAlign w:val="center"/>
          </w:tcPr>
          <w:p w14:paraId="3CDFA7E3" w14:textId="5DED95E0" w:rsidR="00917930" w:rsidRPr="00E4265B" w:rsidRDefault="00917930" w:rsidP="009A6EDB">
            <w:pPr>
              <w:spacing w:beforeLines="20" w:before="48" w:afterLines="20" w:after="48"/>
              <w:rPr>
                <w:rFonts w:ascii="Arial" w:hAnsi="Arial" w:cs="Arial"/>
                <w:sz w:val="22"/>
                <w:szCs w:val="22"/>
                <w:lang w:val="en-GB"/>
              </w:rPr>
            </w:pPr>
            <w:r w:rsidRPr="00E4265B">
              <w:rPr>
                <w:rFonts w:ascii="Arial" w:hAnsi="Arial" w:cs="Arial"/>
                <w:sz w:val="22"/>
                <w:szCs w:val="22"/>
                <w:lang w:val="en-GB"/>
              </w:rPr>
              <w:t>13/52nds of Annual Expenditure</w:t>
            </w:r>
          </w:p>
        </w:tc>
        <w:tc>
          <w:tcPr>
            <w:tcW w:w="1349" w:type="dxa"/>
            <w:vMerge w:val="restart"/>
            <w:vAlign w:val="center"/>
          </w:tcPr>
          <w:p w14:paraId="6B387E96" w14:textId="0853BA2D" w:rsidR="00917930" w:rsidRPr="00E4265B" w:rsidRDefault="00917930" w:rsidP="009A6EDB">
            <w:pPr>
              <w:spacing w:beforeLines="20" w:before="48" w:afterLines="20" w:after="48"/>
              <w:rPr>
                <w:rFonts w:ascii="Arial" w:hAnsi="Arial" w:cs="Arial"/>
                <w:sz w:val="22"/>
                <w:szCs w:val="22"/>
                <w:lang w:val="en-GB"/>
              </w:rPr>
            </w:pPr>
            <w:r w:rsidRPr="00E4265B">
              <w:rPr>
                <w:rFonts w:ascii="Arial" w:hAnsi="Arial" w:cs="Arial"/>
                <w:sz w:val="22"/>
                <w:szCs w:val="22"/>
                <w:lang w:val="en-GB"/>
              </w:rPr>
              <w:t>18/52nds of Annual Expenditure</w:t>
            </w:r>
          </w:p>
        </w:tc>
        <w:tc>
          <w:tcPr>
            <w:tcW w:w="3717" w:type="dxa"/>
            <w:vMerge/>
            <w:shd w:val="clear" w:color="auto" w:fill="F2F2F2" w:themeFill="background1" w:themeFillShade="F2"/>
            <w:vAlign w:val="center"/>
          </w:tcPr>
          <w:p w14:paraId="715D3980" w14:textId="63E0E71E" w:rsidR="00917930" w:rsidRPr="00E4265B" w:rsidRDefault="00917930" w:rsidP="009A6EDB">
            <w:pPr>
              <w:spacing w:beforeLines="20" w:before="48" w:afterLines="20" w:after="48"/>
              <w:rPr>
                <w:rFonts w:ascii="Arial" w:hAnsi="Arial" w:cs="Arial"/>
                <w:sz w:val="22"/>
                <w:szCs w:val="22"/>
                <w:lang w:val="en-GB"/>
              </w:rPr>
            </w:pPr>
          </w:p>
        </w:tc>
      </w:tr>
      <w:tr w:rsidR="00917930" w:rsidRPr="00E4265B" w14:paraId="66279473" w14:textId="77777777" w:rsidTr="003764D7">
        <w:trPr>
          <w:trHeight w:val="189"/>
        </w:trPr>
        <w:tc>
          <w:tcPr>
            <w:tcW w:w="0" w:type="auto"/>
            <w:vMerge w:val="restart"/>
            <w:vAlign w:val="center"/>
          </w:tcPr>
          <w:p w14:paraId="1538ED14" w14:textId="45577CAE" w:rsidR="00917930" w:rsidRPr="00E4265B" w:rsidRDefault="00917930" w:rsidP="009A6EDB">
            <w:pPr>
              <w:spacing w:beforeLines="20" w:before="48" w:afterLines="20" w:after="48"/>
              <w:jc w:val="center"/>
              <w:rPr>
                <w:rFonts w:ascii="Arial" w:hAnsi="Arial" w:cs="Arial"/>
                <w:b/>
                <w:sz w:val="22"/>
                <w:szCs w:val="22"/>
                <w:lang w:val="en-GB"/>
              </w:rPr>
            </w:pPr>
            <w:r w:rsidRPr="00E4265B">
              <w:rPr>
                <w:rFonts w:ascii="Arial" w:hAnsi="Arial" w:cs="Arial"/>
                <w:b/>
                <w:sz w:val="22"/>
                <w:szCs w:val="22"/>
                <w:lang w:val="en-GB"/>
              </w:rPr>
              <w:t>3C</w:t>
            </w:r>
            <w:r w:rsidRPr="00E4265B">
              <w:rPr>
                <w:rFonts w:ascii="Arial" w:hAnsi="Arial" w:cs="Arial"/>
                <w:bCs/>
                <w:sz w:val="22"/>
                <w:szCs w:val="22"/>
                <w:vertAlign w:val="superscript"/>
                <w:lang w:val="en-GB"/>
              </w:rPr>
              <w:t>6</w:t>
            </w:r>
          </w:p>
        </w:tc>
        <w:tc>
          <w:tcPr>
            <w:tcW w:w="0" w:type="auto"/>
            <w:tcBorders>
              <w:bottom w:val="dotted" w:sz="4" w:space="0" w:color="auto"/>
            </w:tcBorders>
            <w:vAlign w:val="center"/>
          </w:tcPr>
          <w:p w14:paraId="43EBC55F" w14:textId="77777777" w:rsidR="00917930" w:rsidRPr="00E4265B" w:rsidRDefault="00917930" w:rsidP="009A6EDB">
            <w:pPr>
              <w:spacing w:beforeLines="20" w:before="48" w:afterLines="20" w:after="48"/>
              <w:jc w:val="center"/>
              <w:rPr>
                <w:rFonts w:ascii="Arial" w:hAnsi="Arial" w:cs="Arial"/>
                <w:sz w:val="22"/>
                <w:szCs w:val="22"/>
                <w:lang w:val="en-GB"/>
              </w:rPr>
            </w:pPr>
            <w:r w:rsidRPr="00E4265B">
              <w:rPr>
                <w:rFonts w:ascii="Arial" w:hAnsi="Arial" w:cs="Arial"/>
                <w:sz w:val="22"/>
                <w:szCs w:val="22"/>
                <w:lang w:val="en-GB"/>
              </w:rPr>
              <w:t>250k</w:t>
            </w:r>
          </w:p>
        </w:tc>
        <w:tc>
          <w:tcPr>
            <w:tcW w:w="0" w:type="auto"/>
            <w:vMerge/>
            <w:vAlign w:val="center"/>
          </w:tcPr>
          <w:p w14:paraId="46FFB4B0" w14:textId="77777777" w:rsidR="00917930" w:rsidRPr="00E4265B" w:rsidRDefault="00917930" w:rsidP="009A6EDB">
            <w:pPr>
              <w:spacing w:beforeLines="20" w:before="48" w:afterLines="20" w:after="48"/>
              <w:rPr>
                <w:rFonts w:ascii="Arial" w:hAnsi="Arial" w:cs="Arial"/>
                <w:sz w:val="22"/>
                <w:szCs w:val="22"/>
                <w:lang w:val="en-GB"/>
              </w:rPr>
            </w:pPr>
          </w:p>
        </w:tc>
        <w:tc>
          <w:tcPr>
            <w:tcW w:w="1349" w:type="dxa"/>
            <w:vMerge/>
            <w:vAlign w:val="center"/>
          </w:tcPr>
          <w:p w14:paraId="5AC3A259" w14:textId="77777777" w:rsidR="00917930" w:rsidRPr="00E4265B" w:rsidRDefault="00917930" w:rsidP="009A6EDB">
            <w:pPr>
              <w:spacing w:beforeLines="20" w:before="48" w:afterLines="20" w:after="48"/>
              <w:rPr>
                <w:rFonts w:ascii="Arial" w:hAnsi="Arial" w:cs="Arial"/>
                <w:sz w:val="22"/>
                <w:szCs w:val="22"/>
                <w:lang w:val="en-GB"/>
              </w:rPr>
            </w:pPr>
          </w:p>
        </w:tc>
        <w:tc>
          <w:tcPr>
            <w:tcW w:w="3717" w:type="dxa"/>
            <w:vMerge/>
            <w:shd w:val="clear" w:color="auto" w:fill="F2F2F2" w:themeFill="background1" w:themeFillShade="F2"/>
            <w:vAlign w:val="center"/>
          </w:tcPr>
          <w:p w14:paraId="1E380514" w14:textId="77777777" w:rsidR="00917930" w:rsidRPr="00E4265B" w:rsidRDefault="00917930" w:rsidP="009A6EDB">
            <w:pPr>
              <w:spacing w:beforeLines="20" w:before="48" w:afterLines="20" w:after="48"/>
              <w:rPr>
                <w:rFonts w:ascii="Arial" w:hAnsi="Arial" w:cs="Arial"/>
                <w:sz w:val="22"/>
                <w:szCs w:val="22"/>
                <w:lang w:val="en-GB"/>
              </w:rPr>
            </w:pPr>
          </w:p>
        </w:tc>
      </w:tr>
      <w:tr w:rsidR="00917930" w:rsidRPr="00E4265B" w14:paraId="5182A83E" w14:textId="77777777" w:rsidTr="003764D7">
        <w:trPr>
          <w:trHeight w:val="566"/>
        </w:trPr>
        <w:tc>
          <w:tcPr>
            <w:tcW w:w="0" w:type="auto"/>
            <w:vMerge/>
            <w:vAlign w:val="center"/>
          </w:tcPr>
          <w:p w14:paraId="1776E4DC" w14:textId="77777777" w:rsidR="00917930" w:rsidRPr="00E4265B" w:rsidRDefault="00917930" w:rsidP="009A6EDB">
            <w:pPr>
              <w:spacing w:beforeLines="20" w:before="48" w:afterLines="20" w:after="48"/>
              <w:jc w:val="center"/>
              <w:rPr>
                <w:rFonts w:ascii="Arial" w:hAnsi="Arial" w:cs="Arial"/>
                <w:b/>
                <w:sz w:val="22"/>
                <w:szCs w:val="22"/>
                <w:lang w:val="en-GB"/>
              </w:rPr>
            </w:pPr>
          </w:p>
        </w:tc>
        <w:tc>
          <w:tcPr>
            <w:tcW w:w="0" w:type="auto"/>
            <w:tcBorders>
              <w:top w:val="dotted" w:sz="4" w:space="0" w:color="auto"/>
            </w:tcBorders>
            <w:vAlign w:val="center"/>
          </w:tcPr>
          <w:p w14:paraId="0A107494" w14:textId="77777777" w:rsidR="00917930" w:rsidRPr="00E4265B" w:rsidRDefault="00917930" w:rsidP="00B17DCF">
            <w:pPr>
              <w:spacing w:beforeLines="20" w:before="48" w:afterLines="20" w:after="48" w:line="246" w:lineRule="atLeast"/>
              <w:outlineLvl w:val="5"/>
              <w:rPr>
                <w:rFonts w:ascii="Arial" w:eastAsiaTheme="majorEastAsia" w:hAnsi="Arial" w:cs="Arial"/>
                <w:iCs/>
                <w:sz w:val="22"/>
                <w:szCs w:val="22"/>
                <w:lang w:val="en-GB"/>
              </w:rPr>
            </w:pPr>
            <w:r w:rsidRPr="00E4265B">
              <w:rPr>
                <w:rFonts w:ascii="Arial" w:eastAsiaTheme="majorEastAsia" w:hAnsi="Arial" w:cs="Arial"/>
                <w:iCs/>
                <w:sz w:val="22"/>
                <w:szCs w:val="22"/>
                <w:lang w:val="en-GB"/>
              </w:rPr>
              <w:t>except where an Authorised Person has a Financial Services Permission only to carry out the Regulated Activity of Managing a Collective Investment Fund, in which case the Base Capital Requirement is the higher of:</w:t>
            </w:r>
          </w:p>
          <w:p w14:paraId="3454FBF4" w14:textId="77777777" w:rsidR="00917930" w:rsidRPr="00E4265B" w:rsidRDefault="00917930" w:rsidP="00B17DCF">
            <w:pPr>
              <w:spacing w:beforeLines="20" w:before="48" w:afterLines="20" w:after="48" w:line="246" w:lineRule="atLeast"/>
              <w:ind w:left="721" w:hanging="721"/>
              <w:outlineLvl w:val="5"/>
              <w:rPr>
                <w:rFonts w:ascii="Arial" w:eastAsiaTheme="majorEastAsia" w:hAnsi="Arial" w:cs="Arial"/>
                <w:iCs/>
                <w:sz w:val="22"/>
                <w:szCs w:val="22"/>
                <w:lang w:val="en-GB"/>
              </w:rPr>
            </w:pPr>
            <w:r w:rsidRPr="00E4265B">
              <w:rPr>
                <w:rFonts w:ascii="Arial" w:eastAsiaTheme="majorEastAsia" w:hAnsi="Arial" w:cs="Arial"/>
                <w:iCs/>
                <w:sz w:val="22"/>
                <w:szCs w:val="22"/>
                <w:lang w:val="en-GB"/>
              </w:rPr>
              <w:t>a)</w:t>
            </w:r>
            <w:r w:rsidRPr="00E4265B">
              <w:rPr>
                <w:rFonts w:ascii="Arial" w:eastAsiaTheme="majorEastAsia" w:hAnsi="Arial" w:cs="Arial"/>
                <w:iCs/>
                <w:sz w:val="22"/>
                <w:szCs w:val="22"/>
                <w:lang w:val="en-GB"/>
              </w:rPr>
              <w:tab/>
              <w:t>150,000 if the Authorised Person manages a Public Fund or any other type of fund that is available to retail customers; or</w:t>
            </w:r>
          </w:p>
          <w:p w14:paraId="473680AC" w14:textId="3B527D3B" w:rsidR="00917930" w:rsidRPr="00E4265B" w:rsidRDefault="00917930" w:rsidP="00B17DCF">
            <w:pPr>
              <w:pStyle w:val="Heading6"/>
              <w:numPr>
                <w:ilvl w:val="0"/>
                <w:numId w:val="0"/>
              </w:numPr>
              <w:spacing w:beforeLines="20" w:before="48" w:afterLines="20" w:after="48"/>
              <w:jc w:val="left"/>
              <w:rPr>
                <w:rFonts w:ascii="Arial" w:hAnsi="Arial" w:cs="Arial"/>
                <w:sz w:val="22"/>
                <w:szCs w:val="22"/>
              </w:rPr>
            </w:pPr>
            <w:r w:rsidRPr="00E4265B">
              <w:rPr>
                <w:rFonts w:ascii="Arial" w:hAnsi="Arial" w:cs="Arial"/>
                <w:sz w:val="22"/>
                <w:szCs w:val="22"/>
              </w:rPr>
              <w:t>b)</w:t>
            </w:r>
            <w:r w:rsidRPr="00E4265B">
              <w:rPr>
                <w:rFonts w:ascii="Arial" w:hAnsi="Arial" w:cs="Arial"/>
                <w:sz w:val="22"/>
                <w:szCs w:val="22"/>
              </w:rPr>
              <w:tab/>
              <w:t>50,000 otherwise.</w:t>
            </w:r>
          </w:p>
        </w:tc>
        <w:tc>
          <w:tcPr>
            <w:tcW w:w="0" w:type="auto"/>
            <w:vMerge/>
            <w:vAlign w:val="center"/>
          </w:tcPr>
          <w:p w14:paraId="10F31B88" w14:textId="77777777" w:rsidR="00917930" w:rsidRPr="00E4265B" w:rsidRDefault="00917930" w:rsidP="009A6EDB">
            <w:pPr>
              <w:spacing w:beforeLines="20" w:before="48" w:afterLines="20" w:after="48"/>
              <w:rPr>
                <w:rFonts w:ascii="Arial" w:hAnsi="Arial" w:cs="Arial"/>
                <w:sz w:val="22"/>
                <w:szCs w:val="22"/>
                <w:lang w:val="en-GB"/>
              </w:rPr>
            </w:pPr>
          </w:p>
        </w:tc>
        <w:tc>
          <w:tcPr>
            <w:tcW w:w="1349" w:type="dxa"/>
            <w:vMerge/>
            <w:vAlign w:val="center"/>
          </w:tcPr>
          <w:p w14:paraId="5973EA1A" w14:textId="77777777" w:rsidR="00917930" w:rsidRPr="00E4265B" w:rsidRDefault="00917930" w:rsidP="009A6EDB">
            <w:pPr>
              <w:spacing w:beforeLines="20" w:before="48" w:afterLines="20" w:after="48"/>
              <w:rPr>
                <w:rFonts w:ascii="Arial" w:hAnsi="Arial" w:cs="Arial"/>
                <w:sz w:val="22"/>
                <w:szCs w:val="22"/>
                <w:lang w:val="en-GB"/>
              </w:rPr>
            </w:pPr>
          </w:p>
        </w:tc>
        <w:tc>
          <w:tcPr>
            <w:tcW w:w="3717" w:type="dxa"/>
            <w:vMerge/>
            <w:shd w:val="clear" w:color="auto" w:fill="F2F2F2" w:themeFill="background1" w:themeFillShade="F2"/>
            <w:vAlign w:val="center"/>
          </w:tcPr>
          <w:p w14:paraId="4EE8BC0A" w14:textId="77777777" w:rsidR="00917930" w:rsidRPr="00E4265B" w:rsidRDefault="00917930" w:rsidP="009A6EDB">
            <w:pPr>
              <w:spacing w:beforeLines="20" w:before="48" w:afterLines="20" w:after="48"/>
              <w:rPr>
                <w:rFonts w:ascii="Arial" w:hAnsi="Arial" w:cs="Arial"/>
                <w:sz w:val="22"/>
                <w:szCs w:val="22"/>
                <w:lang w:val="en-GB"/>
              </w:rPr>
            </w:pPr>
          </w:p>
        </w:tc>
      </w:tr>
      <w:tr w:rsidR="00917930" w:rsidRPr="00E4265B" w14:paraId="75E446D9" w14:textId="77777777" w:rsidTr="00917930">
        <w:tc>
          <w:tcPr>
            <w:tcW w:w="0" w:type="auto"/>
            <w:vMerge w:val="restart"/>
            <w:vAlign w:val="center"/>
          </w:tcPr>
          <w:p w14:paraId="1C7D3FD9" w14:textId="3AB18A94" w:rsidR="00917930" w:rsidRPr="00E4265B" w:rsidRDefault="00917930" w:rsidP="00917930">
            <w:pPr>
              <w:spacing w:beforeLines="20" w:before="48" w:afterLines="20" w:after="48"/>
              <w:jc w:val="center"/>
              <w:rPr>
                <w:rFonts w:ascii="Arial" w:hAnsi="Arial" w:cs="Arial"/>
                <w:b/>
                <w:sz w:val="22"/>
                <w:szCs w:val="22"/>
                <w:lang w:val="en-GB"/>
              </w:rPr>
            </w:pPr>
            <w:r w:rsidRPr="00E4265B">
              <w:rPr>
                <w:rFonts w:ascii="Arial" w:hAnsi="Arial" w:cs="Arial"/>
                <w:b/>
                <w:sz w:val="22"/>
                <w:szCs w:val="22"/>
                <w:lang w:val="en-GB"/>
              </w:rPr>
              <w:t>4</w:t>
            </w:r>
            <w:r w:rsidRPr="00E4265B">
              <w:rPr>
                <w:rFonts w:ascii="Arial" w:hAnsi="Arial" w:cs="Arial"/>
                <w:bCs/>
                <w:sz w:val="22"/>
                <w:szCs w:val="22"/>
                <w:vertAlign w:val="superscript"/>
                <w:lang w:val="en-GB"/>
              </w:rPr>
              <w:t>6, 7</w:t>
            </w:r>
          </w:p>
        </w:tc>
        <w:tc>
          <w:tcPr>
            <w:tcW w:w="0" w:type="auto"/>
            <w:tcBorders>
              <w:bottom w:val="dotted" w:sz="4" w:space="0" w:color="auto"/>
            </w:tcBorders>
            <w:vAlign w:val="center"/>
          </w:tcPr>
          <w:p w14:paraId="0C071BD6" w14:textId="52234EDA" w:rsidR="00917930" w:rsidRPr="00E4265B" w:rsidRDefault="00917930" w:rsidP="00917930">
            <w:pPr>
              <w:spacing w:beforeLines="20" w:before="48" w:afterLines="20" w:after="48"/>
              <w:jc w:val="center"/>
              <w:rPr>
                <w:rFonts w:ascii="Arial" w:hAnsi="Arial" w:cs="Arial"/>
                <w:sz w:val="22"/>
                <w:szCs w:val="22"/>
                <w:lang w:val="en-GB"/>
              </w:rPr>
            </w:pPr>
            <w:r w:rsidRPr="00E4265B">
              <w:rPr>
                <w:rFonts w:ascii="Arial" w:hAnsi="Arial" w:cs="Arial"/>
                <w:sz w:val="22"/>
                <w:szCs w:val="22"/>
              </w:rPr>
              <w:t>10k</w:t>
            </w:r>
          </w:p>
        </w:tc>
        <w:tc>
          <w:tcPr>
            <w:tcW w:w="0" w:type="auto"/>
            <w:vMerge w:val="restart"/>
            <w:vAlign w:val="center"/>
          </w:tcPr>
          <w:p w14:paraId="07C39678" w14:textId="77777777" w:rsidR="00917930" w:rsidRPr="00E4265B" w:rsidRDefault="00917930" w:rsidP="00917930">
            <w:pPr>
              <w:spacing w:beforeLines="20" w:before="48" w:afterLines="20" w:after="48"/>
              <w:rPr>
                <w:rFonts w:ascii="Arial" w:hAnsi="Arial" w:cs="Arial"/>
                <w:sz w:val="22"/>
                <w:szCs w:val="22"/>
                <w:lang w:val="en-GB"/>
              </w:rPr>
            </w:pPr>
            <w:r w:rsidRPr="00E4265B">
              <w:rPr>
                <w:rFonts w:ascii="Arial" w:hAnsi="Arial" w:cs="Arial"/>
                <w:sz w:val="22"/>
                <w:szCs w:val="22"/>
                <w:lang w:val="en-GB"/>
              </w:rPr>
              <w:t>6/52nds of Annual Expenditure</w:t>
            </w:r>
          </w:p>
        </w:tc>
        <w:tc>
          <w:tcPr>
            <w:tcW w:w="1349" w:type="dxa"/>
            <w:vMerge/>
            <w:vAlign w:val="center"/>
          </w:tcPr>
          <w:p w14:paraId="75703622" w14:textId="77777777" w:rsidR="00917930" w:rsidRPr="00E4265B" w:rsidRDefault="00917930" w:rsidP="00917930">
            <w:pPr>
              <w:spacing w:beforeLines="20" w:before="48" w:afterLines="20" w:after="48"/>
              <w:rPr>
                <w:rFonts w:ascii="Arial" w:hAnsi="Arial" w:cs="Arial"/>
                <w:sz w:val="22"/>
                <w:szCs w:val="22"/>
                <w:lang w:val="en-GB"/>
              </w:rPr>
            </w:pPr>
          </w:p>
        </w:tc>
        <w:tc>
          <w:tcPr>
            <w:tcW w:w="3717" w:type="dxa"/>
            <w:vMerge/>
            <w:shd w:val="clear" w:color="auto" w:fill="F2F2F2" w:themeFill="background1" w:themeFillShade="F2"/>
            <w:vAlign w:val="center"/>
          </w:tcPr>
          <w:p w14:paraId="6CD9AD8F" w14:textId="77777777" w:rsidR="00917930" w:rsidRPr="00E4265B" w:rsidRDefault="00917930" w:rsidP="00917930">
            <w:pPr>
              <w:spacing w:beforeLines="20" w:before="48" w:afterLines="20" w:after="48"/>
              <w:rPr>
                <w:rFonts w:ascii="Arial" w:hAnsi="Arial" w:cs="Arial"/>
                <w:sz w:val="22"/>
                <w:szCs w:val="22"/>
                <w:lang w:val="en-GB"/>
              </w:rPr>
            </w:pPr>
          </w:p>
        </w:tc>
      </w:tr>
      <w:tr w:rsidR="00917930" w:rsidRPr="00E4265B" w14:paraId="134B53E9" w14:textId="77777777" w:rsidTr="00917930">
        <w:tc>
          <w:tcPr>
            <w:tcW w:w="0" w:type="auto"/>
            <w:vMerge/>
            <w:vAlign w:val="center"/>
          </w:tcPr>
          <w:p w14:paraId="57FD6515" w14:textId="77777777" w:rsidR="00917930" w:rsidRPr="00E4265B" w:rsidRDefault="00917930" w:rsidP="00917930">
            <w:pPr>
              <w:spacing w:beforeLines="20" w:before="48" w:afterLines="20" w:after="48"/>
              <w:jc w:val="center"/>
              <w:rPr>
                <w:rFonts w:ascii="Arial" w:hAnsi="Arial" w:cs="Arial"/>
                <w:b/>
                <w:sz w:val="22"/>
                <w:szCs w:val="22"/>
                <w:lang w:val="en-GB"/>
              </w:rPr>
            </w:pPr>
          </w:p>
        </w:tc>
        <w:tc>
          <w:tcPr>
            <w:tcW w:w="0" w:type="auto"/>
            <w:tcBorders>
              <w:top w:val="dotted" w:sz="4" w:space="0" w:color="auto"/>
            </w:tcBorders>
            <w:vAlign w:val="center"/>
          </w:tcPr>
          <w:p w14:paraId="2F94D604" w14:textId="77777777" w:rsidR="00917930" w:rsidRPr="00E4265B" w:rsidRDefault="00917930" w:rsidP="00917930">
            <w:pPr>
              <w:spacing w:beforeLines="20" w:before="48" w:afterLines="20" w:after="48"/>
              <w:ind w:firstLine="6"/>
              <w:rPr>
                <w:rFonts w:ascii="Arial" w:hAnsi="Arial" w:cs="Arial"/>
                <w:sz w:val="22"/>
                <w:szCs w:val="22"/>
              </w:rPr>
            </w:pPr>
            <w:r w:rsidRPr="00E4265B">
              <w:rPr>
                <w:rFonts w:ascii="Arial" w:hAnsi="Arial" w:cs="Arial"/>
                <w:sz w:val="22"/>
                <w:szCs w:val="22"/>
              </w:rPr>
              <w:t>except where an Authorised Person has a Financial Services Permission:</w:t>
            </w:r>
          </w:p>
          <w:p w14:paraId="6D008AD8" w14:textId="72626C32" w:rsidR="00917930" w:rsidRPr="00E4265B" w:rsidRDefault="00917930" w:rsidP="00C41049">
            <w:pPr>
              <w:pStyle w:val="ListParagraph"/>
              <w:numPr>
                <w:ilvl w:val="0"/>
                <w:numId w:val="107"/>
              </w:numPr>
              <w:spacing w:beforeLines="20" w:before="48" w:afterLines="20" w:after="48"/>
              <w:ind w:left="721" w:hanging="709"/>
              <w:rPr>
                <w:rFonts w:ascii="Arial" w:hAnsi="Arial" w:cs="Arial"/>
                <w:sz w:val="22"/>
                <w:szCs w:val="22"/>
              </w:rPr>
            </w:pPr>
            <w:r w:rsidRPr="00E4265B">
              <w:rPr>
                <w:rFonts w:ascii="Arial" w:hAnsi="Arial" w:cs="Arial"/>
                <w:sz w:val="22"/>
                <w:szCs w:val="22"/>
              </w:rPr>
              <w:t>to carry out the Regulated Activity of Operating a Private Financing Platform and holds Client Assets, in which case the Base Capital Requirement is 150,000; or</w:t>
            </w:r>
          </w:p>
          <w:p w14:paraId="2F1BBB7C" w14:textId="541FCA3D" w:rsidR="00C41049" w:rsidRPr="00E4265B" w:rsidRDefault="00C41049" w:rsidP="00C41049">
            <w:pPr>
              <w:pStyle w:val="ListParagraph"/>
              <w:numPr>
                <w:ilvl w:val="0"/>
                <w:numId w:val="107"/>
              </w:numPr>
              <w:spacing w:beforeLines="20" w:before="48" w:afterLines="20" w:after="48"/>
              <w:ind w:left="721" w:hanging="709"/>
              <w:rPr>
                <w:rFonts w:ascii="Arial" w:hAnsi="Arial" w:cs="Arial"/>
                <w:sz w:val="22"/>
                <w:szCs w:val="22"/>
                <w:lang w:val="en-GB"/>
              </w:rPr>
            </w:pPr>
            <w:r w:rsidRPr="00E4265B">
              <w:rPr>
                <w:rFonts w:ascii="Arial" w:hAnsi="Arial" w:cs="Arial"/>
                <w:sz w:val="22"/>
                <w:szCs w:val="22"/>
              </w:rPr>
              <w:t>to carry out the Regulated Activity of Providing Third Party Services, in which case the Base Capital Requirement will be 50,000.</w:t>
            </w:r>
          </w:p>
        </w:tc>
        <w:tc>
          <w:tcPr>
            <w:tcW w:w="0" w:type="auto"/>
            <w:vMerge/>
            <w:vAlign w:val="center"/>
          </w:tcPr>
          <w:p w14:paraId="55F44A41" w14:textId="77777777" w:rsidR="00917930" w:rsidRPr="00E4265B" w:rsidRDefault="00917930" w:rsidP="00917930">
            <w:pPr>
              <w:spacing w:beforeLines="20" w:before="48" w:afterLines="20" w:after="48"/>
              <w:rPr>
                <w:rFonts w:ascii="Arial" w:hAnsi="Arial" w:cs="Arial"/>
                <w:sz w:val="22"/>
                <w:szCs w:val="22"/>
                <w:lang w:val="en-GB"/>
              </w:rPr>
            </w:pPr>
          </w:p>
        </w:tc>
        <w:tc>
          <w:tcPr>
            <w:tcW w:w="1349" w:type="dxa"/>
            <w:vMerge/>
            <w:vAlign w:val="center"/>
          </w:tcPr>
          <w:p w14:paraId="17D18106" w14:textId="77777777" w:rsidR="00917930" w:rsidRPr="00E4265B" w:rsidRDefault="00917930" w:rsidP="00917930">
            <w:pPr>
              <w:spacing w:beforeLines="20" w:before="48" w:afterLines="20" w:after="48"/>
              <w:rPr>
                <w:rFonts w:ascii="Arial" w:hAnsi="Arial" w:cs="Arial"/>
                <w:sz w:val="22"/>
                <w:szCs w:val="22"/>
                <w:lang w:val="en-GB"/>
              </w:rPr>
            </w:pPr>
          </w:p>
        </w:tc>
        <w:tc>
          <w:tcPr>
            <w:tcW w:w="3717" w:type="dxa"/>
            <w:vMerge/>
            <w:shd w:val="clear" w:color="auto" w:fill="F2F2F2" w:themeFill="background1" w:themeFillShade="F2"/>
            <w:vAlign w:val="center"/>
          </w:tcPr>
          <w:p w14:paraId="5B4F7BC0" w14:textId="77777777" w:rsidR="00917930" w:rsidRPr="00E4265B" w:rsidRDefault="00917930" w:rsidP="00917930">
            <w:pPr>
              <w:spacing w:beforeLines="20" w:before="48" w:afterLines="20" w:after="48"/>
              <w:rPr>
                <w:rFonts w:ascii="Arial" w:hAnsi="Arial" w:cs="Arial"/>
                <w:sz w:val="22"/>
                <w:szCs w:val="22"/>
                <w:lang w:val="en-GB"/>
              </w:rPr>
            </w:pPr>
          </w:p>
        </w:tc>
      </w:tr>
      <w:tr w:rsidR="009A6EDB" w:rsidRPr="00E4265B" w14:paraId="51C8940E" w14:textId="77777777" w:rsidTr="00917930">
        <w:tc>
          <w:tcPr>
            <w:tcW w:w="0" w:type="auto"/>
            <w:vAlign w:val="center"/>
          </w:tcPr>
          <w:p w14:paraId="517EF56E" w14:textId="77777777" w:rsidR="009A6EDB" w:rsidRPr="00E4265B" w:rsidRDefault="009A6EDB" w:rsidP="009A6EDB">
            <w:pPr>
              <w:spacing w:beforeLines="20" w:before="48" w:afterLines="20" w:after="48"/>
              <w:jc w:val="center"/>
              <w:rPr>
                <w:rFonts w:ascii="Arial" w:hAnsi="Arial" w:cs="Arial"/>
                <w:b/>
                <w:sz w:val="22"/>
                <w:szCs w:val="22"/>
                <w:lang w:val="en-GB"/>
              </w:rPr>
            </w:pPr>
            <w:r w:rsidRPr="00E4265B">
              <w:rPr>
                <w:rFonts w:ascii="Arial" w:hAnsi="Arial" w:cs="Arial"/>
                <w:b/>
                <w:sz w:val="22"/>
                <w:szCs w:val="22"/>
                <w:lang w:val="en-GB"/>
              </w:rPr>
              <w:t>5</w:t>
            </w:r>
          </w:p>
        </w:tc>
        <w:tc>
          <w:tcPr>
            <w:tcW w:w="0" w:type="auto"/>
            <w:vAlign w:val="center"/>
          </w:tcPr>
          <w:p w14:paraId="0E9A6DE2" w14:textId="77777777" w:rsidR="009A6EDB" w:rsidRPr="00E4265B" w:rsidRDefault="009A6EDB" w:rsidP="009A6EDB">
            <w:pPr>
              <w:spacing w:beforeLines="20" w:before="48" w:afterLines="20" w:after="48"/>
              <w:jc w:val="center"/>
              <w:rPr>
                <w:rFonts w:ascii="Arial" w:hAnsi="Arial" w:cs="Arial"/>
                <w:sz w:val="22"/>
                <w:szCs w:val="22"/>
                <w:lang w:val="en-GB"/>
              </w:rPr>
            </w:pPr>
            <w:r w:rsidRPr="00E4265B">
              <w:rPr>
                <w:rFonts w:ascii="Arial" w:hAnsi="Arial" w:cs="Arial"/>
                <w:sz w:val="22"/>
                <w:szCs w:val="22"/>
                <w:lang w:val="en-GB"/>
              </w:rPr>
              <w:t>10mn</w:t>
            </w:r>
          </w:p>
        </w:tc>
        <w:tc>
          <w:tcPr>
            <w:tcW w:w="2980" w:type="dxa"/>
            <w:gridSpan w:val="2"/>
            <w:shd w:val="clear" w:color="auto" w:fill="F2F2F2" w:themeFill="background1" w:themeFillShade="F2"/>
            <w:vAlign w:val="center"/>
          </w:tcPr>
          <w:p w14:paraId="55762050" w14:textId="460F5A37" w:rsidR="009A6EDB" w:rsidRPr="00E4265B" w:rsidRDefault="009A6EDB" w:rsidP="009A6EDB">
            <w:pPr>
              <w:spacing w:beforeLines="20" w:before="48" w:afterLines="20" w:after="48"/>
              <w:rPr>
                <w:rFonts w:ascii="Arial" w:hAnsi="Arial" w:cs="Arial"/>
                <w:sz w:val="22"/>
                <w:szCs w:val="22"/>
                <w:lang w:val="en-GB"/>
              </w:rPr>
            </w:pPr>
          </w:p>
        </w:tc>
        <w:tc>
          <w:tcPr>
            <w:tcW w:w="3717" w:type="dxa"/>
            <w:vAlign w:val="center"/>
          </w:tcPr>
          <w:p w14:paraId="2FC27328" w14:textId="55891CE4" w:rsidR="009A6EDB" w:rsidRPr="00E4265B" w:rsidRDefault="009A6EDB" w:rsidP="009A6EDB">
            <w:pPr>
              <w:spacing w:beforeLines="20" w:before="48" w:afterLines="20" w:after="48"/>
              <w:rPr>
                <w:rFonts w:ascii="Arial" w:hAnsi="Arial" w:cs="Arial"/>
                <w:sz w:val="22"/>
                <w:szCs w:val="22"/>
                <w:lang w:val="en-GB"/>
              </w:rPr>
            </w:pPr>
            <w:r w:rsidRPr="00E4265B">
              <w:rPr>
                <w:rFonts w:ascii="Arial" w:hAnsi="Arial" w:cs="Arial"/>
                <w:sz w:val="22"/>
                <w:szCs w:val="22"/>
                <w:lang w:val="en-GB"/>
              </w:rPr>
              <w:t>Credit, Market, Operational, CVA and Displaced Commercial</w:t>
            </w:r>
          </w:p>
        </w:tc>
      </w:tr>
    </w:tbl>
    <w:p w14:paraId="4192B1BA" w14:textId="77777777" w:rsidR="0026458D" w:rsidRPr="00E4265B" w:rsidRDefault="0026458D" w:rsidP="0026458D">
      <w:pPr>
        <w:pStyle w:val="aList"/>
        <w:spacing w:after="60" w:line="240" w:lineRule="auto"/>
        <w:ind w:left="360" w:firstLine="0"/>
        <w:rPr>
          <w:rFonts w:ascii="Arial" w:hAnsi="Arial" w:cs="Arial"/>
          <w:sz w:val="22"/>
          <w:szCs w:val="22"/>
          <w:lang w:val="en-GB"/>
        </w:rPr>
      </w:pPr>
    </w:p>
    <w:p w14:paraId="08E441D7" w14:textId="245E66C7" w:rsidR="00566EE9" w:rsidRPr="00E4265B" w:rsidRDefault="0026458D" w:rsidP="0026458D">
      <w:pPr>
        <w:spacing w:after="60"/>
        <w:ind w:left="709" w:hanging="425"/>
        <w:jc w:val="both"/>
        <w:rPr>
          <w:rFonts w:ascii="Arial" w:hAnsi="Arial" w:cs="Arial"/>
          <w:sz w:val="22"/>
          <w:szCs w:val="22"/>
        </w:rPr>
      </w:pPr>
      <w:r w:rsidRPr="00E4265B">
        <w:rPr>
          <w:rFonts w:ascii="Arial" w:hAnsi="Arial" w:cs="Arial"/>
          <w:sz w:val="22"/>
          <w:szCs w:val="22"/>
        </w:rPr>
        <w:t>2.</w:t>
      </w:r>
      <w:r w:rsidRPr="00E4265B">
        <w:rPr>
          <w:rFonts w:ascii="Arial" w:hAnsi="Arial" w:cs="Arial"/>
          <w:sz w:val="22"/>
          <w:szCs w:val="22"/>
        </w:rPr>
        <w:tab/>
      </w:r>
      <w:r w:rsidR="00566EE9" w:rsidRPr="00E4265B">
        <w:rPr>
          <w:rFonts w:ascii="Arial" w:hAnsi="Arial" w:cs="Arial"/>
          <w:sz w:val="22"/>
          <w:szCs w:val="22"/>
        </w:rPr>
        <w:t>A</w:t>
      </w:r>
      <w:r w:rsidR="000F4C66" w:rsidRPr="00E4265B">
        <w:rPr>
          <w:rFonts w:ascii="Arial" w:hAnsi="Arial" w:cs="Arial"/>
          <w:sz w:val="22"/>
          <w:szCs w:val="22"/>
        </w:rPr>
        <w:t>n Authorised Person</w:t>
      </w:r>
      <w:r w:rsidR="00566EE9" w:rsidRPr="00E4265B">
        <w:rPr>
          <w:rFonts w:ascii="Arial" w:hAnsi="Arial" w:cs="Arial"/>
          <w:sz w:val="22"/>
          <w:szCs w:val="22"/>
        </w:rPr>
        <w:t xml:space="preserve">, whichever Category </w:t>
      </w:r>
      <w:r w:rsidR="000F4C66" w:rsidRPr="00E4265B">
        <w:rPr>
          <w:rFonts w:ascii="Arial" w:hAnsi="Arial" w:cs="Arial"/>
          <w:sz w:val="22"/>
          <w:szCs w:val="22"/>
        </w:rPr>
        <w:t xml:space="preserve">it is </w:t>
      </w:r>
      <w:r w:rsidR="00566EE9" w:rsidRPr="00E4265B">
        <w:rPr>
          <w:rFonts w:ascii="Arial" w:hAnsi="Arial" w:cs="Arial"/>
          <w:sz w:val="22"/>
          <w:szCs w:val="22"/>
        </w:rPr>
        <w:t>a member of, must hold a minimum amount of CET1 Capital at the time that it obtains authorisation and at all times thereafter, in accordance with Rule 3.3.3</w:t>
      </w:r>
      <w:r w:rsidR="000F4C66" w:rsidRPr="00E4265B">
        <w:rPr>
          <w:rFonts w:ascii="Arial" w:hAnsi="Arial" w:cs="Arial"/>
          <w:sz w:val="22"/>
          <w:szCs w:val="22"/>
        </w:rPr>
        <w:t>, corresponding to the Base Capital Requirement</w:t>
      </w:r>
      <w:r w:rsidR="00566EE9" w:rsidRPr="00E4265B">
        <w:rPr>
          <w:rFonts w:ascii="Arial" w:hAnsi="Arial" w:cs="Arial"/>
          <w:sz w:val="22"/>
          <w:szCs w:val="22"/>
        </w:rPr>
        <w:t>.</w:t>
      </w:r>
    </w:p>
    <w:p w14:paraId="314ADC8D" w14:textId="483F0BD2" w:rsidR="00B17DCF" w:rsidRPr="00E4265B" w:rsidRDefault="00B17DCF" w:rsidP="0026458D">
      <w:pPr>
        <w:spacing w:after="60"/>
        <w:ind w:left="709" w:hanging="425"/>
        <w:jc w:val="both"/>
        <w:rPr>
          <w:rFonts w:ascii="Arial" w:hAnsi="Arial" w:cs="Arial"/>
          <w:sz w:val="22"/>
          <w:szCs w:val="22"/>
          <w:lang w:val="en-GB"/>
        </w:rPr>
      </w:pPr>
      <w:r w:rsidRPr="00E4265B">
        <w:rPr>
          <w:rFonts w:ascii="Arial" w:hAnsi="Arial" w:cs="Arial"/>
          <w:sz w:val="22"/>
          <w:szCs w:val="22"/>
        </w:rPr>
        <w:t>3.</w:t>
      </w:r>
      <w:r w:rsidRPr="00E4265B">
        <w:rPr>
          <w:rFonts w:ascii="Arial" w:hAnsi="Arial" w:cs="Arial"/>
          <w:sz w:val="22"/>
          <w:szCs w:val="22"/>
        </w:rPr>
        <w:tab/>
        <w:t xml:space="preserve">The Expenditure Based Capital Minimum is </w:t>
      </w:r>
      <w:r w:rsidRPr="00E4265B">
        <w:rPr>
          <w:rFonts w:ascii="Arial" w:hAnsi="Arial" w:cs="Arial"/>
          <w:sz w:val="22"/>
          <w:szCs w:val="22"/>
          <w:lang w:val="en-GB"/>
        </w:rPr>
        <w:t>calculate</w:t>
      </w:r>
      <w:r w:rsidR="0026458D" w:rsidRPr="00E4265B">
        <w:rPr>
          <w:rFonts w:ascii="Arial" w:hAnsi="Arial" w:cs="Arial"/>
          <w:sz w:val="22"/>
          <w:szCs w:val="22"/>
          <w:lang w:val="en-GB"/>
        </w:rPr>
        <w:t>d</w:t>
      </w:r>
      <w:r w:rsidRPr="00E4265B">
        <w:rPr>
          <w:rFonts w:ascii="Arial" w:hAnsi="Arial" w:cs="Arial"/>
          <w:sz w:val="22"/>
          <w:szCs w:val="22"/>
          <w:lang w:val="en-GB"/>
        </w:rPr>
        <w:t xml:space="preserve"> as the specified proportion of th</w:t>
      </w:r>
      <w:r w:rsidR="0026458D" w:rsidRPr="00E4265B">
        <w:rPr>
          <w:rFonts w:ascii="Arial" w:hAnsi="Arial" w:cs="Arial"/>
          <w:sz w:val="22"/>
          <w:szCs w:val="22"/>
          <w:lang w:val="en-GB"/>
        </w:rPr>
        <w:t>e</w:t>
      </w:r>
      <w:r w:rsidRPr="00E4265B">
        <w:rPr>
          <w:rFonts w:ascii="Arial" w:hAnsi="Arial" w:cs="Arial"/>
          <w:sz w:val="22"/>
          <w:szCs w:val="22"/>
          <w:lang w:val="en-GB"/>
        </w:rPr>
        <w:t xml:space="preserve"> Annual Audited Expenditure (AAE), calculated in accordance with Rule 3.7.2.</w:t>
      </w:r>
    </w:p>
    <w:p w14:paraId="0EB69B1C" w14:textId="772A02E2" w:rsidR="00B17DCF" w:rsidRPr="00E4265B" w:rsidRDefault="00B17DCF" w:rsidP="00B17DCF">
      <w:pPr>
        <w:spacing w:after="60"/>
        <w:ind w:left="709" w:hanging="425"/>
        <w:jc w:val="both"/>
        <w:rPr>
          <w:rFonts w:ascii="Arial" w:hAnsi="Arial" w:cs="Arial"/>
          <w:sz w:val="22"/>
          <w:szCs w:val="22"/>
        </w:rPr>
      </w:pPr>
      <w:r w:rsidRPr="00E4265B">
        <w:rPr>
          <w:rFonts w:ascii="Arial" w:hAnsi="Arial" w:cs="Arial"/>
          <w:sz w:val="22"/>
          <w:szCs w:val="22"/>
          <w:lang w:val="en-GB"/>
        </w:rPr>
        <w:t>4.</w:t>
      </w:r>
      <w:r w:rsidRPr="00E4265B">
        <w:rPr>
          <w:rFonts w:ascii="Arial" w:hAnsi="Arial" w:cs="Arial"/>
          <w:sz w:val="22"/>
          <w:szCs w:val="22"/>
          <w:lang w:val="en-GB"/>
        </w:rPr>
        <w:tab/>
        <w:t>An Authorised Person in Category 3C undertaking the Regulated Activity of Providing Money Services that offers only one of or both currency exchange and Money Remittance to their customers, but not Payment Services, is considered not to hold Client Assets, in the form</w:t>
      </w:r>
      <w:r w:rsidRPr="00E4265B">
        <w:rPr>
          <w:rFonts w:ascii="Arial" w:hAnsi="Arial" w:cs="Arial"/>
          <w:sz w:val="22"/>
          <w:szCs w:val="22"/>
        </w:rPr>
        <w:t xml:space="preserve"> of Client Money, or Relevant Money.</w:t>
      </w:r>
    </w:p>
    <w:p w14:paraId="37BE9B8A" w14:textId="77094199" w:rsidR="00566EE9" w:rsidRPr="00E4265B" w:rsidRDefault="00B17DCF" w:rsidP="00B17DCF">
      <w:pPr>
        <w:pStyle w:val="aList"/>
        <w:spacing w:after="60" w:line="240" w:lineRule="auto"/>
        <w:ind w:left="709" w:hanging="425"/>
        <w:rPr>
          <w:rFonts w:ascii="Arial" w:hAnsi="Arial" w:cs="Arial"/>
          <w:sz w:val="22"/>
          <w:szCs w:val="22"/>
          <w:lang w:val="en-GB"/>
        </w:rPr>
      </w:pPr>
      <w:r w:rsidRPr="00E4265B">
        <w:rPr>
          <w:rFonts w:ascii="Arial" w:hAnsi="Arial" w:cs="Arial"/>
          <w:sz w:val="22"/>
          <w:szCs w:val="22"/>
        </w:rPr>
        <w:t>5.</w:t>
      </w:r>
      <w:r w:rsidRPr="00E4265B">
        <w:rPr>
          <w:rFonts w:ascii="Arial" w:hAnsi="Arial" w:cs="Arial"/>
          <w:sz w:val="22"/>
          <w:szCs w:val="22"/>
        </w:rPr>
        <w:tab/>
      </w:r>
      <w:r w:rsidR="00566EE9" w:rsidRPr="00E4265B">
        <w:rPr>
          <w:rFonts w:ascii="Arial" w:hAnsi="Arial" w:cs="Arial"/>
          <w:sz w:val="22"/>
          <w:szCs w:val="22"/>
          <w:lang w:val="en-GB"/>
        </w:rPr>
        <w:t>Where the Risk Capital Requirement is the binding capital requirement for an Authorised Person in Categor</w:t>
      </w:r>
      <w:r w:rsidR="00E96A35" w:rsidRPr="00E4265B">
        <w:rPr>
          <w:rFonts w:ascii="Arial" w:hAnsi="Arial" w:cs="Arial"/>
          <w:sz w:val="22"/>
          <w:szCs w:val="22"/>
          <w:lang w:val="en-GB"/>
        </w:rPr>
        <w:t>y</w:t>
      </w:r>
      <w:r w:rsidR="00566EE9" w:rsidRPr="00E4265B">
        <w:rPr>
          <w:rFonts w:ascii="Arial" w:hAnsi="Arial" w:cs="Arial"/>
          <w:sz w:val="22"/>
          <w:szCs w:val="22"/>
          <w:lang w:val="en-GB"/>
        </w:rPr>
        <w:t xml:space="preserve"> 1, 2 </w:t>
      </w:r>
      <w:r w:rsidR="00E96A35" w:rsidRPr="00E4265B">
        <w:rPr>
          <w:rFonts w:ascii="Arial" w:hAnsi="Arial" w:cs="Arial"/>
          <w:sz w:val="22"/>
          <w:szCs w:val="22"/>
          <w:lang w:val="en-GB"/>
        </w:rPr>
        <w:t>or</w:t>
      </w:r>
      <w:r w:rsidR="00566EE9" w:rsidRPr="00E4265B">
        <w:rPr>
          <w:rFonts w:ascii="Arial" w:hAnsi="Arial" w:cs="Arial"/>
          <w:sz w:val="22"/>
          <w:szCs w:val="22"/>
          <w:lang w:val="en-GB"/>
        </w:rPr>
        <w:t xml:space="preserve"> 5 it must also hold a Capital Conservation Buffer of CET1 Capital of 2.5% of the Total Risk Exposure Amount and, where applicable, a Countercyclical Capital Buffer of CET1 Capital</w:t>
      </w:r>
      <w:r w:rsidR="00E96A35" w:rsidRPr="00E4265B">
        <w:rPr>
          <w:rFonts w:ascii="Arial" w:hAnsi="Arial" w:cs="Arial"/>
          <w:sz w:val="22"/>
          <w:szCs w:val="22"/>
          <w:lang w:val="en-GB"/>
        </w:rPr>
        <w:t>,</w:t>
      </w:r>
      <w:r w:rsidR="00566EE9" w:rsidRPr="00E4265B">
        <w:rPr>
          <w:rFonts w:ascii="Arial" w:hAnsi="Arial" w:cs="Arial"/>
          <w:sz w:val="22"/>
          <w:szCs w:val="22"/>
          <w:lang w:val="en-GB"/>
        </w:rPr>
        <w:t xml:space="preserve"> to be determined in accordance with Section 3.18.</w:t>
      </w:r>
    </w:p>
    <w:p w14:paraId="7A76735F" w14:textId="6E1C06B5" w:rsidR="00E96A35" w:rsidRPr="00E4265B" w:rsidRDefault="00B17DCF" w:rsidP="00B17DCF">
      <w:pPr>
        <w:pStyle w:val="aList"/>
        <w:spacing w:after="60" w:line="240" w:lineRule="auto"/>
        <w:ind w:left="709" w:hanging="425"/>
        <w:rPr>
          <w:rFonts w:ascii="Arial" w:hAnsi="Arial" w:cs="Arial"/>
          <w:sz w:val="22"/>
          <w:szCs w:val="22"/>
          <w:lang w:val="en-GB"/>
        </w:rPr>
      </w:pPr>
      <w:r w:rsidRPr="00E4265B">
        <w:rPr>
          <w:rFonts w:ascii="Arial" w:hAnsi="Arial" w:cs="Arial"/>
          <w:sz w:val="22"/>
          <w:szCs w:val="22"/>
          <w:lang w:val="en-GB"/>
        </w:rPr>
        <w:t>6.</w:t>
      </w:r>
      <w:r w:rsidRPr="00E4265B">
        <w:rPr>
          <w:rFonts w:ascii="Arial" w:hAnsi="Arial" w:cs="Arial"/>
          <w:sz w:val="22"/>
          <w:szCs w:val="22"/>
          <w:lang w:val="en-GB"/>
        </w:rPr>
        <w:tab/>
      </w:r>
      <w:r w:rsidR="00E96A35" w:rsidRPr="00E4265B">
        <w:rPr>
          <w:rFonts w:ascii="Arial" w:hAnsi="Arial" w:cs="Arial"/>
          <w:sz w:val="22"/>
          <w:szCs w:val="22"/>
          <w:lang w:val="en-GB"/>
        </w:rPr>
        <w:t xml:space="preserve">An Authorised Person in Category 3B, 3C or 4 must notify the Regulator immediately if </w:t>
      </w:r>
      <w:r w:rsidR="00E96A35" w:rsidRPr="00E4265B">
        <w:rPr>
          <w:rFonts w:ascii="Arial" w:hAnsi="Arial" w:cs="Arial"/>
          <w:sz w:val="22"/>
          <w:szCs w:val="22"/>
        </w:rPr>
        <w:t>its Capital Resources fall below 120% of its Capital Requirement,</w:t>
      </w:r>
      <w:r w:rsidR="00E96A35" w:rsidRPr="00E4265B">
        <w:rPr>
          <w:rFonts w:ascii="Arial" w:hAnsi="Arial" w:cs="Arial"/>
          <w:sz w:val="22"/>
          <w:szCs w:val="22"/>
          <w:lang w:val="en-GB"/>
        </w:rPr>
        <w:t xml:space="preserve"> in accordance with Rule 3.20.2</w:t>
      </w:r>
      <w:r w:rsidR="00E96A35" w:rsidRPr="00E4265B">
        <w:rPr>
          <w:rFonts w:ascii="Arial" w:hAnsi="Arial" w:cs="Arial"/>
          <w:sz w:val="22"/>
          <w:szCs w:val="22"/>
        </w:rPr>
        <w:t>.</w:t>
      </w:r>
    </w:p>
    <w:p w14:paraId="4466F6DA" w14:textId="15AF6D39" w:rsidR="00C74DCA" w:rsidRPr="00E4265B" w:rsidRDefault="00B17DCF" w:rsidP="00B17DCF">
      <w:pPr>
        <w:pStyle w:val="aList"/>
        <w:spacing w:after="60" w:line="240" w:lineRule="auto"/>
        <w:ind w:left="709" w:hanging="425"/>
        <w:rPr>
          <w:rFonts w:ascii="Arial" w:hAnsi="Arial" w:cs="Arial"/>
          <w:sz w:val="22"/>
          <w:szCs w:val="22"/>
          <w:lang w:val="en-GB"/>
        </w:rPr>
      </w:pPr>
      <w:r w:rsidRPr="00E4265B">
        <w:rPr>
          <w:rFonts w:ascii="Arial" w:hAnsi="Arial" w:cs="Arial"/>
          <w:sz w:val="22"/>
          <w:szCs w:val="22"/>
          <w:lang w:val="en-GB"/>
        </w:rPr>
        <w:t>7.</w:t>
      </w:r>
      <w:r w:rsidRPr="00E4265B">
        <w:rPr>
          <w:rFonts w:ascii="Arial" w:hAnsi="Arial" w:cs="Arial"/>
          <w:sz w:val="22"/>
          <w:szCs w:val="22"/>
          <w:lang w:val="en-GB"/>
        </w:rPr>
        <w:tab/>
      </w:r>
      <w:r w:rsidR="00566EE9" w:rsidRPr="00E4265B">
        <w:rPr>
          <w:rFonts w:ascii="Arial" w:hAnsi="Arial" w:cs="Arial"/>
          <w:sz w:val="22"/>
          <w:szCs w:val="22"/>
          <w:lang w:val="en-GB"/>
        </w:rPr>
        <w:t>A</w:t>
      </w:r>
      <w:r w:rsidR="000F4C66" w:rsidRPr="00E4265B">
        <w:rPr>
          <w:rFonts w:ascii="Arial" w:hAnsi="Arial" w:cs="Arial"/>
          <w:sz w:val="22"/>
          <w:szCs w:val="22"/>
          <w:lang w:val="en-GB"/>
        </w:rPr>
        <w:t>n A</w:t>
      </w:r>
      <w:r w:rsidR="00566EE9" w:rsidRPr="00E4265B">
        <w:rPr>
          <w:rFonts w:ascii="Arial" w:hAnsi="Arial" w:cs="Arial"/>
          <w:sz w:val="22"/>
          <w:szCs w:val="22"/>
          <w:lang w:val="en-GB"/>
        </w:rPr>
        <w:t xml:space="preserve">uthorised Person in Category 4 </w:t>
      </w:r>
      <w:r w:rsidR="000F4C66" w:rsidRPr="00E4265B">
        <w:rPr>
          <w:rFonts w:ascii="Arial" w:hAnsi="Arial" w:cs="Arial"/>
          <w:sz w:val="22"/>
          <w:szCs w:val="22"/>
          <w:lang w:val="en-GB"/>
        </w:rPr>
        <w:t xml:space="preserve">is </w:t>
      </w:r>
      <w:r w:rsidR="00566EE9" w:rsidRPr="00E4265B">
        <w:rPr>
          <w:rFonts w:ascii="Arial" w:hAnsi="Arial" w:cs="Arial"/>
          <w:sz w:val="22"/>
          <w:szCs w:val="22"/>
          <w:lang w:val="en-GB"/>
        </w:rPr>
        <w:t>only permitted to hold Insurance Monies.</w:t>
      </w:r>
    </w:p>
    <w:p w14:paraId="05FDCF8B" w14:textId="77777777" w:rsidR="00C74DCA" w:rsidRPr="00E4265B" w:rsidRDefault="00C74DCA">
      <w:pPr>
        <w:rPr>
          <w:rFonts w:ascii="Arial" w:hAnsi="Arial" w:cs="Arial"/>
          <w:sz w:val="22"/>
          <w:szCs w:val="22"/>
          <w:lang w:val="en-GB"/>
        </w:rPr>
      </w:pPr>
      <w:r w:rsidRPr="00E4265B">
        <w:rPr>
          <w:rFonts w:ascii="Arial" w:hAnsi="Arial" w:cs="Arial"/>
          <w:sz w:val="22"/>
          <w:szCs w:val="22"/>
          <w:lang w:val="en-GB"/>
        </w:rPr>
        <w:br w:type="page"/>
      </w:r>
    </w:p>
    <w:p w14:paraId="28385F5E" w14:textId="77777777" w:rsidR="00B17DCF" w:rsidRPr="00E4265B" w:rsidRDefault="00B17DCF" w:rsidP="00B17DCF">
      <w:pPr>
        <w:pStyle w:val="aList"/>
        <w:spacing w:after="60" w:line="240" w:lineRule="auto"/>
        <w:ind w:left="709" w:hanging="425"/>
        <w:rPr>
          <w:rFonts w:ascii="Arial" w:hAnsi="Arial" w:cs="Arial"/>
          <w:sz w:val="22"/>
          <w:szCs w:val="22"/>
          <w:lang w:val="en-GB"/>
        </w:rPr>
      </w:pPr>
    </w:p>
    <w:p w14:paraId="1B935C98" w14:textId="2E2375A3" w:rsidR="0026458D" w:rsidRPr="00E4265B" w:rsidRDefault="00B17DCF" w:rsidP="0026458D">
      <w:pPr>
        <w:spacing w:after="60"/>
        <w:ind w:left="709" w:hanging="425"/>
        <w:jc w:val="both"/>
        <w:rPr>
          <w:rFonts w:ascii="Arial" w:hAnsi="Arial" w:cs="Arial"/>
          <w:sz w:val="22"/>
          <w:szCs w:val="22"/>
        </w:rPr>
      </w:pPr>
      <w:r w:rsidRPr="00E4265B">
        <w:rPr>
          <w:rFonts w:ascii="Arial" w:hAnsi="Arial" w:cs="Arial"/>
          <w:sz w:val="22"/>
          <w:szCs w:val="22"/>
        </w:rPr>
        <w:t>8.</w:t>
      </w:r>
      <w:r w:rsidRPr="00E4265B">
        <w:rPr>
          <w:rFonts w:ascii="Arial" w:hAnsi="Arial" w:cs="Arial"/>
          <w:sz w:val="22"/>
          <w:szCs w:val="22"/>
        </w:rPr>
        <w:tab/>
        <w:t xml:space="preserve">An Authorised Person in Category 3C undertaking the Regulated Activity of Providing Money Services must calculate its Capital Requirement in accordance with the table below; where applicable, a Variable Capital Requirement must be calculated for activities undertaken as (a) a Money Remitter, (b) a Payment Account Provider and (c) a Stored Value Issuer and </w:t>
      </w:r>
      <w:r w:rsidR="00BD00E4" w:rsidRPr="00E4265B">
        <w:rPr>
          <w:rFonts w:ascii="Arial" w:hAnsi="Arial" w:cs="Arial"/>
          <w:sz w:val="22"/>
          <w:szCs w:val="22"/>
        </w:rPr>
        <w:t>combined in accordance with Rule</w:t>
      </w:r>
      <w:r w:rsidRPr="00E4265B">
        <w:rPr>
          <w:rFonts w:ascii="Arial" w:hAnsi="Arial" w:cs="Arial"/>
          <w:sz w:val="22"/>
          <w:szCs w:val="22"/>
        </w:rPr>
        <w:t> 3.</w:t>
      </w:r>
      <w:r w:rsidRPr="00E4265B">
        <w:rPr>
          <w:rFonts w:ascii="Arial" w:hAnsi="Arial" w:cs="Arial"/>
          <w:color w:val="0D0D0D" w:themeColor="text1" w:themeTint="F2"/>
          <w:sz w:val="22"/>
          <w:szCs w:val="22"/>
        </w:rPr>
        <w:t xml:space="preserve">6A.7 </w:t>
      </w:r>
      <w:r w:rsidRPr="00E4265B">
        <w:rPr>
          <w:rFonts w:ascii="Arial" w:hAnsi="Arial" w:cs="Arial"/>
          <w:sz w:val="22"/>
          <w:szCs w:val="22"/>
        </w:rPr>
        <w:t>to determine the Total Variable Capital Requirement.</w:t>
      </w:r>
    </w:p>
    <w:p w14:paraId="07B75E1B" w14:textId="6633A8F4" w:rsidR="00143FFA" w:rsidRPr="00E4265B" w:rsidRDefault="00143FFA">
      <w:pPr>
        <w:rPr>
          <w:rFonts w:ascii="Arial" w:hAnsi="Arial" w:cs="Arial"/>
          <w:sz w:val="22"/>
          <w:szCs w:val="22"/>
        </w:rPr>
      </w:pPr>
    </w:p>
    <w:tbl>
      <w:tblPr>
        <w:tblW w:w="13092" w:type="dxa"/>
        <w:tblInd w:w="137" w:type="dxa"/>
        <w:tblCellMar>
          <w:left w:w="0" w:type="dxa"/>
          <w:right w:w="0" w:type="dxa"/>
        </w:tblCellMar>
        <w:tblLook w:val="04A0" w:firstRow="1" w:lastRow="0" w:firstColumn="1" w:lastColumn="0" w:noHBand="0" w:noVBand="1"/>
      </w:tblPr>
      <w:tblGrid>
        <w:gridCol w:w="1854"/>
        <w:gridCol w:w="694"/>
        <w:gridCol w:w="1769"/>
        <w:gridCol w:w="4643"/>
        <w:gridCol w:w="4132"/>
      </w:tblGrid>
      <w:tr w:rsidR="003665A3" w:rsidRPr="00E4265B" w14:paraId="0FD17BCF" w14:textId="77777777" w:rsidTr="0026458D">
        <w:trPr>
          <w:trHeight w:val="342"/>
          <w:tblHeader/>
        </w:trPr>
        <w:tc>
          <w:tcPr>
            <w:tcW w:w="186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hideMark/>
          </w:tcPr>
          <w:p w14:paraId="00FBCDA1" w14:textId="77777777" w:rsidR="003665A3" w:rsidRPr="00E4265B" w:rsidRDefault="003665A3" w:rsidP="00FB14E1">
            <w:pPr>
              <w:spacing w:before="40" w:after="40" w:line="280" w:lineRule="exact"/>
              <w:rPr>
                <w:rFonts w:ascii="Arial" w:hAnsi="Arial" w:cs="Arial"/>
                <w:b/>
                <w:bCs/>
                <w:color w:val="000000"/>
                <w:sz w:val="22"/>
                <w:szCs w:val="22"/>
                <w:bdr w:val="none" w:sz="0" w:space="0" w:color="auto" w:frame="1"/>
              </w:rPr>
            </w:pPr>
            <w:r w:rsidRPr="00E4265B">
              <w:rPr>
                <w:rFonts w:ascii="Arial" w:hAnsi="Arial" w:cs="Arial"/>
                <w:b/>
                <w:bCs/>
                <w:color w:val="000000"/>
                <w:sz w:val="22"/>
                <w:szCs w:val="22"/>
                <w:bdr w:val="none" w:sz="0" w:space="0" w:color="auto" w:frame="1"/>
              </w:rPr>
              <w:t>Activity</w:t>
            </w:r>
          </w:p>
        </w:tc>
        <w:tc>
          <w:tcPr>
            <w:tcW w:w="11231"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hideMark/>
          </w:tcPr>
          <w:p w14:paraId="570C597A" w14:textId="77777777" w:rsidR="003665A3" w:rsidRPr="00E4265B" w:rsidRDefault="003665A3" w:rsidP="00FB14E1">
            <w:pPr>
              <w:spacing w:before="40" w:after="40" w:line="280" w:lineRule="exact"/>
              <w:jc w:val="center"/>
              <w:rPr>
                <w:rFonts w:ascii="Arial" w:hAnsi="Arial" w:cs="Arial"/>
                <w:b/>
                <w:bCs/>
                <w:color w:val="000000"/>
                <w:sz w:val="22"/>
                <w:szCs w:val="22"/>
                <w:bdr w:val="none" w:sz="0" w:space="0" w:color="auto" w:frame="1"/>
              </w:rPr>
            </w:pPr>
            <w:r w:rsidRPr="00E4265B">
              <w:rPr>
                <w:rFonts w:ascii="Arial" w:hAnsi="Arial" w:cs="Arial"/>
                <w:b/>
                <w:bCs/>
                <w:color w:val="000000"/>
                <w:sz w:val="22"/>
                <w:szCs w:val="22"/>
                <w:bdr w:val="none" w:sz="0" w:space="0" w:color="auto" w:frame="1"/>
              </w:rPr>
              <w:t>Capital Requirement (USD)</w:t>
            </w:r>
          </w:p>
        </w:tc>
      </w:tr>
      <w:tr w:rsidR="003665A3" w:rsidRPr="00E4265B" w14:paraId="21B84D3F" w14:textId="77777777" w:rsidTr="0026458D">
        <w:trPr>
          <w:trHeight w:val="342"/>
          <w:tblHeader/>
        </w:trPr>
        <w:tc>
          <w:tcPr>
            <w:tcW w:w="186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72877502" w14:textId="77777777" w:rsidR="003665A3" w:rsidRPr="00E4265B" w:rsidRDefault="003665A3" w:rsidP="00FB14E1">
            <w:pPr>
              <w:spacing w:before="40" w:after="40" w:line="280" w:lineRule="exact"/>
              <w:rPr>
                <w:rFonts w:ascii="Arial" w:hAnsi="Arial" w:cs="Arial"/>
                <w:b/>
                <w:bCs/>
                <w:color w:val="000000"/>
                <w:sz w:val="22"/>
                <w:szCs w:val="22"/>
                <w:bdr w:val="none" w:sz="0" w:space="0" w:color="auto" w:frame="1"/>
              </w:rPr>
            </w:pPr>
          </w:p>
        </w:tc>
        <w:tc>
          <w:tcPr>
            <w:tcW w:w="11231"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51A0D280" w14:textId="77777777" w:rsidR="003665A3" w:rsidRPr="00E4265B" w:rsidRDefault="003665A3" w:rsidP="00FB14E1">
            <w:pPr>
              <w:spacing w:before="40" w:after="40" w:line="280" w:lineRule="exact"/>
              <w:jc w:val="center"/>
              <w:rPr>
                <w:rFonts w:ascii="Arial" w:hAnsi="Arial" w:cs="Arial"/>
                <w:b/>
                <w:bCs/>
                <w:color w:val="000000"/>
                <w:sz w:val="22"/>
                <w:szCs w:val="22"/>
                <w:bdr w:val="none" w:sz="0" w:space="0" w:color="auto" w:frame="1"/>
              </w:rPr>
            </w:pPr>
            <w:r w:rsidRPr="00E4265B">
              <w:rPr>
                <w:rFonts w:ascii="Arial" w:hAnsi="Arial" w:cs="Arial"/>
                <w:sz w:val="22"/>
                <w:szCs w:val="22"/>
              </w:rPr>
              <w:t>&lt;-----------------------------------------------------------------------------maximum of----------------------------------------------------------------------------------&gt;</w:t>
            </w:r>
          </w:p>
        </w:tc>
      </w:tr>
      <w:tr w:rsidR="003665A3" w:rsidRPr="00E4265B" w14:paraId="44704DE9" w14:textId="77777777" w:rsidTr="0026458D">
        <w:trPr>
          <w:trHeight w:val="460"/>
          <w:tblHeader/>
        </w:trPr>
        <w:tc>
          <w:tcPr>
            <w:tcW w:w="186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782E13" w14:textId="77777777" w:rsidR="003665A3" w:rsidRPr="00E4265B" w:rsidRDefault="003665A3" w:rsidP="00FB14E1">
            <w:pPr>
              <w:spacing w:before="40" w:after="40"/>
              <w:rPr>
                <w:rFonts w:ascii="Arial" w:hAnsi="Arial" w:cs="Arial"/>
                <w:b/>
                <w:bCs/>
                <w:color w:val="000000"/>
                <w:sz w:val="22"/>
                <w:szCs w:val="22"/>
                <w:bdr w:val="none" w:sz="0" w:space="0" w:color="auto" w:frame="1"/>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hideMark/>
          </w:tcPr>
          <w:p w14:paraId="3B8C4D9E" w14:textId="77777777" w:rsidR="003665A3" w:rsidRPr="00E4265B" w:rsidRDefault="003665A3" w:rsidP="00FB14E1">
            <w:pPr>
              <w:spacing w:before="40" w:after="40" w:line="280" w:lineRule="exact"/>
              <w:jc w:val="center"/>
              <w:rPr>
                <w:rFonts w:ascii="Arial" w:hAnsi="Arial" w:cs="Arial"/>
                <w:b/>
                <w:color w:val="000000"/>
                <w:sz w:val="22"/>
                <w:szCs w:val="22"/>
                <w:bdr w:val="none" w:sz="0" w:space="0" w:color="auto" w:frame="1"/>
              </w:rPr>
            </w:pPr>
            <w:r w:rsidRPr="00E4265B">
              <w:rPr>
                <w:rFonts w:ascii="Arial" w:hAnsi="Arial" w:cs="Arial"/>
                <w:b/>
                <w:color w:val="000000"/>
                <w:sz w:val="22"/>
                <w:szCs w:val="22"/>
                <w:bdr w:val="none" w:sz="0" w:space="0" w:color="auto" w:frame="1"/>
              </w:rPr>
              <w:t>BCR</w:t>
            </w:r>
          </w:p>
        </w:tc>
        <w:tc>
          <w:tcPr>
            <w:tcW w:w="1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hideMark/>
          </w:tcPr>
          <w:p w14:paraId="108A8184" w14:textId="77777777" w:rsidR="003665A3" w:rsidRPr="00E4265B" w:rsidRDefault="003665A3" w:rsidP="00FB14E1">
            <w:pPr>
              <w:spacing w:before="40" w:after="40" w:line="280" w:lineRule="exact"/>
              <w:jc w:val="center"/>
              <w:rPr>
                <w:rFonts w:ascii="Arial" w:hAnsi="Arial" w:cs="Arial"/>
                <w:b/>
                <w:color w:val="000000"/>
                <w:sz w:val="22"/>
                <w:szCs w:val="22"/>
                <w:bdr w:val="none" w:sz="0" w:space="0" w:color="auto" w:frame="1"/>
              </w:rPr>
            </w:pPr>
            <w:r w:rsidRPr="00E4265B">
              <w:rPr>
                <w:rFonts w:ascii="Arial" w:hAnsi="Arial" w:cs="Arial"/>
                <w:b/>
                <w:color w:val="000000"/>
                <w:sz w:val="22"/>
                <w:szCs w:val="22"/>
                <w:bdr w:val="none" w:sz="0" w:space="0" w:color="auto" w:frame="1"/>
              </w:rPr>
              <w:t>EBCM</w:t>
            </w:r>
            <w:r w:rsidRPr="00E4265B">
              <w:rPr>
                <w:rFonts w:ascii="Arial" w:hAnsi="Arial" w:cs="Arial"/>
                <w:b/>
                <w:color w:val="000000"/>
                <w:sz w:val="22"/>
                <w:szCs w:val="22"/>
                <w:bdr w:val="none" w:sz="0" w:space="0" w:color="auto" w:frame="1"/>
              </w:rPr>
              <w:br/>
              <w:t>(of AAE)</w:t>
            </w:r>
            <w:r w:rsidRPr="00E4265B">
              <w:rPr>
                <w:rFonts w:ascii="Arial" w:hAnsi="Arial" w:cs="Arial"/>
                <w:b/>
                <w:color w:val="000000"/>
                <w:sz w:val="22"/>
                <w:szCs w:val="22"/>
                <w:bdr w:val="none" w:sz="0" w:space="0" w:color="auto" w:frame="1"/>
                <w:vertAlign w:val="superscript"/>
              </w:rPr>
              <w:t>9</w:t>
            </w:r>
          </w:p>
        </w:tc>
        <w:tc>
          <w:tcPr>
            <w:tcW w:w="88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hideMark/>
          </w:tcPr>
          <w:p w14:paraId="2C9753A3" w14:textId="77777777" w:rsidR="003665A3" w:rsidRPr="00E4265B" w:rsidRDefault="003665A3" w:rsidP="00FB14E1">
            <w:pPr>
              <w:spacing w:before="40" w:after="40" w:line="280" w:lineRule="exact"/>
              <w:jc w:val="center"/>
              <w:rPr>
                <w:rFonts w:ascii="Arial" w:hAnsi="Arial" w:cs="Arial"/>
                <w:b/>
                <w:color w:val="000000"/>
                <w:sz w:val="22"/>
                <w:szCs w:val="22"/>
                <w:bdr w:val="none" w:sz="0" w:space="0" w:color="auto" w:frame="1"/>
              </w:rPr>
            </w:pPr>
            <w:r w:rsidRPr="00E4265B">
              <w:rPr>
                <w:rFonts w:ascii="Arial" w:hAnsi="Arial" w:cs="Arial"/>
                <w:b/>
                <w:color w:val="000000"/>
                <w:sz w:val="22"/>
                <w:szCs w:val="22"/>
                <w:bdr w:val="none" w:sz="0" w:space="0" w:color="auto" w:frame="1"/>
              </w:rPr>
              <w:t>VCR</w:t>
            </w:r>
          </w:p>
        </w:tc>
      </w:tr>
      <w:tr w:rsidR="003665A3" w:rsidRPr="00E4265B" w14:paraId="526A011A" w14:textId="77777777" w:rsidTr="003665A3">
        <w:trPr>
          <w:trHeight w:val="656"/>
        </w:trPr>
        <w:tc>
          <w:tcPr>
            <w:tcW w:w="186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14:paraId="2369B83E" w14:textId="77777777" w:rsidR="003665A3" w:rsidRPr="00E4265B" w:rsidRDefault="003665A3" w:rsidP="00FB14E1">
            <w:pPr>
              <w:spacing w:before="40" w:after="40" w:line="280" w:lineRule="exact"/>
              <w:rPr>
                <w:rFonts w:ascii="Arial" w:hAnsi="Arial" w:cs="Arial"/>
                <w:b/>
                <w:bCs/>
                <w:color w:val="000000"/>
                <w:sz w:val="22"/>
                <w:szCs w:val="22"/>
                <w:bdr w:val="none" w:sz="0" w:space="0" w:color="auto" w:frame="1"/>
              </w:rPr>
            </w:pPr>
            <w:r w:rsidRPr="00E4265B">
              <w:rPr>
                <w:rFonts w:ascii="Arial" w:hAnsi="Arial" w:cs="Arial"/>
                <w:b/>
                <w:bCs/>
                <w:color w:val="000000"/>
                <w:sz w:val="22"/>
                <w:szCs w:val="22"/>
                <w:bdr w:val="none" w:sz="0" w:space="0" w:color="auto" w:frame="1"/>
              </w:rPr>
              <w:t>Currency Exchange</w:t>
            </w:r>
          </w:p>
        </w:tc>
        <w:tc>
          <w:tcPr>
            <w:tcW w:w="0" w:type="auto"/>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9CDD8C6" w14:textId="77777777" w:rsidR="003665A3" w:rsidRPr="00E4265B" w:rsidRDefault="003665A3" w:rsidP="00FB14E1">
            <w:pPr>
              <w:spacing w:before="40" w:after="40" w:line="280" w:lineRule="exact"/>
              <w:jc w:val="center"/>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250k</w:t>
            </w:r>
          </w:p>
        </w:tc>
        <w:tc>
          <w:tcPr>
            <w:tcW w:w="17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901EAE3" w14:textId="77777777" w:rsidR="003665A3" w:rsidRPr="00E4265B" w:rsidRDefault="003665A3" w:rsidP="00FB14E1">
            <w:pPr>
              <w:spacing w:before="40" w:after="40" w:line="280" w:lineRule="exact"/>
              <w:jc w:val="center"/>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13/52nds</w:t>
            </w:r>
          </w:p>
        </w:tc>
        <w:tc>
          <w:tcPr>
            <w:tcW w:w="883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99CE0D4" w14:textId="77777777" w:rsidR="003665A3" w:rsidRPr="00E4265B" w:rsidRDefault="003665A3" w:rsidP="00FB14E1">
            <w:pPr>
              <w:spacing w:before="40" w:after="40" w:line="280" w:lineRule="exact"/>
              <w:jc w:val="center"/>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n/a</w:t>
            </w:r>
          </w:p>
        </w:tc>
      </w:tr>
      <w:tr w:rsidR="003665A3" w:rsidRPr="00E4265B" w14:paraId="2F774023" w14:textId="77777777" w:rsidTr="003665A3">
        <w:trPr>
          <w:trHeight w:val="401"/>
        </w:trPr>
        <w:tc>
          <w:tcPr>
            <w:tcW w:w="1861"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7B9255A" w14:textId="77777777" w:rsidR="003665A3" w:rsidRPr="00E4265B" w:rsidRDefault="003665A3" w:rsidP="00FB14E1">
            <w:pPr>
              <w:spacing w:before="40" w:after="40" w:line="280" w:lineRule="exact"/>
              <w:rPr>
                <w:rFonts w:ascii="Arial" w:hAnsi="Arial" w:cs="Arial"/>
                <w:b/>
                <w:bCs/>
                <w:color w:val="000000"/>
                <w:sz w:val="22"/>
                <w:szCs w:val="22"/>
                <w:bdr w:val="none" w:sz="0" w:space="0" w:color="auto" w:frame="1"/>
              </w:rPr>
            </w:pPr>
            <w:r w:rsidRPr="00E4265B">
              <w:rPr>
                <w:rFonts w:ascii="Arial" w:hAnsi="Arial" w:cs="Arial"/>
                <w:b/>
                <w:bCs/>
                <w:color w:val="000000"/>
                <w:sz w:val="22"/>
                <w:szCs w:val="22"/>
                <w:bdr w:val="none" w:sz="0" w:space="0" w:color="auto" w:frame="1"/>
              </w:rPr>
              <w:t>Money Remitter</w:t>
            </w:r>
          </w:p>
        </w:tc>
        <w:tc>
          <w:tcPr>
            <w:tcW w:w="0" w:type="auto"/>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DABE8C" w14:textId="77777777" w:rsidR="003665A3" w:rsidRPr="00E4265B" w:rsidRDefault="003665A3" w:rsidP="00FB14E1">
            <w:pPr>
              <w:spacing w:before="40" w:after="40" w:line="280" w:lineRule="exact"/>
              <w:jc w:val="center"/>
              <w:rPr>
                <w:rFonts w:ascii="Arial" w:hAnsi="Arial" w:cs="Arial"/>
                <w:color w:val="000000"/>
                <w:sz w:val="22"/>
                <w:szCs w:val="22"/>
                <w:bdr w:val="none" w:sz="0" w:space="0" w:color="auto" w:frame="1"/>
              </w:rPr>
            </w:pPr>
          </w:p>
        </w:tc>
        <w:tc>
          <w:tcPr>
            <w:tcW w:w="177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CCB3F5" w14:textId="77777777" w:rsidR="003665A3" w:rsidRPr="00E4265B" w:rsidRDefault="003665A3" w:rsidP="00FB14E1">
            <w:pPr>
              <w:spacing w:before="40" w:after="40" w:line="280" w:lineRule="exact"/>
              <w:jc w:val="center"/>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13/52nds</w:t>
            </w:r>
          </w:p>
        </w:tc>
        <w:tc>
          <w:tcPr>
            <w:tcW w:w="4677" w:type="dxa"/>
            <w:tcBorders>
              <w:top w:val="single" w:sz="4" w:space="0" w:color="auto"/>
              <w:left w:val="single" w:sz="4" w:space="0" w:color="auto"/>
              <w:bottom w:val="dotted" w:sz="4" w:space="0" w:color="auto"/>
              <w:right w:val="single" w:sz="4" w:space="0" w:color="auto"/>
            </w:tcBorders>
            <w:tcMar>
              <w:top w:w="0" w:type="dxa"/>
              <w:left w:w="108" w:type="dxa"/>
              <w:bottom w:w="0" w:type="dxa"/>
              <w:right w:w="108" w:type="dxa"/>
            </w:tcMar>
            <w:vAlign w:val="center"/>
          </w:tcPr>
          <w:p w14:paraId="2620B990" w14:textId="77777777" w:rsidR="003665A3" w:rsidRPr="00E4265B" w:rsidRDefault="003665A3" w:rsidP="00FB14E1">
            <w:pPr>
              <w:spacing w:before="40" w:after="40" w:line="280" w:lineRule="exact"/>
              <w:jc w:val="center"/>
              <w:rPr>
                <w:rFonts w:ascii="Arial" w:hAnsi="Arial" w:cs="Arial"/>
                <w:i/>
                <w:color w:val="000000"/>
                <w:sz w:val="22"/>
                <w:szCs w:val="22"/>
                <w:bdr w:val="none" w:sz="0" w:space="0" w:color="auto" w:frame="1"/>
              </w:rPr>
            </w:pPr>
            <w:r w:rsidRPr="00E4265B">
              <w:rPr>
                <w:rFonts w:ascii="Arial" w:hAnsi="Arial" w:cs="Arial"/>
                <w:i/>
                <w:color w:val="000000"/>
                <w:sz w:val="22"/>
                <w:szCs w:val="22"/>
                <w:bdr w:val="none" w:sz="0" w:space="0" w:color="auto" w:frame="1"/>
              </w:rPr>
              <w:t>Sole activity</w:t>
            </w:r>
          </w:p>
        </w:tc>
        <w:tc>
          <w:tcPr>
            <w:tcW w:w="4162" w:type="dxa"/>
            <w:tcBorders>
              <w:top w:val="single" w:sz="4" w:space="0" w:color="auto"/>
              <w:left w:val="single" w:sz="4" w:space="0" w:color="auto"/>
              <w:bottom w:val="dotted" w:sz="4" w:space="0" w:color="auto"/>
              <w:right w:val="single" w:sz="4" w:space="0" w:color="auto"/>
            </w:tcBorders>
            <w:vAlign w:val="center"/>
          </w:tcPr>
          <w:p w14:paraId="507B9105" w14:textId="77777777" w:rsidR="003665A3" w:rsidRPr="00E4265B" w:rsidRDefault="003665A3" w:rsidP="00FB14E1">
            <w:pPr>
              <w:spacing w:before="40" w:after="40" w:line="280" w:lineRule="exact"/>
              <w:jc w:val="center"/>
              <w:rPr>
                <w:rFonts w:ascii="Arial" w:hAnsi="Arial" w:cs="Arial"/>
                <w:i/>
                <w:color w:val="000000"/>
                <w:sz w:val="22"/>
                <w:szCs w:val="22"/>
                <w:bdr w:val="none" w:sz="0" w:space="0" w:color="auto" w:frame="1"/>
              </w:rPr>
            </w:pPr>
            <w:r w:rsidRPr="00E4265B">
              <w:rPr>
                <w:rFonts w:ascii="Arial" w:hAnsi="Arial" w:cs="Arial"/>
                <w:i/>
                <w:color w:val="000000"/>
                <w:sz w:val="22"/>
                <w:szCs w:val="22"/>
                <w:bdr w:val="none" w:sz="0" w:space="0" w:color="auto" w:frame="1"/>
              </w:rPr>
              <w:t>Both activities</w:t>
            </w:r>
          </w:p>
        </w:tc>
      </w:tr>
      <w:tr w:rsidR="003665A3" w:rsidRPr="00E4265B" w14:paraId="7C4430C8" w14:textId="77777777" w:rsidTr="003665A3">
        <w:trPr>
          <w:trHeight w:val="2114"/>
        </w:trPr>
        <w:tc>
          <w:tcPr>
            <w:tcW w:w="1861" w:type="dxa"/>
            <w:vMerge/>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14:paraId="0CE457F5" w14:textId="77777777" w:rsidR="003665A3" w:rsidRPr="00E4265B" w:rsidRDefault="003665A3" w:rsidP="00FB14E1">
            <w:pPr>
              <w:spacing w:before="40" w:after="40" w:line="280" w:lineRule="exact"/>
              <w:rPr>
                <w:rFonts w:ascii="Arial" w:hAnsi="Arial" w:cs="Arial"/>
                <w:b/>
                <w:bCs/>
                <w:color w:val="000000"/>
                <w:sz w:val="22"/>
                <w:szCs w:val="22"/>
                <w:bdr w:val="none" w:sz="0" w:space="0" w:color="auto" w:frame="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0F124B" w14:textId="77777777" w:rsidR="003665A3" w:rsidRPr="00E4265B" w:rsidRDefault="003665A3" w:rsidP="00FB14E1">
            <w:pPr>
              <w:spacing w:before="40" w:after="40"/>
              <w:rPr>
                <w:rFonts w:ascii="Arial" w:hAnsi="Arial" w:cs="Arial"/>
                <w:color w:val="000000"/>
                <w:sz w:val="22"/>
                <w:szCs w:val="22"/>
                <w:bdr w:val="none" w:sz="0" w:space="0" w:color="auto" w:frame="1"/>
              </w:rPr>
            </w:pPr>
          </w:p>
        </w:tc>
        <w:tc>
          <w:tcPr>
            <w:tcW w:w="1777" w:type="dxa"/>
            <w:vMerge/>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vAlign w:val="center"/>
            <w:hideMark/>
          </w:tcPr>
          <w:p w14:paraId="703D9B3D" w14:textId="77777777" w:rsidR="003665A3" w:rsidRPr="00E4265B" w:rsidRDefault="003665A3" w:rsidP="00FB14E1">
            <w:pPr>
              <w:spacing w:before="40" w:after="40" w:line="280" w:lineRule="exact"/>
              <w:jc w:val="center"/>
              <w:rPr>
                <w:rFonts w:ascii="Arial" w:hAnsi="Arial" w:cs="Arial"/>
                <w:color w:val="000000"/>
                <w:sz w:val="22"/>
                <w:szCs w:val="22"/>
                <w:bdr w:val="none" w:sz="0" w:space="0" w:color="auto" w:frame="1"/>
              </w:rPr>
            </w:pPr>
          </w:p>
        </w:tc>
        <w:tc>
          <w:tcPr>
            <w:tcW w:w="4677" w:type="dxa"/>
            <w:tcBorders>
              <w:top w:val="dotted"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vAlign w:val="center"/>
            <w:hideMark/>
          </w:tcPr>
          <w:p w14:paraId="067964C1" w14:textId="77777777" w:rsidR="003665A3" w:rsidRPr="00E4265B" w:rsidRDefault="003665A3" w:rsidP="00FB14E1">
            <w:pPr>
              <w:spacing w:before="40" w:after="40" w:line="280" w:lineRule="exact"/>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Sum of the following elements, based on monthly payment volume:</w:t>
            </w:r>
          </w:p>
          <w:p w14:paraId="7A1B01AC" w14:textId="77777777" w:rsidR="003665A3" w:rsidRPr="00E4265B" w:rsidRDefault="003665A3" w:rsidP="00C41049">
            <w:pPr>
              <w:numPr>
                <w:ilvl w:val="0"/>
                <w:numId w:val="102"/>
              </w:numPr>
              <w:spacing w:before="40" w:after="40" w:line="280" w:lineRule="exact"/>
              <w:ind w:left="547"/>
              <w:jc w:val="both"/>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1.25% of the first 10 million;</w:t>
            </w:r>
          </w:p>
          <w:p w14:paraId="791C2136" w14:textId="77777777" w:rsidR="003665A3" w:rsidRPr="00E4265B" w:rsidRDefault="003665A3" w:rsidP="00C41049">
            <w:pPr>
              <w:numPr>
                <w:ilvl w:val="0"/>
                <w:numId w:val="102"/>
              </w:numPr>
              <w:spacing w:before="40" w:after="40" w:line="280" w:lineRule="exact"/>
              <w:ind w:left="547"/>
              <w:jc w:val="both"/>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0.5% of the next 90 million;</w:t>
            </w:r>
          </w:p>
          <w:p w14:paraId="47330D07" w14:textId="77777777" w:rsidR="003665A3" w:rsidRPr="00E4265B" w:rsidRDefault="003665A3" w:rsidP="00C41049">
            <w:pPr>
              <w:numPr>
                <w:ilvl w:val="0"/>
                <w:numId w:val="102"/>
              </w:numPr>
              <w:spacing w:before="40" w:after="40" w:line="280" w:lineRule="exact"/>
              <w:ind w:left="547"/>
              <w:jc w:val="both"/>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0.25% of the next 150 million; and</w:t>
            </w:r>
          </w:p>
          <w:p w14:paraId="0C879B7D" w14:textId="77777777" w:rsidR="003665A3" w:rsidRPr="00E4265B" w:rsidRDefault="003665A3" w:rsidP="00C41049">
            <w:pPr>
              <w:numPr>
                <w:ilvl w:val="0"/>
                <w:numId w:val="102"/>
              </w:numPr>
              <w:spacing w:before="40" w:after="40" w:line="280" w:lineRule="exact"/>
              <w:ind w:left="547"/>
              <w:jc w:val="both"/>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0.125% of remaining monthly payment volume</w:t>
            </w:r>
          </w:p>
        </w:tc>
        <w:tc>
          <w:tcPr>
            <w:tcW w:w="4162" w:type="dxa"/>
            <w:vMerge w:val="restart"/>
            <w:tcBorders>
              <w:top w:val="dotted" w:sz="4" w:space="0" w:color="auto"/>
              <w:left w:val="single" w:sz="4" w:space="0" w:color="auto"/>
              <w:bottom w:val="single" w:sz="4" w:space="0" w:color="auto"/>
              <w:right w:val="single" w:sz="4" w:space="0" w:color="auto"/>
            </w:tcBorders>
            <w:shd w:val="clear" w:color="auto" w:fill="F2F2F2"/>
            <w:vAlign w:val="center"/>
          </w:tcPr>
          <w:p w14:paraId="4964CB00" w14:textId="77777777" w:rsidR="003665A3" w:rsidRPr="00E4265B" w:rsidRDefault="003665A3" w:rsidP="00FB14E1">
            <w:pPr>
              <w:spacing w:line="280" w:lineRule="exact"/>
              <w:ind w:left="145"/>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Sum of the following elements, based on combined monthly payment volume across both activities:</w:t>
            </w:r>
          </w:p>
          <w:p w14:paraId="3ACC8881" w14:textId="77777777" w:rsidR="003665A3" w:rsidRPr="00E4265B" w:rsidRDefault="003665A3" w:rsidP="00C41049">
            <w:pPr>
              <w:numPr>
                <w:ilvl w:val="0"/>
                <w:numId w:val="103"/>
              </w:numPr>
              <w:spacing w:line="280" w:lineRule="exact"/>
              <w:ind w:left="612"/>
              <w:jc w:val="both"/>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2.5% of the first 10 million;</w:t>
            </w:r>
          </w:p>
          <w:p w14:paraId="539D9DF8" w14:textId="77777777" w:rsidR="003665A3" w:rsidRPr="00E4265B" w:rsidRDefault="003665A3" w:rsidP="00C41049">
            <w:pPr>
              <w:numPr>
                <w:ilvl w:val="0"/>
                <w:numId w:val="103"/>
              </w:numPr>
              <w:spacing w:line="280" w:lineRule="exact"/>
              <w:ind w:left="612"/>
              <w:jc w:val="both"/>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1.0% of the next 90 million;</w:t>
            </w:r>
          </w:p>
          <w:p w14:paraId="60C21C84" w14:textId="77777777" w:rsidR="003665A3" w:rsidRPr="00E4265B" w:rsidRDefault="003665A3" w:rsidP="00C41049">
            <w:pPr>
              <w:numPr>
                <w:ilvl w:val="0"/>
                <w:numId w:val="103"/>
              </w:numPr>
              <w:spacing w:line="280" w:lineRule="exact"/>
              <w:ind w:left="612"/>
              <w:jc w:val="both"/>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0.5% of the next 150 million; and</w:t>
            </w:r>
          </w:p>
          <w:p w14:paraId="11CCE399" w14:textId="77777777" w:rsidR="003665A3" w:rsidRPr="00E4265B" w:rsidRDefault="003665A3" w:rsidP="00C41049">
            <w:pPr>
              <w:numPr>
                <w:ilvl w:val="0"/>
                <w:numId w:val="103"/>
              </w:numPr>
              <w:spacing w:line="280" w:lineRule="exact"/>
              <w:ind w:left="612"/>
              <w:jc w:val="both"/>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0.25% of remaining monthly payment volume</w:t>
            </w:r>
          </w:p>
        </w:tc>
      </w:tr>
      <w:tr w:rsidR="003665A3" w:rsidRPr="00E4265B" w14:paraId="01802205" w14:textId="77777777" w:rsidTr="003665A3">
        <w:trPr>
          <w:trHeight w:val="2124"/>
        </w:trPr>
        <w:tc>
          <w:tcPr>
            <w:tcW w:w="186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14:paraId="5F105E71" w14:textId="77777777" w:rsidR="003665A3" w:rsidRPr="00E4265B" w:rsidRDefault="003665A3" w:rsidP="00FB14E1">
            <w:pPr>
              <w:spacing w:before="40" w:after="40" w:line="280" w:lineRule="exact"/>
              <w:rPr>
                <w:rFonts w:ascii="Arial" w:hAnsi="Arial" w:cs="Arial"/>
                <w:b/>
                <w:bCs/>
                <w:color w:val="000000"/>
                <w:sz w:val="22"/>
                <w:szCs w:val="22"/>
                <w:bdr w:val="none" w:sz="0" w:space="0" w:color="auto" w:frame="1"/>
              </w:rPr>
            </w:pPr>
            <w:r w:rsidRPr="00E4265B">
              <w:rPr>
                <w:rFonts w:ascii="Arial" w:hAnsi="Arial" w:cs="Arial"/>
                <w:b/>
                <w:bCs/>
                <w:color w:val="000000"/>
                <w:sz w:val="22"/>
                <w:szCs w:val="22"/>
                <w:bdr w:val="none" w:sz="0" w:space="0" w:color="auto" w:frame="1"/>
              </w:rPr>
              <w:t>Payment Account Provider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040393" w14:textId="77777777" w:rsidR="003665A3" w:rsidRPr="00E4265B" w:rsidRDefault="003665A3" w:rsidP="00FB14E1">
            <w:pPr>
              <w:spacing w:before="40" w:after="40"/>
              <w:rPr>
                <w:rFonts w:ascii="Arial" w:hAnsi="Arial" w:cs="Arial"/>
                <w:color w:val="000000"/>
                <w:sz w:val="22"/>
                <w:szCs w:val="22"/>
                <w:bdr w:val="none" w:sz="0" w:space="0" w:color="auto" w:frame="1"/>
              </w:rPr>
            </w:pPr>
          </w:p>
        </w:tc>
        <w:tc>
          <w:tcPr>
            <w:tcW w:w="17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09CECE" w14:textId="77777777" w:rsidR="003665A3" w:rsidRPr="00E4265B" w:rsidRDefault="003665A3" w:rsidP="00FB14E1">
            <w:pPr>
              <w:spacing w:before="40" w:after="40" w:line="280" w:lineRule="exact"/>
              <w:jc w:val="center"/>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n/a</w:t>
            </w:r>
          </w:p>
        </w:tc>
        <w:tc>
          <w:tcPr>
            <w:tcW w:w="46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64F9BB6" w14:textId="77777777" w:rsidR="003665A3" w:rsidRPr="00E4265B" w:rsidRDefault="003665A3" w:rsidP="00FB14E1">
            <w:pPr>
              <w:spacing w:before="40" w:after="40" w:line="280" w:lineRule="exact"/>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Sum of the following elements, based on monthly payment volume:</w:t>
            </w:r>
          </w:p>
          <w:p w14:paraId="67157E04" w14:textId="77777777" w:rsidR="003665A3" w:rsidRPr="00E4265B" w:rsidRDefault="003665A3" w:rsidP="00C41049">
            <w:pPr>
              <w:numPr>
                <w:ilvl w:val="0"/>
                <w:numId w:val="104"/>
              </w:numPr>
              <w:spacing w:before="40" w:after="40" w:line="280" w:lineRule="exact"/>
              <w:ind w:left="547"/>
              <w:jc w:val="both"/>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2.5% of the first 10 million;</w:t>
            </w:r>
          </w:p>
          <w:p w14:paraId="3E9044AF" w14:textId="77777777" w:rsidR="003665A3" w:rsidRPr="00E4265B" w:rsidRDefault="003665A3" w:rsidP="00C41049">
            <w:pPr>
              <w:numPr>
                <w:ilvl w:val="0"/>
                <w:numId w:val="104"/>
              </w:numPr>
              <w:spacing w:before="40" w:after="40" w:line="280" w:lineRule="exact"/>
              <w:ind w:left="547"/>
              <w:jc w:val="both"/>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1.0% of the next 90 million;</w:t>
            </w:r>
          </w:p>
          <w:p w14:paraId="3FA7B043" w14:textId="77777777" w:rsidR="003665A3" w:rsidRPr="00E4265B" w:rsidRDefault="003665A3" w:rsidP="00C41049">
            <w:pPr>
              <w:numPr>
                <w:ilvl w:val="0"/>
                <w:numId w:val="104"/>
              </w:numPr>
              <w:spacing w:before="40" w:after="40" w:line="280" w:lineRule="exact"/>
              <w:ind w:left="547"/>
              <w:jc w:val="both"/>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0.5% of the next 150 million; and</w:t>
            </w:r>
          </w:p>
          <w:p w14:paraId="1F21C725" w14:textId="77777777" w:rsidR="003665A3" w:rsidRPr="00E4265B" w:rsidRDefault="003665A3" w:rsidP="00C41049">
            <w:pPr>
              <w:numPr>
                <w:ilvl w:val="0"/>
                <w:numId w:val="104"/>
              </w:numPr>
              <w:spacing w:before="40" w:after="40" w:line="280" w:lineRule="exact"/>
              <w:ind w:left="547"/>
              <w:jc w:val="both"/>
              <w:rPr>
                <w:rFonts w:ascii="Arial" w:hAnsi="Arial" w:cs="Arial"/>
                <w:bCs/>
                <w:color w:val="000000"/>
                <w:sz w:val="22"/>
                <w:szCs w:val="22"/>
                <w:bdr w:val="none" w:sz="0" w:space="0" w:color="auto" w:frame="1"/>
              </w:rPr>
            </w:pPr>
            <w:r w:rsidRPr="00E4265B">
              <w:rPr>
                <w:rFonts w:ascii="Arial" w:hAnsi="Arial" w:cs="Arial"/>
                <w:color w:val="000000"/>
                <w:sz w:val="22"/>
                <w:szCs w:val="22"/>
                <w:bdr w:val="none" w:sz="0" w:space="0" w:color="auto" w:frame="1"/>
              </w:rPr>
              <w:t>0.25% of remaining monthly payment volume</w:t>
            </w:r>
          </w:p>
        </w:tc>
        <w:tc>
          <w:tcPr>
            <w:tcW w:w="4162" w:type="dxa"/>
            <w:vMerge/>
            <w:tcBorders>
              <w:top w:val="single" w:sz="4" w:space="0" w:color="auto"/>
              <w:left w:val="single" w:sz="4" w:space="0" w:color="auto"/>
              <w:bottom w:val="single" w:sz="4" w:space="0" w:color="auto"/>
              <w:right w:val="single" w:sz="4" w:space="0" w:color="auto"/>
            </w:tcBorders>
          </w:tcPr>
          <w:p w14:paraId="6DE190E2" w14:textId="77777777" w:rsidR="003665A3" w:rsidRPr="00E4265B" w:rsidRDefault="003665A3" w:rsidP="00FB14E1">
            <w:pPr>
              <w:spacing w:line="280" w:lineRule="exact"/>
              <w:rPr>
                <w:rFonts w:ascii="Arial" w:hAnsi="Arial" w:cs="Arial"/>
                <w:color w:val="000000"/>
                <w:sz w:val="22"/>
                <w:szCs w:val="22"/>
                <w:bdr w:val="none" w:sz="0" w:space="0" w:color="auto" w:frame="1"/>
              </w:rPr>
            </w:pPr>
          </w:p>
        </w:tc>
      </w:tr>
      <w:tr w:rsidR="003665A3" w:rsidRPr="00E4265B" w14:paraId="6E629425" w14:textId="77777777" w:rsidTr="003665A3">
        <w:trPr>
          <w:trHeight w:val="512"/>
        </w:trPr>
        <w:tc>
          <w:tcPr>
            <w:tcW w:w="186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14:paraId="2BA5CD4B" w14:textId="77777777" w:rsidR="003665A3" w:rsidRPr="00E4265B" w:rsidRDefault="003665A3" w:rsidP="00FB14E1">
            <w:pPr>
              <w:spacing w:before="40" w:after="40" w:line="280" w:lineRule="exact"/>
              <w:rPr>
                <w:rFonts w:ascii="Arial" w:hAnsi="Arial" w:cs="Arial"/>
                <w:b/>
                <w:bCs/>
                <w:color w:val="000000"/>
                <w:sz w:val="22"/>
                <w:szCs w:val="22"/>
                <w:bdr w:val="none" w:sz="0" w:space="0" w:color="auto" w:frame="1"/>
              </w:rPr>
            </w:pPr>
            <w:r w:rsidRPr="00E4265B">
              <w:rPr>
                <w:rFonts w:ascii="Arial" w:hAnsi="Arial" w:cs="Arial"/>
                <w:b/>
                <w:bCs/>
                <w:color w:val="000000"/>
                <w:sz w:val="22"/>
                <w:szCs w:val="22"/>
                <w:bdr w:val="none" w:sz="0" w:space="0" w:color="auto" w:frame="1"/>
              </w:rPr>
              <w:t>Stored Value Provider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187EC" w14:textId="77777777" w:rsidR="003665A3" w:rsidRPr="00E4265B" w:rsidRDefault="003665A3" w:rsidP="00FB14E1">
            <w:pPr>
              <w:spacing w:before="40" w:after="40"/>
              <w:rPr>
                <w:rFonts w:ascii="Arial" w:hAnsi="Arial" w:cs="Arial"/>
                <w:color w:val="000000"/>
                <w:sz w:val="22"/>
                <w:szCs w:val="22"/>
                <w:bdr w:val="none" w:sz="0" w:space="0" w:color="auto" w:frame="1"/>
              </w:rPr>
            </w:pPr>
          </w:p>
        </w:tc>
        <w:tc>
          <w:tcPr>
            <w:tcW w:w="1777" w:type="dxa"/>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vAlign w:val="center"/>
            <w:hideMark/>
          </w:tcPr>
          <w:p w14:paraId="25882744" w14:textId="77777777" w:rsidR="003665A3" w:rsidRPr="00E4265B" w:rsidRDefault="003665A3" w:rsidP="00FB14E1">
            <w:pPr>
              <w:spacing w:before="40" w:after="40" w:line="280" w:lineRule="exact"/>
              <w:jc w:val="center"/>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n/a</w:t>
            </w:r>
          </w:p>
        </w:tc>
        <w:tc>
          <w:tcPr>
            <w:tcW w:w="8839" w:type="dxa"/>
            <w:gridSpan w:val="2"/>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vAlign w:val="center"/>
            <w:hideMark/>
          </w:tcPr>
          <w:p w14:paraId="73571236" w14:textId="77777777" w:rsidR="003665A3" w:rsidRPr="00E4265B" w:rsidRDefault="003665A3" w:rsidP="00FB14E1">
            <w:pPr>
              <w:spacing w:before="40" w:after="40" w:line="280" w:lineRule="exact"/>
              <w:rPr>
                <w:rFonts w:ascii="Arial" w:hAnsi="Arial" w:cs="Arial"/>
                <w:color w:val="000000"/>
                <w:sz w:val="22"/>
                <w:szCs w:val="22"/>
                <w:bdr w:val="none" w:sz="0" w:space="0" w:color="auto" w:frame="1"/>
              </w:rPr>
            </w:pPr>
            <w:r w:rsidRPr="00E4265B">
              <w:rPr>
                <w:rFonts w:ascii="Arial" w:hAnsi="Arial" w:cs="Arial"/>
                <w:color w:val="000000"/>
                <w:sz w:val="22"/>
                <w:szCs w:val="22"/>
                <w:bdr w:val="none" w:sz="0" w:space="0" w:color="auto" w:frame="1"/>
              </w:rPr>
              <w:t>2.5% of average outstanding Stored Value</w:t>
            </w:r>
          </w:p>
        </w:tc>
      </w:tr>
    </w:tbl>
    <w:p w14:paraId="56DA2EAD" w14:textId="77777777" w:rsidR="003665A3" w:rsidRPr="00E4265B" w:rsidRDefault="003665A3" w:rsidP="003665A3">
      <w:pPr>
        <w:spacing w:after="60"/>
        <w:ind w:left="1134" w:hanging="425"/>
        <w:jc w:val="both"/>
        <w:rPr>
          <w:rFonts w:ascii="Arial" w:hAnsi="Arial" w:cs="Arial"/>
          <w:sz w:val="22"/>
          <w:szCs w:val="22"/>
        </w:rPr>
      </w:pPr>
    </w:p>
    <w:p w14:paraId="0B3D7798" w14:textId="77777777" w:rsidR="003665A3" w:rsidRPr="00E4265B" w:rsidRDefault="003665A3" w:rsidP="003665A3">
      <w:pPr>
        <w:spacing w:after="60"/>
        <w:ind w:left="709" w:hanging="425"/>
        <w:jc w:val="both"/>
        <w:rPr>
          <w:rFonts w:ascii="Arial" w:hAnsi="Arial" w:cs="Arial"/>
          <w:sz w:val="22"/>
          <w:szCs w:val="22"/>
        </w:rPr>
      </w:pPr>
      <w:r w:rsidRPr="00E4265B">
        <w:rPr>
          <w:rFonts w:ascii="Arial" w:hAnsi="Arial" w:cs="Arial"/>
          <w:sz w:val="22"/>
          <w:szCs w:val="22"/>
        </w:rPr>
        <w:t>9.</w:t>
      </w:r>
      <w:r w:rsidRPr="00E4265B">
        <w:rPr>
          <w:rFonts w:ascii="Arial" w:hAnsi="Arial" w:cs="Arial"/>
          <w:sz w:val="22"/>
          <w:szCs w:val="22"/>
        </w:rPr>
        <w:tab/>
        <w:t>Where an Authorised Person offers both (i) currency exchange or Money Remittance and (ii) Payment Services to its customers it must calculate the Expenditure Based Capital Minimum as 18/52nds of AAE.</w:t>
      </w:r>
    </w:p>
    <w:p w14:paraId="66E592B2" w14:textId="77777777" w:rsidR="003665A3" w:rsidRPr="00E4265B" w:rsidRDefault="003665A3">
      <w:pPr>
        <w:rPr>
          <w:rFonts w:ascii="Arial" w:hAnsi="Arial" w:cs="Arial"/>
          <w:sz w:val="22"/>
          <w:szCs w:val="22"/>
        </w:rPr>
        <w:sectPr w:rsidR="003665A3" w:rsidRPr="00E4265B" w:rsidSect="003764D7">
          <w:headerReference w:type="default" r:id="rId19"/>
          <w:footerReference w:type="default" r:id="rId20"/>
          <w:pgSz w:w="16839" w:h="11907" w:orient="landscape" w:code="9"/>
          <w:pgMar w:top="1260" w:right="1440" w:bottom="900" w:left="1350" w:header="720" w:footer="720" w:gutter="0"/>
          <w:cols w:space="720"/>
          <w:docGrid w:linePitch="360"/>
        </w:sectPr>
      </w:pPr>
    </w:p>
    <w:p w14:paraId="2A4D3487" w14:textId="72A3D6AF" w:rsidR="00E22FF2" w:rsidRPr="00E4265B" w:rsidRDefault="00143FFA" w:rsidP="00143FFA">
      <w:pPr>
        <w:pStyle w:val="UK12Title"/>
        <w:tabs>
          <w:tab w:val="left" w:pos="990"/>
        </w:tabs>
        <w:rPr>
          <w:rFonts w:ascii="Arial" w:hAnsi="Arial" w:cs="Arial"/>
          <w:sz w:val="22"/>
          <w:szCs w:val="22"/>
          <w:lang w:val="en-GB"/>
        </w:rPr>
      </w:pPr>
      <w:bookmarkStart w:id="967" w:name="_Toc404624443"/>
      <w:bookmarkStart w:id="968" w:name="_Toc33622477"/>
      <w:r w:rsidRPr="00E4265B">
        <w:rPr>
          <w:rFonts w:ascii="Arial" w:hAnsi="Arial" w:cs="Arial"/>
          <w:sz w:val="22"/>
          <w:szCs w:val="22"/>
          <w:lang w:val="en-GB"/>
        </w:rPr>
        <w:lastRenderedPageBreak/>
        <w:t>APP4</w:t>
      </w:r>
      <w:r w:rsidRPr="00E4265B">
        <w:rPr>
          <w:rFonts w:ascii="Arial" w:hAnsi="Arial" w:cs="Arial"/>
          <w:sz w:val="22"/>
          <w:szCs w:val="22"/>
          <w:lang w:val="en-GB"/>
        </w:rPr>
        <w:tab/>
      </w:r>
      <w:r w:rsidR="00E22FF2" w:rsidRPr="00E4265B">
        <w:rPr>
          <w:rFonts w:ascii="Arial" w:hAnsi="Arial" w:cs="Arial"/>
          <w:sz w:val="22"/>
          <w:szCs w:val="22"/>
          <w:lang w:val="en-GB"/>
        </w:rPr>
        <w:t>CREDIT RISK</w:t>
      </w:r>
      <w:bookmarkEnd w:id="967"/>
      <w:bookmarkEnd w:id="968"/>
    </w:p>
    <w:p w14:paraId="6EE4DDD5" w14:textId="4E047CCC" w:rsidR="00E22FF2" w:rsidRPr="00E4265B" w:rsidRDefault="00ED0AF1" w:rsidP="004F0272">
      <w:pPr>
        <w:pStyle w:val="UK12Title2"/>
        <w:rPr>
          <w:rFonts w:ascii="Arial" w:hAnsi="Arial" w:cs="Arial"/>
          <w:sz w:val="22"/>
          <w:szCs w:val="22"/>
        </w:rPr>
      </w:pPr>
      <w:bookmarkStart w:id="969" w:name="_Toc33622478"/>
      <w:r w:rsidRPr="00E4265B">
        <w:rPr>
          <w:rFonts w:ascii="Arial" w:hAnsi="Arial" w:cs="Arial"/>
          <w:sz w:val="22"/>
          <w:szCs w:val="22"/>
        </w:rPr>
        <w:t>A4.1</w:t>
      </w:r>
      <w:r w:rsidR="00E22FF2" w:rsidRPr="00E4265B">
        <w:rPr>
          <w:rFonts w:ascii="Arial" w:hAnsi="Arial" w:cs="Arial"/>
          <w:sz w:val="22"/>
          <w:szCs w:val="22"/>
        </w:rPr>
        <w:tab/>
        <w:t>Credit Risk systems and controls</w:t>
      </w:r>
      <w:bookmarkEnd w:id="969"/>
    </w:p>
    <w:p w14:paraId="5D1F1675" w14:textId="77777777" w:rsidR="00E22FF2" w:rsidRPr="00E4265B" w:rsidRDefault="00E22FF2" w:rsidP="00A02596">
      <w:pPr>
        <w:pStyle w:val="TitleL5"/>
        <w:rPr>
          <w:rFonts w:ascii="Arial" w:hAnsi="Arial" w:cs="Arial"/>
          <w:sz w:val="22"/>
          <w:szCs w:val="22"/>
          <w:lang w:val="en-GB"/>
        </w:rPr>
      </w:pPr>
      <w:r w:rsidRPr="00E4265B">
        <w:rPr>
          <w:rFonts w:ascii="Arial" w:hAnsi="Arial" w:cs="Arial"/>
          <w:sz w:val="22"/>
          <w:szCs w:val="22"/>
          <w:lang w:val="en-GB"/>
        </w:rPr>
        <w:t>Guidance</w:t>
      </w:r>
    </w:p>
    <w:p w14:paraId="0CAD7DDE" w14:textId="37EE69F8"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1</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Depending on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nature, scale, frequency, and complexity of Credit Risk granted or incurred, the Credit Risk policy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address the following elements:</w:t>
      </w:r>
    </w:p>
    <w:p w14:paraId="76C26EAF" w14:textId="2A83AD0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how, with particular reference to its activities,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defines and measures Credit Risk;</w:t>
      </w:r>
    </w:p>
    <w:p w14:paraId="1C1D22E4" w14:textId="28821A22"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's business aims in incurring Credit Risk including:</w:t>
      </w:r>
    </w:p>
    <w:p w14:paraId="24D04D49" w14:textId="56EF963F" w:rsidR="00E22FF2" w:rsidRPr="00E4265B" w:rsidRDefault="00E22FF2" w:rsidP="00A02596">
      <w:pPr>
        <w:pStyle w:val="iList"/>
        <w:rPr>
          <w:rFonts w:ascii="Arial" w:hAnsi="Arial" w:cs="Arial"/>
          <w:sz w:val="22"/>
          <w:szCs w:val="22"/>
          <w:lang w:val="en-GB"/>
        </w:rPr>
      </w:pPr>
      <w:r w:rsidRPr="00E4265B">
        <w:rPr>
          <w:rFonts w:ascii="Arial" w:hAnsi="Arial" w:cs="Arial"/>
          <w:sz w:val="22"/>
          <w:szCs w:val="22"/>
          <w:lang w:val="en-GB"/>
        </w:rPr>
        <w:t>i</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identifying the types and sources of Credit Risk to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wishes to be exposed (and the limits on that Exposure) and those to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wishes not to be exposed;</w:t>
      </w:r>
    </w:p>
    <w:p w14:paraId="6631B5CB" w14:textId="77777777" w:rsidR="00E22FF2" w:rsidRPr="00E4265B" w:rsidRDefault="00E22FF2" w:rsidP="00A02596">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specifying the level of diversification required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the </w:t>
      </w:r>
      <w:r w:rsidR="000D1A90" w:rsidRPr="00E4265B">
        <w:rPr>
          <w:rFonts w:ascii="Arial" w:hAnsi="Arial" w:cs="Arial"/>
          <w:sz w:val="22"/>
          <w:szCs w:val="22"/>
          <w:lang w:val="en-GB"/>
        </w:rPr>
        <w:t>Authorised Person</w:t>
      </w:r>
      <w:r w:rsidRPr="00E4265B">
        <w:rPr>
          <w:rFonts w:ascii="Arial" w:hAnsi="Arial" w:cs="Arial"/>
          <w:sz w:val="22"/>
          <w:szCs w:val="22"/>
          <w:lang w:val="en-GB"/>
        </w:rPr>
        <w:t>'s tolerance for risk concentrations and the limits on those Exposures and concentrations; and</w:t>
      </w:r>
    </w:p>
    <w:p w14:paraId="1C182981" w14:textId="77777777" w:rsidR="00E22FF2" w:rsidRPr="00E4265B" w:rsidRDefault="00E22FF2" w:rsidP="00A02596">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stating the risk</w:t>
      </w:r>
      <w:r w:rsidRPr="00E4265B">
        <w:rPr>
          <w:rFonts w:ascii="Arial" w:hAnsi="Arial" w:cs="Arial"/>
          <w:sz w:val="22"/>
          <w:szCs w:val="22"/>
          <w:lang w:val="en-GB"/>
        </w:rPr>
        <w:noBreakHyphen/>
        <w:t xml:space="preserve">return that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seeking to achieve on Credit Risk Exposures;</w:t>
      </w:r>
    </w:p>
    <w:p w14:paraId="65FCFDE5"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types of facilities to be offered, along with ceilings, pricing, profitability, maximum maturities and maximum debt</w:t>
      </w:r>
      <w:r w:rsidRPr="00E4265B">
        <w:rPr>
          <w:rFonts w:ascii="Arial" w:hAnsi="Arial" w:cs="Arial"/>
          <w:sz w:val="22"/>
          <w:szCs w:val="22"/>
          <w:lang w:val="en-GB"/>
        </w:rPr>
        <w:noBreakHyphen/>
        <w:t>servicing ratios for each type of lending;</w:t>
      </w:r>
    </w:p>
    <w:p w14:paraId="35A537B2" w14:textId="4FEFEF8B"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d</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a ceiling for the total loan portfolio, in terms, for example, of the loan</w:t>
      </w:r>
      <w:r w:rsidRPr="00E4265B">
        <w:rPr>
          <w:rFonts w:ascii="Arial" w:hAnsi="Arial" w:cs="Arial"/>
          <w:sz w:val="22"/>
          <w:szCs w:val="22"/>
          <w:lang w:val="en-GB"/>
        </w:rPr>
        <w:noBreakHyphen/>
        <w:t>to</w:t>
      </w:r>
      <w:r w:rsidRPr="00E4265B">
        <w:rPr>
          <w:rFonts w:ascii="Arial" w:hAnsi="Arial" w:cs="Arial"/>
          <w:sz w:val="22"/>
          <w:szCs w:val="22"/>
          <w:lang w:val="en-GB"/>
        </w:rPr>
        <w:noBreakHyphen/>
      </w:r>
      <w:r w:rsidR="006C764B" w:rsidRPr="00E4265B">
        <w:rPr>
          <w:rFonts w:ascii="Arial" w:hAnsi="Arial" w:cs="Arial"/>
          <w:sz w:val="22"/>
          <w:szCs w:val="22"/>
          <w:lang w:val="en-GB"/>
        </w:rPr>
        <w:t>Deposit</w:t>
      </w:r>
      <w:r w:rsidRPr="00E4265B">
        <w:rPr>
          <w:rFonts w:ascii="Arial" w:hAnsi="Arial" w:cs="Arial"/>
          <w:sz w:val="22"/>
          <w:szCs w:val="22"/>
          <w:lang w:val="en-GB"/>
        </w:rPr>
        <w:t xml:space="preserve"> ratio, undrawn commitment ratio, a maximum dollar amount or a percentage of capital base;</w:t>
      </w:r>
    </w:p>
    <w:p w14:paraId="1E568B05"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portfolio limits for maximum aggregate Exposures by country, industry, category of borrower/Counterparty (e.g. banks, non</w:t>
      </w:r>
      <w:r w:rsidRPr="00E4265B">
        <w:rPr>
          <w:rFonts w:ascii="Arial" w:hAnsi="Arial" w:cs="Arial"/>
          <w:sz w:val="22"/>
          <w:szCs w:val="22"/>
          <w:lang w:val="en-GB"/>
        </w:rPr>
        <w:noBreakHyphen/>
        <w:t xml:space="preserve">bank </w:t>
      </w:r>
      <w:r w:rsidR="00F57406" w:rsidRPr="00E4265B">
        <w:rPr>
          <w:rFonts w:ascii="Arial" w:hAnsi="Arial" w:cs="Arial"/>
          <w:sz w:val="22"/>
          <w:szCs w:val="22"/>
          <w:lang w:val="en-GB"/>
        </w:rPr>
        <w:t>Financial Institution</w:t>
      </w:r>
      <w:r w:rsidRPr="00E4265B">
        <w:rPr>
          <w:rFonts w:ascii="Arial" w:hAnsi="Arial" w:cs="Arial"/>
          <w:sz w:val="22"/>
          <w:szCs w:val="22"/>
          <w:lang w:val="en-GB"/>
        </w:rPr>
        <w:t>s, corporates and retail), product (e.g. property lending), Groups of related parties and single borrowers;</w:t>
      </w:r>
    </w:p>
    <w:p w14:paraId="7920131C" w14:textId="2D9AF671"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f</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limits, terms and conditions, approval and review procedures and records kept for Connected lending </w:t>
      </w:r>
      <w:r w:rsidRPr="00E4265B">
        <w:rPr>
          <w:rFonts w:ascii="Arial" w:hAnsi="Arial" w:cs="Arial"/>
          <w:sz w:val="22"/>
          <w:szCs w:val="22"/>
          <w:lang w:val="en-GB"/>
        </w:rPr>
        <w:noBreakHyphen/>
        <w:t xml:space="preserve"> all </w:t>
      </w:r>
      <w:r w:rsidR="000D1A90" w:rsidRPr="00E4265B">
        <w:rPr>
          <w:rFonts w:ascii="Arial" w:hAnsi="Arial" w:cs="Arial"/>
          <w:sz w:val="22"/>
          <w:szCs w:val="22"/>
          <w:lang w:val="en-GB"/>
        </w:rPr>
        <w:t>Authorised Person</w:t>
      </w:r>
      <w:r w:rsidRPr="00E4265B">
        <w:rPr>
          <w:rFonts w:ascii="Arial" w:hAnsi="Arial" w:cs="Arial"/>
          <w:sz w:val="22"/>
          <w:szCs w:val="22"/>
          <w:lang w:val="en-GB"/>
        </w:rPr>
        <w:t>s should have a formal policy statement, endorsed by the Governing Body, on such lending covering these matters;</w:t>
      </w:r>
    </w:p>
    <w:p w14:paraId="5E8A0046" w14:textId="1F86FB2F"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g</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types of acceptable Collateral, loan</w:t>
      </w:r>
      <w:r w:rsidRPr="00E4265B">
        <w:rPr>
          <w:rFonts w:ascii="Arial" w:hAnsi="Arial" w:cs="Arial"/>
          <w:sz w:val="22"/>
          <w:szCs w:val="22"/>
          <w:lang w:val="en-GB"/>
        </w:rPr>
        <w:noBreakHyphen/>
        <w:t>to</w:t>
      </w:r>
      <w:r w:rsidRPr="00E4265B">
        <w:rPr>
          <w:rFonts w:ascii="Arial" w:hAnsi="Arial" w:cs="Arial"/>
          <w:sz w:val="22"/>
          <w:szCs w:val="22"/>
          <w:lang w:val="en-GB"/>
        </w:rPr>
        <w:noBreakHyphen/>
        <w:t>value ratios and the criteria for accepting guarantees; and</w:t>
      </w:r>
    </w:p>
    <w:p w14:paraId="6F3954DE" w14:textId="11A8B3E6"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h</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how Credit Risk is assessed both when credit is granted or incurred and subsequently, including how the adequacy of any security and other risk mitigation techniques are assessed;</w:t>
      </w:r>
    </w:p>
    <w:p w14:paraId="0579C7E1" w14:textId="74E8AF26"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i</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the detailed limit structure for Credit Risk, which should:</w:t>
      </w:r>
    </w:p>
    <w:p w14:paraId="2BF5C6B3" w14:textId="5B7E9707" w:rsidR="00E22FF2" w:rsidRPr="00E4265B" w:rsidRDefault="00E22FF2" w:rsidP="00A02596">
      <w:pPr>
        <w:pStyle w:val="iList"/>
        <w:rPr>
          <w:rFonts w:ascii="Arial" w:hAnsi="Arial" w:cs="Arial"/>
          <w:sz w:val="22"/>
          <w:szCs w:val="22"/>
          <w:lang w:val="en-GB"/>
        </w:rPr>
      </w:pPr>
      <w:r w:rsidRPr="00E4265B">
        <w:rPr>
          <w:rFonts w:ascii="Arial" w:hAnsi="Arial" w:cs="Arial"/>
          <w:sz w:val="22"/>
          <w:szCs w:val="22"/>
          <w:lang w:val="en-GB"/>
        </w:rPr>
        <w:lastRenderedPageBreak/>
        <w:t>i</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address all key risk factors, including intra</w:t>
      </w:r>
      <w:r w:rsidRPr="00E4265B">
        <w:rPr>
          <w:rFonts w:ascii="Arial" w:hAnsi="Arial" w:cs="Arial"/>
          <w:sz w:val="22"/>
          <w:szCs w:val="22"/>
          <w:lang w:val="en-GB"/>
        </w:rPr>
        <w:noBreakHyphen/>
        <w:t>Group Exposures;</w:t>
      </w:r>
    </w:p>
    <w:p w14:paraId="0ED49134" w14:textId="760BA8AC" w:rsidR="00E22FF2" w:rsidRPr="00E4265B" w:rsidRDefault="00E22FF2" w:rsidP="00A02596">
      <w:pPr>
        <w:pStyle w:val="iList"/>
        <w:rPr>
          <w:rFonts w:ascii="Arial" w:hAnsi="Arial" w:cs="Arial"/>
          <w:sz w:val="22"/>
          <w:szCs w:val="22"/>
          <w:lang w:val="en-GB"/>
        </w:rPr>
      </w:pPr>
      <w:r w:rsidRPr="00E4265B">
        <w:rPr>
          <w:rFonts w:ascii="Arial" w:hAnsi="Arial" w:cs="Arial"/>
          <w:sz w:val="22"/>
          <w:szCs w:val="22"/>
          <w:lang w:val="en-GB"/>
        </w:rPr>
        <w:t>ii</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be commensurate with the volume and complexity of activity; and</w:t>
      </w:r>
    </w:p>
    <w:p w14:paraId="0BD33902" w14:textId="5C17E460" w:rsidR="00E22FF2" w:rsidRPr="00E4265B" w:rsidRDefault="00E22FF2" w:rsidP="00A02596">
      <w:pPr>
        <w:pStyle w:val="iList"/>
        <w:rPr>
          <w:rFonts w:ascii="Arial" w:hAnsi="Arial" w:cs="Arial"/>
          <w:sz w:val="22"/>
          <w:szCs w:val="22"/>
          <w:lang w:val="en-GB"/>
        </w:rPr>
      </w:pPr>
      <w:r w:rsidRPr="00E4265B">
        <w:rPr>
          <w:rFonts w:ascii="Arial" w:hAnsi="Arial" w:cs="Arial"/>
          <w:sz w:val="22"/>
          <w:szCs w:val="22"/>
          <w:lang w:val="en-GB"/>
        </w:rPr>
        <w:t>iii</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be consistent with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business aims, historical performance, and the level of capital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willing to risk;</w:t>
      </w:r>
    </w:p>
    <w:p w14:paraId="413EAF49" w14:textId="0EC89A1C"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j</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procedures for:</w:t>
      </w:r>
    </w:p>
    <w:p w14:paraId="1CD747C8" w14:textId="0F6B169B" w:rsidR="00E22FF2" w:rsidRPr="00E4265B" w:rsidRDefault="00E22FF2" w:rsidP="00A02596">
      <w:pPr>
        <w:pStyle w:val="iList"/>
        <w:rPr>
          <w:rFonts w:ascii="Arial" w:hAnsi="Arial" w:cs="Arial"/>
          <w:sz w:val="22"/>
          <w:szCs w:val="22"/>
          <w:lang w:val="en-GB"/>
        </w:rPr>
      </w:pPr>
      <w:r w:rsidRPr="00E4265B">
        <w:rPr>
          <w:rFonts w:ascii="Arial" w:hAnsi="Arial" w:cs="Arial"/>
          <w:sz w:val="22"/>
          <w:szCs w:val="22"/>
          <w:lang w:val="en-GB"/>
        </w:rPr>
        <w:t>i</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approving new products and activities which give rise to Credit Risk;</w:t>
      </w:r>
    </w:p>
    <w:p w14:paraId="09E98958" w14:textId="630B54EB" w:rsidR="00E22FF2" w:rsidRPr="00E4265B" w:rsidRDefault="00E22FF2" w:rsidP="00A02596">
      <w:pPr>
        <w:pStyle w:val="iList"/>
        <w:rPr>
          <w:rFonts w:ascii="Arial" w:hAnsi="Arial" w:cs="Arial"/>
          <w:sz w:val="22"/>
          <w:szCs w:val="22"/>
          <w:lang w:val="en-GB"/>
        </w:rPr>
      </w:pPr>
      <w:r w:rsidRPr="00E4265B">
        <w:rPr>
          <w:rFonts w:ascii="Arial" w:hAnsi="Arial" w:cs="Arial"/>
          <w:sz w:val="22"/>
          <w:szCs w:val="22"/>
          <w:lang w:val="en-GB"/>
        </w:rPr>
        <w:t>ii</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regular risk position and performance reporting;</w:t>
      </w:r>
    </w:p>
    <w:p w14:paraId="5F46A598" w14:textId="6F4CB87F" w:rsidR="00E22FF2" w:rsidRPr="00E4265B" w:rsidRDefault="00E22FF2" w:rsidP="00A02596">
      <w:pPr>
        <w:pStyle w:val="iList"/>
        <w:rPr>
          <w:rFonts w:ascii="Arial" w:hAnsi="Arial" w:cs="Arial"/>
          <w:sz w:val="22"/>
          <w:szCs w:val="22"/>
          <w:lang w:val="en-GB"/>
        </w:rPr>
      </w:pPr>
      <w:r w:rsidRPr="00E4265B">
        <w:rPr>
          <w:rFonts w:ascii="Arial" w:hAnsi="Arial" w:cs="Arial"/>
          <w:sz w:val="22"/>
          <w:szCs w:val="22"/>
          <w:lang w:val="en-GB"/>
        </w:rPr>
        <w:t>iii</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limit exception reporting and approval; and</w:t>
      </w:r>
    </w:p>
    <w:p w14:paraId="344BB400" w14:textId="03E1F3E0" w:rsidR="00E22FF2" w:rsidRPr="00E4265B" w:rsidRDefault="00E22FF2" w:rsidP="00A02596">
      <w:pPr>
        <w:pStyle w:val="iList"/>
        <w:rPr>
          <w:rFonts w:ascii="Arial" w:hAnsi="Arial" w:cs="Arial"/>
          <w:sz w:val="22"/>
          <w:szCs w:val="22"/>
          <w:lang w:val="en-GB"/>
        </w:rPr>
      </w:pPr>
      <w:r w:rsidRPr="00E4265B">
        <w:rPr>
          <w:rFonts w:ascii="Arial" w:hAnsi="Arial" w:cs="Arial"/>
          <w:sz w:val="22"/>
          <w:szCs w:val="22"/>
          <w:lang w:val="en-GB"/>
        </w:rPr>
        <w:t>iv</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identifying and dealing with problem Exposures;</w:t>
      </w:r>
    </w:p>
    <w:p w14:paraId="57454089" w14:textId="00E912A2"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k</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the allocation of responsibilities for implementing the Credit Risk policy and for monitoring adherence to, and the effectiveness of, the policy; and</w:t>
      </w:r>
    </w:p>
    <w:p w14:paraId="16C9AE20" w14:textId="2B52232C" w:rsidR="00E22FF2" w:rsidRPr="00E4265B" w:rsidRDefault="00E22FF2" w:rsidP="007722DD">
      <w:pPr>
        <w:pStyle w:val="aList"/>
        <w:rPr>
          <w:rFonts w:ascii="Arial" w:hAnsi="Arial" w:cs="Arial"/>
          <w:sz w:val="22"/>
          <w:szCs w:val="22"/>
          <w:lang w:val="en-GB"/>
        </w:rPr>
      </w:pPr>
      <w:r w:rsidRPr="00E4265B">
        <w:rPr>
          <w:rFonts w:ascii="Arial" w:hAnsi="Arial" w:cs="Arial"/>
          <w:sz w:val="22"/>
          <w:szCs w:val="22"/>
          <w:lang w:val="en-GB"/>
        </w:rPr>
        <w:t>l</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the required information systems, staff and other resources.</w:t>
      </w:r>
    </w:p>
    <w:p w14:paraId="5229B9BF" w14:textId="6FA5B627"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Credit Risk policy should emphasi</w:t>
      </w:r>
      <w:r w:rsidR="002924E8" w:rsidRPr="00E4265B">
        <w:rPr>
          <w:rFonts w:ascii="Arial" w:hAnsi="Arial" w:cs="Arial"/>
          <w:sz w:val="22"/>
          <w:szCs w:val="22"/>
          <w:lang w:val="en-GB"/>
        </w:rPr>
        <w:t>z</w:t>
      </w:r>
      <w:r w:rsidRPr="00E4265B">
        <w:rPr>
          <w:rFonts w:ascii="Arial" w:hAnsi="Arial" w:cs="Arial"/>
          <w:sz w:val="22"/>
          <w:szCs w:val="22"/>
          <w:lang w:val="en-GB"/>
        </w:rPr>
        <w:t>e the principles of prudence and should be enforced consistently. The policy and its implementation should ensure that credit facilities are only granted to credit</w:t>
      </w:r>
      <w:r w:rsidRPr="00E4265B">
        <w:rPr>
          <w:rFonts w:ascii="Arial" w:hAnsi="Arial" w:cs="Arial"/>
          <w:sz w:val="22"/>
          <w:szCs w:val="22"/>
          <w:lang w:val="en-GB"/>
        </w:rPr>
        <w:noBreakHyphen/>
        <w:t>worthy customers and that risk concentrations are avoided.</w:t>
      </w:r>
    </w:p>
    <w:p w14:paraId="25C7B01A" w14:textId="18D9C271"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3</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The Credit Risk strategy and policy need to be clearly disseminated to, and understood by all relevant staff.</w:t>
      </w:r>
    </w:p>
    <w:p w14:paraId="78BB9582" w14:textId="639820F2"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4</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Credit Risk policy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clearly specify the delegation of its credit approval authorities. Credit authority thus delegated should be appropriate for the products or portfolios assigned to the credit committee or individual credit officers and should be commensurate with their credit experience and expertise. An officer's credit authority may, however, be increased on the basis of his or her track record.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ensure that credit authority is required for acquiring any types of credit Exposures, including the use of Credit Derivatives for hedging or income generation.</w:t>
      </w:r>
    </w:p>
    <w:p w14:paraId="4F6381AE" w14:textId="2B010886"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5</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Credit authority delegated to the credit committee and each credit officer should be subject to regular review to ensure that it remains appropriate to current market conditions and the level of their performance.</w:t>
      </w:r>
    </w:p>
    <w:p w14:paraId="3772C7F4" w14:textId="574807D1" w:rsidR="00E22FF2" w:rsidRPr="00E4265B" w:rsidRDefault="00E22FF2" w:rsidP="00A02596">
      <w:pPr>
        <w:pStyle w:val="1List"/>
        <w:rPr>
          <w:rFonts w:ascii="Arial" w:hAnsi="Arial" w:cs="Arial"/>
          <w:sz w:val="22"/>
          <w:szCs w:val="22"/>
          <w:lang w:val="en-GB"/>
        </w:rPr>
      </w:pPr>
      <w:r w:rsidRPr="00E4265B">
        <w:rPr>
          <w:rFonts w:ascii="Arial" w:hAnsi="Arial" w:cs="Arial"/>
          <w:sz w:val="22"/>
          <w:szCs w:val="22"/>
          <w:lang w:val="en-GB"/>
        </w:rPr>
        <w:t>6</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's remuneration policies applicable to all staff should be consistent with its Credit Risk strategy.</w:t>
      </w:r>
    </w:p>
    <w:p w14:paraId="496DAA04" w14:textId="77777777" w:rsidR="00E22FF2" w:rsidRPr="00E4265B" w:rsidRDefault="00E22FF2" w:rsidP="00A02596">
      <w:pPr>
        <w:pStyle w:val="UK12Block05"/>
        <w:rPr>
          <w:rFonts w:ascii="Arial" w:hAnsi="Arial" w:cs="Arial"/>
          <w:sz w:val="22"/>
          <w:szCs w:val="22"/>
          <w:lang w:val="en-GB"/>
        </w:rPr>
      </w:pPr>
      <w:r w:rsidRPr="00E4265B">
        <w:rPr>
          <w:rFonts w:ascii="Arial" w:hAnsi="Arial" w:cs="Arial"/>
          <w:sz w:val="22"/>
          <w:szCs w:val="22"/>
          <w:lang w:val="en-GB"/>
        </w:rPr>
        <w:t>The policies should not encourage officers to generate short</w:t>
      </w:r>
      <w:r w:rsidRPr="00E4265B">
        <w:rPr>
          <w:rFonts w:ascii="Arial" w:hAnsi="Arial" w:cs="Arial"/>
          <w:sz w:val="22"/>
          <w:szCs w:val="22"/>
          <w:lang w:val="en-GB"/>
        </w:rPr>
        <w:noBreakHyphen/>
        <w:t>term profits by taking an unacceptably high level of risk.</w:t>
      </w:r>
    </w:p>
    <w:p w14:paraId="0F203525" w14:textId="77777777" w:rsidR="00E22FF2" w:rsidRPr="00E4265B" w:rsidRDefault="00E22FF2" w:rsidP="00A02596">
      <w:pPr>
        <w:pStyle w:val="TitleL5"/>
        <w:rPr>
          <w:rFonts w:ascii="Arial" w:hAnsi="Arial" w:cs="Arial"/>
          <w:sz w:val="22"/>
          <w:szCs w:val="22"/>
          <w:lang w:val="en-GB"/>
        </w:rPr>
      </w:pPr>
      <w:r w:rsidRPr="00E4265B">
        <w:rPr>
          <w:rFonts w:ascii="Arial" w:hAnsi="Arial" w:cs="Arial"/>
          <w:sz w:val="22"/>
          <w:szCs w:val="22"/>
          <w:lang w:val="en-GB"/>
        </w:rPr>
        <w:lastRenderedPageBreak/>
        <w:t>Counterparty Risk assessment</w:t>
      </w:r>
    </w:p>
    <w:p w14:paraId="61A3902D" w14:textId="773084C9"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7</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make a suitable assessment of the risk profile of its Counterparties. The factors to be considered will vary according to both the type of credit and Counterparty such as whether the Counterparty is a company or a sovereign Counterparty and may include:</w:t>
      </w:r>
    </w:p>
    <w:p w14:paraId="5ADEEFFA" w14:textId="40A668DC"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the purpose of the credit and the source of repayment;</w:t>
      </w:r>
    </w:p>
    <w:p w14:paraId="35A93DA9" w14:textId="7B1F9836"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an assessment of the skill, integrity and quality of management and overall reputation of the Counterparty;</w:t>
      </w:r>
    </w:p>
    <w:p w14:paraId="38AF4F31" w14:textId="776EBDD4"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legal capacity of the Counterparty to assume the liability to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387DD9A0" w14:textId="275D6B56"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d</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an assessment of the nature and amount of risk attached to the Counterparty in the context of the industrial sector or geographical region or country in which it operates and the potential impact on the Counterparty of political, economic and market changes; this assessment may include consideration of the extent and nature of the Counterparty's other financial obligations;</w:t>
      </w:r>
    </w:p>
    <w:p w14:paraId="4F12AC43"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the Counterparty's repayment history as well as an assessment of the Counterparty's current and future capacity to repay obligations based on financial statements, financial trends, cash flow projections and the potential impact of adverse economic scenarios;</w:t>
      </w:r>
    </w:p>
    <w:p w14:paraId="1A6757B7" w14:textId="7674557A"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f</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an analysis of the risk</w:t>
      </w:r>
      <w:r w:rsidRPr="00E4265B">
        <w:rPr>
          <w:rFonts w:ascii="Arial" w:hAnsi="Arial" w:cs="Arial"/>
          <w:sz w:val="22"/>
          <w:szCs w:val="22"/>
          <w:lang w:val="en-GB"/>
        </w:rPr>
        <w:noBreakHyphen/>
        <w:t>return trade</w:t>
      </w:r>
      <w:r w:rsidRPr="00E4265B">
        <w:rPr>
          <w:rFonts w:ascii="Arial" w:hAnsi="Arial" w:cs="Arial"/>
          <w:sz w:val="22"/>
          <w:szCs w:val="22"/>
          <w:lang w:val="en-GB"/>
        </w:rPr>
        <w:noBreakHyphen/>
        <w:t xml:space="preserve">off, with regard to the proposed price of the </w:t>
      </w:r>
      <w:r w:rsidR="006D5D0B" w:rsidRPr="00E4265B">
        <w:rPr>
          <w:rFonts w:ascii="Arial" w:hAnsi="Arial" w:cs="Arial"/>
          <w:sz w:val="22"/>
          <w:szCs w:val="22"/>
          <w:lang w:val="en-GB"/>
        </w:rPr>
        <w:t>Credit F</w:t>
      </w:r>
      <w:r w:rsidRPr="00E4265B">
        <w:rPr>
          <w:rFonts w:ascii="Arial" w:hAnsi="Arial" w:cs="Arial"/>
          <w:sz w:val="22"/>
          <w:szCs w:val="22"/>
          <w:lang w:val="en-GB"/>
        </w:rPr>
        <w:t>acility;</w:t>
      </w:r>
    </w:p>
    <w:p w14:paraId="099CC500" w14:textId="675D2169"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g</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the proposed terms and conditions attached to the granting of credit, including on</w:t>
      </w:r>
      <w:r w:rsidRPr="00E4265B">
        <w:rPr>
          <w:rFonts w:ascii="Arial" w:hAnsi="Arial" w:cs="Arial"/>
          <w:sz w:val="22"/>
          <w:szCs w:val="22"/>
          <w:lang w:val="en-GB"/>
        </w:rPr>
        <w:noBreakHyphen/>
        <w:t>going provision of information by the Counterparty, covenants attached to the facility, the adequacy and enforceability of Collateral and guarantees; and</w:t>
      </w:r>
    </w:p>
    <w:p w14:paraId="5E3E4958" w14:textId="3DA9E2A3"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h</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's existing Exposure to the individual Counterparty, sector, country or product and the availability of credit given Exposure limits.</w:t>
      </w:r>
    </w:p>
    <w:p w14:paraId="1690A597" w14:textId="75D01733"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8</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document any variation from the usual credit policy.</w:t>
      </w:r>
    </w:p>
    <w:p w14:paraId="462D458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9.</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involved in loan syndications or consortia should not rely on other parties' assessments of the Credit Risks involved but should conduct a full assessment against its own Credit Risk policy.</w:t>
      </w:r>
    </w:p>
    <w:p w14:paraId="51D23F29" w14:textId="4DBC2AE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10</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granting credit to obligors in other countries should be cognisant of the additional risks – country risk and transfer risk – involved in such credits.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therefore consider the environment – economic and political – in the relevant countries, the potential effect of changes thereto on the obligors' ability to service the credit and the contagion effects in regions where economies are closely related.</w:t>
      </w:r>
    </w:p>
    <w:p w14:paraId="09CDFB4A" w14:textId="512FF4E1"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11</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The exception reporting should be adequately supported by a management reporting system whereby relevant reports on the credit portfolio are generated to various levels of management on a timely basis.</w:t>
      </w:r>
    </w:p>
    <w:p w14:paraId="3E2DEEDE" w14:textId="18EAC315"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12</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Connected Counterparties should be identified and the procedures for the management of the combined Credit Risk considered. It may be appropriate for </w:t>
      </w:r>
      <w:r w:rsidR="000D1A90" w:rsidRPr="00E4265B">
        <w:rPr>
          <w:rFonts w:ascii="Arial" w:hAnsi="Arial" w:cs="Arial"/>
          <w:sz w:val="22"/>
          <w:szCs w:val="22"/>
          <w:lang w:val="en-GB"/>
        </w:rPr>
        <w:t>Authorised Person</w:t>
      </w:r>
      <w:r w:rsidRPr="00E4265B">
        <w:rPr>
          <w:rFonts w:ascii="Arial" w:hAnsi="Arial" w:cs="Arial"/>
          <w:sz w:val="22"/>
          <w:szCs w:val="22"/>
          <w:lang w:val="en-GB"/>
        </w:rPr>
        <w:t>s to monitor and report the aggregate Exposure against combined limits in addition to monitoring the constituent Exposures to the individual Counterparties.</w:t>
      </w:r>
    </w:p>
    <w:p w14:paraId="0331A23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whether it needs to assess the credit</w:t>
      </w:r>
      <w:r w:rsidRPr="00E4265B">
        <w:rPr>
          <w:rFonts w:ascii="Arial" w:hAnsi="Arial" w:cs="Arial"/>
          <w:sz w:val="22"/>
          <w:szCs w:val="22"/>
          <w:lang w:val="en-GB"/>
        </w:rPr>
        <w:noBreakHyphen/>
        <w:t>worthiness of suppliers of goods and services to whom it makes material prepayments or advances.</w:t>
      </w:r>
    </w:p>
    <w:p w14:paraId="2228596B" w14:textId="77777777" w:rsidR="00E22FF2" w:rsidRPr="00E4265B" w:rsidRDefault="00E22FF2" w:rsidP="00520DD3">
      <w:pPr>
        <w:pStyle w:val="TitleL5"/>
        <w:rPr>
          <w:rFonts w:ascii="Arial" w:hAnsi="Arial" w:cs="Arial"/>
          <w:sz w:val="22"/>
          <w:szCs w:val="22"/>
          <w:lang w:val="en-GB"/>
        </w:rPr>
      </w:pPr>
      <w:r w:rsidRPr="00E4265B">
        <w:rPr>
          <w:rFonts w:ascii="Arial" w:hAnsi="Arial" w:cs="Arial"/>
          <w:sz w:val="22"/>
          <w:szCs w:val="22"/>
          <w:lang w:val="en-GB"/>
        </w:rPr>
        <w:t>Risk assessment: Derivative Counterparties</w:t>
      </w:r>
    </w:p>
    <w:p w14:paraId="00FB1E04" w14:textId="2CCB0585"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14</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include in its Credit Risk policy an adequate description of:</w:t>
      </w:r>
    </w:p>
    <w:p w14:paraId="3CBB3627" w14:textId="1B959E49"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a</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how it determines with which </w:t>
      </w:r>
      <w:r w:rsidR="005F3B3B" w:rsidRPr="00E4265B">
        <w:rPr>
          <w:rFonts w:ascii="Arial" w:hAnsi="Arial" w:cs="Arial"/>
          <w:sz w:val="22"/>
          <w:szCs w:val="22"/>
          <w:lang w:val="en-GB"/>
        </w:rPr>
        <w:t>Derivative</w:t>
      </w:r>
      <w:r w:rsidRPr="00E4265B">
        <w:rPr>
          <w:rFonts w:ascii="Arial" w:hAnsi="Arial" w:cs="Arial"/>
          <w:sz w:val="22"/>
          <w:szCs w:val="22"/>
          <w:lang w:val="en-GB"/>
        </w:rPr>
        <w:t xml:space="preserve"> Counterparties to do business;</w:t>
      </w:r>
    </w:p>
    <w:p w14:paraId="75194092" w14:textId="78D6124E"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b</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how it assesses and continues to monitor the credit</w:t>
      </w:r>
      <w:r w:rsidRPr="00E4265B">
        <w:rPr>
          <w:rFonts w:ascii="Arial" w:hAnsi="Arial" w:cs="Arial"/>
          <w:sz w:val="22"/>
          <w:szCs w:val="22"/>
          <w:lang w:val="en-GB"/>
        </w:rPr>
        <w:noBreakHyphen/>
        <w:t>worthiness of those Counterparties;</w:t>
      </w:r>
    </w:p>
    <w:p w14:paraId="64CF1480" w14:textId="75474115"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how it identifies its actual and contingent Exposure to the Counterparty; and</w:t>
      </w:r>
    </w:p>
    <w:p w14:paraId="77526F41" w14:textId="04015C82"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d</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whether and how it uses credit loss mitigation techniques, e.g. margining, taking security or Collateral or purchasing credit insurance.</w:t>
      </w:r>
    </w:p>
    <w:p w14:paraId="3082FB03" w14:textId="05426D3B"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15</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In assessing its contingent Exposure to a Counterparty,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identify the amount which would be due from the Counterparty if the value, index or other factor upon which that amount depends were to change.</w:t>
      </w:r>
    </w:p>
    <w:p w14:paraId="2BE4793C" w14:textId="2583B7C6" w:rsidR="00E22FF2" w:rsidRPr="00E4265B" w:rsidRDefault="00E22FF2" w:rsidP="007C245C">
      <w:pPr>
        <w:pStyle w:val="1List"/>
        <w:rPr>
          <w:rFonts w:ascii="Arial" w:hAnsi="Arial" w:cs="Arial"/>
          <w:sz w:val="22"/>
          <w:szCs w:val="22"/>
          <w:lang w:val="en-GB"/>
        </w:rPr>
      </w:pPr>
      <w:r w:rsidRPr="00E4265B">
        <w:rPr>
          <w:rFonts w:ascii="Arial" w:hAnsi="Arial" w:cs="Arial"/>
          <w:sz w:val="22"/>
          <w:szCs w:val="22"/>
          <w:lang w:val="en-GB"/>
        </w:rPr>
        <w:t>16</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clearly specify the delegation of its credit approval authorities. Credit authority thus delegated should be appropriate for the products or portfolios assigned to the credit committee or individual credit officers and should be commensurate with their credit experience and expertise. An officer's credit authority may, however, be increased on the basis of </w:t>
      </w:r>
      <w:r w:rsidR="007C245C" w:rsidRPr="00E4265B">
        <w:rPr>
          <w:rFonts w:ascii="Arial" w:hAnsi="Arial" w:cs="Arial"/>
          <w:sz w:val="22"/>
          <w:szCs w:val="22"/>
          <w:lang w:val="en-GB"/>
        </w:rPr>
        <w:t>his or her</w:t>
      </w:r>
      <w:r w:rsidR="003C0E67" w:rsidRPr="00E4265B">
        <w:rPr>
          <w:rFonts w:ascii="Arial" w:hAnsi="Arial" w:cs="Arial"/>
          <w:sz w:val="22"/>
          <w:szCs w:val="22"/>
          <w:lang w:val="en-GB"/>
        </w:rPr>
        <w:t xml:space="preserve"> </w:t>
      </w:r>
      <w:r w:rsidRPr="00E4265B">
        <w:rPr>
          <w:rFonts w:ascii="Arial" w:hAnsi="Arial" w:cs="Arial"/>
          <w:sz w:val="22"/>
          <w:szCs w:val="22"/>
          <w:lang w:val="en-GB"/>
        </w:rPr>
        <w:t xml:space="preserve">track record.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ensure that credit authority is required for acquiring any types of credit Exposures, including the use of Credit Derivatives for hedging or income generation.</w:t>
      </w:r>
    </w:p>
    <w:p w14:paraId="770BAFC9" w14:textId="7FBEB256"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17</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Credit authority delegated to the credit committee and each credit officer should be subject to regular review to ensure that it remains appropriate to current market conditions and the level of their performance.</w:t>
      </w:r>
    </w:p>
    <w:p w14:paraId="1663ACAE" w14:textId="77777777" w:rsidR="00E22FF2" w:rsidRPr="00E4265B" w:rsidRDefault="00E22FF2" w:rsidP="00520DD3">
      <w:pPr>
        <w:pStyle w:val="TitleL5"/>
        <w:rPr>
          <w:rFonts w:ascii="Arial" w:hAnsi="Arial" w:cs="Arial"/>
          <w:sz w:val="22"/>
          <w:szCs w:val="22"/>
          <w:lang w:val="en-GB"/>
        </w:rPr>
      </w:pPr>
      <w:r w:rsidRPr="00E4265B">
        <w:rPr>
          <w:rFonts w:ascii="Arial" w:hAnsi="Arial" w:cs="Arial"/>
          <w:sz w:val="22"/>
          <w:szCs w:val="22"/>
          <w:lang w:val="en-GB"/>
        </w:rPr>
        <w:t>Credit approval procedures</w:t>
      </w:r>
    </w:p>
    <w:p w14:paraId="08E45007" w14:textId="2FD0FAC9"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18</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adhere closely to the "Know Your Customer" principle and should not lend purely on name and relationship without a comprehensive assessment of the credit quality of the borrower.</w:t>
      </w:r>
    </w:p>
    <w:p w14:paraId="39DED497" w14:textId="31DBE724"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19</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Credit decisions should be supported by adequate evaluation of the borrower's repayment ability based on reliable information. Sufficient and up</w:t>
      </w:r>
      <w:r w:rsidRPr="00E4265B">
        <w:rPr>
          <w:rFonts w:ascii="Arial" w:hAnsi="Arial" w:cs="Arial"/>
          <w:sz w:val="22"/>
          <w:szCs w:val="22"/>
          <w:lang w:val="en-GB"/>
        </w:rPr>
        <w:noBreakHyphen/>
        <w:t>to</w:t>
      </w:r>
      <w:r w:rsidRPr="00E4265B">
        <w:rPr>
          <w:rFonts w:ascii="Arial" w:hAnsi="Arial" w:cs="Arial"/>
          <w:sz w:val="22"/>
          <w:szCs w:val="22"/>
          <w:lang w:val="en-GB"/>
        </w:rPr>
        <w:noBreakHyphen/>
        <w:t>date information should continue to be available to enable effective monitoring of the account.</w:t>
      </w:r>
    </w:p>
    <w:p w14:paraId="348E799A" w14:textId="7D7A3693"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20</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All credits should be granted on an arm's length basis. Credits to related borrowers should be monitored carefully and steps taken to control or reduce the risks of Connected lending.</w:t>
      </w:r>
    </w:p>
    <w:p w14:paraId="58DBCD21" w14:textId="332CF7E2"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21</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not rely excessively on Collateral or guarantees as Credit Risk mitigants. Such Credit Risk mitigants may provide secondary protection to the lender if the borrower defaults, the primary consideration for credit approval should be the borrower's debt</w:t>
      </w:r>
      <w:r w:rsidRPr="00E4265B">
        <w:rPr>
          <w:rFonts w:ascii="Arial" w:hAnsi="Arial" w:cs="Arial"/>
          <w:sz w:val="22"/>
          <w:szCs w:val="22"/>
          <w:lang w:val="en-GB"/>
        </w:rPr>
        <w:noBreakHyphen/>
        <w:t>servicing capacity.</w:t>
      </w:r>
    </w:p>
    <w:p w14:paraId="0359501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be sensitive to rapid expansion of specific types of lending. Such trends may often be accompanied by deterioration of credit standards and thus merit increased focus on more marginal borrowers.</w:t>
      </w:r>
    </w:p>
    <w:p w14:paraId="1461774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ensure through periodic independent audits that the credit approval function is being properly managed and that credit Exposures comply with prudential standards and internal limits. The results of such audits should be reported directly to the Governing Body, the credit committee or senior management as appropriate.</w:t>
      </w:r>
    </w:p>
    <w:p w14:paraId="7A2A26EC" w14:textId="77777777" w:rsidR="00E22FF2" w:rsidRPr="00E4265B" w:rsidRDefault="00E22FF2" w:rsidP="00520DD3">
      <w:pPr>
        <w:pStyle w:val="TitleL5"/>
        <w:rPr>
          <w:rFonts w:ascii="Arial" w:hAnsi="Arial" w:cs="Arial"/>
          <w:sz w:val="22"/>
          <w:szCs w:val="22"/>
          <w:lang w:val="en-GB"/>
        </w:rPr>
      </w:pPr>
      <w:r w:rsidRPr="00E4265B">
        <w:rPr>
          <w:rFonts w:ascii="Arial" w:hAnsi="Arial" w:cs="Arial"/>
          <w:sz w:val="22"/>
          <w:szCs w:val="22"/>
          <w:lang w:val="en-GB"/>
        </w:rPr>
        <w:t>Risk control</w:t>
      </w:r>
    </w:p>
    <w:p w14:paraId="3E243228" w14:textId="134181A2"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24</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setting credit limits for maximum Exposures to single and Connected Counterparties, as well as limits for aggregate Exposures to economic sectors, geographic areas, and on total Credit Risk arising from specific types of products. By limiting Exposures in these categories,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can manage credit Exposure more carefully and avoid excessive concentrations of risk.</w:t>
      </w:r>
    </w:p>
    <w:p w14:paraId="0DA4FD47" w14:textId="2E246521"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25</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Credit Risk policy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include a policy to control and monitor Large Exposures and other risk concentrations.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carefully manage and avoid excessive risk concentrations of various kinds. These include Exposure to:</w:t>
      </w:r>
    </w:p>
    <w:p w14:paraId="0D9550FB" w14:textId="069C5D34"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individual borrowers (in particular Exposure exceeding 10% of the firm's capital base);</w:t>
      </w:r>
    </w:p>
    <w:p w14:paraId="34506BE6" w14:textId="00BD122E"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Groups of borrowers with similar characteristics, economic and geographical sectors; and</w:t>
      </w:r>
    </w:p>
    <w:p w14:paraId="0C4831AC" w14:textId="6F57A173"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types of lending with similar characteristics (e.g. those based on assets with similar price behaviour).</w:t>
      </w:r>
    </w:p>
    <w:p w14:paraId="48A6422A" w14:textId="29B8087A" w:rsidR="00E22FF2" w:rsidRPr="00E4265B" w:rsidRDefault="00E22FF2" w:rsidP="009A6EDB">
      <w:pPr>
        <w:pStyle w:val="1List"/>
        <w:rPr>
          <w:rFonts w:ascii="Arial" w:hAnsi="Arial" w:cs="Arial"/>
          <w:sz w:val="22"/>
          <w:szCs w:val="22"/>
          <w:lang w:val="en-GB"/>
        </w:rPr>
      </w:pPr>
      <w:r w:rsidRPr="00E4265B">
        <w:rPr>
          <w:rFonts w:ascii="Arial" w:hAnsi="Arial" w:cs="Arial"/>
          <w:sz w:val="22"/>
          <w:szCs w:val="22"/>
          <w:lang w:val="en-GB"/>
        </w:rPr>
        <w:t>26</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Notwithstanding the </w:t>
      </w:r>
      <w:r w:rsidR="009A6EDB" w:rsidRPr="00E4265B">
        <w:rPr>
          <w:rFonts w:ascii="Arial" w:hAnsi="Arial" w:cs="Arial"/>
          <w:sz w:val="22"/>
          <w:szCs w:val="22"/>
          <w:lang w:val="en-GB"/>
        </w:rPr>
        <w:t>threshold</w:t>
      </w:r>
      <w:r w:rsidRPr="00E4265B">
        <w:rPr>
          <w:rFonts w:ascii="Arial" w:hAnsi="Arial" w:cs="Arial"/>
          <w:sz w:val="22"/>
          <w:szCs w:val="22"/>
          <w:lang w:val="en-GB"/>
        </w:rPr>
        <w:t xml:space="preserve"> specified as part of the prudential Rules on Large Exposures,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should exercise particular care in relation to facilities exceeding 10% of </w:t>
      </w:r>
      <w:r w:rsidR="009A6EDB" w:rsidRPr="00E4265B">
        <w:rPr>
          <w:rFonts w:ascii="Arial" w:hAnsi="Arial" w:cs="Arial"/>
          <w:sz w:val="22"/>
          <w:szCs w:val="22"/>
          <w:lang w:val="en-GB"/>
        </w:rPr>
        <w:t>Tier 1</w:t>
      </w:r>
      <w:r w:rsidRPr="00E4265B">
        <w:rPr>
          <w:rFonts w:ascii="Arial" w:hAnsi="Arial" w:cs="Arial"/>
          <w:sz w:val="22"/>
          <w:szCs w:val="22"/>
          <w:lang w:val="en-GB"/>
        </w:rPr>
        <w:t>.</w:t>
      </w:r>
    </w:p>
    <w:p w14:paraId="2D452551" w14:textId="7335640D"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27</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should recognise and control the Credit Risk arising from their new products and services. Well in advance of entering into business transactions involving new types of products and activities, they </w:t>
      </w:r>
      <w:r w:rsidRPr="00E4265B">
        <w:rPr>
          <w:rFonts w:ascii="Arial" w:hAnsi="Arial" w:cs="Arial"/>
          <w:sz w:val="22"/>
          <w:szCs w:val="22"/>
          <w:lang w:val="en-GB"/>
        </w:rPr>
        <w:lastRenderedPageBreak/>
        <w:t>should ensure that they understand the risks fully and have established appropriate Credit Risk policies, procedures and controls, which should be approved by the Governing Body or its appropriate delegated committee. A formal risk assessment of new products and activities should also be performed and documented.</w:t>
      </w:r>
    </w:p>
    <w:p w14:paraId="50B5690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28.</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Category 1, 2, 3A or 5 is also subject to concentration limits and notification requirements as spelt out in Chapter 4.</w:t>
      </w:r>
    </w:p>
    <w:p w14:paraId="5A8AC16D" w14:textId="77777777" w:rsidR="00E22FF2" w:rsidRPr="00E4265B" w:rsidRDefault="00E22FF2" w:rsidP="00520DD3">
      <w:pPr>
        <w:pStyle w:val="TitleL5"/>
        <w:rPr>
          <w:rFonts w:ascii="Arial" w:hAnsi="Arial" w:cs="Arial"/>
          <w:sz w:val="22"/>
          <w:szCs w:val="22"/>
          <w:lang w:val="en-GB"/>
        </w:rPr>
      </w:pPr>
      <w:r w:rsidRPr="00E4265B">
        <w:rPr>
          <w:rFonts w:ascii="Arial" w:hAnsi="Arial" w:cs="Arial"/>
          <w:sz w:val="22"/>
          <w:szCs w:val="22"/>
          <w:lang w:val="en-GB"/>
        </w:rPr>
        <w:t>Risk measurement</w:t>
      </w:r>
    </w:p>
    <w:p w14:paraId="182B5FEC" w14:textId="1EF435C4"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29</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measure its Credit Risk using a robust and consistent methodology, which should be described in its Credit Risk policy.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whether the measurement methodology should be back</w:t>
      </w:r>
      <w:r w:rsidRPr="00E4265B">
        <w:rPr>
          <w:rFonts w:ascii="Arial" w:hAnsi="Arial" w:cs="Arial"/>
          <w:sz w:val="22"/>
          <w:szCs w:val="22"/>
          <w:lang w:val="en-GB"/>
        </w:rPr>
        <w:noBreakHyphen/>
        <w:t>tested and the frequency of any such back</w:t>
      </w:r>
      <w:r w:rsidRPr="00E4265B">
        <w:rPr>
          <w:rFonts w:ascii="Arial" w:hAnsi="Arial" w:cs="Arial"/>
          <w:sz w:val="22"/>
          <w:szCs w:val="22"/>
          <w:lang w:val="en-GB"/>
        </w:rPr>
        <w:noBreakHyphen/>
        <w:t>testing.</w:t>
      </w:r>
    </w:p>
    <w:p w14:paraId="530B94BC" w14:textId="5FA041DA"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30</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also be able to measure its total Exposure across the entire credit portfolio or within particular categories such as Exposures to particular industries, economic sectors or geographical areas.</w:t>
      </w:r>
    </w:p>
    <w:p w14:paraId="7E55CC61" w14:textId="20959FE6"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31</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a member of a Group, the Group should be able to monitor credit Exposures on a consolidated basis.</w:t>
      </w:r>
    </w:p>
    <w:p w14:paraId="3C8EAE82" w14:textId="2D0725AF"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32</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the capability to measure its credit Exposure to individual Counterparties on at least a daily basis.</w:t>
      </w:r>
    </w:p>
    <w:p w14:paraId="48C98213" w14:textId="015B44B1"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33</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000D1A90" w:rsidRPr="00E4265B">
        <w:rPr>
          <w:rFonts w:ascii="Arial" w:hAnsi="Arial" w:cs="Arial"/>
          <w:sz w:val="22"/>
          <w:szCs w:val="22"/>
          <w:lang w:val="en-GB"/>
        </w:rPr>
        <w:t>Authorised Person</w:t>
      </w:r>
      <w:r w:rsidRPr="00E4265B">
        <w:rPr>
          <w:rFonts w:ascii="Arial" w:hAnsi="Arial" w:cs="Arial"/>
          <w:sz w:val="22"/>
          <w:szCs w:val="22"/>
          <w:lang w:val="en-GB"/>
        </w:rPr>
        <w:t>s should analyse their credit portfolios to identify material inter</w:t>
      </w:r>
      <w:r w:rsidRPr="00E4265B">
        <w:rPr>
          <w:rFonts w:ascii="Arial" w:hAnsi="Arial" w:cs="Arial"/>
          <w:sz w:val="22"/>
          <w:szCs w:val="22"/>
          <w:lang w:val="en-GB"/>
        </w:rPr>
        <w:noBreakHyphen/>
        <w:t>dependencies which can exaggerate risk concentrations. The importance can be illustrated by the contagion effects that a substantial decline in property or stock prices may have on the default rate of those commercial and industrial loans which rely heavily on such types of Collateral.</w:t>
      </w:r>
    </w:p>
    <w:p w14:paraId="758FEC5D" w14:textId="793E1725"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34</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000D1A90" w:rsidRPr="00E4265B">
        <w:rPr>
          <w:rFonts w:ascii="Arial" w:hAnsi="Arial" w:cs="Arial"/>
          <w:sz w:val="22"/>
          <w:szCs w:val="22"/>
          <w:lang w:val="en-GB"/>
        </w:rPr>
        <w:t>Authorised Person</w:t>
      </w:r>
      <w:r w:rsidRPr="00E4265B">
        <w:rPr>
          <w:rFonts w:ascii="Arial" w:hAnsi="Arial" w:cs="Arial"/>
          <w:sz w:val="22"/>
          <w:szCs w:val="22"/>
          <w:lang w:val="en-GB"/>
        </w:rPr>
        <w:t>s should establish a system of regular independent credit and compliance audits. These audits should be performed by independent parties, e.g. internal audit and compliance, which report to the Governing Body or the audit committee.</w:t>
      </w:r>
    </w:p>
    <w:p w14:paraId="2D6BA758" w14:textId="601BADCC"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35</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Credit audits should be conducted to assess individual credits on a sampling basis and the overall quality of the credit portfolio. Such audits are useful for evaluating the performance of account officers and the effectiveness of the credit process. They can also enable </w:t>
      </w:r>
      <w:r w:rsidR="000D1A90" w:rsidRPr="00E4265B">
        <w:rPr>
          <w:rFonts w:ascii="Arial" w:hAnsi="Arial" w:cs="Arial"/>
          <w:sz w:val="22"/>
          <w:szCs w:val="22"/>
          <w:lang w:val="en-GB"/>
        </w:rPr>
        <w:t>Authorised Person</w:t>
      </w:r>
      <w:r w:rsidRPr="00E4265B">
        <w:rPr>
          <w:rFonts w:ascii="Arial" w:hAnsi="Arial" w:cs="Arial"/>
          <w:sz w:val="22"/>
          <w:szCs w:val="22"/>
          <w:lang w:val="en-GB"/>
        </w:rPr>
        <w:t>s to take early measures to protect their loans.</w:t>
      </w:r>
    </w:p>
    <w:p w14:paraId="15FFA2AE" w14:textId="77777777" w:rsidR="00E22FF2" w:rsidRPr="00E4265B" w:rsidRDefault="00E22FF2" w:rsidP="00520DD3">
      <w:pPr>
        <w:pStyle w:val="TitleL5"/>
        <w:rPr>
          <w:rFonts w:ascii="Arial" w:hAnsi="Arial" w:cs="Arial"/>
          <w:sz w:val="22"/>
          <w:szCs w:val="22"/>
          <w:lang w:val="en-GB"/>
        </w:rPr>
      </w:pPr>
      <w:r w:rsidRPr="00E4265B">
        <w:rPr>
          <w:rFonts w:ascii="Arial" w:hAnsi="Arial" w:cs="Arial"/>
          <w:sz w:val="22"/>
          <w:szCs w:val="22"/>
          <w:lang w:val="en-GB"/>
        </w:rPr>
        <w:t>Risk monitoring</w:t>
      </w:r>
    </w:p>
    <w:p w14:paraId="0B109A2C" w14:textId="63E54918"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36</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implement an effective system for monitoring its Credit Risk, which should be described in its Credit Risk policy. The system may monitor the use of facilities, adherence to servicing requirements and covenants, and monitor the value of Collateral and identify problem accounts.</w:t>
      </w:r>
    </w:p>
    <w:p w14:paraId="16F73CDD" w14:textId="0FA50719"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37</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the implementation of a system of management reporting which provides relevant, accurate, comprehensive, </w:t>
      </w:r>
      <w:r w:rsidRPr="00E4265B">
        <w:rPr>
          <w:rFonts w:ascii="Arial" w:hAnsi="Arial" w:cs="Arial"/>
          <w:sz w:val="22"/>
          <w:szCs w:val="22"/>
          <w:lang w:val="en-GB"/>
        </w:rPr>
        <w:lastRenderedPageBreak/>
        <w:t xml:space="preserve">timely and reliable Credit Risk reports to relevant functions within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25E6AA93" w14:textId="3771F7E2"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38</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Adequacy and sophistication of Credit Risk measurement tools required depends on the complexity and degree of the inherent risks of the products involved.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information systems and analytical techniques that provide sufficient information on the risk profile and structure of the credit portfolio. These should be flexible to help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identify risk concentrations. To achieve this,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system should be capable of analysing its credit portfolio by the following characteristics:</w:t>
      </w:r>
    </w:p>
    <w:p w14:paraId="1D2A9D66" w14:textId="5D3AEF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a</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size of Exposure;</w:t>
      </w:r>
    </w:p>
    <w:p w14:paraId="06E51D49" w14:textId="0C93DF6F"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b</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Exposure to Groups of related borrowers;</w:t>
      </w:r>
    </w:p>
    <w:p w14:paraId="1EA13B16" w14:textId="3E9B6636"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c</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products;</w:t>
      </w:r>
    </w:p>
    <w:p w14:paraId="2A646BFF" w14:textId="0894CB68"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d</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sectors, e.g. geographic, industrial;</w:t>
      </w:r>
    </w:p>
    <w:p w14:paraId="698FE788" w14:textId="31C62A95"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e</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borrowers' demographic profile for consumer credits, e.g. age or income group, if appropriate;</w:t>
      </w:r>
    </w:p>
    <w:p w14:paraId="50B23AB3" w14:textId="65B3A09C"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f</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account performance;</w:t>
      </w:r>
    </w:p>
    <w:p w14:paraId="6082CD40" w14:textId="33B9EF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g</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internal credit ratings;</w:t>
      </w:r>
    </w:p>
    <w:p w14:paraId="1509037E" w14:textId="3299AC83"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h</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outstandings versus commitments; and </w:t>
      </w:r>
    </w:p>
    <w:p w14:paraId="15D7BA30" w14:textId="77777777" w:rsidR="00E22FF2" w:rsidRPr="00E4265B" w:rsidRDefault="00E22FF2" w:rsidP="0038681C">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types and coverage of Collateral.</w:t>
      </w:r>
    </w:p>
    <w:p w14:paraId="100E8CD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39.</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procedures for taking appropriate action according to the information within the management reports, such as a review of Counterparty limits.</w:t>
      </w:r>
    </w:p>
    <w:p w14:paraId="193EFACA" w14:textId="479FAD5C"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40</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Particular attention should be given to the monitoring of credit that does not conform to usual Credit Risk policy, or which exceeds predetermined credit limits and criteria, but is sanctioned because of particular circumstances. Unauthorised exceptions to policies, procedures and limits should be reported in a timely manner to the appropriate level of management.</w:t>
      </w:r>
    </w:p>
    <w:p w14:paraId="2027DE91" w14:textId="1CE8072A"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41</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Individual credit facilities and overall limits and sub</w:t>
      </w:r>
      <w:r w:rsidRPr="00E4265B">
        <w:rPr>
          <w:rFonts w:ascii="Arial" w:hAnsi="Arial" w:cs="Arial"/>
          <w:sz w:val="22"/>
          <w:szCs w:val="22"/>
          <w:lang w:val="en-GB"/>
        </w:rPr>
        <w:noBreakHyphen/>
        <w:t xml:space="preserve">limits should be periodically reviewed in order to check their performance and appropriateness for both the current circumstances of the Counterparty and in the </w:t>
      </w:r>
      <w:r w:rsidR="000D1A90" w:rsidRPr="00E4265B">
        <w:rPr>
          <w:rFonts w:ascii="Arial" w:hAnsi="Arial" w:cs="Arial"/>
          <w:sz w:val="22"/>
          <w:szCs w:val="22"/>
          <w:lang w:val="en-GB"/>
        </w:rPr>
        <w:t>Authorised Person</w:t>
      </w:r>
      <w:r w:rsidRPr="00E4265B">
        <w:rPr>
          <w:rFonts w:ascii="Arial" w:hAnsi="Arial" w:cs="Arial"/>
          <w:sz w:val="22"/>
          <w:szCs w:val="22"/>
          <w:lang w:val="en-GB"/>
        </w:rPr>
        <w:t>'s current internal and external economic environment. The frequency of review will usually be more intense for higher</w:t>
      </w:r>
      <w:r w:rsidRPr="00E4265B">
        <w:rPr>
          <w:rFonts w:ascii="Arial" w:hAnsi="Arial" w:cs="Arial"/>
          <w:sz w:val="22"/>
          <w:szCs w:val="22"/>
          <w:lang w:val="en-GB"/>
        </w:rPr>
        <w:noBreakHyphen/>
        <w:t>risk Counterparties or larger Exposures or in fluctuating economic conditions.</w:t>
      </w:r>
    </w:p>
    <w:p w14:paraId="34922995" w14:textId="7F269468"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42</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in place a system for monitoring the overall quality of its Credit Risk Exposures under normal and stressful conditions. There should also be a reporting system which alerts management to aggregate Exposures approaching various pre</w:t>
      </w:r>
      <w:r w:rsidRPr="00E4265B">
        <w:rPr>
          <w:rFonts w:ascii="Arial" w:hAnsi="Arial" w:cs="Arial"/>
          <w:sz w:val="22"/>
          <w:szCs w:val="22"/>
          <w:lang w:val="en-GB"/>
        </w:rPr>
        <w:noBreakHyphen/>
        <w:t>set portfolio limits.</w:t>
      </w:r>
    </w:p>
    <w:p w14:paraId="665208DA" w14:textId="7112955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43</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be mindful of business and economic cycles and regularly stress</w:t>
      </w:r>
      <w:r w:rsidRPr="00E4265B">
        <w:rPr>
          <w:rFonts w:ascii="Arial" w:hAnsi="Arial" w:cs="Arial"/>
          <w:sz w:val="22"/>
          <w:szCs w:val="22"/>
          <w:lang w:val="en-GB"/>
        </w:rPr>
        <w:noBreakHyphen/>
        <w:t xml:space="preserve">test their portfolios against adverse market scenarios. </w:t>
      </w:r>
      <w:r w:rsidRPr="00E4265B">
        <w:rPr>
          <w:rFonts w:ascii="Arial" w:hAnsi="Arial" w:cs="Arial"/>
          <w:sz w:val="22"/>
          <w:szCs w:val="22"/>
          <w:lang w:val="en-GB"/>
        </w:rPr>
        <w:lastRenderedPageBreak/>
        <w:t>Adequate contingency planning should be developed in conjunction with stress</w:t>
      </w:r>
      <w:r w:rsidRPr="00E4265B">
        <w:rPr>
          <w:rFonts w:ascii="Arial" w:hAnsi="Arial" w:cs="Arial"/>
          <w:sz w:val="22"/>
          <w:szCs w:val="22"/>
          <w:lang w:val="en-GB"/>
        </w:rPr>
        <w:noBreakHyphen/>
        <w:t>testing to address the possibility of crises developing in a very rapid fashion.</w:t>
      </w:r>
    </w:p>
    <w:p w14:paraId="742A7739" w14:textId="7A390842"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44</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Appropriate stress testing of credit Exposures can be an essential part of the credit management process. Examination of the potential effects of economic or industry downturns, market events, changes in interest rates, changes in foreign exchange rates and changes in liquidity conditions can provide valuable information about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Credit Risk. This information can be utilised to inform the </w:t>
      </w:r>
      <w:r w:rsidR="000D1A90" w:rsidRPr="00E4265B">
        <w:rPr>
          <w:rFonts w:ascii="Arial" w:hAnsi="Arial" w:cs="Arial"/>
          <w:sz w:val="22"/>
          <w:szCs w:val="22"/>
          <w:lang w:val="en-GB"/>
        </w:rPr>
        <w:t>Authorised Person</w:t>
      </w:r>
      <w:r w:rsidRPr="00E4265B">
        <w:rPr>
          <w:rFonts w:ascii="Arial" w:hAnsi="Arial" w:cs="Arial"/>
          <w:sz w:val="22"/>
          <w:szCs w:val="22"/>
          <w:lang w:val="en-GB"/>
        </w:rPr>
        <w:t>'s on</w:t>
      </w:r>
      <w:r w:rsidRPr="00E4265B">
        <w:rPr>
          <w:rFonts w:ascii="Arial" w:hAnsi="Arial" w:cs="Arial"/>
          <w:sz w:val="22"/>
          <w:szCs w:val="22"/>
          <w:lang w:val="en-GB"/>
        </w:rPr>
        <w:noBreakHyphen/>
        <w:t>going credit strategy.</w:t>
      </w:r>
    </w:p>
    <w:p w14:paraId="1C2CB25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45.</w:t>
      </w:r>
      <w:r w:rsidRPr="00E4265B">
        <w:rPr>
          <w:rFonts w:ascii="Arial" w:hAnsi="Arial" w:cs="Arial"/>
          <w:sz w:val="22"/>
          <w:szCs w:val="22"/>
          <w:lang w:val="en-GB"/>
        </w:rPr>
        <w:tab/>
        <w:t xml:space="preserve">As new techniques for Credit Risk management, monitoring and reporting are developed,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ensure they are tested and evaluated before undue reliance is placed upon them.</w:t>
      </w:r>
    </w:p>
    <w:p w14:paraId="79C30F38" w14:textId="609E6175"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46</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Where the account officer for a credit (or customer relationship manager, branch manager or similar) moves on, the incoming officer should carry out a take</w:t>
      </w:r>
      <w:r w:rsidRPr="00E4265B">
        <w:rPr>
          <w:rFonts w:ascii="Arial" w:hAnsi="Arial" w:cs="Arial"/>
          <w:sz w:val="22"/>
          <w:szCs w:val="22"/>
          <w:lang w:val="en-GB"/>
        </w:rPr>
        <w:noBreakHyphen/>
        <w:t>over review. The review should cover inter alia the credit</w:t>
      </w:r>
      <w:r w:rsidRPr="00E4265B">
        <w:rPr>
          <w:rFonts w:ascii="Arial" w:hAnsi="Arial" w:cs="Arial"/>
          <w:sz w:val="22"/>
          <w:szCs w:val="22"/>
          <w:lang w:val="en-GB"/>
        </w:rPr>
        <w:noBreakHyphen/>
        <w:t>worthiness of the borrowers, the adequacy of the documentation, compliance with covenants, performance of each loan and the existence and value of any Collateral.</w:t>
      </w:r>
    </w:p>
    <w:p w14:paraId="4B2BC018" w14:textId="77777777" w:rsidR="00E22FF2" w:rsidRPr="00E4265B" w:rsidRDefault="00E22FF2" w:rsidP="00520DD3">
      <w:pPr>
        <w:pStyle w:val="TitleL5"/>
        <w:rPr>
          <w:rFonts w:ascii="Arial" w:hAnsi="Arial" w:cs="Arial"/>
          <w:sz w:val="22"/>
          <w:szCs w:val="22"/>
          <w:lang w:val="en-GB"/>
        </w:rPr>
      </w:pPr>
      <w:r w:rsidRPr="00E4265B">
        <w:rPr>
          <w:rFonts w:ascii="Arial" w:hAnsi="Arial" w:cs="Arial"/>
          <w:sz w:val="22"/>
          <w:szCs w:val="22"/>
          <w:lang w:val="en-GB"/>
        </w:rPr>
        <w:t>Problem Exposures</w:t>
      </w:r>
    </w:p>
    <w:p w14:paraId="6875302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47.</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processes for the timely identification and management of problem Exposures. These processes should be described in the Credit Risk policy.</w:t>
      </w:r>
    </w:p>
    <w:p w14:paraId="72C56DC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48</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involved in </w:t>
      </w:r>
      <w:r w:rsidR="008D725A" w:rsidRPr="00E4265B">
        <w:rPr>
          <w:rFonts w:ascii="Arial" w:hAnsi="Arial" w:cs="Arial"/>
          <w:sz w:val="22"/>
          <w:szCs w:val="22"/>
          <w:lang w:val="en-GB"/>
        </w:rPr>
        <w:t>Providing C</w:t>
      </w:r>
      <w:r w:rsidRPr="00E4265B">
        <w:rPr>
          <w:rFonts w:ascii="Arial" w:hAnsi="Arial" w:cs="Arial"/>
          <w:sz w:val="22"/>
          <w:szCs w:val="22"/>
          <w:lang w:val="en-GB"/>
        </w:rPr>
        <w:t>redit should establish a dedicated unit to handle the recovery and work</w:t>
      </w:r>
      <w:r w:rsidRPr="00E4265B">
        <w:rPr>
          <w:rFonts w:ascii="Arial" w:hAnsi="Arial" w:cs="Arial"/>
          <w:sz w:val="22"/>
          <w:szCs w:val="22"/>
          <w:lang w:val="en-GB"/>
        </w:rPr>
        <w:noBreakHyphen/>
        <w:t>out of problem loans and should establish policies for the referral of loans to this unit.</w:t>
      </w:r>
    </w:p>
    <w:p w14:paraId="1B1095A7" w14:textId="244A1ABE"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49</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ensure that its loan portfolio is properly classified and has an effective early</w:t>
      </w:r>
      <w:r w:rsidRPr="00E4265B">
        <w:rPr>
          <w:rFonts w:ascii="Arial" w:hAnsi="Arial" w:cs="Arial"/>
          <w:sz w:val="22"/>
          <w:szCs w:val="22"/>
          <w:lang w:val="en-GB"/>
        </w:rPr>
        <w:noBreakHyphen/>
        <w:t>warning system for problem loans.</w:t>
      </w:r>
    </w:p>
    <w:p w14:paraId="6649E9FA"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50.</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develop and implement internal risk rating systems for managing Credit Risk. The rating system should be consistent with the nature, size and complexity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activities. In using internal risk ratings,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seek to achieve a high granularity in the rating system and adopt multiple grades for loans that are not yet irregular and to develop the ability to track the migration of individual loans through the various internal credit ratings.</w:t>
      </w:r>
    </w:p>
    <w:p w14:paraId="3CA21282" w14:textId="300B9A04"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51</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Depending on the size and nature of the </w:t>
      </w:r>
      <w:r w:rsidR="000D1A90" w:rsidRPr="00E4265B">
        <w:rPr>
          <w:rFonts w:ascii="Arial" w:hAnsi="Arial" w:cs="Arial"/>
          <w:sz w:val="22"/>
          <w:szCs w:val="22"/>
          <w:lang w:val="en-GB"/>
        </w:rPr>
        <w:t>Authorised Person</w:t>
      </w:r>
      <w:r w:rsidRPr="00E4265B">
        <w:rPr>
          <w:rFonts w:ascii="Arial" w:hAnsi="Arial" w:cs="Arial"/>
          <w:sz w:val="22"/>
          <w:szCs w:val="22"/>
          <w:lang w:val="en-GB"/>
        </w:rPr>
        <w:t>, it may be appropriate for problem Exposures to be managed by a specialised function, independent of the functions that originate the business or maintain the on</w:t>
      </w:r>
      <w:r w:rsidRPr="00E4265B">
        <w:rPr>
          <w:rFonts w:ascii="Arial" w:hAnsi="Arial" w:cs="Arial"/>
          <w:sz w:val="22"/>
          <w:szCs w:val="22"/>
          <w:lang w:val="en-GB"/>
        </w:rPr>
        <w:noBreakHyphen/>
        <w:t>going business relationship with the Counterparty.</w:t>
      </w:r>
    </w:p>
    <w:p w14:paraId="30ACD44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52.</w:t>
      </w:r>
      <w:r w:rsidRPr="00E4265B">
        <w:rPr>
          <w:rFonts w:ascii="Arial" w:hAnsi="Arial" w:cs="Arial"/>
          <w:sz w:val="22"/>
          <w:szCs w:val="22"/>
          <w:lang w:val="en-GB"/>
        </w:rPr>
        <w:tab/>
        <w:t xml:space="preserve">Exposures identified as problems or potential problems should be closely monitored by management, and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set out, for example, whether a loan grading system or a watch or problem list is used and, in the latter case, the criteria for adding an asset to or taking an asset off that list.</w:t>
      </w:r>
    </w:p>
    <w:p w14:paraId="71587378" w14:textId="1D39C72A"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53</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It is recommended that </w:t>
      </w:r>
      <w:r w:rsidR="000D1A90" w:rsidRPr="00E4265B">
        <w:rPr>
          <w:rFonts w:ascii="Arial" w:hAnsi="Arial" w:cs="Arial"/>
          <w:sz w:val="22"/>
          <w:szCs w:val="22"/>
          <w:lang w:val="en-GB"/>
        </w:rPr>
        <w:t>Authorised Person</w:t>
      </w:r>
      <w:r w:rsidRPr="00E4265B">
        <w:rPr>
          <w:rFonts w:ascii="Arial" w:hAnsi="Arial" w:cs="Arial"/>
          <w:sz w:val="22"/>
          <w:szCs w:val="22"/>
          <w:lang w:val="en-GB"/>
        </w:rPr>
        <w:t>s establish a dedicated unit to handle the recovery and work</w:t>
      </w:r>
      <w:r w:rsidRPr="00E4265B">
        <w:rPr>
          <w:rFonts w:ascii="Arial" w:hAnsi="Arial" w:cs="Arial"/>
          <w:sz w:val="22"/>
          <w:szCs w:val="22"/>
          <w:lang w:val="en-GB"/>
        </w:rPr>
        <w:noBreakHyphen/>
        <w:t>out of problem loans and put in place policies for the referral of loans to this unit.</w:t>
      </w:r>
    </w:p>
    <w:p w14:paraId="6952ADF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54.</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adequate procedures for recovering Exposures in arrears or those which had provisions made against them. These should allocate responsibility both internally and externally for its arrears management and recovery and define the involvement of the </w:t>
      </w:r>
      <w:r w:rsidR="000D1A90" w:rsidRPr="00E4265B">
        <w:rPr>
          <w:rFonts w:ascii="Arial" w:hAnsi="Arial" w:cs="Arial"/>
          <w:sz w:val="22"/>
          <w:szCs w:val="22"/>
          <w:lang w:val="en-GB"/>
        </w:rPr>
        <w:t>Authorised Person</w:t>
      </w:r>
      <w:r w:rsidRPr="00E4265B">
        <w:rPr>
          <w:rFonts w:ascii="Arial" w:hAnsi="Arial" w:cs="Arial"/>
          <w:sz w:val="22"/>
          <w:szCs w:val="22"/>
          <w:lang w:val="en-GB"/>
        </w:rPr>
        <w:t>'s solicitors.</w:t>
      </w:r>
    </w:p>
    <w:p w14:paraId="23E8C1D0" w14:textId="561142B6"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55</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Requirements relating to provisioning against loss on problem Exposures are covered in Chapter 4.</w:t>
      </w:r>
    </w:p>
    <w:p w14:paraId="335FFD50" w14:textId="77777777" w:rsidR="00E22FF2" w:rsidRPr="00E4265B" w:rsidRDefault="00E22FF2" w:rsidP="00520DD3">
      <w:pPr>
        <w:pStyle w:val="1List"/>
        <w:rPr>
          <w:rFonts w:ascii="Arial" w:hAnsi="Arial" w:cs="Arial"/>
          <w:sz w:val="22"/>
          <w:szCs w:val="22"/>
          <w:lang w:val="en-GB"/>
        </w:rPr>
      </w:pPr>
      <w:r w:rsidRPr="00E4265B">
        <w:rPr>
          <w:rFonts w:ascii="Arial" w:hAnsi="Arial" w:cs="Arial"/>
          <w:b/>
          <w:bCs/>
          <w:sz w:val="22"/>
          <w:szCs w:val="22"/>
          <w:lang w:val="en-GB"/>
        </w:rPr>
        <w:t>Risk mitigation</w:t>
      </w:r>
    </w:p>
    <w:p w14:paraId="0485BB1C" w14:textId="7B582CAD"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56</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Various methods can be used to mitigate Credit Risk, such as taking security or Collateral, obtaining a guarantee from a third party, purchasing insurance or Credit Derivatives. </w:t>
      </w:r>
      <w:r w:rsidR="000D1A90" w:rsidRPr="00E4265B">
        <w:rPr>
          <w:rFonts w:ascii="Arial" w:hAnsi="Arial" w:cs="Arial"/>
          <w:sz w:val="22"/>
          <w:szCs w:val="22"/>
          <w:lang w:val="en-GB"/>
        </w:rPr>
        <w:t>Authorised Person</w:t>
      </w:r>
      <w:r w:rsidRPr="00E4265B">
        <w:rPr>
          <w:rFonts w:ascii="Arial" w:hAnsi="Arial" w:cs="Arial"/>
          <w:sz w:val="22"/>
          <w:szCs w:val="22"/>
          <w:lang w:val="en-GB"/>
        </w:rPr>
        <w:t>s should view these as complementary to, rather than a replacement for, thorough credit analysis and procedures.</w:t>
      </w:r>
    </w:p>
    <w:p w14:paraId="1967DADF" w14:textId="00F28DAF"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57</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In controlling Credit Risk,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utilise certain mitigation techniques.</w:t>
      </w:r>
    </w:p>
    <w:p w14:paraId="40444B3E" w14:textId="77777777" w:rsidR="00E22FF2" w:rsidRPr="00E4265B" w:rsidRDefault="00E22FF2" w:rsidP="00013504">
      <w:pPr>
        <w:pStyle w:val="1List"/>
        <w:ind w:left="2664"/>
        <w:rPr>
          <w:rFonts w:ascii="Arial" w:hAnsi="Arial" w:cs="Arial"/>
          <w:sz w:val="22"/>
          <w:szCs w:val="22"/>
          <w:lang w:val="en-GB"/>
        </w:rPr>
      </w:pPr>
      <w:r w:rsidRPr="00E4265B">
        <w:rPr>
          <w:rFonts w:ascii="Arial" w:hAnsi="Arial" w:cs="Arial"/>
          <w:sz w:val="22"/>
          <w:szCs w:val="22"/>
          <w:lang w:val="en-GB"/>
        </w:rPr>
        <w:t>Normally, they include:</w:t>
      </w:r>
    </w:p>
    <w:p w14:paraId="17076623" w14:textId="4457AD78"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a</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accepting Collateral, standby letters of credit and guarantees;</w:t>
      </w:r>
    </w:p>
    <w:p w14:paraId="11E613AD" w14:textId="003C6177"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b</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entering into Netting arrangements;</w:t>
      </w:r>
    </w:p>
    <w:p w14:paraId="428D87D9" w14:textId="1EDF0928"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c</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setting strict loan covenants; and</w:t>
      </w:r>
    </w:p>
    <w:p w14:paraId="4AA16BEB" w14:textId="54BC1CC3"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d</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using Credit Derivatives and other hedging instruments.</w:t>
      </w:r>
    </w:p>
    <w:p w14:paraId="2DB5F947" w14:textId="0337795F"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58</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In determining which types of credit mitigation techniques should be used, firms should also consider:</w:t>
      </w:r>
    </w:p>
    <w:p w14:paraId="3928E9A4" w14:textId="35754E4B"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a</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their own knowledge and experience in using such techniques;</w:t>
      </w:r>
    </w:p>
    <w:p w14:paraId="7198120A" w14:textId="491EC8DC"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b</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cost</w:t>
      </w:r>
      <w:r w:rsidRPr="00E4265B">
        <w:rPr>
          <w:rFonts w:ascii="Arial" w:hAnsi="Arial" w:cs="Arial"/>
          <w:sz w:val="22"/>
          <w:szCs w:val="22"/>
          <w:lang w:val="en-GB"/>
        </w:rPr>
        <w:noBreakHyphen/>
        <w:t>effectiveness;</w:t>
      </w:r>
    </w:p>
    <w:p w14:paraId="71F90530" w14:textId="23DE718C"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c</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type and financial strength of the Counterparties or Issuers;</w:t>
      </w:r>
    </w:p>
    <w:p w14:paraId="7948F081" w14:textId="2A76CA4F"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d</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correlation with the underlying credits;</w:t>
      </w:r>
    </w:p>
    <w:p w14:paraId="7E3F7E9E" w14:textId="5C021C6D"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e</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availability, liquidity and realisability of the credit mitigation instruments;</w:t>
      </w:r>
    </w:p>
    <w:p w14:paraId="64E97A0B" w14:textId="7CA64B18"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f</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the extent to which legally recognised documentation, e.g. ISDA Master Agreement, can be adopted; and</w:t>
      </w:r>
    </w:p>
    <w:p w14:paraId="6BFBE191" w14:textId="7EDCD44E"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g</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the degree of supervisory recognition of the mitigation technique.</w:t>
      </w:r>
    </w:p>
    <w:p w14:paraId="39097542" w14:textId="6F0B6DD6"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59</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While mitigation through Collateral and guarantees is usually dealt with at the time of granting of credits, Credit Derivatives and Netting are often employed after the credit is in place, or used to manage the overall portfolio risk. When the mitigation arrangements are in place they should </w:t>
      </w:r>
      <w:r w:rsidRPr="00E4265B">
        <w:rPr>
          <w:rFonts w:ascii="Arial" w:hAnsi="Arial" w:cs="Arial"/>
          <w:sz w:val="22"/>
          <w:szCs w:val="22"/>
          <w:lang w:val="en-GB"/>
        </w:rPr>
        <w:lastRenderedPageBreak/>
        <w:t xml:space="preserve">then be controlled. </w:t>
      </w:r>
      <w:r w:rsidR="000D1A90" w:rsidRPr="00E4265B">
        <w:rPr>
          <w:rFonts w:ascii="Arial" w:hAnsi="Arial" w:cs="Arial"/>
          <w:sz w:val="22"/>
          <w:szCs w:val="22"/>
          <w:lang w:val="en-GB"/>
        </w:rPr>
        <w:t>Authorised Person</w:t>
      </w:r>
      <w:r w:rsidRPr="00E4265B">
        <w:rPr>
          <w:rFonts w:ascii="Arial" w:hAnsi="Arial" w:cs="Arial"/>
          <w:sz w:val="22"/>
          <w:szCs w:val="22"/>
          <w:lang w:val="en-GB"/>
        </w:rPr>
        <w:t>s should have written policies, procedures and controls for the use of credit mitigation techniques. They should also ensure adequate systems are in place to manage these activities.</w:t>
      </w:r>
    </w:p>
    <w:p w14:paraId="3AE428F0" w14:textId="1D70D8B3"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60</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000D1A90" w:rsidRPr="00E4265B">
        <w:rPr>
          <w:rFonts w:ascii="Arial" w:hAnsi="Arial" w:cs="Arial"/>
          <w:sz w:val="22"/>
          <w:szCs w:val="22"/>
          <w:lang w:val="en-GB"/>
        </w:rPr>
        <w:t>Authorised Person</w:t>
      </w:r>
      <w:r w:rsidRPr="00E4265B">
        <w:rPr>
          <w:rFonts w:ascii="Arial" w:hAnsi="Arial" w:cs="Arial"/>
          <w:sz w:val="22"/>
          <w:szCs w:val="22"/>
          <w:lang w:val="en-GB"/>
        </w:rPr>
        <w:t>s should revalue their Collateral and mitigation instruments on a regular basis.</w:t>
      </w:r>
    </w:p>
    <w:p w14:paraId="5E034F5C" w14:textId="77777777" w:rsidR="00E22FF2" w:rsidRPr="00E4265B" w:rsidRDefault="00E22FF2" w:rsidP="00520DD3">
      <w:pPr>
        <w:pStyle w:val="UK12Block05"/>
        <w:rPr>
          <w:rFonts w:ascii="Arial" w:hAnsi="Arial" w:cs="Arial"/>
          <w:sz w:val="22"/>
          <w:szCs w:val="22"/>
          <w:lang w:val="en-GB"/>
        </w:rPr>
      </w:pPr>
      <w:r w:rsidRPr="00E4265B">
        <w:rPr>
          <w:rFonts w:ascii="Arial" w:hAnsi="Arial" w:cs="Arial"/>
          <w:sz w:val="22"/>
          <w:szCs w:val="22"/>
          <w:lang w:val="en-GB"/>
        </w:rPr>
        <w:t>The method and frequency of revaluation depends on the nature of the hedge and the products involved.</w:t>
      </w:r>
    </w:p>
    <w:p w14:paraId="400863E6" w14:textId="6B9C8A98"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61</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If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takes security or Collateral, on credit facilities, appropriate policies and procedures should be documented covering:</w:t>
      </w:r>
    </w:p>
    <w:p w14:paraId="1CED427A" w14:textId="48DBAF29"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a</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the types of security or Collateral considered;</w:t>
      </w:r>
    </w:p>
    <w:p w14:paraId="551C0694" w14:textId="39EE19E6"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b</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procedures governing the valuation and revaluation of security or Collateral including the basis of valuation;</w:t>
      </w:r>
    </w:p>
    <w:p w14:paraId="2F3547D0" w14:textId="6B9F4F09"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c</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policies governing the taking of security or Collateral, including obtaining appropriate legal title; and</w:t>
      </w:r>
    </w:p>
    <w:p w14:paraId="2A10CD8E" w14:textId="1C2A6FC7"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d</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policies governing possession of security or Collateral.</w:t>
      </w:r>
    </w:p>
    <w:p w14:paraId="61AA9601" w14:textId="1047B992"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62</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value of security and Collateral should be monitored at an appropriate frequency. For example, commercial property might be revalued annually, whereas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provided as Collateral should be marked to market usually on a daily basis. Residential property may not need to be revalued annually, but information should be sought as to general market conditions.</w:t>
      </w:r>
    </w:p>
    <w:p w14:paraId="684980E6" w14:textId="5DE66398"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63</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When taking Collateral in support of an Exposure,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ensure that legal procedures have been followed, to ensure the Collateral can be enforced if required.</w:t>
      </w:r>
    </w:p>
    <w:p w14:paraId="66E2DDE8" w14:textId="71F7C58E"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64</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the legal and financial ability of a guarantor to fulfil the guarantee were it called upon to perform its obligations as guarantor.</w:t>
      </w:r>
    </w:p>
    <w:p w14:paraId="2867EBC5" w14:textId="6CF613A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65</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analyse carefully the protection afforded by risk mitigants such as Netting agreements or Credit Derivatives, to ensure that any residual Credit Risk is identified, measured, monitored and controlled.</w:t>
      </w:r>
    </w:p>
    <w:p w14:paraId="35CC99EB" w14:textId="7F9A9E4F"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66</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providing mortgages at high loan</w:t>
      </w:r>
      <w:r w:rsidRPr="00E4265B">
        <w:rPr>
          <w:rFonts w:ascii="Arial" w:hAnsi="Arial" w:cs="Arial"/>
          <w:sz w:val="22"/>
          <w:szCs w:val="22"/>
          <w:lang w:val="en-GB"/>
        </w:rPr>
        <w:noBreakHyphen/>
        <w:t>to</w:t>
      </w:r>
      <w:r w:rsidRPr="00E4265B">
        <w:rPr>
          <w:rFonts w:ascii="Arial" w:hAnsi="Arial" w:cs="Arial"/>
          <w:sz w:val="22"/>
          <w:szCs w:val="22"/>
          <w:lang w:val="en-GB"/>
        </w:rPr>
        <w:noBreakHyphen/>
        <w:t>value ratios should consider the need for alternative forms of protection against the risks of such lending, including mortgage indemnity insurance, to protect against the risk of a fall in the value of the property.</w:t>
      </w:r>
    </w:p>
    <w:p w14:paraId="05398C70" w14:textId="77777777" w:rsidR="00E22FF2" w:rsidRPr="00E4265B" w:rsidRDefault="00E22FF2" w:rsidP="00520DD3">
      <w:pPr>
        <w:pStyle w:val="TitleL5"/>
        <w:rPr>
          <w:rFonts w:ascii="Arial" w:hAnsi="Arial" w:cs="Arial"/>
          <w:sz w:val="22"/>
          <w:szCs w:val="22"/>
          <w:lang w:val="en-GB"/>
        </w:rPr>
      </w:pPr>
      <w:r w:rsidRPr="00E4265B">
        <w:rPr>
          <w:rFonts w:ascii="Arial" w:hAnsi="Arial" w:cs="Arial"/>
          <w:sz w:val="22"/>
          <w:szCs w:val="22"/>
          <w:lang w:val="en-GB"/>
        </w:rPr>
        <w:t>Record keeping</w:t>
      </w:r>
    </w:p>
    <w:p w14:paraId="0BCD63C8" w14:textId="5BDFDD6B"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67</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maintain appropriate records of:</w:t>
      </w:r>
    </w:p>
    <w:p w14:paraId="6179A0E2" w14:textId="0E6CA543"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a</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credit Exposures, including aggregations of credit Exposures, by:</w:t>
      </w:r>
    </w:p>
    <w:p w14:paraId="121DE4E8" w14:textId="75B843D0" w:rsidR="00E22FF2" w:rsidRPr="00E4265B" w:rsidRDefault="00E22FF2" w:rsidP="00520DD3">
      <w:pPr>
        <w:pStyle w:val="iList"/>
        <w:rPr>
          <w:rFonts w:ascii="Arial" w:hAnsi="Arial" w:cs="Arial"/>
          <w:sz w:val="22"/>
          <w:szCs w:val="22"/>
          <w:lang w:val="en-GB"/>
        </w:rPr>
      </w:pPr>
      <w:r w:rsidRPr="00E4265B">
        <w:rPr>
          <w:rFonts w:ascii="Arial" w:hAnsi="Arial" w:cs="Arial"/>
          <w:sz w:val="22"/>
          <w:szCs w:val="22"/>
          <w:lang w:val="en-GB"/>
        </w:rPr>
        <w:t>i</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Groups of Connected Counterparties; and</w:t>
      </w:r>
    </w:p>
    <w:p w14:paraId="1FE353DA" w14:textId="79B90D9B" w:rsidR="00E22FF2" w:rsidRPr="00E4265B" w:rsidRDefault="00E22FF2" w:rsidP="00520DD3">
      <w:pPr>
        <w:pStyle w:val="iList"/>
        <w:rPr>
          <w:rFonts w:ascii="Arial" w:hAnsi="Arial" w:cs="Arial"/>
          <w:sz w:val="22"/>
          <w:szCs w:val="22"/>
          <w:lang w:val="en-GB"/>
        </w:rPr>
      </w:pPr>
      <w:r w:rsidRPr="00E4265B">
        <w:rPr>
          <w:rFonts w:ascii="Arial" w:hAnsi="Arial" w:cs="Arial"/>
          <w:sz w:val="22"/>
          <w:szCs w:val="22"/>
          <w:lang w:val="en-GB"/>
        </w:rPr>
        <w:lastRenderedPageBreak/>
        <w:t>ii</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types of Counterparty as defined, for example, by the nature or geographical location of the Counterparty;</w:t>
      </w:r>
    </w:p>
    <w:p w14:paraId="6F14952E" w14:textId="3B8D5D21"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b</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credit decisions, including details of the facts or circumstances upon which a decision was made; and</w:t>
      </w:r>
    </w:p>
    <w:p w14:paraId="03ABEE64" w14:textId="152A94AF"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c</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information relevant to assessing current credit quality.</w:t>
      </w:r>
    </w:p>
    <w:p w14:paraId="75E51C5C" w14:textId="3C68CAFC"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68</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Credit records should be retained for at least six years, subject to any requirement in the Rules requiring such records to be kept for a longer period.</w:t>
      </w:r>
    </w:p>
    <w:p w14:paraId="717DF1CD" w14:textId="01B0E514"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69</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It is important that sound and legally enforceable documentation is in place for each credit agreement as this may be called upon in the event of a default or dispute.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therefore consider whether it is appropriate for an independent legal opinion to be sought on documentation used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Documentation should be in place before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enters into a contractual obligation or releases funds.</w:t>
      </w:r>
    </w:p>
    <w:p w14:paraId="07B23365" w14:textId="77777777" w:rsidR="00E22FF2" w:rsidRPr="00E4265B" w:rsidRDefault="00E22FF2" w:rsidP="00520DD3">
      <w:pPr>
        <w:pStyle w:val="TitleL5"/>
        <w:rPr>
          <w:rFonts w:ascii="Arial" w:hAnsi="Arial" w:cs="Arial"/>
          <w:sz w:val="22"/>
          <w:szCs w:val="22"/>
          <w:lang w:val="en-GB"/>
        </w:rPr>
      </w:pPr>
      <w:r w:rsidRPr="00E4265B">
        <w:rPr>
          <w:rFonts w:ascii="Arial" w:hAnsi="Arial" w:cs="Arial"/>
          <w:sz w:val="22"/>
          <w:szCs w:val="22"/>
          <w:lang w:val="en-GB"/>
        </w:rPr>
        <w:t>Country and transfer risk Exposure</w:t>
      </w:r>
    </w:p>
    <w:p w14:paraId="5A6A6F26" w14:textId="0E5D0942"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70</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Chapter 4 does not provide limits on the size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Exposure to a particular country or region. However,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which has Large Exposures in a country or region should include in its Credit Risk policy:</w:t>
      </w:r>
    </w:p>
    <w:p w14:paraId="4036ED41" w14:textId="7C11CCED"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a</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geographical areas in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does or intends to do business;</w:t>
      </w:r>
    </w:p>
    <w:p w14:paraId="1638B866" w14:textId="72A5E78B"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b</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its definition of Credit Risk Exposure and transfer risks (such as exchange restrictions) associated with doing business in each country or region;</w:t>
      </w:r>
    </w:p>
    <w:p w14:paraId="1906D61B" w14:textId="5155CEC7"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c</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how to measure its total Exposure in each country or region and across several countries or regions;</w:t>
      </w:r>
    </w:p>
    <w:p w14:paraId="3650945D" w14:textId="34C058D9"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d</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types of business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intends to undertake in each country or region;</w:t>
      </w:r>
    </w:p>
    <w:p w14:paraId="4C58835C" w14:textId="4673E59E"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e</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limits on Exposures to an individual country or region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deals with, and sub</w:t>
      </w:r>
      <w:r w:rsidRPr="00E4265B">
        <w:rPr>
          <w:rFonts w:ascii="Arial" w:hAnsi="Arial" w:cs="Arial"/>
          <w:sz w:val="22"/>
          <w:szCs w:val="22"/>
          <w:lang w:val="en-GB"/>
        </w:rPr>
        <w:noBreakHyphen/>
        <w:t>limits for different types of business if appropriate;</w:t>
      </w:r>
    </w:p>
    <w:p w14:paraId="7AB43683" w14:textId="21D3528C"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f</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the procedure for setting and reviewing country or regional limits; and</w:t>
      </w:r>
    </w:p>
    <w:p w14:paraId="6E9C347A" w14:textId="38799793"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g</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process by which the </w:t>
      </w:r>
      <w:r w:rsidR="000D1A90" w:rsidRPr="00E4265B">
        <w:rPr>
          <w:rFonts w:ascii="Arial" w:hAnsi="Arial" w:cs="Arial"/>
          <w:sz w:val="22"/>
          <w:szCs w:val="22"/>
          <w:lang w:val="en-GB"/>
        </w:rPr>
        <w:t>Authorised Person</w:t>
      </w:r>
      <w:r w:rsidRPr="00E4265B">
        <w:rPr>
          <w:rFonts w:ascii="Arial" w:hAnsi="Arial" w:cs="Arial"/>
          <w:sz w:val="22"/>
          <w:szCs w:val="22"/>
          <w:lang w:val="en-GB"/>
        </w:rPr>
        <w:t>'s actual country or regional Exposures will be monitored against limits and the procedure to be followed if the limits are breached.</w:t>
      </w:r>
    </w:p>
    <w:p w14:paraId="799613F1" w14:textId="6A9E76BC"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71</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When setting country or regional limits,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w:t>
      </w:r>
    </w:p>
    <w:p w14:paraId="0D880CD9" w14:textId="5031A42F"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a</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the economic and political circumstances prevailing in the country or region;</w:t>
      </w:r>
    </w:p>
    <w:p w14:paraId="3761A3E5" w14:textId="5FB10AC5"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lastRenderedPageBreak/>
        <w:t>b</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the transfer risks associated with any particular country or region;</w:t>
      </w:r>
    </w:p>
    <w:p w14:paraId="37D95179" w14:textId="77777777"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the type and maturity of business undertaken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a particular country or region;</w:t>
      </w:r>
    </w:p>
    <w:p w14:paraId="27175B29" w14:textId="1472F11D"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d</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's existing concentration of country or regional risk;</w:t>
      </w:r>
    </w:p>
    <w:p w14:paraId="46110352" w14:textId="3329E321"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e</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source of funding for the country or regional Exposure; and </w:t>
      </w:r>
    </w:p>
    <w:p w14:paraId="15B928F3" w14:textId="0B566425"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f</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sovereign or other guarantees offered.</w:t>
      </w:r>
    </w:p>
    <w:p w14:paraId="7B64A2AD" w14:textId="77777777" w:rsidR="00E22FF2" w:rsidRPr="00E4265B" w:rsidRDefault="00E22FF2" w:rsidP="00520DD3">
      <w:pPr>
        <w:pStyle w:val="TitleL5"/>
        <w:rPr>
          <w:rFonts w:ascii="Arial" w:hAnsi="Arial" w:cs="Arial"/>
          <w:sz w:val="22"/>
          <w:szCs w:val="22"/>
          <w:lang w:val="en-GB"/>
        </w:rPr>
      </w:pPr>
      <w:r w:rsidRPr="00E4265B">
        <w:rPr>
          <w:rFonts w:ascii="Arial" w:hAnsi="Arial" w:cs="Arial"/>
          <w:sz w:val="22"/>
          <w:szCs w:val="22"/>
          <w:lang w:val="en-GB"/>
        </w:rPr>
        <w:t>Provisioning</w:t>
      </w:r>
    </w:p>
    <w:p w14:paraId="5EC1D416" w14:textId="73F18D68"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72</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Depending upon the nature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its business, the </w:t>
      </w:r>
      <w:r w:rsidR="000D1A90" w:rsidRPr="00E4265B">
        <w:rPr>
          <w:rFonts w:ascii="Arial" w:hAnsi="Arial" w:cs="Arial"/>
          <w:sz w:val="22"/>
          <w:szCs w:val="22"/>
          <w:lang w:val="en-GB"/>
        </w:rPr>
        <w:t>Authorised Person</w:t>
      </w:r>
      <w:r w:rsidRPr="00E4265B">
        <w:rPr>
          <w:rFonts w:ascii="Arial" w:hAnsi="Arial" w:cs="Arial"/>
          <w:sz w:val="22"/>
          <w:szCs w:val="22"/>
          <w:lang w:val="en-GB"/>
        </w:rPr>
        <w:t>'s provisioning policy should set out:</w:t>
      </w:r>
    </w:p>
    <w:p w14:paraId="4CF238F7" w14:textId="41E3DD32"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a</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who has responsibility for reviewing the provisioning policy and approving any changes;</w:t>
      </w:r>
    </w:p>
    <w:p w14:paraId="038047EE" w14:textId="4F1C9A56"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b</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how frequently the policy should be reviewed;</w:t>
      </w:r>
    </w:p>
    <w:p w14:paraId="6B543406" w14:textId="77777777"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when the review will take place, including the circumstances in which a review might be more frequent;</w:t>
      </w:r>
    </w:p>
    <w:p w14:paraId="185CBDB9" w14:textId="68E0504E"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d</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who has primary responsibility for ensuring the provisioning policy remains appropriate, including any division of responsibilities;</w:t>
      </w:r>
    </w:p>
    <w:p w14:paraId="38E71948" w14:textId="77777777"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the areas of its business to which the provisioning policy relates </w:t>
      </w:r>
      <w:r w:rsidRPr="00E4265B">
        <w:rPr>
          <w:rFonts w:ascii="Arial" w:hAnsi="Arial" w:cs="Arial"/>
          <w:sz w:val="22"/>
          <w:szCs w:val="22"/>
          <w:lang w:val="en-GB"/>
        </w:rPr>
        <w:noBreakHyphen/>
        <w:t xml:space="preserve"> it should include both on balance sheet and off balance sheet Exposures and assets;</w:t>
      </w:r>
    </w:p>
    <w:p w14:paraId="14C1A60B" w14:textId="3CF007C4"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f</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where it takes different approaches to different lines of its business and the key features of those differences;</w:t>
      </w:r>
    </w:p>
    <w:p w14:paraId="640BA107" w14:textId="05870B1C"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g</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who has responsibility for monitoring its asset portfolio on a regular basis in order to identify problem or potential problem assets and the factors it takes into account in identifying them;</w:t>
      </w:r>
    </w:p>
    <w:p w14:paraId="2D2D69C1" w14:textId="303713F2"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h</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whether a loan grading system or a watch or problem list is used and, in the latter case, the criteria for adding an asset to or taking an asset off that list;</w:t>
      </w:r>
    </w:p>
    <w:p w14:paraId="423ECD48" w14:textId="75388CF1"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i</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extent to which the value of any Collateral, guarantees or insurance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holds affects the need for or size of provision;</w:t>
      </w:r>
    </w:p>
    <w:p w14:paraId="7E561786" w14:textId="007650DE"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j</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on what basis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makes its provisions, including the extent to which the level of provisioning is left to managerial judgement or to a committee or involves specified formulae and the methodologies or debt management systems and other formulae used to determine provisioning levels for different business lines and the factors applied within these methodologies;</w:t>
      </w:r>
    </w:p>
    <w:p w14:paraId="47D15DC0" w14:textId="77777777"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k.</w:t>
      </w:r>
      <w:r w:rsidRPr="00E4265B">
        <w:rPr>
          <w:rFonts w:ascii="Arial" w:hAnsi="Arial" w:cs="Arial"/>
          <w:sz w:val="22"/>
          <w:szCs w:val="22"/>
          <w:lang w:val="en-GB"/>
        </w:rPr>
        <w:tab/>
        <w:t xml:space="preserve">who is responsible for ensuring that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provisioning policy is being implemented properly, and the </w:t>
      </w:r>
      <w:r w:rsidRPr="00E4265B">
        <w:rPr>
          <w:rFonts w:ascii="Arial" w:hAnsi="Arial" w:cs="Arial"/>
          <w:sz w:val="22"/>
          <w:szCs w:val="22"/>
          <w:lang w:val="en-GB"/>
        </w:rPr>
        <w:lastRenderedPageBreak/>
        <w:t xml:space="preserve">measures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in place if its provisioning polices are not adhered to;</w:t>
      </w:r>
    </w:p>
    <w:p w14:paraId="46066225" w14:textId="77777777"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l.</w:t>
      </w:r>
      <w:r w:rsidRPr="00E4265B">
        <w:rPr>
          <w:rFonts w:ascii="Arial" w:hAnsi="Arial" w:cs="Arial"/>
          <w:sz w:val="22"/>
          <w:szCs w:val="22"/>
          <w:lang w:val="en-GB"/>
        </w:rPr>
        <w:tab/>
        <w:t xml:space="preserve">who is responsible for the regular reviews of the </w:t>
      </w:r>
      <w:r w:rsidR="000D1A90" w:rsidRPr="00E4265B">
        <w:rPr>
          <w:rFonts w:ascii="Arial" w:hAnsi="Arial" w:cs="Arial"/>
          <w:sz w:val="22"/>
          <w:szCs w:val="22"/>
          <w:lang w:val="en-GB"/>
        </w:rPr>
        <w:t>Authorised Person</w:t>
      </w:r>
      <w:r w:rsidRPr="00E4265B">
        <w:rPr>
          <w:rFonts w:ascii="Arial" w:hAnsi="Arial" w:cs="Arial"/>
          <w:sz w:val="22"/>
          <w:szCs w:val="22"/>
          <w:lang w:val="en-GB"/>
        </w:rPr>
        <w:t>'s specific and general provisions and who decides whether provision levels are satisfactory. The reviews should take account of changes in the status of the Exposures and potential losses and changes in the conditions associated with them;</w:t>
      </w:r>
    </w:p>
    <w:p w14:paraId="7DF005A5" w14:textId="77777777"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m.</w:t>
      </w:r>
      <w:r w:rsidRPr="00E4265B">
        <w:rPr>
          <w:rFonts w:ascii="Arial" w:hAnsi="Arial" w:cs="Arial"/>
          <w:sz w:val="22"/>
          <w:szCs w:val="22"/>
          <w:lang w:val="en-GB"/>
        </w:rPr>
        <w:tab/>
        <w:t xml:space="preserve">the reports used to enable management to ensure that the </w:t>
      </w:r>
      <w:r w:rsidR="000D1A90" w:rsidRPr="00E4265B">
        <w:rPr>
          <w:rFonts w:ascii="Arial" w:hAnsi="Arial" w:cs="Arial"/>
          <w:sz w:val="22"/>
          <w:szCs w:val="22"/>
          <w:lang w:val="en-GB"/>
        </w:rPr>
        <w:t>Authorised Person</w:t>
      </w:r>
      <w:r w:rsidRPr="00E4265B">
        <w:rPr>
          <w:rFonts w:ascii="Arial" w:hAnsi="Arial" w:cs="Arial"/>
          <w:sz w:val="22"/>
          <w:szCs w:val="22"/>
          <w:lang w:val="en-GB"/>
        </w:rPr>
        <w:t>'s provisioning levels remain satisfactory, the frequency and purpose of those reports and their circulation;</w:t>
      </w:r>
    </w:p>
    <w:p w14:paraId="7C1593D5" w14:textId="34109F39"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n</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procedures for recovering Exposures in arrears or Exposures which have had provisions made against them, including who has responsibility both internally and externally for its arrears management and recovery and the involvement of the </w:t>
      </w:r>
      <w:r w:rsidR="000D1A90" w:rsidRPr="00E4265B">
        <w:rPr>
          <w:rFonts w:ascii="Arial" w:hAnsi="Arial" w:cs="Arial"/>
          <w:sz w:val="22"/>
          <w:szCs w:val="22"/>
          <w:lang w:val="en-GB"/>
        </w:rPr>
        <w:t>Authorised Person</w:t>
      </w:r>
      <w:r w:rsidRPr="00E4265B">
        <w:rPr>
          <w:rFonts w:ascii="Arial" w:hAnsi="Arial" w:cs="Arial"/>
          <w:sz w:val="22"/>
          <w:szCs w:val="22"/>
          <w:lang w:val="en-GB"/>
        </w:rPr>
        <w:t>'s solicitors;</w:t>
      </w:r>
    </w:p>
    <w:p w14:paraId="62D54D2F" w14:textId="77777777"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o.</w:t>
      </w:r>
      <w:r w:rsidRPr="00E4265B">
        <w:rPr>
          <w:rFonts w:ascii="Arial" w:hAnsi="Arial" w:cs="Arial"/>
          <w:sz w:val="22"/>
          <w:szCs w:val="22"/>
          <w:lang w:val="en-GB"/>
        </w:rPr>
        <w:tab/>
        <w:t>the procedures and methodologies for writing off and writing back provisions, including treatment of interest and who has the relevant responsibility for determining these;</w:t>
      </w:r>
    </w:p>
    <w:p w14:paraId="2BFEF930" w14:textId="61CDE9F7"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p</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frequency of any review of its write off experience against provisions raised; such a review can help identify whether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policies result in over or under provisioning across the business cycle, and contribute to a general review of an </w:t>
      </w:r>
      <w:r w:rsidR="000D1A90" w:rsidRPr="00E4265B">
        <w:rPr>
          <w:rFonts w:ascii="Arial" w:hAnsi="Arial" w:cs="Arial"/>
          <w:sz w:val="22"/>
          <w:szCs w:val="22"/>
          <w:lang w:val="en-GB"/>
        </w:rPr>
        <w:t>Authorised Person</w:t>
      </w:r>
      <w:r w:rsidRPr="00E4265B">
        <w:rPr>
          <w:rFonts w:ascii="Arial" w:hAnsi="Arial" w:cs="Arial"/>
          <w:sz w:val="22"/>
          <w:szCs w:val="22"/>
          <w:lang w:val="en-GB"/>
        </w:rPr>
        <w:t>'s provisioning policy and the design of any loan grading systems, Credit Risk models, and risk pricing; and</w:t>
      </w:r>
    </w:p>
    <w:p w14:paraId="6FAA7C9A" w14:textId="77777777" w:rsidR="00E22FF2" w:rsidRPr="00E4265B" w:rsidRDefault="00E22FF2" w:rsidP="00520DD3">
      <w:pPr>
        <w:pStyle w:val="aList"/>
        <w:rPr>
          <w:rFonts w:ascii="Arial" w:hAnsi="Arial" w:cs="Arial"/>
          <w:sz w:val="22"/>
          <w:szCs w:val="22"/>
          <w:lang w:val="en-GB"/>
        </w:rPr>
      </w:pPr>
      <w:r w:rsidRPr="00E4265B">
        <w:rPr>
          <w:rFonts w:ascii="Arial" w:hAnsi="Arial" w:cs="Arial"/>
          <w:sz w:val="22"/>
          <w:szCs w:val="22"/>
          <w:lang w:val="en-GB"/>
        </w:rPr>
        <w:t>q.</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's procedures and methodologies for calculating and raising provisions for contingent and other liabilities, how frequently they should be reviewed and who has the relevant responsibilities. Other liabilities include the crystallisation of contingent liabilities such as acceptances, endorsements, guarantees, performance bonds, indemnities, irrevocable letters of credit and the confirmation of documentary credits.</w:t>
      </w:r>
    </w:p>
    <w:p w14:paraId="7A7B1BCC" w14:textId="0ED23242"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73</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Provisions may be general (against the whole of a given portfolio) or specific (against particular Exposures identified as bad or doubtful), or both. The Regulator expects contingent liabilities and anticipated losses to be recognised in accordance with the applicable accounting standards.</w:t>
      </w:r>
    </w:p>
    <w:p w14:paraId="5FE66B0D" w14:textId="6F2E7419"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74</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Appropriate systems and controls for provisions vary with the nature, scale and complexity of the credit granted.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for which the extension of credit is a substantial part of its business is expected to have greater regard to developing, implementing and documenting a provisioning policy than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for which Credit Risk is incidental to the operation of its business.</w:t>
      </w:r>
    </w:p>
    <w:p w14:paraId="25A5BB00" w14:textId="10732FF5" w:rsidR="00E22FF2" w:rsidRPr="00E4265B" w:rsidRDefault="00E22FF2" w:rsidP="00B40809">
      <w:pPr>
        <w:pStyle w:val="1List"/>
        <w:spacing w:after="0"/>
        <w:rPr>
          <w:rFonts w:ascii="Arial" w:hAnsi="Arial" w:cs="Arial"/>
          <w:sz w:val="22"/>
          <w:szCs w:val="22"/>
          <w:lang w:val="en-GB"/>
        </w:rPr>
      </w:pPr>
      <w:r w:rsidRPr="00E4265B">
        <w:rPr>
          <w:rFonts w:ascii="Arial" w:hAnsi="Arial" w:cs="Arial"/>
          <w:sz w:val="22"/>
          <w:szCs w:val="22"/>
          <w:lang w:val="en-GB"/>
        </w:rPr>
        <w:t>75</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The Regulator recognises that the frequency with which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reviews its provisioning policy once it has been established will vary from firm to firm. However, the Regulator expects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review its policy to ensure it remains appropriate for the business it undertakes and the economic environment in which it operates. The </w:t>
      </w:r>
      <w:r w:rsidRPr="00E4265B">
        <w:rPr>
          <w:rFonts w:ascii="Arial" w:hAnsi="Arial" w:cs="Arial"/>
          <w:sz w:val="22"/>
          <w:szCs w:val="22"/>
          <w:lang w:val="en-GB"/>
        </w:rPr>
        <w:lastRenderedPageBreak/>
        <w:t>provisioning policy should be reviewed at least annually by the Governing Body.</w:t>
      </w:r>
    </w:p>
    <w:p w14:paraId="6203AA57" w14:textId="77777777" w:rsidR="00E22FF2" w:rsidRPr="00E4265B" w:rsidRDefault="00E22FF2" w:rsidP="004F0272">
      <w:pPr>
        <w:pStyle w:val="UK12Title2"/>
        <w:rPr>
          <w:rFonts w:ascii="Arial" w:hAnsi="Arial" w:cs="Arial"/>
          <w:sz w:val="22"/>
          <w:szCs w:val="22"/>
        </w:rPr>
      </w:pPr>
      <w:bookmarkStart w:id="970" w:name="_Toc33622479"/>
      <w:r w:rsidRPr="00E4265B">
        <w:rPr>
          <w:rFonts w:ascii="Arial" w:hAnsi="Arial" w:cs="Arial"/>
          <w:sz w:val="22"/>
          <w:szCs w:val="22"/>
        </w:rPr>
        <w:t>A4.2 </w:t>
      </w:r>
      <w:r w:rsidRPr="00E4265B">
        <w:rPr>
          <w:rFonts w:ascii="Arial" w:hAnsi="Arial" w:cs="Arial"/>
          <w:sz w:val="22"/>
          <w:szCs w:val="22"/>
        </w:rPr>
        <w:tab/>
        <w:t>Credit conversion factors (CCFs) for calculating Exposures</w:t>
      </w:r>
      <w:bookmarkEnd w:id="970"/>
    </w:p>
    <w:p w14:paraId="41AAC66A" w14:textId="77777777" w:rsidR="00E22FF2" w:rsidRPr="00E4265B" w:rsidRDefault="00E22FF2" w:rsidP="00520DD3">
      <w:pPr>
        <w:pStyle w:val="TitleL5"/>
        <w:rPr>
          <w:rFonts w:ascii="Arial" w:hAnsi="Arial" w:cs="Arial"/>
          <w:sz w:val="22"/>
          <w:szCs w:val="22"/>
          <w:lang w:val="en-GB"/>
        </w:rPr>
      </w:pPr>
      <w:r w:rsidRPr="00E4265B">
        <w:rPr>
          <w:rFonts w:ascii="Arial" w:hAnsi="Arial" w:cs="Arial"/>
          <w:sz w:val="22"/>
          <w:szCs w:val="22"/>
          <w:lang w:val="en-GB"/>
        </w:rPr>
        <w:t>CCFs for off</w:t>
      </w:r>
      <w:r w:rsidRPr="00E4265B">
        <w:rPr>
          <w:rFonts w:ascii="Arial" w:hAnsi="Arial" w:cs="Arial"/>
          <w:sz w:val="22"/>
          <w:szCs w:val="22"/>
          <w:lang w:val="en-GB"/>
        </w:rPr>
        <w:noBreakHyphen/>
        <w:t>balance sheet CR Exposures</w:t>
      </w:r>
    </w:p>
    <w:p w14:paraId="4F8A9F2F" w14:textId="6C55B5DE" w:rsidR="00D84350" w:rsidRPr="00E4265B" w:rsidRDefault="00E22FF2" w:rsidP="00520DD3">
      <w:pPr>
        <w:pStyle w:val="A1List"/>
        <w:rPr>
          <w:rFonts w:ascii="Arial" w:hAnsi="Arial" w:cs="Arial"/>
          <w:sz w:val="22"/>
          <w:szCs w:val="22"/>
          <w:lang w:val="en-GB"/>
        </w:rPr>
      </w:pPr>
      <w:r w:rsidRPr="00E4265B">
        <w:rPr>
          <w:rFonts w:ascii="Arial" w:hAnsi="Arial" w:cs="Arial"/>
          <w:b/>
          <w:bCs/>
          <w:sz w:val="22"/>
          <w:szCs w:val="22"/>
          <w:lang w:val="en-GB"/>
        </w:rPr>
        <w:t>A4.2.1</w:t>
      </w:r>
      <w:r w:rsidRPr="00E4265B">
        <w:rPr>
          <w:rFonts w:ascii="Arial" w:hAnsi="Arial" w:cs="Arial"/>
          <w:b/>
          <w:bCs/>
          <w:sz w:val="22"/>
          <w:szCs w:val="22"/>
          <w:lang w:val="en-GB"/>
        </w:rPr>
        <w:tab/>
      </w:r>
      <w:r w:rsidRPr="00E4265B">
        <w:rPr>
          <w:rFonts w:ascii="Arial" w:hAnsi="Arial" w:cs="Arial"/>
          <w:sz w:val="22"/>
          <w:szCs w:val="22"/>
          <w:lang w:val="en-GB"/>
        </w:rPr>
        <w:t>The applicable CCFs for off</w:t>
      </w:r>
      <w:r w:rsidRPr="00E4265B">
        <w:rPr>
          <w:rFonts w:ascii="Arial" w:hAnsi="Arial" w:cs="Arial"/>
          <w:sz w:val="22"/>
          <w:szCs w:val="22"/>
          <w:lang w:val="en-GB"/>
        </w:rPr>
        <w:noBreakHyphen/>
        <w:t>balance sheet CR Exposures are provided in the table below.</w:t>
      </w:r>
    </w:p>
    <w:tbl>
      <w:tblPr>
        <w:tblStyle w:val="TableGrid"/>
        <w:tblW w:w="4312" w:type="pct"/>
        <w:tblInd w:w="1098" w:type="dxa"/>
        <w:tblLook w:val="04A0" w:firstRow="1" w:lastRow="0" w:firstColumn="1" w:lastColumn="0" w:noHBand="0" w:noVBand="1"/>
      </w:tblPr>
      <w:tblGrid>
        <w:gridCol w:w="522"/>
        <w:gridCol w:w="5711"/>
        <w:gridCol w:w="1543"/>
      </w:tblGrid>
      <w:tr w:rsidR="00ED0AF1" w:rsidRPr="00E4265B" w14:paraId="4F15D661" w14:textId="77777777" w:rsidTr="00ED0AF1">
        <w:trPr>
          <w:tblHeader/>
        </w:trPr>
        <w:tc>
          <w:tcPr>
            <w:tcW w:w="4008" w:type="pct"/>
            <w:gridSpan w:val="2"/>
            <w:shd w:val="clear" w:color="auto" w:fill="D9D9D9" w:themeFill="background1" w:themeFillShade="D9"/>
            <w:vAlign w:val="center"/>
          </w:tcPr>
          <w:p w14:paraId="4FE3600B" w14:textId="2D05199F" w:rsidR="00ED0AF1" w:rsidRPr="00E4265B" w:rsidRDefault="00ED0AF1" w:rsidP="00ED0AF1">
            <w:pPr>
              <w:spacing w:after="240"/>
              <w:jc w:val="center"/>
              <w:rPr>
                <w:rFonts w:ascii="Arial" w:hAnsi="Arial" w:cs="Arial"/>
                <w:b/>
                <w:bCs/>
                <w:sz w:val="22"/>
                <w:szCs w:val="22"/>
                <w:lang w:val="en-GB"/>
              </w:rPr>
            </w:pPr>
            <w:r w:rsidRPr="00E4265B">
              <w:rPr>
                <w:rFonts w:ascii="Arial" w:hAnsi="Arial" w:cs="Arial"/>
                <w:b/>
                <w:bCs/>
                <w:sz w:val="22"/>
                <w:szCs w:val="22"/>
                <w:lang w:val="en-GB"/>
              </w:rPr>
              <w:t>Description of off-balance sheet item</w:t>
            </w:r>
          </w:p>
        </w:tc>
        <w:tc>
          <w:tcPr>
            <w:tcW w:w="992" w:type="pct"/>
            <w:shd w:val="clear" w:color="auto" w:fill="D9D9D9" w:themeFill="background1" w:themeFillShade="D9"/>
            <w:vAlign w:val="center"/>
          </w:tcPr>
          <w:p w14:paraId="60E86920" w14:textId="77777777" w:rsidR="00ED0AF1" w:rsidRPr="00E4265B" w:rsidRDefault="00ED0AF1" w:rsidP="008702C6">
            <w:pPr>
              <w:spacing w:after="240"/>
              <w:jc w:val="center"/>
              <w:rPr>
                <w:rFonts w:ascii="Arial" w:hAnsi="Arial" w:cs="Arial"/>
                <w:b/>
                <w:bCs/>
                <w:sz w:val="22"/>
                <w:szCs w:val="22"/>
                <w:lang w:val="en-GB"/>
              </w:rPr>
            </w:pPr>
            <w:r w:rsidRPr="00E4265B">
              <w:rPr>
                <w:rFonts w:ascii="Arial" w:hAnsi="Arial" w:cs="Arial"/>
                <w:b/>
                <w:bCs/>
                <w:sz w:val="22"/>
                <w:szCs w:val="22"/>
                <w:lang w:val="en-GB"/>
              </w:rPr>
              <w:t>CCF</w:t>
            </w:r>
          </w:p>
        </w:tc>
      </w:tr>
      <w:tr w:rsidR="00E22FF2" w:rsidRPr="00E4265B" w14:paraId="45DA3E85" w14:textId="77777777" w:rsidTr="00ED0AF1">
        <w:tc>
          <w:tcPr>
            <w:tcW w:w="336" w:type="pct"/>
            <w:vAlign w:val="center"/>
          </w:tcPr>
          <w:p w14:paraId="13CE1458"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(a)</w:t>
            </w:r>
          </w:p>
        </w:tc>
        <w:tc>
          <w:tcPr>
            <w:tcW w:w="3672" w:type="pct"/>
            <w:vAlign w:val="center"/>
          </w:tcPr>
          <w:p w14:paraId="63EF23EC"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Direct credit substitutes</w:t>
            </w:r>
          </w:p>
        </w:tc>
        <w:tc>
          <w:tcPr>
            <w:tcW w:w="992" w:type="pct"/>
            <w:vAlign w:val="center"/>
          </w:tcPr>
          <w:p w14:paraId="6841F829"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100%</w:t>
            </w:r>
          </w:p>
        </w:tc>
      </w:tr>
      <w:tr w:rsidR="00E22FF2" w:rsidRPr="00E4265B" w14:paraId="7BA53B1E" w14:textId="77777777" w:rsidTr="00ED0AF1">
        <w:tc>
          <w:tcPr>
            <w:tcW w:w="336" w:type="pct"/>
            <w:vAlign w:val="center"/>
          </w:tcPr>
          <w:p w14:paraId="609D574C"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(b)</w:t>
            </w:r>
          </w:p>
        </w:tc>
        <w:tc>
          <w:tcPr>
            <w:tcW w:w="3672" w:type="pct"/>
            <w:vAlign w:val="center"/>
          </w:tcPr>
          <w:p w14:paraId="0F2AD66E"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Transaction-related contingent items</w:t>
            </w:r>
          </w:p>
        </w:tc>
        <w:tc>
          <w:tcPr>
            <w:tcW w:w="992" w:type="pct"/>
            <w:vAlign w:val="center"/>
          </w:tcPr>
          <w:p w14:paraId="7970E8F0"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50%</w:t>
            </w:r>
          </w:p>
        </w:tc>
      </w:tr>
      <w:tr w:rsidR="00E22FF2" w:rsidRPr="00E4265B" w14:paraId="084D619B" w14:textId="77777777" w:rsidTr="00ED0AF1">
        <w:tc>
          <w:tcPr>
            <w:tcW w:w="336" w:type="pct"/>
            <w:vAlign w:val="center"/>
          </w:tcPr>
          <w:p w14:paraId="0CD9D886"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(c)</w:t>
            </w:r>
          </w:p>
        </w:tc>
        <w:tc>
          <w:tcPr>
            <w:tcW w:w="3672" w:type="pct"/>
            <w:vAlign w:val="center"/>
          </w:tcPr>
          <w:p w14:paraId="1C545271"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Short-term self-liquidating trade-related contingent items (applicable to both issuing and confirming banks) and commitments to underwrite debt and equity </w:t>
            </w:r>
            <w:r w:rsidR="00877CEA" w:rsidRPr="00E4265B">
              <w:rPr>
                <w:rFonts w:ascii="Arial" w:hAnsi="Arial" w:cs="Arial"/>
                <w:sz w:val="22"/>
                <w:szCs w:val="22"/>
                <w:lang w:val="en-GB"/>
              </w:rPr>
              <w:t>Securities</w:t>
            </w:r>
          </w:p>
        </w:tc>
        <w:tc>
          <w:tcPr>
            <w:tcW w:w="992" w:type="pct"/>
            <w:vAlign w:val="center"/>
          </w:tcPr>
          <w:p w14:paraId="69EB70A5"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20%</w:t>
            </w:r>
          </w:p>
        </w:tc>
      </w:tr>
      <w:tr w:rsidR="00E22FF2" w:rsidRPr="00E4265B" w14:paraId="68BCF1D6" w14:textId="77777777" w:rsidTr="00ED0AF1">
        <w:tc>
          <w:tcPr>
            <w:tcW w:w="336" w:type="pct"/>
            <w:vAlign w:val="center"/>
          </w:tcPr>
          <w:p w14:paraId="1BA62DDC"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(d)</w:t>
            </w:r>
          </w:p>
        </w:tc>
        <w:tc>
          <w:tcPr>
            <w:tcW w:w="3672" w:type="pct"/>
            <w:vAlign w:val="center"/>
          </w:tcPr>
          <w:p w14:paraId="513A0D63"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Note issuance facilities and revolving Underwriting facilities</w:t>
            </w:r>
          </w:p>
        </w:tc>
        <w:tc>
          <w:tcPr>
            <w:tcW w:w="992" w:type="pct"/>
            <w:vAlign w:val="center"/>
          </w:tcPr>
          <w:p w14:paraId="3B207F35"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50%</w:t>
            </w:r>
          </w:p>
        </w:tc>
      </w:tr>
      <w:tr w:rsidR="00E22FF2" w:rsidRPr="00E4265B" w14:paraId="00C868BF" w14:textId="77777777" w:rsidTr="00ED0AF1">
        <w:tc>
          <w:tcPr>
            <w:tcW w:w="336" w:type="pct"/>
            <w:vAlign w:val="center"/>
          </w:tcPr>
          <w:p w14:paraId="339699ED"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(e)</w:t>
            </w:r>
          </w:p>
        </w:tc>
        <w:tc>
          <w:tcPr>
            <w:tcW w:w="3672" w:type="pct"/>
            <w:vAlign w:val="center"/>
          </w:tcPr>
          <w:p w14:paraId="339BE440"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Transactions, other than SFTs, involving the posting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held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as Collateral</w:t>
            </w:r>
          </w:p>
        </w:tc>
        <w:tc>
          <w:tcPr>
            <w:tcW w:w="992" w:type="pct"/>
            <w:vAlign w:val="center"/>
          </w:tcPr>
          <w:p w14:paraId="7E904C34"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100%</w:t>
            </w:r>
          </w:p>
        </w:tc>
      </w:tr>
      <w:tr w:rsidR="00E22FF2" w:rsidRPr="00E4265B" w14:paraId="2B432FCD" w14:textId="77777777" w:rsidTr="00ED0AF1">
        <w:tc>
          <w:tcPr>
            <w:tcW w:w="336" w:type="pct"/>
            <w:vAlign w:val="center"/>
          </w:tcPr>
          <w:p w14:paraId="2367129F"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(f)</w:t>
            </w:r>
          </w:p>
        </w:tc>
        <w:tc>
          <w:tcPr>
            <w:tcW w:w="3672" w:type="pct"/>
            <w:vAlign w:val="center"/>
          </w:tcPr>
          <w:p w14:paraId="4442302F"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Asset sales with recourse, where the Credit Risk remains with the </w:t>
            </w:r>
            <w:r w:rsidR="000D1A90" w:rsidRPr="00E4265B">
              <w:rPr>
                <w:rFonts w:ascii="Arial" w:hAnsi="Arial" w:cs="Arial"/>
                <w:sz w:val="22"/>
                <w:szCs w:val="22"/>
                <w:lang w:val="en-GB"/>
              </w:rPr>
              <w:t>Authorised Person</w:t>
            </w:r>
          </w:p>
        </w:tc>
        <w:tc>
          <w:tcPr>
            <w:tcW w:w="992" w:type="pct"/>
            <w:vAlign w:val="center"/>
          </w:tcPr>
          <w:p w14:paraId="3A3F58EC"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100%</w:t>
            </w:r>
          </w:p>
        </w:tc>
      </w:tr>
      <w:tr w:rsidR="00E22FF2" w:rsidRPr="00E4265B" w14:paraId="1214D0D2" w14:textId="77777777" w:rsidTr="00ED0AF1">
        <w:tc>
          <w:tcPr>
            <w:tcW w:w="336" w:type="pct"/>
            <w:tcBorders>
              <w:bottom w:val="single" w:sz="4" w:space="0" w:color="auto"/>
            </w:tcBorders>
            <w:vAlign w:val="center"/>
          </w:tcPr>
          <w:p w14:paraId="4B8D8BB0"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(g)</w:t>
            </w:r>
          </w:p>
        </w:tc>
        <w:tc>
          <w:tcPr>
            <w:tcW w:w="3672" w:type="pct"/>
            <w:tcBorders>
              <w:bottom w:val="single" w:sz="4" w:space="0" w:color="auto"/>
            </w:tcBorders>
            <w:vAlign w:val="center"/>
          </w:tcPr>
          <w:p w14:paraId="1034ABF8"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Other commitments with certain drawdown</w:t>
            </w:r>
          </w:p>
        </w:tc>
        <w:tc>
          <w:tcPr>
            <w:tcW w:w="992" w:type="pct"/>
            <w:tcBorders>
              <w:bottom w:val="single" w:sz="4" w:space="0" w:color="auto"/>
            </w:tcBorders>
            <w:vAlign w:val="center"/>
          </w:tcPr>
          <w:p w14:paraId="4FB5F214"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100%</w:t>
            </w:r>
          </w:p>
        </w:tc>
      </w:tr>
      <w:tr w:rsidR="00E22FF2" w:rsidRPr="00E4265B" w14:paraId="73A16944" w14:textId="77777777" w:rsidTr="00ED0AF1">
        <w:tc>
          <w:tcPr>
            <w:tcW w:w="336" w:type="pct"/>
            <w:tcBorders>
              <w:bottom w:val="nil"/>
            </w:tcBorders>
            <w:vAlign w:val="center"/>
          </w:tcPr>
          <w:p w14:paraId="439BBCD0"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(h)</w:t>
            </w:r>
          </w:p>
        </w:tc>
        <w:tc>
          <w:tcPr>
            <w:tcW w:w="3672" w:type="pct"/>
            <w:tcBorders>
              <w:bottom w:val="nil"/>
              <w:right w:val="single" w:sz="4" w:space="0" w:color="auto"/>
            </w:tcBorders>
            <w:vAlign w:val="center"/>
          </w:tcPr>
          <w:p w14:paraId="48A75E10" w14:textId="72C67C61"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Other commitments</w:t>
            </w:r>
            <w:r w:rsidR="00ED0AF1" w:rsidRPr="00E4265B">
              <w:rPr>
                <w:rFonts w:ascii="Arial" w:hAnsi="Arial" w:cs="Arial"/>
                <w:sz w:val="22"/>
                <w:szCs w:val="22"/>
                <w:lang w:val="en-GB"/>
              </w:rPr>
              <w:t>:</w:t>
            </w:r>
          </w:p>
        </w:tc>
        <w:tc>
          <w:tcPr>
            <w:tcW w:w="992" w:type="pct"/>
            <w:tcBorders>
              <w:left w:val="single" w:sz="4" w:space="0" w:color="auto"/>
              <w:bottom w:val="nil"/>
            </w:tcBorders>
            <w:vAlign w:val="center"/>
          </w:tcPr>
          <w:p w14:paraId="57D0783C" w14:textId="77777777" w:rsidR="00E22FF2" w:rsidRPr="00E4265B" w:rsidRDefault="00E22FF2" w:rsidP="008702C6">
            <w:pPr>
              <w:spacing w:after="240"/>
              <w:jc w:val="center"/>
              <w:rPr>
                <w:rFonts w:ascii="Arial" w:hAnsi="Arial" w:cs="Arial"/>
                <w:sz w:val="22"/>
                <w:szCs w:val="22"/>
                <w:lang w:val="en-GB"/>
              </w:rPr>
            </w:pPr>
          </w:p>
        </w:tc>
      </w:tr>
      <w:tr w:rsidR="00E22FF2" w:rsidRPr="00E4265B" w14:paraId="43C9EF4C" w14:textId="77777777" w:rsidTr="00ED0AF1">
        <w:tc>
          <w:tcPr>
            <w:tcW w:w="336" w:type="pct"/>
            <w:tcBorders>
              <w:top w:val="nil"/>
              <w:bottom w:val="nil"/>
            </w:tcBorders>
            <w:vAlign w:val="center"/>
          </w:tcPr>
          <w:p w14:paraId="12503CE2" w14:textId="77777777" w:rsidR="00E22FF2" w:rsidRPr="00E4265B" w:rsidRDefault="00E22FF2" w:rsidP="008702C6">
            <w:pPr>
              <w:spacing w:after="240"/>
              <w:jc w:val="center"/>
              <w:rPr>
                <w:rFonts w:ascii="Arial" w:hAnsi="Arial" w:cs="Arial"/>
                <w:sz w:val="22"/>
                <w:szCs w:val="22"/>
                <w:lang w:val="en-GB"/>
              </w:rPr>
            </w:pPr>
          </w:p>
        </w:tc>
        <w:tc>
          <w:tcPr>
            <w:tcW w:w="3672" w:type="pct"/>
            <w:tcBorders>
              <w:top w:val="nil"/>
              <w:bottom w:val="nil"/>
              <w:right w:val="single" w:sz="4" w:space="0" w:color="auto"/>
            </w:tcBorders>
            <w:vAlign w:val="center"/>
          </w:tcPr>
          <w:p w14:paraId="2B3C6239" w14:textId="439E790B" w:rsidR="00E22FF2" w:rsidRPr="00E4265B" w:rsidRDefault="00E22FF2" w:rsidP="008702C6">
            <w:pPr>
              <w:spacing w:after="240"/>
              <w:ind w:left="702" w:hanging="702"/>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with an Original Maturity of more than one year</w:t>
            </w:r>
            <w:r w:rsidR="00ED0AF1" w:rsidRPr="00E4265B">
              <w:rPr>
                <w:rFonts w:ascii="Arial" w:hAnsi="Arial" w:cs="Arial"/>
                <w:sz w:val="22"/>
                <w:szCs w:val="22"/>
                <w:lang w:val="en-GB"/>
              </w:rPr>
              <w:t>;</w:t>
            </w:r>
          </w:p>
        </w:tc>
        <w:tc>
          <w:tcPr>
            <w:tcW w:w="992" w:type="pct"/>
            <w:tcBorders>
              <w:top w:val="nil"/>
              <w:left w:val="single" w:sz="4" w:space="0" w:color="auto"/>
              <w:bottom w:val="nil"/>
            </w:tcBorders>
            <w:vAlign w:val="center"/>
          </w:tcPr>
          <w:p w14:paraId="4691006B"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50%</w:t>
            </w:r>
          </w:p>
        </w:tc>
      </w:tr>
      <w:tr w:rsidR="00E22FF2" w:rsidRPr="00E4265B" w14:paraId="4DAAF546" w14:textId="77777777" w:rsidTr="00ED0AF1">
        <w:tc>
          <w:tcPr>
            <w:tcW w:w="336" w:type="pct"/>
            <w:tcBorders>
              <w:top w:val="nil"/>
              <w:bottom w:val="nil"/>
            </w:tcBorders>
            <w:vAlign w:val="center"/>
          </w:tcPr>
          <w:p w14:paraId="34EE1C10" w14:textId="77777777" w:rsidR="00E22FF2" w:rsidRPr="00E4265B" w:rsidRDefault="00E22FF2" w:rsidP="008702C6">
            <w:pPr>
              <w:spacing w:after="240"/>
              <w:jc w:val="center"/>
              <w:rPr>
                <w:rFonts w:ascii="Arial" w:hAnsi="Arial" w:cs="Arial"/>
                <w:sz w:val="22"/>
                <w:szCs w:val="22"/>
                <w:lang w:val="en-GB"/>
              </w:rPr>
            </w:pPr>
          </w:p>
        </w:tc>
        <w:tc>
          <w:tcPr>
            <w:tcW w:w="3672" w:type="pct"/>
            <w:tcBorders>
              <w:top w:val="nil"/>
              <w:bottom w:val="nil"/>
              <w:right w:val="single" w:sz="4" w:space="0" w:color="auto"/>
            </w:tcBorders>
            <w:vAlign w:val="center"/>
          </w:tcPr>
          <w:p w14:paraId="2DB76968" w14:textId="319672BD" w:rsidR="00E22FF2" w:rsidRPr="00E4265B" w:rsidRDefault="00E22FF2" w:rsidP="008702C6">
            <w:pPr>
              <w:spacing w:after="240"/>
              <w:ind w:left="702" w:hanging="702"/>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with an Original Maturity of one year or less</w:t>
            </w:r>
            <w:r w:rsidR="00ED0AF1" w:rsidRPr="00E4265B">
              <w:rPr>
                <w:rFonts w:ascii="Arial" w:hAnsi="Arial" w:cs="Arial"/>
                <w:sz w:val="22"/>
                <w:szCs w:val="22"/>
                <w:lang w:val="en-GB"/>
              </w:rPr>
              <w:t>;</w:t>
            </w:r>
          </w:p>
        </w:tc>
        <w:tc>
          <w:tcPr>
            <w:tcW w:w="992" w:type="pct"/>
            <w:tcBorders>
              <w:top w:val="nil"/>
              <w:left w:val="single" w:sz="4" w:space="0" w:color="auto"/>
              <w:bottom w:val="nil"/>
            </w:tcBorders>
            <w:vAlign w:val="center"/>
          </w:tcPr>
          <w:p w14:paraId="70537B38"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20%</w:t>
            </w:r>
          </w:p>
        </w:tc>
      </w:tr>
      <w:tr w:rsidR="00E22FF2" w:rsidRPr="00E4265B" w14:paraId="42D50720" w14:textId="77777777" w:rsidTr="00ED0AF1">
        <w:tc>
          <w:tcPr>
            <w:tcW w:w="336" w:type="pct"/>
            <w:tcBorders>
              <w:top w:val="nil"/>
            </w:tcBorders>
            <w:vAlign w:val="center"/>
          </w:tcPr>
          <w:p w14:paraId="329067DB" w14:textId="77777777" w:rsidR="00E22FF2" w:rsidRPr="00E4265B" w:rsidRDefault="00E22FF2" w:rsidP="008702C6">
            <w:pPr>
              <w:spacing w:after="240"/>
              <w:jc w:val="center"/>
              <w:rPr>
                <w:rFonts w:ascii="Arial" w:hAnsi="Arial" w:cs="Arial"/>
                <w:sz w:val="22"/>
                <w:szCs w:val="22"/>
                <w:lang w:val="en-GB"/>
              </w:rPr>
            </w:pPr>
          </w:p>
        </w:tc>
        <w:tc>
          <w:tcPr>
            <w:tcW w:w="3672" w:type="pct"/>
            <w:tcBorders>
              <w:top w:val="nil"/>
              <w:right w:val="single" w:sz="4" w:space="0" w:color="auto"/>
            </w:tcBorders>
            <w:vAlign w:val="center"/>
          </w:tcPr>
          <w:p w14:paraId="68ED05D6" w14:textId="539E7B3B" w:rsidR="00E22FF2" w:rsidRPr="00E4265B" w:rsidRDefault="00E22FF2" w:rsidP="00ED0AF1">
            <w:pPr>
              <w:spacing w:after="240"/>
              <w:ind w:left="702" w:hanging="702"/>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which are unconditionally cancellable at any</w:t>
            </w:r>
            <w:r w:rsidR="00ED0AF1" w:rsidRPr="00E4265B">
              <w:rPr>
                <w:rFonts w:ascii="Arial" w:hAnsi="Arial" w:cs="Arial"/>
                <w:sz w:val="22"/>
                <w:szCs w:val="22"/>
                <w:lang w:val="en-GB"/>
              </w:rPr>
              <w:t xml:space="preserve"> </w:t>
            </w:r>
            <w:r w:rsidRPr="00E4265B">
              <w:rPr>
                <w:rFonts w:ascii="Arial" w:hAnsi="Arial" w:cs="Arial"/>
                <w:sz w:val="22"/>
                <w:szCs w:val="22"/>
                <w:lang w:val="en-GB"/>
              </w:rPr>
              <w:t xml:space="preserve">time by the </w:t>
            </w:r>
            <w:r w:rsidR="000D1A90" w:rsidRPr="00E4265B">
              <w:rPr>
                <w:rFonts w:ascii="Arial" w:hAnsi="Arial" w:cs="Arial"/>
                <w:sz w:val="22"/>
                <w:szCs w:val="22"/>
                <w:lang w:val="en-GB"/>
              </w:rPr>
              <w:t>Authorised Person</w:t>
            </w:r>
            <w:r w:rsidR="00ED0AF1" w:rsidRPr="00E4265B">
              <w:rPr>
                <w:rFonts w:ascii="Arial" w:hAnsi="Arial" w:cs="Arial"/>
                <w:sz w:val="22"/>
                <w:szCs w:val="22"/>
                <w:lang w:val="en-GB"/>
              </w:rPr>
              <w:t xml:space="preserve"> without prior notice, </w:t>
            </w:r>
            <w:r w:rsidRPr="00E4265B">
              <w:rPr>
                <w:rFonts w:ascii="Arial" w:hAnsi="Arial" w:cs="Arial"/>
                <w:sz w:val="22"/>
                <w:szCs w:val="22"/>
                <w:lang w:val="en-GB"/>
              </w:rPr>
              <w:t>or that effectively provide for automatic</w:t>
            </w:r>
            <w:r w:rsidR="00ED0AF1" w:rsidRPr="00E4265B">
              <w:rPr>
                <w:rFonts w:ascii="Arial" w:hAnsi="Arial" w:cs="Arial"/>
                <w:sz w:val="22"/>
                <w:szCs w:val="22"/>
                <w:lang w:val="en-GB"/>
              </w:rPr>
              <w:t xml:space="preserve"> </w:t>
            </w:r>
            <w:r w:rsidRPr="00E4265B">
              <w:rPr>
                <w:rFonts w:ascii="Arial" w:hAnsi="Arial" w:cs="Arial"/>
                <w:sz w:val="22"/>
                <w:szCs w:val="22"/>
                <w:lang w:val="en-GB"/>
              </w:rPr>
              <w:t xml:space="preserve">cancellation due to </w:t>
            </w:r>
            <w:r w:rsidR="00ED0AF1" w:rsidRPr="00E4265B">
              <w:rPr>
                <w:rFonts w:ascii="Arial" w:hAnsi="Arial" w:cs="Arial"/>
                <w:sz w:val="22"/>
                <w:szCs w:val="22"/>
                <w:lang w:val="en-GB"/>
              </w:rPr>
              <w:t xml:space="preserve">a </w:t>
            </w:r>
            <w:r w:rsidRPr="00E4265B">
              <w:rPr>
                <w:rFonts w:ascii="Arial" w:hAnsi="Arial" w:cs="Arial"/>
                <w:sz w:val="22"/>
                <w:szCs w:val="22"/>
                <w:lang w:val="en-GB"/>
              </w:rPr>
              <w:t xml:space="preserve">deterioration in </w:t>
            </w:r>
            <w:r w:rsidR="00ED0AF1" w:rsidRPr="00E4265B">
              <w:rPr>
                <w:rFonts w:ascii="Arial" w:hAnsi="Arial" w:cs="Arial"/>
                <w:sz w:val="22"/>
                <w:szCs w:val="22"/>
                <w:lang w:val="en-GB"/>
              </w:rPr>
              <w:t xml:space="preserve">the </w:t>
            </w:r>
            <w:r w:rsidRPr="00E4265B">
              <w:rPr>
                <w:rFonts w:ascii="Arial" w:hAnsi="Arial" w:cs="Arial"/>
                <w:sz w:val="22"/>
                <w:szCs w:val="22"/>
                <w:lang w:val="en-GB"/>
              </w:rPr>
              <w:t>creditworthiness</w:t>
            </w:r>
            <w:r w:rsidR="00ED0AF1" w:rsidRPr="00E4265B">
              <w:rPr>
                <w:rFonts w:ascii="Arial" w:hAnsi="Arial" w:cs="Arial"/>
                <w:sz w:val="22"/>
                <w:szCs w:val="22"/>
                <w:lang w:val="en-GB"/>
              </w:rPr>
              <w:t xml:space="preserve"> of an obligor</w:t>
            </w:r>
          </w:p>
        </w:tc>
        <w:tc>
          <w:tcPr>
            <w:tcW w:w="992" w:type="pct"/>
            <w:tcBorders>
              <w:top w:val="nil"/>
              <w:left w:val="single" w:sz="4" w:space="0" w:color="auto"/>
            </w:tcBorders>
            <w:vAlign w:val="center"/>
          </w:tcPr>
          <w:p w14:paraId="6805D54E"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0%</w:t>
            </w:r>
          </w:p>
        </w:tc>
      </w:tr>
    </w:tbl>
    <w:p w14:paraId="017F1EC9" w14:textId="77777777" w:rsidR="00E22FF2" w:rsidRPr="00E4265B" w:rsidRDefault="00E22FF2" w:rsidP="00A56816">
      <w:pPr>
        <w:rPr>
          <w:rFonts w:ascii="Arial" w:hAnsi="Arial" w:cs="Arial"/>
          <w:sz w:val="22"/>
          <w:szCs w:val="22"/>
          <w:lang w:val="en-GB"/>
        </w:rPr>
      </w:pPr>
    </w:p>
    <w:p w14:paraId="04CCB56D" w14:textId="77777777" w:rsidR="00E22FF2" w:rsidRPr="00E4265B" w:rsidRDefault="00E22FF2" w:rsidP="00520DD3">
      <w:pPr>
        <w:pStyle w:val="TitleL5"/>
        <w:rPr>
          <w:rFonts w:ascii="Arial" w:hAnsi="Arial" w:cs="Arial"/>
          <w:sz w:val="22"/>
          <w:szCs w:val="22"/>
          <w:lang w:val="en-GB"/>
        </w:rPr>
      </w:pPr>
      <w:r w:rsidRPr="00E4265B">
        <w:rPr>
          <w:rFonts w:ascii="Arial" w:hAnsi="Arial" w:cs="Arial"/>
          <w:sz w:val="22"/>
          <w:szCs w:val="22"/>
          <w:lang w:val="en-GB"/>
        </w:rPr>
        <w:t>Guidance</w:t>
      </w:r>
    </w:p>
    <w:p w14:paraId="3C58D71D" w14:textId="5972AC84"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In cases where there is an undertaking to provide a commitment on another off</w:t>
      </w:r>
      <w:r w:rsidRPr="00E4265B">
        <w:rPr>
          <w:rFonts w:ascii="Arial" w:hAnsi="Arial" w:cs="Arial"/>
          <w:sz w:val="22"/>
          <w:szCs w:val="22"/>
          <w:lang w:val="en-GB"/>
        </w:rPr>
        <w:noBreakHyphen/>
        <w:t xml:space="preserve">balance sheet Exposure,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apply the lower of the applicable CCFs. Examples of direct credit substitutes include general guarantees of indebtedness, standby letters of credit serving as financial guarantees for loans and </w:t>
      </w:r>
      <w:r w:rsidR="00877CEA" w:rsidRPr="00E4265B">
        <w:rPr>
          <w:rFonts w:ascii="Arial" w:hAnsi="Arial" w:cs="Arial"/>
          <w:sz w:val="22"/>
          <w:szCs w:val="22"/>
          <w:lang w:val="en-GB"/>
        </w:rPr>
        <w:t>Securities</w:t>
      </w:r>
      <w:r w:rsidRPr="00E4265B">
        <w:rPr>
          <w:rFonts w:ascii="Arial" w:hAnsi="Arial" w:cs="Arial"/>
          <w:sz w:val="22"/>
          <w:szCs w:val="22"/>
          <w:lang w:val="en-GB"/>
        </w:rPr>
        <w:t>, and acceptances (including endorsements with the character of acceptances). Examples of transaction</w:t>
      </w:r>
      <w:r w:rsidRPr="00E4265B">
        <w:rPr>
          <w:rFonts w:ascii="Arial" w:hAnsi="Arial" w:cs="Arial"/>
          <w:sz w:val="22"/>
          <w:szCs w:val="22"/>
          <w:lang w:val="en-GB"/>
        </w:rPr>
        <w:noBreakHyphen/>
        <w:t>related contingent items include performance bonds, bid bonds, warranties and standby letters of credit related to particular transactions.</w:t>
      </w:r>
    </w:p>
    <w:p w14:paraId="37414192" w14:textId="0621A439"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2</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Documentary credits collateralised by the underlying shipments are an example of short</w:t>
      </w:r>
      <w:r w:rsidRPr="00E4265B">
        <w:rPr>
          <w:rFonts w:ascii="Arial" w:hAnsi="Arial" w:cs="Arial"/>
          <w:sz w:val="22"/>
          <w:szCs w:val="22"/>
          <w:lang w:val="en-GB"/>
        </w:rPr>
        <w:noBreakHyphen/>
        <w:t>term self</w:t>
      </w:r>
      <w:r w:rsidRPr="00E4265B">
        <w:rPr>
          <w:rFonts w:ascii="Arial" w:hAnsi="Arial" w:cs="Arial"/>
          <w:sz w:val="22"/>
          <w:szCs w:val="22"/>
          <w:lang w:val="en-GB"/>
        </w:rPr>
        <w:noBreakHyphen/>
        <w:t>liquidating trade</w:t>
      </w:r>
      <w:r w:rsidRPr="00E4265B">
        <w:rPr>
          <w:rFonts w:ascii="Arial" w:hAnsi="Arial" w:cs="Arial"/>
          <w:sz w:val="22"/>
          <w:szCs w:val="22"/>
          <w:lang w:val="en-GB"/>
        </w:rPr>
        <w:noBreakHyphen/>
        <w:t xml:space="preserve">related contingent items. In respect of item (f) in the table above, the terms of the agreement should be such that there is no substantial transfer of all risks and rewards of ownership to the Counterparty. Other commitments with certain drawdown would include forward purchase, forward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xml:space="preserve"> and partly paid </w:t>
      </w:r>
      <w:r w:rsidR="00877CEA" w:rsidRPr="00E4265B">
        <w:rPr>
          <w:rFonts w:ascii="Arial" w:hAnsi="Arial" w:cs="Arial"/>
          <w:sz w:val="22"/>
          <w:szCs w:val="22"/>
          <w:lang w:val="en-GB"/>
        </w:rPr>
        <w:t>Securities</w:t>
      </w:r>
      <w:r w:rsidRPr="00E4265B">
        <w:rPr>
          <w:rFonts w:ascii="Arial" w:hAnsi="Arial" w:cs="Arial"/>
          <w:sz w:val="22"/>
          <w:szCs w:val="22"/>
          <w:lang w:val="en-GB"/>
        </w:rPr>
        <w:t>. Formal standby facilities and credit lines are examples of other commitments, referred to in item (h) of the table above.</w:t>
      </w:r>
    </w:p>
    <w:p w14:paraId="5D7D43F2" w14:textId="1C6BBC04"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3</w:t>
      </w:r>
      <w:r w:rsidR="00ED0AF1" w:rsidRPr="00E4265B">
        <w:rPr>
          <w:rFonts w:ascii="Arial" w:hAnsi="Arial" w:cs="Arial"/>
          <w:sz w:val="22"/>
          <w:szCs w:val="22"/>
          <w:lang w:val="en-GB"/>
        </w:rPr>
        <w:t>.</w:t>
      </w:r>
      <w:r w:rsidR="00ED0AF1" w:rsidRPr="00E4265B">
        <w:rPr>
          <w:rFonts w:ascii="Arial" w:hAnsi="Arial" w:cs="Arial"/>
          <w:sz w:val="22"/>
          <w:szCs w:val="22"/>
          <w:lang w:val="en-GB"/>
        </w:rPr>
        <w:tab/>
      </w:r>
      <w:r w:rsidRPr="00E4265B">
        <w:rPr>
          <w:rFonts w:ascii="Arial" w:hAnsi="Arial" w:cs="Arial"/>
          <w:sz w:val="22"/>
          <w:szCs w:val="22"/>
          <w:lang w:val="en-GB"/>
        </w:rPr>
        <w:t xml:space="preserve">In respect of item (h)(iii) in the table above, an </w:t>
      </w:r>
      <w:r w:rsidR="000D1A90" w:rsidRPr="00E4265B">
        <w:rPr>
          <w:rFonts w:ascii="Arial" w:hAnsi="Arial" w:cs="Arial"/>
          <w:sz w:val="22"/>
          <w:szCs w:val="22"/>
          <w:lang w:val="en-GB"/>
        </w:rPr>
        <w:t>Authorised Person</w:t>
      </w:r>
      <w:r w:rsidRPr="00E4265B">
        <w:rPr>
          <w:rFonts w:ascii="Arial" w:hAnsi="Arial" w:cs="Arial"/>
          <w:sz w:val="22"/>
          <w:szCs w:val="22"/>
          <w:lang w:val="en-GB"/>
        </w:rPr>
        <w:t>, if required to by the Regulator, should be able to demonstrate that it actively monitors the financial condition of the obligor, and that its internal control systems are such that it is able to cancel the facility upon evidence of a deterioration in the credit quality of the obligor.</w:t>
      </w:r>
    </w:p>
    <w:p w14:paraId="29A486D0" w14:textId="77777777" w:rsidR="00E22FF2" w:rsidRPr="00E4265B" w:rsidRDefault="00E22FF2" w:rsidP="00520DD3">
      <w:pPr>
        <w:pStyle w:val="TitleL5"/>
        <w:rPr>
          <w:rFonts w:ascii="Arial" w:hAnsi="Arial" w:cs="Arial"/>
          <w:sz w:val="22"/>
          <w:szCs w:val="22"/>
          <w:lang w:val="en-GB"/>
        </w:rPr>
      </w:pPr>
      <w:r w:rsidRPr="00E4265B">
        <w:rPr>
          <w:rFonts w:ascii="Arial" w:hAnsi="Arial" w:cs="Arial"/>
          <w:sz w:val="22"/>
          <w:szCs w:val="22"/>
          <w:lang w:val="en-GB"/>
        </w:rPr>
        <w:t>CCFs for off</w:t>
      </w:r>
      <w:r w:rsidRPr="00E4265B">
        <w:rPr>
          <w:rFonts w:ascii="Arial" w:hAnsi="Arial" w:cs="Arial"/>
          <w:sz w:val="22"/>
          <w:szCs w:val="22"/>
          <w:lang w:val="en-GB"/>
        </w:rPr>
        <w:noBreakHyphen/>
        <w:t>balance sheet SE Exposures</w:t>
      </w:r>
    </w:p>
    <w:p w14:paraId="27D4A29F" w14:textId="302E117D" w:rsidR="00E22FF2" w:rsidRPr="00E4265B" w:rsidRDefault="00E22FF2" w:rsidP="00520DD3">
      <w:pPr>
        <w:pStyle w:val="List2TabStops"/>
        <w:rPr>
          <w:rFonts w:ascii="Arial" w:hAnsi="Arial" w:cs="Arial"/>
          <w:sz w:val="22"/>
          <w:szCs w:val="22"/>
          <w:lang w:val="en-GB"/>
        </w:rPr>
      </w:pPr>
      <w:r w:rsidRPr="00E4265B">
        <w:rPr>
          <w:rFonts w:ascii="Arial" w:hAnsi="Arial" w:cs="Arial"/>
          <w:b/>
          <w:bCs/>
          <w:sz w:val="22"/>
          <w:szCs w:val="22"/>
          <w:lang w:val="en-GB"/>
        </w:rPr>
        <w:t>A4.2.2</w:t>
      </w:r>
      <w:r w:rsidRPr="00E4265B">
        <w:rPr>
          <w:rFonts w:ascii="Arial" w:hAnsi="Arial" w:cs="Arial"/>
          <w:b/>
          <w:bCs/>
          <w:sz w:val="22"/>
          <w:szCs w:val="22"/>
          <w:lang w:val="en-GB"/>
        </w:rPr>
        <w:tab/>
      </w:r>
      <w:r w:rsidR="00B81702" w:rsidRPr="00E4265B">
        <w:rPr>
          <w:rFonts w:ascii="Arial" w:hAnsi="Arial" w:cs="Arial"/>
          <w:sz w:val="22"/>
          <w:szCs w:val="22"/>
          <w:lang w:val="en-GB"/>
        </w:rPr>
        <w:t>(1)</w:t>
      </w:r>
      <w:r w:rsidRPr="00E4265B">
        <w:rPr>
          <w:rFonts w:ascii="Arial" w:hAnsi="Arial" w:cs="Arial"/>
          <w:sz w:val="22"/>
          <w:szCs w:val="22"/>
          <w:lang w:val="en-GB"/>
        </w:rPr>
        <w:tab/>
        <w:t>The applicable CCFs for off</w:t>
      </w:r>
      <w:r w:rsidRPr="00E4265B">
        <w:rPr>
          <w:rFonts w:ascii="Arial" w:hAnsi="Arial" w:cs="Arial"/>
          <w:sz w:val="22"/>
          <w:szCs w:val="22"/>
          <w:lang w:val="en-GB"/>
        </w:rPr>
        <w:noBreakHyphen/>
        <w:t>balance sheet SE Exposures are provided in the table below.</w:t>
      </w:r>
    </w:p>
    <w:tbl>
      <w:tblPr>
        <w:tblStyle w:val="TableGrid"/>
        <w:tblW w:w="8076" w:type="dxa"/>
        <w:tblInd w:w="1098" w:type="dxa"/>
        <w:tblLook w:val="04A0" w:firstRow="1" w:lastRow="0" w:firstColumn="1" w:lastColumn="0" w:noHBand="0" w:noVBand="1"/>
      </w:tblPr>
      <w:tblGrid>
        <w:gridCol w:w="554"/>
        <w:gridCol w:w="5926"/>
        <w:gridCol w:w="1596"/>
      </w:tblGrid>
      <w:tr w:rsidR="00ED0AF1" w:rsidRPr="00E4265B" w14:paraId="34CCC422" w14:textId="77777777" w:rsidTr="00ED0AF1">
        <w:trPr>
          <w:tblHeader/>
        </w:trPr>
        <w:tc>
          <w:tcPr>
            <w:tcW w:w="6480" w:type="dxa"/>
            <w:gridSpan w:val="2"/>
            <w:shd w:val="clear" w:color="auto" w:fill="D9D9D9" w:themeFill="background1" w:themeFillShade="D9"/>
            <w:vAlign w:val="center"/>
          </w:tcPr>
          <w:p w14:paraId="0384CC3E" w14:textId="77777777" w:rsidR="00ED0AF1" w:rsidRPr="00E4265B" w:rsidRDefault="00ED0AF1" w:rsidP="00ED0AF1">
            <w:pPr>
              <w:spacing w:after="240"/>
              <w:jc w:val="center"/>
              <w:rPr>
                <w:rFonts w:ascii="Arial" w:hAnsi="Arial" w:cs="Arial"/>
                <w:b/>
                <w:sz w:val="22"/>
                <w:szCs w:val="22"/>
                <w:lang w:val="en-GB"/>
              </w:rPr>
            </w:pPr>
            <w:r w:rsidRPr="00E4265B">
              <w:rPr>
                <w:rFonts w:ascii="Arial" w:hAnsi="Arial" w:cs="Arial"/>
                <w:b/>
                <w:sz w:val="22"/>
                <w:szCs w:val="22"/>
                <w:lang w:val="en-GB"/>
              </w:rPr>
              <w:t>Description of off-balance sheet item</w:t>
            </w:r>
          </w:p>
        </w:tc>
        <w:tc>
          <w:tcPr>
            <w:tcW w:w="1596" w:type="dxa"/>
            <w:shd w:val="clear" w:color="auto" w:fill="D9D9D9" w:themeFill="background1" w:themeFillShade="D9"/>
            <w:vAlign w:val="center"/>
          </w:tcPr>
          <w:p w14:paraId="189C0732" w14:textId="77777777" w:rsidR="00ED0AF1" w:rsidRPr="00E4265B" w:rsidRDefault="00ED0AF1" w:rsidP="008702C6">
            <w:pPr>
              <w:spacing w:after="240"/>
              <w:jc w:val="center"/>
              <w:rPr>
                <w:rFonts w:ascii="Arial" w:hAnsi="Arial" w:cs="Arial"/>
                <w:b/>
                <w:sz w:val="22"/>
                <w:szCs w:val="22"/>
                <w:lang w:val="en-GB"/>
              </w:rPr>
            </w:pPr>
            <w:r w:rsidRPr="00E4265B">
              <w:rPr>
                <w:rFonts w:ascii="Arial" w:hAnsi="Arial" w:cs="Arial"/>
                <w:b/>
                <w:sz w:val="22"/>
                <w:szCs w:val="22"/>
                <w:lang w:val="en-GB"/>
              </w:rPr>
              <w:t>CCF</w:t>
            </w:r>
          </w:p>
        </w:tc>
      </w:tr>
      <w:tr w:rsidR="00E22FF2" w:rsidRPr="00E4265B" w14:paraId="78B46D7C" w14:textId="77777777" w:rsidTr="00ED0AF1">
        <w:tc>
          <w:tcPr>
            <w:tcW w:w="554" w:type="dxa"/>
            <w:vAlign w:val="center"/>
          </w:tcPr>
          <w:p w14:paraId="2E8D2452"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(a)</w:t>
            </w:r>
          </w:p>
        </w:tc>
        <w:tc>
          <w:tcPr>
            <w:tcW w:w="5926" w:type="dxa"/>
            <w:vAlign w:val="center"/>
          </w:tcPr>
          <w:p w14:paraId="77B71AB4"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Unrated eligible liquidity facilities</w:t>
            </w:r>
          </w:p>
        </w:tc>
        <w:tc>
          <w:tcPr>
            <w:tcW w:w="1596" w:type="dxa"/>
            <w:vAlign w:val="center"/>
          </w:tcPr>
          <w:p w14:paraId="46885F14"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50%</w:t>
            </w:r>
          </w:p>
        </w:tc>
      </w:tr>
      <w:tr w:rsidR="00E22FF2" w:rsidRPr="00E4265B" w14:paraId="33D25F48" w14:textId="77777777" w:rsidTr="00ED0AF1">
        <w:tc>
          <w:tcPr>
            <w:tcW w:w="554" w:type="dxa"/>
            <w:vAlign w:val="center"/>
          </w:tcPr>
          <w:p w14:paraId="3CD92B7A"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(b)</w:t>
            </w:r>
          </w:p>
        </w:tc>
        <w:tc>
          <w:tcPr>
            <w:tcW w:w="5926" w:type="dxa"/>
            <w:vAlign w:val="center"/>
          </w:tcPr>
          <w:p w14:paraId="7265C3DB"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Eligible Servicer cash advance facilities</w:t>
            </w:r>
          </w:p>
        </w:tc>
        <w:tc>
          <w:tcPr>
            <w:tcW w:w="1596" w:type="dxa"/>
            <w:vAlign w:val="center"/>
          </w:tcPr>
          <w:p w14:paraId="45178EE9"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0%</w:t>
            </w:r>
          </w:p>
        </w:tc>
      </w:tr>
      <w:tr w:rsidR="00E22FF2" w:rsidRPr="00E4265B" w14:paraId="672DE98C" w14:textId="77777777" w:rsidTr="00ED0AF1">
        <w:tc>
          <w:tcPr>
            <w:tcW w:w="554" w:type="dxa"/>
            <w:vAlign w:val="center"/>
          </w:tcPr>
          <w:p w14:paraId="289E1072"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(c)</w:t>
            </w:r>
          </w:p>
        </w:tc>
        <w:tc>
          <w:tcPr>
            <w:tcW w:w="5926" w:type="dxa"/>
            <w:vAlign w:val="center"/>
          </w:tcPr>
          <w:p w14:paraId="52E99D3C"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Others</w:t>
            </w:r>
          </w:p>
        </w:tc>
        <w:tc>
          <w:tcPr>
            <w:tcW w:w="1596" w:type="dxa"/>
            <w:vAlign w:val="center"/>
          </w:tcPr>
          <w:p w14:paraId="6741ECFF"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100%</w:t>
            </w:r>
          </w:p>
        </w:tc>
      </w:tr>
    </w:tbl>
    <w:p w14:paraId="676583D0" w14:textId="77777777" w:rsidR="00E22FF2" w:rsidRPr="00E4265B" w:rsidRDefault="00E22FF2" w:rsidP="00A56816">
      <w:pPr>
        <w:rPr>
          <w:rFonts w:ascii="Arial" w:hAnsi="Arial" w:cs="Arial"/>
          <w:sz w:val="22"/>
          <w:szCs w:val="22"/>
          <w:lang w:val="en-GB"/>
        </w:rPr>
      </w:pPr>
    </w:p>
    <w:p w14:paraId="3C7EA83E"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notify the Regulator if it intends to provide eligible Servicer cash advance facilities and when there is a drawdown.</w:t>
      </w:r>
    </w:p>
    <w:p w14:paraId="620918A8" w14:textId="77777777" w:rsidR="00E22FF2" w:rsidRPr="00E4265B" w:rsidRDefault="00E22FF2" w:rsidP="00520DD3">
      <w:pPr>
        <w:pStyle w:val="TitleL5"/>
        <w:rPr>
          <w:rFonts w:ascii="Arial" w:hAnsi="Arial" w:cs="Arial"/>
          <w:sz w:val="22"/>
          <w:szCs w:val="22"/>
          <w:lang w:val="en-GB"/>
        </w:rPr>
      </w:pPr>
      <w:r w:rsidRPr="00E4265B">
        <w:rPr>
          <w:rFonts w:ascii="Arial" w:hAnsi="Arial" w:cs="Arial"/>
          <w:sz w:val="22"/>
          <w:szCs w:val="22"/>
          <w:lang w:val="en-GB"/>
        </w:rPr>
        <w:t>Guidance</w:t>
      </w:r>
    </w:p>
    <w:p w14:paraId="1203BF79" w14:textId="77777777" w:rsidR="00E22FF2" w:rsidRPr="00E4265B" w:rsidRDefault="00E22FF2" w:rsidP="00520DD3">
      <w:pPr>
        <w:pStyle w:val="UK12Block05"/>
        <w:rPr>
          <w:rFonts w:ascii="Arial" w:hAnsi="Arial" w:cs="Arial"/>
          <w:sz w:val="22"/>
          <w:szCs w:val="22"/>
          <w:lang w:val="en-GB"/>
        </w:rPr>
      </w:pPr>
      <w:r w:rsidRPr="00E4265B">
        <w:rPr>
          <w:rFonts w:ascii="Arial" w:hAnsi="Arial" w:cs="Arial"/>
          <w:sz w:val="22"/>
          <w:szCs w:val="22"/>
          <w:lang w:val="en-GB"/>
        </w:rPr>
        <w:t>Eligible Servicer cash advance facilities refers to undrawn Servicer cash advances or facilities that are contractually provided for and unconditionally cancellable without prior notice, so long as the Servicer is entitled to full reimbursement and this right is senior to other claims on cash flows from the underlying Exposures.</w:t>
      </w:r>
    </w:p>
    <w:p w14:paraId="34D541A6" w14:textId="26F39623" w:rsidR="00E22FF2" w:rsidRPr="00E4265B" w:rsidRDefault="00B81702" w:rsidP="004F0272">
      <w:pPr>
        <w:pStyle w:val="UK12Title2"/>
        <w:rPr>
          <w:rFonts w:ascii="Arial" w:hAnsi="Arial" w:cs="Arial"/>
          <w:sz w:val="22"/>
          <w:szCs w:val="22"/>
        </w:rPr>
      </w:pPr>
      <w:bookmarkStart w:id="971" w:name="_Toc33622480"/>
      <w:r w:rsidRPr="00E4265B">
        <w:rPr>
          <w:rFonts w:ascii="Arial" w:hAnsi="Arial" w:cs="Arial"/>
          <w:sz w:val="22"/>
          <w:szCs w:val="22"/>
        </w:rPr>
        <w:t>A4.3</w:t>
      </w:r>
      <w:r w:rsidR="00E22FF2" w:rsidRPr="00E4265B">
        <w:rPr>
          <w:rFonts w:ascii="Arial" w:hAnsi="Arial" w:cs="Arial"/>
          <w:sz w:val="22"/>
          <w:szCs w:val="22"/>
        </w:rPr>
        <w:tab/>
        <w:t>Collateral calculations and haircuts</w:t>
      </w:r>
      <w:bookmarkEnd w:id="971"/>
    </w:p>
    <w:p w14:paraId="74445C16" w14:textId="589135CA" w:rsidR="00E22FF2" w:rsidRPr="00E4265B" w:rsidRDefault="00436D7D" w:rsidP="00F2388B">
      <w:pPr>
        <w:pStyle w:val="TitleL5"/>
        <w:ind w:left="990"/>
        <w:rPr>
          <w:rFonts w:ascii="Arial" w:hAnsi="Arial" w:cs="Arial"/>
          <w:sz w:val="22"/>
          <w:szCs w:val="22"/>
          <w:lang w:val="en-GB"/>
        </w:rPr>
      </w:pPr>
      <w:r w:rsidRPr="00E4265B">
        <w:rPr>
          <w:rFonts w:ascii="Arial" w:hAnsi="Arial" w:cs="Arial"/>
          <w:sz w:val="22"/>
          <w:szCs w:val="22"/>
          <w:lang w:val="en-GB"/>
        </w:rPr>
        <w:t>Core market participants</w:t>
      </w:r>
    </w:p>
    <w:p w14:paraId="7D8DAF93" w14:textId="77777777" w:rsidR="00E22FF2" w:rsidRPr="00E4265B" w:rsidRDefault="00E22FF2" w:rsidP="00520DD3">
      <w:pPr>
        <w:pStyle w:val="A1List"/>
        <w:rPr>
          <w:rFonts w:ascii="Arial" w:hAnsi="Arial" w:cs="Arial"/>
          <w:sz w:val="22"/>
          <w:szCs w:val="22"/>
          <w:lang w:val="en-GB"/>
        </w:rPr>
      </w:pPr>
      <w:r w:rsidRPr="00E4265B">
        <w:rPr>
          <w:rFonts w:ascii="Arial" w:hAnsi="Arial" w:cs="Arial"/>
          <w:b/>
          <w:bCs/>
          <w:sz w:val="22"/>
          <w:szCs w:val="22"/>
          <w:lang w:val="en-GB"/>
        </w:rPr>
        <w:t>A4.3.1</w:t>
      </w:r>
      <w:r w:rsidRPr="00E4265B">
        <w:rPr>
          <w:rFonts w:ascii="Arial" w:hAnsi="Arial" w:cs="Arial"/>
          <w:b/>
          <w:bCs/>
          <w:sz w:val="22"/>
          <w:szCs w:val="22"/>
          <w:lang w:val="en-GB"/>
        </w:rPr>
        <w:tab/>
      </w:r>
      <w:r w:rsidRPr="00E4265B">
        <w:rPr>
          <w:rFonts w:ascii="Arial" w:hAnsi="Arial" w:cs="Arial"/>
          <w:sz w:val="22"/>
          <w:szCs w:val="22"/>
          <w:lang w:val="en-GB"/>
        </w:rPr>
        <w:t>For the purposes of this Section, "core market participant" means:</w:t>
      </w:r>
    </w:p>
    <w:p w14:paraId="3F9596B5" w14:textId="6A60F11D" w:rsidR="00E22FF2" w:rsidRPr="00E4265B" w:rsidRDefault="00ED0AF1" w:rsidP="00520DD3">
      <w:pPr>
        <w:pStyle w:val="1List"/>
        <w:rPr>
          <w:rFonts w:ascii="Arial" w:hAnsi="Arial" w:cs="Arial"/>
          <w:sz w:val="22"/>
          <w:szCs w:val="22"/>
          <w:lang w:val="en-GB"/>
        </w:rPr>
      </w:pPr>
      <w:r w:rsidRPr="00E4265B">
        <w:rPr>
          <w:rFonts w:ascii="Arial" w:hAnsi="Arial" w:cs="Arial"/>
          <w:sz w:val="22"/>
          <w:szCs w:val="22"/>
          <w:lang w:val="en-GB"/>
        </w:rPr>
        <w:t>(a)</w:t>
      </w:r>
      <w:r w:rsidR="00E22FF2" w:rsidRPr="00E4265B">
        <w:rPr>
          <w:rFonts w:ascii="Arial" w:hAnsi="Arial" w:cs="Arial"/>
          <w:sz w:val="22"/>
          <w:szCs w:val="22"/>
          <w:lang w:val="en-GB"/>
        </w:rPr>
        <w:tab/>
        <w:t xml:space="preserve">any central government or </w:t>
      </w:r>
      <w:r w:rsidR="00030214" w:rsidRPr="00E4265B">
        <w:rPr>
          <w:rFonts w:ascii="Arial" w:hAnsi="Arial" w:cs="Arial"/>
          <w:sz w:val="22"/>
          <w:szCs w:val="22"/>
          <w:lang w:val="en-GB"/>
        </w:rPr>
        <w:t>central bank</w:t>
      </w:r>
      <w:r w:rsidR="00E22FF2" w:rsidRPr="00E4265B">
        <w:rPr>
          <w:rFonts w:ascii="Arial" w:hAnsi="Arial" w:cs="Arial"/>
          <w:sz w:val="22"/>
          <w:szCs w:val="22"/>
          <w:lang w:val="en-GB"/>
        </w:rPr>
        <w:t>;</w:t>
      </w:r>
    </w:p>
    <w:p w14:paraId="68C384C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any PSE;</w:t>
      </w:r>
    </w:p>
    <w:p w14:paraId="2FC9BD2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any qualifying MDB;</w:t>
      </w:r>
    </w:p>
    <w:p w14:paraId="696977F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any banking institution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firm;</w:t>
      </w:r>
    </w:p>
    <w:p w14:paraId="0E2C7542" w14:textId="29BA4ED0" w:rsidR="00E22FF2" w:rsidRPr="00E4265B" w:rsidRDefault="00B81702" w:rsidP="00520DD3">
      <w:pPr>
        <w:pStyle w:val="1List"/>
        <w:rPr>
          <w:rFonts w:ascii="Arial" w:hAnsi="Arial" w:cs="Arial"/>
          <w:sz w:val="22"/>
          <w:szCs w:val="22"/>
          <w:lang w:val="en-GB"/>
        </w:rPr>
      </w:pPr>
      <w:r w:rsidRPr="00E4265B">
        <w:rPr>
          <w:rFonts w:ascii="Arial" w:hAnsi="Arial" w:cs="Arial"/>
          <w:sz w:val="22"/>
          <w:szCs w:val="22"/>
          <w:lang w:val="en-GB"/>
        </w:rPr>
        <w:t>(e)</w:t>
      </w:r>
      <w:r w:rsidR="00E22FF2" w:rsidRPr="00E4265B">
        <w:rPr>
          <w:rFonts w:ascii="Arial" w:hAnsi="Arial" w:cs="Arial"/>
          <w:sz w:val="22"/>
          <w:szCs w:val="22"/>
          <w:lang w:val="en-GB"/>
        </w:rPr>
        <w:tab/>
        <w:t xml:space="preserve">any </w:t>
      </w:r>
      <w:r w:rsidR="00F57406" w:rsidRPr="00E4265B">
        <w:rPr>
          <w:rFonts w:ascii="Arial" w:hAnsi="Arial" w:cs="Arial"/>
          <w:sz w:val="22"/>
          <w:szCs w:val="22"/>
          <w:lang w:val="en-GB"/>
        </w:rPr>
        <w:t>Financial Institution</w:t>
      </w:r>
      <w:r w:rsidR="00E22FF2" w:rsidRPr="00E4265B">
        <w:rPr>
          <w:rFonts w:ascii="Arial" w:hAnsi="Arial" w:cs="Arial"/>
          <w:sz w:val="22"/>
          <w:szCs w:val="22"/>
          <w:lang w:val="en-GB"/>
        </w:rPr>
        <w:t xml:space="preserve"> eligible for a 20% risk weight under Section 4.12;</w:t>
      </w:r>
    </w:p>
    <w:p w14:paraId="5A9B2ABC" w14:textId="00B012E2" w:rsidR="00E22FF2" w:rsidRPr="00E4265B" w:rsidRDefault="00B81702" w:rsidP="00520DD3">
      <w:pPr>
        <w:pStyle w:val="1List"/>
        <w:rPr>
          <w:rFonts w:ascii="Arial" w:hAnsi="Arial" w:cs="Arial"/>
          <w:sz w:val="22"/>
          <w:szCs w:val="22"/>
          <w:lang w:val="en-GB"/>
        </w:rPr>
      </w:pPr>
      <w:r w:rsidRPr="00E4265B">
        <w:rPr>
          <w:rFonts w:ascii="Arial" w:hAnsi="Arial" w:cs="Arial"/>
          <w:sz w:val="22"/>
          <w:szCs w:val="22"/>
          <w:lang w:val="en-GB"/>
        </w:rPr>
        <w:t>(f)</w:t>
      </w:r>
      <w:r w:rsidR="004B2263" w:rsidRPr="00E4265B">
        <w:rPr>
          <w:rFonts w:ascii="Arial" w:hAnsi="Arial" w:cs="Arial"/>
          <w:sz w:val="22"/>
          <w:szCs w:val="22"/>
          <w:lang w:val="en-GB"/>
        </w:rPr>
        <w:tab/>
        <w:t>any central c</w:t>
      </w:r>
      <w:r w:rsidR="00E22FF2" w:rsidRPr="00E4265B">
        <w:rPr>
          <w:rFonts w:ascii="Arial" w:hAnsi="Arial" w:cs="Arial"/>
          <w:sz w:val="22"/>
          <w:szCs w:val="22"/>
          <w:lang w:val="en-GB"/>
        </w:rPr>
        <w:t>ounterparty;</w:t>
      </w:r>
    </w:p>
    <w:p w14:paraId="0DC34C43"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(g)</w:t>
      </w:r>
      <w:r w:rsidRPr="00E4265B">
        <w:rPr>
          <w:rFonts w:ascii="Arial" w:hAnsi="Arial" w:cs="Arial"/>
          <w:sz w:val="22"/>
          <w:szCs w:val="22"/>
          <w:lang w:val="en-GB"/>
        </w:rPr>
        <w:tab/>
        <w:t>any regulated mutual fund that is subject to capital or leverage requirements; or</w:t>
      </w:r>
    </w:p>
    <w:p w14:paraId="1851514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(h)</w:t>
      </w:r>
      <w:r w:rsidRPr="00E4265B">
        <w:rPr>
          <w:rFonts w:ascii="Arial" w:hAnsi="Arial" w:cs="Arial"/>
          <w:sz w:val="22"/>
          <w:szCs w:val="22"/>
          <w:lang w:val="en-GB"/>
        </w:rPr>
        <w:tab/>
        <w:t>any regulated pension fund.</w:t>
      </w:r>
    </w:p>
    <w:p w14:paraId="02A7C758" w14:textId="77777777" w:rsidR="00E22FF2" w:rsidRPr="00E4265B" w:rsidRDefault="00E22FF2" w:rsidP="00520DD3">
      <w:pPr>
        <w:pStyle w:val="TitleL5"/>
        <w:rPr>
          <w:rFonts w:ascii="Arial" w:hAnsi="Arial" w:cs="Arial"/>
          <w:sz w:val="22"/>
          <w:szCs w:val="22"/>
          <w:lang w:val="en-GB"/>
        </w:rPr>
      </w:pPr>
      <w:r w:rsidRPr="00E4265B">
        <w:rPr>
          <w:rFonts w:ascii="Arial" w:hAnsi="Arial" w:cs="Arial"/>
          <w:sz w:val="22"/>
          <w:szCs w:val="22"/>
          <w:lang w:val="en-GB"/>
        </w:rPr>
        <w:t xml:space="preserve">Calculation of </w:t>
      </w:r>
      <w:r w:rsidRPr="00E4265B">
        <w:rPr>
          <w:rFonts w:ascii="Arial" w:hAnsi="Arial" w:cs="Arial"/>
          <w:i/>
          <w:iCs/>
          <w:sz w:val="22"/>
          <w:szCs w:val="22"/>
          <w:lang w:val="en-GB"/>
        </w:rPr>
        <w:t>E*</w:t>
      </w:r>
      <w:r w:rsidRPr="00E4265B">
        <w:rPr>
          <w:rFonts w:ascii="Arial" w:hAnsi="Arial" w:cs="Arial"/>
          <w:sz w:val="22"/>
          <w:szCs w:val="22"/>
          <w:lang w:val="en-GB"/>
        </w:rPr>
        <w:t xml:space="preserve"> for collateralised transactions other than OTC Derivative transactions and long settlement transactions</w:t>
      </w:r>
    </w:p>
    <w:p w14:paraId="7997376F" w14:textId="77777777" w:rsidR="00E22FF2" w:rsidRPr="00E4265B" w:rsidRDefault="00E22FF2" w:rsidP="00520DD3">
      <w:pPr>
        <w:pStyle w:val="A1List"/>
        <w:rPr>
          <w:rFonts w:ascii="Arial" w:hAnsi="Arial" w:cs="Arial"/>
          <w:sz w:val="22"/>
          <w:szCs w:val="22"/>
          <w:lang w:val="en-GB"/>
        </w:rPr>
      </w:pPr>
      <w:r w:rsidRPr="00E4265B">
        <w:rPr>
          <w:rFonts w:ascii="Arial" w:hAnsi="Arial" w:cs="Arial"/>
          <w:b/>
          <w:bCs/>
          <w:sz w:val="22"/>
          <w:szCs w:val="22"/>
          <w:lang w:val="en-GB"/>
        </w:rPr>
        <w:t>A4.3.2</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using the FCCA to calculate </w:t>
      </w:r>
      <w:r w:rsidRPr="00E4265B">
        <w:rPr>
          <w:rFonts w:ascii="Arial" w:hAnsi="Arial" w:cs="Arial"/>
          <w:i/>
          <w:iCs/>
          <w:sz w:val="22"/>
          <w:szCs w:val="22"/>
          <w:lang w:val="en-GB"/>
        </w:rPr>
        <w:t>E*</w:t>
      </w:r>
      <w:r w:rsidRPr="00E4265B">
        <w:rPr>
          <w:rFonts w:ascii="Arial" w:hAnsi="Arial" w:cs="Arial"/>
          <w:sz w:val="22"/>
          <w:szCs w:val="22"/>
          <w:lang w:val="en-GB"/>
        </w:rPr>
        <w:t xml:space="preserve"> must adjust both the amount of the Exposure to the Counterparty and the value of any Collateral received in support of that Counterparty to take into account possible future fluctuations in the value of either due to market movements, by using the methods and haircuts set out in Rules A4.3.6 to A4.3.29.</w:t>
      </w:r>
    </w:p>
    <w:p w14:paraId="39368D92" w14:textId="77777777" w:rsidR="00E22FF2" w:rsidRPr="00E4265B" w:rsidRDefault="00E22FF2" w:rsidP="00520DD3">
      <w:pPr>
        <w:pStyle w:val="A1List"/>
        <w:rPr>
          <w:rFonts w:ascii="Arial" w:hAnsi="Arial" w:cs="Arial"/>
          <w:sz w:val="22"/>
          <w:szCs w:val="22"/>
          <w:lang w:val="en-GB"/>
        </w:rPr>
      </w:pPr>
      <w:r w:rsidRPr="00E4265B">
        <w:rPr>
          <w:rFonts w:ascii="Arial" w:hAnsi="Arial" w:cs="Arial"/>
          <w:b/>
          <w:bCs/>
          <w:sz w:val="22"/>
          <w:szCs w:val="22"/>
          <w:lang w:val="en-GB"/>
        </w:rPr>
        <w:t>A4.3.3</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the appropriate haircuts to be applied using one of the following methods:</w:t>
      </w:r>
    </w:p>
    <w:p w14:paraId="7CE1E856" w14:textId="5C6CEBC8" w:rsidR="00E22FF2" w:rsidRPr="00E4265B" w:rsidRDefault="00B81702" w:rsidP="00520DD3">
      <w:pPr>
        <w:pStyle w:val="1List"/>
        <w:rPr>
          <w:rFonts w:ascii="Arial" w:hAnsi="Arial" w:cs="Arial"/>
          <w:sz w:val="22"/>
          <w:szCs w:val="22"/>
          <w:lang w:val="en-GB"/>
        </w:rPr>
      </w:pPr>
      <w:r w:rsidRPr="00E4265B">
        <w:rPr>
          <w:rFonts w:ascii="Arial" w:hAnsi="Arial" w:cs="Arial"/>
          <w:sz w:val="22"/>
          <w:szCs w:val="22"/>
          <w:lang w:val="en-GB"/>
        </w:rPr>
        <w:t>(a)</w:t>
      </w:r>
      <w:r w:rsidR="00E22FF2" w:rsidRPr="00E4265B">
        <w:rPr>
          <w:rFonts w:ascii="Arial" w:hAnsi="Arial" w:cs="Arial"/>
          <w:sz w:val="22"/>
          <w:szCs w:val="22"/>
          <w:lang w:val="en-GB"/>
        </w:rPr>
        <w:tab/>
        <w:t>standard supervisory haircuts; or</w:t>
      </w:r>
    </w:p>
    <w:p w14:paraId="019B2455" w14:textId="7291B64B" w:rsidR="00E22FF2" w:rsidRPr="00E4265B" w:rsidRDefault="00B81702" w:rsidP="00520DD3">
      <w:pPr>
        <w:pStyle w:val="1List"/>
        <w:rPr>
          <w:rFonts w:ascii="Arial" w:hAnsi="Arial" w:cs="Arial"/>
          <w:sz w:val="22"/>
          <w:szCs w:val="22"/>
          <w:lang w:val="en-GB"/>
        </w:rPr>
      </w:pPr>
      <w:r w:rsidRPr="00E4265B">
        <w:rPr>
          <w:rFonts w:ascii="Arial" w:hAnsi="Arial" w:cs="Arial"/>
          <w:sz w:val="22"/>
          <w:szCs w:val="22"/>
          <w:lang w:val="en-GB"/>
        </w:rPr>
        <w:t>(b)</w:t>
      </w:r>
      <w:r w:rsidR="00E22FF2" w:rsidRPr="00E4265B">
        <w:rPr>
          <w:rFonts w:ascii="Arial" w:hAnsi="Arial" w:cs="Arial"/>
          <w:sz w:val="22"/>
          <w:szCs w:val="22"/>
          <w:lang w:val="en-GB"/>
        </w:rPr>
        <w:tab/>
        <w:t>own</w:t>
      </w:r>
      <w:r w:rsidR="00E22FF2" w:rsidRPr="00E4265B">
        <w:rPr>
          <w:rFonts w:ascii="Arial" w:hAnsi="Arial" w:cs="Arial"/>
          <w:sz w:val="22"/>
          <w:szCs w:val="22"/>
          <w:lang w:val="en-GB"/>
        </w:rPr>
        <w:noBreakHyphen/>
        <w:t>estimate haircuts.</w:t>
      </w:r>
    </w:p>
    <w:p w14:paraId="37CD725F" w14:textId="77777777" w:rsidR="00E22FF2" w:rsidRPr="00E4265B" w:rsidRDefault="00E22FF2" w:rsidP="001D374B">
      <w:pPr>
        <w:pStyle w:val="A1List"/>
        <w:rPr>
          <w:rFonts w:ascii="Arial" w:hAnsi="Arial" w:cs="Arial"/>
          <w:sz w:val="22"/>
          <w:szCs w:val="22"/>
          <w:lang w:val="en-GB"/>
        </w:rPr>
      </w:pPr>
      <w:r w:rsidRPr="00E4265B">
        <w:rPr>
          <w:rFonts w:ascii="Arial" w:hAnsi="Arial" w:cs="Arial"/>
          <w:b/>
          <w:bCs/>
          <w:sz w:val="22"/>
          <w:szCs w:val="22"/>
          <w:lang w:val="en-GB"/>
        </w:rPr>
        <w:t>A4.3.4</w:t>
      </w:r>
      <w:r w:rsidRPr="00E4265B">
        <w:rPr>
          <w:rFonts w:ascii="Arial" w:hAnsi="Arial" w:cs="Arial"/>
          <w:b/>
          <w:bCs/>
          <w:sz w:val="22"/>
          <w:szCs w:val="22"/>
          <w:lang w:val="en-GB"/>
        </w:rPr>
        <w:tab/>
      </w:r>
      <w:r w:rsidRPr="00E4265B">
        <w:rPr>
          <w:rFonts w:ascii="Arial" w:hAnsi="Arial" w:cs="Arial"/>
          <w:sz w:val="22"/>
          <w:szCs w:val="22"/>
          <w:lang w:val="en-GB"/>
        </w:rPr>
        <w:t>[Reserved]</w:t>
      </w:r>
    </w:p>
    <w:p w14:paraId="5FA987C5" w14:textId="7DD6C523" w:rsidR="00E22FF2" w:rsidRPr="00E4265B" w:rsidRDefault="00E22FF2" w:rsidP="00ED0AF1">
      <w:pPr>
        <w:pStyle w:val="List2TabStops"/>
        <w:rPr>
          <w:rFonts w:ascii="Arial" w:hAnsi="Arial" w:cs="Arial"/>
          <w:sz w:val="22"/>
          <w:szCs w:val="22"/>
          <w:lang w:val="en-GB"/>
        </w:rPr>
      </w:pPr>
      <w:r w:rsidRPr="00E4265B">
        <w:rPr>
          <w:rFonts w:ascii="Arial" w:hAnsi="Arial" w:cs="Arial"/>
          <w:b/>
          <w:bCs/>
          <w:sz w:val="22"/>
          <w:szCs w:val="22"/>
          <w:lang w:val="en-GB"/>
        </w:rPr>
        <w:t>A4.3.5</w:t>
      </w:r>
      <w:r w:rsidRPr="00E4265B">
        <w:rPr>
          <w:rFonts w:ascii="Arial" w:hAnsi="Arial" w:cs="Arial"/>
          <w:b/>
          <w:bCs/>
          <w:sz w:val="22"/>
          <w:szCs w:val="22"/>
          <w:lang w:val="en-GB"/>
        </w:rPr>
        <w:tab/>
      </w:r>
      <w:r w:rsidRPr="00E4265B">
        <w:rPr>
          <w:rFonts w:ascii="Arial" w:hAnsi="Arial" w:cs="Arial"/>
          <w:sz w:val="22"/>
          <w:szCs w:val="22"/>
          <w:lang w:val="en-GB"/>
        </w:rPr>
        <w:t>(1)</w:t>
      </w:r>
      <w:r w:rsidRPr="00E4265B">
        <w:rPr>
          <w:rFonts w:ascii="Arial" w:hAnsi="Arial" w:cs="Arial"/>
          <w:sz w:val="22"/>
          <w:szCs w:val="22"/>
          <w:lang w:val="en-GB"/>
        </w:rPr>
        <w:tab/>
        <w:t>As an alternative to the use of standard supervisory haircuts or own</w:t>
      </w:r>
      <w:r w:rsidRPr="00E4265B">
        <w:rPr>
          <w:rFonts w:ascii="Arial" w:hAnsi="Arial" w:cs="Arial"/>
          <w:sz w:val="22"/>
          <w:szCs w:val="22"/>
          <w:lang w:val="en-GB"/>
        </w:rPr>
        <w:noBreakHyphen/>
        <w:t xml:space="preserve">estimate haircuts,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subject to approval</w:t>
      </w:r>
      <w:r w:rsidR="00ED0AF1" w:rsidRPr="00E4265B">
        <w:rPr>
          <w:rFonts w:ascii="Arial" w:hAnsi="Arial" w:cs="Arial"/>
          <w:sz w:val="22"/>
          <w:szCs w:val="22"/>
          <w:lang w:val="en-GB"/>
        </w:rPr>
        <w:t xml:space="preserve"> by the Regulator</w:t>
      </w:r>
      <w:r w:rsidRPr="00E4265B">
        <w:rPr>
          <w:rFonts w:ascii="Arial" w:hAnsi="Arial" w:cs="Arial"/>
          <w:sz w:val="22"/>
          <w:szCs w:val="22"/>
          <w:lang w:val="en-GB"/>
        </w:rPr>
        <w:t>, use VaR models to reflect the price volatility of the Exposure and Collateral for SFTs which are covered by a qualifying bilateral Netting agreement. The requirements relating to the use of this approach are set out in Section A4.5.</w:t>
      </w:r>
    </w:p>
    <w:p w14:paraId="05CA6D08" w14:textId="53DC10B3" w:rsidR="00E22FF2" w:rsidRPr="00E4265B" w:rsidRDefault="008D256D" w:rsidP="00ED0AF1">
      <w:pPr>
        <w:pStyle w:val="1List"/>
        <w:rPr>
          <w:rFonts w:ascii="Arial" w:hAnsi="Arial" w:cs="Arial"/>
          <w:sz w:val="22"/>
          <w:szCs w:val="22"/>
          <w:lang w:val="en-GB"/>
        </w:rPr>
      </w:pPr>
      <w:r w:rsidRPr="00E4265B">
        <w:rPr>
          <w:rFonts w:ascii="Arial" w:hAnsi="Arial" w:cs="Arial"/>
          <w:sz w:val="22"/>
          <w:szCs w:val="22"/>
          <w:lang w:val="en-GB"/>
        </w:rPr>
        <w:t>(2)</w:t>
      </w:r>
      <w:r w:rsidR="00E22FF2"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may seek </w:t>
      </w:r>
      <w:r w:rsidR="00ED0AF1" w:rsidRPr="00E4265B">
        <w:rPr>
          <w:rFonts w:ascii="Arial" w:hAnsi="Arial" w:cs="Arial"/>
          <w:sz w:val="22"/>
          <w:szCs w:val="22"/>
          <w:lang w:val="en-GB"/>
        </w:rPr>
        <w:t xml:space="preserve">the </w:t>
      </w:r>
      <w:r w:rsidR="00E22FF2" w:rsidRPr="00E4265B">
        <w:rPr>
          <w:rFonts w:ascii="Arial" w:hAnsi="Arial" w:cs="Arial"/>
          <w:sz w:val="22"/>
          <w:szCs w:val="22"/>
          <w:lang w:val="en-GB"/>
        </w:rPr>
        <w:t xml:space="preserve">approval </w:t>
      </w:r>
      <w:r w:rsidR="000013B6" w:rsidRPr="00E4265B">
        <w:rPr>
          <w:rFonts w:ascii="Arial" w:hAnsi="Arial" w:cs="Arial"/>
          <w:sz w:val="22"/>
          <w:szCs w:val="22"/>
          <w:lang w:val="en-GB"/>
        </w:rPr>
        <w:t xml:space="preserve">from </w:t>
      </w:r>
      <w:r w:rsidR="00ED0AF1" w:rsidRPr="00E4265B">
        <w:rPr>
          <w:rFonts w:ascii="Arial" w:hAnsi="Arial" w:cs="Arial"/>
          <w:sz w:val="22"/>
          <w:szCs w:val="22"/>
          <w:lang w:val="en-GB"/>
        </w:rPr>
        <w:t xml:space="preserve">the Regulator </w:t>
      </w:r>
      <w:r w:rsidR="00E22FF2" w:rsidRPr="00E4265B">
        <w:rPr>
          <w:rFonts w:ascii="Arial" w:hAnsi="Arial" w:cs="Arial"/>
          <w:sz w:val="22"/>
          <w:szCs w:val="22"/>
          <w:lang w:val="en-GB"/>
        </w:rPr>
        <w:t>referr</w:t>
      </w:r>
      <w:r w:rsidR="00B81702" w:rsidRPr="00E4265B">
        <w:rPr>
          <w:rFonts w:ascii="Arial" w:hAnsi="Arial" w:cs="Arial"/>
          <w:sz w:val="22"/>
          <w:szCs w:val="22"/>
          <w:lang w:val="en-GB"/>
        </w:rPr>
        <w:t xml:space="preserve">ed to in (1) </w:t>
      </w:r>
      <w:r w:rsidR="00E22FF2" w:rsidRPr="00E4265B">
        <w:rPr>
          <w:rFonts w:ascii="Arial" w:hAnsi="Arial" w:cs="Arial"/>
          <w:sz w:val="22"/>
          <w:szCs w:val="22"/>
          <w:lang w:val="en-GB"/>
        </w:rPr>
        <w:t xml:space="preserve">only if it has already received approval </w:t>
      </w:r>
      <w:r w:rsidR="00ED0AF1" w:rsidRPr="00E4265B">
        <w:rPr>
          <w:rFonts w:ascii="Arial" w:hAnsi="Arial" w:cs="Arial"/>
          <w:sz w:val="22"/>
          <w:szCs w:val="22"/>
          <w:lang w:val="en-GB"/>
        </w:rPr>
        <w:t xml:space="preserve">from the Regulator </w:t>
      </w:r>
      <w:r w:rsidR="00E22FF2" w:rsidRPr="00E4265B">
        <w:rPr>
          <w:rFonts w:ascii="Arial" w:hAnsi="Arial" w:cs="Arial"/>
          <w:sz w:val="22"/>
          <w:szCs w:val="22"/>
          <w:lang w:val="en-GB"/>
        </w:rPr>
        <w:t>to use the internal models approach for calculating the Market Risk Capital Requirement.</w:t>
      </w:r>
    </w:p>
    <w:p w14:paraId="41C584ED" w14:textId="77777777" w:rsidR="00E22FF2" w:rsidRPr="00E4265B" w:rsidRDefault="00E22FF2" w:rsidP="001D374B">
      <w:pPr>
        <w:pStyle w:val="TitleL5"/>
        <w:rPr>
          <w:rFonts w:ascii="Arial" w:hAnsi="Arial" w:cs="Arial"/>
          <w:sz w:val="22"/>
          <w:szCs w:val="22"/>
          <w:lang w:val="en-GB"/>
        </w:rPr>
      </w:pPr>
      <w:r w:rsidRPr="00E4265B">
        <w:rPr>
          <w:rFonts w:ascii="Arial" w:hAnsi="Arial" w:cs="Arial"/>
          <w:sz w:val="22"/>
          <w:szCs w:val="22"/>
          <w:lang w:val="en-GB"/>
        </w:rPr>
        <w:t>Guidance</w:t>
      </w:r>
    </w:p>
    <w:p w14:paraId="51895AB4" w14:textId="4F8843AC" w:rsidR="00E22FF2" w:rsidRPr="00E4265B" w:rsidRDefault="00E22FF2" w:rsidP="001D374B">
      <w:pPr>
        <w:pStyle w:val="UK12Block05"/>
        <w:rPr>
          <w:rFonts w:ascii="Arial" w:hAnsi="Arial" w:cs="Arial"/>
          <w:sz w:val="22"/>
          <w:szCs w:val="22"/>
          <w:lang w:val="en-GB"/>
        </w:rPr>
      </w:pPr>
      <w:r w:rsidRPr="00E4265B">
        <w:rPr>
          <w:rFonts w:ascii="Arial" w:hAnsi="Arial" w:cs="Arial"/>
          <w:sz w:val="22"/>
          <w:szCs w:val="22"/>
          <w:lang w:val="en-GB"/>
        </w:rPr>
        <w:t>Approval for the use of the internal model appro</w:t>
      </w:r>
      <w:r w:rsidR="00B81702" w:rsidRPr="00E4265B">
        <w:rPr>
          <w:rFonts w:ascii="Arial" w:hAnsi="Arial" w:cs="Arial"/>
          <w:sz w:val="22"/>
          <w:szCs w:val="22"/>
          <w:lang w:val="en-GB"/>
        </w:rPr>
        <w:t xml:space="preserve">ach is governed by Section 5.11 </w:t>
      </w:r>
      <w:r w:rsidRPr="00E4265B">
        <w:rPr>
          <w:rFonts w:ascii="Arial" w:hAnsi="Arial" w:cs="Arial"/>
          <w:sz w:val="22"/>
          <w:szCs w:val="22"/>
          <w:lang w:val="en-GB"/>
        </w:rPr>
        <w:t>of Chapter 5 (Market Risk).</w:t>
      </w:r>
    </w:p>
    <w:p w14:paraId="1D6986BB" w14:textId="77777777" w:rsidR="00E22FF2" w:rsidRPr="00E4265B" w:rsidRDefault="00E22FF2" w:rsidP="001D374B">
      <w:pPr>
        <w:pStyle w:val="A1List"/>
        <w:rPr>
          <w:rFonts w:ascii="Arial" w:hAnsi="Arial" w:cs="Arial"/>
          <w:sz w:val="22"/>
          <w:szCs w:val="22"/>
          <w:lang w:val="en-GB"/>
        </w:rPr>
      </w:pPr>
      <w:r w:rsidRPr="00E4265B">
        <w:rPr>
          <w:rFonts w:ascii="Arial" w:hAnsi="Arial" w:cs="Arial"/>
          <w:b/>
          <w:bCs/>
          <w:sz w:val="22"/>
          <w:szCs w:val="22"/>
          <w:lang w:val="en-GB"/>
        </w:rPr>
        <w:t>A4.3.6</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using standard supervisory haircuts or own</w:t>
      </w:r>
      <w:r w:rsidRPr="00E4265B">
        <w:rPr>
          <w:rFonts w:ascii="Arial" w:hAnsi="Arial" w:cs="Arial"/>
          <w:sz w:val="22"/>
          <w:szCs w:val="22"/>
          <w:lang w:val="en-GB"/>
        </w:rPr>
        <w:noBreakHyphen/>
        <w:t xml:space="preserve">estimate haircuts under the FCCA must calculate </w:t>
      </w:r>
      <w:r w:rsidRPr="00E4265B">
        <w:rPr>
          <w:rFonts w:ascii="Arial" w:hAnsi="Arial" w:cs="Arial"/>
          <w:i/>
          <w:iCs/>
          <w:sz w:val="22"/>
          <w:szCs w:val="22"/>
          <w:lang w:val="en-GB"/>
        </w:rPr>
        <w:t>E*</w:t>
      </w:r>
      <w:r w:rsidRPr="00E4265B">
        <w:rPr>
          <w:rFonts w:ascii="Arial" w:hAnsi="Arial" w:cs="Arial"/>
          <w:sz w:val="22"/>
          <w:szCs w:val="22"/>
          <w:lang w:val="en-GB"/>
        </w:rPr>
        <w:t xml:space="preserve"> for any collateralised transaction not covered by a qualifying bilateral Netting agreement or a qualifying cross</w:t>
      </w:r>
      <w:r w:rsidRPr="00E4265B">
        <w:rPr>
          <w:rFonts w:ascii="Arial" w:hAnsi="Arial" w:cs="Arial"/>
          <w:sz w:val="22"/>
          <w:szCs w:val="22"/>
          <w:lang w:val="en-GB"/>
        </w:rPr>
        <w:noBreakHyphen/>
        <w:t>product Netting agreement other than OTC Derivative transactions or long settlement transactions, using the following formula:</w:t>
      </w:r>
    </w:p>
    <w:p w14:paraId="74627784" w14:textId="77777777" w:rsidR="00E22FF2" w:rsidRPr="00E4265B" w:rsidRDefault="008F0178" w:rsidP="002924E8">
      <w:pPr>
        <w:pStyle w:val="UK12Block05"/>
        <w:jc w:val="center"/>
        <w:rPr>
          <w:rFonts w:ascii="Arial" w:hAnsi="Arial" w:cs="Arial"/>
          <w:i/>
          <w:iCs/>
          <w:sz w:val="22"/>
          <w:szCs w:val="22"/>
          <w:lang w:val="en-GB"/>
        </w:rPr>
      </w:pPr>
      <w:r w:rsidRPr="00E4265B">
        <w:rPr>
          <w:rFonts w:ascii="Arial" w:hAnsi="Arial" w:cs="Arial"/>
          <w:i/>
          <w:iCs/>
          <w:sz w:val="22"/>
          <w:szCs w:val="22"/>
          <w:lang w:val="en-GB"/>
        </w:rPr>
        <w:t>E* = max {0, [E</w:t>
      </w:r>
      <w:r w:rsidR="00E22FF2" w:rsidRPr="00E4265B">
        <w:rPr>
          <w:rFonts w:ascii="Arial" w:hAnsi="Arial" w:cs="Arial"/>
          <w:i/>
          <w:iCs/>
          <w:sz w:val="22"/>
          <w:szCs w:val="22"/>
          <w:lang w:val="en-GB"/>
        </w:rPr>
        <w:t>(1 + H</w:t>
      </w:r>
      <w:r w:rsidR="00E22FF2" w:rsidRPr="00E4265B">
        <w:rPr>
          <w:rFonts w:ascii="Arial" w:hAnsi="Arial" w:cs="Arial"/>
          <w:i/>
          <w:iCs/>
          <w:sz w:val="22"/>
          <w:szCs w:val="22"/>
          <w:vertAlign w:val="subscript"/>
          <w:lang w:val="en-GB"/>
        </w:rPr>
        <w:t>E</w:t>
      </w:r>
      <w:r w:rsidR="00E22FF2" w:rsidRPr="00E4265B">
        <w:rPr>
          <w:rFonts w:ascii="Arial" w:hAnsi="Arial" w:cs="Arial"/>
          <w:i/>
          <w:iCs/>
          <w:sz w:val="22"/>
          <w:szCs w:val="22"/>
          <w:lang w:val="en-GB"/>
        </w:rPr>
        <w:t>) </w:t>
      </w:r>
      <w:r w:rsidR="00E22FF2" w:rsidRPr="00E4265B">
        <w:rPr>
          <w:rFonts w:ascii="Arial" w:hAnsi="Arial" w:cs="Arial"/>
          <w:i/>
          <w:iCs/>
          <w:sz w:val="22"/>
          <w:szCs w:val="22"/>
          <w:lang w:val="en-GB"/>
        </w:rPr>
        <w:noBreakHyphen/>
        <w:t xml:space="preserve"> C(1 – H</w:t>
      </w:r>
      <w:r w:rsidR="00E22FF2" w:rsidRPr="00E4265B">
        <w:rPr>
          <w:rFonts w:ascii="Arial" w:hAnsi="Arial" w:cs="Arial"/>
          <w:i/>
          <w:iCs/>
          <w:sz w:val="22"/>
          <w:szCs w:val="22"/>
          <w:vertAlign w:val="subscript"/>
          <w:lang w:val="en-GB"/>
        </w:rPr>
        <w:t>C</w:t>
      </w:r>
      <w:r w:rsidR="00E22FF2" w:rsidRPr="00E4265B">
        <w:rPr>
          <w:rFonts w:ascii="Arial" w:hAnsi="Arial" w:cs="Arial"/>
          <w:i/>
          <w:iCs/>
          <w:sz w:val="22"/>
          <w:szCs w:val="22"/>
          <w:lang w:val="en-GB"/>
        </w:rPr>
        <w:t xml:space="preserve"> – H</w:t>
      </w:r>
      <w:r w:rsidR="00E22FF2" w:rsidRPr="00E4265B">
        <w:rPr>
          <w:rFonts w:ascii="Arial" w:hAnsi="Arial" w:cs="Arial"/>
          <w:i/>
          <w:iCs/>
          <w:sz w:val="22"/>
          <w:szCs w:val="22"/>
          <w:vertAlign w:val="subscript"/>
          <w:lang w:val="en-GB"/>
        </w:rPr>
        <w:t>FX</w:t>
      </w:r>
      <w:r w:rsidR="00E22FF2" w:rsidRPr="00E4265B">
        <w:rPr>
          <w:rFonts w:ascii="Arial" w:hAnsi="Arial" w:cs="Arial"/>
          <w:i/>
          <w:iCs/>
          <w:sz w:val="22"/>
          <w:szCs w:val="22"/>
          <w:lang w:val="en-GB"/>
        </w:rPr>
        <w:t>)]}</w:t>
      </w:r>
    </w:p>
    <w:p w14:paraId="008FFD04" w14:textId="77777777" w:rsidR="00E22FF2" w:rsidRPr="00E4265B" w:rsidRDefault="00501E80" w:rsidP="00F1599E">
      <w:pPr>
        <w:pStyle w:val="UK12Block05"/>
        <w:rPr>
          <w:rFonts w:ascii="Arial" w:hAnsi="Arial" w:cs="Arial"/>
          <w:sz w:val="22"/>
          <w:szCs w:val="22"/>
          <w:lang w:val="en-GB"/>
        </w:rPr>
      </w:pPr>
      <w:r w:rsidRPr="00E4265B">
        <w:rPr>
          <w:rFonts w:ascii="Arial" w:hAnsi="Arial" w:cs="Arial"/>
          <w:sz w:val="22"/>
          <w:szCs w:val="22"/>
          <w:lang w:val="en-GB"/>
        </w:rPr>
        <w:t>w</w:t>
      </w:r>
      <w:r w:rsidR="00E22FF2" w:rsidRPr="00E4265B">
        <w:rPr>
          <w:rFonts w:ascii="Arial" w:hAnsi="Arial" w:cs="Arial"/>
          <w:sz w:val="22"/>
          <w:szCs w:val="22"/>
          <w:lang w:val="en-GB"/>
        </w:rPr>
        <w:t>here</w:t>
      </w:r>
      <w:r w:rsidRPr="00E4265B">
        <w:rPr>
          <w:rFonts w:ascii="Arial" w:hAnsi="Arial" w:cs="Arial"/>
          <w:sz w:val="22"/>
          <w:szCs w:val="22"/>
          <w:lang w:val="en-GB"/>
        </w:rPr>
        <w:t>:</w:t>
      </w:r>
    </w:p>
    <w:tbl>
      <w:tblPr>
        <w:tblStyle w:val="TableGrid"/>
        <w:tblW w:w="4406" w:type="pct"/>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527"/>
        <w:gridCol w:w="6286"/>
      </w:tblGrid>
      <w:tr w:rsidR="00E22FF2" w:rsidRPr="00E4265B" w14:paraId="25AC8A7D" w14:textId="77777777" w:rsidTr="00F1599E">
        <w:tc>
          <w:tcPr>
            <w:tcW w:w="718" w:type="pct"/>
          </w:tcPr>
          <w:p w14:paraId="2EEA31E2" w14:textId="77777777" w:rsidR="00E22FF2" w:rsidRPr="00E4265B" w:rsidRDefault="00E22FF2" w:rsidP="00F1599E">
            <w:pPr>
              <w:spacing w:after="240"/>
              <w:rPr>
                <w:rFonts w:ascii="Arial" w:hAnsi="Arial" w:cs="Arial"/>
                <w:i/>
                <w:iCs/>
                <w:sz w:val="22"/>
                <w:szCs w:val="22"/>
                <w:lang w:val="en-GB"/>
              </w:rPr>
            </w:pPr>
            <w:r w:rsidRPr="00E4265B">
              <w:rPr>
                <w:rFonts w:ascii="Arial" w:hAnsi="Arial" w:cs="Arial"/>
                <w:i/>
                <w:iCs/>
                <w:sz w:val="22"/>
                <w:szCs w:val="22"/>
                <w:lang w:val="en-GB"/>
              </w:rPr>
              <w:t xml:space="preserve">E* </w:t>
            </w:r>
          </w:p>
        </w:tc>
        <w:tc>
          <w:tcPr>
            <w:tcW w:w="331" w:type="pct"/>
          </w:tcPr>
          <w:p w14:paraId="6988841E" w14:textId="77777777" w:rsidR="00E22FF2" w:rsidRPr="00E4265B" w:rsidRDefault="00E22FF2" w:rsidP="00F1599E">
            <w:pPr>
              <w:spacing w:after="240"/>
              <w:rPr>
                <w:rFonts w:ascii="Arial" w:hAnsi="Arial" w:cs="Arial"/>
                <w:sz w:val="22"/>
                <w:szCs w:val="22"/>
                <w:lang w:val="en-GB"/>
              </w:rPr>
            </w:pPr>
            <w:r w:rsidRPr="00E4265B">
              <w:rPr>
                <w:rFonts w:ascii="Arial" w:hAnsi="Arial" w:cs="Arial"/>
                <w:sz w:val="22"/>
                <w:szCs w:val="22"/>
                <w:lang w:val="en-GB"/>
              </w:rPr>
              <w:t xml:space="preserve">= </w:t>
            </w:r>
          </w:p>
        </w:tc>
        <w:tc>
          <w:tcPr>
            <w:tcW w:w="3950" w:type="pct"/>
          </w:tcPr>
          <w:p w14:paraId="35415026" w14:textId="77777777" w:rsidR="00E22FF2" w:rsidRPr="00E4265B" w:rsidRDefault="00E22FF2" w:rsidP="00F1599E">
            <w:pPr>
              <w:spacing w:after="240"/>
              <w:jc w:val="both"/>
              <w:rPr>
                <w:rFonts w:ascii="Arial" w:hAnsi="Arial" w:cs="Arial"/>
                <w:sz w:val="22"/>
                <w:szCs w:val="22"/>
                <w:lang w:val="en-GB"/>
              </w:rPr>
            </w:pPr>
            <w:r w:rsidRPr="00E4265B">
              <w:rPr>
                <w:rFonts w:ascii="Arial" w:hAnsi="Arial" w:cs="Arial"/>
                <w:sz w:val="22"/>
                <w:szCs w:val="22"/>
                <w:lang w:val="en-GB"/>
              </w:rPr>
              <w:t>Exposure value after risk mitigation;</w:t>
            </w:r>
          </w:p>
        </w:tc>
      </w:tr>
      <w:tr w:rsidR="00E22FF2" w:rsidRPr="00E4265B" w14:paraId="261E1BE8" w14:textId="77777777" w:rsidTr="00F1599E">
        <w:tc>
          <w:tcPr>
            <w:tcW w:w="718" w:type="pct"/>
          </w:tcPr>
          <w:p w14:paraId="6749983A" w14:textId="77777777" w:rsidR="00E22FF2" w:rsidRPr="00E4265B" w:rsidRDefault="00E22FF2" w:rsidP="00F1599E">
            <w:pPr>
              <w:spacing w:after="240"/>
              <w:rPr>
                <w:rFonts w:ascii="Arial" w:hAnsi="Arial" w:cs="Arial"/>
                <w:i/>
                <w:iCs/>
                <w:sz w:val="22"/>
                <w:szCs w:val="22"/>
                <w:lang w:val="en-GB"/>
              </w:rPr>
            </w:pPr>
            <w:r w:rsidRPr="00E4265B">
              <w:rPr>
                <w:rFonts w:ascii="Arial" w:hAnsi="Arial" w:cs="Arial"/>
                <w:i/>
                <w:iCs/>
                <w:sz w:val="22"/>
                <w:szCs w:val="22"/>
                <w:lang w:val="en-GB"/>
              </w:rPr>
              <w:t xml:space="preserve">E </w:t>
            </w:r>
          </w:p>
        </w:tc>
        <w:tc>
          <w:tcPr>
            <w:tcW w:w="331" w:type="pct"/>
          </w:tcPr>
          <w:p w14:paraId="0D61D977" w14:textId="77777777" w:rsidR="00E22FF2" w:rsidRPr="00E4265B" w:rsidRDefault="00E22FF2" w:rsidP="00F1599E">
            <w:pPr>
              <w:spacing w:after="240"/>
              <w:rPr>
                <w:rFonts w:ascii="Arial" w:hAnsi="Arial" w:cs="Arial"/>
                <w:sz w:val="22"/>
                <w:szCs w:val="22"/>
                <w:lang w:val="en-GB"/>
              </w:rPr>
            </w:pPr>
            <w:r w:rsidRPr="00E4265B">
              <w:rPr>
                <w:rFonts w:ascii="Arial" w:hAnsi="Arial" w:cs="Arial"/>
                <w:sz w:val="22"/>
                <w:szCs w:val="22"/>
                <w:lang w:val="en-GB"/>
              </w:rPr>
              <w:t xml:space="preserve">= </w:t>
            </w:r>
          </w:p>
        </w:tc>
        <w:tc>
          <w:tcPr>
            <w:tcW w:w="3950" w:type="pct"/>
          </w:tcPr>
          <w:p w14:paraId="7DE06F63" w14:textId="77777777" w:rsidR="00E22FF2" w:rsidRPr="00E4265B" w:rsidRDefault="00E22FF2" w:rsidP="00F1599E">
            <w:pPr>
              <w:spacing w:after="240"/>
              <w:jc w:val="both"/>
              <w:rPr>
                <w:rFonts w:ascii="Arial" w:hAnsi="Arial" w:cs="Arial"/>
                <w:sz w:val="22"/>
                <w:szCs w:val="22"/>
                <w:lang w:val="en-GB"/>
              </w:rPr>
            </w:pPr>
            <w:r w:rsidRPr="00E4265B">
              <w:rPr>
                <w:rFonts w:ascii="Arial" w:hAnsi="Arial" w:cs="Arial"/>
                <w:sz w:val="22"/>
                <w:szCs w:val="22"/>
                <w:lang w:val="en-GB"/>
              </w:rPr>
              <w:t xml:space="preserve">fair value of the Exposure calculated in accordance with Section 4.9; </w:t>
            </w:r>
          </w:p>
        </w:tc>
      </w:tr>
      <w:tr w:rsidR="00E22FF2" w:rsidRPr="00E4265B" w14:paraId="15CDAFA4" w14:textId="77777777" w:rsidTr="00F1599E">
        <w:tc>
          <w:tcPr>
            <w:tcW w:w="718" w:type="pct"/>
          </w:tcPr>
          <w:p w14:paraId="6C215F55" w14:textId="77777777" w:rsidR="00E22FF2" w:rsidRPr="00E4265B" w:rsidRDefault="00E22FF2" w:rsidP="00F1599E">
            <w:pPr>
              <w:spacing w:after="240"/>
              <w:rPr>
                <w:rFonts w:ascii="Arial" w:hAnsi="Arial" w:cs="Arial"/>
                <w:i/>
                <w:iCs/>
                <w:sz w:val="22"/>
                <w:szCs w:val="22"/>
                <w:lang w:val="en-GB"/>
              </w:rPr>
            </w:pPr>
            <w:r w:rsidRPr="00E4265B">
              <w:rPr>
                <w:rFonts w:ascii="Arial" w:hAnsi="Arial" w:cs="Arial"/>
                <w:i/>
                <w:iCs/>
                <w:sz w:val="22"/>
                <w:szCs w:val="22"/>
                <w:lang w:val="en-GB"/>
              </w:rPr>
              <w:t>H</w:t>
            </w:r>
            <w:r w:rsidRPr="00E4265B">
              <w:rPr>
                <w:rFonts w:ascii="Arial" w:hAnsi="Arial" w:cs="Arial"/>
                <w:i/>
                <w:iCs/>
                <w:sz w:val="22"/>
                <w:szCs w:val="22"/>
                <w:vertAlign w:val="subscript"/>
                <w:lang w:val="en-GB"/>
              </w:rPr>
              <w:t>E</w:t>
            </w:r>
          </w:p>
        </w:tc>
        <w:tc>
          <w:tcPr>
            <w:tcW w:w="331" w:type="pct"/>
          </w:tcPr>
          <w:p w14:paraId="575327BA" w14:textId="77777777" w:rsidR="00E22FF2" w:rsidRPr="00E4265B" w:rsidRDefault="00E22FF2" w:rsidP="00F1599E">
            <w:pPr>
              <w:spacing w:after="240"/>
              <w:rPr>
                <w:rFonts w:ascii="Arial" w:hAnsi="Arial" w:cs="Arial"/>
                <w:sz w:val="22"/>
                <w:szCs w:val="22"/>
                <w:lang w:val="en-GB"/>
              </w:rPr>
            </w:pPr>
            <w:r w:rsidRPr="00E4265B">
              <w:rPr>
                <w:rFonts w:ascii="Arial" w:hAnsi="Arial" w:cs="Arial"/>
                <w:sz w:val="22"/>
                <w:szCs w:val="22"/>
                <w:lang w:val="en-GB"/>
              </w:rPr>
              <w:t xml:space="preserve">= </w:t>
            </w:r>
          </w:p>
        </w:tc>
        <w:tc>
          <w:tcPr>
            <w:tcW w:w="3950" w:type="pct"/>
          </w:tcPr>
          <w:p w14:paraId="2C28017C" w14:textId="77777777" w:rsidR="00E22FF2" w:rsidRPr="00E4265B" w:rsidRDefault="00E22FF2" w:rsidP="00F1599E">
            <w:pPr>
              <w:spacing w:after="240"/>
              <w:jc w:val="both"/>
              <w:rPr>
                <w:rFonts w:ascii="Arial" w:hAnsi="Arial" w:cs="Arial"/>
                <w:sz w:val="22"/>
                <w:szCs w:val="22"/>
                <w:lang w:val="en-GB"/>
              </w:rPr>
            </w:pPr>
            <w:r w:rsidRPr="00E4265B">
              <w:rPr>
                <w:rFonts w:ascii="Arial" w:hAnsi="Arial" w:cs="Arial"/>
                <w:sz w:val="22"/>
                <w:szCs w:val="22"/>
                <w:lang w:val="en-GB"/>
              </w:rPr>
              <w:t>haircut appropriate to the Exposure;</w:t>
            </w:r>
          </w:p>
        </w:tc>
      </w:tr>
      <w:tr w:rsidR="00E22FF2" w:rsidRPr="00E4265B" w14:paraId="2D62EDEA" w14:textId="77777777" w:rsidTr="00F1599E">
        <w:tc>
          <w:tcPr>
            <w:tcW w:w="718" w:type="pct"/>
          </w:tcPr>
          <w:p w14:paraId="0ED7E5E5" w14:textId="77777777" w:rsidR="00E22FF2" w:rsidRPr="00E4265B" w:rsidRDefault="00E22FF2" w:rsidP="00F1599E">
            <w:pPr>
              <w:spacing w:after="240"/>
              <w:rPr>
                <w:rFonts w:ascii="Arial" w:hAnsi="Arial" w:cs="Arial"/>
                <w:i/>
                <w:iCs/>
                <w:sz w:val="22"/>
                <w:szCs w:val="22"/>
                <w:lang w:val="en-GB"/>
              </w:rPr>
            </w:pPr>
            <w:r w:rsidRPr="00E4265B">
              <w:rPr>
                <w:rFonts w:ascii="Arial" w:hAnsi="Arial" w:cs="Arial"/>
                <w:i/>
                <w:iCs/>
                <w:sz w:val="22"/>
                <w:szCs w:val="22"/>
                <w:lang w:val="en-GB"/>
              </w:rPr>
              <w:lastRenderedPageBreak/>
              <w:t xml:space="preserve">C </w:t>
            </w:r>
          </w:p>
        </w:tc>
        <w:tc>
          <w:tcPr>
            <w:tcW w:w="331" w:type="pct"/>
          </w:tcPr>
          <w:p w14:paraId="0B9B4854" w14:textId="77777777" w:rsidR="00E22FF2" w:rsidRPr="00E4265B" w:rsidRDefault="00E22FF2" w:rsidP="00F1599E">
            <w:pPr>
              <w:spacing w:after="240"/>
              <w:rPr>
                <w:rFonts w:ascii="Arial" w:hAnsi="Arial" w:cs="Arial"/>
                <w:sz w:val="22"/>
                <w:szCs w:val="22"/>
                <w:lang w:val="en-GB"/>
              </w:rPr>
            </w:pPr>
            <w:r w:rsidRPr="00E4265B">
              <w:rPr>
                <w:rFonts w:ascii="Arial" w:hAnsi="Arial" w:cs="Arial"/>
                <w:sz w:val="22"/>
                <w:szCs w:val="22"/>
                <w:lang w:val="en-GB"/>
              </w:rPr>
              <w:t xml:space="preserve">= </w:t>
            </w:r>
          </w:p>
        </w:tc>
        <w:tc>
          <w:tcPr>
            <w:tcW w:w="3950" w:type="pct"/>
          </w:tcPr>
          <w:p w14:paraId="5F327297" w14:textId="77777777" w:rsidR="00E22FF2" w:rsidRPr="00E4265B" w:rsidRDefault="00E22FF2" w:rsidP="00F1599E">
            <w:pPr>
              <w:spacing w:after="240"/>
              <w:jc w:val="both"/>
              <w:rPr>
                <w:rFonts w:ascii="Arial" w:hAnsi="Arial" w:cs="Arial"/>
                <w:sz w:val="22"/>
                <w:szCs w:val="22"/>
                <w:lang w:val="en-GB"/>
              </w:rPr>
            </w:pPr>
            <w:r w:rsidRPr="00E4265B">
              <w:rPr>
                <w:rFonts w:ascii="Arial" w:hAnsi="Arial" w:cs="Arial"/>
                <w:sz w:val="22"/>
                <w:szCs w:val="22"/>
                <w:lang w:val="en-GB"/>
              </w:rPr>
              <w:t>fair value of the eligible financial Collateral received;</w:t>
            </w:r>
          </w:p>
        </w:tc>
      </w:tr>
      <w:tr w:rsidR="00E22FF2" w:rsidRPr="00E4265B" w14:paraId="469C1C68" w14:textId="77777777" w:rsidTr="00F1599E">
        <w:tc>
          <w:tcPr>
            <w:tcW w:w="718" w:type="pct"/>
          </w:tcPr>
          <w:p w14:paraId="474DE26E" w14:textId="77777777" w:rsidR="00E22FF2" w:rsidRPr="00E4265B" w:rsidRDefault="00E22FF2" w:rsidP="00F1599E">
            <w:pPr>
              <w:spacing w:after="240"/>
              <w:rPr>
                <w:rFonts w:ascii="Arial" w:hAnsi="Arial" w:cs="Arial"/>
                <w:i/>
                <w:iCs/>
                <w:sz w:val="22"/>
                <w:szCs w:val="22"/>
                <w:lang w:val="en-GB"/>
              </w:rPr>
            </w:pPr>
            <w:r w:rsidRPr="00E4265B">
              <w:rPr>
                <w:rFonts w:ascii="Arial" w:hAnsi="Arial" w:cs="Arial"/>
                <w:i/>
                <w:iCs/>
                <w:sz w:val="22"/>
                <w:szCs w:val="22"/>
                <w:lang w:val="en-GB"/>
              </w:rPr>
              <w:t>H</w:t>
            </w:r>
            <w:r w:rsidRPr="00E4265B">
              <w:rPr>
                <w:rFonts w:ascii="Arial" w:hAnsi="Arial" w:cs="Arial"/>
                <w:i/>
                <w:iCs/>
                <w:sz w:val="22"/>
                <w:szCs w:val="22"/>
                <w:vertAlign w:val="subscript"/>
                <w:lang w:val="en-GB"/>
              </w:rPr>
              <w:t>C</w:t>
            </w:r>
            <w:r w:rsidRPr="00E4265B">
              <w:rPr>
                <w:rFonts w:ascii="Arial" w:hAnsi="Arial" w:cs="Arial"/>
                <w:i/>
                <w:iCs/>
                <w:sz w:val="22"/>
                <w:szCs w:val="22"/>
                <w:lang w:val="en-GB"/>
              </w:rPr>
              <w:t xml:space="preserve"> </w:t>
            </w:r>
          </w:p>
        </w:tc>
        <w:tc>
          <w:tcPr>
            <w:tcW w:w="331" w:type="pct"/>
          </w:tcPr>
          <w:p w14:paraId="11F46730" w14:textId="77777777" w:rsidR="00E22FF2" w:rsidRPr="00E4265B" w:rsidRDefault="00E22FF2" w:rsidP="00F1599E">
            <w:pPr>
              <w:spacing w:after="240"/>
              <w:rPr>
                <w:rFonts w:ascii="Arial" w:hAnsi="Arial" w:cs="Arial"/>
                <w:sz w:val="22"/>
                <w:szCs w:val="22"/>
                <w:lang w:val="en-GB"/>
              </w:rPr>
            </w:pPr>
            <w:r w:rsidRPr="00E4265B">
              <w:rPr>
                <w:rFonts w:ascii="Arial" w:hAnsi="Arial" w:cs="Arial"/>
                <w:sz w:val="22"/>
                <w:szCs w:val="22"/>
                <w:lang w:val="en-GB"/>
              </w:rPr>
              <w:t xml:space="preserve">= </w:t>
            </w:r>
          </w:p>
        </w:tc>
        <w:tc>
          <w:tcPr>
            <w:tcW w:w="3950" w:type="pct"/>
          </w:tcPr>
          <w:p w14:paraId="68274C04" w14:textId="77777777" w:rsidR="00E22FF2" w:rsidRPr="00E4265B" w:rsidRDefault="00E22FF2" w:rsidP="00F1599E">
            <w:pPr>
              <w:spacing w:after="240"/>
              <w:jc w:val="both"/>
              <w:rPr>
                <w:rFonts w:ascii="Arial" w:hAnsi="Arial" w:cs="Arial"/>
                <w:sz w:val="22"/>
                <w:szCs w:val="22"/>
                <w:lang w:val="en-GB"/>
              </w:rPr>
            </w:pPr>
            <w:r w:rsidRPr="00E4265B">
              <w:rPr>
                <w:rFonts w:ascii="Arial" w:hAnsi="Arial" w:cs="Arial"/>
                <w:sz w:val="22"/>
                <w:szCs w:val="22"/>
                <w:lang w:val="en-GB"/>
              </w:rPr>
              <w:t>haircut appropriate to the Collateral, or if the Collateral is a basket of assets, the weighted sum of the haircuts appropriate to the assets in the basket where each weight is the proportion of the asset in the basket in units of currency; and</w:t>
            </w:r>
          </w:p>
        </w:tc>
      </w:tr>
      <w:tr w:rsidR="00E22FF2" w:rsidRPr="00E4265B" w14:paraId="2EB73181" w14:textId="77777777" w:rsidTr="00F1599E">
        <w:tc>
          <w:tcPr>
            <w:tcW w:w="718" w:type="pct"/>
          </w:tcPr>
          <w:p w14:paraId="6DFA8B49" w14:textId="77777777" w:rsidR="00E22FF2" w:rsidRPr="00E4265B" w:rsidRDefault="00E22FF2" w:rsidP="00742AC6">
            <w:pPr>
              <w:rPr>
                <w:rFonts w:ascii="Arial" w:hAnsi="Arial" w:cs="Arial"/>
                <w:sz w:val="22"/>
                <w:szCs w:val="22"/>
                <w:lang w:val="en-GB"/>
              </w:rPr>
            </w:pPr>
            <w:r w:rsidRPr="00E4265B">
              <w:rPr>
                <w:rFonts w:ascii="Arial" w:hAnsi="Arial" w:cs="Arial"/>
                <w:i/>
                <w:iCs/>
                <w:sz w:val="22"/>
                <w:szCs w:val="22"/>
                <w:lang w:val="en-GB"/>
              </w:rPr>
              <w:t>H</w:t>
            </w:r>
            <w:r w:rsidRPr="00E4265B">
              <w:rPr>
                <w:rFonts w:ascii="Arial" w:hAnsi="Arial" w:cs="Arial"/>
                <w:i/>
                <w:iCs/>
                <w:sz w:val="22"/>
                <w:szCs w:val="22"/>
                <w:vertAlign w:val="subscript"/>
                <w:lang w:val="en-GB"/>
              </w:rPr>
              <w:t>FX</w:t>
            </w:r>
            <w:r w:rsidRPr="00E4265B">
              <w:rPr>
                <w:rFonts w:ascii="Arial" w:hAnsi="Arial" w:cs="Arial"/>
                <w:sz w:val="22"/>
                <w:szCs w:val="22"/>
                <w:lang w:val="en-GB"/>
              </w:rPr>
              <w:t xml:space="preserve"> = </w:t>
            </w:r>
          </w:p>
        </w:tc>
        <w:tc>
          <w:tcPr>
            <w:tcW w:w="331" w:type="pct"/>
          </w:tcPr>
          <w:p w14:paraId="3FBE50A0" w14:textId="77777777" w:rsidR="00E22FF2" w:rsidRPr="00E4265B" w:rsidRDefault="00E22FF2" w:rsidP="00742AC6">
            <w:pPr>
              <w:rPr>
                <w:rFonts w:ascii="Arial" w:hAnsi="Arial" w:cs="Arial"/>
                <w:sz w:val="22"/>
                <w:szCs w:val="22"/>
                <w:lang w:val="en-GB"/>
              </w:rPr>
            </w:pPr>
          </w:p>
        </w:tc>
        <w:tc>
          <w:tcPr>
            <w:tcW w:w="3950" w:type="pct"/>
          </w:tcPr>
          <w:p w14:paraId="0327F38E" w14:textId="77777777" w:rsidR="00E22FF2" w:rsidRPr="00E4265B" w:rsidRDefault="00E22FF2" w:rsidP="00F1599E">
            <w:pPr>
              <w:jc w:val="both"/>
              <w:rPr>
                <w:rFonts w:ascii="Arial" w:hAnsi="Arial" w:cs="Arial"/>
                <w:sz w:val="22"/>
                <w:szCs w:val="22"/>
                <w:lang w:val="en-GB"/>
              </w:rPr>
            </w:pPr>
            <w:r w:rsidRPr="00E4265B">
              <w:rPr>
                <w:rFonts w:ascii="Arial" w:hAnsi="Arial" w:cs="Arial"/>
                <w:sz w:val="22"/>
                <w:szCs w:val="22"/>
                <w:lang w:val="en-GB"/>
              </w:rPr>
              <w:t>haircut appropriate for currency mismatch between the Collateral and Exposure.</w:t>
            </w:r>
          </w:p>
        </w:tc>
      </w:tr>
    </w:tbl>
    <w:p w14:paraId="44F2EE11" w14:textId="77777777" w:rsidR="00E22FF2" w:rsidRPr="00E4265B" w:rsidRDefault="00E22FF2" w:rsidP="00F1599E">
      <w:pPr>
        <w:rPr>
          <w:rFonts w:ascii="Arial" w:hAnsi="Arial" w:cs="Arial"/>
          <w:sz w:val="22"/>
          <w:szCs w:val="22"/>
          <w:lang w:val="en-GB"/>
        </w:rPr>
      </w:pPr>
    </w:p>
    <w:p w14:paraId="36A3E89B" w14:textId="77777777" w:rsidR="00E22FF2" w:rsidRPr="00E4265B" w:rsidRDefault="00E22FF2" w:rsidP="00F1599E">
      <w:pPr>
        <w:pStyle w:val="TitleL5"/>
        <w:rPr>
          <w:rFonts w:ascii="Arial" w:hAnsi="Arial" w:cs="Arial"/>
          <w:sz w:val="22"/>
          <w:szCs w:val="22"/>
          <w:lang w:val="en-GB"/>
        </w:rPr>
      </w:pPr>
      <w:r w:rsidRPr="00E4265B">
        <w:rPr>
          <w:rFonts w:ascii="Arial" w:hAnsi="Arial" w:cs="Arial"/>
          <w:sz w:val="22"/>
          <w:szCs w:val="22"/>
          <w:lang w:val="en-GB"/>
        </w:rPr>
        <w:t>Guidance</w:t>
      </w:r>
    </w:p>
    <w:p w14:paraId="491F4166" w14:textId="6E7FA99C" w:rsidR="00E22FF2" w:rsidRPr="00E4265B" w:rsidRDefault="00E22FF2" w:rsidP="002924E8">
      <w:pPr>
        <w:pStyle w:val="UK12Block05"/>
        <w:rPr>
          <w:rFonts w:ascii="Arial" w:hAnsi="Arial" w:cs="Arial"/>
          <w:sz w:val="22"/>
          <w:szCs w:val="22"/>
          <w:lang w:val="en-GB"/>
        </w:rPr>
      </w:pPr>
      <w:r w:rsidRPr="00E4265B">
        <w:rPr>
          <w:rFonts w:ascii="Arial" w:hAnsi="Arial" w:cs="Arial"/>
          <w:sz w:val="22"/>
          <w:szCs w:val="22"/>
          <w:lang w:val="en-GB"/>
        </w:rPr>
        <w:t xml:space="preserve">Where the residual maturity of the Collateral is shorter than the residual maturity of the Exposure,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t>
      </w:r>
      <w:r w:rsidR="002924E8" w:rsidRPr="00E4265B">
        <w:rPr>
          <w:rFonts w:ascii="Arial" w:hAnsi="Arial" w:cs="Arial"/>
          <w:sz w:val="22"/>
          <w:szCs w:val="22"/>
          <w:lang w:val="en-GB"/>
        </w:rPr>
        <w:t>must</w:t>
      </w:r>
      <w:r w:rsidRPr="00E4265B">
        <w:rPr>
          <w:rFonts w:ascii="Arial" w:hAnsi="Arial" w:cs="Arial"/>
          <w:sz w:val="22"/>
          <w:szCs w:val="22"/>
          <w:lang w:val="en-GB"/>
        </w:rPr>
        <w:t xml:space="preserve"> substitute PA calculated in accordance with Rules 4.13.14 to 4.13.16 for </w:t>
      </w:r>
      <w:r w:rsidRPr="00E4265B">
        <w:rPr>
          <w:rFonts w:ascii="Arial" w:hAnsi="Arial" w:cs="Arial"/>
          <w:i/>
          <w:iCs/>
          <w:sz w:val="22"/>
          <w:szCs w:val="22"/>
          <w:lang w:val="en-GB"/>
        </w:rPr>
        <w:t>C(1 – H</w:t>
      </w:r>
      <w:r w:rsidRPr="00E4265B">
        <w:rPr>
          <w:rFonts w:ascii="Arial" w:hAnsi="Arial" w:cs="Arial"/>
          <w:i/>
          <w:iCs/>
          <w:sz w:val="22"/>
          <w:szCs w:val="22"/>
          <w:vertAlign w:val="subscript"/>
          <w:lang w:val="en-GB"/>
        </w:rPr>
        <w:t>C</w:t>
      </w:r>
      <w:r w:rsidRPr="00E4265B">
        <w:rPr>
          <w:rFonts w:ascii="Arial" w:hAnsi="Arial" w:cs="Arial"/>
          <w:i/>
          <w:iCs/>
          <w:sz w:val="22"/>
          <w:szCs w:val="22"/>
          <w:lang w:val="en-GB"/>
        </w:rPr>
        <w:t xml:space="preserve"> – H</w:t>
      </w:r>
      <w:r w:rsidRPr="00E4265B">
        <w:rPr>
          <w:rFonts w:ascii="Arial" w:hAnsi="Arial" w:cs="Arial"/>
          <w:i/>
          <w:iCs/>
          <w:sz w:val="22"/>
          <w:szCs w:val="22"/>
          <w:vertAlign w:val="subscript"/>
          <w:lang w:val="en-GB"/>
        </w:rPr>
        <w:t>FX</w:t>
      </w:r>
      <w:r w:rsidRPr="00E4265B">
        <w:rPr>
          <w:rFonts w:ascii="Arial" w:hAnsi="Arial" w:cs="Arial"/>
          <w:i/>
          <w:iCs/>
          <w:sz w:val="22"/>
          <w:szCs w:val="22"/>
          <w:lang w:val="en-GB"/>
        </w:rPr>
        <w:t>)</w:t>
      </w:r>
      <w:r w:rsidRPr="00E4265B">
        <w:rPr>
          <w:rFonts w:ascii="Arial" w:hAnsi="Arial" w:cs="Arial"/>
          <w:sz w:val="22"/>
          <w:szCs w:val="22"/>
          <w:lang w:val="en-GB"/>
        </w:rPr>
        <w:t>.</w:t>
      </w:r>
    </w:p>
    <w:p w14:paraId="4F1CBDA5" w14:textId="77777777" w:rsidR="00E22FF2" w:rsidRPr="00E4265B" w:rsidRDefault="00E22FF2" w:rsidP="00F1599E">
      <w:pPr>
        <w:pStyle w:val="A1List"/>
        <w:rPr>
          <w:rFonts w:ascii="Arial" w:hAnsi="Arial" w:cs="Arial"/>
          <w:sz w:val="22"/>
          <w:szCs w:val="22"/>
          <w:lang w:val="en-GB"/>
        </w:rPr>
      </w:pPr>
      <w:r w:rsidRPr="00E4265B">
        <w:rPr>
          <w:rFonts w:ascii="Arial" w:hAnsi="Arial" w:cs="Arial"/>
          <w:b/>
          <w:bCs/>
          <w:sz w:val="22"/>
          <w:szCs w:val="22"/>
          <w:lang w:val="en-GB"/>
        </w:rPr>
        <w:t>A4.3.7</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using standard supervisory haircuts or own</w:t>
      </w:r>
      <w:r w:rsidRPr="00E4265B">
        <w:rPr>
          <w:rFonts w:ascii="Arial" w:hAnsi="Arial" w:cs="Arial"/>
          <w:sz w:val="22"/>
          <w:szCs w:val="22"/>
          <w:lang w:val="en-GB"/>
        </w:rPr>
        <w:noBreakHyphen/>
        <w:t xml:space="preserve">estimate haircuts under the FCCA must calculate </w:t>
      </w:r>
      <w:r w:rsidRPr="00E4265B">
        <w:rPr>
          <w:rFonts w:ascii="Arial" w:hAnsi="Arial" w:cs="Arial"/>
          <w:i/>
          <w:iCs/>
          <w:sz w:val="22"/>
          <w:szCs w:val="22"/>
          <w:lang w:val="en-GB"/>
        </w:rPr>
        <w:t>E*</w:t>
      </w:r>
      <w:r w:rsidRPr="00E4265B">
        <w:rPr>
          <w:rFonts w:ascii="Arial" w:hAnsi="Arial" w:cs="Arial"/>
          <w:sz w:val="22"/>
          <w:szCs w:val="22"/>
          <w:lang w:val="en-GB"/>
        </w:rPr>
        <w:t xml:space="preserve"> for any collateralised transaction covered by a qualifying bilateral Netting agreement or qualifying cross</w:t>
      </w:r>
      <w:r w:rsidRPr="00E4265B">
        <w:rPr>
          <w:rFonts w:ascii="Arial" w:hAnsi="Arial" w:cs="Arial"/>
          <w:sz w:val="22"/>
          <w:szCs w:val="22"/>
          <w:lang w:val="en-GB"/>
        </w:rPr>
        <w:noBreakHyphen/>
        <w:t>product Netting agreement other than OTC Derivative transactions or long settlement transactions, using the following formula:</w:t>
      </w:r>
    </w:p>
    <w:p w14:paraId="1CA449BF" w14:textId="5902F9AA" w:rsidR="00726D66" w:rsidRPr="00E4265B" w:rsidRDefault="00B275AE" w:rsidP="00FB5A30">
      <w:pPr>
        <w:pStyle w:val="A1List"/>
        <w:rPr>
          <w:rFonts w:ascii="Arial" w:hAnsi="Arial" w:cs="Arial"/>
          <w:iCs/>
          <w:sz w:val="22"/>
          <w:szCs w:val="22"/>
          <w:lang w:val="en-GB"/>
        </w:rPr>
      </w:pPr>
      <m:oMathPara>
        <m:oMath>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m:t>
              </m:r>
            </m:sup>
          </m:sSup>
          <m:r>
            <m:rPr>
              <m:sty m:val="p"/>
            </m:rPr>
            <w:rPr>
              <w:rFonts w:ascii="Cambria Math" w:hAnsi="Cambria Math" w:cs="Arial"/>
              <w:sz w:val="22"/>
              <w:szCs w:val="22"/>
              <w:lang w:val="en-GB"/>
            </w:rPr>
            <m:t>=</m:t>
          </m:r>
          <m:r>
            <m:rPr>
              <m:nor/>
            </m:rPr>
            <w:rPr>
              <w:rFonts w:ascii="Arial" w:hAnsi="Arial" w:cs="Arial"/>
              <w:iCs/>
              <w:sz w:val="22"/>
              <w:szCs w:val="22"/>
              <w:lang w:val="en-GB"/>
            </w:rPr>
            <m:t xml:space="preserve">Max </m:t>
          </m:r>
          <m:d>
            <m:dPr>
              <m:begChr m:val="{"/>
              <m:endChr m:val=""/>
              <m:ctrlPr>
                <w:rPr>
                  <w:rFonts w:ascii="Cambria Math" w:hAnsi="Cambria Math" w:cs="Arial"/>
                  <w:iCs/>
                  <w:sz w:val="22"/>
                  <w:szCs w:val="22"/>
                  <w:lang w:val="en-GB"/>
                </w:rPr>
              </m:ctrlPr>
            </m:dPr>
            <m:e>
              <m:r>
                <m:rPr>
                  <m:sty m:val="p"/>
                </m:rPr>
                <w:rPr>
                  <w:rFonts w:ascii="Cambria Math" w:hAnsi="Cambria Math" w:cs="Arial"/>
                  <w:sz w:val="22"/>
                  <w:szCs w:val="22"/>
                  <w:lang w:val="en-GB"/>
                </w:rPr>
                <m:t xml:space="preserve">0,  </m:t>
              </m:r>
            </m:e>
          </m:d>
          <m:r>
            <m:rPr>
              <m:sty m:val="p"/>
            </m:rPr>
            <w:rPr>
              <w:rFonts w:ascii="Cambria Math" w:hAnsi="Cambria Math" w:cs="Arial"/>
              <w:sz w:val="22"/>
              <w:szCs w:val="22"/>
              <w:lang w:val="en-GB"/>
            </w:rPr>
            <m:t xml:space="preserve"> </m:t>
          </m:r>
          <m:d>
            <m:dPr>
              <m:begChr m:val="["/>
              <m:endChr m:val=""/>
              <m:ctrlPr>
                <w:rPr>
                  <w:rFonts w:ascii="Cambria Math" w:hAnsi="Cambria Math" w:cs="Arial"/>
                  <w:iCs/>
                  <w:sz w:val="22"/>
                  <w:szCs w:val="22"/>
                  <w:lang w:val="en-GB"/>
                </w:rPr>
              </m:ctrlPr>
            </m:dPr>
            <m:e>
              <m:nary>
                <m:naryPr>
                  <m:chr m:val="∑"/>
                  <m:limLoc m:val="undOvr"/>
                  <m:subHide m:val="1"/>
                  <m:supHide m:val="1"/>
                  <m:ctrlPr>
                    <w:rPr>
                      <w:rFonts w:ascii="Cambria Math" w:hAnsi="Cambria Math" w:cs="Arial"/>
                      <w:iCs/>
                      <w:sz w:val="22"/>
                      <w:szCs w:val="22"/>
                      <w:lang w:val="en-GB"/>
                    </w:rPr>
                  </m:ctrlPr>
                </m:naryPr>
                <m:sub/>
                <m:sup/>
                <m:e>
                  <m:d>
                    <m:dPr>
                      <m:ctrlPr>
                        <w:rPr>
                          <w:rFonts w:ascii="Cambria Math" w:hAnsi="Cambria Math" w:cs="Arial"/>
                          <w:iCs/>
                          <w:sz w:val="22"/>
                          <w:szCs w:val="22"/>
                          <w:lang w:val="en-GB"/>
                        </w:rPr>
                      </m:ctrlPr>
                    </m:dPr>
                    <m:e>
                      <m:r>
                        <w:rPr>
                          <w:rFonts w:ascii="Cambria Math" w:hAnsi="Cambria Math" w:cs="Arial"/>
                          <w:sz w:val="22"/>
                          <w:szCs w:val="22"/>
                          <w:lang w:val="en-GB"/>
                        </w:rPr>
                        <m:t>E</m:t>
                      </m:r>
                    </m:e>
                  </m:d>
                  <m:r>
                    <m:rPr>
                      <m:sty m:val="p"/>
                    </m:rPr>
                    <w:rPr>
                      <w:rFonts w:ascii="Cambria Math" w:hAnsi="Cambria Math" w:cs="Arial"/>
                      <w:sz w:val="22"/>
                      <w:szCs w:val="22"/>
                      <w:lang w:val="en-GB"/>
                    </w:rPr>
                    <m:t>-</m:t>
                  </m:r>
                  <m:nary>
                    <m:naryPr>
                      <m:chr m:val="∑"/>
                      <m:limLoc m:val="undOvr"/>
                      <m:subHide m:val="1"/>
                      <m:supHide m:val="1"/>
                      <m:ctrlPr>
                        <w:rPr>
                          <w:rFonts w:ascii="Cambria Math" w:hAnsi="Cambria Math" w:cs="Arial"/>
                          <w:iCs/>
                          <w:sz w:val="22"/>
                          <w:szCs w:val="22"/>
                          <w:lang w:val="en-GB"/>
                        </w:rPr>
                      </m:ctrlPr>
                    </m:naryPr>
                    <m:sub/>
                    <m:sup/>
                    <m:e>
                      <m:d>
                        <m:dPr>
                          <m:ctrlPr>
                            <w:rPr>
                              <w:rFonts w:ascii="Cambria Math" w:hAnsi="Cambria Math" w:cs="Arial"/>
                              <w:iCs/>
                              <w:sz w:val="22"/>
                              <w:szCs w:val="22"/>
                              <w:lang w:val="en-GB"/>
                            </w:rPr>
                          </m:ctrlPr>
                        </m:dPr>
                        <m:e>
                          <m:r>
                            <w:rPr>
                              <w:rFonts w:ascii="Cambria Math" w:hAnsi="Cambria Math" w:cs="Arial"/>
                              <w:sz w:val="22"/>
                              <w:szCs w:val="22"/>
                              <w:lang w:val="en-GB"/>
                            </w:rPr>
                            <m:t>C</m:t>
                          </m:r>
                        </m:e>
                      </m:d>
                      <m:r>
                        <m:rPr>
                          <m:sty m:val="p"/>
                        </m:rPr>
                        <w:rPr>
                          <w:rFonts w:ascii="Cambria Math" w:hAnsi="Cambria Math" w:cs="Arial"/>
                          <w:sz w:val="22"/>
                          <w:szCs w:val="22"/>
                          <w:lang w:val="en-GB"/>
                        </w:rPr>
                        <m:t>+</m:t>
                      </m:r>
                      <m:r>
                        <m:rPr>
                          <m:nor/>
                        </m:rPr>
                        <w:rPr>
                          <w:rFonts w:ascii="Arial" w:hAnsi="Arial" w:cs="Arial"/>
                          <w:i/>
                          <w:sz w:val="22"/>
                          <w:szCs w:val="22"/>
                          <w:lang w:val="en-GB"/>
                        </w:rPr>
                        <m:t>add-on</m:t>
                      </m:r>
                      <m:r>
                        <m:rPr>
                          <m:nor/>
                        </m:rPr>
                        <w:rPr>
                          <w:rFonts w:ascii="Arial" w:hAnsi="Arial" w:cs="Arial"/>
                          <w:iCs/>
                          <w:sz w:val="22"/>
                          <w:szCs w:val="22"/>
                          <w:lang w:val="en-GB"/>
                        </w:rPr>
                        <m:t>]</m:t>
                      </m:r>
                    </m:e>
                  </m:nary>
                </m:e>
              </m:nary>
            </m:e>
          </m:d>
          <m:r>
            <m:rPr>
              <m:sty m:val="p"/>
            </m:rPr>
            <w:rPr>
              <w:rFonts w:ascii="Cambria Math" w:hAnsi="Cambria Math" w:cs="Arial"/>
              <w:sz w:val="22"/>
              <w:szCs w:val="22"/>
              <w:lang w:val="en-GB"/>
            </w:rPr>
            <m:t>}</m:t>
          </m:r>
        </m:oMath>
      </m:oMathPara>
    </w:p>
    <w:p w14:paraId="65ADDFF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where:</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3"/>
        <w:gridCol w:w="531"/>
        <w:gridCol w:w="6415"/>
      </w:tblGrid>
      <w:tr w:rsidR="00E22FF2" w:rsidRPr="00E4265B" w14:paraId="031650FB" w14:textId="77777777" w:rsidTr="00F1599E">
        <w:tc>
          <w:tcPr>
            <w:tcW w:w="1080" w:type="dxa"/>
          </w:tcPr>
          <w:p w14:paraId="5A757CFD" w14:textId="77777777" w:rsidR="00E22FF2" w:rsidRPr="00E4265B" w:rsidRDefault="00E22FF2" w:rsidP="00F1599E">
            <w:pPr>
              <w:spacing w:after="240"/>
              <w:rPr>
                <w:rFonts w:ascii="Arial" w:hAnsi="Arial" w:cs="Arial"/>
                <w:i/>
                <w:iCs/>
                <w:sz w:val="22"/>
                <w:szCs w:val="22"/>
                <w:lang w:val="en-GB"/>
              </w:rPr>
            </w:pPr>
            <w:r w:rsidRPr="00E4265B">
              <w:rPr>
                <w:rFonts w:ascii="Arial" w:hAnsi="Arial" w:cs="Arial"/>
                <w:i/>
                <w:iCs/>
                <w:sz w:val="22"/>
                <w:szCs w:val="22"/>
                <w:lang w:val="en-GB"/>
              </w:rPr>
              <w:t>E*</w:t>
            </w:r>
          </w:p>
        </w:tc>
        <w:tc>
          <w:tcPr>
            <w:tcW w:w="540" w:type="dxa"/>
          </w:tcPr>
          <w:p w14:paraId="6848DE95" w14:textId="77777777" w:rsidR="00E22FF2" w:rsidRPr="00E4265B" w:rsidRDefault="00E22FF2" w:rsidP="00F1599E">
            <w:pPr>
              <w:spacing w:after="240"/>
              <w:rPr>
                <w:rFonts w:ascii="Arial" w:hAnsi="Arial" w:cs="Arial"/>
                <w:sz w:val="22"/>
                <w:szCs w:val="22"/>
                <w:lang w:val="en-GB"/>
              </w:rPr>
            </w:pPr>
            <w:r w:rsidRPr="00E4265B">
              <w:rPr>
                <w:rFonts w:ascii="Arial" w:hAnsi="Arial" w:cs="Arial"/>
                <w:sz w:val="22"/>
                <w:szCs w:val="22"/>
                <w:lang w:val="en-GB"/>
              </w:rPr>
              <w:t>=</w:t>
            </w:r>
          </w:p>
        </w:tc>
        <w:tc>
          <w:tcPr>
            <w:tcW w:w="6615" w:type="dxa"/>
          </w:tcPr>
          <w:p w14:paraId="4E8FF0D1" w14:textId="77777777" w:rsidR="00E22FF2" w:rsidRPr="00E4265B" w:rsidRDefault="00E22FF2" w:rsidP="00F1599E">
            <w:pPr>
              <w:spacing w:after="240"/>
              <w:jc w:val="both"/>
              <w:rPr>
                <w:rFonts w:ascii="Arial" w:hAnsi="Arial" w:cs="Arial"/>
                <w:sz w:val="22"/>
                <w:szCs w:val="22"/>
                <w:lang w:val="en-GB"/>
              </w:rPr>
            </w:pPr>
            <w:r w:rsidRPr="00E4265B">
              <w:rPr>
                <w:rFonts w:ascii="Arial" w:hAnsi="Arial" w:cs="Arial"/>
                <w:sz w:val="22"/>
                <w:szCs w:val="22"/>
                <w:lang w:val="en-GB"/>
              </w:rPr>
              <w:t>Exposure value after risk mitigation;</w:t>
            </w:r>
          </w:p>
        </w:tc>
      </w:tr>
      <w:tr w:rsidR="00E22FF2" w:rsidRPr="00E4265B" w14:paraId="27FA0CE5" w14:textId="77777777" w:rsidTr="00F1599E">
        <w:tc>
          <w:tcPr>
            <w:tcW w:w="1080" w:type="dxa"/>
          </w:tcPr>
          <w:p w14:paraId="0A2D5280" w14:textId="77777777" w:rsidR="00E22FF2" w:rsidRPr="00E4265B" w:rsidRDefault="00E22FF2" w:rsidP="00F1599E">
            <w:pPr>
              <w:spacing w:after="240"/>
              <w:rPr>
                <w:rFonts w:ascii="Arial" w:hAnsi="Arial" w:cs="Arial"/>
                <w:i/>
                <w:iCs/>
                <w:sz w:val="22"/>
                <w:szCs w:val="22"/>
                <w:lang w:val="en-GB"/>
              </w:rPr>
            </w:pPr>
            <w:r w:rsidRPr="00E4265B">
              <w:rPr>
                <w:rFonts w:ascii="Arial" w:hAnsi="Arial" w:cs="Arial"/>
                <w:i/>
                <w:iCs/>
                <w:sz w:val="22"/>
                <w:szCs w:val="22"/>
                <w:lang w:val="en-GB"/>
              </w:rPr>
              <w:t>E</w:t>
            </w:r>
          </w:p>
        </w:tc>
        <w:tc>
          <w:tcPr>
            <w:tcW w:w="540" w:type="dxa"/>
          </w:tcPr>
          <w:p w14:paraId="07C2BD84" w14:textId="77777777" w:rsidR="00E22FF2" w:rsidRPr="00E4265B" w:rsidRDefault="00E22FF2" w:rsidP="00F1599E">
            <w:pPr>
              <w:spacing w:after="240"/>
              <w:rPr>
                <w:rFonts w:ascii="Arial" w:hAnsi="Arial" w:cs="Arial"/>
                <w:sz w:val="22"/>
                <w:szCs w:val="22"/>
                <w:lang w:val="en-GB"/>
              </w:rPr>
            </w:pPr>
            <w:r w:rsidRPr="00E4265B">
              <w:rPr>
                <w:rFonts w:ascii="Arial" w:hAnsi="Arial" w:cs="Arial"/>
                <w:sz w:val="22"/>
                <w:szCs w:val="22"/>
                <w:lang w:val="en-GB"/>
              </w:rPr>
              <w:t>=</w:t>
            </w:r>
          </w:p>
        </w:tc>
        <w:tc>
          <w:tcPr>
            <w:tcW w:w="6615" w:type="dxa"/>
          </w:tcPr>
          <w:p w14:paraId="54ED2039" w14:textId="77777777" w:rsidR="00E22FF2" w:rsidRPr="00E4265B" w:rsidRDefault="00E22FF2" w:rsidP="003A7ADD">
            <w:pPr>
              <w:spacing w:after="240"/>
              <w:jc w:val="both"/>
              <w:rPr>
                <w:rFonts w:ascii="Arial" w:hAnsi="Arial" w:cs="Arial"/>
                <w:sz w:val="22"/>
                <w:szCs w:val="22"/>
                <w:lang w:val="en-GB"/>
              </w:rPr>
            </w:pPr>
            <w:r w:rsidRPr="00E4265B">
              <w:rPr>
                <w:rFonts w:ascii="Arial" w:hAnsi="Arial" w:cs="Arial"/>
                <w:sz w:val="22"/>
                <w:szCs w:val="22"/>
                <w:lang w:val="en-GB"/>
              </w:rPr>
              <w:t>fair value of the Exposure calculated in accordance with Section 4.9 of these Rules;</w:t>
            </w:r>
          </w:p>
        </w:tc>
      </w:tr>
      <w:tr w:rsidR="00E22FF2" w:rsidRPr="00E4265B" w14:paraId="256995BE" w14:textId="77777777" w:rsidTr="00F1599E">
        <w:tc>
          <w:tcPr>
            <w:tcW w:w="1080" w:type="dxa"/>
          </w:tcPr>
          <w:p w14:paraId="3ECD6623" w14:textId="77777777" w:rsidR="00E22FF2" w:rsidRPr="00E4265B" w:rsidRDefault="00E22FF2" w:rsidP="00F1599E">
            <w:pPr>
              <w:spacing w:after="240"/>
              <w:rPr>
                <w:rFonts w:ascii="Arial" w:hAnsi="Arial" w:cs="Arial"/>
                <w:i/>
                <w:iCs/>
                <w:sz w:val="22"/>
                <w:szCs w:val="22"/>
                <w:lang w:val="en-GB"/>
              </w:rPr>
            </w:pPr>
            <w:r w:rsidRPr="00E4265B">
              <w:rPr>
                <w:rFonts w:ascii="Arial" w:hAnsi="Arial" w:cs="Arial"/>
                <w:i/>
                <w:iCs/>
                <w:sz w:val="22"/>
                <w:szCs w:val="22"/>
                <w:lang w:val="en-GB"/>
              </w:rPr>
              <w:t>C</w:t>
            </w:r>
          </w:p>
        </w:tc>
        <w:tc>
          <w:tcPr>
            <w:tcW w:w="540" w:type="dxa"/>
          </w:tcPr>
          <w:p w14:paraId="68D4285A" w14:textId="77777777" w:rsidR="00E22FF2" w:rsidRPr="00E4265B" w:rsidRDefault="00E22FF2" w:rsidP="00F1599E">
            <w:pPr>
              <w:spacing w:after="240"/>
              <w:rPr>
                <w:rFonts w:ascii="Arial" w:hAnsi="Arial" w:cs="Arial"/>
                <w:sz w:val="22"/>
                <w:szCs w:val="22"/>
                <w:lang w:val="en-GB"/>
              </w:rPr>
            </w:pPr>
            <w:r w:rsidRPr="00E4265B">
              <w:rPr>
                <w:rFonts w:ascii="Arial" w:hAnsi="Arial" w:cs="Arial"/>
                <w:sz w:val="22"/>
                <w:szCs w:val="22"/>
                <w:lang w:val="en-GB"/>
              </w:rPr>
              <w:t>=</w:t>
            </w:r>
          </w:p>
        </w:tc>
        <w:tc>
          <w:tcPr>
            <w:tcW w:w="6615" w:type="dxa"/>
          </w:tcPr>
          <w:p w14:paraId="2E1CE428" w14:textId="77777777" w:rsidR="00E22FF2" w:rsidRPr="00E4265B" w:rsidRDefault="00E22FF2" w:rsidP="00F1599E">
            <w:pPr>
              <w:spacing w:after="240"/>
              <w:jc w:val="both"/>
              <w:rPr>
                <w:rFonts w:ascii="Arial" w:hAnsi="Arial" w:cs="Arial"/>
                <w:sz w:val="22"/>
                <w:szCs w:val="22"/>
                <w:lang w:val="en-GB"/>
              </w:rPr>
            </w:pPr>
            <w:r w:rsidRPr="00E4265B">
              <w:rPr>
                <w:rFonts w:ascii="Arial" w:hAnsi="Arial" w:cs="Arial"/>
                <w:sz w:val="22"/>
                <w:szCs w:val="22"/>
                <w:lang w:val="en-GB"/>
              </w:rPr>
              <w:t>fair value of eligible financial Collateral received; and</w:t>
            </w:r>
          </w:p>
        </w:tc>
      </w:tr>
      <w:tr w:rsidR="00E22FF2" w:rsidRPr="00E4265B" w14:paraId="01962FD3" w14:textId="77777777" w:rsidTr="00F1599E">
        <w:tc>
          <w:tcPr>
            <w:tcW w:w="1080" w:type="dxa"/>
          </w:tcPr>
          <w:p w14:paraId="5EA2713D" w14:textId="60785C80" w:rsidR="00E22FF2" w:rsidRPr="00E4265B" w:rsidRDefault="008D256D" w:rsidP="00742AC6">
            <w:pPr>
              <w:rPr>
                <w:rFonts w:ascii="Arial" w:hAnsi="Arial" w:cs="Arial"/>
                <w:i/>
                <w:iCs/>
                <w:sz w:val="22"/>
                <w:szCs w:val="22"/>
                <w:lang w:val="en-GB"/>
              </w:rPr>
            </w:pPr>
            <w:r w:rsidRPr="00E4265B">
              <w:rPr>
                <w:rFonts w:ascii="Arial" w:hAnsi="Arial" w:cs="Arial"/>
                <w:i/>
                <w:iCs/>
                <w:sz w:val="22"/>
                <w:szCs w:val="22"/>
                <w:lang w:val="en-GB"/>
              </w:rPr>
              <w:t>a</w:t>
            </w:r>
            <w:r w:rsidR="00E22FF2" w:rsidRPr="00E4265B">
              <w:rPr>
                <w:rFonts w:ascii="Arial" w:hAnsi="Arial" w:cs="Arial"/>
                <w:i/>
                <w:iCs/>
                <w:sz w:val="22"/>
                <w:szCs w:val="22"/>
                <w:lang w:val="en-GB"/>
              </w:rPr>
              <w:t>dd</w:t>
            </w:r>
            <w:r w:rsidR="00E22FF2" w:rsidRPr="00E4265B">
              <w:rPr>
                <w:rFonts w:ascii="Arial" w:hAnsi="Arial" w:cs="Arial"/>
                <w:i/>
                <w:iCs/>
                <w:sz w:val="22"/>
                <w:szCs w:val="22"/>
                <w:lang w:val="en-GB"/>
              </w:rPr>
              <w:noBreakHyphen/>
              <w:t>on</w:t>
            </w:r>
          </w:p>
        </w:tc>
        <w:tc>
          <w:tcPr>
            <w:tcW w:w="540" w:type="dxa"/>
          </w:tcPr>
          <w:p w14:paraId="18DF1B7C" w14:textId="77777777" w:rsidR="00E22FF2" w:rsidRPr="00E4265B" w:rsidRDefault="00E22FF2" w:rsidP="00742AC6">
            <w:pPr>
              <w:rPr>
                <w:rFonts w:ascii="Arial" w:hAnsi="Arial" w:cs="Arial"/>
                <w:sz w:val="22"/>
                <w:szCs w:val="22"/>
                <w:lang w:val="en-GB"/>
              </w:rPr>
            </w:pPr>
            <w:r w:rsidRPr="00E4265B">
              <w:rPr>
                <w:rFonts w:ascii="Arial" w:hAnsi="Arial" w:cs="Arial"/>
                <w:sz w:val="22"/>
                <w:szCs w:val="22"/>
                <w:lang w:val="en-GB"/>
              </w:rPr>
              <w:t>=</w:t>
            </w:r>
          </w:p>
        </w:tc>
        <w:tc>
          <w:tcPr>
            <w:tcW w:w="6615" w:type="dxa"/>
          </w:tcPr>
          <w:p w14:paraId="422E3438" w14:textId="77777777" w:rsidR="00E22FF2" w:rsidRPr="00E4265B" w:rsidRDefault="00E22FF2" w:rsidP="00F1599E">
            <w:pPr>
              <w:jc w:val="both"/>
              <w:rPr>
                <w:rFonts w:ascii="Arial" w:hAnsi="Arial" w:cs="Arial"/>
                <w:sz w:val="22"/>
                <w:szCs w:val="22"/>
                <w:lang w:val="en-GB"/>
              </w:rPr>
            </w:pPr>
            <w:r w:rsidRPr="00E4265B">
              <w:rPr>
                <w:rFonts w:ascii="Arial" w:hAnsi="Arial" w:cs="Arial"/>
                <w:sz w:val="22"/>
                <w:szCs w:val="22"/>
                <w:lang w:val="en-GB"/>
              </w:rPr>
              <w:t>the add</w:t>
            </w:r>
            <w:r w:rsidRPr="00E4265B">
              <w:rPr>
                <w:rFonts w:ascii="Arial" w:hAnsi="Arial" w:cs="Arial"/>
                <w:sz w:val="22"/>
                <w:szCs w:val="22"/>
                <w:lang w:val="en-GB"/>
              </w:rPr>
              <w:noBreakHyphen/>
              <w:t>on amount to reflect the market price volatility and foreign exchange volatility, calculated in accordance with Rule A4.3.8 below.</w:t>
            </w:r>
          </w:p>
        </w:tc>
      </w:tr>
    </w:tbl>
    <w:p w14:paraId="79B55F35" w14:textId="77777777" w:rsidR="00E22FF2" w:rsidRPr="00E4265B" w:rsidRDefault="00E22FF2" w:rsidP="00F1599E">
      <w:pPr>
        <w:rPr>
          <w:rFonts w:ascii="Arial" w:hAnsi="Arial" w:cs="Arial"/>
          <w:sz w:val="22"/>
          <w:szCs w:val="22"/>
          <w:lang w:val="en-GB"/>
        </w:rPr>
      </w:pPr>
    </w:p>
    <w:p w14:paraId="3E125EE1" w14:textId="77777777" w:rsidR="00E22FF2" w:rsidRPr="00E4265B" w:rsidRDefault="00E22FF2" w:rsidP="00F1599E">
      <w:pPr>
        <w:pStyle w:val="A1List"/>
        <w:rPr>
          <w:rFonts w:ascii="Arial" w:hAnsi="Arial" w:cs="Arial"/>
          <w:sz w:val="22"/>
          <w:szCs w:val="22"/>
          <w:lang w:val="en-GB"/>
        </w:rPr>
      </w:pPr>
      <w:r w:rsidRPr="00E4265B">
        <w:rPr>
          <w:rFonts w:ascii="Arial" w:hAnsi="Arial" w:cs="Arial"/>
          <w:b/>
          <w:bCs/>
          <w:sz w:val="22"/>
          <w:szCs w:val="22"/>
          <w:lang w:val="en-GB"/>
        </w:rPr>
        <w:t>A4.3.8</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the add</w:t>
      </w:r>
      <w:r w:rsidRPr="00E4265B">
        <w:rPr>
          <w:rFonts w:ascii="Arial" w:hAnsi="Arial" w:cs="Arial"/>
          <w:sz w:val="22"/>
          <w:szCs w:val="22"/>
          <w:lang w:val="en-GB"/>
        </w:rPr>
        <w:noBreakHyphen/>
        <w:t xml:space="preserve">on using one of the following approaches: </w:t>
      </w:r>
    </w:p>
    <w:p w14:paraId="61CEAF09" w14:textId="66057AD6" w:rsidR="00E22FF2" w:rsidRPr="00E4265B" w:rsidRDefault="00E22FF2" w:rsidP="00F1599E">
      <w:pPr>
        <w:pStyle w:val="A1List"/>
        <w:rPr>
          <w:rFonts w:ascii="Arial" w:hAnsi="Arial" w:cs="Arial"/>
          <w:sz w:val="22"/>
          <w:szCs w:val="22"/>
          <w:lang w:val="en-GB"/>
        </w:rPr>
      </w:pPr>
      <w:r w:rsidRPr="00E4265B">
        <w:rPr>
          <w:rFonts w:ascii="Arial" w:hAnsi="Arial" w:cs="Arial"/>
          <w:b/>
          <w:bCs/>
          <w:sz w:val="22"/>
          <w:szCs w:val="22"/>
          <w:lang w:val="en-GB"/>
        </w:rPr>
        <w:tab/>
      </w:r>
      <w:r w:rsidR="00BB1831" w:rsidRPr="00E4265B">
        <w:rPr>
          <w:rFonts w:ascii="Arial" w:hAnsi="Arial" w:cs="Arial"/>
          <w:sz w:val="22"/>
          <w:szCs w:val="22"/>
          <w:lang w:val="en-GB"/>
        </w:rPr>
        <w:t>(a)</w:t>
      </w:r>
      <w:r w:rsidRPr="00E4265B">
        <w:rPr>
          <w:rFonts w:ascii="Arial" w:hAnsi="Arial" w:cs="Arial"/>
          <w:sz w:val="22"/>
          <w:szCs w:val="22"/>
          <w:lang w:val="en-GB"/>
        </w:rPr>
        <w:tab/>
        <w:t>the approach according to the following formula:</w:t>
      </w:r>
    </w:p>
    <w:p w14:paraId="511DC92E" w14:textId="2C82C00C" w:rsidR="00726D66" w:rsidRPr="00E4265B" w:rsidRDefault="00FB5A30" w:rsidP="00FB5A30">
      <w:pPr>
        <w:pStyle w:val="A1List"/>
        <w:rPr>
          <w:rFonts w:ascii="Arial" w:hAnsi="Arial" w:cs="Arial"/>
          <w:sz w:val="22"/>
          <w:szCs w:val="22"/>
          <w:lang w:val="en-GB"/>
        </w:rPr>
      </w:pPr>
      <m:oMathPara>
        <m:oMath>
          <m:r>
            <w:rPr>
              <w:rFonts w:ascii="Cambria Math" w:hAnsi="Cambria Math" w:cs="Arial"/>
              <w:sz w:val="22"/>
              <w:szCs w:val="22"/>
              <w:lang w:val="en-GB"/>
            </w:rPr>
            <m:t>add</m:t>
          </m:r>
          <m:r>
            <w:rPr>
              <w:rFonts w:ascii="Cambria Math" w:hAnsi="Cambria Math" w:cs="Arial"/>
              <w:i/>
              <w:iCs/>
              <w:sz w:val="22"/>
              <w:szCs w:val="22"/>
              <w:lang w:val="en-GB"/>
            </w:rPr>
            <w:sym w:font="Symbol" w:char="F02D"/>
          </m:r>
          <m:r>
            <w:rPr>
              <w:rFonts w:ascii="Cambria Math" w:hAnsi="Cambria Math" w:cs="Arial"/>
              <w:sz w:val="22"/>
              <w:szCs w:val="22"/>
              <w:lang w:val="en-GB"/>
            </w:rPr>
            <m:t>on</m:t>
          </m:r>
          <m:r>
            <m:rPr>
              <m:sty m:val="p"/>
            </m:rPr>
            <w:rPr>
              <w:rFonts w:ascii="Cambria Math" w:hAnsi="Cambria Math" w:cs="Arial"/>
              <w:sz w:val="22"/>
              <w:szCs w:val="22"/>
              <w:lang w:val="en-GB"/>
            </w:rPr>
            <m:t xml:space="preserve">= </m:t>
          </m:r>
          <m:nary>
            <m:naryPr>
              <m:chr m:val="∑"/>
              <m:limLoc m:val="undOvr"/>
              <m:subHide m:val="1"/>
              <m:supHide m:val="1"/>
              <m:ctrlPr>
                <w:rPr>
                  <w:rFonts w:ascii="Cambria Math" w:hAnsi="Cambria Math" w:cs="Arial"/>
                  <w:sz w:val="22"/>
                  <w:szCs w:val="22"/>
                  <w:lang w:val="en-GB"/>
                </w:rPr>
              </m:ctrlPr>
            </m:naryPr>
            <m:sub/>
            <m:sup/>
            <m:e>
              <m:d>
                <m:dPr>
                  <m:ctrlPr>
                    <w:rPr>
                      <w:rFonts w:ascii="Cambria Math" w:hAnsi="Cambria Math" w:cs="Arial"/>
                      <w:sz w:val="22"/>
                      <w:szCs w:val="22"/>
                      <w:lang w:val="en-GB"/>
                    </w:rPr>
                  </m:ctrlPr>
                </m:dPr>
                <m:e>
                  <m:sSub>
                    <m:sSubPr>
                      <m:ctrlPr>
                        <w:rPr>
                          <w:rFonts w:ascii="Cambria Math" w:hAnsi="Cambria Math" w:cs="Arial"/>
                          <w:i/>
                          <w:sz w:val="22"/>
                          <w:szCs w:val="22"/>
                          <w:lang w:val="en-GB"/>
                        </w:rPr>
                      </m:ctrlPr>
                    </m:sSubPr>
                    <m:e>
                      <m:r>
                        <w:rPr>
                          <w:rFonts w:ascii="Cambria Math" w:hAnsi="Cambria Math" w:cs="Arial"/>
                          <w:sz w:val="22"/>
                          <w:szCs w:val="22"/>
                          <w:lang w:val="en-GB"/>
                        </w:rPr>
                        <m:t>E</m:t>
                      </m:r>
                    </m:e>
                    <m:sub>
                      <m:r>
                        <w:rPr>
                          <w:rFonts w:ascii="Cambria Math" w:hAnsi="Cambria Math" w:cs="Arial"/>
                          <w:sz w:val="22"/>
                          <w:szCs w:val="22"/>
                          <w:lang w:val="en-GB"/>
                        </w:rPr>
                        <m:t>S</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H</m:t>
                      </m:r>
                    </m:e>
                    <m:sub>
                      <m:r>
                        <w:rPr>
                          <w:rFonts w:ascii="Cambria Math" w:hAnsi="Cambria Math" w:cs="Arial"/>
                          <w:sz w:val="22"/>
                          <w:szCs w:val="22"/>
                          <w:lang w:val="en-GB"/>
                        </w:rPr>
                        <m:t>S</m:t>
                      </m:r>
                    </m:sub>
                  </m:sSub>
                </m:e>
              </m:d>
              <m:r>
                <m:rPr>
                  <m:sty m:val="p"/>
                </m:rPr>
                <w:rPr>
                  <w:rFonts w:ascii="Cambria Math" w:hAnsi="Cambria Math" w:cs="Arial"/>
                  <w:sz w:val="22"/>
                  <w:szCs w:val="22"/>
                  <w:lang w:val="en-GB"/>
                </w:rPr>
                <m:t>+</m:t>
              </m:r>
              <m:nary>
                <m:naryPr>
                  <m:chr m:val="∑"/>
                  <m:limLoc m:val="undOvr"/>
                  <m:subHide m:val="1"/>
                  <m:supHide m:val="1"/>
                  <m:ctrlPr>
                    <w:rPr>
                      <w:rFonts w:ascii="Cambria Math" w:hAnsi="Cambria Math" w:cs="Arial"/>
                      <w:sz w:val="22"/>
                      <w:szCs w:val="22"/>
                      <w:lang w:val="en-GB"/>
                    </w:rPr>
                  </m:ctrlPr>
                </m:naryPr>
                <m:sub/>
                <m:sup/>
                <m:e>
                  <m:d>
                    <m:dPr>
                      <m:ctrlPr>
                        <w:rPr>
                          <w:rFonts w:ascii="Cambria Math" w:hAnsi="Cambria Math" w:cs="Arial"/>
                          <w:sz w:val="22"/>
                          <w:szCs w:val="22"/>
                          <w:lang w:val="en-GB"/>
                        </w:rPr>
                      </m:ctrlPr>
                    </m:dPr>
                    <m:e>
                      <m:sSub>
                        <m:sSubPr>
                          <m:ctrlPr>
                            <w:rPr>
                              <w:rFonts w:ascii="Cambria Math" w:hAnsi="Cambria Math" w:cs="Arial"/>
                              <w:i/>
                              <w:sz w:val="22"/>
                              <w:szCs w:val="22"/>
                              <w:lang w:val="en-GB"/>
                            </w:rPr>
                          </m:ctrlPr>
                        </m:sSubPr>
                        <m:e>
                          <m:r>
                            <w:rPr>
                              <w:rFonts w:ascii="Cambria Math" w:hAnsi="Cambria Math" w:cs="Arial"/>
                              <w:sz w:val="22"/>
                              <w:szCs w:val="22"/>
                              <w:lang w:val="en-GB"/>
                            </w:rPr>
                            <m:t>E</m:t>
                          </m:r>
                        </m:e>
                        <m:sub>
                          <m:r>
                            <w:rPr>
                              <w:rFonts w:ascii="Cambria Math" w:hAnsi="Cambria Math" w:cs="Arial"/>
                              <w:sz w:val="22"/>
                              <w:szCs w:val="22"/>
                              <w:lang w:val="en-GB"/>
                            </w:rPr>
                            <m:t>FX</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H</m:t>
                          </m:r>
                        </m:e>
                        <m:sub>
                          <m:r>
                            <w:rPr>
                              <w:rFonts w:ascii="Cambria Math" w:hAnsi="Cambria Math" w:cs="Arial"/>
                              <w:sz w:val="22"/>
                              <w:szCs w:val="22"/>
                              <w:lang w:val="en-GB"/>
                            </w:rPr>
                            <m:t>FX</m:t>
                          </m:r>
                        </m:sub>
                      </m:sSub>
                    </m:e>
                  </m:d>
                </m:e>
              </m:nary>
            </m:e>
          </m:nary>
        </m:oMath>
      </m:oMathPara>
    </w:p>
    <w:p w14:paraId="05A2BA6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where:</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533"/>
        <w:gridCol w:w="6425"/>
      </w:tblGrid>
      <w:tr w:rsidR="00E22FF2" w:rsidRPr="00E4265B" w14:paraId="422987B8" w14:textId="77777777" w:rsidTr="00F1599E">
        <w:tc>
          <w:tcPr>
            <w:tcW w:w="1080" w:type="dxa"/>
          </w:tcPr>
          <w:p w14:paraId="4ED4D29C" w14:textId="77777777" w:rsidR="00E22FF2" w:rsidRPr="00E4265B" w:rsidRDefault="00E22FF2" w:rsidP="00F1599E">
            <w:pPr>
              <w:spacing w:after="240"/>
              <w:rPr>
                <w:rFonts w:ascii="Arial" w:hAnsi="Arial" w:cs="Arial"/>
                <w:i/>
                <w:iCs/>
                <w:sz w:val="22"/>
                <w:szCs w:val="22"/>
                <w:lang w:val="en-GB"/>
              </w:rPr>
            </w:pPr>
            <w:r w:rsidRPr="00E4265B">
              <w:rPr>
                <w:rFonts w:ascii="Arial" w:hAnsi="Arial" w:cs="Arial"/>
                <w:i/>
                <w:iCs/>
                <w:sz w:val="22"/>
                <w:szCs w:val="22"/>
                <w:lang w:val="en-GB"/>
              </w:rPr>
              <w:t>E</w:t>
            </w:r>
            <w:r w:rsidRPr="00E4265B">
              <w:rPr>
                <w:rFonts w:ascii="Arial" w:hAnsi="Arial" w:cs="Arial"/>
                <w:i/>
                <w:iCs/>
                <w:sz w:val="22"/>
                <w:szCs w:val="22"/>
                <w:vertAlign w:val="subscript"/>
                <w:lang w:val="en-GB"/>
              </w:rPr>
              <w:t>S</w:t>
            </w:r>
          </w:p>
        </w:tc>
        <w:tc>
          <w:tcPr>
            <w:tcW w:w="540" w:type="dxa"/>
          </w:tcPr>
          <w:p w14:paraId="55A08D6D" w14:textId="77777777" w:rsidR="00E22FF2" w:rsidRPr="00E4265B" w:rsidRDefault="00E22FF2" w:rsidP="00F1599E">
            <w:pPr>
              <w:spacing w:after="240"/>
              <w:rPr>
                <w:rFonts w:ascii="Arial" w:hAnsi="Arial" w:cs="Arial"/>
                <w:sz w:val="22"/>
                <w:szCs w:val="22"/>
                <w:lang w:val="en-GB"/>
              </w:rPr>
            </w:pPr>
            <w:r w:rsidRPr="00E4265B">
              <w:rPr>
                <w:rFonts w:ascii="Arial" w:hAnsi="Arial" w:cs="Arial"/>
                <w:sz w:val="22"/>
                <w:szCs w:val="22"/>
                <w:lang w:val="en-GB"/>
              </w:rPr>
              <w:t>=</w:t>
            </w:r>
          </w:p>
        </w:tc>
        <w:tc>
          <w:tcPr>
            <w:tcW w:w="6615" w:type="dxa"/>
          </w:tcPr>
          <w:p w14:paraId="0B5E77E0" w14:textId="77777777" w:rsidR="00E22FF2" w:rsidRPr="00E4265B" w:rsidRDefault="00E22FF2" w:rsidP="00F1599E">
            <w:pPr>
              <w:spacing w:after="240"/>
              <w:jc w:val="both"/>
              <w:rPr>
                <w:rFonts w:ascii="Arial" w:hAnsi="Arial" w:cs="Arial"/>
                <w:sz w:val="22"/>
                <w:szCs w:val="22"/>
                <w:lang w:val="en-GB"/>
              </w:rPr>
            </w:pPr>
            <w:r w:rsidRPr="00E4265B">
              <w:rPr>
                <w:rFonts w:ascii="Arial" w:hAnsi="Arial" w:cs="Arial"/>
                <w:sz w:val="22"/>
                <w:szCs w:val="22"/>
                <w:lang w:val="en-GB"/>
              </w:rPr>
              <w:t xml:space="preserve">absolute value of the net position in a given </w:t>
            </w:r>
            <w:r w:rsidR="00877CEA" w:rsidRPr="00E4265B">
              <w:rPr>
                <w:rFonts w:ascii="Arial" w:hAnsi="Arial" w:cs="Arial"/>
                <w:sz w:val="22"/>
                <w:szCs w:val="22"/>
                <w:lang w:val="en-GB"/>
              </w:rPr>
              <w:t>Security</w:t>
            </w:r>
            <w:r w:rsidRPr="00E4265B">
              <w:rPr>
                <w:rFonts w:ascii="Arial" w:hAnsi="Arial" w:cs="Arial"/>
                <w:sz w:val="22"/>
                <w:szCs w:val="22"/>
                <w:lang w:val="en-GB"/>
              </w:rPr>
              <w:t>;</w:t>
            </w:r>
          </w:p>
        </w:tc>
      </w:tr>
      <w:tr w:rsidR="00E22FF2" w:rsidRPr="00E4265B" w14:paraId="66DEBB6B" w14:textId="77777777" w:rsidTr="00F1599E">
        <w:tc>
          <w:tcPr>
            <w:tcW w:w="1080" w:type="dxa"/>
          </w:tcPr>
          <w:p w14:paraId="4E48724A" w14:textId="77777777" w:rsidR="00E22FF2" w:rsidRPr="00E4265B" w:rsidRDefault="00E22FF2" w:rsidP="00F1599E">
            <w:pPr>
              <w:spacing w:after="240"/>
              <w:rPr>
                <w:rFonts w:ascii="Arial" w:hAnsi="Arial" w:cs="Arial"/>
                <w:i/>
                <w:iCs/>
                <w:sz w:val="22"/>
                <w:szCs w:val="22"/>
                <w:lang w:val="en-GB"/>
              </w:rPr>
            </w:pPr>
            <w:r w:rsidRPr="00E4265B">
              <w:rPr>
                <w:rFonts w:ascii="Arial" w:hAnsi="Arial" w:cs="Arial"/>
                <w:i/>
                <w:iCs/>
                <w:sz w:val="22"/>
                <w:szCs w:val="22"/>
                <w:lang w:val="en-GB"/>
              </w:rPr>
              <w:t>H</w:t>
            </w:r>
            <w:r w:rsidRPr="00E4265B">
              <w:rPr>
                <w:rFonts w:ascii="Arial" w:hAnsi="Arial" w:cs="Arial"/>
                <w:i/>
                <w:iCs/>
                <w:sz w:val="22"/>
                <w:szCs w:val="22"/>
                <w:vertAlign w:val="subscript"/>
                <w:lang w:val="en-GB"/>
              </w:rPr>
              <w:t>S</w:t>
            </w:r>
          </w:p>
        </w:tc>
        <w:tc>
          <w:tcPr>
            <w:tcW w:w="540" w:type="dxa"/>
          </w:tcPr>
          <w:p w14:paraId="4C554F8F" w14:textId="77777777" w:rsidR="00E22FF2" w:rsidRPr="00E4265B" w:rsidRDefault="00E22FF2" w:rsidP="00F1599E">
            <w:pPr>
              <w:spacing w:after="240"/>
              <w:rPr>
                <w:rFonts w:ascii="Arial" w:hAnsi="Arial" w:cs="Arial"/>
                <w:sz w:val="22"/>
                <w:szCs w:val="22"/>
                <w:lang w:val="en-GB"/>
              </w:rPr>
            </w:pPr>
            <w:r w:rsidRPr="00E4265B">
              <w:rPr>
                <w:rFonts w:ascii="Arial" w:hAnsi="Arial" w:cs="Arial"/>
                <w:sz w:val="22"/>
                <w:szCs w:val="22"/>
                <w:lang w:val="en-GB"/>
              </w:rPr>
              <w:t>=</w:t>
            </w:r>
          </w:p>
        </w:tc>
        <w:tc>
          <w:tcPr>
            <w:tcW w:w="6615" w:type="dxa"/>
          </w:tcPr>
          <w:p w14:paraId="7FD9F025" w14:textId="6C566895" w:rsidR="00E22FF2" w:rsidRPr="00E4265B" w:rsidRDefault="00E22FF2" w:rsidP="00F1599E">
            <w:pPr>
              <w:spacing w:after="240"/>
              <w:jc w:val="both"/>
              <w:rPr>
                <w:rFonts w:ascii="Arial" w:hAnsi="Arial" w:cs="Arial"/>
                <w:sz w:val="22"/>
                <w:szCs w:val="22"/>
                <w:lang w:val="en-GB"/>
              </w:rPr>
            </w:pPr>
            <w:r w:rsidRPr="00E4265B">
              <w:rPr>
                <w:rFonts w:ascii="Arial" w:hAnsi="Arial" w:cs="Arial"/>
                <w:sz w:val="22"/>
                <w:szCs w:val="22"/>
                <w:lang w:val="en-GB"/>
              </w:rPr>
              <w:t xml:space="preserve">haircut appropriate to </w:t>
            </w:r>
            <w:r w:rsidRPr="00E4265B">
              <w:rPr>
                <w:rFonts w:ascii="Arial" w:hAnsi="Arial" w:cs="Arial"/>
                <w:i/>
                <w:iCs/>
                <w:sz w:val="22"/>
                <w:szCs w:val="22"/>
                <w:lang w:val="en-GB"/>
              </w:rPr>
              <w:t>E</w:t>
            </w:r>
            <w:r w:rsidRPr="00E4265B">
              <w:rPr>
                <w:rFonts w:ascii="Arial" w:hAnsi="Arial" w:cs="Arial"/>
                <w:i/>
                <w:iCs/>
                <w:sz w:val="22"/>
                <w:szCs w:val="22"/>
                <w:vertAlign w:val="subscript"/>
                <w:lang w:val="en-GB"/>
              </w:rPr>
              <w:t>S</w:t>
            </w:r>
          </w:p>
        </w:tc>
      </w:tr>
      <w:tr w:rsidR="00E22FF2" w:rsidRPr="00E4265B" w14:paraId="64E85D5F" w14:textId="77777777" w:rsidTr="00F1599E">
        <w:tc>
          <w:tcPr>
            <w:tcW w:w="1080" w:type="dxa"/>
          </w:tcPr>
          <w:p w14:paraId="09C8DB01" w14:textId="77777777" w:rsidR="00E22FF2" w:rsidRPr="00E4265B" w:rsidRDefault="00E22FF2" w:rsidP="00F1599E">
            <w:pPr>
              <w:spacing w:after="240"/>
              <w:rPr>
                <w:rFonts w:ascii="Arial" w:hAnsi="Arial" w:cs="Arial"/>
                <w:i/>
                <w:iCs/>
                <w:sz w:val="22"/>
                <w:szCs w:val="22"/>
                <w:lang w:val="en-GB"/>
              </w:rPr>
            </w:pPr>
            <w:r w:rsidRPr="00E4265B">
              <w:rPr>
                <w:rFonts w:ascii="Arial" w:hAnsi="Arial" w:cs="Arial"/>
                <w:i/>
                <w:iCs/>
                <w:sz w:val="22"/>
                <w:szCs w:val="22"/>
                <w:lang w:val="en-GB"/>
              </w:rPr>
              <w:t>E</w:t>
            </w:r>
            <w:r w:rsidRPr="00E4265B">
              <w:rPr>
                <w:rFonts w:ascii="Arial" w:hAnsi="Arial" w:cs="Arial"/>
                <w:i/>
                <w:iCs/>
                <w:sz w:val="22"/>
                <w:szCs w:val="22"/>
                <w:vertAlign w:val="subscript"/>
                <w:lang w:val="en-GB"/>
              </w:rPr>
              <w:t>FX</w:t>
            </w:r>
          </w:p>
        </w:tc>
        <w:tc>
          <w:tcPr>
            <w:tcW w:w="540" w:type="dxa"/>
          </w:tcPr>
          <w:p w14:paraId="798674C0" w14:textId="77777777" w:rsidR="00E22FF2" w:rsidRPr="00E4265B" w:rsidRDefault="00E22FF2" w:rsidP="00F1599E">
            <w:pPr>
              <w:spacing w:after="240"/>
              <w:rPr>
                <w:rFonts w:ascii="Arial" w:hAnsi="Arial" w:cs="Arial"/>
                <w:sz w:val="22"/>
                <w:szCs w:val="22"/>
                <w:lang w:val="en-GB"/>
              </w:rPr>
            </w:pPr>
            <w:r w:rsidRPr="00E4265B">
              <w:rPr>
                <w:rFonts w:ascii="Arial" w:hAnsi="Arial" w:cs="Arial"/>
                <w:sz w:val="22"/>
                <w:szCs w:val="22"/>
                <w:lang w:val="en-GB"/>
              </w:rPr>
              <w:t>=</w:t>
            </w:r>
          </w:p>
        </w:tc>
        <w:tc>
          <w:tcPr>
            <w:tcW w:w="6615" w:type="dxa"/>
          </w:tcPr>
          <w:p w14:paraId="3639DD37" w14:textId="77777777" w:rsidR="00E22FF2" w:rsidRPr="00E4265B" w:rsidRDefault="00E22FF2" w:rsidP="00F1599E">
            <w:pPr>
              <w:spacing w:after="240"/>
              <w:jc w:val="both"/>
              <w:rPr>
                <w:rFonts w:ascii="Arial" w:hAnsi="Arial" w:cs="Arial"/>
                <w:sz w:val="22"/>
                <w:szCs w:val="22"/>
                <w:lang w:val="en-GB"/>
              </w:rPr>
            </w:pPr>
            <w:r w:rsidRPr="00E4265B">
              <w:rPr>
                <w:rFonts w:ascii="Arial" w:hAnsi="Arial" w:cs="Arial"/>
                <w:sz w:val="22"/>
                <w:szCs w:val="22"/>
                <w:lang w:val="en-GB"/>
              </w:rPr>
              <w:t>absolute value of the net position in a currency different from the settlement currency; and</w:t>
            </w:r>
          </w:p>
        </w:tc>
      </w:tr>
      <w:tr w:rsidR="00E22FF2" w:rsidRPr="00E4265B" w14:paraId="0359252C" w14:textId="77777777" w:rsidTr="00F1599E">
        <w:tc>
          <w:tcPr>
            <w:tcW w:w="1080" w:type="dxa"/>
          </w:tcPr>
          <w:p w14:paraId="4152EFE9" w14:textId="77777777" w:rsidR="00E22FF2" w:rsidRPr="00E4265B" w:rsidRDefault="00E22FF2" w:rsidP="00F1599E">
            <w:pPr>
              <w:rPr>
                <w:rFonts w:ascii="Arial" w:hAnsi="Arial" w:cs="Arial"/>
                <w:i/>
                <w:iCs/>
                <w:sz w:val="22"/>
                <w:szCs w:val="22"/>
                <w:lang w:val="en-GB"/>
              </w:rPr>
            </w:pPr>
            <w:r w:rsidRPr="00E4265B">
              <w:rPr>
                <w:rFonts w:ascii="Arial" w:hAnsi="Arial" w:cs="Arial"/>
                <w:i/>
                <w:iCs/>
                <w:sz w:val="22"/>
                <w:szCs w:val="22"/>
                <w:lang w:val="en-GB"/>
              </w:rPr>
              <w:t>H</w:t>
            </w:r>
            <w:r w:rsidRPr="00E4265B">
              <w:rPr>
                <w:rFonts w:ascii="Arial" w:hAnsi="Arial" w:cs="Arial"/>
                <w:i/>
                <w:iCs/>
                <w:sz w:val="22"/>
                <w:szCs w:val="22"/>
                <w:vertAlign w:val="subscript"/>
                <w:lang w:val="en-GB"/>
              </w:rPr>
              <w:t>FX</w:t>
            </w:r>
          </w:p>
        </w:tc>
        <w:tc>
          <w:tcPr>
            <w:tcW w:w="540" w:type="dxa"/>
          </w:tcPr>
          <w:p w14:paraId="25CA94CA" w14:textId="77777777" w:rsidR="00E22FF2" w:rsidRPr="00E4265B" w:rsidRDefault="00E22FF2" w:rsidP="00F1599E">
            <w:pPr>
              <w:rPr>
                <w:rFonts w:ascii="Arial" w:hAnsi="Arial" w:cs="Arial"/>
                <w:sz w:val="22"/>
                <w:szCs w:val="22"/>
                <w:lang w:val="en-GB"/>
              </w:rPr>
            </w:pPr>
            <w:r w:rsidRPr="00E4265B">
              <w:rPr>
                <w:rFonts w:ascii="Arial" w:hAnsi="Arial" w:cs="Arial"/>
                <w:sz w:val="22"/>
                <w:szCs w:val="22"/>
                <w:lang w:val="en-GB"/>
              </w:rPr>
              <w:t>=</w:t>
            </w:r>
          </w:p>
        </w:tc>
        <w:tc>
          <w:tcPr>
            <w:tcW w:w="6615" w:type="dxa"/>
          </w:tcPr>
          <w:p w14:paraId="67BAC65F" w14:textId="77777777" w:rsidR="00E22FF2" w:rsidRPr="00E4265B" w:rsidRDefault="00E22FF2" w:rsidP="00F1599E">
            <w:pPr>
              <w:jc w:val="both"/>
              <w:rPr>
                <w:rFonts w:ascii="Arial" w:hAnsi="Arial" w:cs="Arial"/>
                <w:sz w:val="22"/>
                <w:szCs w:val="22"/>
                <w:lang w:val="en-GB"/>
              </w:rPr>
            </w:pPr>
            <w:r w:rsidRPr="00E4265B">
              <w:rPr>
                <w:rFonts w:ascii="Arial" w:hAnsi="Arial" w:cs="Arial"/>
                <w:sz w:val="22"/>
                <w:szCs w:val="22"/>
                <w:lang w:val="en-GB"/>
              </w:rPr>
              <w:t>haircut appropriate for currency mismatch between the Collateral and Exposure;</w:t>
            </w:r>
          </w:p>
        </w:tc>
      </w:tr>
    </w:tbl>
    <w:p w14:paraId="0DF3C9BA" w14:textId="77777777" w:rsidR="00E22FF2" w:rsidRPr="00E4265B" w:rsidRDefault="00E22FF2" w:rsidP="00F1599E">
      <w:pPr>
        <w:rPr>
          <w:rFonts w:ascii="Arial" w:hAnsi="Arial" w:cs="Arial"/>
          <w:sz w:val="22"/>
          <w:szCs w:val="22"/>
          <w:lang w:val="en-GB"/>
        </w:rPr>
      </w:pPr>
    </w:p>
    <w:p w14:paraId="5C8E95A6" w14:textId="77777777" w:rsidR="00E22FF2" w:rsidRPr="00E4265B" w:rsidRDefault="00E22FF2" w:rsidP="00F1599E">
      <w:pPr>
        <w:pStyle w:val="UK12Block05"/>
        <w:ind w:left="1800"/>
        <w:rPr>
          <w:rFonts w:ascii="Arial" w:hAnsi="Arial" w:cs="Arial"/>
          <w:sz w:val="22"/>
          <w:szCs w:val="22"/>
          <w:lang w:val="en-GB"/>
        </w:rPr>
      </w:pPr>
      <w:r w:rsidRPr="00E4265B">
        <w:rPr>
          <w:rFonts w:ascii="Arial" w:hAnsi="Arial" w:cs="Arial"/>
          <w:sz w:val="22"/>
          <w:szCs w:val="22"/>
          <w:lang w:val="en-GB"/>
        </w:rPr>
        <w:t>or</w:t>
      </w:r>
    </w:p>
    <w:p w14:paraId="650FDA2B" w14:textId="022634F0" w:rsidR="00E22FF2" w:rsidRPr="00E4265B" w:rsidRDefault="00BB1831" w:rsidP="00B40809">
      <w:pPr>
        <w:pStyle w:val="1List"/>
        <w:rPr>
          <w:rFonts w:ascii="Arial" w:hAnsi="Arial" w:cs="Arial"/>
          <w:sz w:val="22"/>
          <w:szCs w:val="22"/>
          <w:lang w:val="en-GB"/>
        </w:rPr>
      </w:pPr>
      <w:r w:rsidRPr="00E4265B">
        <w:rPr>
          <w:rFonts w:ascii="Arial" w:hAnsi="Arial" w:cs="Arial"/>
          <w:sz w:val="22"/>
          <w:szCs w:val="22"/>
          <w:lang w:val="en-GB"/>
        </w:rPr>
        <w:t>(b)</w:t>
      </w:r>
      <w:r w:rsidR="00E22FF2" w:rsidRPr="00E4265B">
        <w:rPr>
          <w:rFonts w:ascii="Arial" w:hAnsi="Arial" w:cs="Arial"/>
          <w:sz w:val="22"/>
          <w:szCs w:val="22"/>
          <w:lang w:val="en-GB"/>
        </w:rPr>
        <w:tab/>
        <w:t xml:space="preserve">the approach using VaR models, provided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has received approval from the Regulator as referred to in Rule A4.3.5.</w:t>
      </w:r>
    </w:p>
    <w:p w14:paraId="2C318DCC" w14:textId="77777777" w:rsidR="00E22FF2" w:rsidRPr="00E4265B" w:rsidRDefault="00E22FF2" w:rsidP="00742AC6">
      <w:pPr>
        <w:pStyle w:val="TitleL5"/>
        <w:rPr>
          <w:rFonts w:ascii="Arial" w:hAnsi="Arial" w:cs="Arial"/>
          <w:sz w:val="22"/>
          <w:szCs w:val="22"/>
          <w:lang w:val="en-GB"/>
        </w:rPr>
      </w:pPr>
      <w:r w:rsidRPr="00E4265B">
        <w:rPr>
          <w:rFonts w:ascii="Arial" w:hAnsi="Arial" w:cs="Arial"/>
          <w:sz w:val="22"/>
          <w:szCs w:val="22"/>
          <w:lang w:val="en-GB"/>
        </w:rPr>
        <w:t>Guidance</w:t>
      </w:r>
    </w:p>
    <w:p w14:paraId="04198D5A" w14:textId="77777777" w:rsidR="00E22FF2" w:rsidRPr="00E4265B" w:rsidRDefault="00E22FF2" w:rsidP="00742AC6">
      <w:pPr>
        <w:pStyle w:val="UK12Block05"/>
        <w:rPr>
          <w:rFonts w:ascii="Arial" w:hAnsi="Arial" w:cs="Arial"/>
          <w:sz w:val="22"/>
          <w:szCs w:val="22"/>
          <w:lang w:val="en-GB"/>
        </w:rPr>
      </w:pPr>
      <w:r w:rsidRPr="00E4265B">
        <w:rPr>
          <w:rFonts w:ascii="Arial" w:hAnsi="Arial" w:cs="Arial"/>
          <w:sz w:val="22"/>
          <w:szCs w:val="22"/>
          <w:lang w:val="en-GB"/>
        </w:rPr>
        <w:t>Approval for the use of the internal model approach is governed by Section 5.11 of Chapter 5.</w:t>
      </w:r>
    </w:p>
    <w:p w14:paraId="635058AF" w14:textId="64E6D50D" w:rsidR="00E22FF2" w:rsidRPr="00E4265B" w:rsidRDefault="00E22FF2" w:rsidP="00FB5A30">
      <w:pPr>
        <w:pStyle w:val="A1List"/>
        <w:rPr>
          <w:rFonts w:ascii="Arial" w:hAnsi="Arial" w:cs="Arial"/>
          <w:sz w:val="22"/>
          <w:szCs w:val="22"/>
          <w:lang w:val="en-GB"/>
        </w:rPr>
      </w:pPr>
      <w:r w:rsidRPr="00E4265B">
        <w:rPr>
          <w:rFonts w:ascii="Arial" w:hAnsi="Arial" w:cs="Arial"/>
          <w:b/>
          <w:bCs/>
          <w:sz w:val="22"/>
          <w:szCs w:val="22"/>
          <w:lang w:val="en-GB"/>
        </w:rPr>
        <w:t>A4.3.9</w:t>
      </w:r>
      <w:r w:rsidRPr="00E4265B">
        <w:rPr>
          <w:rFonts w:ascii="Arial" w:hAnsi="Arial" w:cs="Arial"/>
          <w:b/>
          <w:bCs/>
          <w:sz w:val="22"/>
          <w:szCs w:val="22"/>
          <w:lang w:val="en-GB"/>
        </w:rPr>
        <w:tab/>
      </w:r>
      <w:r w:rsidRPr="00E4265B">
        <w:rPr>
          <w:rFonts w:ascii="Arial" w:hAnsi="Arial" w:cs="Arial"/>
          <w:sz w:val="22"/>
          <w:szCs w:val="22"/>
          <w:lang w:val="en-GB"/>
        </w:rPr>
        <w:t xml:space="preserve">Subject to Rules A4.3.10 to A4.3.12,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determine </w:t>
      </w:r>
      <w:r w:rsidR="00FB5A30" w:rsidRPr="00E4265B">
        <w:rPr>
          <w:rFonts w:ascii="Arial" w:hAnsi="Arial" w:cs="Arial"/>
          <w:i/>
          <w:iCs/>
          <w:sz w:val="22"/>
          <w:szCs w:val="22"/>
          <w:lang w:val="en-GB"/>
        </w:rPr>
        <w:t>H</w:t>
      </w:r>
      <w:r w:rsidR="00FB5A30" w:rsidRPr="00E4265B">
        <w:rPr>
          <w:rFonts w:ascii="Arial" w:hAnsi="Arial" w:cs="Arial"/>
          <w:i/>
          <w:iCs/>
          <w:sz w:val="22"/>
          <w:szCs w:val="22"/>
          <w:vertAlign w:val="subscript"/>
          <w:lang w:val="en-GB"/>
        </w:rPr>
        <w:t>E</w:t>
      </w:r>
      <w:r w:rsidR="00FB5A30" w:rsidRPr="00E4265B">
        <w:rPr>
          <w:rFonts w:ascii="Arial" w:hAnsi="Arial" w:cs="Arial"/>
          <w:sz w:val="22"/>
          <w:szCs w:val="22"/>
          <w:lang w:val="en-GB"/>
        </w:rPr>
        <w:t xml:space="preserve">, </w:t>
      </w:r>
      <w:r w:rsidR="00FB5A30" w:rsidRPr="00E4265B">
        <w:rPr>
          <w:rFonts w:ascii="Arial" w:hAnsi="Arial" w:cs="Arial"/>
          <w:i/>
          <w:iCs/>
          <w:sz w:val="22"/>
          <w:szCs w:val="22"/>
          <w:lang w:val="en-GB"/>
        </w:rPr>
        <w:t>H</w:t>
      </w:r>
      <w:r w:rsidR="00FB5A30" w:rsidRPr="00E4265B">
        <w:rPr>
          <w:rFonts w:ascii="Arial" w:hAnsi="Arial" w:cs="Arial"/>
          <w:i/>
          <w:iCs/>
          <w:sz w:val="22"/>
          <w:szCs w:val="22"/>
          <w:vertAlign w:val="subscript"/>
          <w:lang w:val="en-GB"/>
        </w:rPr>
        <w:t>C</w:t>
      </w:r>
      <w:r w:rsidR="00FB5A30" w:rsidRPr="00E4265B">
        <w:rPr>
          <w:rFonts w:ascii="Arial" w:hAnsi="Arial" w:cs="Arial"/>
          <w:sz w:val="22"/>
          <w:szCs w:val="22"/>
          <w:lang w:val="en-GB"/>
        </w:rPr>
        <w:t xml:space="preserve">, </w:t>
      </w:r>
      <w:r w:rsidR="00FB5A30" w:rsidRPr="00E4265B">
        <w:rPr>
          <w:rFonts w:ascii="Arial" w:hAnsi="Arial" w:cs="Arial"/>
          <w:i/>
          <w:iCs/>
          <w:sz w:val="22"/>
          <w:szCs w:val="22"/>
          <w:lang w:val="en-GB"/>
        </w:rPr>
        <w:t>H</w:t>
      </w:r>
      <w:r w:rsidR="00FB5A30" w:rsidRPr="00E4265B">
        <w:rPr>
          <w:rFonts w:ascii="Arial" w:hAnsi="Arial" w:cs="Arial"/>
          <w:i/>
          <w:iCs/>
          <w:sz w:val="22"/>
          <w:szCs w:val="22"/>
          <w:vertAlign w:val="subscript"/>
          <w:lang w:val="en-GB"/>
        </w:rPr>
        <w:t>S</w:t>
      </w:r>
      <w:r w:rsidR="00FB5A30" w:rsidRPr="00E4265B">
        <w:rPr>
          <w:rFonts w:ascii="Arial" w:hAnsi="Arial" w:cs="Arial"/>
          <w:sz w:val="22"/>
          <w:szCs w:val="22"/>
          <w:lang w:val="en-GB"/>
        </w:rPr>
        <w:t xml:space="preserve"> and </w:t>
      </w:r>
      <w:r w:rsidR="00FB5A30" w:rsidRPr="00E4265B">
        <w:rPr>
          <w:rFonts w:ascii="Arial" w:hAnsi="Arial" w:cs="Arial"/>
          <w:i/>
          <w:iCs/>
          <w:sz w:val="22"/>
          <w:szCs w:val="22"/>
          <w:lang w:val="en-GB"/>
        </w:rPr>
        <w:t>H</w:t>
      </w:r>
      <w:r w:rsidR="00FB5A30" w:rsidRPr="00E4265B">
        <w:rPr>
          <w:rFonts w:ascii="Arial" w:hAnsi="Arial" w:cs="Arial"/>
          <w:i/>
          <w:iCs/>
          <w:sz w:val="22"/>
          <w:szCs w:val="22"/>
          <w:vertAlign w:val="subscript"/>
          <w:lang w:val="en-GB"/>
        </w:rPr>
        <w:t>FX</w:t>
      </w:r>
      <w:r w:rsidRPr="00E4265B">
        <w:rPr>
          <w:rFonts w:ascii="Arial" w:hAnsi="Arial" w:cs="Arial"/>
          <w:sz w:val="22"/>
          <w:szCs w:val="22"/>
          <w:lang w:val="en-GB"/>
        </w:rPr>
        <w:t xml:space="preserve"> referred to in Rules A4.3.6 to A4.3.8, in accordance with the standard supervisory haircuts in the table forming part of Rule A4.3.13.</w:t>
      </w:r>
    </w:p>
    <w:p w14:paraId="1C672B1C" w14:textId="77777777" w:rsidR="00E22FF2" w:rsidRPr="00E4265B" w:rsidRDefault="00E22FF2" w:rsidP="00B40809">
      <w:pPr>
        <w:pStyle w:val="A1List"/>
        <w:rPr>
          <w:rFonts w:ascii="Arial" w:hAnsi="Arial" w:cs="Arial"/>
          <w:sz w:val="22"/>
          <w:szCs w:val="22"/>
          <w:lang w:val="en-GB"/>
        </w:rPr>
      </w:pPr>
      <w:r w:rsidRPr="00E4265B">
        <w:rPr>
          <w:rFonts w:ascii="Arial" w:hAnsi="Arial" w:cs="Arial"/>
          <w:b/>
          <w:bCs/>
          <w:sz w:val="22"/>
          <w:szCs w:val="22"/>
          <w:lang w:val="en-GB"/>
        </w:rPr>
        <w:t>A4.3.10</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calculate </w:t>
      </w:r>
      <w:r w:rsidRPr="00E4265B">
        <w:rPr>
          <w:rFonts w:ascii="Arial" w:hAnsi="Arial" w:cs="Arial"/>
          <w:i/>
          <w:iCs/>
          <w:sz w:val="22"/>
          <w:szCs w:val="22"/>
          <w:lang w:val="en-GB"/>
        </w:rPr>
        <w:t>H</w:t>
      </w:r>
      <w:r w:rsidRPr="00E4265B">
        <w:rPr>
          <w:rFonts w:ascii="Arial" w:hAnsi="Arial" w:cs="Arial"/>
          <w:i/>
          <w:iCs/>
          <w:sz w:val="22"/>
          <w:szCs w:val="22"/>
          <w:vertAlign w:val="subscript"/>
          <w:lang w:val="en-GB"/>
        </w:rPr>
        <w:t>E</w:t>
      </w:r>
      <w:r w:rsidRPr="00E4265B">
        <w:rPr>
          <w:rFonts w:ascii="Arial" w:hAnsi="Arial" w:cs="Arial"/>
          <w:sz w:val="22"/>
          <w:szCs w:val="22"/>
          <w:lang w:val="en-GB"/>
        </w:rPr>
        <w:t xml:space="preserve">, </w:t>
      </w:r>
      <w:r w:rsidRPr="00E4265B">
        <w:rPr>
          <w:rFonts w:ascii="Arial" w:hAnsi="Arial" w:cs="Arial"/>
          <w:i/>
          <w:iCs/>
          <w:sz w:val="22"/>
          <w:szCs w:val="22"/>
          <w:lang w:val="en-GB"/>
        </w:rPr>
        <w:t>H</w:t>
      </w:r>
      <w:r w:rsidRPr="00E4265B">
        <w:rPr>
          <w:rFonts w:ascii="Arial" w:hAnsi="Arial" w:cs="Arial"/>
          <w:i/>
          <w:iCs/>
          <w:sz w:val="22"/>
          <w:szCs w:val="22"/>
          <w:vertAlign w:val="subscript"/>
          <w:lang w:val="en-GB"/>
        </w:rPr>
        <w:t>C</w:t>
      </w:r>
      <w:r w:rsidRPr="00E4265B">
        <w:rPr>
          <w:rFonts w:ascii="Arial" w:hAnsi="Arial" w:cs="Arial"/>
          <w:sz w:val="22"/>
          <w:szCs w:val="22"/>
          <w:lang w:val="en-GB"/>
        </w:rPr>
        <w:t xml:space="preserve">, </w:t>
      </w:r>
      <w:r w:rsidRPr="00E4265B">
        <w:rPr>
          <w:rFonts w:ascii="Arial" w:hAnsi="Arial" w:cs="Arial"/>
          <w:i/>
          <w:iCs/>
          <w:sz w:val="22"/>
          <w:szCs w:val="22"/>
          <w:lang w:val="en-GB"/>
        </w:rPr>
        <w:t>H</w:t>
      </w:r>
      <w:r w:rsidRPr="00E4265B">
        <w:rPr>
          <w:rFonts w:ascii="Arial" w:hAnsi="Arial" w:cs="Arial"/>
          <w:i/>
          <w:iCs/>
          <w:sz w:val="22"/>
          <w:szCs w:val="22"/>
          <w:vertAlign w:val="subscript"/>
          <w:lang w:val="en-GB"/>
        </w:rPr>
        <w:t>S</w:t>
      </w:r>
      <w:r w:rsidRPr="00E4265B">
        <w:rPr>
          <w:rFonts w:ascii="Arial" w:hAnsi="Arial" w:cs="Arial"/>
          <w:sz w:val="22"/>
          <w:szCs w:val="22"/>
          <w:lang w:val="en-GB"/>
        </w:rPr>
        <w:t xml:space="preserve"> and </w:t>
      </w:r>
      <w:r w:rsidRPr="00E4265B">
        <w:rPr>
          <w:rFonts w:ascii="Arial" w:hAnsi="Arial" w:cs="Arial"/>
          <w:i/>
          <w:iCs/>
          <w:sz w:val="22"/>
          <w:szCs w:val="22"/>
          <w:lang w:val="en-GB"/>
        </w:rPr>
        <w:t>H</w:t>
      </w:r>
      <w:r w:rsidRPr="00E4265B">
        <w:rPr>
          <w:rFonts w:ascii="Arial" w:hAnsi="Arial" w:cs="Arial"/>
          <w:i/>
          <w:iCs/>
          <w:sz w:val="22"/>
          <w:szCs w:val="22"/>
          <w:vertAlign w:val="subscript"/>
          <w:lang w:val="en-GB"/>
        </w:rPr>
        <w:t>FX</w:t>
      </w:r>
      <w:r w:rsidRPr="00E4265B">
        <w:rPr>
          <w:rFonts w:ascii="Arial" w:hAnsi="Arial" w:cs="Arial"/>
          <w:sz w:val="22"/>
          <w:szCs w:val="22"/>
          <w:lang w:val="en-GB"/>
        </w:rPr>
        <w:t xml:space="preserve"> using own</w:t>
      </w:r>
      <w:r w:rsidRPr="00E4265B">
        <w:rPr>
          <w:rFonts w:ascii="Arial" w:hAnsi="Arial" w:cs="Arial"/>
          <w:sz w:val="22"/>
          <w:szCs w:val="22"/>
          <w:lang w:val="en-GB"/>
        </w:rPr>
        <w:noBreakHyphen/>
        <w:t xml:space="preserve">estimate haircuts in accordance with Rules A4.3.17 to A4.3.23 if it has received approval from the Regulator to use the internal models approach for calculating the Market Risk Capital Requirement. If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chooses to use own</w:t>
      </w:r>
      <w:r w:rsidRPr="00E4265B">
        <w:rPr>
          <w:rFonts w:ascii="Arial" w:hAnsi="Arial" w:cs="Arial"/>
          <w:sz w:val="22"/>
          <w:szCs w:val="22"/>
          <w:lang w:val="en-GB"/>
        </w:rPr>
        <w:noBreakHyphen/>
        <w:t>estimate haircuts, it must do so consistently for determining haircuts for all eligible financial Collateral and all portfolios, except that it may, with the approval of the Regulator, use the standard supervisory haircuts in Rules A4.3.13 to A4.3.16 for any portfolio which is immaterial in size and risk profile.</w:t>
      </w:r>
    </w:p>
    <w:p w14:paraId="3CED9C7A" w14:textId="67EA4B9D" w:rsidR="00E22FF2" w:rsidRPr="00E4265B" w:rsidRDefault="00E22FF2" w:rsidP="00FB5A30">
      <w:pPr>
        <w:pStyle w:val="A1List"/>
        <w:rPr>
          <w:rFonts w:ascii="Arial" w:hAnsi="Arial" w:cs="Arial"/>
          <w:sz w:val="22"/>
          <w:szCs w:val="22"/>
          <w:lang w:val="en-GB"/>
        </w:rPr>
      </w:pPr>
      <w:r w:rsidRPr="00E4265B">
        <w:rPr>
          <w:rFonts w:ascii="Arial" w:hAnsi="Arial" w:cs="Arial"/>
          <w:b/>
          <w:bCs/>
          <w:sz w:val="22"/>
          <w:szCs w:val="22"/>
          <w:lang w:val="en-GB"/>
        </w:rPr>
        <w:t>A4.3.11</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apply a value of zero to </w:t>
      </w:r>
      <w:r w:rsidR="00FB5A30" w:rsidRPr="00E4265B">
        <w:rPr>
          <w:rFonts w:ascii="Arial" w:hAnsi="Arial" w:cs="Arial"/>
          <w:i/>
          <w:iCs/>
          <w:sz w:val="22"/>
          <w:szCs w:val="22"/>
          <w:lang w:val="en-GB"/>
        </w:rPr>
        <w:t>H</w:t>
      </w:r>
      <w:r w:rsidR="00FB5A30" w:rsidRPr="00E4265B">
        <w:rPr>
          <w:rFonts w:ascii="Arial" w:hAnsi="Arial" w:cs="Arial"/>
          <w:i/>
          <w:iCs/>
          <w:sz w:val="22"/>
          <w:szCs w:val="22"/>
          <w:vertAlign w:val="subscript"/>
          <w:lang w:val="en-GB"/>
        </w:rPr>
        <w:t>E</w:t>
      </w:r>
      <w:r w:rsidR="00FB5A30" w:rsidRPr="00E4265B">
        <w:rPr>
          <w:rFonts w:ascii="Arial" w:hAnsi="Arial" w:cs="Arial"/>
          <w:sz w:val="22"/>
          <w:szCs w:val="22"/>
          <w:lang w:val="en-GB"/>
        </w:rPr>
        <w:t xml:space="preserve">, </w:t>
      </w:r>
      <w:r w:rsidR="00FB5A30" w:rsidRPr="00E4265B">
        <w:rPr>
          <w:rFonts w:ascii="Arial" w:hAnsi="Arial" w:cs="Arial"/>
          <w:i/>
          <w:iCs/>
          <w:sz w:val="22"/>
          <w:szCs w:val="22"/>
          <w:lang w:val="en-GB"/>
        </w:rPr>
        <w:t>H</w:t>
      </w:r>
      <w:r w:rsidR="00FB5A30" w:rsidRPr="00E4265B">
        <w:rPr>
          <w:rFonts w:ascii="Arial" w:hAnsi="Arial" w:cs="Arial"/>
          <w:i/>
          <w:iCs/>
          <w:sz w:val="22"/>
          <w:szCs w:val="22"/>
          <w:vertAlign w:val="subscript"/>
          <w:lang w:val="en-GB"/>
        </w:rPr>
        <w:t>C</w:t>
      </w:r>
      <w:r w:rsidR="00FB5A30" w:rsidRPr="00E4265B">
        <w:rPr>
          <w:rFonts w:ascii="Arial" w:hAnsi="Arial" w:cs="Arial"/>
          <w:sz w:val="22"/>
          <w:szCs w:val="22"/>
          <w:lang w:val="en-GB"/>
        </w:rPr>
        <w:t xml:space="preserve"> and </w:t>
      </w:r>
      <w:r w:rsidR="00FB5A30" w:rsidRPr="00E4265B">
        <w:rPr>
          <w:rFonts w:ascii="Arial" w:hAnsi="Arial" w:cs="Arial"/>
          <w:i/>
          <w:iCs/>
          <w:sz w:val="22"/>
          <w:szCs w:val="22"/>
          <w:lang w:val="en-GB"/>
        </w:rPr>
        <w:t>H</w:t>
      </w:r>
      <w:r w:rsidR="00FB5A30" w:rsidRPr="00E4265B">
        <w:rPr>
          <w:rFonts w:ascii="Arial" w:hAnsi="Arial" w:cs="Arial"/>
          <w:i/>
          <w:iCs/>
          <w:sz w:val="22"/>
          <w:szCs w:val="22"/>
          <w:vertAlign w:val="subscript"/>
          <w:lang w:val="en-GB"/>
        </w:rPr>
        <w:t>S</w:t>
      </w:r>
      <w:r w:rsidRPr="00E4265B">
        <w:rPr>
          <w:rFonts w:ascii="Arial" w:hAnsi="Arial" w:cs="Arial"/>
          <w:sz w:val="22"/>
          <w:szCs w:val="22"/>
          <w:lang w:val="en-GB"/>
        </w:rPr>
        <w:t xml:space="preserve"> in the case of a qualifying SFT with a core market participant. This approach is not available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using VaR models in accordance with Section A4.5 to calculate </w:t>
      </w:r>
      <w:r w:rsidRPr="00E4265B">
        <w:rPr>
          <w:rFonts w:ascii="Arial" w:hAnsi="Arial" w:cs="Arial"/>
          <w:i/>
          <w:iCs/>
          <w:sz w:val="22"/>
          <w:szCs w:val="22"/>
          <w:lang w:val="en-GB"/>
        </w:rPr>
        <w:t>E*</w:t>
      </w:r>
      <w:r w:rsidRPr="00E4265B">
        <w:rPr>
          <w:rFonts w:ascii="Arial" w:hAnsi="Arial" w:cs="Arial"/>
          <w:sz w:val="22"/>
          <w:szCs w:val="22"/>
          <w:lang w:val="en-GB"/>
        </w:rPr>
        <w:t>.</w:t>
      </w:r>
    </w:p>
    <w:p w14:paraId="0298BCDB" w14:textId="0745989F" w:rsidR="00E22FF2" w:rsidRPr="00E4265B" w:rsidRDefault="00E22FF2" w:rsidP="00FB5A30">
      <w:pPr>
        <w:pStyle w:val="A1List"/>
        <w:rPr>
          <w:rFonts w:ascii="Arial" w:hAnsi="Arial" w:cs="Arial"/>
          <w:sz w:val="22"/>
          <w:szCs w:val="22"/>
          <w:lang w:val="en-GB"/>
        </w:rPr>
      </w:pPr>
      <w:r w:rsidRPr="00E4265B">
        <w:rPr>
          <w:rFonts w:ascii="Arial" w:hAnsi="Arial" w:cs="Arial"/>
          <w:b/>
          <w:bCs/>
          <w:sz w:val="22"/>
          <w:szCs w:val="22"/>
          <w:lang w:val="en-GB"/>
        </w:rPr>
        <w:t>A4.3.12</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apply a value of zero to </w:t>
      </w:r>
      <w:r w:rsidR="00FB5A30" w:rsidRPr="00E4265B">
        <w:rPr>
          <w:rFonts w:ascii="Arial" w:hAnsi="Arial" w:cs="Arial"/>
          <w:i/>
          <w:iCs/>
          <w:sz w:val="22"/>
          <w:szCs w:val="22"/>
          <w:lang w:val="en-GB"/>
        </w:rPr>
        <w:t>H</w:t>
      </w:r>
      <w:r w:rsidR="00FB5A30" w:rsidRPr="00E4265B">
        <w:rPr>
          <w:rFonts w:ascii="Arial" w:hAnsi="Arial" w:cs="Arial"/>
          <w:i/>
          <w:iCs/>
          <w:sz w:val="22"/>
          <w:szCs w:val="22"/>
          <w:vertAlign w:val="subscript"/>
          <w:lang w:val="en-GB"/>
        </w:rPr>
        <w:t>E</w:t>
      </w:r>
      <w:r w:rsidR="00FB5A30" w:rsidRPr="00E4265B">
        <w:rPr>
          <w:rFonts w:ascii="Arial" w:hAnsi="Arial" w:cs="Arial"/>
          <w:sz w:val="22"/>
          <w:szCs w:val="22"/>
          <w:lang w:val="en-GB"/>
        </w:rPr>
        <w:t xml:space="preserve">, </w:t>
      </w:r>
      <w:r w:rsidR="00FB5A30" w:rsidRPr="00E4265B">
        <w:rPr>
          <w:rFonts w:ascii="Arial" w:hAnsi="Arial" w:cs="Arial"/>
          <w:i/>
          <w:iCs/>
          <w:sz w:val="22"/>
          <w:szCs w:val="22"/>
          <w:lang w:val="en-GB"/>
        </w:rPr>
        <w:t>H</w:t>
      </w:r>
      <w:r w:rsidR="00FB5A30" w:rsidRPr="00E4265B">
        <w:rPr>
          <w:rFonts w:ascii="Arial" w:hAnsi="Arial" w:cs="Arial"/>
          <w:i/>
          <w:iCs/>
          <w:sz w:val="22"/>
          <w:szCs w:val="22"/>
          <w:vertAlign w:val="subscript"/>
          <w:lang w:val="en-GB"/>
        </w:rPr>
        <w:t>C</w:t>
      </w:r>
      <w:r w:rsidR="00FB5A30" w:rsidRPr="00E4265B">
        <w:rPr>
          <w:rFonts w:ascii="Arial" w:hAnsi="Arial" w:cs="Arial"/>
          <w:sz w:val="22"/>
          <w:szCs w:val="22"/>
          <w:lang w:val="en-GB"/>
        </w:rPr>
        <w:t xml:space="preserve"> and </w:t>
      </w:r>
      <w:r w:rsidR="00FB5A30" w:rsidRPr="00E4265B">
        <w:rPr>
          <w:rFonts w:ascii="Arial" w:hAnsi="Arial" w:cs="Arial"/>
          <w:i/>
          <w:iCs/>
          <w:sz w:val="22"/>
          <w:szCs w:val="22"/>
          <w:lang w:val="en-GB"/>
        </w:rPr>
        <w:t>H</w:t>
      </w:r>
      <w:r w:rsidR="00FB5A30" w:rsidRPr="00E4265B">
        <w:rPr>
          <w:rFonts w:ascii="Arial" w:hAnsi="Arial" w:cs="Arial"/>
          <w:i/>
          <w:iCs/>
          <w:sz w:val="22"/>
          <w:szCs w:val="22"/>
          <w:vertAlign w:val="subscript"/>
          <w:lang w:val="en-GB"/>
        </w:rPr>
        <w:t>S</w:t>
      </w:r>
      <w:r w:rsidRPr="00E4265B">
        <w:rPr>
          <w:rFonts w:ascii="Arial" w:hAnsi="Arial" w:cs="Arial"/>
          <w:sz w:val="22"/>
          <w:szCs w:val="22"/>
          <w:lang w:val="en-GB"/>
        </w:rPr>
        <w:t xml:space="preserve"> in the case of an SFT where both the Exposure and Collateral are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issued by central governments where a value of zero has been prescribed by the banking regulator of that jurisdiction and Exposures to the central government of that jurisdiction have a Credit Quality Grade of 1 as set out in the table in Rule 4.12.4.</w:t>
      </w:r>
    </w:p>
    <w:p w14:paraId="3891CA71" w14:textId="77777777" w:rsidR="00E22FF2" w:rsidRPr="00E4265B" w:rsidRDefault="00E22FF2" w:rsidP="00742AC6">
      <w:pPr>
        <w:pStyle w:val="TitleL5"/>
        <w:rPr>
          <w:rFonts w:ascii="Arial" w:hAnsi="Arial" w:cs="Arial"/>
          <w:sz w:val="22"/>
          <w:szCs w:val="22"/>
          <w:lang w:val="en-GB"/>
        </w:rPr>
      </w:pPr>
      <w:r w:rsidRPr="00E4265B">
        <w:rPr>
          <w:rFonts w:ascii="Arial" w:hAnsi="Arial" w:cs="Arial"/>
          <w:sz w:val="22"/>
          <w:szCs w:val="22"/>
          <w:lang w:val="en-GB"/>
        </w:rPr>
        <w:t>Standard supervisory haircuts</w:t>
      </w:r>
    </w:p>
    <w:p w14:paraId="4C102353" w14:textId="335FD982" w:rsidR="00E22FF2" w:rsidRPr="00E4265B" w:rsidRDefault="00E22FF2" w:rsidP="00646804">
      <w:pPr>
        <w:pStyle w:val="A1List"/>
        <w:rPr>
          <w:rFonts w:ascii="Arial" w:hAnsi="Arial" w:cs="Arial"/>
          <w:sz w:val="22"/>
          <w:szCs w:val="22"/>
          <w:lang w:val="en-GB"/>
        </w:rPr>
      </w:pPr>
      <w:r w:rsidRPr="00E4265B">
        <w:rPr>
          <w:rFonts w:ascii="Arial" w:hAnsi="Arial" w:cs="Arial"/>
          <w:b/>
          <w:bCs/>
          <w:sz w:val="22"/>
          <w:szCs w:val="22"/>
          <w:lang w:val="en-GB"/>
        </w:rPr>
        <w:t>A4.3.13</w:t>
      </w:r>
      <w:r w:rsidRPr="00E4265B">
        <w:rPr>
          <w:rFonts w:ascii="Arial" w:hAnsi="Arial" w:cs="Arial"/>
          <w:b/>
          <w:bCs/>
          <w:sz w:val="22"/>
          <w:szCs w:val="22"/>
          <w:lang w:val="en-GB"/>
        </w:rPr>
        <w:tab/>
      </w:r>
      <w:r w:rsidRPr="00E4265B">
        <w:rPr>
          <w:rFonts w:ascii="Arial" w:hAnsi="Arial" w:cs="Arial"/>
          <w:sz w:val="22"/>
          <w:szCs w:val="22"/>
          <w:lang w:val="en-GB"/>
        </w:rPr>
        <w:t xml:space="preserve">The standard supervisory haircuts, </w:t>
      </w:r>
      <w:r w:rsidR="00FB5A30" w:rsidRPr="00E4265B">
        <w:rPr>
          <w:rFonts w:ascii="Arial" w:hAnsi="Arial" w:cs="Arial"/>
          <w:i/>
          <w:iCs/>
          <w:sz w:val="22"/>
          <w:szCs w:val="22"/>
          <w:lang w:val="en-GB"/>
        </w:rPr>
        <w:t>H</w:t>
      </w:r>
      <w:r w:rsidR="00FB5A30" w:rsidRPr="00E4265B">
        <w:rPr>
          <w:rFonts w:ascii="Arial" w:hAnsi="Arial" w:cs="Arial"/>
          <w:i/>
          <w:iCs/>
          <w:sz w:val="22"/>
          <w:szCs w:val="22"/>
          <w:vertAlign w:val="subscript"/>
          <w:lang w:val="en-GB"/>
        </w:rPr>
        <w:t>E</w:t>
      </w:r>
      <w:r w:rsidR="00FB5A30" w:rsidRPr="00E4265B">
        <w:rPr>
          <w:rFonts w:ascii="Arial" w:hAnsi="Arial" w:cs="Arial"/>
          <w:sz w:val="22"/>
          <w:szCs w:val="22"/>
          <w:lang w:val="en-GB"/>
        </w:rPr>
        <w:t xml:space="preserve">, </w:t>
      </w:r>
      <w:r w:rsidR="00FB5A30" w:rsidRPr="00E4265B">
        <w:rPr>
          <w:rFonts w:ascii="Arial" w:hAnsi="Arial" w:cs="Arial"/>
          <w:i/>
          <w:iCs/>
          <w:sz w:val="22"/>
          <w:szCs w:val="22"/>
          <w:lang w:val="en-GB"/>
        </w:rPr>
        <w:t>H</w:t>
      </w:r>
      <w:r w:rsidR="00FB5A30" w:rsidRPr="00E4265B">
        <w:rPr>
          <w:rFonts w:ascii="Arial" w:hAnsi="Arial" w:cs="Arial"/>
          <w:i/>
          <w:iCs/>
          <w:sz w:val="22"/>
          <w:szCs w:val="22"/>
          <w:vertAlign w:val="subscript"/>
          <w:lang w:val="en-GB"/>
        </w:rPr>
        <w:t>C</w:t>
      </w:r>
      <w:r w:rsidR="00FB5A30" w:rsidRPr="00E4265B">
        <w:rPr>
          <w:rFonts w:ascii="Arial" w:hAnsi="Arial" w:cs="Arial"/>
          <w:sz w:val="22"/>
          <w:szCs w:val="22"/>
          <w:lang w:val="en-GB"/>
        </w:rPr>
        <w:t xml:space="preserve"> and </w:t>
      </w:r>
      <w:r w:rsidR="00FB5A30" w:rsidRPr="00E4265B">
        <w:rPr>
          <w:rFonts w:ascii="Arial" w:hAnsi="Arial" w:cs="Arial"/>
          <w:i/>
          <w:iCs/>
          <w:sz w:val="22"/>
          <w:szCs w:val="22"/>
          <w:lang w:val="en-GB"/>
        </w:rPr>
        <w:t>H</w:t>
      </w:r>
      <w:r w:rsidR="00FB5A30" w:rsidRPr="00E4265B">
        <w:rPr>
          <w:rFonts w:ascii="Arial" w:hAnsi="Arial" w:cs="Arial"/>
          <w:i/>
          <w:iCs/>
          <w:sz w:val="22"/>
          <w:szCs w:val="22"/>
          <w:vertAlign w:val="subscript"/>
          <w:lang w:val="en-GB"/>
        </w:rPr>
        <w:t>S</w:t>
      </w:r>
      <w:r w:rsidR="00FB5A30" w:rsidRPr="00E4265B">
        <w:rPr>
          <w:rFonts w:ascii="Arial" w:hAnsi="Arial" w:cs="Arial"/>
          <w:sz w:val="22"/>
          <w:szCs w:val="22"/>
          <w:lang w:val="en-GB"/>
        </w:rPr>
        <w:t xml:space="preserve">, </w:t>
      </w:r>
      <w:r w:rsidRPr="00E4265B">
        <w:rPr>
          <w:rFonts w:ascii="Arial" w:hAnsi="Arial" w:cs="Arial"/>
          <w:sz w:val="22"/>
          <w:szCs w:val="22"/>
          <w:lang w:val="en-GB"/>
        </w:rPr>
        <w:t>referred in Rules A4.3.6 to A4.3.8 (assuming daily remargining</w:t>
      </w:r>
      <w:r w:rsidR="00646804" w:rsidRPr="00E4265B">
        <w:rPr>
          <w:rFonts w:ascii="Arial" w:hAnsi="Arial" w:cs="Arial"/>
          <w:sz w:val="22"/>
          <w:szCs w:val="22"/>
          <w:lang w:val="en-GB"/>
        </w:rPr>
        <w:t>,</w:t>
      </w:r>
      <w:r w:rsidRPr="00E4265B">
        <w:rPr>
          <w:rFonts w:ascii="Arial" w:hAnsi="Arial" w:cs="Arial"/>
          <w:sz w:val="22"/>
          <w:szCs w:val="22"/>
          <w:lang w:val="en-GB"/>
        </w:rPr>
        <w:t xml:space="preserve"> </w:t>
      </w:r>
      <w:r w:rsidR="00646804" w:rsidRPr="00E4265B">
        <w:rPr>
          <w:rFonts w:ascii="Arial" w:hAnsi="Arial" w:cs="Arial"/>
          <w:sz w:val="22"/>
          <w:szCs w:val="22"/>
          <w:lang w:val="en-GB"/>
        </w:rPr>
        <w:t>daily</w:t>
      </w:r>
      <w:r w:rsidRPr="00E4265B">
        <w:rPr>
          <w:rFonts w:ascii="Arial" w:hAnsi="Arial" w:cs="Arial"/>
          <w:sz w:val="22"/>
          <w:szCs w:val="22"/>
          <w:lang w:val="en-GB"/>
        </w:rPr>
        <w:t xml:space="preserve"> revaluation and a ten</w:t>
      </w:r>
      <w:r w:rsidRPr="00E4265B">
        <w:rPr>
          <w:rFonts w:ascii="Arial" w:hAnsi="Arial" w:cs="Arial"/>
          <w:sz w:val="22"/>
          <w:szCs w:val="22"/>
          <w:lang w:val="en-GB"/>
        </w:rPr>
        <w:noBreakHyphen/>
        <w:t>business day holding period), are subject to Rule A4.3.14, as follows:</w:t>
      </w:r>
    </w:p>
    <w:tbl>
      <w:tblPr>
        <w:tblStyle w:val="TableGrid"/>
        <w:tblW w:w="7920" w:type="dxa"/>
        <w:tblInd w:w="1098" w:type="dxa"/>
        <w:tblLook w:val="04A0" w:firstRow="1" w:lastRow="0" w:firstColumn="1" w:lastColumn="0" w:noHBand="0" w:noVBand="1"/>
      </w:tblPr>
      <w:tblGrid>
        <w:gridCol w:w="2340"/>
        <w:gridCol w:w="2430"/>
        <w:gridCol w:w="1800"/>
        <w:gridCol w:w="1350"/>
      </w:tblGrid>
      <w:tr w:rsidR="004917B1" w:rsidRPr="00E4265B" w14:paraId="3BAB6320" w14:textId="77777777" w:rsidTr="003732F6">
        <w:tc>
          <w:tcPr>
            <w:tcW w:w="2340" w:type="dxa"/>
            <w:vMerge w:val="restart"/>
            <w:shd w:val="clear" w:color="auto" w:fill="D9D9D9" w:themeFill="background1" w:themeFillShade="D9"/>
            <w:vAlign w:val="center"/>
          </w:tcPr>
          <w:p w14:paraId="546F9AAD" w14:textId="181EB732" w:rsidR="00AC1720" w:rsidRPr="00E4265B" w:rsidRDefault="00AC1720" w:rsidP="004917B1">
            <w:pPr>
              <w:jc w:val="center"/>
              <w:rPr>
                <w:rFonts w:ascii="Arial" w:hAnsi="Arial" w:cs="Arial"/>
                <w:sz w:val="22"/>
                <w:szCs w:val="22"/>
              </w:rPr>
            </w:pPr>
            <w:r w:rsidRPr="00E4265B">
              <w:rPr>
                <w:rFonts w:ascii="Arial" w:hAnsi="Arial" w:cs="Arial"/>
                <w:b/>
                <w:bCs/>
                <w:sz w:val="22"/>
                <w:szCs w:val="22"/>
              </w:rPr>
              <w:t xml:space="preserve">Debt </w:t>
            </w:r>
            <w:r w:rsidR="004917B1" w:rsidRPr="00E4265B">
              <w:rPr>
                <w:rFonts w:ascii="Arial" w:hAnsi="Arial" w:cs="Arial"/>
                <w:b/>
                <w:bCs/>
                <w:sz w:val="22"/>
                <w:szCs w:val="22"/>
              </w:rPr>
              <w:t>s</w:t>
            </w:r>
            <w:r w:rsidRPr="00E4265B">
              <w:rPr>
                <w:rFonts w:ascii="Arial" w:hAnsi="Arial" w:cs="Arial"/>
                <w:b/>
                <w:bCs/>
                <w:sz w:val="22"/>
                <w:szCs w:val="22"/>
              </w:rPr>
              <w:t>ecurity</w:t>
            </w:r>
            <w:r w:rsidR="000013B6" w:rsidRPr="00E4265B">
              <w:rPr>
                <w:rFonts w:ascii="Arial" w:hAnsi="Arial" w:cs="Arial"/>
                <w:b/>
                <w:bCs/>
                <w:sz w:val="22"/>
                <w:szCs w:val="22"/>
              </w:rPr>
              <w:t>:</w:t>
            </w:r>
            <w:r w:rsidRPr="00E4265B">
              <w:rPr>
                <w:rFonts w:ascii="Arial" w:hAnsi="Arial" w:cs="Arial"/>
                <w:b/>
                <w:bCs/>
                <w:sz w:val="22"/>
                <w:szCs w:val="22"/>
              </w:rPr>
              <w:br/>
              <w:t xml:space="preserve">Credit Quality Grade </w:t>
            </w:r>
            <w:r w:rsidR="00BA2690" w:rsidRPr="00E4265B">
              <w:rPr>
                <w:rFonts w:ascii="Arial" w:hAnsi="Arial" w:cs="Arial"/>
                <w:b/>
                <w:bCs/>
                <w:sz w:val="22"/>
                <w:szCs w:val="22"/>
              </w:rPr>
              <w:t xml:space="preserve">of issue </w:t>
            </w:r>
            <w:r w:rsidRPr="00E4265B">
              <w:rPr>
                <w:rFonts w:ascii="Arial" w:hAnsi="Arial" w:cs="Arial"/>
                <w:b/>
                <w:bCs/>
                <w:sz w:val="22"/>
                <w:szCs w:val="22"/>
              </w:rPr>
              <w:t xml:space="preserve">– </w:t>
            </w:r>
            <w:r w:rsidR="004917B1" w:rsidRPr="00E4265B">
              <w:rPr>
                <w:rFonts w:ascii="Arial" w:hAnsi="Arial" w:cs="Arial"/>
                <w:b/>
                <w:bCs/>
                <w:sz w:val="22"/>
                <w:szCs w:val="22"/>
              </w:rPr>
              <w:t>l</w:t>
            </w:r>
            <w:r w:rsidRPr="00E4265B">
              <w:rPr>
                <w:rFonts w:ascii="Arial" w:hAnsi="Arial" w:cs="Arial"/>
                <w:b/>
                <w:bCs/>
                <w:sz w:val="22"/>
                <w:szCs w:val="22"/>
              </w:rPr>
              <w:t>ong-term</w:t>
            </w:r>
          </w:p>
        </w:tc>
        <w:tc>
          <w:tcPr>
            <w:tcW w:w="2430" w:type="dxa"/>
            <w:vMerge w:val="restart"/>
            <w:shd w:val="clear" w:color="auto" w:fill="D9D9D9" w:themeFill="background1" w:themeFillShade="D9"/>
            <w:vAlign w:val="center"/>
          </w:tcPr>
          <w:p w14:paraId="588DBB62" w14:textId="77777777" w:rsidR="00AC1720" w:rsidRPr="00E4265B" w:rsidRDefault="00AC1720" w:rsidP="00AC1720">
            <w:pPr>
              <w:jc w:val="center"/>
              <w:rPr>
                <w:rFonts w:ascii="Arial" w:hAnsi="Arial" w:cs="Arial"/>
                <w:sz w:val="22"/>
                <w:szCs w:val="22"/>
              </w:rPr>
            </w:pPr>
            <w:r w:rsidRPr="00E4265B">
              <w:rPr>
                <w:rFonts w:ascii="Arial" w:hAnsi="Arial" w:cs="Arial"/>
                <w:b/>
                <w:bCs/>
                <w:sz w:val="22"/>
                <w:szCs w:val="22"/>
              </w:rPr>
              <w:t>Residual Maturity</w:t>
            </w:r>
          </w:p>
        </w:tc>
        <w:tc>
          <w:tcPr>
            <w:tcW w:w="3150" w:type="dxa"/>
            <w:gridSpan w:val="2"/>
            <w:tcBorders>
              <w:bottom w:val="single" w:sz="4" w:space="0" w:color="auto"/>
            </w:tcBorders>
            <w:shd w:val="clear" w:color="auto" w:fill="D9D9D9" w:themeFill="background1" w:themeFillShade="D9"/>
            <w:vAlign w:val="center"/>
          </w:tcPr>
          <w:p w14:paraId="505A84F4" w14:textId="77777777" w:rsidR="00AC1720" w:rsidRPr="00E4265B" w:rsidRDefault="00AC1720" w:rsidP="00AC1720">
            <w:pPr>
              <w:jc w:val="center"/>
              <w:rPr>
                <w:rFonts w:ascii="Arial" w:hAnsi="Arial" w:cs="Arial"/>
                <w:sz w:val="22"/>
                <w:szCs w:val="22"/>
              </w:rPr>
            </w:pPr>
            <w:r w:rsidRPr="00E4265B">
              <w:rPr>
                <w:rFonts w:ascii="Arial" w:hAnsi="Arial" w:cs="Arial"/>
                <w:b/>
                <w:bCs/>
                <w:sz w:val="22"/>
                <w:szCs w:val="22"/>
              </w:rPr>
              <w:t>Standard Supervisory Haircut (%)</w:t>
            </w:r>
          </w:p>
        </w:tc>
      </w:tr>
      <w:tr w:rsidR="004917B1" w:rsidRPr="00E4265B" w14:paraId="7A1416FE" w14:textId="77777777" w:rsidTr="003732F6">
        <w:tc>
          <w:tcPr>
            <w:tcW w:w="2340" w:type="dxa"/>
            <w:vMerge/>
            <w:shd w:val="clear" w:color="auto" w:fill="D9D9D9" w:themeFill="background1" w:themeFillShade="D9"/>
            <w:vAlign w:val="center"/>
          </w:tcPr>
          <w:p w14:paraId="39069E57" w14:textId="77777777" w:rsidR="00AC1720" w:rsidRPr="00E4265B" w:rsidRDefault="00AC1720" w:rsidP="00AC1720">
            <w:pPr>
              <w:jc w:val="center"/>
              <w:rPr>
                <w:rFonts w:ascii="Arial" w:hAnsi="Arial" w:cs="Arial"/>
                <w:b/>
                <w:bCs/>
                <w:sz w:val="22"/>
                <w:szCs w:val="22"/>
              </w:rPr>
            </w:pPr>
          </w:p>
        </w:tc>
        <w:tc>
          <w:tcPr>
            <w:tcW w:w="2430" w:type="dxa"/>
            <w:vMerge/>
            <w:shd w:val="clear" w:color="auto" w:fill="D9D9D9" w:themeFill="background1" w:themeFillShade="D9"/>
            <w:vAlign w:val="center"/>
          </w:tcPr>
          <w:p w14:paraId="4DF52FAB" w14:textId="77777777" w:rsidR="00AC1720" w:rsidRPr="00E4265B" w:rsidRDefault="00AC1720" w:rsidP="00AC1720">
            <w:pPr>
              <w:jc w:val="center"/>
              <w:rPr>
                <w:rFonts w:ascii="Arial" w:hAnsi="Arial" w:cs="Arial"/>
                <w:b/>
                <w:bCs/>
                <w:sz w:val="22"/>
                <w:szCs w:val="22"/>
              </w:rPr>
            </w:pPr>
          </w:p>
        </w:tc>
        <w:tc>
          <w:tcPr>
            <w:tcW w:w="3150" w:type="dxa"/>
            <w:gridSpan w:val="2"/>
            <w:tcBorders>
              <w:bottom w:val="dotted" w:sz="4" w:space="0" w:color="auto"/>
            </w:tcBorders>
            <w:shd w:val="clear" w:color="auto" w:fill="D9D9D9" w:themeFill="background1" w:themeFillShade="D9"/>
            <w:vAlign w:val="center"/>
          </w:tcPr>
          <w:p w14:paraId="52329893" w14:textId="77777777" w:rsidR="00AC1720" w:rsidRPr="00E4265B" w:rsidRDefault="00AC1720" w:rsidP="00AC1720">
            <w:pPr>
              <w:jc w:val="center"/>
              <w:rPr>
                <w:rFonts w:ascii="Arial" w:hAnsi="Arial" w:cs="Arial"/>
                <w:sz w:val="22"/>
                <w:szCs w:val="22"/>
              </w:rPr>
            </w:pPr>
            <w:r w:rsidRPr="00E4265B">
              <w:rPr>
                <w:rFonts w:ascii="Arial" w:hAnsi="Arial" w:cs="Arial"/>
                <w:b/>
                <w:bCs/>
                <w:sz w:val="22"/>
                <w:szCs w:val="22"/>
              </w:rPr>
              <w:t>Issuer</w:t>
            </w:r>
          </w:p>
        </w:tc>
      </w:tr>
      <w:tr w:rsidR="00AC1720" w:rsidRPr="00E4265B" w14:paraId="7CEF6E19" w14:textId="77777777" w:rsidTr="003732F6">
        <w:tc>
          <w:tcPr>
            <w:tcW w:w="2340" w:type="dxa"/>
            <w:vMerge/>
            <w:shd w:val="clear" w:color="auto" w:fill="D9D9D9" w:themeFill="background1" w:themeFillShade="D9"/>
            <w:vAlign w:val="center"/>
          </w:tcPr>
          <w:p w14:paraId="6FC2F513" w14:textId="77777777" w:rsidR="00AC1720" w:rsidRPr="00E4265B" w:rsidRDefault="00AC1720" w:rsidP="00AC1720">
            <w:pPr>
              <w:jc w:val="center"/>
              <w:rPr>
                <w:rFonts w:ascii="Arial" w:hAnsi="Arial" w:cs="Arial"/>
                <w:b/>
                <w:bCs/>
                <w:sz w:val="22"/>
                <w:szCs w:val="22"/>
              </w:rPr>
            </w:pPr>
          </w:p>
        </w:tc>
        <w:tc>
          <w:tcPr>
            <w:tcW w:w="2430" w:type="dxa"/>
            <w:vMerge/>
            <w:shd w:val="clear" w:color="auto" w:fill="D9D9D9" w:themeFill="background1" w:themeFillShade="D9"/>
            <w:vAlign w:val="center"/>
          </w:tcPr>
          <w:p w14:paraId="2540BBD6" w14:textId="77777777" w:rsidR="00AC1720" w:rsidRPr="00E4265B" w:rsidRDefault="00AC1720" w:rsidP="00AC1720">
            <w:pPr>
              <w:jc w:val="center"/>
              <w:rPr>
                <w:rFonts w:ascii="Arial" w:hAnsi="Arial" w:cs="Arial"/>
                <w:b/>
                <w:bCs/>
                <w:sz w:val="22"/>
                <w:szCs w:val="22"/>
              </w:rPr>
            </w:pPr>
          </w:p>
        </w:tc>
        <w:tc>
          <w:tcPr>
            <w:tcW w:w="1800" w:type="dxa"/>
            <w:tcBorders>
              <w:top w:val="dotted" w:sz="4" w:space="0" w:color="auto"/>
            </w:tcBorders>
            <w:shd w:val="clear" w:color="auto" w:fill="D9D9D9" w:themeFill="background1" w:themeFillShade="D9"/>
            <w:vAlign w:val="center"/>
          </w:tcPr>
          <w:p w14:paraId="3F72C3CE" w14:textId="2E94BA9C" w:rsidR="00AC1720" w:rsidRPr="00E4265B" w:rsidRDefault="00AC1720" w:rsidP="00AC1720">
            <w:pPr>
              <w:jc w:val="center"/>
              <w:rPr>
                <w:rFonts w:ascii="Arial" w:hAnsi="Arial" w:cs="Arial"/>
                <w:b/>
                <w:bCs/>
                <w:sz w:val="22"/>
                <w:szCs w:val="22"/>
              </w:rPr>
            </w:pPr>
            <w:r w:rsidRPr="00E4265B">
              <w:rPr>
                <w:rFonts w:ascii="Arial" w:hAnsi="Arial" w:cs="Arial"/>
                <w:b/>
                <w:bCs/>
                <w:sz w:val="22"/>
                <w:szCs w:val="22"/>
              </w:rPr>
              <w:t>Central government</w:t>
            </w:r>
            <w:r w:rsidR="004917B1" w:rsidRPr="00E4265B">
              <w:rPr>
                <w:rFonts w:ascii="Arial" w:hAnsi="Arial" w:cs="Arial"/>
                <w:b/>
                <w:bCs/>
                <w:sz w:val="22"/>
                <w:szCs w:val="22"/>
              </w:rPr>
              <w:br/>
            </w:r>
            <w:r w:rsidRPr="00E4265B">
              <w:rPr>
                <w:rFonts w:ascii="Arial" w:hAnsi="Arial" w:cs="Arial"/>
                <w:b/>
                <w:bCs/>
                <w:sz w:val="22"/>
                <w:szCs w:val="22"/>
              </w:rPr>
              <w:t>or central bank</w:t>
            </w:r>
          </w:p>
        </w:tc>
        <w:tc>
          <w:tcPr>
            <w:tcW w:w="1350" w:type="dxa"/>
            <w:tcBorders>
              <w:top w:val="dotted" w:sz="4" w:space="0" w:color="auto"/>
            </w:tcBorders>
            <w:shd w:val="clear" w:color="auto" w:fill="D9D9D9" w:themeFill="background1" w:themeFillShade="D9"/>
            <w:vAlign w:val="center"/>
          </w:tcPr>
          <w:p w14:paraId="30CE7F1E" w14:textId="77777777" w:rsidR="00AC1720" w:rsidRPr="00E4265B" w:rsidRDefault="00AC1720" w:rsidP="00AC1720">
            <w:pPr>
              <w:jc w:val="center"/>
              <w:rPr>
                <w:rFonts w:ascii="Arial" w:hAnsi="Arial" w:cs="Arial"/>
                <w:b/>
                <w:bCs/>
                <w:sz w:val="22"/>
                <w:szCs w:val="22"/>
              </w:rPr>
            </w:pPr>
            <w:r w:rsidRPr="00E4265B">
              <w:rPr>
                <w:rFonts w:ascii="Arial" w:hAnsi="Arial" w:cs="Arial"/>
                <w:b/>
                <w:bCs/>
                <w:sz w:val="22"/>
                <w:szCs w:val="22"/>
              </w:rPr>
              <w:t>Other</w:t>
            </w:r>
          </w:p>
        </w:tc>
      </w:tr>
      <w:tr w:rsidR="004917B1" w:rsidRPr="00E4265B" w14:paraId="04B2BE02" w14:textId="77777777" w:rsidTr="003732F6">
        <w:tc>
          <w:tcPr>
            <w:tcW w:w="2340" w:type="dxa"/>
            <w:vMerge w:val="restart"/>
            <w:vAlign w:val="center"/>
          </w:tcPr>
          <w:p w14:paraId="085FAADF" w14:textId="77777777" w:rsidR="00AC1720" w:rsidRPr="00E4265B" w:rsidRDefault="00AC1720" w:rsidP="00AC1720">
            <w:pPr>
              <w:jc w:val="center"/>
              <w:rPr>
                <w:rFonts w:ascii="Arial" w:hAnsi="Arial" w:cs="Arial"/>
                <w:sz w:val="22"/>
                <w:szCs w:val="22"/>
              </w:rPr>
            </w:pPr>
            <w:r w:rsidRPr="00E4265B">
              <w:rPr>
                <w:rFonts w:ascii="Arial" w:hAnsi="Arial" w:cs="Arial"/>
                <w:sz w:val="22"/>
                <w:szCs w:val="22"/>
              </w:rPr>
              <w:t>1</w:t>
            </w:r>
          </w:p>
        </w:tc>
        <w:tc>
          <w:tcPr>
            <w:tcW w:w="2430" w:type="dxa"/>
            <w:vAlign w:val="center"/>
          </w:tcPr>
          <w:p w14:paraId="592AF52B" w14:textId="77777777" w:rsidR="00AC1720" w:rsidRPr="00E4265B" w:rsidRDefault="00AC1720" w:rsidP="004917B1">
            <w:pPr>
              <w:ind w:right="-18"/>
              <w:rPr>
                <w:rFonts w:ascii="Arial" w:hAnsi="Arial" w:cs="Arial"/>
                <w:sz w:val="22"/>
                <w:szCs w:val="22"/>
              </w:rPr>
            </w:pPr>
            <w:r w:rsidRPr="00E4265B">
              <w:rPr>
                <w:rFonts w:ascii="Arial" w:hAnsi="Arial" w:cs="Arial"/>
                <w:sz w:val="22"/>
                <w:szCs w:val="22"/>
              </w:rPr>
              <w:t>≤ 1 year</w:t>
            </w:r>
          </w:p>
        </w:tc>
        <w:tc>
          <w:tcPr>
            <w:tcW w:w="1800" w:type="dxa"/>
            <w:vAlign w:val="center"/>
          </w:tcPr>
          <w:p w14:paraId="600C4963" w14:textId="77777777" w:rsidR="00AC1720" w:rsidRPr="00E4265B" w:rsidRDefault="00AC1720" w:rsidP="00AC1720">
            <w:pPr>
              <w:ind w:right="209"/>
              <w:jc w:val="right"/>
              <w:rPr>
                <w:rFonts w:ascii="Arial" w:hAnsi="Arial" w:cs="Arial"/>
                <w:sz w:val="22"/>
                <w:szCs w:val="22"/>
              </w:rPr>
            </w:pPr>
            <w:r w:rsidRPr="00E4265B">
              <w:rPr>
                <w:rFonts w:ascii="Arial" w:hAnsi="Arial" w:cs="Arial"/>
                <w:sz w:val="22"/>
                <w:szCs w:val="22"/>
              </w:rPr>
              <w:t>0.5</w:t>
            </w:r>
          </w:p>
        </w:tc>
        <w:tc>
          <w:tcPr>
            <w:tcW w:w="1350" w:type="dxa"/>
            <w:vAlign w:val="center"/>
          </w:tcPr>
          <w:p w14:paraId="526841D7" w14:textId="77777777" w:rsidR="00AC1720" w:rsidRPr="00E4265B" w:rsidRDefault="00AC1720" w:rsidP="00AC1720">
            <w:pPr>
              <w:ind w:right="209"/>
              <w:jc w:val="right"/>
              <w:rPr>
                <w:rFonts w:ascii="Arial" w:hAnsi="Arial" w:cs="Arial"/>
                <w:sz w:val="22"/>
                <w:szCs w:val="22"/>
              </w:rPr>
            </w:pPr>
            <w:r w:rsidRPr="00E4265B">
              <w:rPr>
                <w:rFonts w:ascii="Arial" w:hAnsi="Arial" w:cs="Arial"/>
                <w:sz w:val="22"/>
                <w:szCs w:val="22"/>
              </w:rPr>
              <w:t>1</w:t>
            </w:r>
          </w:p>
        </w:tc>
      </w:tr>
      <w:tr w:rsidR="004917B1" w:rsidRPr="00E4265B" w14:paraId="22082B3E" w14:textId="77777777" w:rsidTr="003732F6">
        <w:tc>
          <w:tcPr>
            <w:tcW w:w="2340" w:type="dxa"/>
            <w:vMerge/>
            <w:vAlign w:val="center"/>
          </w:tcPr>
          <w:p w14:paraId="58301197" w14:textId="77777777" w:rsidR="00AC1720" w:rsidRPr="00E4265B" w:rsidRDefault="00AC1720" w:rsidP="00AC1720">
            <w:pPr>
              <w:jc w:val="center"/>
              <w:rPr>
                <w:rFonts w:ascii="Arial" w:hAnsi="Arial" w:cs="Arial"/>
                <w:sz w:val="22"/>
                <w:szCs w:val="22"/>
              </w:rPr>
            </w:pPr>
          </w:p>
        </w:tc>
        <w:tc>
          <w:tcPr>
            <w:tcW w:w="2430" w:type="dxa"/>
            <w:vAlign w:val="center"/>
          </w:tcPr>
          <w:p w14:paraId="471FB6E8" w14:textId="77777777" w:rsidR="00AC1720" w:rsidRPr="00E4265B" w:rsidRDefault="00AC1720" w:rsidP="004917B1">
            <w:pPr>
              <w:ind w:right="-18"/>
              <w:rPr>
                <w:rFonts w:ascii="Arial" w:hAnsi="Arial" w:cs="Arial"/>
                <w:sz w:val="22"/>
                <w:szCs w:val="22"/>
              </w:rPr>
            </w:pPr>
            <w:r w:rsidRPr="00E4265B">
              <w:rPr>
                <w:rFonts w:ascii="Arial" w:hAnsi="Arial" w:cs="Arial"/>
                <w:sz w:val="22"/>
                <w:szCs w:val="22"/>
              </w:rPr>
              <w:t>&gt; 1 year and ≤ 5 years</w:t>
            </w:r>
          </w:p>
        </w:tc>
        <w:tc>
          <w:tcPr>
            <w:tcW w:w="1800" w:type="dxa"/>
            <w:vAlign w:val="center"/>
          </w:tcPr>
          <w:p w14:paraId="26B8AF16" w14:textId="77777777" w:rsidR="00AC1720" w:rsidRPr="00E4265B" w:rsidRDefault="00AC1720" w:rsidP="00AC1720">
            <w:pPr>
              <w:ind w:right="209"/>
              <w:jc w:val="right"/>
              <w:rPr>
                <w:rFonts w:ascii="Arial" w:hAnsi="Arial" w:cs="Arial"/>
                <w:sz w:val="22"/>
                <w:szCs w:val="22"/>
              </w:rPr>
            </w:pPr>
            <w:r w:rsidRPr="00E4265B">
              <w:rPr>
                <w:rFonts w:ascii="Arial" w:hAnsi="Arial" w:cs="Arial"/>
                <w:sz w:val="22"/>
                <w:szCs w:val="22"/>
              </w:rPr>
              <w:t>2</w:t>
            </w:r>
          </w:p>
        </w:tc>
        <w:tc>
          <w:tcPr>
            <w:tcW w:w="1350" w:type="dxa"/>
            <w:vAlign w:val="center"/>
          </w:tcPr>
          <w:p w14:paraId="16219970" w14:textId="77777777" w:rsidR="00AC1720" w:rsidRPr="00E4265B" w:rsidRDefault="00AC1720" w:rsidP="00AC1720">
            <w:pPr>
              <w:ind w:right="209"/>
              <w:jc w:val="right"/>
              <w:rPr>
                <w:rFonts w:ascii="Arial" w:hAnsi="Arial" w:cs="Arial"/>
                <w:sz w:val="22"/>
                <w:szCs w:val="22"/>
              </w:rPr>
            </w:pPr>
            <w:r w:rsidRPr="00E4265B">
              <w:rPr>
                <w:rFonts w:ascii="Arial" w:hAnsi="Arial" w:cs="Arial"/>
                <w:sz w:val="22"/>
                <w:szCs w:val="22"/>
              </w:rPr>
              <w:t>4</w:t>
            </w:r>
          </w:p>
        </w:tc>
      </w:tr>
      <w:tr w:rsidR="004917B1" w:rsidRPr="00E4265B" w14:paraId="0AFDA455" w14:textId="77777777" w:rsidTr="003732F6">
        <w:tc>
          <w:tcPr>
            <w:tcW w:w="2340" w:type="dxa"/>
            <w:vMerge/>
            <w:vAlign w:val="center"/>
          </w:tcPr>
          <w:p w14:paraId="2E6F9CED" w14:textId="77777777" w:rsidR="00AC1720" w:rsidRPr="00E4265B" w:rsidRDefault="00AC1720" w:rsidP="00AC1720">
            <w:pPr>
              <w:jc w:val="center"/>
              <w:rPr>
                <w:rFonts w:ascii="Arial" w:hAnsi="Arial" w:cs="Arial"/>
                <w:sz w:val="22"/>
                <w:szCs w:val="22"/>
              </w:rPr>
            </w:pPr>
          </w:p>
        </w:tc>
        <w:tc>
          <w:tcPr>
            <w:tcW w:w="2430" w:type="dxa"/>
            <w:vAlign w:val="center"/>
          </w:tcPr>
          <w:p w14:paraId="0AE3FACE" w14:textId="77777777" w:rsidR="00AC1720" w:rsidRPr="00E4265B" w:rsidRDefault="00AC1720" w:rsidP="004917B1">
            <w:pPr>
              <w:ind w:right="-18"/>
              <w:rPr>
                <w:rFonts w:ascii="Arial" w:hAnsi="Arial" w:cs="Arial"/>
                <w:sz w:val="22"/>
                <w:szCs w:val="22"/>
              </w:rPr>
            </w:pPr>
            <w:r w:rsidRPr="00E4265B">
              <w:rPr>
                <w:rFonts w:ascii="Arial" w:hAnsi="Arial" w:cs="Arial"/>
                <w:sz w:val="22"/>
                <w:szCs w:val="22"/>
              </w:rPr>
              <w:t>&gt; 5 years</w:t>
            </w:r>
          </w:p>
        </w:tc>
        <w:tc>
          <w:tcPr>
            <w:tcW w:w="1800" w:type="dxa"/>
            <w:vAlign w:val="center"/>
          </w:tcPr>
          <w:p w14:paraId="671967FB" w14:textId="77777777" w:rsidR="00AC1720" w:rsidRPr="00E4265B" w:rsidRDefault="00AC1720" w:rsidP="00AC1720">
            <w:pPr>
              <w:ind w:right="209"/>
              <w:jc w:val="right"/>
              <w:rPr>
                <w:rFonts w:ascii="Arial" w:hAnsi="Arial" w:cs="Arial"/>
                <w:sz w:val="22"/>
                <w:szCs w:val="22"/>
              </w:rPr>
            </w:pPr>
            <w:r w:rsidRPr="00E4265B">
              <w:rPr>
                <w:rFonts w:ascii="Arial" w:hAnsi="Arial" w:cs="Arial"/>
                <w:sz w:val="22"/>
                <w:szCs w:val="22"/>
              </w:rPr>
              <w:t>4</w:t>
            </w:r>
          </w:p>
        </w:tc>
        <w:tc>
          <w:tcPr>
            <w:tcW w:w="1350" w:type="dxa"/>
            <w:vAlign w:val="center"/>
          </w:tcPr>
          <w:p w14:paraId="54B6FC65" w14:textId="77777777" w:rsidR="00AC1720" w:rsidRPr="00E4265B" w:rsidRDefault="00AC1720" w:rsidP="00AC1720">
            <w:pPr>
              <w:ind w:right="209"/>
              <w:jc w:val="right"/>
              <w:rPr>
                <w:rFonts w:ascii="Arial" w:hAnsi="Arial" w:cs="Arial"/>
                <w:sz w:val="22"/>
                <w:szCs w:val="22"/>
              </w:rPr>
            </w:pPr>
            <w:r w:rsidRPr="00E4265B">
              <w:rPr>
                <w:rFonts w:ascii="Arial" w:hAnsi="Arial" w:cs="Arial"/>
                <w:sz w:val="22"/>
                <w:szCs w:val="22"/>
              </w:rPr>
              <w:t>8</w:t>
            </w:r>
          </w:p>
        </w:tc>
      </w:tr>
      <w:tr w:rsidR="004917B1" w:rsidRPr="00E4265B" w14:paraId="7AFD1111" w14:textId="77777777" w:rsidTr="003732F6">
        <w:tc>
          <w:tcPr>
            <w:tcW w:w="2340" w:type="dxa"/>
            <w:vMerge w:val="restart"/>
            <w:vAlign w:val="center"/>
          </w:tcPr>
          <w:p w14:paraId="3F960B19" w14:textId="77777777" w:rsidR="00AC1720" w:rsidRPr="00E4265B" w:rsidRDefault="00AC1720" w:rsidP="00AC1720">
            <w:pPr>
              <w:jc w:val="center"/>
              <w:rPr>
                <w:rFonts w:ascii="Arial" w:hAnsi="Arial" w:cs="Arial"/>
                <w:sz w:val="22"/>
                <w:szCs w:val="22"/>
              </w:rPr>
            </w:pPr>
            <w:r w:rsidRPr="00E4265B">
              <w:rPr>
                <w:rFonts w:ascii="Arial" w:hAnsi="Arial" w:cs="Arial"/>
                <w:sz w:val="22"/>
                <w:szCs w:val="22"/>
              </w:rPr>
              <w:t>2 or 3,</w:t>
            </w:r>
            <w:r w:rsidRPr="00E4265B">
              <w:rPr>
                <w:rFonts w:ascii="Arial" w:hAnsi="Arial" w:cs="Arial"/>
                <w:sz w:val="22"/>
                <w:szCs w:val="22"/>
              </w:rPr>
              <w:br/>
              <w:t>and unrated bank securities as defined in Rule 4.13.5(d)</w:t>
            </w:r>
          </w:p>
        </w:tc>
        <w:tc>
          <w:tcPr>
            <w:tcW w:w="2430" w:type="dxa"/>
            <w:vAlign w:val="center"/>
          </w:tcPr>
          <w:p w14:paraId="7A349D16" w14:textId="77777777" w:rsidR="00AC1720" w:rsidRPr="00E4265B" w:rsidRDefault="00AC1720" w:rsidP="004917B1">
            <w:pPr>
              <w:ind w:right="-18"/>
              <w:rPr>
                <w:rFonts w:ascii="Arial" w:hAnsi="Arial" w:cs="Arial"/>
                <w:sz w:val="22"/>
                <w:szCs w:val="22"/>
              </w:rPr>
            </w:pPr>
            <w:r w:rsidRPr="00E4265B">
              <w:rPr>
                <w:rFonts w:ascii="Arial" w:hAnsi="Arial" w:cs="Arial"/>
                <w:sz w:val="22"/>
                <w:szCs w:val="22"/>
              </w:rPr>
              <w:t>≤ 1 year</w:t>
            </w:r>
          </w:p>
        </w:tc>
        <w:tc>
          <w:tcPr>
            <w:tcW w:w="1800" w:type="dxa"/>
            <w:vAlign w:val="center"/>
          </w:tcPr>
          <w:p w14:paraId="4F7B617B" w14:textId="77777777" w:rsidR="00AC1720" w:rsidRPr="00E4265B" w:rsidRDefault="00AC1720" w:rsidP="00AC1720">
            <w:pPr>
              <w:ind w:right="209"/>
              <w:jc w:val="right"/>
              <w:rPr>
                <w:rFonts w:ascii="Arial" w:hAnsi="Arial" w:cs="Arial"/>
                <w:sz w:val="22"/>
                <w:szCs w:val="22"/>
              </w:rPr>
            </w:pPr>
            <w:r w:rsidRPr="00E4265B">
              <w:rPr>
                <w:rFonts w:ascii="Arial" w:hAnsi="Arial" w:cs="Arial"/>
                <w:sz w:val="22"/>
                <w:szCs w:val="22"/>
              </w:rPr>
              <w:t>1</w:t>
            </w:r>
          </w:p>
        </w:tc>
        <w:tc>
          <w:tcPr>
            <w:tcW w:w="1350" w:type="dxa"/>
            <w:vAlign w:val="center"/>
          </w:tcPr>
          <w:p w14:paraId="4B579BB3" w14:textId="77777777" w:rsidR="00AC1720" w:rsidRPr="00E4265B" w:rsidRDefault="00AC1720" w:rsidP="00AC1720">
            <w:pPr>
              <w:ind w:right="209"/>
              <w:jc w:val="right"/>
              <w:rPr>
                <w:rFonts w:ascii="Arial" w:hAnsi="Arial" w:cs="Arial"/>
                <w:sz w:val="22"/>
                <w:szCs w:val="22"/>
              </w:rPr>
            </w:pPr>
            <w:r w:rsidRPr="00E4265B">
              <w:rPr>
                <w:rFonts w:ascii="Arial" w:hAnsi="Arial" w:cs="Arial"/>
                <w:sz w:val="22"/>
                <w:szCs w:val="22"/>
              </w:rPr>
              <w:t>2</w:t>
            </w:r>
          </w:p>
        </w:tc>
      </w:tr>
      <w:tr w:rsidR="004917B1" w:rsidRPr="00E4265B" w14:paraId="1DC47042" w14:textId="77777777" w:rsidTr="003732F6">
        <w:tc>
          <w:tcPr>
            <w:tcW w:w="2340" w:type="dxa"/>
            <w:vMerge/>
            <w:vAlign w:val="center"/>
          </w:tcPr>
          <w:p w14:paraId="5984C0B8" w14:textId="77777777" w:rsidR="00AC1720" w:rsidRPr="00E4265B" w:rsidRDefault="00AC1720" w:rsidP="00AC1720">
            <w:pPr>
              <w:rPr>
                <w:rFonts w:ascii="Arial" w:hAnsi="Arial" w:cs="Arial"/>
                <w:sz w:val="22"/>
                <w:szCs w:val="22"/>
              </w:rPr>
            </w:pPr>
          </w:p>
        </w:tc>
        <w:tc>
          <w:tcPr>
            <w:tcW w:w="2430" w:type="dxa"/>
            <w:vAlign w:val="center"/>
          </w:tcPr>
          <w:p w14:paraId="54E2434F" w14:textId="77777777" w:rsidR="00AC1720" w:rsidRPr="00E4265B" w:rsidRDefault="00AC1720" w:rsidP="004917B1">
            <w:pPr>
              <w:ind w:right="-18"/>
              <w:rPr>
                <w:rFonts w:ascii="Arial" w:hAnsi="Arial" w:cs="Arial"/>
                <w:sz w:val="22"/>
                <w:szCs w:val="22"/>
              </w:rPr>
            </w:pPr>
            <w:r w:rsidRPr="00E4265B">
              <w:rPr>
                <w:rFonts w:ascii="Arial" w:hAnsi="Arial" w:cs="Arial"/>
                <w:sz w:val="22"/>
                <w:szCs w:val="22"/>
              </w:rPr>
              <w:t>&gt; 1 year and ≤ 5 years</w:t>
            </w:r>
          </w:p>
        </w:tc>
        <w:tc>
          <w:tcPr>
            <w:tcW w:w="1800" w:type="dxa"/>
            <w:vAlign w:val="center"/>
          </w:tcPr>
          <w:p w14:paraId="073D2032" w14:textId="77777777" w:rsidR="00AC1720" w:rsidRPr="00E4265B" w:rsidRDefault="00AC1720" w:rsidP="00AC1720">
            <w:pPr>
              <w:ind w:right="209"/>
              <w:jc w:val="right"/>
              <w:rPr>
                <w:rFonts w:ascii="Arial" w:hAnsi="Arial" w:cs="Arial"/>
                <w:sz w:val="22"/>
                <w:szCs w:val="22"/>
              </w:rPr>
            </w:pPr>
            <w:r w:rsidRPr="00E4265B">
              <w:rPr>
                <w:rFonts w:ascii="Arial" w:hAnsi="Arial" w:cs="Arial"/>
                <w:sz w:val="22"/>
                <w:szCs w:val="22"/>
              </w:rPr>
              <w:t>3</w:t>
            </w:r>
          </w:p>
        </w:tc>
        <w:tc>
          <w:tcPr>
            <w:tcW w:w="1350" w:type="dxa"/>
            <w:vAlign w:val="center"/>
          </w:tcPr>
          <w:p w14:paraId="4F08C041" w14:textId="77777777" w:rsidR="00AC1720" w:rsidRPr="00E4265B" w:rsidRDefault="00AC1720" w:rsidP="00AC1720">
            <w:pPr>
              <w:ind w:right="209"/>
              <w:jc w:val="right"/>
              <w:rPr>
                <w:rFonts w:ascii="Arial" w:hAnsi="Arial" w:cs="Arial"/>
                <w:sz w:val="22"/>
                <w:szCs w:val="22"/>
              </w:rPr>
            </w:pPr>
            <w:r w:rsidRPr="00E4265B">
              <w:rPr>
                <w:rFonts w:ascii="Arial" w:hAnsi="Arial" w:cs="Arial"/>
                <w:sz w:val="22"/>
                <w:szCs w:val="22"/>
              </w:rPr>
              <w:t>6</w:t>
            </w:r>
          </w:p>
        </w:tc>
      </w:tr>
      <w:tr w:rsidR="004917B1" w:rsidRPr="00E4265B" w14:paraId="1D6A9D6E" w14:textId="77777777" w:rsidTr="003732F6">
        <w:tc>
          <w:tcPr>
            <w:tcW w:w="2340" w:type="dxa"/>
            <w:vMerge/>
            <w:vAlign w:val="center"/>
          </w:tcPr>
          <w:p w14:paraId="14134402" w14:textId="77777777" w:rsidR="00AC1720" w:rsidRPr="00E4265B" w:rsidRDefault="00AC1720" w:rsidP="00AC1720">
            <w:pPr>
              <w:rPr>
                <w:rFonts w:ascii="Arial" w:hAnsi="Arial" w:cs="Arial"/>
                <w:sz w:val="22"/>
                <w:szCs w:val="22"/>
              </w:rPr>
            </w:pPr>
          </w:p>
        </w:tc>
        <w:tc>
          <w:tcPr>
            <w:tcW w:w="2430" w:type="dxa"/>
            <w:vAlign w:val="center"/>
          </w:tcPr>
          <w:p w14:paraId="4224C4C3" w14:textId="77777777" w:rsidR="00AC1720" w:rsidRPr="00E4265B" w:rsidRDefault="00AC1720" w:rsidP="004917B1">
            <w:pPr>
              <w:ind w:right="-18"/>
              <w:rPr>
                <w:rFonts w:ascii="Arial" w:hAnsi="Arial" w:cs="Arial"/>
                <w:sz w:val="22"/>
                <w:szCs w:val="22"/>
              </w:rPr>
            </w:pPr>
            <w:r w:rsidRPr="00E4265B">
              <w:rPr>
                <w:rFonts w:ascii="Arial" w:hAnsi="Arial" w:cs="Arial"/>
                <w:sz w:val="22"/>
                <w:szCs w:val="22"/>
              </w:rPr>
              <w:t>&gt; 5 years</w:t>
            </w:r>
          </w:p>
        </w:tc>
        <w:tc>
          <w:tcPr>
            <w:tcW w:w="1800" w:type="dxa"/>
            <w:vAlign w:val="center"/>
          </w:tcPr>
          <w:p w14:paraId="179D43FC" w14:textId="77777777" w:rsidR="00AC1720" w:rsidRPr="00E4265B" w:rsidRDefault="00AC1720" w:rsidP="00AC1720">
            <w:pPr>
              <w:ind w:right="209"/>
              <w:jc w:val="right"/>
              <w:rPr>
                <w:rFonts w:ascii="Arial" w:hAnsi="Arial" w:cs="Arial"/>
                <w:sz w:val="22"/>
                <w:szCs w:val="22"/>
              </w:rPr>
            </w:pPr>
            <w:r w:rsidRPr="00E4265B">
              <w:rPr>
                <w:rFonts w:ascii="Arial" w:hAnsi="Arial" w:cs="Arial"/>
                <w:sz w:val="22"/>
                <w:szCs w:val="22"/>
              </w:rPr>
              <w:t>6</w:t>
            </w:r>
          </w:p>
        </w:tc>
        <w:tc>
          <w:tcPr>
            <w:tcW w:w="1350" w:type="dxa"/>
            <w:vAlign w:val="center"/>
          </w:tcPr>
          <w:p w14:paraId="0745D78B" w14:textId="77777777" w:rsidR="00AC1720" w:rsidRPr="00E4265B" w:rsidRDefault="00AC1720" w:rsidP="00AC1720">
            <w:pPr>
              <w:ind w:right="209"/>
              <w:jc w:val="right"/>
              <w:rPr>
                <w:rFonts w:ascii="Arial" w:hAnsi="Arial" w:cs="Arial"/>
                <w:sz w:val="22"/>
                <w:szCs w:val="22"/>
              </w:rPr>
            </w:pPr>
            <w:r w:rsidRPr="00E4265B">
              <w:rPr>
                <w:rFonts w:ascii="Arial" w:hAnsi="Arial" w:cs="Arial"/>
                <w:sz w:val="22"/>
                <w:szCs w:val="22"/>
              </w:rPr>
              <w:t>12</w:t>
            </w:r>
          </w:p>
        </w:tc>
      </w:tr>
      <w:tr w:rsidR="00AC1720" w:rsidRPr="00E4265B" w14:paraId="79725A72" w14:textId="77777777" w:rsidTr="003732F6">
        <w:tc>
          <w:tcPr>
            <w:tcW w:w="2340" w:type="dxa"/>
            <w:vAlign w:val="center"/>
          </w:tcPr>
          <w:p w14:paraId="1E2645B4" w14:textId="77777777" w:rsidR="00AC1720" w:rsidRPr="00E4265B" w:rsidRDefault="00AC1720" w:rsidP="00AC1720">
            <w:pPr>
              <w:jc w:val="center"/>
              <w:rPr>
                <w:rFonts w:ascii="Arial" w:hAnsi="Arial" w:cs="Arial"/>
                <w:sz w:val="22"/>
                <w:szCs w:val="22"/>
              </w:rPr>
            </w:pPr>
            <w:r w:rsidRPr="00E4265B">
              <w:rPr>
                <w:rFonts w:ascii="Arial" w:hAnsi="Arial" w:cs="Arial"/>
                <w:sz w:val="22"/>
                <w:szCs w:val="22"/>
              </w:rPr>
              <w:t>4</w:t>
            </w:r>
          </w:p>
        </w:tc>
        <w:tc>
          <w:tcPr>
            <w:tcW w:w="2430" w:type="dxa"/>
            <w:vAlign w:val="center"/>
          </w:tcPr>
          <w:p w14:paraId="3D4CBB78" w14:textId="77777777" w:rsidR="00AC1720" w:rsidRPr="00E4265B" w:rsidRDefault="00AC1720" w:rsidP="004917B1">
            <w:pPr>
              <w:ind w:right="-18"/>
              <w:rPr>
                <w:rFonts w:ascii="Arial" w:hAnsi="Arial" w:cs="Arial"/>
                <w:sz w:val="22"/>
                <w:szCs w:val="22"/>
              </w:rPr>
            </w:pPr>
            <w:r w:rsidRPr="00E4265B">
              <w:rPr>
                <w:rFonts w:ascii="Arial" w:hAnsi="Arial" w:cs="Arial"/>
                <w:sz w:val="22"/>
                <w:szCs w:val="22"/>
              </w:rPr>
              <w:t>All</w:t>
            </w:r>
          </w:p>
        </w:tc>
        <w:tc>
          <w:tcPr>
            <w:tcW w:w="1800" w:type="dxa"/>
            <w:vAlign w:val="center"/>
          </w:tcPr>
          <w:p w14:paraId="43C0C375" w14:textId="77777777" w:rsidR="00AC1720" w:rsidRPr="00E4265B" w:rsidRDefault="00AC1720" w:rsidP="00AC1720">
            <w:pPr>
              <w:ind w:right="209"/>
              <w:jc w:val="right"/>
              <w:rPr>
                <w:rFonts w:ascii="Arial" w:hAnsi="Arial" w:cs="Arial"/>
                <w:sz w:val="22"/>
                <w:szCs w:val="22"/>
              </w:rPr>
            </w:pPr>
            <w:r w:rsidRPr="00E4265B">
              <w:rPr>
                <w:rFonts w:ascii="Arial" w:hAnsi="Arial" w:cs="Arial"/>
                <w:sz w:val="22"/>
                <w:szCs w:val="22"/>
              </w:rPr>
              <w:t>15</w:t>
            </w:r>
          </w:p>
        </w:tc>
        <w:tc>
          <w:tcPr>
            <w:tcW w:w="1350" w:type="dxa"/>
            <w:vAlign w:val="center"/>
          </w:tcPr>
          <w:p w14:paraId="551749AD" w14:textId="77777777" w:rsidR="00AC1720" w:rsidRPr="00E4265B" w:rsidRDefault="00AC1720" w:rsidP="00AC1720">
            <w:pPr>
              <w:ind w:right="209"/>
              <w:jc w:val="right"/>
              <w:rPr>
                <w:rFonts w:ascii="Arial" w:hAnsi="Arial" w:cs="Arial"/>
                <w:sz w:val="22"/>
                <w:szCs w:val="22"/>
              </w:rPr>
            </w:pPr>
            <w:r w:rsidRPr="00E4265B">
              <w:rPr>
                <w:rFonts w:ascii="Arial" w:hAnsi="Arial" w:cs="Arial"/>
                <w:sz w:val="22"/>
                <w:szCs w:val="22"/>
              </w:rPr>
              <w:t>n/a</w:t>
            </w:r>
          </w:p>
        </w:tc>
      </w:tr>
    </w:tbl>
    <w:p w14:paraId="3304B722" w14:textId="77777777" w:rsidR="00AC1720" w:rsidRPr="00E4265B" w:rsidRDefault="00AC1720" w:rsidP="00AC1720">
      <w:pPr>
        <w:rPr>
          <w:rFonts w:ascii="Arial" w:hAnsi="Arial" w:cs="Arial"/>
          <w:sz w:val="22"/>
          <w:szCs w:val="22"/>
        </w:rPr>
      </w:pPr>
    </w:p>
    <w:tbl>
      <w:tblPr>
        <w:tblStyle w:val="TableGrid"/>
        <w:tblW w:w="0" w:type="auto"/>
        <w:tblInd w:w="1098" w:type="dxa"/>
        <w:tblLook w:val="04A0" w:firstRow="1" w:lastRow="0" w:firstColumn="1" w:lastColumn="0" w:noHBand="0" w:noVBand="1"/>
      </w:tblPr>
      <w:tblGrid>
        <w:gridCol w:w="3199"/>
        <w:gridCol w:w="2411"/>
        <w:gridCol w:w="2309"/>
      </w:tblGrid>
      <w:tr w:rsidR="003732F6" w:rsidRPr="00E4265B" w14:paraId="19240EF9" w14:textId="77777777" w:rsidTr="00F32BCA">
        <w:tc>
          <w:tcPr>
            <w:tcW w:w="3240" w:type="dxa"/>
            <w:vMerge w:val="restart"/>
            <w:tcBorders>
              <w:bottom w:val="dotted" w:sz="4" w:space="0" w:color="auto"/>
            </w:tcBorders>
            <w:shd w:val="clear" w:color="auto" w:fill="D9D9D9" w:themeFill="background1" w:themeFillShade="D9"/>
            <w:vAlign w:val="center"/>
          </w:tcPr>
          <w:p w14:paraId="56F26699" w14:textId="52C42E11" w:rsidR="00AC1720" w:rsidRPr="00E4265B" w:rsidRDefault="00AC1720" w:rsidP="00BA2690">
            <w:pPr>
              <w:jc w:val="center"/>
              <w:rPr>
                <w:rFonts w:ascii="Arial" w:hAnsi="Arial" w:cs="Arial"/>
                <w:b/>
                <w:bCs/>
                <w:sz w:val="22"/>
                <w:szCs w:val="22"/>
              </w:rPr>
            </w:pPr>
            <w:r w:rsidRPr="00E4265B">
              <w:rPr>
                <w:rFonts w:ascii="Arial" w:hAnsi="Arial" w:cs="Arial"/>
                <w:b/>
                <w:bCs/>
                <w:sz w:val="22"/>
                <w:szCs w:val="22"/>
              </w:rPr>
              <w:lastRenderedPageBreak/>
              <w:t xml:space="preserve">Debt </w:t>
            </w:r>
            <w:r w:rsidR="004917B1" w:rsidRPr="00E4265B">
              <w:rPr>
                <w:rFonts w:ascii="Arial" w:hAnsi="Arial" w:cs="Arial"/>
                <w:b/>
                <w:bCs/>
                <w:sz w:val="22"/>
                <w:szCs w:val="22"/>
              </w:rPr>
              <w:t>s</w:t>
            </w:r>
            <w:r w:rsidRPr="00E4265B">
              <w:rPr>
                <w:rFonts w:ascii="Arial" w:hAnsi="Arial" w:cs="Arial"/>
                <w:b/>
                <w:bCs/>
                <w:sz w:val="22"/>
                <w:szCs w:val="22"/>
              </w:rPr>
              <w:t>ecurity</w:t>
            </w:r>
            <w:r w:rsidR="000013B6" w:rsidRPr="00E4265B">
              <w:rPr>
                <w:rFonts w:ascii="Arial" w:hAnsi="Arial" w:cs="Arial"/>
                <w:b/>
                <w:bCs/>
                <w:sz w:val="22"/>
                <w:szCs w:val="22"/>
              </w:rPr>
              <w:t>:</w:t>
            </w:r>
            <w:r w:rsidRPr="00E4265B">
              <w:rPr>
                <w:rFonts w:ascii="Arial" w:hAnsi="Arial" w:cs="Arial"/>
                <w:b/>
                <w:bCs/>
                <w:sz w:val="22"/>
                <w:szCs w:val="22"/>
              </w:rPr>
              <w:br/>
              <w:t xml:space="preserve">Credit Quality Grade </w:t>
            </w:r>
            <w:r w:rsidR="00BA2690" w:rsidRPr="00E4265B">
              <w:rPr>
                <w:rFonts w:ascii="Arial" w:hAnsi="Arial" w:cs="Arial"/>
                <w:b/>
                <w:bCs/>
                <w:sz w:val="22"/>
                <w:szCs w:val="22"/>
              </w:rPr>
              <w:t xml:space="preserve">of issue </w:t>
            </w:r>
            <w:r w:rsidRPr="00E4265B">
              <w:rPr>
                <w:rFonts w:ascii="Arial" w:hAnsi="Arial" w:cs="Arial"/>
                <w:b/>
                <w:bCs/>
                <w:sz w:val="22"/>
                <w:szCs w:val="22"/>
              </w:rPr>
              <w:t>–</w:t>
            </w:r>
            <w:r w:rsidR="00BA2690" w:rsidRPr="00E4265B">
              <w:rPr>
                <w:rFonts w:ascii="Arial" w:hAnsi="Arial" w:cs="Arial"/>
                <w:b/>
                <w:bCs/>
                <w:sz w:val="22"/>
                <w:szCs w:val="22"/>
              </w:rPr>
              <w:t xml:space="preserve"> </w:t>
            </w:r>
            <w:r w:rsidR="004917B1" w:rsidRPr="00E4265B">
              <w:rPr>
                <w:rFonts w:ascii="Arial" w:hAnsi="Arial" w:cs="Arial"/>
                <w:b/>
                <w:bCs/>
                <w:sz w:val="22"/>
                <w:szCs w:val="22"/>
              </w:rPr>
              <w:t>s</w:t>
            </w:r>
            <w:r w:rsidRPr="00E4265B">
              <w:rPr>
                <w:rFonts w:ascii="Arial" w:hAnsi="Arial" w:cs="Arial"/>
                <w:b/>
                <w:bCs/>
                <w:sz w:val="22"/>
                <w:szCs w:val="22"/>
              </w:rPr>
              <w:t>hort-term</w:t>
            </w:r>
          </w:p>
        </w:tc>
        <w:tc>
          <w:tcPr>
            <w:tcW w:w="4770" w:type="dxa"/>
            <w:gridSpan w:val="2"/>
            <w:tcBorders>
              <w:bottom w:val="single" w:sz="4" w:space="0" w:color="auto"/>
            </w:tcBorders>
            <w:shd w:val="clear" w:color="auto" w:fill="D9D9D9" w:themeFill="background1" w:themeFillShade="D9"/>
            <w:vAlign w:val="center"/>
          </w:tcPr>
          <w:p w14:paraId="2C56CDDB" w14:textId="77777777" w:rsidR="00AC1720" w:rsidRPr="00E4265B" w:rsidRDefault="00AC1720" w:rsidP="00AC1720">
            <w:pPr>
              <w:jc w:val="center"/>
              <w:rPr>
                <w:rFonts w:ascii="Arial" w:hAnsi="Arial" w:cs="Arial"/>
                <w:b/>
                <w:bCs/>
                <w:sz w:val="22"/>
                <w:szCs w:val="22"/>
              </w:rPr>
            </w:pPr>
            <w:r w:rsidRPr="00E4265B">
              <w:rPr>
                <w:rFonts w:ascii="Arial" w:hAnsi="Arial" w:cs="Arial"/>
                <w:b/>
                <w:bCs/>
                <w:sz w:val="22"/>
                <w:szCs w:val="22"/>
              </w:rPr>
              <w:t>Standard Supervisory Haircut (%)</w:t>
            </w:r>
          </w:p>
        </w:tc>
      </w:tr>
      <w:tr w:rsidR="00AC1720" w:rsidRPr="00E4265B" w14:paraId="2922079A" w14:textId="77777777" w:rsidTr="003732F6">
        <w:tc>
          <w:tcPr>
            <w:tcW w:w="3240" w:type="dxa"/>
            <w:vMerge/>
            <w:tcBorders>
              <w:top w:val="dotted" w:sz="4" w:space="0" w:color="auto"/>
              <w:bottom w:val="dotted" w:sz="4" w:space="0" w:color="auto"/>
            </w:tcBorders>
            <w:shd w:val="clear" w:color="auto" w:fill="D9D9D9" w:themeFill="background1" w:themeFillShade="D9"/>
            <w:vAlign w:val="center"/>
          </w:tcPr>
          <w:p w14:paraId="175F13B7" w14:textId="77777777" w:rsidR="00AC1720" w:rsidRPr="00E4265B" w:rsidRDefault="00AC1720" w:rsidP="00AC1720">
            <w:pPr>
              <w:jc w:val="center"/>
              <w:rPr>
                <w:rFonts w:ascii="Arial" w:hAnsi="Arial" w:cs="Arial"/>
                <w:b/>
                <w:bCs/>
                <w:sz w:val="22"/>
                <w:szCs w:val="22"/>
              </w:rPr>
            </w:pPr>
          </w:p>
        </w:tc>
        <w:tc>
          <w:tcPr>
            <w:tcW w:w="4770" w:type="dxa"/>
            <w:gridSpan w:val="2"/>
            <w:tcBorders>
              <w:top w:val="single" w:sz="4" w:space="0" w:color="auto"/>
              <w:bottom w:val="dotted" w:sz="4" w:space="0" w:color="auto"/>
            </w:tcBorders>
            <w:shd w:val="clear" w:color="auto" w:fill="D9D9D9" w:themeFill="background1" w:themeFillShade="D9"/>
            <w:vAlign w:val="center"/>
          </w:tcPr>
          <w:p w14:paraId="3584223B" w14:textId="77777777" w:rsidR="00AC1720" w:rsidRPr="00E4265B" w:rsidRDefault="00AC1720" w:rsidP="00AC1720">
            <w:pPr>
              <w:jc w:val="center"/>
              <w:rPr>
                <w:rFonts w:ascii="Arial" w:hAnsi="Arial" w:cs="Arial"/>
                <w:sz w:val="22"/>
                <w:szCs w:val="22"/>
              </w:rPr>
            </w:pPr>
            <w:r w:rsidRPr="00E4265B">
              <w:rPr>
                <w:rFonts w:ascii="Arial" w:hAnsi="Arial" w:cs="Arial"/>
                <w:b/>
                <w:bCs/>
                <w:sz w:val="22"/>
                <w:szCs w:val="22"/>
              </w:rPr>
              <w:t>Issuer</w:t>
            </w:r>
          </w:p>
        </w:tc>
      </w:tr>
      <w:tr w:rsidR="003732F6" w:rsidRPr="00E4265B" w14:paraId="3E9F73D7" w14:textId="77777777" w:rsidTr="00F32BCA">
        <w:tc>
          <w:tcPr>
            <w:tcW w:w="3240" w:type="dxa"/>
            <w:vMerge/>
            <w:tcBorders>
              <w:top w:val="dotted" w:sz="4" w:space="0" w:color="auto"/>
              <w:bottom w:val="single" w:sz="4" w:space="0" w:color="auto"/>
            </w:tcBorders>
            <w:shd w:val="clear" w:color="auto" w:fill="D9D9D9" w:themeFill="background1" w:themeFillShade="D9"/>
            <w:vAlign w:val="center"/>
          </w:tcPr>
          <w:p w14:paraId="198A7471" w14:textId="77777777" w:rsidR="00AC1720" w:rsidRPr="00E4265B" w:rsidRDefault="00AC1720" w:rsidP="00AC1720">
            <w:pPr>
              <w:jc w:val="center"/>
              <w:rPr>
                <w:rFonts w:ascii="Arial" w:hAnsi="Arial" w:cs="Arial"/>
                <w:sz w:val="22"/>
                <w:szCs w:val="22"/>
              </w:rPr>
            </w:pPr>
          </w:p>
        </w:tc>
        <w:tc>
          <w:tcPr>
            <w:tcW w:w="2430" w:type="dxa"/>
            <w:tcBorders>
              <w:top w:val="dotted" w:sz="4" w:space="0" w:color="auto"/>
              <w:bottom w:val="single" w:sz="4" w:space="0" w:color="auto"/>
            </w:tcBorders>
            <w:shd w:val="clear" w:color="auto" w:fill="D9D9D9" w:themeFill="background1" w:themeFillShade="D9"/>
            <w:vAlign w:val="center"/>
          </w:tcPr>
          <w:p w14:paraId="6FA1D031" w14:textId="77777777" w:rsidR="00AC1720" w:rsidRPr="00E4265B" w:rsidRDefault="00AC1720" w:rsidP="00AC1720">
            <w:pPr>
              <w:jc w:val="center"/>
              <w:rPr>
                <w:rFonts w:ascii="Arial" w:hAnsi="Arial" w:cs="Arial"/>
                <w:b/>
                <w:bCs/>
                <w:sz w:val="22"/>
                <w:szCs w:val="22"/>
              </w:rPr>
            </w:pPr>
            <w:r w:rsidRPr="00E4265B">
              <w:rPr>
                <w:rFonts w:ascii="Arial" w:hAnsi="Arial" w:cs="Arial"/>
                <w:b/>
                <w:bCs/>
                <w:sz w:val="22"/>
                <w:szCs w:val="22"/>
              </w:rPr>
              <w:t>Central government or central bank</w:t>
            </w:r>
          </w:p>
        </w:tc>
        <w:tc>
          <w:tcPr>
            <w:tcW w:w="2340" w:type="dxa"/>
            <w:tcBorders>
              <w:top w:val="dotted" w:sz="4" w:space="0" w:color="auto"/>
              <w:bottom w:val="single" w:sz="4" w:space="0" w:color="auto"/>
            </w:tcBorders>
            <w:shd w:val="clear" w:color="auto" w:fill="D9D9D9" w:themeFill="background1" w:themeFillShade="D9"/>
            <w:vAlign w:val="center"/>
          </w:tcPr>
          <w:p w14:paraId="2DBCCA09" w14:textId="77777777" w:rsidR="00AC1720" w:rsidRPr="00E4265B" w:rsidRDefault="00AC1720" w:rsidP="00AC1720">
            <w:pPr>
              <w:jc w:val="center"/>
              <w:rPr>
                <w:rFonts w:ascii="Arial" w:hAnsi="Arial" w:cs="Arial"/>
                <w:b/>
                <w:bCs/>
                <w:sz w:val="22"/>
                <w:szCs w:val="22"/>
              </w:rPr>
            </w:pPr>
            <w:r w:rsidRPr="00E4265B">
              <w:rPr>
                <w:rFonts w:ascii="Arial" w:hAnsi="Arial" w:cs="Arial"/>
                <w:b/>
                <w:bCs/>
                <w:sz w:val="22"/>
                <w:szCs w:val="22"/>
              </w:rPr>
              <w:t>Other</w:t>
            </w:r>
          </w:p>
        </w:tc>
      </w:tr>
      <w:tr w:rsidR="00AC1720" w:rsidRPr="00E4265B" w14:paraId="4825C6B9" w14:textId="77777777" w:rsidTr="00F32BCA">
        <w:tc>
          <w:tcPr>
            <w:tcW w:w="3240" w:type="dxa"/>
            <w:tcBorders>
              <w:top w:val="single" w:sz="4" w:space="0" w:color="auto"/>
              <w:bottom w:val="single" w:sz="4" w:space="0" w:color="auto"/>
            </w:tcBorders>
            <w:vAlign w:val="center"/>
          </w:tcPr>
          <w:p w14:paraId="062BDE45" w14:textId="77777777" w:rsidR="00AC1720" w:rsidRPr="00E4265B" w:rsidRDefault="00AC1720" w:rsidP="00AC1720">
            <w:pPr>
              <w:jc w:val="center"/>
              <w:rPr>
                <w:rFonts w:ascii="Arial" w:hAnsi="Arial" w:cs="Arial"/>
                <w:sz w:val="22"/>
                <w:szCs w:val="22"/>
              </w:rPr>
            </w:pPr>
            <w:r w:rsidRPr="00E4265B">
              <w:rPr>
                <w:rFonts w:ascii="Arial" w:hAnsi="Arial" w:cs="Arial"/>
                <w:sz w:val="22"/>
                <w:szCs w:val="22"/>
              </w:rPr>
              <w:t>I</w:t>
            </w:r>
          </w:p>
        </w:tc>
        <w:tc>
          <w:tcPr>
            <w:tcW w:w="2430" w:type="dxa"/>
            <w:tcBorders>
              <w:top w:val="single" w:sz="4" w:space="0" w:color="auto"/>
              <w:bottom w:val="single" w:sz="4" w:space="0" w:color="auto"/>
            </w:tcBorders>
            <w:vAlign w:val="center"/>
          </w:tcPr>
          <w:p w14:paraId="5BFAA467" w14:textId="77777777" w:rsidR="00AC1720" w:rsidRPr="00E4265B" w:rsidRDefault="00AC1720" w:rsidP="00AC1720">
            <w:pPr>
              <w:ind w:right="135"/>
              <w:jc w:val="right"/>
              <w:rPr>
                <w:rFonts w:ascii="Arial" w:hAnsi="Arial" w:cs="Arial"/>
                <w:sz w:val="22"/>
                <w:szCs w:val="22"/>
              </w:rPr>
            </w:pPr>
            <w:r w:rsidRPr="00E4265B">
              <w:rPr>
                <w:rFonts w:ascii="Arial" w:hAnsi="Arial" w:cs="Arial"/>
                <w:sz w:val="22"/>
                <w:szCs w:val="22"/>
              </w:rPr>
              <w:t>0.5</w:t>
            </w:r>
          </w:p>
        </w:tc>
        <w:tc>
          <w:tcPr>
            <w:tcW w:w="2340" w:type="dxa"/>
            <w:tcBorders>
              <w:top w:val="single" w:sz="4" w:space="0" w:color="auto"/>
              <w:bottom w:val="single" w:sz="4" w:space="0" w:color="auto"/>
            </w:tcBorders>
            <w:vAlign w:val="center"/>
          </w:tcPr>
          <w:p w14:paraId="3981EB1F" w14:textId="77777777" w:rsidR="00AC1720" w:rsidRPr="00E4265B" w:rsidRDefault="00AC1720" w:rsidP="004917B1">
            <w:pPr>
              <w:ind w:right="252"/>
              <w:jc w:val="right"/>
              <w:rPr>
                <w:rFonts w:ascii="Arial" w:hAnsi="Arial" w:cs="Arial"/>
                <w:sz w:val="22"/>
                <w:szCs w:val="22"/>
              </w:rPr>
            </w:pPr>
            <w:r w:rsidRPr="00E4265B">
              <w:rPr>
                <w:rFonts w:ascii="Arial" w:hAnsi="Arial" w:cs="Arial"/>
                <w:sz w:val="22"/>
                <w:szCs w:val="22"/>
              </w:rPr>
              <w:t>1</w:t>
            </w:r>
          </w:p>
        </w:tc>
      </w:tr>
      <w:tr w:rsidR="00AC1720" w:rsidRPr="00E4265B" w14:paraId="6FD77CAA" w14:textId="77777777" w:rsidTr="00F32BCA">
        <w:tc>
          <w:tcPr>
            <w:tcW w:w="3240" w:type="dxa"/>
            <w:tcBorders>
              <w:top w:val="single" w:sz="4" w:space="0" w:color="auto"/>
            </w:tcBorders>
            <w:vAlign w:val="center"/>
          </w:tcPr>
          <w:p w14:paraId="6C458577" w14:textId="77777777" w:rsidR="00AC1720" w:rsidRPr="00E4265B" w:rsidRDefault="00AC1720" w:rsidP="00AC1720">
            <w:pPr>
              <w:jc w:val="center"/>
              <w:rPr>
                <w:rFonts w:ascii="Arial" w:hAnsi="Arial" w:cs="Arial"/>
                <w:sz w:val="22"/>
                <w:szCs w:val="22"/>
              </w:rPr>
            </w:pPr>
            <w:r w:rsidRPr="00E4265B">
              <w:rPr>
                <w:rFonts w:ascii="Arial" w:hAnsi="Arial" w:cs="Arial"/>
                <w:sz w:val="22"/>
                <w:szCs w:val="22"/>
              </w:rPr>
              <w:t>II or III,</w:t>
            </w:r>
            <w:r w:rsidRPr="00E4265B">
              <w:rPr>
                <w:rFonts w:ascii="Arial" w:hAnsi="Arial" w:cs="Arial"/>
                <w:sz w:val="22"/>
                <w:szCs w:val="22"/>
              </w:rPr>
              <w:br/>
              <w:t>and unrated bank securities as defined in Rule 4.13.5(d)</w:t>
            </w:r>
          </w:p>
        </w:tc>
        <w:tc>
          <w:tcPr>
            <w:tcW w:w="2430" w:type="dxa"/>
            <w:tcBorders>
              <w:top w:val="single" w:sz="4" w:space="0" w:color="auto"/>
            </w:tcBorders>
            <w:vAlign w:val="center"/>
          </w:tcPr>
          <w:p w14:paraId="421E1367" w14:textId="77777777" w:rsidR="00AC1720" w:rsidRPr="00E4265B" w:rsidRDefault="00AC1720" w:rsidP="00AC1720">
            <w:pPr>
              <w:ind w:right="135"/>
              <w:jc w:val="right"/>
              <w:rPr>
                <w:rFonts w:ascii="Arial" w:hAnsi="Arial" w:cs="Arial"/>
                <w:sz w:val="22"/>
                <w:szCs w:val="22"/>
              </w:rPr>
            </w:pPr>
            <w:r w:rsidRPr="00E4265B">
              <w:rPr>
                <w:rFonts w:ascii="Arial" w:hAnsi="Arial" w:cs="Arial"/>
                <w:sz w:val="22"/>
                <w:szCs w:val="22"/>
              </w:rPr>
              <w:t>1</w:t>
            </w:r>
          </w:p>
        </w:tc>
        <w:tc>
          <w:tcPr>
            <w:tcW w:w="2340" w:type="dxa"/>
            <w:tcBorders>
              <w:top w:val="single" w:sz="4" w:space="0" w:color="auto"/>
            </w:tcBorders>
            <w:vAlign w:val="center"/>
          </w:tcPr>
          <w:p w14:paraId="16DB22EC" w14:textId="77777777" w:rsidR="00AC1720" w:rsidRPr="00E4265B" w:rsidRDefault="00AC1720" w:rsidP="004917B1">
            <w:pPr>
              <w:ind w:right="252"/>
              <w:jc w:val="right"/>
              <w:rPr>
                <w:rFonts w:ascii="Arial" w:hAnsi="Arial" w:cs="Arial"/>
                <w:sz w:val="22"/>
                <w:szCs w:val="22"/>
              </w:rPr>
            </w:pPr>
            <w:r w:rsidRPr="00E4265B">
              <w:rPr>
                <w:rFonts w:ascii="Arial" w:hAnsi="Arial" w:cs="Arial"/>
                <w:sz w:val="22"/>
                <w:szCs w:val="22"/>
              </w:rPr>
              <w:t>2</w:t>
            </w:r>
          </w:p>
        </w:tc>
      </w:tr>
    </w:tbl>
    <w:p w14:paraId="38D68A28" w14:textId="77777777" w:rsidR="00AC1720" w:rsidRPr="00E4265B" w:rsidRDefault="00AC1720" w:rsidP="00AC1720">
      <w:pPr>
        <w:rPr>
          <w:rFonts w:ascii="Arial" w:hAnsi="Arial" w:cs="Arial"/>
          <w:sz w:val="22"/>
          <w:szCs w:val="22"/>
        </w:rPr>
      </w:pPr>
    </w:p>
    <w:tbl>
      <w:tblPr>
        <w:tblStyle w:val="TableGrid"/>
        <w:tblW w:w="8010" w:type="dxa"/>
        <w:tblInd w:w="1098" w:type="dxa"/>
        <w:tblLook w:val="04A0" w:firstRow="1" w:lastRow="0" w:firstColumn="1" w:lastColumn="0" w:noHBand="0" w:noVBand="1"/>
      </w:tblPr>
      <w:tblGrid>
        <w:gridCol w:w="5670"/>
        <w:gridCol w:w="2340"/>
      </w:tblGrid>
      <w:tr w:rsidR="00AC1720" w:rsidRPr="00E4265B" w14:paraId="23BFFEA7" w14:textId="77777777" w:rsidTr="00AC1720">
        <w:trPr>
          <w:trHeight w:val="742"/>
        </w:trPr>
        <w:tc>
          <w:tcPr>
            <w:tcW w:w="5670" w:type="dxa"/>
            <w:shd w:val="clear" w:color="auto" w:fill="D9D9D9" w:themeFill="background1" w:themeFillShade="D9"/>
          </w:tcPr>
          <w:p w14:paraId="197EF8E0" w14:textId="77777777" w:rsidR="00AC1720" w:rsidRPr="00E4265B" w:rsidRDefault="00AC1720" w:rsidP="00AC1720">
            <w:pPr>
              <w:jc w:val="center"/>
              <w:rPr>
                <w:rFonts w:ascii="Arial" w:hAnsi="Arial" w:cs="Arial"/>
                <w:b/>
                <w:bCs/>
                <w:sz w:val="22"/>
                <w:szCs w:val="22"/>
              </w:rPr>
            </w:pPr>
            <w:r w:rsidRPr="00E4265B">
              <w:rPr>
                <w:rFonts w:ascii="Arial" w:hAnsi="Arial" w:cs="Arial"/>
                <w:b/>
                <w:bCs/>
                <w:sz w:val="22"/>
                <w:szCs w:val="22"/>
              </w:rPr>
              <w:t>Other collateral or exposure type</w:t>
            </w:r>
          </w:p>
        </w:tc>
        <w:tc>
          <w:tcPr>
            <w:tcW w:w="2340" w:type="dxa"/>
            <w:shd w:val="clear" w:color="auto" w:fill="D9D9D9" w:themeFill="background1" w:themeFillShade="D9"/>
          </w:tcPr>
          <w:p w14:paraId="371E62C5" w14:textId="77777777" w:rsidR="00AC1720" w:rsidRPr="00E4265B" w:rsidRDefault="00AC1720" w:rsidP="00AC1720">
            <w:pPr>
              <w:jc w:val="center"/>
              <w:rPr>
                <w:rFonts w:ascii="Arial" w:hAnsi="Arial" w:cs="Arial"/>
                <w:b/>
                <w:bCs/>
                <w:sz w:val="22"/>
                <w:szCs w:val="22"/>
              </w:rPr>
            </w:pPr>
            <w:r w:rsidRPr="00E4265B">
              <w:rPr>
                <w:rFonts w:ascii="Arial" w:hAnsi="Arial" w:cs="Arial"/>
                <w:b/>
                <w:bCs/>
                <w:sz w:val="22"/>
                <w:szCs w:val="22"/>
              </w:rPr>
              <w:t>Standard Supervisory Haircut (%)</w:t>
            </w:r>
          </w:p>
        </w:tc>
      </w:tr>
      <w:tr w:rsidR="00AC1720" w:rsidRPr="00E4265B" w14:paraId="5B5C48D3" w14:textId="77777777" w:rsidTr="003732F6">
        <w:tc>
          <w:tcPr>
            <w:tcW w:w="5670" w:type="dxa"/>
            <w:vAlign w:val="center"/>
          </w:tcPr>
          <w:p w14:paraId="17991367" w14:textId="77777777" w:rsidR="00AC1720" w:rsidRPr="00E4265B" w:rsidRDefault="00AC1720" w:rsidP="00AC1720">
            <w:pPr>
              <w:rPr>
                <w:rFonts w:ascii="Arial" w:hAnsi="Arial" w:cs="Arial"/>
                <w:sz w:val="22"/>
                <w:szCs w:val="22"/>
              </w:rPr>
            </w:pPr>
            <w:r w:rsidRPr="00E4265B">
              <w:rPr>
                <w:rFonts w:ascii="Arial" w:hAnsi="Arial" w:cs="Arial"/>
                <w:sz w:val="22"/>
                <w:szCs w:val="22"/>
              </w:rPr>
              <w:t>Gold</w:t>
            </w:r>
          </w:p>
        </w:tc>
        <w:tc>
          <w:tcPr>
            <w:tcW w:w="2340" w:type="dxa"/>
            <w:vAlign w:val="center"/>
          </w:tcPr>
          <w:p w14:paraId="668A1BE0" w14:textId="77777777" w:rsidR="00AC1720" w:rsidRPr="00E4265B" w:rsidRDefault="00AC1720" w:rsidP="004917B1">
            <w:pPr>
              <w:ind w:right="252"/>
              <w:jc w:val="right"/>
              <w:rPr>
                <w:rFonts w:ascii="Arial" w:hAnsi="Arial" w:cs="Arial"/>
                <w:sz w:val="22"/>
                <w:szCs w:val="22"/>
              </w:rPr>
            </w:pPr>
            <w:r w:rsidRPr="00E4265B">
              <w:rPr>
                <w:rFonts w:ascii="Arial" w:hAnsi="Arial" w:cs="Arial"/>
                <w:sz w:val="22"/>
                <w:szCs w:val="22"/>
              </w:rPr>
              <w:t>15</w:t>
            </w:r>
          </w:p>
        </w:tc>
      </w:tr>
      <w:tr w:rsidR="00AC1720" w:rsidRPr="00E4265B" w14:paraId="3EEB6E37" w14:textId="77777777" w:rsidTr="003732F6">
        <w:tc>
          <w:tcPr>
            <w:tcW w:w="5670" w:type="dxa"/>
            <w:vAlign w:val="center"/>
          </w:tcPr>
          <w:p w14:paraId="7E62A86E" w14:textId="77777777" w:rsidR="00AC1720" w:rsidRPr="00E4265B" w:rsidRDefault="00AC1720" w:rsidP="00AC1720">
            <w:pPr>
              <w:rPr>
                <w:rFonts w:ascii="Arial" w:hAnsi="Arial" w:cs="Arial"/>
                <w:sz w:val="22"/>
                <w:szCs w:val="22"/>
              </w:rPr>
            </w:pPr>
            <w:r w:rsidRPr="00E4265B">
              <w:rPr>
                <w:rFonts w:ascii="Arial" w:hAnsi="Arial" w:cs="Arial"/>
                <w:sz w:val="22"/>
                <w:szCs w:val="22"/>
              </w:rPr>
              <w:t>Any equity (including a convertible bond) included in a main index</w:t>
            </w:r>
          </w:p>
        </w:tc>
        <w:tc>
          <w:tcPr>
            <w:tcW w:w="2340" w:type="dxa"/>
            <w:vAlign w:val="center"/>
          </w:tcPr>
          <w:p w14:paraId="29E485BD" w14:textId="77777777" w:rsidR="00AC1720" w:rsidRPr="00E4265B" w:rsidRDefault="00AC1720" w:rsidP="004917B1">
            <w:pPr>
              <w:ind w:right="252"/>
              <w:jc w:val="right"/>
              <w:rPr>
                <w:rFonts w:ascii="Arial" w:hAnsi="Arial" w:cs="Arial"/>
                <w:sz w:val="22"/>
                <w:szCs w:val="22"/>
              </w:rPr>
            </w:pPr>
            <w:r w:rsidRPr="00E4265B">
              <w:rPr>
                <w:rFonts w:ascii="Arial" w:hAnsi="Arial" w:cs="Arial"/>
                <w:sz w:val="22"/>
                <w:szCs w:val="22"/>
              </w:rPr>
              <w:t>15</w:t>
            </w:r>
          </w:p>
        </w:tc>
      </w:tr>
      <w:tr w:rsidR="00AC1720" w:rsidRPr="00E4265B" w14:paraId="5A82C5BC" w14:textId="77777777" w:rsidTr="003732F6">
        <w:tc>
          <w:tcPr>
            <w:tcW w:w="5670" w:type="dxa"/>
            <w:vAlign w:val="center"/>
          </w:tcPr>
          <w:p w14:paraId="68F0038D" w14:textId="77777777" w:rsidR="00AC1720" w:rsidRPr="00E4265B" w:rsidRDefault="00AC1720" w:rsidP="00AC1720">
            <w:pPr>
              <w:rPr>
                <w:rFonts w:ascii="Arial" w:hAnsi="Arial" w:cs="Arial"/>
                <w:sz w:val="22"/>
                <w:szCs w:val="22"/>
              </w:rPr>
            </w:pPr>
            <w:r w:rsidRPr="00E4265B">
              <w:rPr>
                <w:rFonts w:ascii="Arial" w:hAnsi="Arial" w:cs="Arial"/>
                <w:sz w:val="22"/>
                <w:szCs w:val="22"/>
              </w:rPr>
              <w:t>Any equity (including a convertible bond) traded on a regulated exchange</w:t>
            </w:r>
          </w:p>
        </w:tc>
        <w:tc>
          <w:tcPr>
            <w:tcW w:w="2340" w:type="dxa"/>
            <w:vAlign w:val="center"/>
          </w:tcPr>
          <w:p w14:paraId="5AC534AD" w14:textId="77777777" w:rsidR="00AC1720" w:rsidRPr="00E4265B" w:rsidRDefault="00AC1720" w:rsidP="004917B1">
            <w:pPr>
              <w:ind w:right="252"/>
              <w:jc w:val="right"/>
              <w:rPr>
                <w:rFonts w:ascii="Arial" w:hAnsi="Arial" w:cs="Arial"/>
                <w:sz w:val="22"/>
                <w:szCs w:val="22"/>
              </w:rPr>
            </w:pPr>
            <w:r w:rsidRPr="00E4265B">
              <w:rPr>
                <w:rFonts w:ascii="Arial" w:hAnsi="Arial" w:cs="Arial"/>
                <w:sz w:val="22"/>
                <w:szCs w:val="22"/>
              </w:rPr>
              <w:t>25</w:t>
            </w:r>
          </w:p>
        </w:tc>
      </w:tr>
      <w:tr w:rsidR="00AC1720" w:rsidRPr="00E4265B" w14:paraId="45C12A3C" w14:textId="77777777" w:rsidTr="003732F6">
        <w:tc>
          <w:tcPr>
            <w:tcW w:w="5670" w:type="dxa"/>
            <w:vAlign w:val="center"/>
          </w:tcPr>
          <w:p w14:paraId="65E8A4EC" w14:textId="77777777" w:rsidR="00AC1720" w:rsidRPr="00E4265B" w:rsidRDefault="00AC1720" w:rsidP="00AC1720">
            <w:pPr>
              <w:rPr>
                <w:rFonts w:ascii="Arial" w:hAnsi="Arial" w:cs="Arial"/>
                <w:sz w:val="22"/>
                <w:szCs w:val="22"/>
              </w:rPr>
            </w:pPr>
            <w:r w:rsidRPr="00E4265B">
              <w:rPr>
                <w:rFonts w:ascii="Arial" w:hAnsi="Arial" w:cs="Arial"/>
                <w:sz w:val="22"/>
                <w:szCs w:val="22"/>
              </w:rPr>
              <w:t>Any unit in a Collective Investment Fund</w:t>
            </w:r>
          </w:p>
        </w:tc>
        <w:tc>
          <w:tcPr>
            <w:tcW w:w="2340" w:type="dxa"/>
            <w:vAlign w:val="center"/>
          </w:tcPr>
          <w:p w14:paraId="290BD398" w14:textId="77777777" w:rsidR="00AC1720" w:rsidRPr="00E4265B" w:rsidRDefault="00AC1720" w:rsidP="004917B1">
            <w:pPr>
              <w:ind w:right="252"/>
              <w:rPr>
                <w:rFonts w:ascii="Arial" w:hAnsi="Arial" w:cs="Arial"/>
                <w:sz w:val="22"/>
                <w:szCs w:val="22"/>
              </w:rPr>
            </w:pPr>
            <w:r w:rsidRPr="00E4265B">
              <w:rPr>
                <w:rFonts w:ascii="Arial" w:hAnsi="Arial" w:cs="Arial"/>
                <w:sz w:val="22"/>
                <w:szCs w:val="22"/>
              </w:rPr>
              <w:t>Highest haircut applicable to any Security in which the Fund can invest</w:t>
            </w:r>
          </w:p>
        </w:tc>
      </w:tr>
      <w:tr w:rsidR="00AC1720" w:rsidRPr="00E4265B" w14:paraId="2AF7AB32" w14:textId="77777777" w:rsidTr="003732F6">
        <w:tc>
          <w:tcPr>
            <w:tcW w:w="5670" w:type="dxa"/>
            <w:vAlign w:val="center"/>
          </w:tcPr>
          <w:p w14:paraId="1E7E2C98" w14:textId="77777777" w:rsidR="00AC1720" w:rsidRPr="00E4265B" w:rsidRDefault="00AC1720" w:rsidP="00AC1720">
            <w:pPr>
              <w:rPr>
                <w:rFonts w:ascii="Arial" w:hAnsi="Arial" w:cs="Arial"/>
                <w:sz w:val="22"/>
                <w:szCs w:val="22"/>
              </w:rPr>
            </w:pPr>
            <w:r w:rsidRPr="00E4265B">
              <w:rPr>
                <w:rFonts w:ascii="Arial" w:hAnsi="Arial" w:cs="Arial"/>
                <w:sz w:val="22"/>
                <w:szCs w:val="22"/>
              </w:rPr>
              <w:t>Cash in the same currency as the underlying exposure</w:t>
            </w:r>
          </w:p>
        </w:tc>
        <w:tc>
          <w:tcPr>
            <w:tcW w:w="2340" w:type="dxa"/>
            <w:vAlign w:val="center"/>
          </w:tcPr>
          <w:p w14:paraId="6981932A" w14:textId="77777777" w:rsidR="00AC1720" w:rsidRPr="00E4265B" w:rsidRDefault="00AC1720" w:rsidP="004917B1">
            <w:pPr>
              <w:ind w:right="252"/>
              <w:jc w:val="right"/>
              <w:rPr>
                <w:rFonts w:ascii="Arial" w:hAnsi="Arial" w:cs="Arial"/>
                <w:sz w:val="22"/>
                <w:szCs w:val="22"/>
              </w:rPr>
            </w:pPr>
            <w:r w:rsidRPr="00E4265B">
              <w:rPr>
                <w:rFonts w:ascii="Arial" w:hAnsi="Arial" w:cs="Arial"/>
                <w:sz w:val="22"/>
                <w:szCs w:val="22"/>
              </w:rPr>
              <w:t>0</w:t>
            </w:r>
          </w:p>
        </w:tc>
      </w:tr>
      <w:tr w:rsidR="00AC1720" w:rsidRPr="00E4265B" w14:paraId="0FC7843D" w14:textId="77777777" w:rsidTr="003732F6">
        <w:tc>
          <w:tcPr>
            <w:tcW w:w="5670" w:type="dxa"/>
            <w:vAlign w:val="center"/>
          </w:tcPr>
          <w:p w14:paraId="7A6F5715" w14:textId="77777777" w:rsidR="00AC1720" w:rsidRPr="00E4265B" w:rsidRDefault="00AC1720" w:rsidP="00AC1720">
            <w:pPr>
              <w:rPr>
                <w:rFonts w:ascii="Arial" w:hAnsi="Arial" w:cs="Arial"/>
                <w:sz w:val="22"/>
                <w:szCs w:val="22"/>
              </w:rPr>
            </w:pPr>
            <w:r w:rsidRPr="00E4265B">
              <w:rPr>
                <w:rFonts w:ascii="Arial" w:hAnsi="Arial" w:cs="Arial"/>
                <w:sz w:val="22"/>
                <w:szCs w:val="22"/>
                <w:lang w:val="en-GB"/>
              </w:rPr>
              <w:t>Instruments in the Trading Book other than those listed (for pre-settlement Counterparty Exposures arising from SFTs included in the Trading Book).</w:t>
            </w:r>
          </w:p>
        </w:tc>
        <w:tc>
          <w:tcPr>
            <w:tcW w:w="2340" w:type="dxa"/>
            <w:vAlign w:val="center"/>
          </w:tcPr>
          <w:p w14:paraId="1C6CAA21" w14:textId="77777777" w:rsidR="00AC1720" w:rsidRPr="00E4265B" w:rsidRDefault="00AC1720" w:rsidP="004917B1">
            <w:pPr>
              <w:ind w:right="252"/>
              <w:jc w:val="right"/>
              <w:rPr>
                <w:rFonts w:ascii="Arial" w:hAnsi="Arial" w:cs="Arial"/>
                <w:sz w:val="22"/>
                <w:szCs w:val="22"/>
              </w:rPr>
            </w:pPr>
            <w:r w:rsidRPr="00E4265B">
              <w:rPr>
                <w:rFonts w:ascii="Arial" w:hAnsi="Arial" w:cs="Arial"/>
                <w:sz w:val="22"/>
                <w:szCs w:val="22"/>
              </w:rPr>
              <w:t>25</w:t>
            </w:r>
          </w:p>
        </w:tc>
      </w:tr>
    </w:tbl>
    <w:p w14:paraId="2EFC4848" w14:textId="77777777" w:rsidR="001C0082" w:rsidRPr="00E4265B" w:rsidRDefault="001C0082" w:rsidP="00A56816">
      <w:pPr>
        <w:rPr>
          <w:rFonts w:ascii="Arial" w:hAnsi="Arial" w:cs="Arial"/>
          <w:sz w:val="22"/>
          <w:szCs w:val="22"/>
          <w:lang w:val="en-GB"/>
        </w:rPr>
      </w:pPr>
    </w:p>
    <w:p w14:paraId="63C75F30" w14:textId="77777777" w:rsidR="00E22FF2" w:rsidRPr="00E4265B" w:rsidRDefault="00E22FF2" w:rsidP="00742AC6">
      <w:pPr>
        <w:pStyle w:val="TitleL5"/>
        <w:rPr>
          <w:rFonts w:ascii="Arial" w:hAnsi="Arial" w:cs="Arial"/>
          <w:sz w:val="22"/>
          <w:szCs w:val="22"/>
          <w:lang w:val="en-GB"/>
        </w:rPr>
      </w:pPr>
      <w:r w:rsidRPr="00E4265B">
        <w:rPr>
          <w:rFonts w:ascii="Arial" w:hAnsi="Arial" w:cs="Arial"/>
          <w:sz w:val="22"/>
          <w:szCs w:val="22"/>
          <w:lang w:val="en-GB"/>
        </w:rPr>
        <w:t>Guidance</w:t>
      </w:r>
    </w:p>
    <w:p w14:paraId="1F08B5AE" w14:textId="29070C61" w:rsidR="004917B1" w:rsidRPr="00E4265B" w:rsidRDefault="004917B1" w:rsidP="0019712D">
      <w:pPr>
        <w:pStyle w:val="1List"/>
        <w:numPr>
          <w:ilvl w:val="0"/>
          <w:numId w:val="73"/>
        </w:numPr>
        <w:rPr>
          <w:rFonts w:ascii="Arial" w:hAnsi="Arial" w:cs="Arial"/>
          <w:sz w:val="22"/>
          <w:szCs w:val="22"/>
          <w:lang w:val="en-GB"/>
        </w:rPr>
      </w:pPr>
      <w:r w:rsidRPr="00E4265B">
        <w:rPr>
          <w:rFonts w:ascii="Arial" w:hAnsi="Arial" w:cs="Arial"/>
          <w:sz w:val="22"/>
          <w:szCs w:val="22"/>
          <w:lang w:val="en-GB"/>
        </w:rPr>
        <w:t>The Credit Quality Grade for a debt security is that associated specifically with that debt security issue.</w:t>
      </w:r>
    </w:p>
    <w:p w14:paraId="729BB011" w14:textId="2C2EA68F" w:rsidR="00E22FF2" w:rsidRPr="00E4265B" w:rsidRDefault="00E22FF2" w:rsidP="0019712D">
      <w:pPr>
        <w:pStyle w:val="1List"/>
        <w:numPr>
          <w:ilvl w:val="0"/>
          <w:numId w:val="73"/>
        </w:numPr>
        <w:rPr>
          <w:rFonts w:ascii="Arial" w:hAnsi="Arial" w:cs="Arial"/>
          <w:sz w:val="22"/>
          <w:szCs w:val="22"/>
          <w:lang w:val="en-GB"/>
        </w:rPr>
      </w:pPr>
      <w:r w:rsidRPr="00E4265B">
        <w:rPr>
          <w:rFonts w:ascii="Arial" w:hAnsi="Arial" w:cs="Arial"/>
          <w:sz w:val="22"/>
          <w:szCs w:val="22"/>
          <w:lang w:val="en-GB"/>
        </w:rPr>
        <w:t>PSEs and MDBs should be treated as equivalent to central governments for the purpose of this table.</w:t>
      </w:r>
    </w:p>
    <w:p w14:paraId="59BE7123" w14:textId="428CE9CE"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A4.3.14</w:t>
      </w:r>
      <w:r w:rsidRPr="00E4265B">
        <w:rPr>
          <w:rFonts w:ascii="Arial" w:hAnsi="Arial" w:cs="Arial"/>
          <w:b/>
          <w:bCs/>
          <w:sz w:val="22"/>
          <w:szCs w:val="22"/>
          <w:lang w:val="en-GB"/>
        </w:rPr>
        <w:tab/>
      </w:r>
      <w:r w:rsidRPr="00E4265B">
        <w:rPr>
          <w:rFonts w:ascii="Arial" w:hAnsi="Arial" w:cs="Arial"/>
          <w:sz w:val="22"/>
          <w:szCs w:val="22"/>
          <w:lang w:val="en-GB"/>
        </w:rPr>
        <w:t xml:space="preserve">The standard supervisory haircut, </w:t>
      </w:r>
      <w:r w:rsidRPr="00E4265B">
        <w:rPr>
          <w:rFonts w:ascii="Arial" w:hAnsi="Arial" w:cs="Arial"/>
          <w:i/>
          <w:iCs/>
          <w:sz w:val="22"/>
          <w:szCs w:val="22"/>
          <w:lang w:val="en-GB"/>
        </w:rPr>
        <w:t>H</w:t>
      </w:r>
      <w:r w:rsidRPr="00E4265B">
        <w:rPr>
          <w:rFonts w:ascii="Arial" w:hAnsi="Arial" w:cs="Arial"/>
          <w:i/>
          <w:iCs/>
          <w:sz w:val="22"/>
          <w:szCs w:val="22"/>
          <w:vertAlign w:val="subscript"/>
          <w:lang w:val="en-GB"/>
        </w:rPr>
        <w:t>E</w:t>
      </w:r>
      <w:r w:rsidRPr="00E4265B">
        <w:rPr>
          <w:rFonts w:ascii="Arial" w:hAnsi="Arial" w:cs="Arial"/>
          <w:sz w:val="22"/>
          <w:szCs w:val="22"/>
          <w:lang w:val="en-GB"/>
        </w:rPr>
        <w:t xml:space="preserve">, for transactions in which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lends instruments that do not qualify as eligible financial Collateral (e.g. corporate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with a Credit Qu</w:t>
      </w:r>
      <w:r w:rsidR="004917B1" w:rsidRPr="00E4265B">
        <w:rPr>
          <w:rFonts w:ascii="Arial" w:hAnsi="Arial" w:cs="Arial"/>
          <w:sz w:val="22"/>
          <w:szCs w:val="22"/>
          <w:lang w:val="en-GB"/>
        </w:rPr>
        <w:t xml:space="preserve">ality Grade of 4 or worse) is </w:t>
      </w:r>
      <w:r w:rsidRPr="00E4265B">
        <w:rPr>
          <w:rFonts w:ascii="Arial" w:hAnsi="Arial" w:cs="Arial"/>
          <w:sz w:val="22"/>
          <w:szCs w:val="22"/>
          <w:lang w:val="en-GB"/>
        </w:rPr>
        <w:t>25</w:t>
      </w:r>
      <w:r w:rsidR="004917B1" w:rsidRPr="00E4265B">
        <w:rPr>
          <w:rFonts w:ascii="Arial" w:hAnsi="Arial" w:cs="Arial"/>
          <w:sz w:val="22"/>
          <w:szCs w:val="22"/>
          <w:lang w:val="en-GB"/>
        </w:rPr>
        <w:t>%</w:t>
      </w:r>
      <w:r w:rsidRPr="00E4265B">
        <w:rPr>
          <w:rFonts w:ascii="Arial" w:hAnsi="Arial" w:cs="Arial"/>
          <w:sz w:val="22"/>
          <w:szCs w:val="22"/>
          <w:lang w:val="en-GB"/>
        </w:rPr>
        <w:t>.</w:t>
      </w:r>
    </w:p>
    <w:p w14:paraId="7A073A61" w14:textId="6F49C4F2" w:rsidR="00E22FF2" w:rsidRPr="00E4265B" w:rsidRDefault="00E22FF2" w:rsidP="004917B1">
      <w:pPr>
        <w:pStyle w:val="A1List"/>
        <w:rPr>
          <w:rFonts w:ascii="Arial" w:hAnsi="Arial" w:cs="Arial"/>
          <w:sz w:val="22"/>
          <w:szCs w:val="22"/>
          <w:lang w:val="en-GB"/>
        </w:rPr>
      </w:pPr>
      <w:r w:rsidRPr="00E4265B">
        <w:rPr>
          <w:rFonts w:ascii="Arial" w:hAnsi="Arial" w:cs="Arial"/>
          <w:b/>
          <w:bCs/>
          <w:sz w:val="22"/>
          <w:szCs w:val="22"/>
          <w:lang w:val="en-GB"/>
        </w:rPr>
        <w:t>A4.3.15</w:t>
      </w:r>
      <w:r w:rsidRPr="00E4265B">
        <w:rPr>
          <w:rFonts w:ascii="Arial" w:hAnsi="Arial" w:cs="Arial"/>
          <w:b/>
          <w:bCs/>
          <w:sz w:val="22"/>
          <w:szCs w:val="22"/>
          <w:lang w:val="en-GB"/>
        </w:rPr>
        <w:tab/>
      </w:r>
      <w:r w:rsidRPr="00E4265B">
        <w:rPr>
          <w:rFonts w:ascii="Arial" w:hAnsi="Arial" w:cs="Arial"/>
          <w:sz w:val="22"/>
          <w:szCs w:val="22"/>
          <w:lang w:val="en-GB"/>
        </w:rPr>
        <w:t xml:space="preserve">The standard supervisory haircut, </w:t>
      </w:r>
      <w:r w:rsidRPr="00E4265B">
        <w:rPr>
          <w:rFonts w:ascii="Arial" w:hAnsi="Arial" w:cs="Arial"/>
          <w:i/>
          <w:iCs/>
          <w:sz w:val="22"/>
          <w:szCs w:val="22"/>
          <w:lang w:val="en-GB"/>
        </w:rPr>
        <w:t>H</w:t>
      </w:r>
      <w:r w:rsidRPr="00E4265B">
        <w:rPr>
          <w:rFonts w:ascii="Arial" w:hAnsi="Arial" w:cs="Arial"/>
          <w:i/>
          <w:iCs/>
          <w:sz w:val="22"/>
          <w:szCs w:val="22"/>
          <w:vertAlign w:val="subscript"/>
          <w:lang w:val="en-GB"/>
        </w:rPr>
        <w:t>FX</w:t>
      </w:r>
      <w:r w:rsidRPr="00E4265B">
        <w:rPr>
          <w:rFonts w:ascii="Arial" w:hAnsi="Arial" w:cs="Arial"/>
          <w:sz w:val="22"/>
          <w:szCs w:val="22"/>
          <w:lang w:val="en-GB"/>
        </w:rPr>
        <w:t>, for currency mismatch where Exposure and Collateral are denominated in different currencies based on a ten</w:t>
      </w:r>
      <w:r w:rsidRPr="00E4265B">
        <w:rPr>
          <w:rFonts w:ascii="Arial" w:hAnsi="Arial" w:cs="Arial"/>
          <w:sz w:val="22"/>
          <w:szCs w:val="22"/>
          <w:lang w:val="en-GB"/>
        </w:rPr>
        <w:noBreakHyphen/>
        <w:t>business day holding period and daily revaluation is 8</w:t>
      </w:r>
      <w:r w:rsidR="004917B1" w:rsidRPr="00E4265B">
        <w:rPr>
          <w:rFonts w:ascii="Arial" w:hAnsi="Arial" w:cs="Arial"/>
          <w:sz w:val="22"/>
          <w:szCs w:val="22"/>
          <w:lang w:val="en-GB"/>
        </w:rPr>
        <w:t>%</w:t>
      </w:r>
      <w:r w:rsidRPr="00E4265B">
        <w:rPr>
          <w:rFonts w:ascii="Arial" w:hAnsi="Arial" w:cs="Arial"/>
          <w:sz w:val="22"/>
          <w:szCs w:val="22"/>
          <w:lang w:val="en-GB"/>
        </w:rPr>
        <w:t>.</w:t>
      </w:r>
    </w:p>
    <w:p w14:paraId="0257A64F"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A4.3.16</w:t>
      </w:r>
      <w:r w:rsidRPr="00E4265B">
        <w:rPr>
          <w:rFonts w:ascii="Arial" w:hAnsi="Arial" w:cs="Arial"/>
          <w:b/>
          <w:bCs/>
          <w:sz w:val="22"/>
          <w:szCs w:val="22"/>
          <w:lang w:val="en-GB"/>
        </w:rPr>
        <w:tab/>
      </w:r>
      <w:r w:rsidRPr="00E4265B">
        <w:rPr>
          <w:rFonts w:ascii="Arial" w:hAnsi="Arial" w:cs="Arial"/>
          <w:sz w:val="22"/>
          <w:szCs w:val="22"/>
          <w:lang w:val="en-GB"/>
        </w:rPr>
        <w:t xml:space="preserve">Where the minimum holding period, frequency of remargining or revaluation assumptions set out for eligible financial Collateral in Rule A4.3.13 differ from those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adjust </w:t>
      </w:r>
      <w:r w:rsidRPr="00E4265B">
        <w:rPr>
          <w:rFonts w:ascii="Arial" w:hAnsi="Arial" w:cs="Arial"/>
          <w:i/>
          <w:iCs/>
          <w:sz w:val="22"/>
          <w:szCs w:val="22"/>
          <w:lang w:val="en-GB"/>
        </w:rPr>
        <w:t>H</w:t>
      </w:r>
      <w:r w:rsidRPr="00E4265B">
        <w:rPr>
          <w:rFonts w:ascii="Arial" w:hAnsi="Arial" w:cs="Arial"/>
          <w:i/>
          <w:iCs/>
          <w:sz w:val="22"/>
          <w:szCs w:val="22"/>
          <w:vertAlign w:val="subscript"/>
          <w:lang w:val="en-GB"/>
        </w:rPr>
        <w:t>E</w:t>
      </w:r>
      <w:r w:rsidRPr="00E4265B">
        <w:rPr>
          <w:rFonts w:ascii="Arial" w:hAnsi="Arial" w:cs="Arial"/>
          <w:sz w:val="22"/>
          <w:szCs w:val="22"/>
          <w:lang w:val="en-GB"/>
        </w:rPr>
        <w:t xml:space="preserve">, </w:t>
      </w:r>
      <w:r w:rsidRPr="00E4265B">
        <w:rPr>
          <w:rFonts w:ascii="Arial" w:hAnsi="Arial" w:cs="Arial"/>
          <w:i/>
          <w:iCs/>
          <w:sz w:val="22"/>
          <w:szCs w:val="22"/>
          <w:lang w:val="en-GB"/>
        </w:rPr>
        <w:t>H</w:t>
      </w:r>
      <w:r w:rsidRPr="00E4265B">
        <w:rPr>
          <w:rFonts w:ascii="Arial" w:hAnsi="Arial" w:cs="Arial"/>
          <w:i/>
          <w:iCs/>
          <w:sz w:val="22"/>
          <w:szCs w:val="22"/>
          <w:vertAlign w:val="subscript"/>
          <w:lang w:val="en-GB"/>
        </w:rPr>
        <w:t>C</w:t>
      </w:r>
      <w:r w:rsidRPr="00E4265B">
        <w:rPr>
          <w:rFonts w:ascii="Arial" w:hAnsi="Arial" w:cs="Arial"/>
          <w:sz w:val="22"/>
          <w:szCs w:val="22"/>
          <w:lang w:val="en-GB"/>
        </w:rPr>
        <w:t xml:space="preserve"> and </w:t>
      </w:r>
      <w:r w:rsidRPr="00E4265B">
        <w:rPr>
          <w:rFonts w:ascii="Arial" w:hAnsi="Arial" w:cs="Arial"/>
          <w:i/>
          <w:iCs/>
          <w:sz w:val="22"/>
          <w:szCs w:val="22"/>
          <w:lang w:val="en-GB"/>
        </w:rPr>
        <w:t>H</w:t>
      </w:r>
      <w:r w:rsidRPr="00E4265B">
        <w:rPr>
          <w:rFonts w:ascii="Arial" w:hAnsi="Arial" w:cs="Arial"/>
          <w:i/>
          <w:iCs/>
          <w:sz w:val="22"/>
          <w:szCs w:val="22"/>
          <w:vertAlign w:val="subscript"/>
          <w:lang w:val="en-GB"/>
        </w:rPr>
        <w:t>S</w:t>
      </w:r>
      <w:r w:rsidRPr="00E4265B">
        <w:rPr>
          <w:rFonts w:ascii="Arial" w:hAnsi="Arial" w:cs="Arial"/>
          <w:sz w:val="22"/>
          <w:szCs w:val="22"/>
          <w:lang w:val="en-GB"/>
        </w:rPr>
        <w:t xml:space="preserve"> using the formulae in Rules A4.3.25 to A4.3.26.</w:t>
      </w:r>
    </w:p>
    <w:p w14:paraId="7793DCF8" w14:textId="77777777" w:rsidR="00E22FF2" w:rsidRPr="00E4265B" w:rsidRDefault="00E22FF2" w:rsidP="00742AC6">
      <w:pPr>
        <w:pStyle w:val="TitleL5"/>
        <w:rPr>
          <w:rFonts w:ascii="Arial" w:hAnsi="Arial" w:cs="Arial"/>
          <w:sz w:val="22"/>
          <w:szCs w:val="22"/>
          <w:lang w:val="en-GB"/>
        </w:rPr>
      </w:pPr>
      <w:r w:rsidRPr="00E4265B">
        <w:rPr>
          <w:rFonts w:ascii="Arial" w:hAnsi="Arial" w:cs="Arial"/>
          <w:sz w:val="22"/>
          <w:szCs w:val="22"/>
          <w:lang w:val="en-GB"/>
        </w:rPr>
        <w:t>Own</w:t>
      </w:r>
      <w:r w:rsidRPr="00E4265B">
        <w:rPr>
          <w:rFonts w:ascii="Arial" w:hAnsi="Arial" w:cs="Arial"/>
          <w:sz w:val="22"/>
          <w:szCs w:val="22"/>
          <w:lang w:val="en-GB"/>
        </w:rPr>
        <w:noBreakHyphen/>
        <w:t>estimate haircuts</w:t>
      </w:r>
    </w:p>
    <w:p w14:paraId="7E90FFBE" w14:textId="77777777" w:rsidR="00E22FF2" w:rsidRPr="00E4265B" w:rsidRDefault="00E22FF2" w:rsidP="00B40809">
      <w:pPr>
        <w:pStyle w:val="List2TabStops"/>
        <w:rPr>
          <w:rFonts w:ascii="Arial" w:hAnsi="Arial" w:cs="Arial"/>
          <w:sz w:val="22"/>
          <w:szCs w:val="22"/>
          <w:lang w:val="en-GB"/>
        </w:rPr>
      </w:pPr>
      <w:r w:rsidRPr="00E4265B">
        <w:rPr>
          <w:rFonts w:ascii="Arial" w:hAnsi="Arial" w:cs="Arial"/>
          <w:b/>
          <w:bCs/>
          <w:sz w:val="22"/>
          <w:szCs w:val="22"/>
          <w:lang w:val="en-GB"/>
        </w:rPr>
        <w:t>A4.3.17</w:t>
      </w:r>
      <w:r w:rsidRPr="00E4265B">
        <w:rPr>
          <w:rFonts w:ascii="Arial" w:hAnsi="Arial" w:cs="Arial"/>
          <w:b/>
          <w:bCs/>
          <w:sz w:val="22"/>
          <w:szCs w:val="22"/>
          <w:lang w:val="en-GB"/>
        </w:rPr>
        <w:tab/>
      </w: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apply for approval from the Regulator if it intends to use own</w:t>
      </w:r>
      <w:r w:rsidRPr="00E4265B">
        <w:rPr>
          <w:rFonts w:ascii="Arial" w:hAnsi="Arial" w:cs="Arial"/>
          <w:sz w:val="22"/>
          <w:szCs w:val="22"/>
          <w:lang w:val="en-GB"/>
        </w:rPr>
        <w:noBreakHyphen/>
        <w:t>estimate haircuts.</w:t>
      </w:r>
    </w:p>
    <w:p w14:paraId="1BB0114A" w14:textId="220626CA" w:rsidR="00E22FF2" w:rsidRPr="00E4265B" w:rsidRDefault="00675B55" w:rsidP="00520DD3">
      <w:pPr>
        <w:pStyle w:val="1List"/>
        <w:rPr>
          <w:rFonts w:ascii="Arial" w:hAnsi="Arial" w:cs="Arial"/>
          <w:sz w:val="22"/>
          <w:szCs w:val="22"/>
          <w:lang w:val="en-GB"/>
        </w:rPr>
      </w:pPr>
      <w:r w:rsidRPr="00E4265B">
        <w:rPr>
          <w:rFonts w:ascii="Arial" w:hAnsi="Arial" w:cs="Arial"/>
          <w:sz w:val="22"/>
          <w:szCs w:val="22"/>
          <w:lang w:val="en-GB"/>
        </w:rPr>
        <w:t>(2)</w:t>
      </w:r>
      <w:r w:rsidR="00E22FF2"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not use own</w:t>
      </w:r>
      <w:r w:rsidR="00E22FF2" w:rsidRPr="00E4265B">
        <w:rPr>
          <w:rFonts w:ascii="Arial" w:hAnsi="Arial" w:cs="Arial"/>
          <w:sz w:val="22"/>
          <w:szCs w:val="22"/>
          <w:lang w:val="en-GB"/>
        </w:rPr>
        <w:noBreakHyphen/>
        <w:t>estimate haircuts unless it has received approval to adopt the internal models approach to calculate the Market Risk Capital Requirement.</w:t>
      </w:r>
    </w:p>
    <w:p w14:paraId="4C9401B3" w14:textId="787E14EE" w:rsidR="00E22FF2" w:rsidRPr="00E4265B" w:rsidRDefault="00675B55" w:rsidP="00B40809">
      <w:pPr>
        <w:pStyle w:val="1List"/>
        <w:rPr>
          <w:rFonts w:ascii="Arial" w:hAnsi="Arial" w:cs="Arial"/>
          <w:sz w:val="22"/>
          <w:szCs w:val="22"/>
          <w:lang w:val="en-GB"/>
        </w:rPr>
      </w:pPr>
      <w:r w:rsidRPr="00E4265B">
        <w:rPr>
          <w:rFonts w:ascii="Arial" w:hAnsi="Arial" w:cs="Arial"/>
          <w:sz w:val="22"/>
          <w:szCs w:val="22"/>
          <w:lang w:val="en-GB"/>
        </w:rPr>
        <w:lastRenderedPageBreak/>
        <w:t>(3)</w:t>
      </w:r>
      <w:r w:rsidR="00E22FF2" w:rsidRPr="00E4265B">
        <w:rPr>
          <w:rFonts w:ascii="Arial" w:hAnsi="Arial" w:cs="Arial"/>
          <w:sz w:val="22"/>
          <w:szCs w:val="22"/>
          <w:lang w:val="en-GB"/>
        </w:rPr>
        <w:tab/>
        <w:t xml:space="preserve">The Regulator may grant approval for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to use own</w:t>
      </w:r>
      <w:r w:rsidR="00E22FF2" w:rsidRPr="00E4265B">
        <w:rPr>
          <w:rFonts w:ascii="Arial" w:hAnsi="Arial" w:cs="Arial"/>
          <w:sz w:val="22"/>
          <w:szCs w:val="22"/>
          <w:lang w:val="en-GB"/>
        </w:rPr>
        <w:noBreakHyphen/>
        <w:t>estimate haircuts subject to such conditions or restrictions as the Regulator may impose.</w:t>
      </w:r>
    </w:p>
    <w:p w14:paraId="6512043F" w14:textId="77777777" w:rsidR="00E22FF2" w:rsidRPr="00E4265B" w:rsidRDefault="00E22FF2" w:rsidP="00B40809">
      <w:pPr>
        <w:pStyle w:val="A1List"/>
        <w:rPr>
          <w:rFonts w:ascii="Arial" w:hAnsi="Arial" w:cs="Arial"/>
          <w:sz w:val="22"/>
          <w:szCs w:val="22"/>
          <w:lang w:val="en-GB"/>
        </w:rPr>
      </w:pPr>
      <w:r w:rsidRPr="00E4265B">
        <w:rPr>
          <w:rFonts w:ascii="Arial" w:hAnsi="Arial" w:cs="Arial"/>
          <w:b/>
          <w:bCs/>
          <w:sz w:val="22"/>
          <w:szCs w:val="22"/>
          <w:lang w:val="en-GB"/>
        </w:rPr>
        <w:t>A4.3.18</w:t>
      </w:r>
      <w:r w:rsidRPr="00E4265B">
        <w:rPr>
          <w:rFonts w:ascii="Arial" w:hAnsi="Arial" w:cs="Arial"/>
          <w:b/>
          <w:bCs/>
          <w:sz w:val="22"/>
          <w:szCs w:val="22"/>
          <w:lang w:val="en-GB"/>
        </w:rPr>
        <w:tab/>
      </w:r>
      <w:r w:rsidRPr="00E4265B">
        <w:rPr>
          <w:rFonts w:ascii="Arial" w:hAnsi="Arial" w:cs="Arial"/>
          <w:sz w:val="22"/>
          <w:szCs w:val="22"/>
          <w:lang w:val="en-GB"/>
        </w:rPr>
        <w:t xml:space="preserve">If </w:t>
      </w:r>
      <w:r w:rsidR="00FA6190" w:rsidRPr="00E4265B">
        <w:rPr>
          <w:rFonts w:ascii="Arial" w:hAnsi="Arial" w:cs="Arial"/>
          <w:sz w:val="22"/>
          <w:szCs w:val="22"/>
          <w:lang w:val="en-GB"/>
        </w:rPr>
        <w:t>a</w:t>
      </w:r>
      <w:r w:rsidRPr="00E4265B">
        <w:rPr>
          <w:rFonts w:ascii="Arial" w:hAnsi="Arial" w:cs="Arial"/>
          <w:sz w:val="22"/>
          <w:szCs w:val="22"/>
          <w:lang w:val="en-GB"/>
        </w:rPr>
        <w:t xml:space="preserve">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becomes aware after it has received approval to use own</w:t>
      </w:r>
      <w:r w:rsidRPr="00E4265B">
        <w:rPr>
          <w:rFonts w:ascii="Arial" w:hAnsi="Arial" w:cs="Arial"/>
          <w:sz w:val="22"/>
          <w:szCs w:val="22"/>
          <w:lang w:val="en-GB"/>
        </w:rPr>
        <w:noBreakHyphen/>
        <w:t>estimate haircuts that it no longer complies with any of the requirements in Rules A4.3.17 to A4.3.23 or any of the conditions or restrictions imposed by the Regulator pursuant to Rule A4.3.17 or no longer meets the Rules, it must</w:t>
      </w:r>
    </w:p>
    <w:p w14:paraId="7F39C504" w14:textId="35E4591C" w:rsidR="00E22FF2" w:rsidRPr="00E4265B" w:rsidRDefault="00675B55" w:rsidP="00B40809">
      <w:pPr>
        <w:pStyle w:val="1List"/>
        <w:rPr>
          <w:rFonts w:ascii="Arial" w:hAnsi="Arial" w:cs="Arial"/>
          <w:sz w:val="22"/>
          <w:szCs w:val="22"/>
          <w:lang w:val="en-GB"/>
        </w:rPr>
      </w:pPr>
      <w:r w:rsidRPr="00E4265B">
        <w:rPr>
          <w:rFonts w:ascii="Arial" w:hAnsi="Arial" w:cs="Arial"/>
          <w:sz w:val="22"/>
          <w:szCs w:val="22"/>
          <w:lang w:val="en-GB"/>
        </w:rPr>
        <w:t>(a)</w:t>
      </w:r>
      <w:r w:rsidR="00E22FF2" w:rsidRPr="00E4265B">
        <w:rPr>
          <w:rFonts w:ascii="Arial" w:hAnsi="Arial" w:cs="Arial"/>
          <w:sz w:val="22"/>
          <w:szCs w:val="22"/>
          <w:lang w:val="en-GB"/>
        </w:rPr>
        <w:tab/>
        <w:t>inform the Regulator as soon as practicable;</w:t>
      </w:r>
    </w:p>
    <w:p w14:paraId="66482C60" w14:textId="45673D5D" w:rsidR="00E22FF2" w:rsidRPr="00E4265B" w:rsidRDefault="00675B55" w:rsidP="00520DD3">
      <w:pPr>
        <w:pStyle w:val="1List"/>
        <w:rPr>
          <w:rFonts w:ascii="Arial" w:hAnsi="Arial" w:cs="Arial"/>
          <w:sz w:val="22"/>
          <w:szCs w:val="22"/>
          <w:lang w:val="en-GB"/>
        </w:rPr>
      </w:pPr>
      <w:r w:rsidRPr="00E4265B">
        <w:rPr>
          <w:rFonts w:ascii="Arial" w:hAnsi="Arial" w:cs="Arial"/>
          <w:sz w:val="22"/>
          <w:szCs w:val="22"/>
          <w:lang w:val="en-GB"/>
        </w:rPr>
        <w:t>(b)</w:t>
      </w:r>
      <w:r w:rsidR="00E22FF2" w:rsidRPr="00E4265B">
        <w:rPr>
          <w:rFonts w:ascii="Arial" w:hAnsi="Arial" w:cs="Arial"/>
          <w:sz w:val="22"/>
          <w:szCs w:val="22"/>
          <w:lang w:val="en-GB"/>
        </w:rPr>
        <w:tab/>
        <w:t xml:space="preserve">assess the effect of the situation in terms of the risk posed to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w:t>
      </w:r>
    </w:p>
    <w:p w14:paraId="79DB5DE0" w14:textId="28BC1F8E" w:rsidR="00E22FF2" w:rsidRPr="00E4265B" w:rsidRDefault="00675B55" w:rsidP="00B40809">
      <w:pPr>
        <w:pStyle w:val="1List"/>
        <w:rPr>
          <w:rFonts w:ascii="Arial" w:hAnsi="Arial" w:cs="Arial"/>
          <w:sz w:val="22"/>
          <w:szCs w:val="22"/>
          <w:lang w:val="en-GB"/>
        </w:rPr>
      </w:pPr>
      <w:r w:rsidRPr="00E4265B">
        <w:rPr>
          <w:rFonts w:ascii="Arial" w:hAnsi="Arial" w:cs="Arial"/>
          <w:sz w:val="22"/>
          <w:szCs w:val="22"/>
          <w:lang w:val="en-GB"/>
        </w:rPr>
        <w:t>(c)</w:t>
      </w:r>
      <w:r w:rsidR="00E22FF2" w:rsidRPr="00E4265B">
        <w:rPr>
          <w:rFonts w:ascii="Arial" w:hAnsi="Arial" w:cs="Arial"/>
          <w:sz w:val="22"/>
          <w:szCs w:val="22"/>
          <w:lang w:val="en-GB"/>
        </w:rPr>
        <w:tab/>
        <w:t>prepare a plan to rectify the situation and inform the Regulator of its plan as soon as practicable; and</w:t>
      </w:r>
    </w:p>
    <w:p w14:paraId="6FAD5601" w14:textId="0431DB9B" w:rsidR="00E22FF2" w:rsidRPr="00E4265B" w:rsidRDefault="00675B55" w:rsidP="00520DD3">
      <w:pPr>
        <w:pStyle w:val="1List"/>
        <w:rPr>
          <w:rFonts w:ascii="Arial" w:hAnsi="Arial" w:cs="Arial"/>
          <w:sz w:val="22"/>
          <w:szCs w:val="22"/>
          <w:lang w:val="en-GB"/>
        </w:rPr>
      </w:pPr>
      <w:r w:rsidRPr="00E4265B">
        <w:rPr>
          <w:rFonts w:ascii="Arial" w:hAnsi="Arial" w:cs="Arial"/>
          <w:sz w:val="22"/>
          <w:szCs w:val="22"/>
          <w:lang w:val="en-GB"/>
        </w:rPr>
        <w:t>(d)</w:t>
      </w:r>
      <w:r w:rsidR="00E22FF2" w:rsidRPr="00E4265B">
        <w:rPr>
          <w:rFonts w:ascii="Arial" w:hAnsi="Arial" w:cs="Arial"/>
          <w:sz w:val="22"/>
          <w:szCs w:val="22"/>
          <w:lang w:val="en-GB"/>
        </w:rPr>
        <w:tab/>
        <w:t>undertake prompt corrective action within a reasonable time in accordance with the plan prepared pursuant to (c).</w:t>
      </w:r>
    </w:p>
    <w:p w14:paraId="67C95979" w14:textId="77777777" w:rsidR="00E22FF2" w:rsidRPr="00E4265B" w:rsidRDefault="00E22FF2" w:rsidP="00B40809">
      <w:pPr>
        <w:pStyle w:val="A1List"/>
        <w:rPr>
          <w:rFonts w:ascii="Arial" w:hAnsi="Arial" w:cs="Arial"/>
          <w:sz w:val="22"/>
          <w:szCs w:val="22"/>
          <w:lang w:val="en-GB"/>
        </w:rPr>
      </w:pPr>
      <w:r w:rsidRPr="00E4265B">
        <w:rPr>
          <w:rFonts w:ascii="Arial" w:hAnsi="Arial" w:cs="Arial"/>
          <w:b/>
          <w:bCs/>
          <w:sz w:val="22"/>
          <w:szCs w:val="22"/>
          <w:lang w:val="en-GB"/>
        </w:rPr>
        <w:t>A4.3.19</w:t>
      </w:r>
      <w:r w:rsidRPr="00E4265B">
        <w:rPr>
          <w:rFonts w:ascii="Arial" w:hAnsi="Arial" w:cs="Arial"/>
          <w:b/>
          <w:bCs/>
          <w:sz w:val="22"/>
          <w:szCs w:val="22"/>
          <w:lang w:val="en-GB"/>
        </w:rPr>
        <w:tab/>
      </w:r>
      <w:r w:rsidRPr="00E4265B">
        <w:rPr>
          <w:rFonts w:ascii="Arial" w:hAnsi="Arial" w:cs="Arial"/>
          <w:sz w:val="22"/>
          <w:szCs w:val="22"/>
          <w:lang w:val="en-GB"/>
        </w:rPr>
        <w:t xml:space="preserve">If </w:t>
      </w:r>
      <w:r w:rsidR="00FA6190" w:rsidRPr="00E4265B">
        <w:rPr>
          <w:rFonts w:ascii="Arial" w:hAnsi="Arial" w:cs="Arial"/>
          <w:sz w:val="22"/>
          <w:szCs w:val="22"/>
          <w:lang w:val="en-GB"/>
        </w:rPr>
        <w:t>a</w:t>
      </w:r>
      <w:r w:rsidRPr="00E4265B">
        <w:rPr>
          <w:rFonts w:ascii="Arial" w:hAnsi="Arial" w:cs="Arial"/>
          <w:sz w:val="22"/>
          <w:szCs w:val="22"/>
          <w:lang w:val="en-GB"/>
        </w:rPr>
        <w:t xml:space="preserve">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fails to comply with Rule A4.3.18, the Regulator may revoke its approval for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use own</w:t>
      </w:r>
      <w:r w:rsidRPr="00E4265B">
        <w:rPr>
          <w:rFonts w:ascii="Arial" w:hAnsi="Arial" w:cs="Arial"/>
          <w:sz w:val="22"/>
          <w:szCs w:val="22"/>
          <w:lang w:val="en-GB"/>
        </w:rPr>
        <w:noBreakHyphen/>
        <w:t xml:space="preserve">estimate haircuts.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also be required to revise its estimates for the purpose of calculating regulatory Capital Requirements if its estimates of </w:t>
      </w:r>
      <w:r w:rsidRPr="00E4265B">
        <w:rPr>
          <w:rFonts w:ascii="Arial" w:hAnsi="Arial" w:cs="Arial"/>
          <w:i/>
          <w:iCs/>
          <w:sz w:val="22"/>
          <w:szCs w:val="22"/>
          <w:lang w:val="en-GB"/>
        </w:rPr>
        <w:t>E*</w:t>
      </w:r>
      <w:r w:rsidRPr="00E4265B">
        <w:rPr>
          <w:rFonts w:ascii="Arial" w:hAnsi="Arial" w:cs="Arial"/>
          <w:sz w:val="22"/>
          <w:szCs w:val="22"/>
          <w:lang w:val="en-GB"/>
        </w:rPr>
        <w:t>, does not adequately reflect its Exposure to Counterparty Credit Risk.</w:t>
      </w:r>
    </w:p>
    <w:p w14:paraId="327A7390" w14:textId="77777777" w:rsidR="00E22FF2" w:rsidRPr="00E4265B" w:rsidRDefault="00E22FF2" w:rsidP="00742AC6">
      <w:pPr>
        <w:pStyle w:val="TitleL5"/>
        <w:rPr>
          <w:rFonts w:ascii="Arial" w:hAnsi="Arial" w:cs="Arial"/>
          <w:sz w:val="22"/>
          <w:szCs w:val="22"/>
          <w:lang w:val="en-GB"/>
        </w:rPr>
      </w:pPr>
      <w:r w:rsidRPr="00E4265B">
        <w:rPr>
          <w:rFonts w:ascii="Arial" w:hAnsi="Arial" w:cs="Arial"/>
          <w:sz w:val="22"/>
          <w:szCs w:val="22"/>
          <w:lang w:val="en-GB"/>
        </w:rPr>
        <w:t>Requirements for use of own</w:t>
      </w:r>
      <w:r w:rsidRPr="00E4265B">
        <w:rPr>
          <w:rFonts w:ascii="Arial" w:hAnsi="Arial" w:cs="Arial"/>
          <w:sz w:val="22"/>
          <w:szCs w:val="22"/>
          <w:lang w:val="en-GB"/>
        </w:rPr>
        <w:noBreakHyphen/>
        <w:t>estimate haircuts</w:t>
      </w:r>
    </w:p>
    <w:p w14:paraId="1EB037C7"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A4.3.20</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using own</w:t>
      </w:r>
      <w:r w:rsidRPr="00E4265B">
        <w:rPr>
          <w:rFonts w:ascii="Arial" w:hAnsi="Arial" w:cs="Arial"/>
          <w:sz w:val="22"/>
          <w:szCs w:val="22"/>
          <w:lang w:val="en-GB"/>
        </w:rPr>
        <w:noBreakHyphen/>
        <w:t xml:space="preserve">estimate haircuts must estimate the volatility for each individual instrument that is taken as eligible financial Collateral. In estimating such volatility,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not take into account the correlations between unsecured Exposures, Collateral and exchange rates. Where there are </w:t>
      </w:r>
      <w:r w:rsidR="005D344E" w:rsidRPr="00E4265B">
        <w:rPr>
          <w:rFonts w:ascii="Arial" w:hAnsi="Arial" w:cs="Arial"/>
          <w:sz w:val="22"/>
          <w:szCs w:val="22"/>
          <w:lang w:val="en-GB"/>
        </w:rPr>
        <w:t>Maturity Mismatch</w:t>
      </w:r>
      <w:r w:rsidRPr="00E4265B">
        <w:rPr>
          <w:rFonts w:ascii="Arial" w:hAnsi="Arial" w:cs="Arial"/>
          <w:sz w:val="22"/>
          <w:szCs w:val="22"/>
          <w:lang w:val="en-GB"/>
        </w:rPr>
        <w:t xml:space="preserve">es,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apply Rules 4.13.14 to 4.13.16.</w:t>
      </w:r>
    </w:p>
    <w:p w14:paraId="69588650"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A4.3.21</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ensure that the model used to estimate volatilities captures all the material risks run by it.</w:t>
      </w:r>
    </w:p>
    <w:p w14:paraId="04258DAC"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A4.3.22</w:t>
      </w:r>
      <w:r w:rsidRPr="00E4265B">
        <w:rPr>
          <w:rFonts w:ascii="Arial" w:hAnsi="Arial" w:cs="Arial"/>
          <w:b/>
          <w:bCs/>
          <w:sz w:val="22"/>
          <w:szCs w:val="22"/>
          <w:lang w:val="en-GB"/>
        </w:rPr>
        <w:tab/>
      </w:r>
      <w:r w:rsidRPr="00E4265B">
        <w:rPr>
          <w:rFonts w:ascii="Arial" w:hAnsi="Arial" w:cs="Arial"/>
          <w:sz w:val="22"/>
          <w:szCs w:val="22"/>
          <w:lang w:val="en-GB"/>
        </w:rPr>
        <w:t xml:space="preserve">In calculating the haircuts using internal estimates of volatilities,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w:t>
      </w:r>
    </w:p>
    <w:p w14:paraId="2FB8B476" w14:textId="4A54070A" w:rsidR="00E22FF2" w:rsidRPr="00E4265B" w:rsidRDefault="00675B55" w:rsidP="00520DD3">
      <w:pPr>
        <w:pStyle w:val="1List"/>
        <w:rPr>
          <w:rFonts w:ascii="Arial" w:hAnsi="Arial" w:cs="Arial"/>
          <w:sz w:val="22"/>
          <w:szCs w:val="22"/>
          <w:lang w:val="en-GB"/>
        </w:rPr>
      </w:pPr>
      <w:r w:rsidRPr="00E4265B">
        <w:rPr>
          <w:rFonts w:ascii="Arial" w:hAnsi="Arial" w:cs="Arial"/>
          <w:sz w:val="22"/>
          <w:szCs w:val="22"/>
          <w:lang w:val="en-GB"/>
        </w:rPr>
        <w:t>(a)</w:t>
      </w:r>
      <w:r w:rsidR="00E22FF2" w:rsidRPr="00E4265B">
        <w:rPr>
          <w:rFonts w:ascii="Arial" w:hAnsi="Arial" w:cs="Arial"/>
          <w:sz w:val="22"/>
          <w:szCs w:val="22"/>
          <w:lang w:val="en-GB"/>
        </w:rPr>
        <w:tab/>
        <w:t>use a 99th percentile, one</w:t>
      </w:r>
      <w:r w:rsidR="00E22FF2" w:rsidRPr="00E4265B">
        <w:rPr>
          <w:rFonts w:ascii="Arial" w:hAnsi="Arial" w:cs="Arial"/>
          <w:sz w:val="22"/>
          <w:szCs w:val="22"/>
          <w:lang w:val="en-GB"/>
        </w:rPr>
        <w:noBreakHyphen/>
        <w:t>tailed confidence interval;</w:t>
      </w:r>
    </w:p>
    <w:p w14:paraId="5BEFD673" w14:textId="2C48A34E" w:rsidR="00E22FF2" w:rsidRPr="00E4265B" w:rsidRDefault="00675B55" w:rsidP="00520DD3">
      <w:pPr>
        <w:pStyle w:val="1List"/>
        <w:rPr>
          <w:rFonts w:ascii="Arial" w:hAnsi="Arial" w:cs="Arial"/>
          <w:sz w:val="22"/>
          <w:szCs w:val="22"/>
          <w:lang w:val="en-GB"/>
        </w:rPr>
      </w:pPr>
      <w:r w:rsidRPr="00E4265B">
        <w:rPr>
          <w:rFonts w:ascii="Arial" w:hAnsi="Arial" w:cs="Arial"/>
          <w:sz w:val="22"/>
          <w:szCs w:val="22"/>
          <w:lang w:val="en-GB"/>
        </w:rPr>
        <w:t>(b)</w:t>
      </w:r>
      <w:r w:rsidR="00E22FF2" w:rsidRPr="00E4265B">
        <w:rPr>
          <w:rFonts w:ascii="Arial" w:hAnsi="Arial" w:cs="Arial"/>
          <w:sz w:val="22"/>
          <w:szCs w:val="22"/>
          <w:lang w:val="en-GB"/>
        </w:rPr>
        <w:tab/>
        <w:t xml:space="preserve">use the minimum holding period and remargining or revaluation conditions according to the type of transaction as set out in Rules A4.3.24 to A4.3.26. Where the minimum holding period, remargining or revaluation conditions used by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differ from those set out above, it must adjust the haircuts using the formulae in Rules A4.3.25 to A4.3.26;</w:t>
      </w:r>
    </w:p>
    <w:p w14:paraId="1B02F3D7" w14:textId="19B62E93" w:rsidR="00E22FF2" w:rsidRPr="00E4265B" w:rsidRDefault="00675B55" w:rsidP="00520DD3">
      <w:pPr>
        <w:pStyle w:val="1List"/>
        <w:rPr>
          <w:rFonts w:ascii="Arial" w:hAnsi="Arial" w:cs="Arial"/>
          <w:sz w:val="22"/>
          <w:szCs w:val="22"/>
          <w:lang w:val="en-GB"/>
        </w:rPr>
      </w:pPr>
      <w:r w:rsidRPr="00E4265B">
        <w:rPr>
          <w:rFonts w:ascii="Arial" w:hAnsi="Arial" w:cs="Arial"/>
          <w:sz w:val="22"/>
          <w:szCs w:val="22"/>
          <w:lang w:val="en-GB"/>
        </w:rPr>
        <w:t>(c)</w:t>
      </w:r>
      <w:r w:rsidR="00E22FF2" w:rsidRPr="00E4265B">
        <w:rPr>
          <w:rFonts w:ascii="Arial" w:hAnsi="Arial" w:cs="Arial"/>
          <w:sz w:val="22"/>
          <w:szCs w:val="22"/>
          <w:lang w:val="en-GB"/>
        </w:rPr>
        <w:tab/>
        <w:t>use a historical observation period (i.e. sample period) of at least one year.</w:t>
      </w:r>
    </w:p>
    <w:p w14:paraId="5B512E75" w14:textId="77777777" w:rsidR="00E22FF2" w:rsidRPr="00E4265B" w:rsidRDefault="00E22FF2" w:rsidP="00742AC6">
      <w:pPr>
        <w:pStyle w:val="UK12Block05"/>
        <w:rPr>
          <w:rFonts w:ascii="Arial" w:hAnsi="Arial" w:cs="Arial"/>
          <w:sz w:val="22"/>
          <w:szCs w:val="22"/>
          <w:lang w:val="en-GB"/>
        </w:rPr>
      </w:pPr>
      <w:r w:rsidRPr="00E4265B">
        <w:rPr>
          <w:rFonts w:ascii="Arial" w:hAnsi="Arial" w:cs="Arial"/>
          <w:sz w:val="22"/>
          <w:szCs w:val="22"/>
          <w:lang w:val="en-GB"/>
        </w:rPr>
        <w:t xml:space="preserve">Where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uses a weighting scheme or other methods for the historical observation period, the "effective" observation period must be at least one year (i.e. the weighted average time lag of the individual observations must not be less than six months);</w:t>
      </w:r>
    </w:p>
    <w:p w14:paraId="547036EA"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(d) </w:t>
      </w:r>
      <w:r w:rsidRPr="00E4265B">
        <w:rPr>
          <w:rFonts w:ascii="Arial" w:hAnsi="Arial" w:cs="Arial"/>
          <w:sz w:val="22"/>
          <w:szCs w:val="22"/>
          <w:lang w:val="en-GB"/>
        </w:rPr>
        <w:tab/>
        <w:t xml:space="preserve">update its data sets at least once every three months and recalculate haircuts at least once every three months. The Regulator may require more </w:t>
      </w:r>
      <w:r w:rsidRPr="00E4265B">
        <w:rPr>
          <w:rFonts w:ascii="Arial" w:hAnsi="Arial" w:cs="Arial"/>
          <w:sz w:val="22"/>
          <w:szCs w:val="22"/>
          <w:lang w:val="en-GB"/>
        </w:rPr>
        <w:lastRenderedPageBreak/>
        <w:t>frequent updates whenever there is an increase in volatility in market prices of the Collateral; and</w:t>
      </w:r>
    </w:p>
    <w:p w14:paraId="6FF784D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(e) </w:t>
      </w:r>
      <w:r w:rsidRPr="00E4265B">
        <w:rPr>
          <w:rFonts w:ascii="Arial" w:hAnsi="Arial" w:cs="Arial"/>
          <w:sz w:val="22"/>
          <w:szCs w:val="22"/>
          <w:lang w:val="en-GB"/>
        </w:rPr>
        <w:tab/>
        <w:t>use the estimated volatility data in the day</w:t>
      </w:r>
      <w:r w:rsidRPr="00E4265B">
        <w:rPr>
          <w:rFonts w:ascii="Arial" w:hAnsi="Arial" w:cs="Arial"/>
          <w:sz w:val="22"/>
          <w:szCs w:val="22"/>
          <w:lang w:val="en-GB"/>
        </w:rPr>
        <w:noBreakHyphen/>
        <w:t>to</w:t>
      </w:r>
      <w:r w:rsidRPr="00E4265B">
        <w:rPr>
          <w:rFonts w:ascii="Arial" w:hAnsi="Arial" w:cs="Arial"/>
          <w:sz w:val="22"/>
          <w:szCs w:val="22"/>
          <w:lang w:val="en-GB"/>
        </w:rPr>
        <w:noBreakHyphen/>
        <w:t xml:space="preserve">day risk management process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if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using a longer holding period for risk management compared to the ones prescribed in Rules A4.3.24 to A4.3.26., then the longer holding period must also be applied for the calculation of haircuts.</w:t>
      </w:r>
    </w:p>
    <w:p w14:paraId="05B1655D" w14:textId="77777777" w:rsidR="00E22FF2" w:rsidRPr="00E4265B" w:rsidRDefault="00E22FF2" w:rsidP="00742AC6">
      <w:pPr>
        <w:pStyle w:val="TitleL5"/>
        <w:rPr>
          <w:rFonts w:ascii="Arial" w:hAnsi="Arial" w:cs="Arial"/>
          <w:sz w:val="22"/>
          <w:szCs w:val="22"/>
          <w:lang w:val="en-GB"/>
        </w:rPr>
      </w:pPr>
      <w:r w:rsidRPr="00E4265B">
        <w:rPr>
          <w:rFonts w:ascii="Arial" w:hAnsi="Arial" w:cs="Arial"/>
          <w:sz w:val="22"/>
          <w:szCs w:val="22"/>
          <w:lang w:val="en-GB"/>
        </w:rPr>
        <w:t>Guidance</w:t>
      </w:r>
    </w:p>
    <w:p w14:paraId="018A4820" w14:textId="77777777" w:rsidR="00E22FF2" w:rsidRPr="00E4265B" w:rsidRDefault="00E22FF2" w:rsidP="00742AC6">
      <w:pPr>
        <w:pStyle w:val="1List0"/>
        <w:rPr>
          <w:rFonts w:ascii="Arial" w:hAnsi="Arial" w:cs="Arial"/>
          <w:sz w:val="22"/>
          <w:szCs w:val="22"/>
          <w:lang w:val="en-GB"/>
        </w:rPr>
      </w:pPr>
      <w:r w:rsidRPr="00E4265B">
        <w:rPr>
          <w:rFonts w:ascii="Arial" w:hAnsi="Arial" w:cs="Arial"/>
          <w:sz w:val="22"/>
          <w:szCs w:val="22"/>
          <w:lang w:val="en-GB"/>
        </w:rPr>
        <w:t xml:space="preserve">1. </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w:t>
      </w:r>
    </w:p>
    <w:p w14:paraId="30FDB4F7"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take into account the illiquidity of lower quality Collateral and should adjust the holding period upwards in cases where such a holding period would be inappropriate given the liquidity of the Collateral; and</w:t>
      </w:r>
    </w:p>
    <w:p w14:paraId="10142A32"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 xml:space="preserve">b. </w:t>
      </w:r>
      <w:r w:rsidRPr="00E4265B">
        <w:rPr>
          <w:rFonts w:ascii="Arial" w:hAnsi="Arial" w:cs="Arial"/>
          <w:sz w:val="22"/>
          <w:szCs w:val="22"/>
          <w:lang w:val="en-GB"/>
        </w:rPr>
        <w:tab/>
        <w:t>identify where historical data may understate potential volatility (e.g. a pegged currency);</w:t>
      </w:r>
    </w:p>
    <w:p w14:paraId="70A3838F" w14:textId="77777777" w:rsidR="00E22FF2" w:rsidRPr="00E4265B" w:rsidRDefault="00E22FF2" w:rsidP="00742AC6">
      <w:pPr>
        <w:pStyle w:val="UK12Block10"/>
        <w:ind w:left="1800"/>
        <w:rPr>
          <w:rFonts w:ascii="Arial" w:hAnsi="Arial" w:cs="Arial"/>
          <w:sz w:val="22"/>
          <w:szCs w:val="22"/>
          <w:lang w:val="en-GB"/>
        </w:rPr>
      </w:pPr>
      <w:r w:rsidRPr="00E4265B">
        <w:rPr>
          <w:rFonts w:ascii="Arial" w:hAnsi="Arial" w:cs="Arial"/>
          <w:sz w:val="22"/>
          <w:szCs w:val="22"/>
          <w:lang w:val="en-GB"/>
        </w:rPr>
        <w:t>and deal with such cases by subjecting the data to stress testing.</w:t>
      </w:r>
    </w:p>
    <w:p w14:paraId="4BFB00C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 xml:space="preserve">2. </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when considering the market liquidity of a Collateral, should consider four dimensions:</w:t>
      </w:r>
    </w:p>
    <w:p w14:paraId="77595284"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immediacy, which refers to the speed with which a trade of a given size at a given cost is completed;</w:t>
      </w:r>
    </w:p>
    <w:p w14:paraId="38BF80B3"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 xml:space="preserve">b. </w:t>
      </w:r>
      <w:r w:rsidRPr="00E4265B">
        <w:rPr>
          <w:rFonts w:ascii="Arial" w:hAnsi="Arial" w:cs="Arial"/>
          <w:sz w:val="22"/>
          <w:szCs w:val="22"/>
          <w:lang w:val="en-GB"/>
        </w:rPr>
        <w:tab/>
        <w:t>depth, which refers to the maximum size of a trade for any given bid</w:t>
      </w:r>
      <w:r w:rsidRPr="00E4265B">
        <w:rPr>
          <w:rFonts w:ascii="Arial" w:hAnsi="Arial" w:cs="Arial"/>
          <w:sz w:val="22"/>
          <w:szCs w:val="22"/>
          <w:lang w:val="en-GB"/>
        </w:rPr>
        <w:noBreakHyphen/>
        <w:t>ask spread;</w:t>
      </w:r>
    </w:p>
    <w:p w14:paraId="25B9187D"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 xml:space="preserve">c. </w:t>
      </w:r>
      <w:r w:rsidRPr="00E4265B">
        <w:rPr>
          <w:rFonts w:ascii="Arial" w:hAnsi="Arial" w:cs="Arial"/>
          <w:sz w:val="22"/>
          <w:szCs w:val="22"/>
          <w:lang w:val="en-GB"/>
        </w:rPr>
        <w:tab/>
        <w:t>tightness, which refers to the difference between buy and sell prices; and</w:t>
      </w:r>
    </w:p>
    <w:p w14:paraId="48ED357F"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 xml:space="preserve">d. </w:t>
      </w:r>
      <w:r w:rsidRPr="00E4265B">
        <w:rPr>
          <w:rFonts w:ascii="Arial" w:hAnsi="Arial" w:cs="Arial"/>
          <w:sz w:val="22"/>
          <w:szCs w:val="22"/>
          <w:lang w:val="en-GB"/>
        </w:rPr>
        <w:tab/>
        <w:t>resiliency, which refers to how quickly prices revert to original or fundamental levels after a large transaction.</w:t>
      </w:r>
    </w:p>
    <w:p w14:paraId="4F2A2AE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 xml:space="preserve">3. </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experienced </w:t>
      </w:r>
      <w:r w:rsidR="0005735E" w:rsidRPr="00E4265B">
        <w:rPr>
          <w:rFonts w:ascii="Arial" w:hAnsi="Arial" w:cs="Arial"/>
          <w:sz w:val="22"/>
          <w:szCs w:val="22"/>
          <w:lang w:val="en-GB"/>
        </w:rPr>
        <w:t>Persons</w:t>
      </w:r>
      <w:r w:rsidRPr="00E4265B">
        <w:rPr>
          <w:rFonts w:ascii="Arial" w:hAnsi="Arial" w:cs="Arial"/>
          <w:sz w:val="22"/>
          <w:szCs w:val="22"/>
          <w:lang w:val="en-GB"/>
        </w:rPr>
        <w:t xml:space="preserve"> familiar with the relevant market for the Collateral to judge the market liquidity of the Collateral and determine if the minimum holding period is sufficient for any given Collateral. The holding period should be deemed to be insufficient if the value of the Collateral would move by more than 1% should the Collateral be liquidated within the minimum holding period in these Rules, taking into account the immediacy, depth, tightness and resiliency of the market. In such a situation, the holding period should be adjusted upwards, such that the Collateral can be safely liquidated within the period, without causing a price movement of more than 1% relative to the value after the haircut.</w:t>
      </w:r>
    </w:p>
    <w:p w14:paraId="1FBD54C9"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 xml:space="preserve">4. </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aim to update its data sets daily in line with industry practice. If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updates its data sets less than once every three months, it should be able to demonstrate to the Regulator that the volatilities of the market prices are stable. In addition, where the updating of data sets is less frequent, the Regulator will normally expect compensating controls in the form of stress testing.</w:t>
      </w:r>
    </w:p>
    <w:p w14:paraId="3D6A6D93"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lastRenderedPageBreak/>
        <w:t>A4.3.23</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have robust and effective processes in place for ensuring compliance with documented internal policies, controls and procedures concerning the operation of the risk measurement system to support the use of own</w:t>
      </w:r>
      <w:r w:rsidRPr="00E4265B">
        <w:rPr>
          <w:rFonts w:ascii="Arial" w:hAnsi="Arial" w:cs="Arial"/>
          <w:sz w:val="22"/>
          <w:szCs w:val="22"/>
          <w:lang w:val="en-GB"/>
        </w:rPr>
        <w:noBreakHyphen/>
        <w:t>estimate haircuts.</w:t>
      </w:r>
    </w:p>
    <w:p w14:paraId="36FA6FFA" w14:textId="77777777" w:rsidR="00E22FF2" w:rsidRPr="00E4265B" w:rsidRDefault="00E22FF2" w:rsidP="00742AC6">
      <w:pPr>
        <w:pStyle w:val="TitleL5"/>
        <w:rPr>
          <w:rFonts w:ascii="Arial" w:hAnsi="Arial" w:cs="Arial"/>
          <w:sz w:val="22"/>
          <w:szCs w:val="22"/>
          <w:lang w:val="en-GB"/>
        </w:rPr>
      </w:pPr>
      <w:r w:rsidRPr="00E4265B">
        <w:rPr>
          <w:rFonts w:ascii="Arial" w:hAnsi="Arial" w:cs="Arial"/>
          <w:sz w:val="22"/>
          <w:szCs w:val="22"/>
          <w:lang w:val="en-GB"/>
        </w:rPr>
        <w:t>Guidance</w:t>
      </w:r>
    </w:p>
    <w:p w14:paraId="40A69FEA" w14:textId="77777777" w:rsidR="00E22FF2" w:rsidRPr="00E4265B" w:rsidRDefault="00E22FF2" w:rsidP="00B40809">
      <w:pPr>
        <w:pStyle w:val="UK12Block05"/>
        <w:rPr>
          <w:rFonts w:ascii="Arial" w:hAnsi="Arial" w:cs="Arial"/>
          <w:sz w:val="22"/>
          <w:szCs w:val="22"/>
          <w:lang w:val="en-GB"/>
        </w:rPr>
      </w:pPr>
      <w:r w:rsidRPr="00E4265B">
        <w:rPr>
          <w:rFonts w:ascii="Arial" w:hAnsi="Arial" w:cs="Arial"/>
          <w:sz w:val="22"/>
          <w:szCs w:val="22"/>
          <w:lang w:val="en-GB"/>
        </w:rPr>
        <w:t xml:space="preserve">In order to demonstrate compliance with Rule A4.3.23,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give due regard to the following expectations of the Regulator:</w:t>
      </w:r>
    </w:p>
    <w:p w14:paraId="5351A288" w14:textId="77777777" w:rsidR="00E22FF2" w:rsidRPr="00E4265B" w:rsidRDefault="00E22FF2" w:rsidP="00742AC6">
      <w:pPr>
        <w:pStyle w:val="1List"/>
        <w:rPr>
          <w:rFonts w:ascii="Arial" w:hAnsi="Arial" w:cs="Arial"/>
          <w:sz w:val="22"/>
          <w:szCs w:val="22"/>
          <w:lang w:val="en-GB"/>
        </w:rPr>
      </w:pPr>
      <w:r w:rsidRPr="00E4265B">
        <w:rPr>
          <w:rFonts w:ascii="Arial" w:hAnsi="Arial" w:cs="Arial"/>
          <w:sz w:val="22"/>
          <w:szCs w:val="22"/>
          <w:lang w:val="en-GB"/>
        </w:rPr>
        <w:t>(a) </w:t>
      </w:r>
      <w:r w:rsidRPr="00E4265B">
        <w:rPr>
          <w:rFonts w:ascii="Arial" w:hAnsi="Arial" w:cs="Arial"/>
          <w:sz w:val="22"/>
          <w:szCs w:val="22"/>
          <w:lang w:val="en-GB"/>
        </w:rPr>
        <w:tab/>
        <w:t>the risk measurement system should be used in conjunction with internal Exposure limits;</w:t>
      </w:r>
    </w:p>
    <w:p w14:paraId="7DD5230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 </w:t>
      </w:r>
      <w:r w:rsidRPr="00E4265B">
        <w:rPr>
          <w:rFonts w:ascii="Arial" w:hAnsi="Arial" w:cs="Arial"/>
          <w:sz w:val="22"/>
          <w:szCs w:val="22"/>
          <w:lang w:val="en-GB"/>
        </w:rPr>
        <w:tab/>
        <w:t xml:space="preserve">the risk management processes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relating to the use of own</w:t>
      </w:r>
      <w:r w:rsidRPr="00E4265B">
        <w:rPr>
          <w:rFonts w:ascii="Arial" w:hAnsi="Arial" w:cs="Arial"/>
          <w:sz w:val="22"/>
          <w:szCs w:val="22"/>
          <w:lang w:val="en-GB"/>
        </w:rPr>
        <w:noBreakHyphen/>
        <w:t>estimate haircuts should be subject to internal audit at least once a year, covering the following areas:</w:t>
      </w:r>
    </w:p>
    <w:p w14:paraId="74ADCBC2"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(i) </w:t>
      </w:r>
      <w:r w:rsidRPr="00E4265B">
        <w:rPr>
          <w:rFonts w:ascii="Arial" w:hAnsi="Arial" w:cs="Arial"/>
          <w:sz w:val="22"/>
          <w:szCs w:val="22"/>
          <w:lang w:val="en-GB"/>
        </w:rPr>
        <w:tab/>
        <w:t>the integration of risk measures into daily risk management;</w:t>
      </w:r>
    </w:p>
    <w:p w14:paraId="4A6EDA5F"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(ii) </w:t>
      </w:r>
      <w:r w:rsidRPr="00E4265B">
        <w:rPr>
          <w:rFonts w:ascii="Arial" w:hAnsi="Arial" w:cs="Arial"/>
          <w:sz w:val="22"/>
          <w:szCs w:val="22"/>
          <w:lang w:val="en-GB"/>
        </w:rPr>
        <w:tab/>
        <w:t>the validation of any significant change in the risk management process;</w:t>
      </w:r>
    </w:p>
    <w:p w14:paraId="19BC42F5"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(iii) </w:t>
      </w:r>
      <w:r w:rsidRPr="00E4265B">
        <w:rPr>
          <w:rFonts w:ascii="Arial" w:hAnsi="Arial" w:cs="Arial"/>
          <w:sz w:val="22"/>
          <w:szCs w:val="22"/>
          <w:lang w:val="en-GB"/>
        </w:rPr>
        <w:tab/>
        <w:t>the accuracy and completeness of position data;</w:t>
      </w:r>
    </w:p>
    <w:p w14:paraId="66617FAD"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(iv) </w:t>
      </w:r>
      <w:r w:rsidRPr="00E4265B">
        <w:rPr>
          <w:rFonts w:ascii="Arial" w:hAnsi="Arial" w:cs="Arial"/>
          <w:sz w:val="22"/>
          <w:szCs w:val="22"/>
          <w:lang w:val="en-GB"/>
        </w:rPr>
        <w:tab/>
        <w:t>the verification of the consistency, timeliness and reliability of data sources used to run internal models, including the independence of such data sources; and</w:t>
      </w:r>
    </w:p>
    <w:p w14:paraId="456C0569"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(v) </w:t>
      </w:r>
      <w:r w:rsidRPr="00E4265B">
        <w:rPr>
          <w:rFonts w:ascii="Arial" w:hAnsi="Arial" w:cs="Arial"/>
          <w:sz w:val="22"/>
          <w:szCs w:val="22"/>
          <w:lang w:val="en-GB"/>
        </w:rPr>
        <w:tab/>
        <w:t>the accuracy and appropriateness of volatility assumptions.</w:t>
      </w:r>
    </w:p>
    <w:p w14:paraId="5C1866C2" w14:textId="77777777" w:rsidR="00E22FF2" w:rsidRPr="00E4265B" w:rsidRDefault="00E22FF2" w:rsidP="00742AC6">
      <w:pPr>
        <w:pStyle w:val="1List"/>
        <w:rPr>
          <w:rFonts w:ascii="Arial" w:hAnsi="Arial" w:cs="Arial"/>
          <w:sz w:val="22"/>
          <w:szCs w:val="22"/>
          <w:lang w:val="en-GB"/>
        </w:rPr>
      </w:pPr>
      <w:r w:rsidRPr="00E4265B">
        <w:rPr>
          <w:rFonts w:ascii="Arial" w:hAnsi="Arial" w:cs="Arial"/>
          <w:sz w:val="22"/>
          <w:szCs w:val="22"/>
          <w:lang w:val="en-GB"/>
        </w:rPr>
        <w:t>(c) </w:t>
      </w:r>
      <w:r w:rsidRPr="00E4265B">
        <w:rPr>
          <w:rFonts w:ascii="Arial" w:hAnsi="Arial" w:cs="Arial"/>
          <w:sz w:val="22"/>
          <w:szCs w:val="22"/>
          <w:lang w:val="en-GB"/>
        </w:rPr>
        <w:tab/>
        <w:t>such internal audits referred to in (b) are not to be confused with an internal validation of the risk management systems surrounding the use of own</w:t>
      </w:r>
      <w:r w:rsidRPr="00E4265B">
        <w:rPr>
          <w:rFonts w:ascii="Arial" w:hAnsi="Arial" w:cs="Arial"/>
          <w:sz w:val="22"/>
          <w:szCs w:val="22"/>
          <w:lang w:val="en-GB"/>
        </w:rPr>
        <w:noBreakHyphen/>
        <w:t>estimate haircuts. All significant risk models employed to support the use of own</w:t>
      </w:r>
      <w:r w:rsidRPr="00E4265B">
        <w:rPr>
          <w:rFonts w:ascii="Arial" w:hAnsi="Arial" w:cs="Arial"/>
          <w:sz w:val="22"/>
          <w:szCs w:val="22"/>
          <w:lang w:val="en-GB"/>
        </w:rPr>
        <w:noBreakHyphen/>
        <w:t>estimate haircuts should be validated at least once a year. The internal audits serve as an independent process check to help ensure that the validation is sufficiently robust and effective.</w:t>
      </w:r>
    </w:p>
    <w:p w14:paraId="2F2B039C" w14:textId="77777777" w:rsidR="00E22FF2" w:rsidRPr="00E4265B" w:rsidRDefault="00E22FF2" w:rsidP="00742AC6">
      <w:pPr>
        <w:pStyle w:val="TitleL5"/>
        <w:rPr>
          <w:rFonts w:ascii="Arial" w:hAnsi="Arial" w:cs="Arial"/>
          <w:sz w:val="22"/>
          <w:szCs w:val="22"/>
          <w:lang w:val="en-GB"/>
        </w:rPr>
      </w:pPr>
      <w:r w:rsidRPr="00E4265B">
        <w:rPr>
          <w:rFonts w:ascii="Arial" w:hAnsi="Arial" w:cs="Arial"/>
          <w:sz w:val="22"/>
          <w:szCs w:val="22"/>
          <w:lang w:val="en-GB"/>
        </w:rPr>
        <w:t>Minimum holding periods, remargining or revaluation conditions</w:t>
      </w:r>
    </w:p>
    <w:p w14:paraId="20363710"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A4.3.24</w:t>
      </w:r>
      <w:r w:rsidRPr="00E4265B">
        <w:rPr>
          <w:rFonts w:ascii="Arial" w:hAnsi="Arial" w:cs="Arial"/>
          <w:b/>
          <w:bCs/>
          <w:sz w:val="22"/>
          <w:szCs w:val="22"/>
          <w:lang w:val="en-GB"/>
        </w:rPr>
        <w:tab/>
      </w:r>
      <w:r w:rsidRPr="00E4265B">
        <w:rPr>
          <w:rFonts w:ascii="Arial" w:hAnsi="Arial" w:cs="Arial"/>
          <w:sz w:val="22"/>
          <w:szCs w:val="22"/>
          <w:lang w:val="en-GB"/>
        </w:rPr>
        <w:t xml:space="preserve">The following table sets out the minimum holding periods and remargining or revaluation conditions for different types of transactions 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uses own</w:t>
      </w:r>
      <w:r w:rsidRPr="00E4265B">
        <w:rPr>
          <w:rFonts w:ascii="Arial" w:hAnsi="Arial" w:cs="Arial"/>
          <w:sz w:val="22"/>
          <w:szCs w:val="22"/>
          <w:lang w:val="en-GB"/>
        </w:rPr>
        <w:noBreakHyphen/>
        <w:t>estimate haircuts:</w:t>
      </w:r>
    </w:p>
    <w:tbl>
      <w:tblPr>
        <w:tblStyle w:val="TableGrid"/>
        <w:tblW w:w="0" w:type="auto"/>
        <w:tblInd w:w="1098" w:type="dxa"/>
        <w:tblLook w:val="04A0" w:firstRow="1" w:lastRow="0" w:firstColumn="1" w:lastColumn="0" w:noHBand="0" w:noVBand="1"/>
      </w:tblPr>
      <w:tblGrid>
        <w:gridCol w:w="2713"/>
        <w:gridCol w:w="2357"/>
        <w:gridCol w:w="2849"/>
      </w:tblGrid>
      <w:tr w:rsidR="00E22FF2" w:rsidRPr="00E4265B" w14:paraId="5D8F9664" w14:textId="77777777" w:rsidTr="007B36E6">
        <w:trPr>
          <w:tblHeader/>
        </w:trPr>
        <w:tc>
          <w:tcPr>
            <w:tcW w:w="2790" w:type="dxa"/>
            <w:shd w:val="clear" w:color="auto" w:fill="D9D9D9" w:themeFill="background1" w:themeFillShade="D9"/>
          </w:tcPr>
          <w:p w14:paraId="5AEB2DEA" w14:textId="77777777" w:rsidR="00E22FF2" w:rsidRPr="00E4265B" w:rsidRDefault="00E22FF2" w:rsidP="008702C6">
            <w:pPr>
              <w:spacing w:after="240"/>
              <w:jc w:val="center"/>
              <w:rPr>
                <w:rFonts w:ascii="Arial" w:hAnsi="Arial" w:cs="Arial"/>
                <w:b/>
                <w:sz w:val="22"/>
                <w:szCs w:val="22"/>
                <w:lang w:val="en-GB"/>
              </w:rPr>
            </w:pPr>
            <w:r w:rsidRPr="00E4265B">
              <w:rPr>
                <w:rFonts w:ascii="Arial" w:hAnsi="Arial" w:cs="Arial"/>
                <w:b/>
                <w:sz w:val="22"/>
                <w:szCs w:val="22"/>
                <w:lang w:val="en-GB"/>
              </w:rPr>
              <w:t>Transaction type</w:t>
            </w:r>
          </w:p>
        </w:tc>
        <w:tc>
          <w:tcPr>
            <w:tcW w:w="2430" w:type="dxa"/>
            <w:shd w:val="clear" w:color="auto" w:fill="D9D9D9" w:themeFill="background1" w:themeFillShade="D9"/>
          </w:tcPr>
          <w:p w14:paraId="0B4D4054" w14:textId="49F71E47" w:rsidR="00E22FF2" w:rsidRPr="00E4265B" w:rsidRDefault="00E22FF2" w:rsidP="00CA399D">
            <w:pPr>
              <w:spacing w:after="240"/>
              <w:jc w:val="center"/>
              <w:rPr>
                <w:rFonts w:ascii="Arial" w:hAnsi="Arial" w:cs="Arial"/>
                <w:b/>
                <w:sz w:val="22"/>
                <w:szCs w:val="22"/>
                <w:lang w:val="en-GB"/>
              </w:rPr>
            </w:pPr>
            <w:r w:rsidRPr="00E4265B">
              <w:rPr>
                <w:rFonts w:ascii="Arial" w:hAnsi="Arial" w:cs="Arial"/>
                <w:b/>
                <w:sz w:val="22"/>
                <w:szCs w:val="22"/>
                <w:lang w:val="en-GB"/>
              </w:rPr>
              <w:t>Minimum holding</w:t>
            </w:r>
            <w:r w:rsidRPr="00E4265B">
              <w:rPr>
                <w:rFonts w:ascii="Arial" w:hAnsi="Arial" w:cs="Arial"/>
                <w:b/>
                <w:sz w:val="22"/>
                <w:szCs w:val="22"/>
                <w:lang w:val="en-GB"/>
              </w:rPr>
              <w:br/>
              <w:t>period</w:t>
            </w:r>
          </w:p>
        </w:tc>
        <w:tc>
          <w:tcPr>
            <w:tcW w:w="2925" w:type="dxa"/>
            <w:shd w:val="clear" w:color="auto" w:fill="D9D9D9" w:themeFill="background1" w:themeFillShade="D9"/>
          </w:tcPr>
          <w:p w14:paraId="2DA99395" w14:textId="77777777" w:rsidR="00E22FF2" w:rsidRPr="00E4265B" w:rsidRDefault="00E22FF2" w:rsidP="008702C6">
            <w:pPr>
              <w:spacing w:after="240"/>
              <w:jc w:val="center"/>
              <w:rPr>
                <w:rFonts w:ascii="Arial" w:hAnsi="Arial" w:cs="Arial"/>
                <w:b/>
                <w:sz w:val="22"/>
                <w:szCs w:val="22"/>
                <w:lang w:val="en-GB"/>
              </w:rPr>
            </w:pPr>
            <w:r w:rsidRPr="00E4265B">
              <w:rPr>
                <w:rFonts w:ascii="Arial" w:hAnsi="Arial" w:cs="Arial"/>
                <w:b/>
                <w:sz w:val="22"/>
                <w:szCs w:val="22"/>
                <w:lang w:val="en-GB"/>
              </w:rPr>
              <w:t>Remargining/ Revaluation</w:t>
            </w:r>
            <w:r w:rsidRPr="00E4265B">
              <w:rPr>
                <w:rFonts w:ascii="Arial" w:hAnsi="Arial" w:cs="Arial"/>
                <w:b/>
                <w:sz w:val="22"/>
                <w:szCs w:val="22"/>
                <w:lang w:val="en-GB"/>
              </w:rPr>
              <w:br/>
              <w:t>Condition</w:t>
            </w:r>
          </w:p>
        </w:tc>
      </w:tr>
      <w:tr w:rsidR="00E22FF2" w:rsidRPr="00E4265B" w14:paraId="206CB141" w14:textId="77777777" w:rsidTr="00A56816">
        <w:tc>
          <w:tcPr>
            <w:tcW w:w="2790" w:type="dxa"/>
          </w:tcPr>
          <w:p w14:paraId="68895D4E"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Repos, reverse repos,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or commodities lending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or commodities borrowing transactions</w:t>
            </w:r>
          </w:p>
        </w:tc>
        <w:tc>
          <w:tcPr>
            <w:tcW w:w="2430" w:type="dxa"/>
          </w:tcPr>
          <w:p w14:paraId="78CD7783" w14:textId="7038C06C" w:rsidR="00E22FF2" w:rsidRPr="00E4265B" w:rsidRDefault="00CA399D" w:rsidP="008702C6">
            <w:pPr>
              <w:spacing w:after="240"/>
              <w:jc w:val="center"/>
              <w:rPr>
                <w:rFonts w:ascii="Arial" w:hAnsi="Arial" w:cs="Arial"/>
                <w:sz w:val="22"/>
                <w:szCs w:val="22"/>
                <w:lang w:val="en-GB"/>
              </w:rPr>
            </w:pPr>
            <w:r w:rsidRPr="00E4265B">
              <w:rPr>
                <w:rFonts w:ascii="Arial" w:hAnsi="Arial" w:cs="Arial"/>
                <w:sz w:val="22"/>
                <w:szCs w:val="22"/>
                <w:lang w:val="en-GB"/>
              </w:rPr>
              <w:t>Five business days</w:t>
            </w:r>
          </w:p>
        </w:tc>
        <w:tc>
          <w:tcPr>
            <w:tcW w:w="2925" w:type="dxa"/>
          </w:tcPr>
          <w:p w14:paraId="7D6ED84B"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daily remargining</w:t>
            </w:r>
          </w:p>
        </w:tc>
      </w:tr>
      <w:tr w:rsidR="00E22FF2" w:rsidRPr="00E4265B" w14:paraId="1612EA20" w14:textId="77777777" w:rsidTr="00A56816">
        <w:tc>
          <w:tcPr>
            <w:tcW w:w="2790" w:type="dxa"/>
          </w:tcPr>
          <w:p w14:paraId="04D8D5C5"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lastRenderedPageBreak/>
              <w:t>OTC Derivative transactions and margin lending transactions</w:t>
            </w:r>
          </w:p>
        </w:tc>
        <w:tc>
          <w:tcPr>
            <w:tcW w:w="2430" w:type="dxa"/>
          </w:tcPr>
          <w:p w14:paraId="0D8DA12A" w14:textId="61FFF1F4" w:rsidR="00E22FF2" w:rsidRPr="00E4265B" w:rsidRDefault="00CA399D" w:rsidP="008702C6">
            <w:pPr>
              <w:spacing w:after="240"/>
              <w:jc w:val="center"/>
              <w:rPr>
                <w:rFonts w:ascii="Arial" w:hAnsi="Arial" w:cs="Arial"/>
                <w:sz w:val="22"/>
                <w:szCs w:val="22"/>
                <w:lang w:val="en-GB"/>
              </w:rPr>
            </w:pPr>
            <w:r w:rsidRPr="00E4265B">
              <w:rPr>
                <w:rFonts w:ascii="Arial" w:hAnsi="Arial" w:cs="Arial"/>
                <w:sz w:val="22"/>
                <w:szCs w:val="22"/>
                <w:lang w:val="en-GB"/>
              </w:rPr>
              <w:t>Ten business days</w:t>
            </w:r>
          </w:p>
        </w:tc>
        <w:tc>
          <w:tcPr>
            <w:tcW w:w="2925" w:type="dxa"/>
          </w:tcPr>
          <w:p w14:paraId="0D6C7D63"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daily remargining</w:t>
            </w:r>
          </w:p>
        </w:tc>
      </w:tr>
      <w:tr w:rsidR="00E22FF2" w:rsidRPr="00E4265B" w14:paraId="044011D0" w14:textId="77777777" w:rsidTr="00A56816">
        <w:tc>
          <w:tcPr>
            <w:tcW w:w="2790" w:type="dxa"/>
          </w:tcPr>
          <w:p w14:paraId="6EAC9913"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Exposures secured by eligible financial Collateral</w:t>
            </w:r>
          </w:p>
        </w:tc>
        <w:tc>
          <w:tcPr>
            <w:tcW w:w="2430" w:type="dxa"/>
          </w:tcPr>
          <w:p w14:paraId="6E796ABB" w14:textId="2ECF1F5D" w:rsidR="00E22FF2" w:rsidRPr="00E4265B" w:rsidRDefault="00446550" w:rsidP="008F0178">
            <w:pPr>
              <w:spacing w:after="240"/>
              <w:jc w:val="center"/>
              <w:rPr>
                <w:rFonts w:ascii="Arial" w:hAnsi="Arial" w:cs="Arial"/>
                <w:sz w:val="22"/>
                <w:szCs w:val="22"/>
                <w:lang w:val="en-GB"/>
              </w:rPr>
            </w:pPr>
            <w:r w:rsidRPr="00E4265B">
              <w:rPr>
                <w:rFonts w:ascii="Arial" w:hAnsi="Arial" w:cs="Arial"/>
                <w:sz w:val="22"/>
                <w:szCs w:val="22"/>
                <w:lang w:val="en-GB"/>
              </w:rPr>
              <w:t>Twenty</w:t>
            </w:r>
            <w:r w:rsidR="00E22FF2" w:rsidRPr="00E4265B">
              <w:rPr>
                <w:rFonts w:ascii="Arial" w:hAnsi="Arial" w:cs="Arial"/>
                <w:sz w:val="22"/>
                <w:szCs w:val="22"/>
                <w:lang w:val="en-GB"/>
              </w:rPr>
              <w:t xml:space="preserve"> </w:t>
            </w:r>
            <w:r w:rsidR="00CA399D" w:rsidRPr="00E4265B">
              <w:rPr>
                <w:rFonts w:ascii="Arial" w:hAnsi="Arial" w:cs="Arial"/>
                <w:sz w:val="22"/>
                <w:szCs w:val="22"/>
                <w:lang w:val="en-GB"/>
              </w:rPr>
              <w:t>business days</w:t>
            </w:r>
          </w:p>
        </w:tc>
        <w:tc>
          <w:tcPr>
            <w:tcW w:w="2925" w:type="dxa"/>
          </w:tcPr>
          <w:p w14:paraId="43007973"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daily revaluation</w:t>
            </w:r>
          </w:p>
        </w:tc>
      </w:tr>
    </w:tbl>
    <w:p w14:paraId="28F814A8" w14:textId="77777777" w:rsidR="00E22FF2" w:rsidRPr="00E4265B" w:rsidRDefault="00E22FF2" w:rsidP="00A56816">
      <w:pPr>
        <w:rPr>
          <w:rFonts w:ascii="Arial" w:hAnsi="Arial" w:cs="Arial"/>
          <w:sz w:val="22"/>
          <w:szCs w:val="22"/>
          <w:lang w:val="en-GB"/>
        </w:rPr>
      </w:pPr>
    </w:p>
    <w:p w14:paraId="503D3E6E"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A4.3.25</w:t>
      </w:r>
      <w:r w:rsidRPr="00E4265B">
        <w:rPr>
          <w:rFonts w:ascii="Arial" w:hAnsi="Arial" w:cs="Arial"/>
          <w:b/>
          <w:bCs/>
          <w:sz w:val="22"/>
          <w:szCs w:val="22"/>
          <w:lang w:val="en-GB"/>
        </w:rPr>
        <w:tab/>
      </w:r>
      <w:r w:rsidRPr="00E4265B">
        <w:rPr>
          <w:rFonts w:ascii="Arial" w:hAnsi="Arial" w:cs="Arial"/>
          <w:sz w:val="22"/>
          <w:szCs w:val="22"/>
          <w:lang w:val="en-GB"/>
        </w:rPr>
        <w:t xml:space="preserve">Where the assumed minimum holding period is not met or remargining or revaluation conditions are not fulfilled,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the applicable haircut using the following formula:</w:t>
      </w:r>
    </w:p>
    <w:p w14:paraId="5890F427" w14:textId="77777777" w:rsidR="00E22FF2" w:rsidRPr="00E4265B" w:rsidRDefault="00E22FF2" w:rsidP="00446550">
      <w:pPr>
        <w:pStyle w:val="UK12Block10"/>
        <w:ind w:left="630"/>
        <w:jc w:val="center"/>
        <w:rPr>
          <w:rFonts w:ascii="Arial" w:hAnsi="Arial" w:cs="Arial"/>
          <w:i/>
          <w:iCs/>
          <w:sz w:val="22"/>
          <w:szCs w:val="22"/>
          <w:lang w:val="en-GB"/>
        </w:rPr>
      </w:pPr>
      <w:r w:rsidRPr="00E4265B">
        <w:rPr>
          <w:rFonts w:ascii="Arial" w:hAnsi="Arial" w:cs="Arial"/>
          <w:i/>
          <w:iCs/>
          <w:sz w:val="22"/>
          <w:szCs w:val="22"/>
          <w:lang w:val="en-GB"/>
        </w:rPr>
        <w:t>H = H</w:t>
      </w:r>
      <w:r w:rsidRPr="00E4265B">
        <w:rPr>
          <w:rFonts w:ascii="Arial" w:hAnsi="Arial" w:cs="Arial"/>
          <w:i/>
          <w:iCs/>
          <w:sz w:val="22"/>
          <w:szCs w:val="22"/>
          <w:vertAlign w:val="subscript"/>
          <w:lang w:val="en-GB"/>
        </w:rPr>
        <w:t>M</w:t>
      </w:r>
      <w:r w:rsidRPr="00E4265B">
        <w:rPr>
          <w:rFonts w:ascii="Arial" w:hAnsi="Arial" w:cs="Arial"/>
          <w:i/>
          <w:iCs/>
          <w:sz w:val="22"/>
          <w:szCs w:val="22"/>
          <w:lang w:val="en-GB"/>
        </w:rPr>
        <w:t xml:space="preserve"> √{[N</w:t>
      </w:r>
      <w:r w:rsidRPr="00E4265B">
        <w:rPr>
          <w:rFonts w:ascii="Arial" w:hAnsi="Arial" w:cs="Arial"/>
          <w:i/>
          <w:iCs/>
          <w:sz w:val="22"/>
          <w:szCs w:val="22"/>
          <w:vertAlign w:val="subscript"/>
          <w:lang w:val="en-GB"/>
        </w:rPr>
        <w:t>R</w:t>
      </w:r>
      <w:r w:rsidRPr="00E4265B">
        <w:rPr>
          <w:rFonts w:ascii="Arial" w:hAnsi="Arial" w:cs="Arial"/>
          <w:i/>
          <w:iCs/>
          <w:sz w:val="22"/>
          <w:szCs w:val="22"/>
          <w:lang w:val="en-GB"/>
        </w:rPr>
        <w:t xml:space="preserve"> + (T</w:t>
      </w:r>
      <w:r w:rsidRPr="00E4265B">
        <w:rPr>
          <w:rFonts w:ascii="Arial" w:hAnsi="Arial" w:cs="Arial"/>
          <w:i/>
          <w:iCs/>
          <w:sz w:val="22"/>
          <w:szCs w:val="22"/>
          <w:vertAlign w:val="subscript"/>
          <w:lang w:val="en-GB"/>
        </w:rPr>
        <w:t>M</w:t>
      </w:r>
      <w:r w:rsidRPr="00E4265B">
        <w:rPr>
          <w:rFonts w:ascii="Arial" w:hAnsi="Arial" w:cs="Arial"/>
          <w:i/>
          <w:iCs/>
          <w:sz w:val="22"/>
          <w:szCs w:val="22"/>
          <w:lang w:val="en-GB"/>
        </w:rPr>
        <w:t xml:space="preserve"> </w:t>
      </w:r>
      <w:r w:rsidRPr="00E4265B">
        <w:rPr>
          <w:rFonts w:ascii="Arial" w:hAnsi="Arial" w:cs="Arial"/>
          <w:i/>
          <w:iCs/>
          <w:sz w:val="22"/>
          <w:szCs w:val="22"/>
          <w:lang w:val="en-GB"/>
        </w:rPr>
        <w:noBreakHyphen/>
        <w:t xml:space="preserve"> 1)]/ T</w:t>
      </w:r>
      <w:r w:rsidRPr="00E4265B">
        <w:rPr>
          <w:rFonts w:ascii="Arial" w:hAnsi="Arial" w:cs="Arial"/>
          <w:i/>
          <w:iCs/>
          <w:sz w:val="22"/>
          <w:szCs w:val="22"/>
          <w:vertAlign w:val="subscript"/>
          <w:lang w:val="en-GB"/>
        </w:rPr>
        <w:t>M</w:t>
      </w:r>
      <w:r w:rsidRPr="00E4265B">
        <w:rPr>
          <w:rFonts w:ascii="Arial" w:hAnsi="Arial" w:cs="Arial"/>
          <w:i/>
          <w:iCs/>
          <w:sz w:val="22"/>
          <w:szCs w:val="22"/>
          <w:lang w:val="en-GB"/>
        </w:rPr>
        <w:t>}</w:t>
      </w:r>
    </w:p>
    <w:p w14:paraId="4BF34F1D" w14:textId="69532AAB" w:rsidR="00E22FF2" w:rsidRPr="00E4265B" w:rsidRDefault="00CA399D" w:rsidP="00520DD3">
      <w:pPr>
        <w:pStyle w:val="1List"/>
        <w:rPr>
          <w:rFonts w:ascii="Arial" w:hAnsi="Arial" w:cs="Arial"/>
          <w:sz w:val="22"/>
          <w:szCs w:val="22"/>
          <w:lang w:val="en-GB"/>
        </w:rPr>
      </w:pPr>
      <w:r w:rsidRPr="00E4265B">
        <w:rPr>
          <w:rFonts w:ascii="Arial" w:hAnsi="Arial" w:cs="Arial"/>
          <w:sz w:val="22"/>
          <w:szCs w:val="22"/>
          <w:lang w:val="en-GB"/>
        </w:rPr>
        <w:t>w</w:t>
      </w:r>
      <w:r w:rsidR="00E22FF2" w:rsidRPr="00E4265B">
        <w:rPr>
          <w:rFonts w:ascii="Arial" w:hAnsi="Arial" w:cs="Arial"/>
          <w:sz w:val="22"/>
          <w:szCs w:val="22"/>
          <w:lang w:val="en-GB"/>
        </w:rPr>
        <w:t>here</w:t>
      </w:r>
      <w:r w:rsidRPr="00E4265B">
        <w:rPr>
          <w:rFonts w:ascii="Arial" w:hAnsi="Arial" w:cs="Arial"/>
          <w:sz w:val="22"/>
          <w:szCs w:val="22"/>
          <w:lang w:val="en-GB"/>
        </w:rPr>
        <w:t xml:space="preserve"> -</w:t>
      </w:r>
    </w:p>
    <w:p w14:paraId="502EE84C" w14:textId="77777777" w:rsidR="00E22FF2" w:rsidRPr="00E4265B" w:rsidRDefault="00E22FF2" w:rsidP="00742AC6">
      <w:pPr>
        <w:pStyle w:val="UK12Block05"/>
        <w:rPr>
          <w:rFonts w:ascii="Arial" w:hAnsi="Arial" w:cs="Arial"/>
          <w:sz w:val="22"/>
          <w:szCs w:val="22"/>
          <w:lang w:val="en-GB"/>
        </w:rPr>
      </w:pPr>
      <w:r w:rsidRPr="00E4265B">
        <w:rPr>
          <w:rFonts w:ascii="Arial" w:hAnsi="Arial" w:cs="Arial"/>
          <w:sz w:val="22"/>
          <w:szCs w:val="22"/>
          <w:lang w:val="en-GB"/>
        </w:rPr>
        <w:t>"</w:t>
      </w:r>
      <w:r w:rsidRPr="00E4265B">
        <w:rPr>
          <w:rFonts w:ascii="Arial" w:hAnsi="Arial" w:cs="Arial"/>
          <w:i/>
          <w:iCs/>
          <w:sz w:val="22"/>
          <w:szCs w:val="22"/>
          <w:lang w:val="en-GB"/>
        </w:rPr>
        <w:t>H</w:t>
      </w:r>
      <w:r w:rsidRPr="00E4265B">
        <w:rPr>
          <w:rFonts w:ascii="Arial" w:hAnsi="Arial" w:cs="Arial"/>
          <w:sz w:val="22"/>
          <w:szCs w:val="22"/>
          <w:lang w:val="en-GB"/>
        </w:rPr>
        <w:t>" refers to the haircut;</w:t>
      </w:r>
    </w:p>
    <w:p w14:paraId="32928081" w14:textId="77777777" w:rsidR="00E22FF2" w:rsidRPr="00E4265B" w:rsidRDefault="00E22FF2" w:rsidP="00742AC6">
      <w:pPr>
        <w:pStyle w:val="UK12Block05"/>
        <w:rPr>
          <w:rFonts w:ascii="Arial" w:hAnsi="Arial" w:cs="Arial"/>
          <w:sz w:val="22"/>
          <w:szCs w:val="22"/>
          <w:lang w:val="en-GB"/>
        </w:rPr>
      </w:pPr>
      <w:r w:rsidRPr="00E4265B">
        <w:rPr>
          <w:rFonts w:ascii="Arial" w:hAnsi="Arial" w:cs="Arial"/>
          <w:sz w:val="22"/>
          <w:szCs w:val="22"/>
          <w:lang w:val="en-GB"/>
        </w:rPr>
        <w:t>"</w:t>
      </w:r>
      <w:r w:rsidRPr="00E4265B">
        <w:rPr>
          <w:rFonts w:ascii="Arial" w:hAnsi="Arial" w:cs="Arial"/>
          <w:i/>
          <w:iCs/>
          <w:sz w:val="22"/>
          <w:szCs w:val="22"/>
          <w:lang w:val="en-GB"/>
        </w:rPr>
        <w:t>H</w:t>
      </w:r>
      <w:r w:rsidRPr="00E4265B">
        <w:rPr>
          <w:rFonts w:ascii="Arial" w:hAnsi="Arial" w:cs="Arial"/>
          <w:i/>
          <w:iCs/>
          <w:sz w:val="22"/>
          <w:szCs w:val="22"/>
          <w:vertAlign w:val="subscript"/>
          <w:lang w:val="en-GB"/>
        </w:rPr>
        <w:t>M</w:t>
      </w:r>
      <w:r w:rsidRPr="00E4265B">
        <w:rPr>
          <w:rFonts w:ascii="Arial" w:hAnsi="Arial" w:cs="Arial"/>
          <w:sz w:val="22"/>
          <w:szCs w:val="22"/>
          <w:lang w:val="en-GB"/>
        </w:rPr>
        <w:t>" refers to the haircut under the minimum holding period;</w:t>
      </w:r>
    </w:p>
    <w:p w14:paraId="3958A6FC" w14:textId="77777777" w:rsidR="00E22FF2" w:rsidRPr="00E4265B" w:rsidRDefault="00E22FF2" w:rsidP="00742AC6">
      <w:pPr>
        <w:pStyle w:val="UK12Block05"/>
        <w:rPr>
          <w:rFonts w:ascii="Arial" w:hAnsi="Arial" w:cs="Arial"/>
          <w:sz w:val="22"/>
          <w:szCs w:val="22"/>
          <w:lang w:val="en-GB"/>
        </w:rPr>
      </w:pPr>
      <w:r w:rsidRPr="00E4265B">
        <w:rPr>
          <w:rFonts w:ascii="Arial" w:hAnsi="Arial" w:cs="Arial"/>
          <w:sz w:val="22"/>
          <w:szCs w:val="22"/>
          <w:lang w:val="en-GB"/>
        </w:rPr>
        <w:t>"</w:t>
      </w:r>
      <w:r w:rsidRPr="00E4265B">
        <w:rPr>
          <w:rFonts w:ascii="Arial" w:hAnsi="Arial" w:cs="Arial"/>
          <w:i/>
          <w:iCs/>
          <w:sz w:val="22"/>
          <w:szCs w:val="22"/>
          <w:lang w:val="en-GB"/>
        </w:rPr>
        <w:t>T</w:t>
      </w:r>
      <w:r w:rsidRPr="00E4265B">
        <w:rPr>
          <w:rFonts w:ascii="Arial" w:hAnsi="Arial" w:cs="Arial"/>
          <w:i/>
          <w:iCs/>
          <w:sz w:val="22"/>
          <w:szCs w:val="22"/>
          <w:vertAlign w:val="subscript"/>
          <w:lang w:val="en-GB"/>
        </w:rPr>
        <w:t>M</w:t>
      </w:r>
      <w:r w:rsidRPr="00E4265B">
        <w:rPr>
          <w:rFonts w:ascii="Arial" w:hAnsi="Arial" w:cs="Arial"/>
          <w:sz w:val="22"/>
          <w:szCs w:val="22"/>
          <w:lang w:val="en-GB"/>
        </w:rPr>
        <w:t>" refers to the minimum holding period for the type of transaction or eligible financial Collateral; and</w:t>
      </w:r>
    </w:p>
    <w:p w14:paraId="190AEE63" w14:textId="77777777" w:rsidR="00E22FF2" w:rsidRPr="00E4265B" w:rsidRDefault="00E22FF2" w:rsidP="00742AC6">
      <w:pPr>
        <w:pStyle w:val="UK12Block05"/>
        <w:rPr>
          <w:rFonts w:ascii="Arial" w:hAnsi="Arial" w:cs="Arial"/>
          <w:sz w:val="22"/>
          <w:szCs w:val="22"/>
          <w:lang w:val="en-GB"/>
        </w:rPr>
      </w:pPr>
      <w:r w:rsidRPr="00E4265B">
        <w:rPr>
          <w:rFonts w:ascii="Arial" w:hAnsi="Arial" w:cs="Arial"/>
          <w:sz w:val="22"/>
          <w:szCs w:val="22"/>
          <w:lang w:val="en-GB"/>
        </w:rPr>
        <w:t>"</w:t>
      </w:r>
      <w:r w:rsidRPr="00E4265B">
        <w:rPr>
          <w:rFonts w:ascii="Arial" w:hAnsi="Arial" w:cs="Arial"/>
          <w:i/>
          <w:iCs/>
          <w:sz w:val="22"/>
          <w:szCs w:val="22"/>
          <w:lang w:val="en-GB"/>
        </w:rPr>
        <w:t>N</w:t>
      </w:r>
      <w:r w:rsidRPr="00E4265B">
        <w:rPr>
          <w:rFonts w:ascii="Arial" w:hAnsi="Arial" w:cs="Arial"/>
          <w:i/>
          <w:iCs/>
          <w:sz w:val="22"/>
          <w:szCs w:val="22"/>
          <w:vertAlign w:val="subscript"/>
          <w:lang w:val="en-GB"/>
        </w:rPr>
        <w:t>R</w:t>
      </w:r>
      <w:r w:rsidRPr="00E4265B">
        <w:rPr>
          <w:rFonts w:ascii="Arial" w:hAnsi="Arial" w:cs="Arial"/>
          <w:sz w:val="22"/>
          <w:szCs w:val="22"/>
          <w:lang w:val="en-GB"/>
        </w:rPr>
        <w:t>" refers to the actual number of business days between remargining or revaluation, as the case may be.</w:t>
      </w:r>
    </w:p>
    <w:p w14:paraId="53680176"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A4.3.26</w:t>
      </w:r>
      <w:r w:rsidRPr="00E4265B">
        <w:rPr>
          <w:rFonts w:ascii="Arial" w:hAnsi="Arial" w:cs="Arial"/>
          <w:b/>
          <w:bCs/>
          <w:sz w:val="22"/>
          <w:szCs w:val="22"/>
          <w:lang w:val="en-GB"/>
        </w:rPr>
        <w:tab/>
      </w:r>
      <w:r w:rsidRPr="00E4265B">
        <w:rPr>
          <w:rFonts w:ascii="Arial" w:hAnsi="Arial" w:cs="Arial"/>
          <w:sz w:val="22"/>
          <w:szCs w:val="22"/>
          <w:lang w:val="en-GB"/>
        </w:rPr>
        <w:t xml:space="preserve">When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uses a holding period, </w:t>
      </w:r>
      <w:r w:rsidRPr="00E4265B">
        <w:rPr>
          <w:rFonts w:ascii="Arial" w:hAnsi="Arial" w:cs="Arial"/>
          <w:i/>
          <w:iCs/>
          <w:sz w:val="22"/>
          <w:szCs w:val="22"/>
          <w:lang w:val="en-GB"/>
        </w:rPr>
        <w:t>T</w:t>
      </w:r>
      <w:r w:rsidRPr="00E4265B">
        <w:rPr>
          <w:rFonts w:ascii="Arial" w:hAnsi="Arial" w:cs="Arial"/>
          <w:i/>
          <w:iCs/>
          <w:sz w:val="22"/>
          <w:szCs w:val="22"/>
          <w:vertAlign w:val="subscript"/>
          <w:lang w:val="en-GB"/>
        </w:rPr>
        <w:t>N</w:t>
      </w:r>
      <w:r w:rsidRPr="00E4265B">
        <w:rPr>
          <w:rFonts w:ascii="Arial" w:hAnsi="Arial" w:cs="Arial"/>
          <w:sz w:val="22"/>
          <w:szCs w:val="22"/>
          <w:lang w:val="en-GB"/>
        </w:rPr>
        <w:t xml:space="preserve">, which is different from the specified minimum holding period, </w:t>
      </w:r>
      <w:r w:rsidRPr="00E4265B">
        <w:rPr>
          <w:rFonts w:ascii="Arial" w:hAnsi="Arial" w:cs="Arial"/>
          <w:i/>
          <w:iCs/>
          <w:sz w:val="22"/>
          <w:szCs w:val="22"/>
          <w:lang w:val="en-GB"/>
        </w:rPr>
        <w:t>T</w:t>
      </w:r>
      <w:r w:rsidRPr="00E4265B">
        <w:rPr>
          <w:rFonts w:ascii="Arial" w:hAnsi="Arial" w:cs="Arial"/>
          <w:i/>
          <w:iCs/>
          <w:sz w:val="22"/>
          <w:szCs w:val="22"/>
          <w:vertAlign w:val="subscript"/>
          <w:lang w:val="en-GB"/>
        </w:rPr>
        <w:t>M</w:t>
      </w:r>
      <w:r w:rsidRPr="00E4265B">
        <w:rPr>
          <w:rFonts w:ascii="Arial" w:hAnsi="Arial" w:cs="Arial"/>
          <w:sz w:val="22"/>
          <w:szCs w:val="22"/>
          <w:lang w:val="en-GB"/>
        </w:rPr>
        <w:t xml:space="preserv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w:t>
      </w:r>
      <w:r w:rsidRPr="00E4265B">
        <w:rPr>
          <w:rFonts w:ascii="Arial" w:hAnsi="Arial" w:cs="Arial"/>
          <w:i/>
          <w:iCs/>
          <w:sz w:val="22"/>
          <w:szCs w:val="22"/>
          <w:lang w:val="en-GB"/>
        </w:rPr>
        <w:t>H</w:t>
      </w:r>
      <w:r w:rsidRPr="00E4265B">
        <w:rPr>
          <w:rFonts w:ascii="Arial" w:hAnsi="Arial" w:cs="Arial"/>
          <w:i/>
          <w:iCs/>
          <w:sz w:val="22"/>
          <w:szCs w:val="22"/>
          <w:vertAlign w:val="subscript"/>
          <w:lang w:val="en-GB"/>
        </w:rPr>
        <w:t>M</w:t>
      </w:r>
      <w:r w:rsidRPr="00E4265B">
        <w:rPr>
          <w:rFonts w:ascii="Arial" w:hAnsi="Arial" w:cs="Arial"/>
          <w:sz w:val="22"/>
          <w:szCs w:val="22"/>
          <w:lang w:val="en-GB"/>
        </w:rPr>
        <w:t xml:space="preserve"> using the following formula:</w:t>
      </w:r>
    </w:p>
    <w:p w14:paraId="580D003B" w14:textId="77777777" w:rsidR="00E22FF2" w:rsidRPr="00E4265B" w:rsidRDefault="00E22FF2" w:rsidP="00446550">
      <w:pPr>
        <w:pStyle w:val="UK12Block10"/>
        <w:ind w:left="360"/>
        <w:jc w:val="center"/>
        <w:rPr>
          <w:rFonts w:ascii="Arial" w:hAnsi="Arial" w:cs="Arial"/>
          <w:i/>
          <w:iCs/>
          <w:sz w:val="22"/>
          <w:szCs w:val="22"/>
          <w:lang w:val="en-GB"/>
        </w:rPr>
      </w:pPr>
      <w:r w:rsidRPr="00E4265B">
        <w:rPr>
          <w:rFonts w:ascii="Arial" w:hAnsi="Arial" w:cs="Arial"/>
          <w:i/>
          <w:iCs/>
          <w:sz w:val="22"/>
          <w:szCs w:val="22"/>
          <w:lang w:val="en-GB"/>
        </w:rPr>
        <w:t>H</w:t>
      </w:r>
      <w:r w:rsidRPr="00E4265B">
        <w:rPr>
          <w:rFonts w:ascii="Arial" w:hAnsi="Arial" w:cs="Arial"/>
          <w:i/>
          <w:iCs/>
          <w:sz w:val="22"/>
          <w:szCs w:val="22"/>
          <w:vertAlign w:val="subscript"/>
          <w:lang w:val="en-GB"/>
        </w:rPr>
        <w:t>M</w:t>
      </w:r>
      <w:r w:rsidRPr="00E4265B">
        <w:rPr>
          <w:rFonts w:ascii="Arial" w:hAnsi="Arial" w:cs="Arial"/>
          <w:i/>
          <w:iCs/>
          <w:sz w:val="22"/>
          <w:szCs w:val="22"/>
          <w:lang w:val="en-GB"/>
        </w:rPr>
        <w:t xml:space="preserve"> = H</w:t>
      </w:r>
      <w:r w:rsidRPr="00E4265B">
        <w:rPr>
          <w:rFonts w:ascii="Arial" w:hAnsi="Arial" w:cs="Arial"/>
          <w:i/>
          <w:iCs/>
          <w:sz w:val="22"/>
          <w:szCs w:val="22"/>
          <w:vertAlign w:val="subscript"/>
          <w:lang w:val="en-GB"/>
        </w:rPr>
        <w:t>N</w:t>
      </w:r>
      <w:r w:rsidRPr="00E4265B">
        <w:rPr>
          <w:rFonts w:ascii="Arial" w:hAnsi="Arial" w:cs="Arial"/>
          <w:i/>
          <w:iCs/>
          <w:sz w:val="22"/>
          <w:szCs w:val="22"/>
          <w:lang w:val="en-GB"/>
        </w:rPr>
        <w:t>√(T</w:t>
      </w:r>
      <w:r w:rsidRPr="00E4265B">
        <w:rPr>
          <w:rFonts w:ascii="Arial" w:hAnsi="Arial" w:cs="Arial"/>
          <w:i/>
          <w:iCs/>
          <w:sz w:val="22"/>
          <w:szCs w:val="22"/>
          <w:vertAlign w:val="subscript"/>
          <w:lang w:val="en-GB"/>
        </w:rPr>
        <w:t>M</w:t>
      </w:r>
      <w:r w:rsidRPr="00E4265B">
        <w:rPr>
          <w:rFonts w:ascii="Arial" w:hAnsi="Arial" w:cs="Arial"/>
          <w:i/>
          <w:iCs/>
          <w:sz w:val="22"/>
          <w:szCs w:val="22"/>
          <w:lang w:val="en-GB"/>
        </w:rPr>
        <w:t>/T</w:t>
      </w:r>
      <w:r w:rsidRPr="00E4265B">
        <w:rPr>
          <w:rFonts w:ascii="Arial" w:hAnsi="Arial" w:cs="Arial"/>
          <w:i/>
          <w:iCs/>
          <w:sz w:val="22"/>
          <w:szCs w:val="22"/>
          <w:vertAlign w:val="subscript"/>
          <w:lang w:val="en-GB"/>
        </w:rPr>
        <w:t>N</w:t>
      </w:r>
      <w:r w:rsidRPr="00E4265B">
        <w:rPr>
          <w:rFonts w:ascii="Arial" w:hAnsi="Arial" w:cs="Arial"/>
          <w:i/>
          <w:iCs/>
          <w:sz w:val="22"/>
          <w:szCs w:val="22"/>
          <w:lang w:val="en-GB"/>
        </w:rPr>
        <w:t>)</w:t>
      </w:r>
    </w:p>
    <w:p w14:paraId="05CEB4A6" w14:textId="1DB644EA" w:rsidR="00E22FF2" w:rsidRPr="00E4265B" w:rsidRDefault="00CA399D" w:rsidP="00CA399D">
      <w:pPr>
        <w:pStyle w:val="UK12Block05"/>
        <w:rPr>
          <w:rFonts w:ascii="Arial" w:hAnsi="Arial" w:cs="Arial"/>
          <w:sz w:val="22"/>
          <w:szCs w:val="22"/>
          <w:lang w:val="en-GB"/>
        </w:rPr>
      </w:pPr>
      <w:r w:rsidRPr="00E4265B">
        <w:rPr>
          <w:rFonts w:ascii="Arial" w:hAnsi="Arial" w:cs="Arial"/>
          <w:sz w:val="22"/>
          <w:szCs w:val="22"/>
          <w:lang w:val="en-GB"/>
        </w:rPr>
        <w:t>w</w:t>
      </w:r>
      <w:r w:rsidR="00E22FF2" w:rsidRPr="00E4265B">
        <w:rPr>
          <w:rFonts w:ascii="Arial" w:hAnsi="Arial" w:cs="Arial"/>
          <w:sz w:val="22"/>
          <w:szCs w:val="22"/>
          <w:lang w:val="en-GB"/>
        </w:rPr>
        <w:t>here</w:t>
      </w:r>
      <w:r w:rsidRPr="00E4265B">
        <w:rPr>
          <w:rFonts w:ascii="Arial" w:hAnsi="Arial" w:cs="Arial"/>
          <w:sz w:val="22"/>
          <w:szCs w:val="22"/>
          <w:lang w:val="en-GB"/>
        </w:rPr>
        <w:t xml:space="preserve"> -</w:t>
      </w:r>
    </w:p>
    <w:p w14:paraId="65F4F648" w14:textId="77777777" w:rsidR="00E22FF2" w:rsidRPr="00E4265B" w:rsidRDefault="00E22FF2" w:rsidP="00742AC6">
      <w:pPr>
        <w:pStyle w:val="UK12Block05"/>
        <w:rPr>
          <w:rFonts w:ascii="Arial" w:hAnsi="Arial" w:cs="Arial"/>
          <w:sz w:val="22"/>
          <w:szCs w:val="22"/>
          <w:lang w:val="en-GB"/>
        </w:rPr>
      </w:pPr>
      <w:r w:rsidRPr="00E4265B">
        <w:rPr>
          <w:rFonts w:ascii="Arial" w:hAnsi="Arial" w:cs="Arial"/>
          <w:sz w:val="22"/>
          <w:szCs w:val="22"/>
          <w:lang w:val="en-GB"/>
        </w:rPr>
        <w:t>"</w:t>
      </w:r>
      <w:r w:rsidRPr="00E4265B">
        <w:rPr>
          <w:rFonts w:ascii="Arial" w:hAnsi="Arial" w:cs="Arial"/>
          <w:i/>
          <w:iCs/>
          <w:sz w:val="22"/>
          <w:szCs w:val="22"/>
          <w:lang w:val="en-GB"/>
        </w:rPr>
        <w:t>T</w:t>
      </w:r>
      <w:r w:rsidRPr="00E4265B">
        <w:rPr>
          <w:rFonts w:ascii="Arial" w:hAnsi="Arial" w:cs="Arial"/>
          <w:i/>
          <w:iCs/>
          <w:sz w:val="22"/>
          <w:szCs w:val="22"/>
          <w:vertAlign w:val="subscript"/>
          <w:lang w:val="en-GB"/>
        </w:rPr>
        <w:t>N</w:t>
      </w:r>
      <w:r w:rsidRPr="00E4265B">
        <w:rPr>
          <w:rFonts w:ascii="Arial" w:hAnsi="Arial" w:cs="Arial"/>
          <w:sz w:val="22"/>
          <w:szCs w:val="22"/>
          <w:lang w:val="en-GB"/>
        </w:rPr>
        <w:t xml:space="preserve">" refers to the holding period used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for deriving </w:t>
      </w:r>
      <w:r w:rsidRPr="00E4265B">
        <w:rPr>
          <w:rFonts w:ascii="Arial" w:hAnsi="Arial" w:cs="Arial"/>
          <w:i/>
          <w:iCs/>
          <w:sz w:val="22"/>
          <w:szCs w:val="22"/>
          <w:lang w:val="en-GB"/>
        </w:rPr>
        <w:t>H</w:t>
      </w:r>
      <w:r w:rsidRPr="00E4265B">
        <w:rPr>
          <w:rFonts w:ascii="Arial" w:hAnsi="Arial" w:cs="Arial"/>
          <w:i/>
          <w:iCs/>
          <w:sz w:val="22"/>
          <w:szCs w:val="22"/>
          <w:vertAlign w:val="subscript"/>
          <w:lang w:val="en-GB"/>
        </w:rPr>
        <w:t>N</w:t>
      </w:r>
      <w:r w:rsidRPr="00E4265B">
        <w:rPr>
          <w:rFonts w:ascii="Arial" w:hAnsi="Arial" w:cs="Arial"/>
          <w:sz w:val="22"/>
          <w:szCs w:val="22"/>
          <w:lang w:val="en-GB"/>
        </w:rPr>
        <w:t>; and</w:t>
      </w:r>
    </w:p>
    <w:p w14:paraId="019907EB" w14:textId="77777777" w:rsidR="00E22FF2" w:rsidRPr="00E4265B" w:rsidRDefault="00E22FF2" w:rsidP="00742AC6">
      <w:pPr>
        <w:pStyle w:val="UK12Block05"/>
        <w:rPr>
          <w:rFonts w:ascii="Arial" w:hAnsi="Arial" w:cs="Arial"/>
          <w:sz w:val="22"/>
          <w:szCs w:val="22"/>
          <w:lang w:val="en-GB"/>
        </w:rPr>
      </w:pPr>
      <w:r w:rsidRPr="00E4265B">
        <w:rPr>
          <w:rFonts w:ascii="Arial" w:hAnsi="Arial" w:cs="Arial"/>
          <w:sz w:val="22"/>
          <w:szCs w:val="22"/>
          <w:lang w:val="en-GB"/>
        </w:rPr>
        <w:t>"</w:t>
      </w:r>
      <w:r w:rsidRPr="00E4265B">
        <w:rPr>
          <w:rFonts w:ascii="Arial" w:hAnsi="Arial" w:cs="Arial"/>
          <w:i/>
          <w:iCs/>
          <w:sz w:val="22"/>
          <w:szCs w:val="22"/>
          <w:lang w:val="en-GB"/>
        </w:rPr>
        <w:t>H</w:t>
      </w:r>
      <w:r w:rsidRPr="00E4265B">
        <w:rPr>
          <w:rFonts w:ascii="Arial" w:hAnsi="Arial" w:cs="Arial"/>
          <w:i/>
          <w:iCs/>
          <w:sz w:val="22"/>
          <w:szCs w:val="22"/>
          <w:vertAlign w:val="subscript"/>
          <w:lang w:val="en-GB"/>
        </w:rPr>
        <w:t>N</w:t>
      </w:r>
      <w:r w:rsidRPr="00E4265B">
        <w:rPr>
          <w:rFonts w:ascii="Arial" w:hAnsi="Arial" w:cs="Arial"/>
          <w:sz w:val="22"/>
          <w:szCs w:val="22"/>
          <w:lang w:val="en-GB"/>
        </w:rPr>
        <w:t xml:space="preserve">" refers to the haircut based on the holding period </w:t>
      </w:r>
      <w:r w:rsidRPr="00E4265B">
        <w:rPr>
          <w:rFonts w:ascii="Arial" w:hAnsi="Arial" w:cs="Arial"/>
          <w:i/>
          <w:iCs/>
          <w:sz w:val="22"/>
          <w:szCs w:val="22"/>
          <w:lang w:val="en-GB"/>
        </w:rPr>
        <w:t>T</w:t>
      </w:r>
      <w:r w:rsidRPr="00E4265B">
        <w:rPr>
          <w:rFonts w:ascii="Arial" w:hAnsi="Arial" w:cs="Arial"/>
          <w:i/>
          <w:iCs/>
          <w:sz w:val="22"/>
          <w:szCs w:val="22"/>
          <w:vertAlign w:val="subscript"/>
          <w:lang w:val="en-GB"/>
        </w:rPr>
        <w:t>N</w:t>
      </w:r>
      <w:r w:rsidRPr="00E4265B">
        <w:rPr>
          <w:rFonts w:ascii="Arial" w:hAnsi="Arial" w:cs="Arial"/>
          <w:sz w:val="22"/>
          <w:szCs w:val="22"/>
          <w:lang w:val="en-GB"/>
        </w:rPr>
        <w:t>.</w:t>
      </w:r>
    </w:p>
    <w:p w14:paraId="66D17B17" w14:textId="77777777" w:rsidR="00E22FF2" w:rsidRPr="00E4265B" w:rsidRDefault="00E22FF2" w:rsidP="00742AC6">
      <w:pPr>
        <w:pStyle w:val="TitleL5"/>
        <w:rPr>
          <w:rFonts w:ascii="Arial" w:hAnsi="Arial" w:cs="Arial"/>
          <w:sz w:val="22"/>
          <w:szCs w:val="22"/>
          <w:lang w:val="en-GB"/>
        </w:rPr>
      </w:pPr>
      <w:r w:rsidRPr="00E4265B">
        <w:rPr>
          <w:rFonts w:ascii="Arial" w:hAnsi="Arial" w:cs="Arial"/>
          <w:sz w:val="22"/>
          <w:szCs w:val="22"/>
          <w:lang w:val="en-GB"/>
        </w:rPr>
        <w:t>Recognition of eligible financial Collateral under FCSA</w:t>
      </w:r>
    </w:p>
    <w:p w14:paraId="0D6C0E75"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A4.3.27</w:t>
      </w:r>
      <w:r w:rsidRPr="00E4265B">
        <w:rPr>
          <w:rFonts w:ascii="Arial" w:hAnsi="Arial" w:cs="Arial"/>
          <w:b/>
          <w:bCs/>
          <w:sz w:val="22"/>
          <w:szCs w:val="22"/>
          <w:lang w:val="en-GB"/>
        </w:rPr>
        <w:tab/>
      </w:r>
      <w:r w:rsidRPr="00E4265B">
        <w:rPr>
          <w:rFonts w:ascii="Arial" w:hAnsi="Arial" w:cs="Arial"/>
          <w:sz w:val="22"/>
          <w:szCs w:val="22"/>
          <w:lang w:val="en-GB"/>
        </w:rPr>
        <w:t xml:space="preserve">Subject to A4.3.28,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which has taken eligible financial Collateral for a CR Exposure and is using the FCSA may recognise the effects of CRM of the eligible financial Collateral as follows:</w:t>
      </w:r>
    </w:p>
    <w:p w14:paraId="05734911" w14:textId="3775C9F4" w:rsidR="00E22FF2" w:rsidRPr="00E4265B" w:rsidRDefault="00E22FF2" w:rsidP="00CA399D">
      <w:pPr>
        <w:pStyle w:val="1List"/>
        <w:rPr>
          <w:rFonts w:ascii="Arial" w:hAnsi="Arial" w:cs="Arial"/>
          <w:sz w:val="22"/>
          <w:szCs w:val="22"/>
          <w:lang w:val="en-GB"/>
        </w:rPr>
      </w:pPr>
      <w:r w:rsidRPr="00E4265B">
        <w:rPr>
          <w:rFonts w:ascii="Arial" w:hAnsi="Arial" w:cs="Arial"/>
          <w:sz w:val="22"/>
          <w:szCs w:val="22"/>
          <w:lang w:val="en-GB"/>
        </w:rPr>
        <w:t>(a) </w:t>
      </w:r>
      <w:r w:rsidRPr="00E4265B">
        <w:rPr>
          <w:rFonts w:ascii="Arial" w:hAnsi="Arial" w:cs="Arial"/>
          <w:sz w:val="22"/>
          <w:szCs w:val="22"/>
          <w:lang w:val="en-GB"/>
        </w:rPr>
        <w:tab/>
        <w:t>break down the Exposure into</w:t>
      </w:r>
      <w:r w:rsidR="00CA399D" w:rsidRPr="00E4265B">
        <w:rPr>
          <w:rFonts w:ascii="Arial" w:hAnsi="Arial" w:cs="Arial"/>
          <w:sz w:val="22"/>
          <w:szCs w:val="22"/>
          <w:lang w:val="en-GB"/>
        </w:rPr>
        <w:t xml:space="preserve"> -</w:t>
      </w:r>
    </w:p>
    <w:p w14:paraId="32C6CB3F"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(i) </w:t>
      </w:r>
      <w:r w:rsidRPr="00E4265B">
        <w:rPr>
          <w:rFonts w:ascii="Arial" w:hAnsi="Arial" w:cs="Arial"/>
          <w:sz w:val="22"/>
          <w:szCs w:val="22"/>
          <w:lang w:val="en-GB"/>
        </w:rPr>
        <w:tab/>
        <w:t>a collateralised portion with E equal to the latest fair value of the eligible financial Collateral; and</w:t>
      </w:r>
    </w:p>
    <w:p w14:paraId="0F7000F6"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(ii) </w:t>
      </w:r>
      <w:r w:rsidRPr="00E4265B">
        <w:rPr>
          <w:rFonts w:ascii="Arial" w:hAnsi="Arial" w:cs="Arial"/>
          <w:sz w:val="22"/>
          <w:szCs w:val="22"/>
          <w:lang w:val="en-GB"/>
        </w:rPr>
        <w:tab/>
        <w:t>an uncollateralised portion with E equal to the E of the CR Exposure less the latest fair value of the eligible financial Collateral;</w:t>
      </w:r>
    </w:p>
    <w:p w14:paraId="56E1A55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and</w:t>
      </w:r>
    </w:p>
    <w:p w14:paraId="29921CB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 </w:t>
      </w:r>
      <w:r w:rsidRPr="00E4265B">
        <w:rPr>
          <w:rFonts w:ascii="Arial" w:hAnsi="Arial" w:cs="Arial"/>
          <w:sz w:val="22"/>
          <w:szCs w:val="22"/>
          <w:lang w:val="en-GB"/>
        </w:rPr>
        <w:tab/>
        <w:t>for the purposes of calculating the Credit RWA amount pursuant to Rule 4.8.3, use:</w:t>
      </w:r>
    </w:p>
    <w:p w14:paraId="65641482"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(i) </w:t>
      </w:r>
      <w:r w:rsidRPr="00E4265B">
        <w:rPr>
          <w:rFonts w:ascii="Arial" w:hAnsi="Arial" w:cs="Arial"/>
          <w:sz w:val="22"/>
          <w:szCs w:val="22"/>
          <w:lang w:val="en-GB"/>
        </w:rPr>
        <w:tab/>
        <w:t xml:space="preserve">for the collateralised portion, the CRW that is applicable to the eligible financial Collateral as though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had a direct Exposure to that Collateral; and</w:t>
      </w:r>
    </w:p>
    <w:p w14:paraId="4B73A760"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(ii) </w:t>
      </w:r>
      <w:r w:rsidRPr="00E4265B">
        <w:rPr>
          <w:rFonts w:ascii="Arial" w:hAnsi="Arial" w:cs="Arial"/>
          <w:sz w:val="22"/>
          <w:szCs w:val="22"/>
          <w:lang w:val="en-GB"/>
        </w:rPr>
        <w:tab/>
        <w:t>for the uncollateralised portion, the CRW that is applicable to the obligor.</w:t>
      </w:r>
    </w:p>
    <w:p w14:paraId="2EE8FA26"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A4.3.28</w:t>
      </w:r>
      <w:r w:rsidRPr="00E4265B">
        <w:rPr>
          <w:rFonts w:ascii="Arial" w:hAnsi="Arial" w:cs="Arial"/>
          <w:b/>
          <w:bCs/>
          <w:sz w:val="22"/>
          <w:szCs w:val="22"/>
          <w:lang w:val="en-GB"/>
        </w:rPr>
        <w:tab/>
      </w:r>
      <w:r w:rsidRPr="00E4265B">
        <w:rPr>
          <w:rFonts w:ascii="Arial" w:hAnsi="Arial" w:cs="Arial"/>
          <w:sz w:val="22"/>
          <w:szCs w:val="22"/>
          <w:lang w:val="en-GB"/>
        </w:rPr>
        <w:t xml:space="preserve">If the CRW determined in accordance with A4.3.27(b)(i) is less than 20%,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apply a CRW of 20% to the collateralised portion of the CR Exposure, except in the following cases:</w:t>
      </w:r>
    </w:p>
    <w:p w14:paraId="3AD1495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 </w:t>
      </w:r>
      <w:r w:rsidRPr="00E4265B">
        <w:rPr>
          <w:rFonts w:ascii="Arial" w:hAnsi="Arial" w:cs="Arial"/>
          <w:sz w:val="22"/>
          <w:szCs w:val="22"/>
          <w:lang w:val="en-GB"/>
        </w:rPr>
        <w:tab/>
        <w:t xml:space="preserve">a qualifying SFT where the Counterparty in the transaction is a core market participant, in which case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apply a risk weight of 0%;</w:t>
      </w:r>
    </w:p>
    <w:p w14:paraId="09F757AA"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 </w:t>
      </w:r>
      <w:r w:rsidRPr="00E4265B">
        <w:rPr>
          <w:rFonts w:ascii="Arial" w:hAnsi="Arial" w:cs="Arial"/>
          <w:sz w:val="22"/>
          <w:szCs w:val="22"/>
          <w:lang w:val="en-GB"/>
        </w:rPr>
        <w:tab/>
        <w:t xml:space="preserve">a qualifying SFT where the Counterparty in the transaction is not a core market participant, in which case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apply a risk weight of 10%;</w:t>
      </w:r>
    </w:p>
    <w:p w14:paraId="70EACC0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 </w:t>
      </w:r>
      <w:r w:rsidRPr="00E4265B">
        <w:rPr>
          <w:rFonts w:ascii="Arial" w:hAnsi="Arial" w:cs="Arial"/>
          <w:sz w:val="22"/>
          <w:szCs w:val="22"/>
          <w:lang w:val="en-GB"/>
        </w:rPr>
        <w:tab/>
        <w:t>an OTC Derivative transaction subject to daily mark</w:t>
      </w:r>
      <w:r w:rsidRPr="00E4265B">
        <w:rPr>
          <w:rFonts w:ascii="Arial" w:hAnsi="Arial" w:cs="Arial"/>
          <w:sz w:val="22"/>
          <w:szCs w:val="22"/>
          <w:lang w:val="en-GB"/>
        </w:rPr>
        <w:noBreakHyphen/>
        <w:t>to</w:t>
      </w:r>
      <w:r w:rsidRPr="00E4265B">
        <w:rPr>
          <w:rFonts w:ascii="Arial" w:hAnsi="Arial" w:cs="Arial"/>
          <w:sz w:val="22"/>
          <w:szCs w:val="22"/>
          <w:lang w:val="en-GB"/>
        </w:rPr>
        <w:noBreakHyphen/>
        <w:t xml:space="preserve">market that is collateralised by cash, and where there is no currency mismatch, in which case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apply a risk weight of 0%;</w:t>
      </w:r>
    </w:p>
    <w:p w14:paraId="7AA310DF" w14:textId="6E9E9BAC"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 </w:t>
      </w:r>
      <w:r w:rsidRPr="00E4265B">
        <w:rPr>
          <w:rFonts w:ascii="Arial" w:hAnsi="Arial" w:cs="Arial"/>
          <w:sz w:val="22"/>
          <w:szCs w:val="22"/>
          <w:lang w:val="en-GB"/>
        </w:rPr>
        <w:tab/>
        <w:t>an OTC Derivative transaction subject to daily mark</w:t>
      </w:r>
      <w:r w:rsidRPr="00E4265B">
        <w:rPr>
          <w:rFonts w:ascii="Arial" w:hAnsi="Arial" w:cs="Arial"/>
          <w:sz w:val="22"/>
          <w:szCs w:val="22"/>
          <w:lang w:val="en-GB"/>
        </w:rPr>
        <w:noBreakHyphen/>
        <w:t>to</w:t>
      </w:r>
      <w:r w:rsidRPr="00E4265B">
        <w:rPr>
          <w:rFonts w:ascii="Arial" w:hAnsi="Arial" w:cs="Arial"/>
          <w:sz w:val="22"/>
          <w:szCs w:val="22"/>
          <w:lang w:val="en-GB"/>
        </w:rPr>
        <w:noBreakHyphen/>
        <w:t xml:space="preserve">market that is collateralised by Exposures to central governments, </w:t>
      </w:r>
      <w:r w:rsidR="00030214" w:rsidRPr="00E4265B">
        <w:rPr>
          <w:rFonts w:ascii="Arial" w:hAnsi="Arial" w:cs="Arial"/>
          <w:sz w:val="22"/>
          <w:szCs w:val="22"/>
          <w:lang w:val="en-GB"/>
        </w:rPr>
        <w:t>central bank</w:t>
      </w:r>
      <w:r w:rsidRPr="00E4265B">
        <w:rPr>
          <w:rFonts w:ascii="Arial" w:hAnsi="Arial" w:cs="Arial"/>
          <w:sz w:val="22"/>
          <w:szCs w:val="22"/>
          <w:lang w:val="en-GB"/>
        </w:rPr>
        <w:t xml:space="preserve">s or PSE or a combination thereof qualifying for a 0% risk weight in accordance with the Rules in Chapter 4, and where there is no currency mismatch, in which case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apply a risk weight of 10%; and</w:t>
      </w:r>
    </w:p>
    <w:p w14:paraId="5CCB287B" w14:textId="2A370CCB" w:rsidR="00E22FF2" w:rsidRPr="00E4265B" w:rsidRDefault="003733A6" w:rsidP="00CA399D">
      <w:pPr>
        <w:pStyle w:val="1List"/>
        <w:rPr>
          <w:rFonts w:ascii="Arial" w:hAnsi="Arial" w:cs="Arial"/>
          <w:sz w:val="22"/>
          <w:szCs w:val="22"/>
          <w:lang w:val="en-GB"/>
        </w:rPr>
      </w:pPr>
      <w:r w:rsidRPr="00E4265B">
        <w:rPr>
          <w:rFonts w:ascii="Arial" w:hAnsi="Arial" w:cs="Arial"/>
          <w:sz w:val="22"/>
          <w:szCs w:val="22"/>
          <w:lang w:val="en-GB"/>
        </w:rPr>
        <w:t>(e)</w:t>
      </w:r>
      <w:r w:rsidR="00E22FF2" w:rsidRPr="00E4265B">
        <w:rPr>
          <w:rFonts w:ascii="Arial" w:hAnsi="Arial" w:cs="Arial"/>
          <w:sz w:val="22"/>
          <w:szCs w:val="22"/>
          <w:lang w:val="en-GB"/>
        </w:rPr>
        <w:tab/>
        <w:t>a transaction where there is no currency mismatch and the Collateral comprises</w:t>
      </w:r>
      <w:r w:rsidR="00CA399D" w:rsidRPr="00E4265B">
        <w:rPr>
          <w:rFonts w:ascii="Arial" w:hAnsi="Arial" w:cs="Arial"/>
          <w:sz w:val="22"/>
          <w:szCs w:val="22"/>
          <w:lang w:val="en-GB"/>
        </w:rPr>
        <w:t xml:space="preserve"> -</w:t>
      </w:r>
    </w:p>
    <w:p w14:paraId="78DCDF0E"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(i) </w:t>
      </w:r>
      <w:r w:rsidRPr="00E4265B">
        <w:rPr>
          <w:rFonts w:ascii="Arial" w:hAnsi="Arial" w:cs="Arial"/>
          <w:sz w:val="22"/>
          <w:szCs w:val="22"/>
          <w:lang w:val="en-GB"/>
        </w:rPr>
        <w:tab/>
        <w:t xml:space="preserve">cash on </w:t>
      </w:r>
      <w:r w:rsidR="006C764B" w:rsidRPr="00E4265B">
        <w:rPr>
          <w:rFonts w:ascii="Arial" w:hAnsi="Arial" w:cs="Arial"/>
          <w:sz w:val="22"/>
          <w:szCs w:val="22"/>
          <w:lang w:val="en-GB"/>
        </w:rPr>
        <w:t>Deposit</w:t>
      </w:r>
      <w:r w:rsidRPr="00E4265B">
        <w:rPr>
          <w:rFonts w:ascii="Arial" w:hAnsi="Arial" w:cs="Arial"/>
          <w:sz w:val="22"/>
          <w:szCs w:val="22"/>
          <w:lang w:val="en-GB"/>
        </w:rPr>
        <w:t xml:space="preserve"> as set out in Rule 4.13.5(a); or</w:t>
      </w:r>
    </w:p>
    <w:p w14:paraId="4C661D43" w14:textId="5152D5CA"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(ii) </w:t>
      </w:r>
      <w:r w:rsidRPr="00E4265B">
        <w:rPr>
          <w:rFonts w:ascii="Arial" w:hAnsi="Arial" w:cs="Arial"/>
          <w:sz w:val="22"/>
          <w:szCs w:val="22"/>
          <w:lang w:val="en-GB"/>
        </w:rPr>
        <w:tab/>
        <w:t xml:space="preserve">Exposures in the central government and </w:t>
      </w:r>
      <w:r w:rsidR="00030214" w:rsidRPr="00E4265B">
        <w:rPr>
          <w:rFonts w:ascii="Arial" w:hAnsi="Arial" w:cs="Arial"/>
          <w:sz w:val="22"/>
          <w:szCs w:val="22"/>
          <w:lang w:val="en-GB"/>
        </w:rPr>
        <w:t>central bank</w:t>
      </w:r>
      <w:r w:rsidRPr="00E4265B">
        <w:rPr>
          <w:rFonts w:ascii="Arial" w:hAnsi="Arial" w:cs="Arial"/>
          <w:sz w:val="22"/>
          <w:szCs w:val="22"/>
          <w:lang w:val="en-GB"/>
        </w:rPr>
        <w:t xml:space="preserve"> asset class or in the PSE asset class or a combination thereof qualifying for a 0% risk weight under the Rules in Section 4.12, and the latest fair value of such Collateral has been discounted by 20% for the purposes of determining the value of the collateralised portion of the CR Exposure in accordance with Rule A4.3.27(a)(i), in which case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apply a CRW of 0%.</w:t>
      </w:r>
    </w:p>
    <w:p w14:paraId="047D72E1"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A4.3.29</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which is using FCSA must not recognise the effects of CRM of any Collateral with a </w:t>
      </w:r>
      <w:r w:rsidR="005D344E" w:rsidRPr="00E4265B">
        <w:rPr>
          <w:rFonts w:ascii="Arial" w:hAnsi="Arial" w:cs="Arial"/>
          <w:sz w:val="22"/>
          <w:szCs w:val="22"/>
          <w:lang w:val="en-GB"/>
        </w:rPr>
        <w:t>Maturity Mismatch</w:t>
      </w:r>
      <w:r w:rsidRPr="00E4265B">
        <w:rPr>
          <w:rFonts w:ascii="Arial" w:hAnsi="Arial" w:cs="Arial"/>
          <w:sz w:val="22"/>
          <w:szCs w:val="22"/>
          <w:lang w:val="en-GB"/>
        </w:rPr>
        <w:t>.</w:t>
      </w:r>
    </w:p>
    <w:p w14:paraId="5BACC58D" w14:textId="1E9BDDCD" w:rsidR="00E22FF2" w:rsidRPr="00E4265B" w:rsidRDefault="003733A6" w:rsidP="004F0272">
      <w:pPr>
        <w:pStyle w:val="UK12Title2"/>
        <w:rPr>
          <w:rFonts w:ascii="Arial" w:hAnsi="Arial" w:cs="Arial"/>
          <w:sz w:val="22"/>
          <w:szCs w:val="22"/>
        </w:rPr>
      </w:pPr>
      <w:bookmarkStart w:id="972" w:name="_Toc33622481"/>
      <w:r w:rsidRPr="00E4265B">
        <w:rPr>
          <w:rFonts w:ascii="Arial" w:hAnsi="Arial" w:cs="Arial"/>
          <w:sz w:val="22"/>
          <w:szCs w:val="22"/>
        </w:rPr>
        <w:t>A4.4</w:t>
      </w:r>
      <w:r w:rsidR="00E22FF2" w:rsidRPr="00E4265B">
        <w:rPr>
          <w:rFonts w:ascii="Arial" w:hAnsi="Arial" w:cs="Arial"/>
          <w:sz w:val="22"/>
          <w:szCs w:val="22"/>
        </w:rPr>
        <w:tab/>
        <w:t xml:space="preserve">Qualifying </w:t>
      </w:r>
      <w:r w:rsidR="002E3A51" w:rsidRPr="00E4265B">
        <w:rPr>
          <w:rFonts w:ascii="Arial" w:hAnsi="Arial" w:cs="Arial"/>
          <w:sz w:val="22"/>
          <w:szCs w:val="22"/>
        </w:rPr>
        <w:t>Securities Financing Transaction</w:t>
      </w:r>
      <w:r w:rsidR="00E22FF2" w:rsidRPr="00E4265B">
        <w:rPr>
          <w:rFonts w:ascii="Arial" w:hAnsi="Arial" w:cs="Arial"/>
          <w:sz w:val="22"/>
          <w:szCs w:val="22"/>
        </w:rPr>
        <w:t>s (SFTs)</w:t>
      </w:r>
      <w:bookmarkEnd w:id="972"/>
    </w:p>
    <w:p w14:paraId="0E23ABAF"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A4.4.1</w:t>
      </w:r>
      <w:r w:rsidRPr="00E4265B">
        <w:rPr>
          <w:rFonts w:ascii="Arial" w:hAnsi="Arial" w:cs="Arial"/>
          <w:b/>
          <w:bCs/>
          <w:sz w:val="22"/>
          <w:szCs w:val="22"/>
          <w:lang w:val="en-GB"/>
        </w:rPr>
        <w:tab/>
      </w:r>
      <w:r w:rsidRPr="00E4265B">
        <w:rPr>
          <w:rFonts w:ascii="Arial" w:hAnsi="Arial" w:cs="Arial"/>
          <w:sz w:val="22"/>
          <w:szCs w:val="22"/>
          <w:lang w:val="en-GB"/>
        </w:rPr>
        <w:t>A qualifying SFT must comply with the following requirements:</w:t>
      </w:r>
    </w:p>
    <w:p w14:paraId="097E1CEA" w14:textId="4B310D10"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 </w:t>
      </w:r>
      <w:r w:rsidRPr="00E4265B">
        <w:rPr>
          <w:rFonts w:ascii="Arial" w:hAnsi="Arial" w:cs="Arial"/>
          <w:sz w:val="22"/>
          <w:szCs w:val="22"/>
          <w:lang w:val="en-GB"/>
        </w:rPr>
        <w:tab/>
        <w:t xml:space="preserve">both the Exposure and the Collateral are cash, or a </w:t>
      </w:r>
      <w:r w:rsidR="00877CEA" w:rsidRPr="00E4265B">
        <w:rPr>
          <w:rFonts w:ascii="Arial" w:hAnsi="Arial" w:cs="Arial"/>
          <w:sz w:val="22"/>
          <w:szCs w:val="22"/>
          <w:lang w:val="en-GB"/>
        </w:rPr>
        <w:t>Security</w:t>
      </w:r>
      <w:r w:rsidRPr="00E4265B">
        <w:rPr>
          <w:rFonts w:ascii="Arial" w:hAnsi="Arial" w:cs="Arial"/>
          <w:sz w:val="22"/>
          <w:szCs w:val="22"/>
          <w:lang w:val="en-GB"/>
        </w:rPr>
        <w:t xml:space="preserve"> issued by a central government or </w:t>
      </w:r>
      <w:r w:rsidR="00030214" w:rsidRPr="00E4265B">
        <w:rPr>
          <w:rFonts w:ascii="Arial" w:hAnsi="Arial" w:cs="Arial"/>
          <w:sz w:val="22"/>
          <w:szCs w:val="22"/>
          <w:lang w:val="en-GB"/>
        </w:rPr>
        <w:t>central bank</w:t>
      </w:r>
      <w:r w:rsidRPr="00E4265B">
        <w:rPr>
          <w:rFonts w:ascii="Arial" w:hAnsi="Arial" w:cs="Arial"/>
          <w:sz w:val="22"/>
          <w:szCs w:val="22"/>
          <w:lang w:val="en-GB"/>
        </w:rPr>
        <w:t xml:space="preserve"> qualifying for a 0% risk weight under the Rules in Section 4.12;</w:t>
      </w:r>
    </w:p>
    <w:p w14:paraId="4627E34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(b) </w:t>
      </w:r>
      <w:r w:rsidRPr="00E4265B">
        <w:rPr>
          <w:rFonts w:ascii="Arial" w:hAnsi="Arial" w:cs="Arial"/>
          <w:sz w:val="22"/>
          <w:szCs w:val="22"/>
          <w:lang w:val="en-GB"/>
        </w:rPr>
        <w:tab/>
        <w:t xml:space="preserve">both the Exposure and the Collateral are denominated in the same currency; </w:t>
      </w:r>
    </w:p>
    <w:p w14:paraId="0347AD7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either the transaction is overnight or both the Exposure and the Collateral are marked</w:t>
      </w:r>
      <w:r w:rsidRPr="00E4265B">
        <w:rPr>
          <w:rFonts w:ascii="Arial" w:hAnsi="Arial" w:cs="Arial"/>
          <w:sz w:val="22"/>
          <w:szCs w:val="22"/>
          <w:lang w:val="en-GB"/>
        </w:rPr>
        <w:noBreakHyphen/>
        <w:t>to</w:t>
      </w:r>
      <w:r w:rsidRPr="00E4265B">
        <w:rPr>
          <w:rFonts w:ascii="Arial" w:hAnsi="Arial" w:cs="Arial"/>
          <w:sz w:val="22"/>
          <w:szCs w:val="22"/>
          <w:lang w:val="en-GB"/>
        </w:rPr>
        <w:noBreakHyphen/>
        <w:t>market daily and are subject to daily remargining;</w:t>
      </w:r>
    </w:p>
    <w:p w14:paraId="6FD71D7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 </w:t>
      </w:r>
      <w:r w:rsidRPr="00E4265B">
        <w:rPr>
          <w:rFonts w:ascii="Arial" w:hAnsi="Arial" w:cs="Arial"/>
          <w:sz w:val="22"/>
          <w:szCs w:val="22"/>
          <w:lang w:val="en-GB"/>
        </w:rPr>
        <w:tab/>
        <w:t>following a Counterparty's failure to remargin, the time that is required between the last mark</w:t>
      </w:r>
      <w:r w:rsidRPr="00E4265B">
        <w:rPr>
          <w:rFonts w:ascii="Arial" w:hAnsi="Arial" w:cs="Arial"/>
          <w:sz w:val="22"/>
          <w:szCs w:val="22"/>
          <w:lang w:val="en-GB"/>
        </w:rPr>
        <w:noBreakHyphen/>
        <w:t>to</w:t>
      </w:r>
      <w:r w:rsidRPr="00E4265B">
        <w:rPr>
          <w:rFonts w:ascii="Arial" w:hAnsi="Arial" w:cs="Arial"/>
          <w:sz w:val="22"/>
          <w:szCs w:val="22"/>
          <w:lang w:val="en-GB"/>
        </w:rPr>
        <w:noBreakHyphen/>
        <w:t>market before the failure to remargin and the liquidation of the Collateral is considered to be no more than four business days;</w:t>
      </w:r>
    </w:p>
    <w:p w14:paraId="2A92AA5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(e) </w:t>
      </w:r>
      <w:r w:rsidRPr="00E4265B">
        <w:rPr>
          <w:rFonts w:ascii="Arial" w:hAnsi="Arial" w:cs="Arial"/>
          <w:sz w:val="22"/>
          <w:szCs w:val="22"/>
          <w:lang w:val="en-GB"/>
        </w:rPr>
        <w:tab/>
        <w:t>the transaction is settled across a recognised settlement system for that type of transaction;</w:t>
      </w:r>
    </w:p>
    <w:p w14:paraId="579D8E1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(f) </w:t>
      </w:r>
      <w:r w:rsidRPr="00E4265B">
        <w:rPr>
          <w:rFonts w:ascii="Arial" w:hAnsi="Arial" w:cs="Arial"/>
          <w:sz w:val="22"/>
          <w:szCs w:val="22"/>
          <w:lang w:val="en-GB"/>
        </w:rPr>
        <w:tab/>
        <w:t xml:space="preserve">the documentation covering the agreement is standard market documentation for repos, reverse repos,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lending transactions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borrowing transactions in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concerned;</w:t>
      </w:r>
    </w:p>
    <w:p w14:paraId="5260006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(g) </w:t>
      </w:r>
      <w:r w:rsidRPr="00E4265B">
        <w:rPr>
          <w:rFonts w:ascii="Arial" w:hAnsi="Arial" w:cs="Arial"/>
          <w:sz w:val="22"/>
          <w:szCs w:val="22"/>
          <w:lang w:val="en-GB"/>
        </w:rPr>
        <w:tab/>
        <w:t xml:space="preserve">the transaction is governed by documentation specifying that if the Counterparty fails to satisfy an obligation to deliver cash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or to deliver margin, or otherwise defaults, then the transaction may be terminated immediately; and</w:t>
      </w:r>
    </w:p>
    <w:p w14:paraId="47FD8F7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 xml:space="preserve">(h) </w:t>
      </w:r>
      <w:r w:rsidRPr="00E4265B">
        <w:rPr>
          <w:rFonts w:ascii="Arial" w:hAnsi="Arial" w:cs="Arial"/>
          <w:sz w:val="22"/>
          <w:szCs w:val="22"/>
          <w:lang w:val="en-GB"/>
        </w:rPr>
        <w:tab/>
        <w:t xml:space="preserve">upon any event of default, regardless of whether the Counterparty is insolvent or bankrupt,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the unfettered, legally enforceable right to immediately seize and liquidate the Collateral for the benefit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6576C790" w14:textId="77777777" w:rsidR="00E22FF2" w:rsidRPr="00E4265B" w:rsidRDefault="00E22FF2" w:rsidP="004F0272">
      <w:pPr>
        <w:pStyle w:val="UK12Title2"/>
        <w:rPr>
          <w:rFonts w:ascii="Arial" w:hAnsi="Arial" w:cs="Arial"/>
          <w:sz w:val="22"/>
          <w:szCs w:val="22"/>
        </w:rPr>
      </w:pPr>
      <w:bookmarkStart w:id="973" w:name="_Toc33622482"/>
      <w:r w:rsidRPr="00E4265B">
        <w:rPr>
          <w:rFonts w:ascii="Arial" w:hAnsi="Arial" w:cs="Arial"/>
          <w:sz w:val="22"/>
          <w:szCs w:val="22"/>
        </w:rPr>
        <w:t>A4.5 </w:t>
      </w:r>
      <w:r w:rsidRPr="00E4265B">
        <w:rPr>
          <w:rFonts w:ascii="Arial" w:hAnsi="Arial" w:cs="Arial"/>
          <w:sz w:val="22"/>
          <w:szCs w:val="22"/>
        </w:rPr>
        <w:tab/>
        <w:t>Requirements for use of VaR models</w:t>
      </w:r>
      <w:bookmarkEnd w:id="973"/>
    </w:p>
    <w:p w14:paraId="18D2C3A5"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A4.5.1</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using VaR models must:</w:t>
      </w:r>
    </w:p>
    <w:p w14:paraId="68A84CB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 </w:t>
      </w:r>
      <w:r w:rsidRPr="00E4265B">
        <w:rPr>
          <w:rFonts w:ascii="Arial" w:hAnsi="Arial" w:cs="Arial"/>
          <w:sz w:val="22"/>
          <w:szCs w:val="22"/>
          <w:lang w:val="en-GB"/>
        </w:rPr>
        <w:tab/>
        <w:t xml:space="preserve">use a minimum holding period of ten business days except in the case of an SFT, for which it must use a minimum holding period of five business days; </w:t>
      </w:r>
    </w:p>
    <w:p w14:paraId="1B94A03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 </w:t>
      </w:r>
      <w:r w:rsidRPr="00E4265B">
        <w:rPr>
          <w:rFonts w:ascii="Arial" w:hAnsi="Arial" w:cs="Arial"/>
          <w:sz w:val="22"/>
          <w:szCs w:val="22"/>
          <w:lang w:val="en-GB"/>
        </w:rPr>
        <w:tab/>
        <w:t>backtest its output by:</w:t>
      </w:r>
    </w:p>
    <w:p w14:paraId="2FD22DC0"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(i) </w:t>
      </w:r>
      <w:r w:rsidRPr="00E4265B">
        <w:rPr>
          <w:rFonts w:ascii="Arial" w:hAnsi="Arial" w:cs="Arial"/>
          <w:sz w:val="22"/>
          <w:szCs w:val="22"/>
          <w:lang w:val="en-GB"/>
        </w:rPr>
        <w:tab/>
        <w:t xml:space="preserve">identifying a sample of </w:t>
      </w:r>
      <w:r w:rsidR="00FA6190" w:rsidRPr="00E4265B">
        <w:rPr>
          <w:rFonts w:ascii="Arial" w:hAnsi="Arial" w:cs="Arial"/>
          <w:sz w:val="22"/>
          <w:szCs w:val="22"/>
          <w:lang w:val="en-GB"/>
        </w:rPr>
        <w:t>twenty</w:t>
      </w:r>
      <w:r w:rsidRPr="00E4265B">
        <w:rPr>
          <w:rFonts w:ascii="Arial" w:hAnsi="Arial" w:cs="Arial"/>
          <w:sz w:val="22"/>
          <w:szCs w:val="22"/>
          <w:lang w:val="en-GB"/>
        </w:rPr>
        <w:t xml:space="preserve"> Counterparties, on an annual basis, which must include the ten largest Counterparties as determined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according to its own Exposure measurement approach and ten others selected at random;</w:t>
      </w:r>
    </w:p>
    <w:p w14:paraId="2D31F033"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(ii) </w:t>
      </w:r>
      <w:r w:rsidRPr="00E4265B">
        <w:rPr>
          <w:rFonts w:ascii="Arial" w:hAnsi="Arial" w:cs="Arial"/>
          <w:sz w:val="22"/>
          <w:szCs w:val="22"/>
          <w:lang w:val="en-GB"/>
        </w:rPr>
        <w:tab/>
        <w:t xml:space="preserve">comparing, for each day and for the sample of </w:t>
      </w:r>
      <w:r w:rsidR="00FA6190" w:rsidRPr="00E4265B">
        <w:rPr>
          <w:rFonts w:ascii="Arial" w:hAnsi="Arial" w:cs="Arial"/>
          <w:sz w:val="22"/>
          <w:szCs w:val="22"/>
          <w:lang w:val="en-GB"/>
        </w:rPr>
        <w:t xml:space="preserve">twenty </w:t>
      </w:r>
      <w:r w:rsidRPr="00E4265B">
        <w:rPr>
          <w:rFonts w:ascii="Arial" w:hAnsi="Arial" w:cs="Arial"/>
          <w:sz w:val="22"/>
          <w:szCs w:val="22"/>
          <w:lang w:val="en-GB"/>
        </w:rPr>
        <w:t>Counterparties, the VaR estimate of the previous day for the Counterparty portfolio to the difference between the net value of the previous day's portfolio using today's market prices and the net value of that portfolio using the previous day's market prices; and</w:t>
      </w:r>
    </w:p>
    <w:p w14:paraId="6FD89902" w14:textId="77777777" w:rsidR="00E22FF2" w:rsidRPr="00E4265B" w:rsidRDefault="00E22FF2" w:rsidP="00742AC6">
      <w:pPr>
        <w:pStyle w:val="aList"/>
        <w:rPr>
          <w:rFonts w:ascii="Arial" w:hAnsi="Arial" w:cs="Arial"/>
          <w:sz w:val="22"/>
          <w:szCs w:val="22"/>
          <w:lang w:val="en-GB"/>
        </w:rPr>
      </w:pPr>
      <w:r w:rsidRPr="00E4265B">
        <w:rPr>
          <w:rFonts w:ascii="Arial" w:hAnsi="Arial" w:cs="Arial"/>
          <w:sz w:val="22"/>
          <w:szCs w:val="22"/>
          <w:lang w:val="en-GB"/>
        </w:rPr>
        <w:t>(iii) </w:t>
      </w:r>
      <w:r w:rsidRPr="00E4265B">
        <w:rPr>
          <w:rFonts w:ascii="Arial" w:hAnsi="Arial" w:cs="Arial"/>
          <w:sz w:val="22"/>
          <w:szCs w:val="22"/>
          <w:lang w:val="en-GB"/>
        </w:rPr>
        <w:tab/>
        <w:t>counting it as an exception, where this difference exceeds the previous day's VaR estimate.</w:t>
      </w:r>
    </w:p>
    <w:p w14:paraId="6372E2AD" w14:textId="77777777" w:rsidR="00E22FF2" w:rsidRPr="00E4265B" w:rsidRDefault="00E22FF2" w:rsidP="00742AC6">
      <w:pPr>
        <w:pStyle w:val="TitleL5"/>
        <w:rPr>
          <w:rFonts w:ascii="Arial" w:hAnsi="Arial" w:cs="Arial"/>
          <w:sz w:val="22"/>
          <w:szCs w:val="22"/>
          <w:lang w:val="en-GB"/>
        </w:rPr>
      </w:pPr>
      <w:r w:rsidRPr="00E4265B">
        <w:rPr>
          <w:rFonts w:ascii="Arial" w:hAnsi="Arial" w:cs="Arial"/>
          <w:sz w:val="22"/>
          <w:szCs w:val="22"/>
          <w:lang w:val="en-GB"/>
        </w:rPr>
        <w:t>Guidance</w:t>
      </w:r>
    </w:p>
    <w:p w14:paraId="496EF7EA" w14:textId="77777777" w:rsidR="00E22FF2" w:rsidRPr="00E4265B" w:rsidRDefault="00E22FF2" w:rsidP="00742AC6">
      <w:pPr>
        <w:pStyle w:val="UK12Block05"/>
        <w:rPr>
          <w:rFonts w:ascii="Arial" w:hAnsi="Arial" w:cs="Arial"/>
          <w:sz w:val="22"/>
          <w:szCs w:val="22"/>
          <w:lang w:val="en-GB"/>
        </w:rPr>
      </w:pP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adjust the minimum holding period upwards for any </w:t>
      </w:r>
      <w:r w:rsidR="00690BF6" w:rsidRPr="00E4265B">
        <w:rPr>
          <w:rFonts w:ascii="Arial" w:hAnsi="Arial" w:cs="Arial"/>
          <w:sz w:val="22"/>
          <w:szCs w:val="22"/>
          <w:lang w:val="en-GB"/>
        </w:rPr>
        <w:t>Financial Instrument</w:t>
      </w:r>
      <w:r w:rsidRPr="00E4265B">
        <w:rPr>
          <w:rFonts w:ascii="Arial" w:hAnsi="Arial" w:cs="Arial"/>
          <w:sz w:val="22"/>
          <w:szCs w:val="22"/>
          <w:lang w:val="en-GB"/>
        </w:rPr>
        <w:t xml:space="preserve"> where the specified holding period would be inappropriate given the liquidity of the instrument concerned. When the outcome of the model </w:t>
      </w:r>
      <w:r w:rsidRPr="00E4265B">
        <w:rPr>
          <w:rFonts w:ascii="Arial" w:hAnsi="Arial" w:cs="Arial"/>
          <w:sz w:val="22"/>
          <w:szCs w:val="22"/>
          <w:lang w:val="en-GB"/>
        </w:rPr>
        <w:lastRenderedPageBreak/>
        <w:t xml:space="preserve">consistently results in a large number of exceptions, either overall or for one significant Counterparty,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expected to review the model assumptions and make modifications as appropriate.</w:t>
      </w:r>
    </w:p>
    <w:p w14:paraId="4129A985" w14:textId="03DE9DB0" w:rsidR="00E22FF2" w:rsidRPr="00E4265B" w:rsidRDefault="00E22FF2" w:rsidP="00646804">
      <w:pPr>
        <w:pStyle w:val="UK12Title2"/>
        <w:rPr>
          <w:rFonts w:ascii="Arial" w:hAnsi="Arial" w:cs="Arial"/>
          <w:sz w:val="22"/>
          <w:szCs w:val="22"/>
        </w:rPr>
      </w:pPr>
      <w:bookmarkStart w:id="974" w:name="_Toc33622483"/>
      <w:r w:rsidRPr="00E4265B">
        <w:rPr>
          <w:rFonts w:ascii="Arial" w:hAnsi="Arial" w:cs="Arial"/>
          <w:sz w:val="22"/>
          <w:szCs w:val="22"/>
        </w:rPr>
        <w:t>A4.6 </w:t>
      </w:r>
      <w:r w:rsidRPr="00E4265B">
        <w:rPr>
          <w:rFonts w:ascii="Arial" w:hAnsi="Arial" w:cs="Arial"/>
          <w:sz w:val="22"/>
          <w:szCs w:val="22"/>
        </w:rPr>
        <w:tab/>
        <w:t xml:space="preserve">Credit RWA </w:t>
      </w:r>
      <w:r w:rsidRPr="00E4265B">
        <w:rPr>
          <w:rFonts w:ascii="Arial" w:hAnsi="Arial" w:cs="Arial"/>
          <w:sz w:val="22"/>
          <w:szCs w:val="22"/>
        </w:rPr>
        <w:noBreakHyphen/>
        <w:t xml:space="preserve"> Unsettled Transactions, free deliveries</w:t>
      </w:r>
      <w:r w:rsidR="00646804" w:rsidRPr="00E4265B">
        <w:rPr>
          <w:rFonts w:ascii="Arial" w:hAnsi="Arial" w:cs="Arial"/>
          <w:sz w:val="22"/>
          <w:szCs w:val="22"/>
        </w:rPr>
        <w:t>, Derivatives and long settlement transactions</w:t>
      </w:r>
      <w:bookmarkEnd w:id="974"/>
    </w:p>
    <w:p w14:paraId="7659212A" w14:textId="77777777" w:rsidR="00E22FF2" w:rsidRPr="00E4265B" w:rsidRDefault="00E22FF2" w:rsidP="00742AC6">
      <w:pPr>
        <w:pStyle w:val="TitleL5"/>
        <w:rPr>
          <w:rFonts w:ascii="Arial" w:hAnsi="Arial" w:cs="Arial"/>
          <w:sz w:val="22"/>
          <w:szCs w:val="22"/>
          <w:lang w:val="en-GB"/>
        </w:rPr>
      </w:pPr>
      <w:r w:rsidRPr="00E4265B">
        <w:rPr>
          <w:rFonts w:ascii="Arial" w:hAnsi="Arial" w:cs="Arial"/>
          <w:sz w:val="22"/>
          <w:szCs w:val="22"/>
          <w:lang w:val="en-GB"/>
        </w:rPr>
        <w:t>Guidance</w:t>
      </w:r>
    </w:p>
    <w:p w14:paraId="545A3DE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 xml:space="preserve">1. </w:t>
      </w:r>
      <w:r w:rsidRPr="00E4265B">
        <w:rPr>
          <w:rFonts w:ascii="Arial" w:hAnsi="Arial" w:cs="Arial"/>
          <w:sz w:val="22"/>
          <w:szCs w:val="22"/>
          <w:lang w:val="en-GB"/>
        </w:rPr>
        <w:tab/>
        <w:t xml:space="preserve">Where settlement does not occur on the due date and neither party has released the relevant cash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faces Market Risk, namely the differential between the contract price of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and their current value in the market. In this case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also faces a Credit Risk Exposure for the Unsettled Transaction, for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required to hold regulatory capital. The relevant Credit Risk Exposure should be included in the calculation of Credit RWA for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25055AED" w14:textId="3B467204" w:rsidR="00E22FF2" w:rsidRPr="00E4265B" w:rsidRDefault="00E22FF2" w:rsidP="00CA399D">
      <w:pPr>
        <w:pStyle w:val="1List"/>
        <w:rPr>
          <w:rFonts w:ascii="Arial" w:hAnsi="Arial" w:cs="Arial"/>
          <w:sz w:val="22"/>
          <w:szCs w:val="22"/>
          <w:lang w:val="en-GB"/>
        </w:rPr>
      </w:pPr>
      <w:r w:rsidRPr="00E4265B">
        <w:rPr>
          <w:rFonts w:ascii="Arial" w:hAnsi="Arial" w:cs="Arial"/>
          <w:sz w:val="22"/>
          <w:szCs w:val="22"/>
          <w:lang w:val="en-GB"/>
        </w:rPr>
        <w:t xml:space="preserve">2. </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at risk for the whole amount of the contract (as well as any further movement in price) if it has delivered its leg of a contract before receipt of the other leg. In this case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t>
      </w:r>
      <w:r w:rsidR="00CA399D" w:rsidRPr="00E4265B">
        <w:rPr>
          <w:rFonts w:ascii="Arial" w:hAnsi="Arial" w:cs="Arial"/>
          <w:sz w:val="22"/>
          <w:szCs w:val="22"/>
          <w:lang w:val="en-GB"/>
        </w:rPr>
        <w:t>must</w:t>
      </w:r>
      <w:r w:rsidRPr="00E4265B">
        <w:rPr>
          <w:rFonts w:ascii="Arial" w:hAnsi="Arial" w:cs="Arial"/>
          <w:sz w:val="22"/>
          <w:szCs w:val="22"/>
          <w:lang w:val="en-GB"/>
        </w:rPr>
        <w:t xml:space="preserve"> calculate the Credit Risk RWA for the free delivery transaction.</w:t>
      </w:r>
    </w:p>
    <w:p w14:paraId="597DFCAE" w14:textId="01973F3E" w:rsidR="00E22FF2" w:rsidRPr="00E4265B" w:rsidRDefault="00E22FF2" w:rsidP="00646804">
      <w:pPr>
        <w:pStyle w:val="1List"/>
        <w:rPr>
          <w:rFonts w:ascii="Arial" w:hAnsi="Arial" w:cs="Arial"/>
          <w:sz w:val="22"/>
          <w:szCs w:val="22"/>
          <w:lang w:val="en-GB"/>
        </w:rPr>
      </w:pPr>
      <w:r w:rsidRPr="00E4265B">
        <w:rPr>
          <w:rFonts w:ascii="Arial" w:hAnsi="Arial" w:cs="Arial"/>
          <w:sz w:val="22"/>
          <w:szCs w:val="22"/>
          <w:lang w:val="en-GB"/>
        </w:rPr>
        <w:t xml:space="preserve">3. </w:t>
      </w:r>
      <w:r w:rsidRPr="00E4265B">
        <w:rPr>
          <w:rFonts w:ascii="Arial" w:hAnsi="Arial" w:cs="Arial"/>
          <w:sz w:val="22"/>
          <w:szCs w:val="22"/>
          <w:lang w:val="en-GB"/>
        </w:rPr>
        <w:tab/>
        <w:t xml:space="preserve">For Derivatives </w:t>
      </w:r>
      <w:r w:rsidR="00646804" w:rsidRPr="00E4265B">
        <w:rPr>
          <w:rFonts w:ascii="Arial" w:hAnsi="Arial" w:cs="Arial"/>
          <w:sz w:val="22"/>
          <w:szCs w:val="22"/>
          <w:lang w:val="en-GB"/>
        </w:rPr>
        <w:t xml:space="preserve">(OTC and exchange-traded) and long settlement transactions, </w:t>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exposed to settlement risk. For Derivative</w:t>
      </w:r>
      <w:r w:rsidR="00646804" w:rsidRPr="00E4265B">
        <w:rPr>
          <w:rFonts w:ascii="Arial" w:hAnsi="Arial" w:cs="Arial"/>
          <w:sz w:val="22"/>
          <w:szCs w:val="22"/>
          <w:lang w:val="en-GB"/>
        </w:rPr>
        <w:t>s C</w:t>
      </w:r>
      <w:r w:rsidRPr="00E4265B">
        <w:rPr>
          <w:rFonts w:ascii="Arial" w:hAnsi="Arial" w:cs="Arial"/>
          <w:sz w:val="22"/>
          <w:szCs w:val="22"/>
          <w:lang w:val="en-GB"/>
        </w:rPr>
        <w:t>ontract</w:t>
      </w:r>
      <w:r w:rsidR="00646804" w:rsidRPr="00E4265B">
        <w:rPr>
          <w:rFonts w:ascii="Arial" w:hAnsi="Arial" w:cs="Arial"/>
          <w:sz w:val="22"/>
          <w:szCs w:val="22"/>
          <w:lang w:val="en-GB"/>
        </w:rPr>
        <w:t>s</w:t>
      </w:r>
      <w:r w:rsidRPr="00E4265B">
        <w:rPr>
          <w:rFonts w:ascii="Arial" w:hAnsi="Arial" w:cs="Arial"/>
          <w:sz w:val="22"/>
          <w:szCs w:val="22"/>
          <w:lang w:val="en-GB"/>
        </w:rPr>
        <w:t xml:space="preserve">, the risk is that the price moves in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favour so that it makes a book profit but at maturity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cannot realise that profit because the other party defaults.</w:t>
      </w:r>
    </w:p>
    <w:p w14:paraId="51537D18" w14:textId="77777777" w:rsidR="00FA6190" w:rsidRPr="00E4265B" w:rsidRDefault="00FA6190" w:rsidP="00520DD3">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In cases of a system-wide failure of a settlement or clearing system, an Authorised Person need not calculate CRCOM on transactions remaining unsettled till the settlement or clearing system is brought back to normal operations.</w:t>
      </w:r>
    </w:p>
    <w:p w14:paraId="0AF2F26A"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A4.6.1</w:t>
      </w:r>
      <w:r w:rsidRPr="00E4265B">
        <w:rPr>
          <w:rFonts w:ascii="Arial" w:hAnsi="Arial" w:cs="Arial"/>
          <w:b/>
          <w:bCs/>
          <w:sz w:val="22"/>
          <w:szCs w:val="22"/>
          <w:lang w:val="en-GB"/>
        </w:rPr>
        <w:tab/>
      </w:r>
      <w:r w:rsidRPr="00E4265B">
        <w:rPr>
          <w:rFonts w:ascii="Arial" w:hAnsi="Arial" w:cs="Arial"/>
          <w:sz w:val="22"/>
          <w:szCs w:val="22"/>
          <w:lang w:val="en-GB"/>
        </w:rPr>
        <w:t>The Section applies in respect of items in both the Trading Book and Non</w:t>
      </w:r>
      <w:r w:rsidRPr="00E4265B">
        <w:rPr>
          <w:rFonts w:ascii="Arial" w:hAnsi="Arial" w:cs="Arial"/>
          <w:sz w:val="22"/>
          <w:szCs w:val="22"/>
          <w:lang w:val="en-GB"/>
        </w:rPr>
        <w:noBreakHyphen/>
        <w:t>Trading Book.</w:t>
      </w:r>
    </w:p>
    <w:p w14:paraId="254A872E"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A4.6.2 </w:t>
      </w:r>
      <w:r w:rsidRPr="00E4265B">
        <w:rPr>
          <w:rFonts w:ascii="Arial" w:hAnsi="Arial" w:cs="Arial"/>
          <w:b/>
          <w:bCs/>
          <w:sz w:val="22"/>
          <w:szCs w:val="22"/>
          <w:lang w:val="en-GB"/>
        </w:rPr>
        <w:tab/>
      </w:r>
      <w:r w:rsidRPr="00E4265B">
        <w:rPr>
          <w:rFonts w:ascii="Arial" w:hAnsi="Arial" w:cs="Arial"/>
          <w:sz w:val="22"/>
          <w:szCs w:val="22"/>
          <w:lang w:val="en-GB"/>
        </w:rPr>
        <w:t xml:space="preserve">CRWs must be calculated on the Counterparty to the transaction, not on the Issuer of the </w:t>
      </w:r>
      <w:r w:rsidR="00877CEA" w:rsidRPr="00E4265B">
        <w:rPr>
          <w:rFonts w:ascii="Arial" w:hAnsi="Arial" w:cs="Arial"/>
          <w:sz w:val="22"/>
          <w:szCs w:val="22"/>
          <w:lang w:val="en-GB"/>
        </w:rPr>
        <w:t>Security</w:t>
      </w:r>
      <w:r w:rsidRPr="00E4265B">
        <w:rPr>
          <w:rFonts w:ascii="Arial" w:hAnsi="Arial" w:cs="Arial"/>
          <w:sz w:val="22"/>
          <w:szCs w:val="22"/>
          <w:lang w:val="en-GB"/>
        </w:rPr>
        <w:t>.</w:t>
      </w:r>
    </w:p>
    <w:p w14:paraId="3730ABCE"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A4.6.3</w:t>
      </w:r>
      <w:r w:rsidRPr="00E4265B">
        <w:rPr>
          <w:rFonts w:ascii="Arial" w:hAnsi="Arial" w:cs="Arial"/>
          <w:b/>
          <w:bCs/>
          <w:sz w:val="22"/>
          <w:szCs w:val="22"/>
          <w:lang w:val="en-GB"/>
        </w:rPr>
        <w:tab/>
      </w:r>
      <w:r w:rsidRPr="00E4265B">
        <w:rPr>
          <w:rFonts w:ascii="Arial" w:hAnsi="Arial" w:cs="Arial"/>
          <w:sz w:val="22"/>
          <w:szCs w:val="22"/>
          <w:lang w:val="en-GB"/>
        </w:rPr>
        <w:t xml:space="preserve">When calculating its Credit RWA,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not include RWA arising from a transaction if it is a negative amount.</w:t>
      </w:r>
    </w:p>
    <w:p w14:paraId="613BCB3C" w14:textId="62F0254D"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A4.6.4</w:t>
      </w:r>
      <w:r w:rsidRPr="00E4265B">
        <w:rPr>
          <w:rFonts w:ascii="Arial" w:hAnsi="Arial" w:cs="Arial"/>
          <w:b/>
          <w:bCs/>
          <w:sz w:val="22"/>
          <w:szCs w:val="22"/>
          <w:lang w:val="en-GB"/>
        </w:rPr>
        <w:tab/>
      </w:r>
      <w:r w:rsidRPr="00E4265B">
        <w:rPr>
          <w:rFonts w:ascii="Arial" w:hAnsi="Arial" w:cs="Arial"/>
          <w:sz w:val="22"/>
          <w:szCs w:val="22"/>
          <w:lang w:val="en-GB"/>
        </w:rPr>
        <w:t xml:space="preserve">CRW is applied in accordance with Section A4.3 except that the maximum </w:t>
      </w:r>
      <w:r w:rsidR="00FA6190" w:rsidRPr="00E4265B">
        <w:rPr>
          <w:rFonts w:ascii="Arial" w:hAnsi="Arial" w:cs="Arial"/>
          <w:sz w:val="22"/>
          <w:szCs w:val="22"/>
          <w:lang w:val="en-GB"/>
        </w:rPr>
        <w:t xml:space="preserve">counterparty weighting </w:t>
      </w:r>
      <w:r w:rsidR="00501E80" w:rsidRPr="00E4265B">
        <w:rPr>
          <w:rFonts w:ascii="Arial" w:hAnsi="Arial" w:cs="Arial"/>
          <w:sz w:val="22"/>
          <w:szCs w:val="22"/>
          <w:lang w:val="en-GB"/>
        </w:rPr>
        <w:t>for a</w:t>
      </w:r>
      <w:r w:rsidR="00DB4CA3" w:rsidRPr="00E4265B">
        <w:rPr>
          <w:rFonts w:ascii="Arial" w:hAnsi="Arial" w:cs="Arial"/>
          <w:sz w:val="22"/>
          <w:szCs w:val="22"/>
          <w:lang w:val="en-GB"/>
        </w:rPr>
        <w:t>n OTC</w:t>
      </w:r>
      <w:r w:rsidR="00501E80" w:rsidRPr="00E4265B">
        <w:rPr>
          <w:rFonts w:ascii="Arial" w:hAnsi="Arial" w:cs="Arial"/>
          <w:sz w:val="22"/>
          <w:szCs w:val="22"/>
          <w:lang w:val="en-GB"/>
        </w:rPr>
        <w:t xml:space="preserve"> </w:t>
      </w:r>
      <w:r w:rsidRPr="00E4265B">
        <w:rPr>
          <w:rFonts w:ascii="Arial" w:hAnsi="Arial" w:cs="Arial"/>
          <w:sz w:val="22"/>
          <w:szCs w:val="22"/>
          <w:lang w:val="en-GB"/>
        </w:rPr>
        <w:t>Derivative is 50%.</w:t>
      </w:r>
    </w:p>
    <w:p w14:paraId="4DF0AEFD" w14:textId="77777777" w:rsidR="00E22FF2" w:rsidRPr="00E4265B" w:rsidRDefault="00E22FF2" w:rsidP="00742AC6">
      <w:pPr>
        <w:pStyle w:val="TitleL5"/>
        <w:rPr>
          <w:rFonts w:ascii="Arial" w:hAnsi="Arial" w:cs="Arial"/>
          <w:sz w:val="22"/>
          <w:szCs w:val="22"/>
          <w:lang w:val="en-GB"/>
        </w:rPr>
      </w:pPr>
      <w:r w:rsidRPr="00E4265B">
        <w:rPr>
          <w:rFonts w:ascii="Arial" w:hAnsi="Arial" w:cs="Arial"/>
          <w:sz w:val="22"/>
          <w:szCs w:val="22"/>
          <w:lang w:val="en-GB"/>
        </w:rPr>
        <w:t>Unsettled Transactions</w:t>
      </w:r>
    </w:p>
    <w:p w14:paraId="2575F2DC"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A4.6.5</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the Credit RWA for transactions in which debt instruments, equities, foreign currencies and commodities (excluding repos, reverse repos and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or commodities lending/borrowing) remain unsettled after their due delivery dates, using the following formula:</w:t>
      </w:r>
    </w:p>
    <w:p w14:paraId="38F29852" w14:textId="77777777" w:rsidR="00E22FF2" w:rsidRPr="00E4265B" w:rsidRDefault="00E22FF2" w:rsidP="00742AC6">
      <w:pPr>
        <w:pStyle w:val="UK12Block10"/>
        <w:rPr>
          <w:rFonts w:ascii="Arial" w:hAnsi="Arial" w:cs="Arial"/>
          <w:sz w:val="22"/>
          <w:szCs w:val="22"/>
          <w:lang w:val="en-GB"/>
        </w:rPr>
      </w:pPr>
      <w:r w:rsidRPr="00E4265B">
        <w:rPr>
          <w:rFonts w:ascii="Arial" w:hAnsi="Arial" w:cs="Arial"/>
          <w:sz w:val="22"/>
          <w:szCs w:val="22"/>
          <w:lang w:val="en-GB"/>
        </w:rPr>
        <w:t>Credit RWA = E x the appropriate percentage from the second column in the table below:</w:t>
      </w:r>
    </w:p>
    <w:tbl>
      <w:tblPr>
        <w:tblStyle w:val="TableGrid"/>
        <w:tblW w:w="0" w:type="auto"/>
        <w:tblInd w:w="1098" w:type="dxa"/>
        <w:tblLook w:val="04A0" w:firstRow="1" w:lastRow="0" w:firstColumn="1" w:lastColumn="0" w:noHBand="0" w:noVBand="1"/>
      </w:tblPr>
      <w:tblGrid>
        <w:gridCol w:w="3953"/>
        <w:gridCol w:w="3966"/>
      </w:tblGrid>
      <w:tr w:rsidR="00E22FF2" w:rsidRPr="00E4265B" w14:paraId="63540E80" w14:textId="77777777" w:rsidTr="007B36E6">
        <w:trPr>
          <w:tblHeader/>
        </w:trPr>
        <w:tc>
          <w:tcPr>
            <w:tcW w:w="4072" w:type="dxa"/>
            <w:shd w:val="clear" w:color="auto" w:fill="D9D9D9" w:themeFill="background1" w:themeFillShade="D9"/>
          </w:tcPr>
          <w:p w14:paraId="4DCA56AF" w14:textId="77777777" w:rsidR="00E22FF2" w:rsidRPr="00E4265B" w:rsidRDefault="00E22FF2" w:rsidP="00FA6190">
            <w:pPr>
              <w:keepNext/>
              <w:spacing w:after="240"/>
              <w:jc w:val="center"/>
              <w:rPr>
                <w:rFonts w:ascii="Arial" w:hAnsi="Arial" w:cs="Arial"/>
                <w:b/>
                <w:sz w:val="22"/>
                <w:szCs w:val="22"/>
                <w:lang w:val="en-GB"/>
              </w:rPr>
            </w:pPr>
            <w:r w:rsidRPr="00E4265B">
              <w:rPr>
                <w:rFonts w:ascii="Arial" w:hAnsi="Arial" w:cs="Arial"/>
                <w:b/>
                <w:sz w:val="22"/>
                <w:szCs w:val="22"/>
                <w:lang w:val="en-GB"/>
              </w:rPr>
              <w:lastRenderedPageBreak/>
              <w:t>Number of business days after due</w:t>
            </w:r>
            <w:r w:rsidRPr="00E4265B">
              <w:rPr>
                <w:rFonts w:ascii="Arial" w:hAnsi="Arial" w:cs="Arial"/>
                <w:b/>
                <w:sz w:val="22"/>
                <w:szCs w:val="22"/>
                <w:lang w:val="en-GB"/>
              </w:rPr>
              <w:br/>
              <w:t>settlement date</w:t>
            </w:r>
          </w:p>
        </w:tc>
        <w:tc>
          <w:tcPr>
            <w:tcW w:w="4073" w:type="dxa"/>
            <w:shd w:val="clear" w:color="auto" w:fill="D9D9D9" w:themeFill="background1" w:themeFillShade="D9"/>
          </w:tcPr>
          <w:p w14:paraId="666C49B2" w14:textId="77777777" w:rsidR="00E22FF2" w:rsidRPr="00E4265B" w:rsidRDefault="00E22FF2" w:rsidP="00FA6190">
            <w:pPr>
              <w:keepNext/>
              <w:spacing w:after="240"/>
              <w:jc w:val="center"/>
              <w:rPr>
                <w:rFonts w:ascii="Arial" w:hAnsi="Arial" w:cs="Arial"/>
                <w:b/>
                <w:sz w:val="22"/>
                <w:szCs w:val="22"/>
                <w:lang w:val="en-GB"/>
              </w:rPr>
            </w:pPr>
            <w:r w:rsidRPr="00E4265B">
              <w:rPr>
                <w:rFonts w:ascii="Arial" w:hAnsi="Arial" w:cs="Arial"/>
                <w:b/>
                <w:sz w:val="22"/>
                <w:szCs w:val="22"/>
                <w:lang w:val="en-GB"/>
              </w:rPr>
              <w:t>Percentages used for calculation of Credit RWA on Unsettled Transactions</w:t>
            </w:r>
          </w:p>
        </w:tc>
      </w:tr>
      <w:tr w:rsidR="00E22FF2" w:rsidRPr="00E4265B" w14:paraId="7B0DC53A" w14:textId="77777777" w:rsidTr="00A56816">
        <w:tc>
          <w:tcPr>
            <w:tcW w:w="4072" w:type="dxa"/>
          </w:tcPr>
          <w:p w14:paraId="2ABD205D"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0-4</w:t>
            </w:r>
          </w:p>
        </w:tc>
        <w:tc>
          <w:tcPr>
            <w:tcW w:w="4073" w:type="dxa"/>
          </w:tcPr>
          <w:p w14:paraId="348F5DC9"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0%</w:t>
            </w:r>
          </w:p>
        </w:tc>
      </w:tr>
      <w:tr w:rsidR="00E22FF2" w:rsidRPr="00E4265B" w14:paraId="29A6DDE5" w14:textId="77777777" w:rsidTr="00A56816">
        <w:tc>
          <w:tcPr>
            <w:tcW w:w="4072" w:type="dxa"/>
          </w:tcPr>
          <w:p w14:paraId="5A5440C6"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5-15</w:t>
            </w:r>
          </w:p>
        </w:tc>
        <w:tc>
          <w:tcPr>
            <w:tcW w:w="4073" w:type="dxa"/>
          </w:tcPr>
          <w:p w14:paraId="6D45CBC3"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100%</w:t>
            </w:r>
          </w:p>
        </w:tc>
      </w:tr>
      <w:tr w:rsidR="00E22FF2" w:rsidRPr="00E4265B" w14:paraId="6ACD28D4" w14:textId="77777777" w:rsidTr="00A56816">
        <w:tc>
          <w:tcPr>
            <w:tcW w:w="4072" w:type="dxa"/>
          </w:tcPr>
          <w:p w14:paraId="019B5CF5"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16-30</w:t>
            </w:r>
          </w:p>
        </w:tc>
        <w:tc>
          <w:tcPr>
            <w:tcW w:w="4073" w:type="dxa"/>
          </w:tcPr>
          <w:p w14:paraId="4049D069"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500%</w:t>
            </w:r>
          </w:p>
        </w:tc>
      </w:tr>
      <w:tr w:rsidR="00E22FF2" w:rsidRPr="00E4265B" w14:paraId="35FBEA5F" w14:textId="77777777" w:rsidTr="00A56816">
        <w:tc>
          <w:tcPr>
            <w:tcW w:w="4072" w:type="dxa"/>
          </w:tcPr>
          <w:p w14:paraId="5BA44CC4"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31-45</w:t>
            </w:r>
          </w:p>
        </w:tc>
        <w:tc>
          <w:tcPr>
            <w:tcW w:w="4073" w:type="dxa"/>
          </w:tcPr>
          <w:p w14:paraId="4921EFDE"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750%</w:t>
            </w:r>
          </w:p>
        </w:tc>
      </w:tr>
      <w:tr w:rsidR="00E22FF2" w:rsidRPr="00E4265B" w14:paraId="6577D7C7" w14:textId="77777777" w:rsidTr="00A56816">
        <w:tc>
          <w:tcPr>
            <w:tcW w:w="4072" w:type="dxa"/>
          </w:tcPr>
          <w:p w14:paraId="1C5B065F"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46 or more</w:t>
            </w:r>
          </w:p>
        </w:tc>
        <w:tc>
          <w:tcPr>
            <w:tcW w:w="4073" w:type="dxa"/>
          </w:tcPr>
          <w:p w14:paraId="6B102567"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1000%</w:t>
            </w:r>
          </w:p>
        </w:tc>
      </w:tr>
    </w:tbl>
    <w:p w14:paraId="419DD4C5" w14:textId="77777777" w:rsidR="00E22FF2" w:rsidRPr="00E4265B" w:rsidRDefault="00E22FF2" w:rsidP="00A56816">
      <w:pPr>
        <w:rPr>
          <w:rFonts w:ascii="Arial" w:hAnsi="Arial" w:cs="Arial"/>
          <w:sz w:val="22"/>
          <w:szCs w:val="22"/>
          <w:lang w:val="en-GB"/>
        </w:rPr>
      </w:pPr>
    </w:p>
    <w:p w14:paraId="479A4B3A" w14:textId="77777777" w:rsidR="00C77E48"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A4.6.6</w:t>
      </w:r>
      <w:r w:rsidRPr="00E4265B">
        <w:rPr>
          <w:rFonts w:ascii="Arial" w:hAnsi="Arial" w:cs="Arial"/>
          <w:b/>
          <w:bCs/>
          <w:sz w:val="22"/>
          <w:szCs w:val="22"/>
          <w:lang w:val="en-GB"/>
        </w:rPr>
        <w:tab/>
      </w:r>
      <w:r w:rsidRPr="00E4265B">
        <w:rPr>
          <w:rFonts w:ascii="Arial" w:hAnsi="Arial" w:cs="Arial"/>
          <w:sz w:val="22"/>
          <w:szCs w:val="22"/>
          <w:lang w:val="en-GB"/>
        </w:rPr>
        <w:t xml:space="preserve">If assets involved in the transaction are to be received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the</w:t>
      </w:r>
      <w:r w:rsidR="00C77E48" w:rsidRPr="00E4265B">
        <w:rPr>
          <w:rFonts w:ascii="Arial" w:hAnsi="Arial" w:cs="Arial"/>
          <w:sz w:val="22"/>
          <w:szCs w:val="22"/>
          <w:lang w:val="en-GB"/>
        </w:rPr>
        <w:t xml:space="preserve"> transaction remains unsettled:</w:t>
      </w:r>
    </w:p>
    <w:p w14:paraId="5EF85D7C" w14:textId="4ED62F2B" w:rsidR="00E22FF2" w:rsidRPr="00E4265B" w:rsidRDefault="00C77E48" w:rsidP="00C77E48">
      <w:pPr>
        <w:pStyle w:val="A1List"/>
        <w:jc w:val="center"/>
        <w:rPr>
          <w:rFonts w:ascii="Arial" w:hAnsi="Arial" w:cs="Arial"/>
          <w:sz w:val="22"/>
          <w:szCs w:val="22"/>
          <w:lang w:val="en-GB"/>
        </w:rPr>
      </w:pPr>
      <w:r w:rsidRPr="00E4265B">
        <w:rPr>
          <w:rFonts w:ascii="Arial" w:hAnsi="Arial" w:cs="Arial"/>
          <w:sz w:val="22"/>
          <w:szCs w:val="22"/>
          <w:lang w:val="en-GB"/>
        </w:rPr>
        <w:t xml:space="preserve">E = </w:t>
      </w:r>
      <w:r w:rsidR="007B465C" w:rsidRPr="00E4265B">
        <w:rPr>
          <w:rFonts w:ascii="Arial" w:hAnsi="Arial" w:cs="Arial"/>
          <w:sz w:val="22"/>
          <w:szCs w:val="22"/>
          <w:lang w:val="en-GB"/>
        </w:rPr>
        <w:t>max (</w:t>
      </w:r>
      <w:r w:rsidRPr="00E4265B">
        <w:rPr>
          <w:rFonts w:ascii="Arial" w:hAnsi="Arial" w:cs="Arial"/>
          <w:sz w:val="22"/>
          <w:szCs w:val="22"/>
          <w:lang w:val="en-GB"/>
        </w:rPr>
        <w:t>MV</w:t>
      </w:r>
      <w:r w:rsidRPr="00E4265B">
        <w:rPr>
          <w:rFonts w:ascii="Arial" w:hAnsi="Arial" w:cs="Arial"/>
          <w:sz w:val="22"/>
          <w:szCs w:val="22"/>
          <w:lang w:val="en-GB"/>
        </w:rPr>
        <w:noBreakHyphen/>
        <w:t>CV</w:t>
      </w:r>
      <w:r w:rsidR="007B465C" w:rsidRPr="00E4265B">
        <w:rPr>
          <w:rFonts w:ascii="Arial" w:hAnsi="Arial" w:cs="Arial"/>
          <w:sz w:val="22"/>
          <w:szCs w:val="22"/>
          <w:lang w:val="en-GB"/>
        </w:rPr>
        <w:t>, 0)</w:t>
      </w:r>
    </w:p>
    <w:p w14:paraId="060BE175" w14:textId="72C01DCF" w:rsidR="007B465C" w:rsidRPr="00E4265B" w:rsidRDefault="007B465C" w:rsidP="007B465C">
      <w:pPr>
        <w:pStyle w:val="A1List"/>
        <w:tabs>
          <w:tab w:val="clear" w:pos="990"/>
          <w:tab w:val="left" w:pos="1620"/>
        </w:tabs>
        <w:ind w:left="990" w:hanging="4"/>
        <w:rPr>
          <w:rFonts w:ascii="Arial" w:hAnsi="Arial" w:cs="Arial"/>
          <w:sz w:val="22"/>
          <w:szCs w:val="22"/>
          <w:lang w:val="en-GB"/>
        </w:rPr>
      </w:pPr>
      <w:r w:rsidRPr="00E4265B">
        <w:rPr>
          <w:rFonts w:ascii="Arial" w:hAnsi="Arial" w:cs="Arial"/>
          <w:sz w:val="22"/>
          <w:szCs w:val="22"/>
          <w:lang w:val="en-GB"/>
        </w:rPr>
        <w:t>where MV is the market value of the assets and CV represents the contracted value for delivery of the assets.</w:t>
      </w:r>
    </w:p>
    <w:p w14:paraId="73F9241B" w14:textId="77777777" w:rsidR="00C77E48"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A4.6.7</w:t>
      </w:r>
      <w:r w:rsidRPr="00E4265B">
        <w:rPr>
          <w:rFonts w:ascii="Arial" w:hAnsi="Arial" w:cs="Arial"/>
          <w:b/>
          <w:bCs/>
          <w:sz w:val="22"/>
          <w:szCs w:val="22"/>
          <w:lang w:val="en-GB"/>
        </w:rPr>
        <w:tab/>
      </w:r>
      <w:r w:rsidRPr="00E4265B">
        <w:rPr>
          <w:rFonts w:ascii="Arial" w:hAnsi="Arial" w:cs="Arial"/>
          <w:sz w:val="22"/>
          <w:szCs w:val="22"/>
          <w:lang w:val="en-GB"/>
        </w:rPr>
        <w:t xml:space="preserve">If assets involved in the transaction are to be delivered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the</w:t>
      </w:r>
      <w:r w:rsidR="00C77E48" w:rsidRPr="00E4265B">
        <w:rPr>
          <w:rFonts w:ascii="Arial" w:hAnsi="Arial" w:cs="Arial"/>
          <w:sz w:val="22"/>
          <w:szCs w:val="22"/>
          <w:lang w:val="en-GB"/>
        </w:rPr>
        <w:t xml:space="preserve"> transaction remains unsettled:</w:t>
      </w:r>
    </w:p>
    <w:p w14:paraId="7528338E" w14:textId="403BE6F9" w:rsidR="00C77E48" w:rsidRPr="00E4265B" w:rsidRDefault="00E22FF2" w:rsidP="00C77E48">
      <w:pPr>
        <w:pStyle w:val="A1List"/>
        <w:jc w:val="center"/>
        <w:rPr>
          <w:rFonts w:ascii="Arial" w:hAnsi="Arial" w:cs="Arial"/>
          <w:sz w:val="22"/>
          <w:szCs w:val="22"/>
          <w:lang w:val="en-GB"/>
        </w:rPr>
      </w:pPr>
      <w:r w:rsidRPr="00E4265B">
        <w:rPr>
          <w:rFonts w:ascii="Arial" w:hAnsi="Arial" w:cs="Arial"/>
          <w:sz w:val="22"/>
          <w:szCs w:val="22"/>
          <w:lang w:val="en-GB"/>
        </w:rPr>
        <w:t xml:space="preserve">E = </w:t>
      </w:r>
      <w:r w:rsidR="007B465C" w:rsidRPr="00E4265B">
        <w:rPr>
          <w:rFonts w:ascii="Arial" w:hAnsi="Arial" w:cs="Arial"/>
          <w:sz w:val="22"/>
          <w:szCs w:val="22"/>
          <w:lang w:val="en-GB"/>
        </w:rPr>
        <w:t>max (CV</w:t>
      </w:r>
      <w:r w:rsidR="007B465C" w:rsidRPr="00E4265B">
        <w:rPr>
          <w:rFonts w:ascii="Arial" w:hAnsi="Arial" w:cs="Arial"/>
          <w:sz w:val="22"/>
          <w:szCs w:val="22"/>
          <w:lang w:val="en-GB"/>
        </w:rPr>
        <w:noBreakHyphen/>
        <w:t>MV, 0).</w:t>
      </w:r>
    </w:p>
    <w:p w14:paraId="731BB42A" w14:textId="77777777" w:rsidR="00E22FF2" w:rsidRPr="00E4265B" w:rsidRDefault="00E22FF2" w:rsidP="00742AC6">
      <w:pPr>
        <w:pStyle w:val="TitleL5"/>
        <w:rPr>
          <w:rFonts w:ascii="Arial" w:hAnsi="Arial" w:cs="Arial"/>
          <w:sz w:val="22"/>
          <w:szCs w:val="22"/>
          <w:lang w:val="en-GB"/>
        </w:rPr>
      </w:pPr>
      <w:r w:rsidRPr="00E4265B">
        <w:rPr>
          <w:rFonts w:ascii="Arial" w:hAnsi="Arial" w:cs="Arial"/>
          <w:sz w:val="22"/>
          <w:szCs w:val="22"/>
          <w:lang w:val="en-GB"/>
        </w:rPr>
        <w:t>Guidance</w:t>
      </w:r>
    </w:p>
    <w:p w14:paraId="08DBACC4" w14:textId="77777777" w:rsidR="00E22FF2" w:rsidRPr="00E4265B" w:rsidRDefault="00E22FF2" w:rsidP="00920ADA">
      <w:pPr>
        <w:pStyle w:val="1List"/>
        <w:ind w:left="936" w:firstLine="0"/>
        <w:rPr>
          <w:rFonts w:ascii="Arial" w:hAnsi="Arial" w:cs="Arial"/>
          <w:sz w:val="22"/>
          <w:szCs w:val="22"/>
          <w:lang w:val="en-GB"/>
        </w:rPr>
      </w:pPr>
      <w:r w:rsidRPr="00E4265B">
        <w:rPr>
          <w:rFonts w:ascii="Arial" w:hAnsi="Arial" w:cs="Arial"/>
          <w:sz w:val="22"/>
          <w:szCs w:val="22"/>
          <w:lang w:val="en-GB"/>
        </w:rPr>
        <w:t xml:space="preserve">E is the price difference to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exposed, being the difference between the agreed settlement price for the debt instrument, equity, foreign currency or commodity in question and its current market value, where the difference could involve a loss for the firm.</w:t>
      </w:r>
    </w:p>
    <w:p w14:paraId="6E7F9844" w14:textId="77777777" w:rsidR="00FA6190" w:rsidRPr="00E4265B" w:rsidRDefault="00FA6190" w:rsidP="00FA6190">
      <w:pPr>
        <w:pStyle w:val="TitleL5"/>
        <w:rPr>
          <w:rFonts w:ascii="Arial" w:hAnsi="Arial" w:cs="Arial"/>
          <w:sz w:val="22"/>
          <w:szCs w:val="22"/>
          <w:lang w:val="en-GB"/>
        </w:rPr>
      </w:pPr>
      <w:r w:rsidRPr="00E4265B">
        <w:rPr>
          <w:rFonts w:ascii="Arial" w:hAnsi="Arial" w:cs="Arial"/>
          <w:sz w:val="22"/>
          <w:szCs w:val="22"/>
          <w:lang w:val="en-GB"/>
        </w:rPr>
        <w:t>Free delivery transactions</w:t>
      </w:r>
    </w:p>
    <w:p w14:paraId="30016A55" w14:textId="7D327FA6" w:rsidR="001D6D6B" w:rsidRPr="00E4265B" w:rsidRDefault="00FA6190" w:rsidP="00BA29D8">
      <w:pPr>
        <w:pStyle w:val="A1List"/>
        <w:rPr>
          <w:rFonts w:ascii="Arial" w:hAnsi="Arial" w:cs="Arial"/>
          <w:bCs/>
          <w:sz w:val="22"/>
          <w:szCs w:val="22"/>
          <w:lang w:val="en-GB"/>
        </w:rPr>
      </w:pPr>
      <w:r w:rsidRPr="00E4265B">
        <w:rPr>
          <w:rFonts w:ascii="Arial" w:hAnsi="Arial" w:cs="Arial"/>
          <w:b/>
          <w:bCs/>
          <w:sz w:val="22"/>
          <w:szCs w:val="22"/>
          <w:lang w:val="en-GB"/>
        </w:rPr>
        <w:t>A4.6.</w:t>
      </w:r>
      <w:r w:rsidR="00920ADA" w:rsidRPr="00E4265B">
        <w:rPr>
          <w:rFonts w:ascii="Arial" w:hAnsi="Arial" w:cs="Arial"/>
          <w:b/>
          <w:bCs/>
          <w:sz w:val="22"/>
          <w:szCs w:val="22"/>
          <w:lang w:val="en-GB"/>
        </w:rPr>
        <w:t>8</w:t>
      </w:r>
      <w:r w:rsidR="001D6D6B" w:rsidRPr="00E4265B">
        <w:rPr>
          <w:rFonts w:ascii="Arial" w:hAnsi="Arial" w:cs="Arial"/>
          <w:b/>
          <w:bCs/>
          <w:sz w:val="22"/>
          <w:szCs w:val="22"/>
          <w:lang w:val="en-GB"/>
        </w:rPr>
        <w:tab/>
      </w:r>
      <w:r w:rsidR="001D6D6B" w:rsidRPr="00E4265B">
        <w:rPr>
          <w:rFonts w:ascii="Arial" w:hAnsi="Arial" w:cs="Arial"/>
          <w:bCs/>
          <w:sz w:val="22"/>
          <w:szCs w:val="22"/>
          <w:lang w:val="en-GB"/>
        </w:rPr>
        <w:t>An Authorised Person must calculate the Credit RWA in accordance with the table in Rule A4.6.1</w:t>
      </w:r>
      <w:r w:rsidR="00BA29D8" w:rsidRPr="00E4265B">
        <w:rPr>
          <w:rFonts w:ascii="Arial" w:hAnsi="Arial" w:cs="Arial"/>
          <w:bCs/>
          <w:sz w:val="22"/>
          <w:szCs w:val="22"/>
          <w:lang w:val="en-GB"/>
        </w:rPr>
        <w:t>1</w:t>
      </w:r>
      <w:r w:rsidR="001D6D6B" w:rsidRPr="00E4265B">
        <w:rPr>
          <w:rFonts w:ascii="Arial" w:hAnsi="Arial" w:cs="Arial"/>
          <w:bCs/>
          <w:sz w:val="22"/>
          <w:szCs w:val="22"/>
          <w:lang w:val="en-GB"/>
        </w:rPr>
        <w:t xml:space="preserve"> for free delivery transactions in both the Trading and Non-Trading Book where it has:</w:t>
      </w:r>
    </w:p>
    <w:p w14:paraId="4158FBA5" w14:textId="77777777" w:rsidR="001D6D6B" w:rsidRPr="00E4265B" w:rsidRDefault="001D6D6B" w:rsidP="001D6D6B">
      <w:pPr>
        <w:pStyle w:val="Heading5"/>
        <w:rPr>
          <w:rFonts w:ascii="Arial" w:hAnsi="Arial" w:cs="Arial"/>
          <w:sz w:val="22"/>
          <w:szCs w:val="22"/>
        </w:rPr>
      </w:pPr>
      <w:r w:rsidRPr="00E4265B">
        <w:rPr>
          <w:rFonts w:ascii="Arial" w:hAnsi="Arial" w:cs="Arial"/>
          <w:sz w:val="22"/>
          <w:szCs w:val="22"/>
        </w:rPr>
        <w:t>delivered Securities or commodities before receiving payment;</w:t>
      </w:r>
    </w:p>
    <w:p w14:paraId="0DBACEB3" w14:textId="77777777" w:rsidR="001D6D6B" w:rsidRPr="00E4265B" w:rsidRDefault="001D6D6B" w:rsidP="001D6D6B">
      <w:pPr>
        <w:pStyle w:val="Heading5"/>
        <w:rPr>
          <w:rFonts w:ascii="Arial" w:hAnsi="Arial" w:cs="Arial"/>
          <w:sz w:val="22"/>
          <w:szCs w:val="22"/>
        </w:rPr>
      </w:pPr>
      <w:r w:rsidRPr="00E4265B">
        <w:rPr>
          <w:rFonts w:ascii="Arial" w:hAnsi="Arial" w:cs="Arial"/>
          <w:sz w:val="22"/>
          <w:szCs w:val="22"/>
        </w:rPr>
        <w:t>paid for Securities or commodities before r</w:t>
      </w:r>
      <w:r w:rsidR="00EC73AE" w:rsidRPr="00E4265B">
        <w:rPr>
          <w:rFonts w:ascii="Arial" w:hAnsi="Arial" w:cs="Arial"/>
          <w:sz w:val="22"/>
          <w:szCs w:val="22"/>
        </w:rPr>
        <w:t>eceiving the items purchased; or</w:t>
      </w:r>
    </w:p>
    <w:p w14:paraId="52984FC4" w14:textId="77777777" w:rsidR="00EC73AE" w:rsidRPr="00E4265B" w:rsidRDefault="001D6D6B" w:rsidP="00EC73AE">
      <w:pPr>
        <w:pStyle w:val="Heading5"/>
        <w:rPr>
          <w:rFonts w:ascii="Arial" w:hAnsi="Arial" w:cs="Arial"/>
          <w:sz w:val="22"/>
          <w:szCs w:val="22"/>
        </w:rPr>
      </w:pPr>
      <w:r w:rsidRPr="00E4265B">
        <w:rPr>
          <w:rFonts w:ascii="Arial" w:hAnsi="Arial" w:cs="Arial"/>
          <w:sz w:val="22"/>
          <w:szCs w:val="22"/>
        </w:rPr>
        <w:t xml:space="preserve">entered into a foreign exchange contract undertaken in the spot market or contracted for forward settlement and has released funds to its Counterparty but has not yet received </w:t>
      </w:r>
      <w:r w:rsidR="00EC73AE" w:rsidRPr="00E4265B">
        <w:rPr>
          <w:rFonts w:ascii="Arial" w:hAnsi="Arial" w:cs="Arial"/>
          <w:sz w:val="22"/>
          <w:szCs w:val="22"/>
        </w:rPr>
        <w:t>the funds in the other currency.</w:t>
      </w:r>
    </w:p>
    <w:p w14:paraId="3838E885" w14:textId="6D02C788" w:rsidR="001D6D6B" w:rsidRPr="00E4265B" w:rsidRDefault="001D6D6B" w:rsidP="00216099">
      <w:pPr>
        <w:pStyle w:val="Heading5"/>
        <w:numPr>
          <w:ilvl w:val="0"/>
          <w:numId w:val="0"/>
        </w:numPr>
        <w:ind w:left="993" w:hanging="993"/>
        <w:rPr>
          <w:rFonts w:ascii="Arial" w:hAnsi="Arial" w:cs="Arial"/>
          <w:sz w:val="22"/>
          <w:szCs w:val="22"/>
        </w:rPr>
      </w:pPr>
      <w:r w:rsidRPr="00E4265B">
        <w:rPr>
          <w:rFonts w:ascii="Arial" w:hAnsi="Arial" w:cs="Arial"/>
          <w:b/>
          <w:sz w:val="22"/>
          <w:szCs w:val="22"/>
        </w:rPr>
        <w:t>A4.6.9</w:t>
      </w:r>
      <w:r w:rsidR="00216099" w:rsidRPr="00E4265B">
        <w:rPr>
          <w:rFonts w:ascii="Arial" w:hAnsi="Arial" w:cs="Arial"/>
          <w:b/>
          <w:sz w:val="22"/>
          <w:szCs w:val="22"/>
        </w:rPr>
        <w:tab/>
      </w:r>
      <w:r w:rsidR="00CB10AC" w:rsidRPr="00E4265B">
        <w:rPr>
          <w:rFonts w:ascii="Arial" w:hAnsi="Arial" w:cs="Arial"/>
          <w:sz w:val="22"/>
          <w:szCs w:val="22"/>
          <w:lang w:val="en-US"/>
        </w:rPr>
        <w:t>If the settlement of the transaction is to be effected across a national border, Credit RWA needs to be calculated only when more than one business day has elapsed since the firm has made the relevant payment or delivery.</w:t>
      </w:r>
    </w:p>
    <w:p w14:paraId="7A3D19BE" w14:textId="7D7358C2" w:rsidR="00EC73AE" w:rsidRPr="00E4265B" w:rsidRDefault="00EC73AE" w:rsidP="00216099">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15118FA7" w14:textId="77777777" w:rsidR="00EC73AE" w:rsidRPr="00E4265B" w:rsidRDefault="00EC73AE" w:rsidP="00EC73AE">
      <w:pPr>
        <w:pStyle w:val="Heading5"/>
        <w:numPr>
          <w:ilvl w:val="0"/>
          <w:numId w:val="0"/>
        </w:numPr>
        <w:ind w:left="993"/>
        <w:rPr>
          <w:rFonts w:ascii="Arial" w:hAnsi="Arial" w:cs="Arial"/>
          <w:sz w:val="22"/>
          <w:szCs w:val="22"/>
        </w:rPr>
      </w:pPr>
      <w:r w:rsidRPr="00E4265B">
        <w:rPr>
          <w:rFonts w:ascii="Arial" w:hAnsi="Arial" w:cs="Arial"/>
          <w:sz w:val="22"/>
          <w:szCs w:val="22"/>
        </w:rPr>
        <w:t>In respect of free delivery transactions referred to in Rule A4.6.9, if the dates when two payment legs are made are the same according to the time zones where each payment is made, they are deemed to have been settled on the same day.</w:t>
      </w:r>
    </w:p>
    <w:p w14:paraId="5DC0B66F" w14:textId="6C3C8B7C" w:rsidR="00EC73AE" w:rsidRPr="00E4265B" w:rsidRDefault="00EC73AE" w:rsidP="003702B5">
      <w:pPr>
        <w:pStyle w:val="Heading5"/>
        <w:numPr>
          <w:ilvl w:val="0"/>
          <w:numId w:val="0"/>
        </w:numPr>
        <w:ind w:left="993" w:hanging="993"/>
        <w:rPr>
          <w:rFonts w:ascii="Arial" w:hAnsi="Arial" w:cs="Arial"/>
          <w:sz w:val="22"/>
          <w:szCs w:val="22"/>
        </w:rPr>
      </w:pPr>
      <w:r w:rsidRPr="00E4265B">
        <w:rPr>
          <w:rFonts w:ascii="Arial" w:hAnsi="Arial" w:cs="Arial"/>
          <w:b/>
          <w:sz w:val="22"/>
          <w:szCs w:val="22"/>
        </w:rPr>
        <w:t>A4.6.10</w:t>
      </w:r>
      <w:r w:rsidR="00216099" w:rsidRPr="00E4265B">
        <w:rPr>
          <w:rFonts w:ascii="Arial" w:hAnsi="Arial" w:cs="Arial"/>
          <w:b/>
          <w:sz w:val="22"/>
          <w:szCs w:val="22"/>
        </w:rPr>
        <w:tab/>
      </w:r>
      <w:r w:rsidRPr="00E4265B">
        <w:rPr>
          <w:rFonts w:ascii="Arial" w:hAnsi="Arial" w:cs="Arial"/>
          <w:sz w:val="22"/>
          <w:szCs w:val="22"/>
        </w:rPr>
        <w:t>For a free delivery transaction an Authorised Person must determine its exposure E after the end of the first contractual payment or delivery date as follows:</w:t>
      </w:r>
    </w:p>
    <w:p w14:paraId="4523A614" w14:textId="77777777" w:rsidR="00EC73AE" w:rsidRPr="00E4265B" w:rsidRDefault="00EC73AE" w:rsidP="00EC73AE">
      <w:pPr>
        <w:pStyle w:val="Heading9"/>
        <w:tabs>
          <w:tab w:val="clear" w:pos="1080"/>
          <w:tab w:val="num" w:pos="1418"/>
        </w:tabs>
        <w:ind w:left="1418" w:hanging="425"/>
        <w:rPr>
          <w:rFonts w:ascii="Arial" w:hAnsi="Arial" w:cs="Arial"/>
          <w:sz w:val="22"/>
          <w:szCs w:val="22"/>
        </w:rPr>
      </w:pPr>
      <w:r w:rsidRPr="00E4265B">
        <w:rPr>
          <w:rFonts w:ascii="Arial" w:hAnsi="Arial" w:cs="Arial"/>
          <w:sz w:val="22"/>
          <w:szCs w:val="22"/>
        </w:rPr>
        <w:t>if an Authorised Person has delivered Securities or Commodities or foreign exchange funds to a Counterparty and has not received payment:</w:t>
      </w:r>
    </w:p>
    <w:p w14:paraId="03A71A5F" w14:textId="77777777" w:rsidR="00EC73AE" w:rsidRPr="00E4265B" w:rsidRDefault="00EC73AE" w:rsidP="00EC73AE">
      <w:pPr>
        <w:pStyle w:val="Heading9"/>
        <w:numPr>
          <w:ilvl w:val="0"/>
          <w:numId w:val="0"/>
        </w:numPr>
        <w:ind w:left="1080"/>
        <w:jc w:val="center"/>
        <w:rPr>
          <w:rFonts w:ascii="Arial" w:hAnsi="Arial" w:cs="Arial"/>
          <w:sz w:val="22"/>
          <w:szCs w:val="22"/>
        </w:rPr>
      </w:pPr>
      <w:r w:rsidRPr="00E4265B">
        <w:rPr>
          <w:rFonts w:ascii="Arial" w:hAnsi="Arial" w:cs="Arial"/>
          <w:sz w:val="22"/>
          <w:szCs w:val="22"/>
        </w:rPr>
        <w:t>E = CV due to the Authorised Person</w:t>
      </w:r>
    </w:p>
    <w:p w14:paraId="3CAB5E77" w14:textId="77777777" w:rsidR="00EC73AE" w:rsidRPr="00E4265B" w:rsidRDefault="00EC73AE" w:rsidP="00EC73AE">
      <w:pPr>
        <w:pStyle w:val="Heading9"/>
        <w:tabs>
          <w:tab w:val="clear" w:pos="1080"/>
          <w:tab w:val="num" w:pos="1418"/>
        </w:tabs>
        <w:ind w:left="1418" w:hanging="425"/>
        <w:rPr>
          <w:rFonts w:ascii="Arial" w:hAnsi="Arial" w:cs="Arial"/>
          <w:sz w:val="22"/>
          <w:szCs w:val="22"/>
        </w:rPr>
      </w:pPr>
      <w:r w:rsidRPr="00E4265B">
        <w:rPr>
          <w:rFonts w:ascii="Arial" w:hAnsi="Arial" w:cs="Arial"/>
          <w:sz w:val="22"/>
          <w:szCs w:val="22"/>
        </w:rPr>
        <w:t>if an Authorised Person has made payment of CV to a Counterparty for commodities or Securities and has not received them:</w:t>
      </w:r>
    </w:p>
    <w:p w14:paraId="1553DEAA" w14:textId="77777777" w:rsidR="00EC73AE" w:rsidRPr="00E4265B" w:rsidRDefault="00EC73AE" w:rsidP="00EC73AE">
      <w:pPr>
        <w:pStyle w:val="Heading9"/>
        <w:numPr>
          <w:ilvl w:val="0"/>
          <w:numId w:val="0"/>
        </w:numPr>
        <w:ind w:left="1080"/>
        <w:jc w:val="center"/>
        <w:rPr>
          <w:rFonts w:ascii="Arial" w:hAnsi="Arial" w:cs="Arial"/>
          <w:sz w:val="22"/>
          <w:szCs w:val="22"/>
        </w:rPr>
      </w:pPr>
      <w:r w:rsidRPr="00E4265B">
        <w:rPr>
          <w:rFonts w:ascii="Arial" w:hAnsi="Arial" w:cs="Arial"/>
          <w:sz w:val="22"/>
          <w:szCs w:val="22"/>
        </w:rPr>
        <w:t>E = CV – MV of the Securities, commodities or foreign exchange funds due to it</w:t>
      </w:r>
    </w:p>
    <w:p w14:paraId="4D91D4A8" w14:textId="1FA4AC1C" w:rsidR="00CB10AC" w:rsidRPr="00E4265B" w:rsidRDefault="00CB10AC" w:rsidP="00216099">
      <w:pPr>
        <w:pStyle w:val="Heading9"/>
        <w:numPr>
          <w:ilvl w:val="0"/>
          <w:numId w:val="0"/>
        </w:numPr>
        <w:ind w:left="993" w:hanging="993"/>
        <w:rPr>
          <w:rFonts w:ascii="Arial" w:hAnsi="Arial" w:cs="Arial"/>
          <w:sz w:val="22"/>
          <w:szCs w:val="22"/>
        </w:rPr>
      </w:pPr>
      <w:r w:rsidRPr="00E4265B">
        <w:rPr>
          <w:rFonts w:ascii="Arial" w:hAnsi="Arial" w:cs="Arial"/>
          <w:b/>
          <w:sz w:val="22"/>
          <w:szCs w:val="22"/>
        </w:rPr>
        <w:t>A4.6.11</w:t>
      </w:r>
      <w:r w:rsidR="00216099" w:rsidRPr="00E4265B">
        <w:rPr>
          <w:rFonts w:ascii="Arial" w:hAnsi="Arial" w:cs="Arial"/>
          <w:b/>
          <w:sz w:val="22"/>
          <w:szCs w:val="22"/>
        </w:rPr>
        <w:tab/>
      </w:r>
      <w:r w:rsidRPr="00E4265B">
        <w:rPr>
          <w:rFonts w:ascii="Arial" w:hAnsi="Arial" w:cs="Arial"/>
          <w:sz w:val="22"/>
          <w:szCs w:val="22"/>
        </w:rPr>
        <w:t>The Credit RWA in respect of free delivery transactions are to be calculated in accordance with the following table:</w:t>
      </w:r>
      <w:r w:rsidRPr="00E4265B">
        <w:rPr>
          <w:rFonts w:ascii="Arial" w:hAnsi="Arial" w:cs="Arial"/>
          <w:b/>
          <w:sz w:val="22"/>
          <w:szCs w:val="22"/>
        </w:rPr>
        <w:tab/>
      </w:r>
    </w:p>
    <w:tbl>
      <w:tblPr>
        <w:tblStyle w:val="TableGrid1"/>
        <w:tblW w:w="8280" w:type="dxa"/>
        <w:tblInd w:w="1165" w:type="dxa"/>
        <w:tblLook w:val="04A0" w:firstRow="1" w:lastRow="0" w:firstColumn="1" w:lastColumn="0" w:noHBand="0" w:noVBand="1"/>
      </w:tblPr>
      <w:tblGrid>
        <w:gridCol w:w="5310"/>
        <w:gridCol w:w="2970"/>
      </w:tblGrid>
      <w:tr w:rsidR="00CB10AC" w:rsidRPr="00E4265B" w14:paraId="702B2F9F" w14:textId="77777777" w:rsidTr="001A7C7F">
        <w:tc>
          <w:tcPr>
            <w:tcW w:w="5310" w:type="dxa"/>
            <w:shd w:val="clear" w:color="auto" w:fill="D9D9D9" w:themeFill="background1" w:themeFillShade="D9"/>
            <w:vAlign w:val="center"/>
          </w:tcPr>
          <w:p w14:paraId="6E981402" w14:textId="77777777" w:rsidR="00CB10AC" w:rsidRPr="00E4265B" w:rsidRDefault="00CB10AC" w:rsidP="00CB10AC">
            <w:pPr>
              <w:spacing w:line="276" w:lineRule="auto"/>
              <w:jc w:val="center"/>
              <w:rPr>
                <w:rFonts w:ascii="Arial" w:eastAsia="Calibri" w:hAnsi="Arial" w:cs="Arial"/>
                <w:b/>
                <w:bCs/>
                <w:noProof/>
                <w:lang w:val="en-GB"/>
              </w:rPr>
            </w:pPr>
            <w:r w:rsidRPr="00E4265B">
              <w:rPr>
                <w:rFonts w:ascii="Arial" w:eastAsia="Calibri" w:hAnsi="Arial" w:cs="Arial"/>
                <w:b/>
                <w:bCs/>
                <w:noProof/>
                <w:lang w:val="en-GB"/>
              </w:rPr>
              <w:t>Transaction stage</w:t>
            </w:r>
          </w:p>
        </w:tc>
        <w:tc>
          <w:tcPr>
            <w:tcW w:w="2970" w:type="dxa"/>
            <w:shd w:val="clear" w:color="auto" w:fill="D9D9D9" w:themeFill="background1" w:themeFillShade="D9"/>
            <w:vAlign w:val="center"/>
          </w:tcPr>
          <w:p w14:paraId="5B448EE8" w14:textId="77777777" w:rsidR="00CB10AC" w:rsidRPr="00E4265B" w:rsidRDefault="00CB10AC" w:rsidP="00CB10AC">
            <w:pPr>
              <w:spacing w:line="276" w:lineRule="auto"/>
              <w:jc w:val="center"/>
              <w:rPr>
                <w:rFonts w:ascii="Arial" w:eastAsia="Calibri" w:hAnsi="Arial" w:cs="Arial"/>
                <w:b/>
                <w:bCs/>
                <w:noProof/>
                <w:lang w:val="en-GB"/>
              </w:rPr>
            </w:pPr>
            <w:r w:rsidRPr="00E4265B">
              <w:rPr>
                <w:rFonts w:ascii="Arial" w:eastAsia="Calibri" w:hAnsi="Arial" w:cs="Arial"/>
                <w:b/>
                <w:bCs/>
                <w:noProof/>
                <w:lang w:val="en-GB"/>
              </w:rPr>
              <w:t>Treatment</w:t>
            </w:r>
          </w:p>
        </w:tc>
      </w:tr>
      <w:tr w:rsidR="00CB10AC" w:rsidRPr="00E4265B" w14:paraId="6B6D6BC7" w14:textId="77777777" w:rsidTr="001A7C7F">
        <w:tc>
          <w:tcPr>
            <w:tcW w:w="5310" w:type="dxa"/>
            <w:vAlign w:val="center"/>
          </w:tcPr>
          <w:p w14:paraId="43CEE2B1" w14:textId="77777777" w:rsidR="00CB10AC" w:rsidRPr="00E4265B" w:rsidRDefault="00CB10AC" w:rsidP="00CB10AC">
            <w:pPr>
              <w:spacing w:line="276" w:lineRule="auto"/>
              <w:rPr>
                <w:rFonts w:ascii="Arial" w:eastAsia="Calibri" w:hAnsi="Arial" w:cs="Arial"/>
                <w:noProof/>
                <w:lang w:val="en-GB"/>
              </w:rPr>
            </w:pPr>
            <w:r w:rsidRPr="00E4265B">
              <w:rPr>
                <w:rFonts w:ascii="Arial" w:eastAsia="Calibri" w:hAnsi="Arial" w:cs="Arial"/>
                <w:noProof/>
                <w:lang w:val="en-GB"/>
              </w:rPr>
              <w:t>Up to first contractual payment or delivery leg</w:t>
            </w:r>
          </w:p>
        </w:tc>
        <w:tc>
          <w:tcPr>
            <w:tcW w:w="2970" w:type="dxa"/>
            <w:vAlign w:val="center"/>
          </w:tcPr>
          <w:p w14:paraId="72DB8AEC" w14:textId="77777777" w:rsidR="00CB10AC" w:rsidRPr="00E4265B" w:rsidRDefault="00CB10AC" w:rsidP="00CB10AC">
            <w:pPr>
              <w:spacing w:line="276" w:lineRule="auto"/>
              <w:rPr>
                <w:rFonts w:ascii="Arial" w:eastAsia="Calibri" w:hAnsi="Arial" w:cs="Arial"/>
                <w:noProof/>
                <w:lang w:val="en-GB"/>
              </w:rPr>
            </w:pPr>
            <w:r w:rsidRPr="00E4265B">
              <w:rPr>
                <w:rFonts w:ascii="Arial" w:eastAsia="Calibri" w:hAnsi="Arial" w:cs="Arial"/>
                <w:noProof/>
                <w:lang w:val="en-GB"/>
              </w:rPr>
              <w:t>No calculation required</w:t>
            </w:r>
          </w:p>
        </w:tc>
      </w:tr>
      <w:tr w:rsidR="00CB10AC" w:rsidRPr="00E4265B" w14:paraId="1373A866" w14:textId="77777777" w:rsidTr="001A7C7F">
        <w:tc>
          <w:tcPr>
            <w:tcW w:w="5310" w:type="dxa"/>
            <w:vAlign w:val="center"/>
          </w:tcPr>
          <w:p w14:paraId="5FCCAECC" w14:textId="77777777" w:rsidR="00CB10AC" w:rsidRPr="00E4265B" w:rsidRDefault="00CB10AC" w:rsidP="00CB10AC">
            <w:pPr>
              <w:spacing w:line="276" w:lineRule="auto"/>
              <w:rPr>
                <w:rFonts w:ascii="Arial" w:eastAsia="Calibri" w:hAnsi="Arial" w:cs="Arial"/>
                <w:noProof/>
                <w:lang w:val="en-GB"/>
              </w:rPr>
            </w:pPr>
            <w:r w:rsidRPr="00E4265B">
              <w:rPr>
                <w:rFonts w:ascii="Arial" w:eastAsia="Calibri" w:hAnsi="Arial" w:cs="Arial"/>
                <w:noProof/>
                <w:lang w:val="en-GB"/>
              </w:rPr>
              <w:t>From first contractual payment or delivery leg up to four</w:t>
            </w:r>
            <w:r w:rsidR="008F0178" w:rsidRPr="00E4265B">
              <w:rPr>
                <w:rFonts w:ascii="Arial" w:eastAsia="Calibri" w:hAnsi="Arial" w:cs="Arial"/>
                <w:noProof/>
                <w:lang w:val="en-GB"/>
              </w:rPr>
              <w:t xml:space="preserve"> business</w:t>
            </w:r>
            <w:r w:rsidRPr="00E4265B">
              <w:rPr>
                <w:rFonts w:ascii="Arial" w:eastAsia="Calibri" w:hAnsi="Arial" w:cs="Arial"/>
                <w:noProof/>
                <w:lang w:val="en-GB"/>
              </w:rPr>
              <w:t xml:space="preserve"> days after second contractual payment or delivery leg</w:t>
            </w:r>
          </w:p>
        </w:tc>
        <w:tc>
          <w:tcPr>
            <w:tcW w:w="2970" w:type="dxa"/>
            <w:vAlign w:val="center"/>
          </w:tcPr>
          <w:p w14:paraId="4A5AAB8A" w14:textId="77777777" w:rsidR="00CB10AC" w:rsidRPr="00E4265B" w:rsidRDefault="00CB10AC" w:rsidP="00CB10AC">
            <w:pPr>
              <w:spacing w:line="276" w:lineRule="auto"/>
              <w:rPr>
                <w:rFonts w:ascii="Arial" w:eastAsia="Calibri" w:hAnsi="Arial" w:cs="Arial"/>
                <w:noProof/>
                <w:lang w:val="en-GB"/>
              </w:rPr>
            </w:pPr>
            <w:r w:rsidRPr="00E4265B">
              <w:rPr>
                <w:rFonts w:ascii="Arial" w:eastAsia="Calibri" w:hAnsi="Arial" w:cs="Arial"/>
                <w:noProof/>
                <w:lang w:val="en-GB"/>
              </w:rPr>
              <w:t>Treat as an exposure</w:t>
            </w:r>
          </w:p>
        </w:tc>
      </w:tr>
      <w:tr w:rsidR="00CB10AC" w:rsidRPr="00E4265B" w14:paraId="1BC6FA52" w14:textId="77777777" w:rsidTr="001A7C7F">
        <w:tc>
          <w:tcPr>
            <w:tcW w:w="5310" w:type="dxa"/>
            <w:vAlign w:val="center"/>
          </w:tcPr>
          <w:p w14:paraId="57100DAC" w14:textId="77777777" w:rsidR="00CB10AC" w:rsidRPr="00E4265B" w:rsidRDefault="00CB10AC" w:rsidP="00CB10AC">
            <w:pPr>
              <w:spacing w:line="276" w:lineRule="auto"/>
              <w:rPr>
                <w:rFonts w:ascii="Arial" w:eastAsia="Calibri" w:hAnsi="Arial" w:cs="Arial"/>
                <w:noProof/>
                <w:lang w:val="en-GB"/>
              </w:rPr>
            </w:pPr>
            <w:r w:rsidRPr="00E4265B">
              <w:rPr>
                <w:rFonts w:ascii="Arial" w:eastAsia="Calibri" w:hAnsi="Arial" w:cs="Arial"/>
                <w:noProof/>
                <w:lang w:val="en-GB"/>
              </w:rPr>
              <w:t xml:space="preserve">From five </w:t>
            </w:r>
            <w:r w:rsidR="008F0178" w:rsidRPr="00E4265B">
              <w:rPr>
                <w:rFonts w:ascii="Arial" w:eastAsia="Calibri" w:hAnsi="Arial" w:cs="Arial"/>
                <w:noProof/>
                <w:lang w:val="en-GB"/>
              </w:rPr>
              <w:t xml:space="preserve">business </w:t>
            </w:r>
            <w:r w:rsidRPr="00E4265B">
              <w:rPr>
                <w:rFonts w:ascii="Arial" w:eastAsia="Calibri" w:hAnsi="Arial" w:cs="Arial"/>
                <w:noProof/>
                <w:lang w:val="en-GB"/>
              </w:rPr>
              <w:t>days post contractual payment or delivery leg until extinction of the transaction</w:t>
            </w:r>
          </w:p>
        </w:tc>
        <w:tc>
          <w:tcPr>
            <w:tcW w:w="2970" w:type="dxa"/>
            <w:vAlign w:val="center"/>
          </w:tcPr>
          <w:p w14:paraId="1DE9574E" w14:textId="77777777" w:rsidR="00CB10AC" w:rsidRPr="00E4265B" w:rsidRDefault="00CB10AC" w:rsidP="00CB10AC">
            <w:pPr>
              <w:spacing w:line="276" w:lineRule="auto"/>
              <w:rPr>
                <w:rFonts w:ascii="Arial" w:eastAsia="Calibri" w:hAnsi="Arial" w:cs="Arial"/>
                <w:noProof/>
                <w:lang w:val="en-GB"/>
              </w:rPr>
            </w:pPr>
            <w:r w:rsidRPr="00E4265B">
              <w:rPr>
                <w:rFonts w:ascii="Arial" w:eastAsia="Calibri" w:hAnsi="Arial" w:cs="Arial"/>
                <w:noProof/>
                <w:lang w:val="en-GB"/>
              </w:rPr>
              <w:t>Treat as an exposure with a risk-weight of 1000%</w:t>
            </w:r>
          </w:p>
        </w:tc>
      </w:tr>
    </w:tbl>
    <w:p w14:paraId="3B7DCAFF" w14:textId="321508E6" w:rsidR="00CB10AC" w:rsidRPr="00E4265B" w:rsidRDefault="00CB10AC" w:rsidP="00216099">
      <w:pPr>
        <w:pStyle w:val="Heading9"/>
        <w:numPr>
          <w:ilvl w:val="0"/>
          <w:numId w:val="0"/>
        </w:numPr>
        <w:ind w:left="993" w:hanging="993"/>
        <w:rPr>
          <w:rFonts w:ascii="Arial" w:hAnsi="Arial" w:cs="Arial"/>
          <w:sz w:val="22"/>
          <w:szCs w:val="22"/>
        </w:rPr>
      </w:pPr>
      <w:r w:rsidRPr="00E4265B">
        <w:rPr>
          <w:rFonts w:ascii="Arial" w:hAnsi="Arial" w:cs="Arial"/>
          <w:b/>
          <w:sz w:val="22"/>
          <w:szCs w:val="22"/>
        </w:rPr>
        <w:t>A4.6.12</w:t>
      </w:r>
      <w:r w:rsidR="00216099" w:rsidRPr="00E4265B">
        <w:rPr>
          <w:rFonts w:ascii="Arial" w:hAnsi="Arial" w:cs="Arial"/>
          <w:b/>
          <w:sz w:val="22"/>
          <w:szCs w:val="22"/>
        </w:rPr>
        <w:tab/>
      </w:r>
      <w:r w:rsidRPr="00E4265B">
        <w:rPr>
          <w:rFonts w:ascii="Arial" w:hAnsi="Arial" w:cs="Arial"/>
          <w:sz w:val="22"/>
          <w:szCs w:val="22"/>
        </w:rPr>
        <w:t>An Authorised Person must treat an Exposure in accordance with the relevant provisions of Chapter 4.</w:t>
      </w:r>
    </w:p>
    <w:p w14:paraId="63E15CBF" w14:textId="52648D5F" w:rsidR="00CB10AC" w:rsidRPr="00E4265B" w:rsidRDefault="00CB10AC" w:rsidP="00216099">
      <w:pPr>
        <w:pStyle w:val="Heading9"/>
        <w:numPr>
          <w:ilvl w:val="0"/>
          <w:numId w:val="0"/>
        </w:numPr>
        <w:ind w:left="993" w:hanging="993"/>
        <w:rPr>
          <w:rFonts w:ascii="Arial" w:hAnsi="Arial" w:cs="Arial"/>
          <w:sz w:val="22"/>
          <w:szCs w:val="22"/>
        </w:rPr>
      </w:pPr>
      <w:r w:rsidRPr="00E4265B">
        <w:rPr>
          <w:rFonts w:ascii="Arial" w:hAnsi="Arial" w:cs="Arial"/>
          <w:b/>
          <w:sz w:val="22"/>
          <w:szCs w:val="22"/>
        </w:rPr>
        <w:t>A4.6.13</w:t>
      </w:r>
      <w:r w:rsidR="00216099" w:rsidRPr="00E4265B">
        <w:rPr>
          <w:rFonts w:ascii="Arial" w:hAnsi="Arial" w:cs="Arial"/>
          <w:b/>
          <w:sz w:val="22"/>
          <w:szCs w:val="22"/>
        </w:rPr>
        <w:tab/>
      </w:r>
      <w:r w:rsidRPr="00E4265B">
        <w:rPr>
          <w:rFonts w:ascii="Arial" w:hAnsi="Arial" w:cs="Arial"/>
          <w:sz w:val="22"/>
          <w:szCs w:val="22"/>
        </w:rPr>
        <w:t xml:space="preserve">If the Authorised Person considers the total amount of the exposures resulting from free delivery transactions to be immaterial it may apply a risk weight of 100% to these exposures, except where a risk weight of 1000% is applied in accordance with Rule A4.6.11. </w:t>
      </w:r>
    </w:p>
    <w:p w14:paraId="57AFE97F" w14:textId="50E76AC8" w:rsidR="0063163E" w:rsidRPr="00E4265B" w:rsidRDefault="0063163E" w:rsidP="0063163E">
      <w:pPr>
        <w:pStyle w:val="TitleL5"/>
        <w:rPr>
          <w:rFonts w:ascii="Arial" w:hAnsi="Arial" w:cs="Arial"/>
          <w:sz w:val="22"/>
          <w:szCs w:val="22"/>
          <w:lang w:val="en-GB"/>
        </w:rPr>
      </w:pPr>
      <w:r w:rsidRPr="00E4265B">
        <w:rPr>
          <w:rFonts w:ascii="Arial" w:hAnsi="Arial" w:cs="Arial"/>
          <w:sz w:val="22"/>
          <w:szCs w:val="22"/>
          <w:lang w:val="en-GB"/>
        </w:rPr>
        <w:t>Derivatives</w:t>
      </w:r>
      <w:r w:rsidR="00E96CD2" w:rsidRPr="00E4265B">
        <w:rPr>
          <w:rFonts w:ascii="Arial" w:hAnsi="Arial" w:cs="Arial"/>
          <w:sz w:val="22"/>
          <w:szCs w:val="22"/>
          <w:lang w:val="en-GB"/>
        </w:rPr>
        <w:t xml:space="preserve"> and long settlement transactions</w:t>
      </w:r>
      <w:r w:rsidRPr="00E4265B">
        <w:rPr>
          <w:rFonts w:ascii="Arial" w:hAnsi="Arial" w:cs="Arial"/>
          <w:sz w:val="22"/>
          <w:szCs w:val="22"/>
          <w:lang w:val="en-GB"/>
        </w:rPr>
        <w:t xml:space="preserve"> – Standardised Approach to Counterparty Credit Risk (SA-CCR)</w:t>
      </w:r>
    </w:p>
    <w:p w14:paraId="129D8C60" w14:textId="27474A51" w:rsidR="0063163E" w:rsidRPr="00E4265B" w:rsidRDefault="0063163E" w:rsidP="00C33BDF">
      <w:pPr>
        <w:pStyle w:val="A1List"/>
        <w:rPr>
          <w:rFonts w:ascii="Arial" w:hAnsi="Arial" w:cs="Arial"/>
          <w:b/>
          <w:bCs/>
          <w:sz w:val="22"/>
          <w:szCs w:val="22"/>
          <w:lang w:val="en-GB"/>
        </w:rPr>
      </w:pPr>
      <w:r w:rsidRPr="00E4265B">
        <w:rPr>
          <w:rFonts w:ascii="Arial" w:hAnsi="Arial" w:cs="Arial"/>
          <w:b/>
          <w:bCs/>
          <w:sz w:val="22"/>
          <w:szCs w:val="22"/>
          <w:lang w:val="en-GB"/>
        </w:rPr>
        <w:t>A4.6.14</w:t>
      </w:r>
      <w:r w:rsidRPr="00E4265B">
        <w:rPr>
          <w:rFonts w:ascii="Arial" w:hAnsi="Arial" w:cs="Arial"/>
          <w:b/>
          <w:bCs/>
          <w:sz w:val="22"/>
          <w:szCs w:val="22"/>
          <w:lang w:val="en-GB"/>
        </w:rPr>
        <w:tab/>
      </w:r>
      <w:r w:rsidRPr="00E4265B">
        <w:rPr>
          <w:rFonts w:ascii="Arial" w:hAnsi="Arial" w:cs="Arial"/>
          <w:bCs/>
          <w:sz w:val="22"/>
          <w:szCs w:val="22"/>
          <w:lang w:val="en-GB"/>
        </w:rPr>
        <w:t xml:space="preserve">The exposure </w:t>
      </w:r>
      <w:r w:rsidR="008F0178" w:rsidRPr="00E4265B">
        <w:rPr>
          <w:rFonts w:ascii="Arial" w:hAnsi="Arial" w:cs="Arial"/>
          <w:bCs/>
          <w:sz w:val="22"/>
          <w:szCs w:val="22"/>
          <w:lang w:val="en-GB"/>
        </w:rPr>
        <w:t>at default</w:t>
      </w:r>
      <w:r w:rsidRPr="00E4265B">
        <w:rPr>
          <w:rFonts w:ascii="Arial" w:hAnsi="Arial" w:cs="Arial"/>
          <w:bCs/>
          <w:sz w:val="22"/>
          <w:szCs w:val="22"/>
          <w:lang w:val="en-GB"/>
        </w:rPr>
        <w:t xml:space="preserve"> (EAD) of </w:t>
      </w:r>
      <w:r w:rsidR="00C33BDF" w:rsidRPr="00E4265B">
        <w:rPr>
          <w:rFonts w:ascii="Arial" w:hAnsi="Arial" w:cs="Arial"/>
          <w:bCs/>
          <w:sz w:val="22"/>
          <w:szCs w:val="22"/>
          <w:lang w:val="en-GB"/>
        </w:rPr>
        <w:t>D</w:t>
      </w:r>
      <w:r w:rsidRPr="00E4265B">
        <w:rPr>
          <w:rFonts w:ascii="Arial" w:hAnsi="Arial" w:cs="Arial"/>
          <w:bCs/>
          <w:sz w:val="22"/>
          <w:szCs w:val="22"/>
          <w:lang w:val="en-GB"/>
        </w:rPr>
        <w:t>erivative transactions</w:t>
      </w:r>
      <w:r w:rsidR="008F0178" w:rsidRPr="00E4265B">
        <w:rPr>
          <w:rFonts w:ascii="Arial" w:hAnsi="Arial" w:cs="Arial"/>
          <w:bCs/>
          <w:sz w:val="22"/>
          <w:szCs w:val="22"/>
          <w:lang w:val="en-GB"/>
        </w:rPr>
        <w:t xml:space="preserve"> (OTC and exchange-traded)</w:t>
      </w:r>
      <w:r w:rsidRPr="00E4265B">
        <w:rPr>
          <w:rFonts w:ascii="Arial" w:hAnsi="Arial" w:cs="Arial"/>
          <w:bCs/>
          <w:sz w:val="22"/>
          <w:szCs w:val="22"/>
          <w:lang w:val="en-GB"/>
        </w:rPr>
        <w:t xml:space="preserve"> and long settlement transactions must be calculated in accordance with this Section unless the Authorised Person has been granted permission by the Regulator to use an internal model. </w:t>
      </w:r>
    </w:p>
    <w:p w14:paraId="411EED2E" w14:textId="77777777" w:rsidR="0063163E" w:rsidRPr="00E4265B" w:rsidRDefault="0063163E" w:rsidP="0063163E">
      <w:pPr>
        <w:pStyle w:val="A1List"/>
        <w:rPr>
          <w:rFonts w:ascii="Arial" w:hAnsi="Arial" w:cs="Arial"/>
          <w:b/>
          <w:bCs/>
          <w:sz w:val="22"/>
          <w:szCs w:val="22"/>
          <w:lang w:val="en-GB"/>
        </w:rPr>
      </w:pPr>
      <w:r w:rsidRPr="00E4265B">
        <w:rPr>
          <w:rFonts w:ascii="Arial" w:hAnsi="Arial" w:cs="Arial"/>
          <w:b/>
          <w:bCs/>
          <w:sz w:val="22"/>
          <w:szCs w:val="22"/>
          <w:lang w:val="en-GB"/>
        </w:rPr>
        <w:t>A4.6.15</w:t>
      </w:r>
      <w:r w:rsidRPr="00E4265B">
        <w:rPr>
          <w:rFonts w:ascii="Arial" w:hAnsi="Arial" w:cs="Arial"/>
          <w:b/>
          <w:bCs/>
          <w:sz w:val="22"/>
          <w:szCs w:val="22"/>
          <w:lang w:val="en-GB"/>
        </w:rPr>
        <w:tab/>
      </w:r>
      <w:r w:rsidRPr="00E4265B">
        <w:rPr>
          <w:rFonts w:ascii="Arial" w:hAnsi="Arial" w:cs="Arial"/>
          <w:bCs/>
          <w:sz w:val="22"/>
          <w:szCs w:val="22"/>
          <w:lang w:val="en-GB"/>
        </w:rPr>
        <w:t>EAD is to be calculated separately for each netting set. It is determined as follows:</w:t>
      </w:r>
    </w:p>
    <w:p w14:paraId="5A7DE14A" w14:textId="77777777" w:rsidR="0063163E" w:rsidRPr="00E4265B" w:rsidRDefault="0063163E" w:rsidP="0063163E">
      <w:pPr>
        <w:pStyle w:val="A1List"/>
        <w:ind w:left="1984"/>
        <w:jc w:val="center"/>
        <w:rPr>
          <w:rFonts w:ascii="Arial" w:hAnsi="Arial" w:cs="Arial"/>
          <w:bCs/>
          <w:sz w:val="22"/>
          <w:szCs w:val="22"/>
          <w:lang w:val="en-GB"/>
        </w:rPr>
      </w:pPr>
      <w:r w:rsidRPr="00E4265B">
        <w:rPr>
          <w:rFonts w:ascii="Arial" w:hAnsi="Arial" w:cs="Arial"/>
          <w:bCs/>
          <w:sz w:val="22"/>
          <w:szCs w:val="22"/>
          <w:lang w:val="en-GB"/>
        </w:rPr>
        <w:t xml:space="preserve">EAD = </w:t>
      </w:r>
      <w:r w:rsidR="008F0178" w:rsidRPr="00E4265B">
        <w:rPr>
          <w:rFonts w:ascii="Arial" w:hAnsi="Arial" w:cs="Arial"/>
          <w:bCs/>
          <w:i/>
          <w:sz w:val="22"/>
          <w:szCs w:val="22"/>
          <w:lang w:val="en-GB"/>
        </w:rPr>
        <w:t>alpha* (RC +</w:t>
      </w:r>
      <w:r w:rsidRPr="00E4265B">
        <w:rPr>
          <w:rFonts w:ascii="Arial" w:hAnsi="Arial" w:cs="Arial"/>
          <w:bCs/>
          <w:i/>
          <w:sz w:val="22"/>
          <w:szCs w:val="22"/>
          <w:lang w:val="en-GB"/>
        </w:rPr>
        <w:t xml:space="preserve"> PFE)</w:t>
      </w:r>
    </w:p>
    <w:p w14:paraId="2A38BD15" w14:textId="77777777" w:rsidR="0063163E" w:rsidRPr="00E4265B" w:rsidRDefault="0063163E" w:rsidP="0063163E">
      <w:pPr>
        <w:pStyle w:val="A1List"/>
        <w:ind w:left="1984"/>
        <w:rPr>
          <w:rFonts w:ascii="Arial" w:hAnsi="Arial" w:cs="Arial"/>
          <w:bCs/>
          <w:sz w:val="22"/>
          <w:szCs w:val="22"/>
          <w:lang w:val="en-GB"/>
        </w:rPr>
      </w:pPr>
      <w:r w:rsidRPr="00E4265B">
        <w:rPr>
          <w:rFonts w:ascii="Arial" w:hAnsi="Arial" w:cs="Arial"/>
          <w:bCs/>
          <w:sz w:val="22"/>
          <w:szCs w:val="22"/>
          <w:lang w:val="en-GB"/>
        </w:rPr>
        <w:t>where:</w:t>
      </w:r>
    </w:p>
    <w:p w14:paraId="5DBAA95E" w14:textId="77777777" w:rsidR="0063163E" w:rsidRPr="00E4265B" w:rsidRDefault="0063163E" w:rsidP="0063163E">
      <w:pPr>
        <w:pStyle w:val="A1List"/>
        <w:ind w:left="1984"/>
        <w:rPr>
          <w:rFonts w:ascii="Arial" w:hAnsi="Arial" w:cs="Arial"/>
          <w:bCs/>
          <w:sz w:val="22"/>
          <w:szCs w:val="22"/>
          <w:lang w:val="en-GB"/>
        </w:rPr>
      </w:pPr>
      <w:r w:rsidRPr="00E4265B">
        <w:rPr>
          <w:rFonts w:ascii="Arial" w:hAnsi="Arial" w:cs="Arial"/>
          <w:bCs/>
          <w:i/>
          <w:sz w:val="22"/>
          <w:szCs w:val="22"/>
          <w:lang w:val="en-GB"/>
        </w:rPr>
        <w:t>alpha</w:t>
      </w:r>
      <w:r w:rsidRPr="00E4265B">
        <w:rPr>
          <w:rFonts w:ascii="Arial" w:hAnsi="Arial" w:cs="Arial"/>
          <w:bCs/>
          <w:sz w:val="22"/>
          <w:szCs w:val="22"/>
          <w:lang w:val="en-GB"/>
        </w:rPr>
        <w:t xml:space="preserve"> = 1.4</w:t>
      </w:r>
    </w:p>
    <w:p w14:paraId="5D0053B6" w14:textId="77777777" w:rsidR="0063163E" w:rsidRPr="00E4265B" w:rsidRDefault="0063163E" w:rsidP="0063163E">
      <w:pPr>
        <w:pStyle w:val="A1List"/>
        <w:ind w:left="1984"/>
        <w:rPr>
          <w:rFonts w:ascii="Arial" w:hAnsi="Arial" w:cs="Arial"/>
          <w:bCs/>
          <w:sz w:val="22"/>
          <w:szCs w:val="22"/>
          <w:lang w:val="en-GB"/>
        </w:rPr>
      </w:pPr>
      <w:r w:rsidRPr="00E4265B">
        <w:rPr>
          <w:rFonts w:ascii="Arial" w:hAnsi="Arial" w:cs="Arial"/>
          <w:bCs/>
          <w:i/>
          <w:sz w:val="22"/>
          <w:szCs w:val="22"/>
          <w:lang w:val="en-GB"/>
        </w:rPr>
        <w:t>RC</w:t>
      </w:r>
      <w:r w:rsidRPr="00E4265B">
        <w:rPr>
          <w:rFonts w:ascii="Arial" w:hAnsi="Arial" w:cs="Arial"/>
          <w:bCs/>
          <w:sz w:val="22"/>
          <w:szCs w:val="22"/>
          <w:lang w:val="en-GB"/>
        </w:rPr>
        <w:t xml:space="preserve"> = the replacement cost calculated according to</w:t>
      </w:r>
      <w:r w:rsidR="008F0178" w:rsidRPr="00E4265B">
        <w:rPr>
          <w:rFonts w:ascii="Arial" w:hAnsi="Arial" w:cs="Arial"/>
          <w:bCs/>
          <w:sz w:val="22"/>
          <w:szCs w:val="22"/>
          <w:lang w:val="en-GB"/>
        </w:rPr>
        <w:t xml:space="preserve"> Rules A4.6.19 to </w:t>
      </w:r>
      <w:r w:rsidRPr="00E4265B">
        <w:rPr>
          <w:rFonts w:ascii="Arial" w:hAnsi="Arial" w:cs="Arial"/>
          <w:bCs/>
          <w:sz w:val="22"/>
          <w:szCs w:val="22"/>
          <w:lang w:val="en-GB"/>
        </w:rPr>
        <w:t>A4.6.24</w:t>
      </w:r>
    </w:p>
    <w:p w14:paraId="709861C7" w14:textId="77777777" w:rsidR="0063163E" w:rsidRPr="00E4265B" w:rsidRDefault="0063163E" w:rsidP="0063163E">
      <w:pPr>
        <w:pStyle w:val="A1List"/>
        <w:ind w:left="1984"/>
        <w:rPr>
          <w:rFonts w:ascii="Arial" w:hAnsi="Arial" w:cs="Arial"/>
          <w:bCs/>
          <w:sz w:val="22"/>
          <w:szCs w:val="22"/>
          <w:lang w:val="en-GB"/>
        </w:rPr>
      </w:pPr>
      <w:r w:rsidRPr="00E4265B">
        <w:rPr>
          <w:rFonts w:ascii="Arial" w:hAnsi="Arial" w:cs="Arial"/>
          <w:bCs/>
          <w:i/>
          <w:sz w:val="22"/>
          <w:szCs w:val="22"/>
          <w:lang w:val="en-GB"/>
        </w:rPr>
        <w:lastRenderedPageBreak/>
        <w:t>PFE</w:t>
      </w:r>
      <w:r w:rsidRPr="00E4265B">
        <w:rPr>
          <w:rFonts w:ascii="Arial" w:hAnsi="Arial" w:cs="Arial"/>
          <w:bCs/>
          <w:sz w:val="22"/>
          <w:szCs w:val="22"/>
          <w:lang w:val="en-GB"/>
        </w:rPr>
        <w:t xml:space="preserve"> = the amount for potential future exposure calculated according to </w:t>
      </w:r>
      <w:r w:rsidR="008F0178" w:rsidRPr="00E4265B">
        <w:rPr>
          <w:rFonts w:ascii="Arial" w:hAnsi="Arial" w:cs="Arial"/>
          <w:bCs/>
          <w:sz w:val="22"/>
          <w:szCs w:val="22"/>
          <w:lang w:val="en-GB"/>
        </w:rPr>
        <w:t xml:space="preserve">Rule </w:t>
      </w:r>
      <w:r w:rsidRPr="00E4265B">
        <w:rPr>
          <w:rFonts w:ascii="Arial" w:hAnsi="Arial" w:cs="Arial"/>
          <w:bCs/>
          <w:sz w:val="22"/>
          <w:szCs w:val="22"/>
          <w:lang w:val="en-GB"/>
        </w:rPr>
        <w:t xml:space="preserve">A4.6.26 </w:t>
      </w:r>
    </w:p>
    <w:p w14:paraId="20EC0861" w14:textId="77777777" w:rsidR="0063163E" w:rsidRPr="00E4265B" w:rsidRDefault="0063163E" w:rsidP="0063163E">
      <w:pPr>
        <w:pStyle w:val="A1List"/>
        <w:rPr>
          <w:rFonts w:ascii="Arial" w:hAnsi="Arial" w:cs="Arial"/>
          <w:b/>
          <w:bCs/>
          <w:sz w:val="22"/>
          <w:szCs w:val="22"/>
          <w:lang w:val="en-GB"/>
        </w:rPr>
      </w:pPr>
      <w:r w:rsidRPr="00E4265B">
        <w:rPr>
          <w:rFonts w:ascii="Arial" w:hAnsi="Arial" w:cs="Arial"/>
          <w:b/>
          <w:bCs/>
          <w:sz w:val="22"/>
          <w:szCs w:val="22"/>
          <w:lang w:val="en-GB"/>
        </w:rPr>
        <w:t>A4.6.16</w:t>
      </w:r>
      <w:r w:rsidRPr="00E4265B">
        <w:rPr>
          <w:rFonts w:ascii="Arial" w:hAnsi="Arial" w:cs="Arial"/>
          <w:b/>
          <w:bCs/>
          <w:sz w:val="22"/>
          <w:szCs w:val="22"/>
          <w:lang w:val="en-GB"/>
        </w:rPr>
        <w:tab/>
      </w:r>
      <w:r w:rsidRPr="00E4265B">
        <w:rPr>
          <w:rFonts w:ascii="Arial" w:hAnsi="Arial" w:cs="Arial"/>
          <w:bCs/>
          <w:sz w:val="22"/>
          <w:szCs w:val="22"/>
          <w:lang w:val="en-GB"/>
        </w:rPr>
        <w:t xml:space="preserve">The replacement cost (RC) and the potential future exposure (PFE) components </w:t>
      </w:r>
      <w:r w:rsidR="008F0178" w:rsidRPr="00E4265B">
        <w:rPr>
          <w:rFonts w:ascii="Arial" w:hAnsi="Arial" w:cs="Arial"/>
          <w:bCs/>
          <w:sz w:val="22"/>
          <w:szCs w:val="22"/>
          <w:lang w:val="en-GB"/>
        </w:rPr>
        <w:t>must be</w:t>
      </w:r>
      <w:r w:rsidRPr="00E4265B">
        <w:rPr>
          <w:rFonts w:ascii="Arial" w:hAnsi="Arial" w:cs="Arial"/>
          <w:bCs/>
          <w:sz w:val="22"/>
          <w:szCs w:val="22"/>
          <w:lang w:val="en-GB"/>
        </w:rPr>
        <w:t xml:space="preserve"> calculated differently for margined and unmargined netting sets. The EAD for a margined netting set is </w:t>
      </w:r>
      <w:r w:rsidR="008F0178" w:rsidRPr="00E4265B">
        <w:rPr>
          <w:rFonts w:ascii="Arial" w:hAnsi="Arial" w:cs="Arial"/>
          <w:bCs/>
          <w:sz w:val="22"/>
          <w:szCs w:val="22"/>
          <w:lang w:val="en-GB"/>
        </w:rPr>
        <w:t xml:space="preserve">to be </w:t>
      </w:r>
      <w:r w:rsidRPr="00E4265B">
        <w:rPr>
          <w:rFonts w:ascii="Arial" w:hAnsi="Arial" w:cs="Arial"/>
          <w:bCs/>
          <w:sz w:val="22"/>
          <w:szCs w:val="22"/>
          <w:lang w:val="en-GB"/>
        </w:rPr>
        <w:t>capped at the EAD of the same netting set calculated on an unmargined basis.</w:t>
      </w:r>
    </w:p>
    <w:p w14:paraId="1A0A3919" w14:textId="77777777" w:rsidR="0063163E" w:rsidRPr="00E4265B" w:rsidRDefault="0063163E" w:rsidP="0063163E">
      <w:pPr>
        <w:pStyle w:val="TitleL5"/>
        <w:rPr>
          <w:rFonts w:ascii="Arial" w:hAnsi="Arial" w:cs="Arial"/>
          <w:sz w:val="22"/>
          <w:szCs w:val="22"/>
          <w:lang w:val="en-GB"/>
        </w:rPr>
      </w:pPr>
      <w:r w:rsidRPr="00E4265B">
        <w:rPr>
          <w:rFonts w:ascii="Arial" w:hAnsi="Arial" w:cs="Arial"/>
          <w:sz w:val="22"/>
          <w:szCs w:val="22"/>
          <w:lang w:val="en-GB"/>
        </w:rPr>
        <w:t xml:space="preserve">Netting Sets </w:t>
      </w:r>
    </w:p>
    <w:p w14:paraId="153D2EFB" w14:textId="77777777" w:rsidR="0063163E" w:rsidRPr="00E4265B" w:rsidRDefault="0063163E" w:rsidP="0063163E">
      <w:pPr>
        <w:pStyle w:val="A1List"/>
        <w:rPr>
          <w:rFonts w:ascii="Arial" w:hAnsi="Arial" w:cs="Arial"/>
          <w:b/>
          <w:bCs/>
          <w:sz w:val="22"/>
          <w:szCs w:val="22"/>
          <w:lang w:val="en-GB"/>
        </w:rPr>
      </w:pPr>
      <w:r w:rsidRPr="00E4265B">
        <w:rPr>
          <w:rFonts w:ascii="Arial" w:hAnsi="Arial" w:cs="Arial"/>
          <w:b/>
          <w:bCs/>
          <w:sz w:val="22"/>
          <w:szCs w:val="22"/>
          <w:lang w:val="en-GB"/>
        </w:rPr>
        <w:t>A4.6.17</w:t>
      </w:r>
      <w:r w:rsidRPr="00E4265B">
        <w:rPr>
          <w:rFonts w:ascii="Arial" w:hAnsi="Arial" w:cs="Arial"/>
          <w:b/>
          <w:bCs/>
          <w:sz w:val="22"/>
          <w:szCs w:val="22"/>
          <w:lang w:val="en-GB"/>
        </w:rPr>
        <w:tab/>
      </w:r>
      <w:r w:rsidRPr="00E4265B">
        <w:rPr>
          <w:rFonts w:ascii="Arial" w:hAnsi="Arial" w:cs="Arial"/>
          <w:bCs/>
          <w:sz w:val="22"/>
          <w:szCs w:val="22"/>
          <w:lang w:val="en-GB"/>
        </w:rPr>
        <w:t>An Authorised Person may net transactions subject to any legally valid form of bilateral netting which results in legal substitution of one single payable/receivable amount for previous gross obligations.</w:t>
      </w:r>
      <w:r w:rsidRPr="00E4265B">
        <w:rPr>
          <w:rFonts w:ascii="Arial" w:hAnsi="Arial" w:cs="Arial"/>
          <w:b/>
          <w:bCs/>
          <w:sz w:val="22"/>
          <w:szCs w:val="22"/>
          <w:lang w:val="en-GB"/>
        </w:rPr>
        <w:t xml:space="preserve"> </w:t>
      </w:r>
    </w:p>
    <w:p w14:paraId="673FFDD1" w14:textId="77777777" w:rsidR="0063163E" w:rsidRPr="00E4265B" w:rsidRDefault="0063163E" w:rsidP="0063163E">
      <w:pPr>
        <w:pStyle w:val="A1List"/>
        <w:rPr>
          <w:rFonts w:ascii="Arial" w:hAnsi="Arial" w:cs="Arial"/>
          <w:b/>
          <w:bCs/>
          <w:sz w:val="22"/>
          <w:szCs w:val="22"/>
          <w:lang w:val="en-GB"/>
        </w:rPr>
      </w:pPr>
      <w:r w:rsidRPr="00E4265B">
        <w:rPr>
          <w:rFonts w:ascii="Arial" w:hAnsi="Arial" w:cs="Arial"/>
          <w:b/>
          <w:bCs/>
          <w:sz w:val="22"/>
          <w:szCs w:val="22"/>
          <w:lang w:val="en-GB"/>
        </w:rPr>
        <w:t>A4.6.18</w:t>
      </w:r>
      <w:r w:rsidRPr="00E4265B">
        <w:rPr>
          <w:rFonts w:ascii="Arial" w:hAnsi="Arial" w:cs="Arial"/>
          <w:b/>
          <w:bCs/>
          <w:sz w:val="22"/>
          <w:szCs w:val="22"/>
          <w:lang w:val="en-GB"/>
        </w:rPr>
        <w:tab/>
      </w:r>
      <w:r w:rsidRPr="00E4265B">
        <w:rPr>
          <w:rFonts w:ascii="Arial" w:hAnsi="Arial" w:cs="Arial"/>
          <w:bCs/>
          <w:sz w:val="22"/>
          <w:szCs w:val="22"/>
          <w:lang w:val="en-GB"/>
        </w:rPr>
        <w:t>In every case in which netting is applied, the Authorised Person must demonstrate to the Regulator that it has</w:t>
      </w:r>
      <w:r w:rsidR="008F0178" w:rsidRPr="00E4265B">
        <w:rPr>
          <w:rFonts w:ascii="Arial" w:hAnsi="Arial" w:cs="Arial"/>
          <w:bCs/>
          <w:sz w:val="22"/>
          <w:szCs w:val="22"/>
          <w:lang w:val="en-GB"/>
        </w:rPr>
        <w:t xml:space="preserve"> the following in place</w:t>
      </w:r>
      <w:r w:rsidRPr="00E4265B">
        <w:rPr>
          <w:rFonts w:ascii="Arial" w:hAnsi="Arial" w:cs="Arial"/>
          <w:bCs/>
          <w:sz w:val="22"/>
          <w:szCs w:val="22"/>
          <w:lang w:val="en-GB"/>
        </w:rPr>
        <w:t>:</w:t>
      </w:r>
    </w:p>
    <w:p w14:paraId="1CF92254" w14:textId="77777777" w:rsidR="0063163E" w:rsidRPr="00E4265B" w:rsidRDefault="0063163E" w:rsidP="0063163E">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 netting contract with the counterparty or other agreement which creates a single legal obligation, covering all included transactions, such that the Authorised Person would have either a claim to receive or obligation to pay only the net sum of the positive and negative mark-to-market values of included individual transactions in the event a counterparty fails to perform due to any of the following: </w:t>
      </w:r>
    </w:p>
    <w:p w14:paraId="1CA6BD78" w14:textId="77777777" w:rsidR="0063163E" w:rsidRPr="00E4265B" w:rsidRDefault="0063163E" w:rsidP="0063163E">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default,</w:t>
      </w:r>
    </w:p>
    <w:p w14:paraId="43BF6CF9" w14:textId="77777777" w:rsidR="0063163E" w:rsidRPr="00E4265B" w:rsidRDefault="0063163E" w:rsidP="0063163E">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bankruptcy, </w:t>
      </w:r>
    </w:p>
    <w:p w14:paraId="21C47822" w14:textId="77777777" w:rsidR="0063163E" w:rsidRPr="00E4265B" w:rsidRDefault="0063163E" w:rsidP="0063163E">
      <w:pPr>
        <w:pStyle w:val="a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liquidation, or </w:t>
      </w:r>
    </w:p>
    <w:p w14:paraId="09416481" w14:textId="77777777" w:rsidR="0063163E" w:rsidRPr="00E4265B" w:rsidRDefault="0063163E" w:rsidP="0063163E">
      <w:pPr>
        <w:pStyle w:val="aList"/>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similar circumstances.</w:t>
      </w:r>
    </w:p>
    <w:p w14:paraId="2CB96C86" w14:textId="77777777" w:rsidR="0063163E" w:rsidRPr="00E4265B" w:rsidRDefault="0063163E" w:rsidP="0063163E">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Written and reasoned legal reviews that, in the event of a legal challenge, the relevant courts and administrative authorities would find the </w:t>
      </w:r>
      <w:r w:rsidR="008F0178" w:rsidRPr="00E4265B">
        <w:rPr>
          <w:rFonts w:ascii="Arial" w:hAnsi="Arial" w:cs="Arial"/>
          <w:sz w:val="22"/>
          <w:szCs w:val="22"/>
          <w:lang w:val="en-GB"/>
        </w:rPr>
        <w:t xml:space="preserve">exposure of the </w:t>
      </w:r>
      <w:r w:rsidRPr="00E4265B">
        <w:rPr>
          <w:rFonts w:ascii="Arial" w:hAnsi="Arial" w:cs="Arial"/>
          <w:sz w:val="22"/>
          <w:szCs w:val="22"/>
          <w:lang w:val="en-GB"/>
        </w:rPr>
        <w:t>Authorised Person to be such a net amount under:</w:t>
      </w:r>
    </w:p>
    <w:p w14:paraId="60852B57" w14:textId="77777777" w:rsidR="0063163E" w:rsidRPr="00E4265B" w:rsidRDefault="0063163E" w:rsidP="0063163E">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 law of the jurisdiction in which the counterparty is chartered and, if the foreign branch of a counterparty is involved, then also under the law of the jurisdiction in which the branch is located;</w:t>
      </w:r>
    </w:p>
    <w:p w14:paraId="6FDCA090" w14:textId="77777777" w:rsidR="0063163E" w:rsidRPr="00E4265B" w:rsidRDefault="0063163E" w:rsidP="0063163E">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The law that governs the individual transactions; and</w:t>
      </w:r>
    </w:p>
    <w:p w14:paraId="7E08AD18" w14:textId="77777777" w:rsidR="0063163E" w:rsidRPr="00E4265B" w:rsidRDefault="0063163E" w:rsidP="0063163E">
      <w:pPr>
        <w:pStyle w:val="a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The law that governs any contract or agreement necessary to effect the netting.</w:t>
      </w:r>
    </w:p>
    <w:p w14:paraId="2DE56A6E" w14:textId="77777777" w:rsidR="0063163E" w:rsidRPr="00E4265B" w:rsidRDefault="008F0178" w:rsidP="0063163E">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Procedures</w:t>
      </w:r>
      <w:r w:rsidR="0063163E" w:rsidRPr="00E4265B">
        <w:rPr>
          <w:rFonts w:ascii="Arial" w:hAnsi="Arial" w:cs="Arial"/>
          <w:sz w:val="22"/>
          <w:szCs w:val="22"/>
          <w:lang w:val="en-GB"/>
        </w:rPr>
        <w:t xml:space="preserve"> to ensure that the legal characteristics of netting arrangements are kept under review in light of the possible changes in relevant law.</w:t>
      </w:r>
    </w:p>
    <w:p w14:paraId="5530C96A" w14:textId="77777777" w:rsidR="0063163E" w:rsidRPr="00E4265B" w:rsidRDefault="0063163E" w:rsidP="0063163E">
      <w:pPr>
        <w:pStyle w:val="TitleL5"/>
        <w:rPr>
          <w:rFonts w:ascii="Arial" w:hAnsi="Arial" w:cs="Arial"/>
          <w:sz w:val="22"/>
          <w:szCs w:val="22"/>
          <w:lang w:val="en-GB"/>
        </w:rPr>
      </w:pPr>
      <w:r w:rsidRPr="00E4265B">
        <w:rPr>
          <w:rFonts w:ascii="Arial" w:hAnsi="Arial" w:cs="Arial"/>
          <w:sz w:val="22"/>
          <w:szCs w:val="22"/>
          <w:lang w:val="en-GB"/>
        </w:rPr>
        <w:t>Calculation of RC for unmargined transactions</w:t>
      </w:r>
    </w:p>
    <w:p w14:paraId="4BABBDFA" w14:textId="77777777" w:rsidR="0063163E" w:rsidRPr="00E4265B" w:rsidRDefault="0063163E" w:rsidP="0063163E">
      <w:pPr>
        <w:pStyle w:val="A1List"/>
        <w:rPr>
          <w:rFonts w:ascii="Arial" w:hAnsi="Arial" w:cs="Arial"/>
          <w:b/>
          <w:bCs/>
          <w:sz w:val="22"/>
          <w:szCs w:val="22"/>
          <w:lang w:val="en-GB"/>
        </w:rPr>
      </w:pPr>
      <w:r w:rsidRPr="00E4265B">
        <w:rPr>
          <w:rFonts w:ascii="Arial" w:hAnsi="Arial" w:cs="Arial"/>
          <w:b/>
          <w:bCs/>
          <w:sz w:val="22"/>
          <w:szCs w:val="22"/>
          <w:lang w:val="en-GB"/>
        </w:rPr>
        <w:t>A4.6.19</w:t>
      </w:r>
      <w:r w:rsidRPr="00E4265B">
        <w:rPr>
          <w:rFonts w:ascii="Arial" w:hAnsi="Arial" w:cs="Arial"/>
          <w:b/>
          <w:bCs/>
          <w:sz w:val="22"/>
          <w:szCs w:val="22"/>
          <w:lang w:val="en-GB"/>
        </w:rPr>
        <w:tab/>
      </w:r>
      <w:r w:rsidRPr="00E4265B">
        <w:rPr>
          <w:rFonts w:ascii="Arial" w:hAnsi="Arial" w:cs="Arial"/>
          <w:bCs/>
          <w:sz w:val="22"/>
          <w:szCs w:val="22"/>
          <w:lang w:val="en-GB"/>
        </w:rPr>
        <w:t xml:space="preserve">An unmargined transaction is a transaction in which variation margin is not exchanged. Collateral other than variation margin may be present. </w:t>
      </w:r>
    </w:p>
    <w:p w14:paraId="16A3EAD4" w14:textId="77777777" w:rsidR="0063163E" w:rsidRPr="00E4265B" w:rsidRDefault="0063163E" w:rsidP="0063163E">
      <w:pPr>
        <w:pStyle w:val="A1List"/>
        <w:rPr>
          <w:rFonts w:ascii="Arial" w:hAnsi="Arial" w:cs="Arial"/>
          <w:b/>
          <w:bCs/>
          <w:sz w:val="22"/>
          <w:szCs w:val="22"/>
          <w:lang w:val="en-GB"/>
        </w:rPr>
      </w:pPr>
      <w:r w:rsidRPr="00E4265B">
        <w:rPr>
          <w:rFonts w:ascii="Arial" w:hAnsi="Arial" w:cs="Arial"/>
          <w:b/>
          <w:bCs/>
          <w:sz w:val="22"/>
          <w:szCs w:val="22"/>
          <w:lang w:val="en-GB"/>
        </w:rPr>
        <w:t>A4.6.20</w:t>
      </w:r>
      <w:r w:rsidRPr="00E4265B">
        <w:rPr>
          <w:rFonts w:ascii="Arial" w:hAnsi="Arial" w:cs="Arial"/>
          <w:b/>
          <w:bCs/>
          <w:sz w:val="22"/>
          <w:szCs w:val="22"/>
          <w:lang w:val="en-GB"/>
        </w:rPr>
        <w:tab/>
      </w:r>
      <w:r w:rsidRPr="00E4265B">
        <w:rPr>
          <w:rFonts w:ascii="Arial" w:hAnsi="Arial" w:cs="Arial"/>
          <w:bCs/>
          <w:i/>
          <w:iCs/>
          <w:sz w:val="22"/>
          <w:szCs w:val="22"/>
          <w:lang w:val="en-GB"/>
        </w:rPr>
        <w:t>RC</w:t>
      </w:r>
      <w:r w:rsidRPr="00E4265B">
        <w:rPr>
          <w:rFonts w:ascii="Arial" w:hAnsi="Arial" w:cs="Arial"/>
          <w:bCs/>
          <w:sz w:val="22"/>
          <w:szCs w:val="22"/>
          <w:lang w:val="en-GB"/>
        </w:rPr>
        <w:t xml:space="preserve"> for unmargined transactions is calculated in accordance with the following formula:</w:t>
      </w:r>
    </w:p>
    <w:p w14:paraId="297473AD" w14:textId="77777777" w:rsidR="0063163E" w:rsidRPr="00E4265B" w:rsidRDefault="0063163E" w:rsidP="0063163E">
      <w:pPr>
        <w:pStyle w:val="aList"/>
        <w:ind w:left="1710"/>
        <w:jc w:val="center"/>
        <w:rPr>
          <w:rFonts w:ascii="Arial" w:hAnsi="Arial" w:cs="Arial"/>
          <w:i/>
          <w:iCs/>
          <w:sz w:val="22"/>
          <w:szCs w:val="22"/>
          <w:lang w:val="en-GB"/>
        </w:rPr>
      </w:pPr>
      <w:r w:rsidRPr="00E4265B">
        <w:rPr>
          <w:rFonts w:ascii="Arial" w:hAnsi="Arial" w:cs="Arial"/>
          <w:i/>
          <w:iCs/>
          <w:sz w:val="22"/>
          <w:szCs w:val="22"/>
          <w:lang w:val="en-GB"/>
        </w:rPr>
        <w:t>RC = max{V – C; 0}</w:t>
      </w:r>
    </w:p>
    <w:p w14:paraId="73867136" w14:textId="77777777" w:rsidR="0063163E" w:rsidRPr="00E4265B" w:rsidRDefault="0063163E" w:rsidP="0063163E">
      <w:pPr>
        <w:pStyle w:val="A1List"/>
        <w:ind w:left="1984"/>
        <w:rPr>
          <w:rFonts w:ascii="Arial" w:hAnsi="Arial" w:cs="Arial"/>
          <w:bCs/>
          <w:sz w:val="22"/>
          <w:szCs w:val="22"/>
          <w:lang w:val="en-GB"/>
        </w:rPr>
      </w:pPr>
      <w:r w:rsidRPr="00E4265B">
        <w:rPr>
          <w:rFonts w:ascii="Arial" w:hAnsi="Arial" w:cs="Arial"/>
          <w:bCs/>
          <w:sz w:val="22"/>
          <w:szCs w:val="22"/>
          <w:lang w:val="en-GB"/>
        </w:rPr>
        <w:lastRenderedPageBreak/>
        <w:t>where:</w:t>
      </w:r>
    </w:p>
    <w:p w14:paraId="07B21BC2" w14:textId="77777777" w:rsidR="0063163E" w:rsidRPr="00E4265B" w:rsidRDefault="0063163E" w:rsidP="0063163E">
      <w:pPr>
        <w:pStyle w:val="A1List"/>
        <w:ind w:left="990" w:firstLine="0"/>
        <w:rPr>
          <w:rFonts w:ascii="Arial" w:hAnsi="Arial" w:cs="Arial"/>
          <w:bCs/>
          <w:sz w:val="22"/>
          <w:szCs w:val="22"/>
          <w:lang w:val="en-GB"/>
        </w:rPr>
      </w:pPr>
      <w:r w:rsidRPr="00E4265B">
        <w:rPr>
          <w:rFonts w:ascii="Arial" w:hAnsi="Arial" w:cs="Arial"/>
          <w:bCs/>
          <w:i/>
          <w:sz w:val="22"/>
          <w:szCs w:val="22"/>
          <w:lang w:val="en-GB"/>
        </w:rPr>
        <w:t>V</w:t>
      </w:r>
      <w:r w:rsidRPr="00E4265B">
        <w:rPr>
          <w:rFonts w:ascii="Arial" w:hAnsi="Arial" w:cs="Arial"/>
          <w:bCs/>
          <w:sz w:val="22"/>
          <w:szCs w:val="22"/>
          <w:lang w:val="en-GB"/>
        </w:rPr>
        <w:t xml:space="preserve"> = the value of the derivative transactions in the netting set (constituted in accordance with</w:t>
      </w:r>
      <w:r w:rsidR="0075547B" w:rsidRPr="00E4265B">
        <w:rPr>
          <w:rFonts w:ascii="Arial" w:hAnsi="Arial" w:cs="Arial"/>
          <w:bCs/>
          <w:sz w:val="22"/>
          <w:szCs w:val="22"/>
          <w:lang w:val="en-GB"/>
        </w:rPr>
        <w:t xml:space="preserve"> Rule</w:t>
      </w:r>
      <w:r w:rsidRPr="00E4265B">
        <w:rPr>
          <w:rFonts w:ascii="Arial" w:hAnsi="Arial" w:cs="Arial"/>
          <w:bCs/>
          <w:sz w:val="22"/>
          <w:szCs w:val="22"/>
          <w:lang w:val="en-GB"/>
        </w:rPr>
        <w:t xml:space="preserve"> A4.6.18); and</w:t>
      </w:r>
    </w:p>
    <w:p w14:paraId="56DF8DC2" w14:textId="77777777" w:rsidR="0063163E" w:rsidRPr="00E4265B" w:rsidRDefault="0063163E" w:rsidP="00C33BDF">
      <w:pPr>
        <w:pStyle w:val="A1List"/>
        <w:ind w:left="993" w:hanging="3"/>
        <w:rPr>
          <w:rFonts w:ascii="Arial" w:hAnsi="Arial" w:cs="Arial"/>
          <w:bCs/>
          <w:sz w:val="22"/>
          <w:szCs w:val="22"/>
          <w:lang w:val="en-GB"/>
        </w:rPr>
      </w:pPr>
      <w:r w:rsidRPr="00E4265B">
        <w:rPr>
          <w:rFonts w:ascii="Arial" w:hAnsi="Arial" w:cs="Arial"/>
          <w:bCs/>
          <w:i/>
          <w:sz w:val="22"/>
          <w:szCs w:val="22"/>
          <w:lang w:val="en-GB"/>
        </w:rPr>
        <w:t>C</w:t>
      </w:r>
      <w:r w:rsidRPr="00E4265B">
        <w:rPr>
          <w:rFonts w:ascii="Arial" w:hAnsi="Arial" w:cs="Arial"/>
          <w:bCs/>
          <w:sz w:val="22"/>
          <w:szCs w:val="22"/>
          <w:lang w:val="en-GB"/>
        </w:rPr>
        <w:t xml:space="preserve"> = the haircut value of the net collateral held, calculated in accordance with</w:t>
      </w:r>
      <w:r w:rsidR="0075547B" w:rsidRPr="00E4265B">
        <w:rPr>
          <w:rFonts w:ascii="Arial" w:hAnsi="Arial" w:cs="Arial"/>
          <w:bCs/>
          <w:sz w:val="22"/>
          <w:szCs w:val="22"/>
          <w:lang w:val="en-GB"/>
        </w:rPr>
        <w:t xml:space="preserve"> Section</w:t>
      </w:r>
      <w:r w:rsidRPr="00E4265B">
        <w:rPr>
          <w:rFonts w:ascii="Arial" w:hAnsi="Arial" w:cs="Arial"/>
          <w:bCs/>
          <w:sz w:val="22"/>
          <w:szCs w:val="22"/>
          <w:lang w:val="en-GB"/>
        </w:rPr>
        <w:t xml:space="preserve"> A4.3.</w:t>
      </w:r>
    </w:p>
    <w:p w14:paraId="594E32BA" w14:textId="77777777" w:rsidR="0063163E" w:rsidRPr="00E4265B" w:rsidRDefault="0063163E" w:rsidP="0063163E">
      <w:pPr>
        <w:pStyle w:val="A1List"/>
        <w:rPr>
          <w:rFonts w:ascii="Arial" w:hAnsi="Arial" w:cs="Arial"/>
          <w:b/>
          <w:bCs/>
          <w:sz w:val="22"/>
          <w:szCs w:val="22"/>
          <w:lang w:val="en-GB"/>
        </w:rPr>
      </w:pPr>
      <w:r w:rsidRPr="00E4265B">
        <w:rPr>
          <w:rFonts w:ascii="Arial" w:hAnsi="Arial" w:cs="Arial"/>
          <w:b/>
          <w:bCs/>
          <w:sz w:val="22"/>
          <w:szCs w:val="22"/>
          <w:lang w:val="en-GB"/>
        </w:rPr>
        <w:t>A4.6.21</w:t>
      </w:r>
      <w:r w:rsidRPr="00E4265B">
        <w:rPr>
          <w:rFonts w:ascii="Arial" w:hAnsi="Arial" w:cs="Arial"/>
          <w:b/>
          <w:bCs/>
          <w:sz w:val="22"/>
          <w:szCs w:val="22"/>
          <w:lang w:val="en-GB"/>
        </w:rPr>
        <w:tab/>
      </w:r>
      <w:r w:rsidRPr="00E4265B">
        <w:rPr>
          <w:rFonts w:ascii="Arial" w:hAnsi="Arial" w:cs="Arial"/>
          <w:bCs/>
          <w:sz w:val="22"/>
          <w:szCs w:val="22"/>
          <w:lang w:val="en-GB"/>
        </w:rPr>
        <w:t>Derivative contracts with a one-way margining agreement in favour of the Authorised Person's counterparty must be treated as unmargined transactions.</w:t>
      </w:r>
    </w:p>
    <w:p w14:paraId="27FCEEF3" w14:textId="77777777" w:rsidR="0063163E" w:rsidRPr="00E4265B" w:rsidRDefault="0063163E" w:rsidP="0063163E">
      <w:pPr>
        <w:pStyle w:val="TitleL5"/>
        <w:rPr>
          <w:rFonts w:ascii="Arial" w:hAnsi="Arial" w:cs="Arial"/>
          <w:sz w:val="22"/>
          <w:szCs w:val="22"/>
          <w:lang w:val="en-GB"/>
        </w:rPr>
      </w:pPr>
      <w:r w:rsidRPr="00E4265B">
        <w:rPr>
          <w:rFonts w:ascii="Arial" w:hAnsi="Arial" w:cs="Arial"/>
          <w:sz w:val="22"/>
          <w:szCs w:val="22"/>
          <w:lang w:val="en-GB"/>
        </w:rPr>
        <w:t>Net Independent Collateral Amount</w:t>
      </w:r>
    </w:p>
    <w:p w14:paraId="2D67B0E7" w14:textId="77777777" w:rsidR="0063163E" w:rsidRPr="00E4265B" w:rsidRDefault="0063163E" w:rsidP="0063163E">
      <w:pPr>
        <w:pStyle w:val="A1List"/>
        <w:rPr>
          <w:rFonts w:ascii="Arial" w:hAnsi="Arial" w:cs="Arial"/>
          <w:b/>
          <w:bCs/>
          <w:sz w:val="22"/>
          <w:szCs w:val="22"/>
          <w:lang w:val="en-GB"/>
        </w:rPr>
      </w:pPr>
      <w:r w:rsidRPr="00E4265B">
        <w:rPr>
          <w:rFonts w:ascii="Arial" w:hAnsi="Arial" w:cs="Arial"/>
          <w:b/>
          <w:bCs/>
          <w:sz w:val="22"/>
          <w:szCs w:val="22"/>
          <w:lang w:val="en-GB"/>
        </w:rPr>
        <w:t>A4.6.22</w:t>
      </w:r>
      <w:r w:rsidRPr="00E4265B">
        <w:rPr>
          <w:rFonts w:ascii="Arial" w:hAnsi="Arial" w:cs="Arial"/>
          <w:b/>
          <w:bCs/>
          <w:sz w:val="22"/>
          <w:szCs w:val="22"/>
          <w:lang w:val="en-GB"/>
        </w:rPr>
        <w:tab/>
      </w:r>
      <w:r w:rsidRPr="00E4265B">
        <w:rPr>
          <w:rFonts w:ascii="Arial" w:hAnsi="Arial" w:cs="Arial"/>
          <w:bCs/>
          <w:sz w:val="22"/>
          <w:szCs w:val="22"/>
          <w:lang w:val="en-GB"/>
        </w:rPr>
        <w:t>The independent collateral amount (</w:t>
      </w:r>
      <w:r w:rsidRPr="00E4265B">
        <w:rPr>
          <w:rFonts w:ascii="Arial" w:hAnsi="Arial" w:cs="Arial"/>
          <w:bCs/>
          <w:i/>
          <w:iCs/>
          <w:sz w:val="22"/>
          <w:szCs w:val="22"/>
          <w:lang w:val="en-GB"/>
        </w:rPr>
        <w:t>ICA</w:t>
      </w:r>
      <w:r w:rsidRPr="00E4265B">
        <w:rPr>
          <w:rFonts w:ascii="Arial" w:hAnsi="Arial" w:cs="Arial"/>
          <w:bCs/>
          <w:sz w:val="22"/>
          <w:szCs w:val="22"/>
          <w:lang w:val="en-GB"/>
        </w:rPr>
        <w:t>) is (i) collateral (other than variation margin) posted by the counterparty that is available to the Authorised Person on default of the counterparty; and/or (ii) the Independent Amount parameter as defined in standard industry documentation.</w:t>
      </w:r>
      <w:r w:rsidRPr="00E4265B">
        <w:rPr>
          <w:rFonts w:ascii="Arial" w:hAnsi="Arial" w:cs="Arial"/>
          <w:b/>
          <w:bCs/>
          <w:sz w:val="22"/>
          <w:szCs w:val="22"/>
          <w:lang w:val="en-GB"/>
        </w:rPr>
        <w:t xml:space="preserve"> </w:t>
      </w:r>
    </w:p>
    <w:p w14:paraId="7DFA5279" w14:textId="77777777" w:rsidR="0063163E" w:rsidRPr="00E4265B" w:rsidRDefault="0063163E" w:rsidP="0063163E">
      <w:pPr>
        <w:pStyle w:val="A1List"/>
        <w:rPr>
          <w:rFonts w:ascii="Arial" w:hAnsi="Arial" w:cs="Arial"/>
          <w:bCs/>
          <w:sz w:val="22"/>
          <w:szCs w:val="22"/>
          <w:lang w:val="en-GB"/>
        </w:rPr>
      </w:pPr>
      <w:r w:rsidRPr="00E4265B">
        <w:rPr>
          <w:rFonts w:ascii="Arial" w:hAnsi="Arial" w:cs="Arial"/>
          <w:b/>
          <w:bCs/>
          <w:sz w:val="22"/>
          <w:szCs w:val="22"/>
          <w:lang w:val="en-GB"/>
        </w:rPr>
        <w:t>A4.6.23</w:t>
      </w:r>
      <w:r w:rsidRPr="00E4265B">
        <w:rPr>
          <w:rFonts w:ascii="Arial" w:hAnsi="Arial" w:cs="Arial"/>
          <w:b/>
          <w:bCs/>
          <w:sz w:val="22"/>
          <w:szCs w:val="22"/>
          <w:lang w:val="en-GB"/>
        </w:rPr>
        <w:tab/>
      </w:r>
      <w:r w:rsidRPr="00E4265B">
        <w:rPr>
          <w:rFonts w:ascii="Arial" w:hAnsi="Arial" w:cs="Arial"/>
          <w:bCs/>
          <w:sz w:val="22"/>
          <w:szCs w:val="22"/>
          <w:lang w:val="en-GB"/>
        </w:rPr>
        <w:t>The net independent collateral amount (</w:t>
      </w:r>
      <w:r w:rsidRPr="00E4265B">
        <w:rPr>
          <w:rFonts w:ascii="Arial" w:hAnsi="Arial" w:cs="Arial"/>
          <w:bCs/>
          <w:i/>
          <w:iCs/>
          <w:sz w:val="22"/>
          <w:szCs w:val="22"/>
          <w:lang w:val="en-GB"/>
        </w:rPr>
        <w:t>NICA</w:t>
      </w:r>
      <w:r w:rsidRPr="00E4265B">
        <w:rPr>
          <w:rFonts w:ascii="Arial" w:hAnsi="Arial" w:cs="Arial"/>
          <w:bCs/>
          <w:sz w:val="22"/>
          <w:szCs w:val="22"/>
          <w:lang w:val="en-GB"/>
        </w:rPr>
        <w:t xml:space="preserve">) is any </w:t>
      </w:r>
      <w:r w:rsidRPr="00E4265B">
        <w:rPr>
          <w:rFonts w:ascii="Arial" w:hAnsi="Arial" w:cs="Arial"/>
          <w:bCs/>
          <w:i/>
          <w:iCs/>
          <w:sz w:val="22"/>
          <w:szCs w:val="22"/>
          <w:lang w:val="en-GB"/>
        </w:rPr>
        <w:t>ICA</w:t>
      </w:r>
      <w:r w:rsidRPr="00E4265B">
        <w:rPr>
          <w:rFonts w:ascii="Arial" w:hAnsi="Arial" w:cs="Arial"/>
          <w:bCs/>
          <w:sz w:val="22"/>
          <w:szCs w:val="22"/>
          <w:lang w:val="en-GB"/>
        </w:rPr>
        <w:t xml:space="preserve"> posted by the counterparty less unsegregated collateral posted by the Authorised Person.</w:t>
      </w:r>
    </w:p>
    <w:p w14:paraId="073AF3E1" w14:textId="77777777" w:rsidR="0063163E" w:rsidRPr="00E4265B" w:rsidRDefault="0063163E" w:rsidP="0063163E">
      <w:pPr>
        <w:pStyle w:val="TitleL5"/>
        <w:rPr>
          <w:rFonts w:ascii="Arial" w:hAnsi="Arial" w:cs="Arial"/>
          <w:sz w:val="22"/>
          <w:szCs w:val="22"/>
          <w:lang w:val="en-GB"/>
        </w:rPr>
      </w:pPr>
      <w:r w:rsidRPr="00E4265B">
        <w:rPr>
          <w:rFonts w:ascii="Arial" w:hAnsi="Arial" w:cs="Arial"/>
          <w:sz w:val="22"/>
          <w:szCs w:val="22"/>
          <w:lang w:val="en-GB"/>
        </w:rPr>
        <w:t xml:space="preserve">Calculation of RC for margined </w:t>
      </w:r>
      <w:r w:rsidR="00076271" w:rsidRPr="00E4265B">
        <w:rPr>
          <w:rFonts w:ascii="Arial" w:hAnsi="Arial" w:cs="Arial"/>
          <w:sz w:val="22"/>
          <w:szCs w:val="22"/>
          <w:lang w:val="en-GB"/>
        </w:rPr>
        <w:t>transactions</w:t>
      </w:r>
      <w:r w:rsidRPr="00E4265B">
        <w:rPr>
          <w:rFonts w:ascii="Arial" w:hAnsi="Arial" w:cs="Arial"/>
          <w:sz w:val="22"/>
          <w:szCs w:val="22"/>
          <w:lang w:val="en-GB"/>
        </w:rPr>
        <w:t xml:space="preserve"> </w:t>
      </w:r>
    </w:p>
    <w:p w14:paraId="7BAAC564" w14:textId="77777777" w:rsidR="0063163E" w:rsidRPr="00E4265B" w:rsidRDefault="0063163E" w:rsidP="0063163E">
      <w:pPr>
        <w:pStyle w:val="A1List"/>
        <w:rPr>
          <w:rFonts w:ascii="Arial" w:hAnsi="Arial" w:cs="Arial"/>
          <w:b/>
          <w:bCs/>
          <w:sz w:val="22"/>
          <w:szCs w:val="22"/>
          <w:lang w:val="en-GB"/>
        </w:rPr>
      </w:pPr>
      <w:r w:rsidRPr="00E4265B">
        <w:rPr>
          <w:rFonts w:ascii="Arial" w:hAnsi="Arial" w:cs="Arial"/>
          <w:b/>
          <w:bCs/>
          <w:sz w:val="22"/>
          <w:szCs w:val="22"/>
          <w:lang w:val="en-GB"/>
        </w:rPr>
        <w:t>A4.6.24</w:t>
      </w:r>
      <w:r w:rsidRPr="00E4265B">
        <w:rPr>
          <w:rFonts w:ascii="Arial" w:hAnsi="Arial" w:cs="Arial"/>
          <w:b/>
          <w:bCs/>
          <w:sz w:val="22"/>
          <w:szCs w:val="22"/>
          <w:lang w:val="en-GB"/>
        </w:rPr>
        <w:tab/>
      </w:r>
      <w:r w:rsidRPr="00E4265B">
        <w:rPr>
          <w:rFonts w:ascii="Arial" w:hAnsi="Arial" w:cs="Arial"/>
          <w:bCs/>
          <w:i/>
          <w:iCs/>
          <w:sz w:val="22"/>
          <w:szCs w:val="22"/>
          <w:lang w:val="en-GB"/>
        </w:rPr>
        <w:t>RC</w:t>
      </w:r>
      <w:r w:rsidRPr="00E4265B">
        <w:rPr>
          <w:rFonts w:ascii="Arial" w:hAnsi="Arial" w:cs="Arial"/>
          <w:bCs/>
          <w:sz w:val="22"/>
          <w:szCs w:val="22"/>
          <w:lang w:val="en-GB"/>
        </w:rPr>
        <w:t xml:space="preserve"> for margined transactions is calculated in accordance with the following formula:</w:t>
      </w:r>
    </w:p>
    <w:p w14:paraId="6163988B" w14:textId="77777777" w:rsidR="0063163E" w:rsidRPr="00E4265B" w:rsidRDefault="0063163E" w:rsidP="0063163E">
      <w:pPr>
        <w:pStyle w:val="A1List"/>
        <w:ind w:left="1984"/>
        <w:jc w:val="center"/>
        <w:rPr>
          <w:rFonts w:ascii="Arial" w:hAnsi="Arial" w:cs="Arial"/>
          <w:bCs/>
          <w:i/>
          <w:iCs/>
          <w:sz w:val="22"/>
          <w:szCs w:val="22"/>
          <w:lang w:val="en-GB"/>
        </w:rPr>
      </w:pPr>
      <w:r w:rsidRPr="00E4265B">
        <w:rPr>
          <w:rFonts w:ascii="Arial" w:hAnsi="Arial" w:cs="Arial"/>
          <w:bCs/>
          <w:i/>
          <w:iCs/>
          <w:sz w:val="22"/>
          <w:szCs w:val="22"/>
          <w:lang w:val="en-GB"/>
        </w:rPr>
        <w:t xml:space="preserve">RC = </w:t>
      </w:r>
      <w:r w:rsidRPr="00E4265B">
        <w:rPr>
          <w:rFonts w:ascii="Arial" w:hAnsi="Arial" w:cs="Arial"/>
          <w:bCs/>
          <w:sz w:val="22"/>
          <w:szCs w:val="22"/>
          <w:lang w:val="en-GB"/>
        </w:rPr>
        <w:t>max{</w:t>
      </w:r>
      <w:r w:rsidRPr="00E4265B">
        <w:rPr>
          <w:rFonts w:ascii="Arial" w:hAnsi="Arial" w:cs="Arial"/>
          <w:bCs/>
          <w:i/>
          <w:iCs/>
          <w:sz w:val="22"/>
          <w:szCs w:val="22"/>
          <w:lang w:val="en-GB"/>
        </w:rPr>
        <w:t xml:space="preserve">V – C; TH + MTA – NICA; </w:t>
      </w:r>
      <w:r w:rsidRPr="00E4265B">
        <w:rPr>
          <w:rFonts w:ascii="Arial" w:hAnsi="Arial" w:cs="Arial"/>
          <w:bCs/>
          <w:sz w:val="22"/>
          <w:szCs w:val="22"/>
          <w:lang w:val="en-GB"/>
        </w:rPr>
        <w:t>0}</w:t>
      </w:r>
    </w:p>
    <w:p w14:paraId="44DFF938" w14:textId="77777777" w:rsidR="0063163E" w:rsidRPr="00E4265B" w:rsidRDefault="0063163E" w:rsidP="0063163E">
      <w:pPr>
        <w:pStyle w:val="A1List"/>
        <w:ind w:left="1984"/>
        <w:rPr>
          <w:rFonts w:ascii="Arial" w:hAnsi="Arial" w:cs="Arial"/>
          <w:bCs/>
          <w:sz w:val="22"/>
          <w:szCs w:val="22"/>
          <w:lang w:val="en-GB"/>
        </w:rPr>
      </w:pPr>
      <w:r w:rsidRPr="00E4265B">
        <w:rPr>
          <w:rFonts w:ascii="Arial" w:hAnsi="Arial" w:cs="Arial"/>
          <w:bCs/>
          <w:sz w:val="22"/>
          <w:szCs w:val="22"/>
          <w:lang w:val="en-GB"/>
        </w:rPr>
        <w:t>where:</w:t>
      </w:r>
    </w:p>
    <w:p w14:paraId="5F68A253" w14:textId="77777777" w:rsidR="0063163E" w:rsidRPr="00E4265B" w:rsidRDefault="0063163E" w:rsidP="00EB2E15">
      <w:pPr>
        <w:pStyle w:val="A1List"/>
        <w:ind w:left="1440" w:hanging="450"/>
        <w:rPr>
          <w:rFonts w:ascii="Arial" w:hAnsi="Arial" w:cs="Arial"/>
          <w:bCs/>
          <w:i/>
          <w:sz w:val="22"/>
          <w:szCs w:val="22"/>
          <w:lang w:val="en-GB"/>
        </w:rPr>
      </w:pPr>
      <w:r w:rsidRPr="00E4265B">
        <w:rPr>
          <w:rFonts w:ascii="Arial" w:hAnsi="Arial" w:cs="Arial"/>
          <w:bCs/>
          <w:i/>
          <w:sz w:val="22"/>
          <w:szCs w:val="22"/>
          <w:lang w:val="en-GB"/>
        </w:rPr>
        <w:t>V</w:t>
      </w:r>
      <w:r w:rsidRPr="00E4265B">
        <w:rPr>
          <w:rFonts w:ascii="Arial" w:hAnsi="Arial" w:cs="Arial"/>
          <w:bCs/>
          <w:iCs/>
          <w:sz w:val="22"/>
          <w:szCs w:val="22"/>
          <w:lang w:val="en-GB"/>
        </w:rPr>
        <w:t xml:space="preserve"> = the value of the derivative transactions in the netting set (constituted in accordance with </w:t>
      </w:r>
      <w:r w:rsidR="0075547B" w:rsidRPr="00E4265B">
        <w:rPr>
          <w:rFonts w:ascii="Arial" w:hAnsi="Arial" w:cs="Arial"/>
          <w:bCs/>
          <w:iCs/>
          <w:sz w:val="22"/>
          <w:szCs w:val="22"/>
          <w:lang w:val="en-GB"/>
        </w:rPr>
        <w:t xml:space="preserve">Rule </w:t>
      </w:r>
      <w:r w:rsidRPr="00E4265B">
        <w:rPr>
          <w:rFonts w:ascii="Arial" w:hAnsi="Arial" w:cs="Arial"/>
          <w:bCs/>
          <w:iCs/>
          <w:sz w:val="22"/>
          <w:szCs w:val="22"/>
          <w:lang w:val="en-GB"/>
        </w:rPr>
        <w:t>A4.6.18);</w:t>
      </w:r>
    </w:p>
    <w:p w14:paraId="4C2820D8" w14:textId="77777777" w:rsidR="0063163E" w:rsidRPr="00E4265B" w:rsidRDefault="0063163E" w:rsidP="00EB2E15">
      <w:pPr>
        <w:pStyle w:val="A1List"/>
        <w:ind w:left="1440" w:hanging="450"/>
        <w:rPr>
          <w:rFonts w:ascii="Arial" w:hAnsi="Arial" w:cs="Arial"/>
          <w:bCs/>
          <w:sz w:val="22"/>
          <w:szCs w:val="22"/>
          <w:lang w:val="en-GB"/>
        </w:rPr>
      </w:pPr>
      <w:r w:rsidRPr="00E4265B">
        <w:rPr>
          <w:rFonts w:ascii="Arial" w:hAnsi="Arial" w:cs="Arial"/>
          <w:bCs/>
          <w:i/>
          <w:sz w:val="22"/>
          <w:szCs w:val="22"/>
          <w:lang w:val="en-GB"/>
        </w:rPr>
        <w:t>C</w:t>
      </w:r>
      <w:r w:rsidRPr="00E4265B">
        <w:rPr>
          <w:rFonts w:ascii="Arial" w:hAnsi="Arial" w:cs="Arial"/>
          <w:bCs/>
          <w:sz w:val="22"/>
          <w:szCs w:val="22"/>
          <w:lang w:val="en-GB"/>
        </w:rPr>
        <w:t xml:space="preserve"> = the haircut value of the net collateral held, calculated in accordance with</w:t>
      </w:r>
      <w:r w:rsidR="0075547B" w:rsidRPr="00E4265B">
        <w:rPr>
          <w:rFonts w:ascii="Arial" w:hAnsi="Arial" w:cs="Arial"/>
          <w:bCs/>
          <w:sz w:val="22"/>
          <w:szCs w:val="22"/>
          <w:lang w:val="en-GB"/>
        </w:rPr>
        <w:t xml:space="preserve"> Section</w:t>
      </w:r>
      <w:r w:rsidRPr="00E4265B">
        <w:rPr>
          <w:rFonts w:ascii="Arial" w:hAnsi="Arial" w:cs="Arial"/>
          <w:bCs/>
          <w:sz w:val="22"/>
          <w:szCs w:val="22"/>
          <w:lang w:val="en-GB"/>
        </w:rPr>
        <w:t xml:space="preserve"> A4.3;</w:t>
      </w:r>
    </w:p>
    <w:p w14:paraId="3A80DE61" w14:textId="77777777" w:rsidR="0063163E" w:rsidRPr="00E4265B" w:rsidRDefault="0063163E" w:rsidP="00EB2E15">
      <w:pPr>
        <w:pStyle w:val="A1List"/>
        <w:ind w:left="1440" w:hanging="450"/>
        <w:rPr>
          <w:rFonts w:ascii="Arial" w:hAnsi="Arial" w:cs="Arial"/>
          <w:bCs/>
          <w:iCs/>
          <w:sz w:val="22"/>
          <w:szCs w:val="22"/>
          <w:lang w:val="en-GB"/>
        </w:rPr>
      </w:pPr>
      <w:r w:rsidRPr="00E4265B">
        <w:rPr>
          <w:rFonts w:ascii="Arial" w:hAnsi="Arial" w:cs="Arial"/>
          <w:bCs/>
          <w:i/>
          <w:sz w:val="22"/>
          <w:szCs w:val="22"/>
          <w:lang w:val="en-GB"/>
        </w:rPr>
        <w:t>TH</w:t>
      </w:r>
      <w:r w:rsidRPr="00E4265B">
        <w:rPr>
          <w:rFonts w:ascii="Arial" w:hAnsi="Arial" w:cs="Arial"/>
          <w:bCs/>
          <w:iCs/>
          <w:sz w:val="22"/>
          <w:szCs w:val="22"/>
          <w:lang w:val="en-GB"/>
        </w:rPr>
        <w:t xml:space="preserve"> = the positive threshold before the counterparty is required to send the Authorised Person collateral;</w:t>
      </w:r>
    </w:p>
    <w:p w14:paraId="7CDFF5E4" w14:textId="77777777" w:rsidR="0063163E" w:rsidRPr="00E4265B" w:rsidRDefault="0063163E" w:rsidP="0063163E">
      <w:pPr>
        <w:pStyle w:val="A1List"/>
        <w:ind w:left="1984"/>
        <w:rPr>
          <w:rFonts w:ascii="Arial" w:hAnsi="Arial" w:cs="Arial"/>
          <w:bCs/>
          <w:sz w:val="22"/>
          <w:szCs w:val="22"/>
          <w:lang w:val="en-GB"/>
        </w:rPr>
      </w:pPr>
      <w:r w:rsidRPr="00E4265B">
        <w:rPr>
          <w:rFonts w:ascii="Arial" w:hAnsi="Arial" w:cs="Arial"/>
          <w:bCs/>
          <w:i/>
          <w:sz w:val="22"/>
          <w:szCs w:val="22"/>
          <w:lang w:val="en-GB"/>
        </w:rPr>
        <w:t>MTA</w:t>
      </w:r>
      <w:r w:rsidRPr="00E4265B">
        <w:rPr>
          <w:rFonts w:ascii="Arial" w:hAnsi="Arial" w:cs="Arial"/>
          <w:bCs/>
          <w:sz w:val="22"/>
          <w:szCs w:val="22"/>
          <w:lang w:val="en-GB"/>
        </w:rPr>
        <w:t xml:space="preserve"> = the minimum transfer amount applicable to the counterparty;</w:t>
      </w:r>
    </w:p>
    <w:p w14:paraId="36E9370C" w14:textId="77777777" w:rsidR="0063163E" w:rsidRPr="00E4265B" w:rsidRDefault="0063163E" w:rsidP="0063163E">
      <w:pPr>
        <w:pStyle w:val="A1List"/>
        <w:ind w:left="1984"/>
        <w:rPr>
          <w:rFonts w:ascii="Arial" w:hAnsi="Arial" w:cs="Arial"/>
          <w:bCs/>
          <w:sz w:val="22"/>
          <w:szCs w:val="22"/>
          <w:lang w:val="en-GB"/>
        </w:rPr>
      </w:pPr>
      <w:r w:rsidRPr="00E4265B">
        <w:rPr>
          <w:rFonts w:ascii="Arial" w:hAnsi="Arial" w:cs="Arial"/>
          <w:bCs/>
          <w:i/>
          <w:sz w:val="22"/>
          <w:szCs w:val="22"/>
          <w:lang w:val="en-GB"/>
        </w:rPr>
        <w:t>NICA</w:t>
      </w:r>
      <w:r w:rsidRPr="00E4265B">
        <w:rPr>
          <w:rFonts w:ascii="Arial" w:hAnsi="Arial" w:cs="Arial"/>
          <w:bCs/>
          <w:sz w:val="22"/>
          <w:szCs w:val="22"/>
          <w:lang w:val="en-GB"/>
        </w:rPr>
        <w:t xml:space="preserve"> = the net independent collateral amount.</w:t>
      </w:r>
    </w:p>
    <w:p w14:paraId="2BF18DB8" w14:textId="77777777" w:rsidR="0063163E" w:rsidRPr="00E4265B" w:rsidRDefault="0063163E" w:rsidP="0063163E">
      <w:pPr>
        <w:pStyle w:val="TitleL5"/>
        <w:rPr>
          <w:rFonts w:ascii="Arial" w:hAnsi="Arial" w:cs="Arial"/>
          <w:sz w:val="22"/>
          <w:szCs w:val="22"/>
          <w:lang w:val="en-GB"/>
        </w:rPr>
      </w:pPr>
      <w:r w:rsidRPr="00E4265B">
        <w:rPr>
          <w:rFonts w:ascii="Arial" w:hAnsi="Arial" w:cs="Arial"/>
          <w:sz w:val="22"/>
          <w:szCs w:val="22"/>
          <w:lang w:val="en-GB"/>
        </w:rPr>
        <w:t>Guidance</w:t>
      </w:r>
    </w:p>
    <w:p w14:paraId="6CD694D2" w14:textId="47913BBA" w:rsidR="0063163E" w:rsidRPr="00E4265B" w:rsidRDefault="00EB2E15" w:rsidP="0063163E">
      <w:pPr>
        <w:pStyle w:val="A1List"/>
        <w:ind w:left="990" w:firstLine="0"/>
        <w:rPr>
          <w:rFonts w:ascii="Arial" w:hAnsi="Arial" w:cs="Arial"/>
          <w:bCs/>
          <w:sz w:val="22"/>
          <w:szCs w:val="22"/>
          <w:lang w:val="en-GB"/>
        </w:rPr>
      </w:pPr>
      <w:r w:rsidRPr="00E4265B">
        <w:rPr>
          <w:rFonts w:ascii="Arial" w:hAnsi="Arial" w:cs="Arial"/>
          <w:bCs/>
          <w:i/>
          <w:iCs/>
          <w:sz w:val="22"/>
          <w:szCs w:val="22"/>
          <w:lang w:val="en-GB"/>
        </w:rPr>
        <w:t>(</w:t>
      </w:r>
      <w:r w:rsidR="0063163E" w:rsidRPr="00E4265B">
        <w:rPr>
          <w:rFonts w:ascii="Arial" w:hAnsi="Arial" w:cs="Arial"/>
          <w:bCs/>
          <w:i/>
          <w:iCs/>
          <w:sz w:val="22"/>
          <w:szCs w:val="22"/>
          <w:lang w:val="en-GB"/>
        </w:rPr>
        <w:t>TH</w:t>
      </w:r>
      <w:r w:rsidR="0063163E" w:rsidRPr="00E4265B">
        <w:rPr>
          <w:rFonts w:ascii="Arial" w:hAnsi="Arial" w:cs="Arial"/>
          <w:bCs/>
          <w:sz w:val="22"/>
          <w:szCs w:val="22"/>
          <w:lang w:val="en-GB"/>
        </w:rPr>
        <w:t xml:space="preserve"> + </w:t>
      </w:r>
      <w:r w:rsidR="0063163E" w:rsidRPr="00E4265B">
        <w:rPr>
          <w:rFonts w:ascii="Arial" w:hAnsi="Arial" w:cs="Arial"/>
          <w:bCs/>
          <w:i/>
          <w:iCs/>
          <w:sz w:val="22"/>
          <w:szCs w:val="22"/>
          <w:lang w:val="en-GB"/>
        </w:rPr>
        <w:t>MTA</w:t>
      </w:r>
      <w:r w:rsidR="0063163E" w:rsidRPr="00E4265B">
        <w:rPr>
          <w:rFonts w:ascii="Arial" w:hAnsi="Arial" w:cs="Arial"/>
          <w:bCs/>
          <w:sz w:val="22"/>
          <w:szCs w:val="22"/>
          <w:lang w:val="en-GB"/>
        </w:rPr>
        <w:t xml:space="preserve"> – </w:t>
      </w:r>
      <w:r w:rsidR="0063163E" w:rsidRPr="00E4265B">
        <w:rPr>
          <w:rFonts w:ascii="Arial" w:hAnsi="Arial" w:cs="Arial"/>
          <w:bCs/>
          <w:i/>
          <w:iCs/>
          <w:sz w:val="22"/>
          <w:szCs w:val="22"/>
          <w:lang w:val="en-GB"/>
        </w:rPr>
        <w:t>NICA</w:t>
      </w:r>
      <w:r w:rsidRPr="00E4265B">
        <w:rPr>
          <w:rFonts w:ascii="Arial" w:hAnsi="Arial" w:cs="Arial"/>
          <w:bCs/>
          <w:sz w:val="22"/>
          <w:szCs w:val="22"/>
          <w:lang w:val="en-GB"/>
        </w:rPr>
        <w:t>)</w:t>
      </w:r>
      <w:r w:rsidR="0063163E" w:rsidRPr="00E4265B">
        <w:rPr>
          <w:rFonts w:ascii="Arial" w:hAnsi="Arial" w:cs="Arial"/>
          <w:bCs/>
          <w:sz w:val="22"/>
          <w:szCs w:val="22"/>
          <w:lang w:val="en-GB"/>
        </w:rPr>
        <w:t xml:space="preserve"> represents the largest exposure that would not trigger a variation margin call. For example, without initial margin, the greatest exposure that would not trigger a variation call is the threshold plus any minimum transfer amount. </w:t>
      </w:r>
    </w:p>
    <w:p w14:paraId="7F183957" w14:textId="77777777" w:rsidR="0063163E" w:rsidRPr="00E4265B" w:rsidRDefault="0063163E" w:rsidP="0063163E">
      <w:pPr>
        <w:pStyle w:val="TitleL5"/>
        <w:rPr>
          <w:rFonts w:ascii="Arial" w:hAnsi="Arial" w:cs="Arial"/>
          <w:sz w:val="22"/>
          <w:szCs w:val="22"/>
          <w:lang w:val="en-GB"/>
        </w:rPr>
      </w:pPr>
      <w:r w:rsidRPr="00E4265B">
        <w:rPr>
          <w:rFonts w:ascii="Arial" w:hAnsi="Arial" w:cs="Arial"/>
          <w:sz w:val="22"/>
          <w:szCs w:val="22"/>
          <w:lang w:val="en-GB"/>
        </w:rPr>
        <w:t xml:space="preserve">Potential Future Exposure </w:t>
      </w:r>
    </w:p>
    <w:p w14:paraId="5F5CC4F3" w14:textId="77777777" w:rsidR="0063163E" w:rsidRPr="00E4265B" w:rsidRDefault="0063163E" w:rsidP="0063163E">
      <w:pPr>
        <w:pStyle w:val="A1List"/>
        <w:rPr>
          <w:rFonts w:ascii="Arial" w:hAnsi="Arial" w:cs="Arial"/>
          <w:b/>
          <w:bCs/>
          <w:sz w:val="22"/>
          <w:szCs w:val="22"/>
          <w:lang w:val="en-GB"/>
        </w:rPr>
      </w:pPr>
      <w:r w:rsidRPr="00E4265B">
        <w:rPr>
          <w:rFonts w:ascii="Arial" w:hAnsi="Arial" w:cs="Arial"/>
          <w:b/>
          <w:bCs/>
          <w:sz w:val="22"/>
          <w:szCs w:val="22"/>
          <w:lang w:val="en-GB"/>
        </w:rPr>
        <w:t>A4.6.25</w:t>
      </w:r>
      <w:r w:rsidRPr="00E4265B">
        <w:rPr>
          <w:rFonts w:ascii="Arial" w:hAnsi="Arial" w:cs="Arial"/>
          <w:b/>
          <w:bCs/>
          <w:sz w:val="22"/>
          <w:szCs w:val="22"/>
          <w:lang w:val="en-GB"/>
        </w:rPr>
        <w:tab/>
      </w:r>
      <w:r w:rsidRPr="00E4265B">
        <w:rPr>
          <w:rFonts w:ascii="Arial" w:hAnsi="Arial" w:cs="Arial"/>
          <w:bCs/>
          <w:sz w:val="22"/>
          <w:szCs w:val="22"/>
          <w:lang w:val="en-GB"/>
        </w:rPr>
        <w:t xml:space="preserve">The PFE consists of (i) an aggregate add-on component, which consists of add-ons calculated for each asset class and (ii) a multiplier that allows for the recognition of excess collateral or negative mark-to-market value for the transactions. </w:t>
      </w:r>
    </w:p>
    <w:p w14:paraId="04FC9258" w14:textId="77777777" w:rsidR="0063163E" w:rsidRPr="00E4265B" w:rsidRDefault="0063163E" w:rsidP="0063163E">
      <w:pPr>
        <w:pStyle w:val="A1List"/>
        <w:rPr>
          <w:rFonts w:ascii="Arial" w:hAnsi="Arial" w:cs="Arial"/>
          <w:b/>
          <w:bCs/>
          <w:sz w:val="22"/>
          <w:szCs w:val="22"/>
          <w:lang w:val="en-GB"/>
        </w:rPr>
      </w:pPr>
      <w:r w:rsidRPr="00E4265B">
        <w:rPr>
          <w:rFonts w:ascii="Arial" w:hAnsi="Arial" w:cs="Arial"/>
          <w:b/>
          <w:bCs/>
          <w:sz w:val="22"/>
          <w:szCs w:val="22"/>
          <w:lang w:val="en-GB"/>
        </w:rPr>
        <w:t>A4.6.26</w:t>
      </w:r>
      <w:r w:rsidRPr="00E4265B">
        <w:rPr>
          <w:rFonts w:ascii="Arial" w:hAnsi="Arial" w:cs="Arial"/>
          <w:b/>
          <w:bCs/>
          <w:sz w:val="22"/>
          <w:szCs w:val="22"/>
          <w:lang w:val="en-GB"/>
        </w:rPr>
        <w:tab/>
      </w:r>
      <w:r w:rsidRPr="00E4265B">
        <w:rPr>
          <w:rFonts w:ascii="Arial" w:hAnsi="Arial" w:cs="Arial"/>
          <w:bCs/>
          <w:sz w:val="22"/>
          <w:szCs w:val="22"/>
          <w:lang w:val="en-GB"/>
        </w:rPr>
        <w:t>PFE is calculated as follows:</w:t>
      </w:r>
    </w:p>
    <w:p w14:paraId="6886FB4E" w14:textId="10560200" w:rsidR="0063163E" w:rsidRPr="00E4265B" w:rsidRDefault="0063163E" w:rsidP="006A7087">
      <w:pPr>
        <w:pStyle w:val="A1List"/>
        <w:ind w:left="1984"/>
        <w:jc w:val="center"/>
        <w:rPr>
          <w:rFonts w:ascii="Arial" w:hAnsi="Arial" w:cs="Arial"/>
          <w:bCs/>
          <w:i/>
          <w:sz w:val="22"/>
          <w:szCs w:val="22"/>
          <w:lang w:val="en-GB"/>
        </w:rPr>
      </w:pPr>
      <w:r w:rsidRPr="00E4265B">
        <w:rPr>
          <w:rFonts w:ascii="Arial" w:hAnsi="Arial" w:cs="Arial"/>
          <w:bCs/>
          <w:i/>
          <w:sz w:val="22"/>
          <w:szCs w:val="22"/>
          <w:lang w:val="en-GB"/>
        </w:rPr>
        <w:t>PFE = multiplier</w:t>
      </w:r>
      <w:r w:rsidR="00EB2E15" w:rsidRPr="00E4265B">
        <w:rPr>
          <w:rFonts w:ascii="Arial" w:hAnsi="Arial" w:cs="Arial"/>
          <w:bCs/>
          <w:i/>
          <w:sz w:val="22"/>
          <w:szCs w:val="22"/>
          <w:lang w:val="en-GB"/>
        </w:rPr>
        <w:t xml:space="preserve"> </w:t>
      </w:r>
      <w:r w:rsidRPr="00E4265B">
        <w:rPr>
          <w:rFonts w:ascii="Arial" w:hAnsi="Arial" w:cs="Arial"/>
          <w:bCs/>
          <w:i/>
          <w:sz w:val="22"/>
          <w:szCs w:val="22"/>
          <w:lang w:val="en-GB"/>
        </w:rPr>
        <w:t>* AddOn</w:t>
      </w:r>
      <w:r w:rsidRPr="00E4265B">
        <w:rPr>
          <w:rFonts w:ascii="Arial" w:hAnsi="Arial" w:cs="Arial"/>
          <w:bCs/>
          <w:i/>
          <w:sz w:val="22"/>
          <w:szCs w:val="22"/>
          <w:vertAlign w:val="superscript"/>
          <w:lang w:val="en-GB"/>
        </w:rPr>
        <w:t>aggregate</w:t>
      </w:r>
    </w:p>
    <w:p w14:paraId="1D63C82A" w14:textId="77777777" w:rsidR="0063163E" w:rsidRPr="00E4265B" w:rsidRDefault="0063163E" w:rsidP="006A7087">
      <w:pPr>
        <w:pStyle w:val="A1List"/>
        <w:ind w:left="1984"/>
        <w:rPr>
          <w:rFonts w:ascii="Arial" w:hAnsi="Arial" w:cs="Arial"/>
          <w:bCs/>
          <w:sz w:val="22"/>
          <w:szCs w:val="22"/>
          <w:lang w:val="en-GB"/>
        </w:rPr>
      </w:pPr>
      <w:r w:rsidRPr="00E4265B">
        <w:rPr>
          <w:rFonts w:ascii="Arial" w:hAnsi="Arial" w:cs="Arial"/>
          <w:bCs/>
          <w:sz w:val="22"/>
          <w:szCs w:val="22"/>
          <w:lang w:val="en-GB"/>
        </w:rPr>
        <w:lastRenderedPageBreak/>
        <w:t>where:</w:t>
      </w:r>
    </w:p>
    <w:p w14:paraId="1802AB28" w14:textId="77777777" w:rsidR="0063163E" w:rsidRPr="00E4265B" w:rsidRDefault="0063163E" w:rsidP="006A7087">
      <w:pPr>
        <w:pStyle w:val="A1List"/>
        <w:ind w:left="1984"/>
        <w:rPr>
          <w:rFonts w:ascii="Arial" w:hAnsi="Arial" w:cs="Arial"/>
          <w:bCs/>
          <w:sz w:val="22"/>
          <w:szCs w:val="22"/>
          <w:lang w:val="en-GB"/>
        </w:rPr>
      </w:pPr>
      <w:r w:rsidRPr="00E4265B">
        <w:rPr>
          <w:rFonts w:ascii="Arial" w:hAnsi="Arial" w:cs="Arial"/>
          <w:bCs/>
          <w:i/>
          <w:sz w:val="22"/>
          <w:szCs w:val="22"/>
          <w:lang w:val="en-GB"/>
        </w:rPr>
        <w:t>AddOn</w:t>
      </w:r>
      <w:r w:rsidRPr="00E4265B">
        <w:rPr>
          <w:rFonts w:ascii="Arial" w:hAnsi="Arial" w:cs="Arial"/>
          <w:bCs/>
          <w:i/>
          <w:sz w:val="22"/>
          <w:szCs w:val="22"/>
          <w:vertAlign w:val="superscript"/>
          <w:lang w:val="en-GB"/>
        </w:rPr>
        <w:t>aggregate</w:t>
      </w:r>
      <w:r w:rsidRPr="00E4265B">
        <w:rPr>
          <w:rFonts w:ascii="Arial" w:hAnsi="Arial" w:cs="Arial"/>
          <w:bCs/>
          <w:sz w:val="22"/>
          <w:szCs w:val="22"/>
          <w:lang w:val="en-GB"/>
        </w:rPr>
        <w:t xml:space="preserve"> = the aggregate add-on component; and</w:t>
      </w:r>
    </w:p>
    <w:p w14:paraId="396CE457" w14:textId="77777777" w:rsidR="0063163E" w:rsidRPr="00E4265B" w:rsidRDefault="0063163E" w:rsidP="006A7087">
      <w:pPr>
        <w:pStyle w:val="A1List"/>
        <w:ind w:left="990" w:firstLine="0"/>
        <w:rPr>
          <w:rFonts w:ascii="Arial" w:hAnsi="Arial" w:cs="Arial"/>
          <w:bCs/>
          <w:sz w:val="22"/>
          <w:szCs w:val="22"/>
          <w:lang w:val="en-GB"/>
        </w:rPr>
      </w:pPr>
      <w:r w:rsidRPr="00E4265B">
        <w:rPr>
          <w:rFonts w:ascii="Arial" w:hAnsi="Arial" w:cs="Arial"/>
          <w:bCs/>
          <w:i/>
          <w:sz w:val="22"/>
          <w:szCs w:val="22"/>
          <w:lang w:val="en-GB"/>
        </w:rPr>
        <w:t>multiplier</w:t>
      </w:r>
      <w:r w:rsidRPr="00E4265B">
        <w:rPr>
          <w:rFonts w:ascii="Arial" w:hAnsi="Arial" w:cs="Arial"/>
          <w:bCs/>
          <w:sz w:val="22"/>
          <w:szCs w:val="22"/>
          <w:lang w:val="en-GB"/>
        </w:rPr>
        <w:t xml:space="preserve"> = a function of three inputs (</w:t>
      </w:r>
      <w:r w:rsidRPr="00E4265B">
        <w:rPr>
          <w:rFonts w:ascii="Arial" w:hAnsi="Arial" w:cs="Arial"/>
          <w:bCs/>
          <w:i/>
          <w:sz w:val="22"/>
          <w:szCs w:val="22"/>
          <w:lang w:val="en-GB"/>
        </w:rPr>
        <w:t>V</w:t>
      </w:r>
      <w:r w:rsidRPr="00E4265B">
        <w:rPr>
          <w:rFonts w:ascii="Arial" w:hAnsi="Arial" w:cs="Arial"/>
          <w:bCs/>
          <w:sz w:val="22"/>
          <w:szCs w:val="22"/>
          <w:lang w:val="en-GB"/>
        </w:rPr>
        <w:t xml:space="preserve">, </w:t>
      </w:r>
      <w:r w:rsidRPr="00E4265B">
        <w:rPr>
          <w:rFonts w:ascii="Arial" w:hAnsi="Arial" w:cs="Arial"/>
          <w:bCs/>
          <w:i/>
          <w:sz w:val="22"/>
          <w:szCs w:val="22"/>
          <w:lang w:val="en-GB"/>
        </w:rPr>
        <w:t>C</w:t>
      </w:r>
      <w:r w:rsidRPr="00E4265B">
        <w:rPr>
          <w:rFonts w:ascii="Arial" w:hAnsi="Arial" w:cs="Arial"/>
          <w:bCs/>
          <w:sz w:val="22"/>
          <w:szCs w:val="22"/>
          <w:lang w:val="en-GB"/>
        </w:rPr>
        <w:t xml:space="preserve"> and </w:t>
      </w:r>
      <w:r w:rsidRPr="00E4265B">
        <w:rPr>
          <w:rFonts w:ascii="Arial" w:hAnsi="Arial" w:cs="Arial"/>
          <w:bCs/>
          <w:i/>
          <w:sz w:val="22"/>
          <w:szCs w:val="22"/>
          <w:lang w:val="en-GB"/>
        </w:rPr>
        <w:t>AddOn</w:t>
      </w:r>
      <w:r w:rsidRPr="00E4265B">
        <w:rPr>
          <w:rFonts w:ascii="Arial" w:hAnsi="Arial" w:cs="Arial"/>
          <w:bCs/>
          <w:i/>
          <w:sz w:val="22"/>
          <w:szCs w:val="22"/>
          <w:vertAlign w:val="superscript"/>
          <w:lang w:val="en-GB"/>
        </w:rPr>
        <w:t>aggregate</w:t>
      </w:r>
      <w:r w:rsidRPr="00E4265B">
        <w:rPr>
          <w:rFonts w:ascii="Arial" w:hAnsi="Arial" w:cs="Arial"/>
          <w:bCs/>
          <w:sz w:val="22"/>
          <w:szCs w:val="22"/>
          <w:lang w:val="en-GB"/>
        </w:rPr>
        <w:t xml:space="preserve">), calculated in accordance with </w:t>
      </w:r>
      <w:r w:rsidR="0075547B" w:rsidRPr="00E4265B">
        <w:rPr>
          <w:rFonts w:ascii="Arial" w:hAnsi="Arial" w:cs="Arial"/>
          <w:bCs/>
          <w:sz w:val="22"/>
          <w:szCs w:val="22"/>
          <w:lang w:val="en-GB"/>
        </w:rPr>
        <w:t xml:space="preserve">Rule </w:t>
      </w:r>
      <w:r w:rsidRPr="00E4265B">
        <w:rPr>
          <w:rFonts w:ascii="Arial" w:hAnsi="Arial" w:cs="Arial"/>
          <w:bCs/>
          <w:sz w:val="22"/>
          <w:szCs w:val="22"/>
          <w:lang w:val="en-GB"/>
        </w:rPr>
        <w:t>A4.6.27.</w:t>
      </w:r>
    </w:p>
    <w:p w14:paraId="2180AA09" w14:textId="77777777" w:rsidR="006A7087" w:rsidRPr="00E4265B" w:rsidRDefault="006A7087" w:rsidP="006A7087">
      <w:pPr>
        <w:pStyle w:val="A1List"/>
        <w:rPr>
          <w:rFonts w:ascii="Arial" w:hAnsi="Arial" w:cs="Arial"/>
          <w:b/>
          <w:bCs/>
          <w:sz w:val="22"/>
          <w:szCs w:val="22"/>
          <w:lang w:val="en-GB"/>
        </w:rPr>
      </w:pPr>
      <w:r w:rsidRPr="00E4265B">
        <w:rPr>
          <w:rFonts w:ascii="Arial" w:hAnsi="Arial" w:cs="Arial"/>
          <w:b/>
          <w:bCs/>
          <w:sz w:val="22"/>
          <w:szCs w:val="22"/>
          <w:lang w:val="en-GB"/>
        </w:rPr>
        <w:t>A4.6.27</w:t>
      </w:r>
      <w:r w:rsidRPr="00E4265B">
        <w:rPr>
          <w:rFonts w:ascii="Arial" w:hAnsi="Arial" w:cs="Arial"/>
          <w:b/>
          <w:bCs/>
          <w:sz w:val="22"/>
          <w:szCs w:val="22"/>
          <w:lang w:val="en-GB"/>
        </w:rPr>
        <w:tab/>
      </w:r>
      <w:r w:rsidRPr="00E4265B">
        <w:rPr>
          <w:rFonts w:ascii="Arial" w:hAnsi="Arial" w:cs="Arial"/>
          <w:bCs/>
          <w:sz w:val="22"/>
          <w:szCs w:val="22"/>
          <w:lang w:val="en-GB"/>
        </w:rPr>
        <w:t xml:space="preserve">The </w:t>
      </w:r>
      <w:r w:rsidRPr="00E4265B">
        <w:rPr>
          <w:rFonts w:ascii="Arial" w:hAnsi="Arial" w:cs="Arial"/>
          <w:bCs/>
          <w:i/>
          <w:sz w:val="22"/>
          <w:szCs w:val="22"/>
          <w:lang w:val="en-GB"/>
        </w:rPr>
        <w:t>multiplier</w:t>
      </w:r>
      <w:r w:rsidRPr="00E4265B">
        <w:rPr>
          <w:rFonts w:ascii="Arial" w:hAnsi="Arial" w:cs="Arial"/>
          <w:bCs/>
          <w:sz w:val="22"/>
          <w:szCs w:val="22"/>
          <w:lang w:val="en-GB"/>
        </w:rPr>
        <w:t xml:space="preserve"> input is calculated in accordance with the following formula:</w:t>
      </w:r>
    </w:p>
    <w:p w14:paraId="6007D93C" w14:textId="1B186C29" w:rsidR="006A7087" w:rsidRPr="00E4265B" w:rsidRDefault="006A7087" w:rsidP="006A7087">
      <w:pPr>
        <w:pStyle w:val="A1List"/>
        <w:ind w:left="990"/>
        <w:jc w:val="center"/>
        <w:rPr>
          <w:rFonts w:ascii="Arial" w:hAnsi="Arial" w:cs="Arial"/>
          <w:bCs/>
          <w:sz w:val="22"/>
          <w:szCs w:val="22"/>
          <w:lang w:val="en-GB"/>
        </w:rPr>
      </w:pPr>
      <m:oMath>
        <m:r>
          <m:rPr>
            <m:nor/>
          </m:rPr>
          <w:rPr>
            <w:rFonts w:ascii="Arial" w:hAnsi="Arial" w:cs="Arial"/>
            <w:bCs/>
            <w:i/>
            <w:iCs/>
            <w:sz w:val="22"/>
            <w:szCs w:val="22"/>
            <w:lang w:val="en-GB"/>
          </w:rPr>
          <m:t>multiplier</m:t>
        </m:r>
        <m:r>
          <m:rPr>
            <m:nor/>
          </m:rPr>
          <w:rPr>
            <w:rFonts w:ascii="Arial" w:hAnsi="Arial" w:cs="Arial"/>
            <w:bCs/>
            <w:sz w:val="22"/>
            <w:szCs w:val="22"/>
            <w:lang w:val="en-GB"/>
          </w:rPr>
          <m:t xml:space="preserve"> = min </m:t>
        </m:r>
        <m:d>
          <m:dPr>
            <m:begChr m:val="{"/>
            <m:endChr m:val=""/>
            <m:ctrlPr>
              <w:rPr>
                <w:rFonts w:ascii="Cambria Math" w:hAnsi="Cambria Math" w:cs="Arial"/>
                <w:bCs/>
                <w:sz w:val="22"/>
                <w:szCs w:val="22"/>
                <w:lang w:val="en-GB"/>
              </w:rPr>
            </m:ctrlPr>
          </m:dPr>
          <m:e>
            <m:d>
              <m:dPr>
                <m:begChr m:val=""/>
                <m:endChr m:val=""/>
                <m:ctrlPr>
                  <w:rPr>
                    <w:rFonts w:ascii="Cambria Math" w:hAnsi="Cambria Math" w:cs="Arial"/>
                    <w:bCs/>
                    <w:i/>
                    <w:sz w:val="22"/>
                    <w:szCs w:val="22"/>
                    <w:lang w:val="en-GB"/>
                  </w:rPr>
                </m:ctrlPr>
              </m:dPr>
              <m:e>
                <m:r>
                  <w:rPr>
                    <w:rFonts w:ascii="Cambria Math" w:hAnsi="Cambria Math" w:cs="Arial"/>
                    <w:sz w:val="22"/>
                    <w:szCs w:val="22"/>
                    <w:lang w:val="en-GB"/>
                  </w:rPr>
                  <m:t>1;Floor+(1-Floor</m:t>
                </m:r>
                <m:sSup>
                  <m:sSupPr>
                    <m:ctrlPr>
                      <w:rPr>
                        <w:rFonts w:ascii="Cambria Math" w:hAnsi="Cambria Math" w:cs="Arial"/>
                        <w:bCs/>
                        <w:i/>
                        <w:sz w:val="22"/>
                        <w:szCs w:val="22"/>
                        <w:lang w:val="en-GB"/>
                      </w:rPr>
                    </m:ctrlPr>
                  </m:sSupPr>
                  <m:e>
                    <m:r>
                      <w:rPr>
                        <w:rFonts w:ascii="Cambria Math" w:hAnsi="Cambria Math" w:cs="Arial"/>
                        <w:sz w:val="22"/>
                        <w:szCs w:val="22"/>
                        <w:lang w:val="en-GB"/>
                      </w:rPr>
                      <m:t>)</m:t>
                    </m:r>
                  </m:e>
                  <m:sup>
                    <m:r>
                      <w:rPr>
                        <w:rFonts w:ascii="Cambria Math" w:hAnsi="Cambria Math" w:cs="Arial"/>
                        <w:sz w:val="22"/>
                        <w:szCs w:val="22"/>
                        <w:lang w:val="en-GB"/>
                      </w:rPr>
                      <m:t>*</m:t>
                    </m:r>
                  </m:sup>
                </m:sSup>
                <m:r>
                  <m:rPr>
                    <m:sty m:val="p"/>
                  </m:rPr>
                  <w:rPr>
                    <w:rFonts w:ascii="Cambria Math" w:hAnsi="Cambria Math" w:cs="Arial"/>
                    <w:sz w:val="22"/>
                    <w:szCs w:val="22"/>
                    <w:lang w:val="en-GB"/>
                  </w:rPr>
                  <m:t>exp</m:t>
                </m:r>
                <m:d>
                  <m:dPr>
                    <m:ctrlPr>
                      <w:rPr>
                        <w:rFonts w:ascii="Cambria Math" w:hAnsi="Cambria Math" w:cs="Arial"/>
                        <w:bCs/>
                        <w:i/>
                        <w:sz w:val="22"/>
                        <w:szCs w:val="22"/>
                        <w:lang w:val="en-GB"/>
                      </w:rPr>
                    </m:ctrlPr>
                  </m:dPr>
                  <m:e>
                    <m:f>
                      <m:fPr>
                        <m:ctrlPr>
                          <w:rPr>
                            <w:rFonts w:ascii="Cambria Math" w:hAnsi="Cambria Math" w:cs="Arial"/>
                            <w:bCs/>
                            <w:i/>
                            <w:sz w:val="22"/>
                            <w:szCs w:val="22"/>
                            <w:lang w:val="en-GB"/>
                          </w:rPr>
                        </m:ctrlPr>
                      </m:fPr>
                      <m:num>
                        <m:r>
                          <w:rPr>
                            <w:rFonts w:ascii="Cambria Math" w:hAnsi="Cambria Math" w:cs="Arial"/>
                            <w:sz w:val="22"/>
                            <w:szCs w:val="22"/>
                            <w:lang w:val="en-GB"/>
                          </w:rPr>
                          <m:t>V-C</m:t>
                        </m:r>
                      </m:num>
                      <m:den>
                        <m:sSup>
                          <m:sSupPr>
                            <m:ctrlPr>
                              <w:rPr>
                                <w:rFonts w:ascii="Cambria Math" w:hAnsi="Cambria Math" w:cs="Arial"/>
                                <w:bCs/>
                                <w:i/>
                                <w:sz w:val="22"/>
                                <w:szCs w:val="22"/>
                                <w:lang w:val="en-GB"/>
                              </w:rPr>
                            </m:ctrlPr>
                          </m:sSupPr>
                          <m:e>
                            <m:r>
                              <w:rPr>
                                <w:rFonts w:ascii="Cambria Math" w:hAnsi="Cambria Math" w:cs="Arial"/>
                                <w:sz w:val="22"/>
                                <w:szCs w:val="22"/>
                                <w:lang w:val="en-GB"/>
                              </w:rPr>
                              <m:t>2</m:t>
                            </m:r>
                          </m:e>
                          <m:sup>
                            <m:r>
                              <w:rPr>
                                <w:rFonts w:ascii="Cambria Math" w:hAnsi="Cambria Math" w:cs="Arial"/>
                                <w:sz w:val="22"/>
                                <w:szCs w:val="22"/>
                                <w:lang w:val="en-GB"/>
                              </w:rPr>
                              <m:t>*</m:t>
                            </m:r>
                          </m:sup>
                        </m:sSup>
                        <m:r>
                          <w:rPr>
                            <w:rFonts w:ascii="Cambria Math" w:hAnsi="Cambria Math" w:cs="Arial"/>
                            <w:sz w:val="22"/>
                            <w:szCs w:val="22"/>
                            <w:lang w:val="en-GB"/>
                          </w:rPr>
                          <m:t>(1-Floor</m:t>
                        </m:r>
                        <m:sSup>
                          <m:sSupPr>
                            <m:ctrlPr>
                              <w:rPr>
                                <w:rFonts w:ascii="Cambria Math" w:hAnsi="Cambria Math" w:cs="Arial"/>
                                <w:bCs/>
                                <w:i/>
                                <w:sz w:val="22"/>
                                <w:szCs w:val="22"/>
                                <w:lang w:val="en-GB"/>
                              </w:rPr>
                            </m:ctrlPr>
                          </m:sSupPr>
                          <m:e>
                            <m:r>
                              <w:rPr>
                                <w:rFonts w:ascii="Cambria Math" w:hAnsi="Cambria Math" w:cs="Arial"/>
                                <w:sz w:val="22"/>
                                <w:szCs w:val="22"/>
                                <w:lang w:val="en-GB"/>
                              </w:rPr>
                              <m:t>)</m:t>
                            </m:r>
                          </m:e>
                          <m:sup>
                            <m:r>
                              <w:rPr>
                                <w:rFonts w:ascii="Cambria Math" w:hAnsi="Cambria Math" w:cs="Arial"/>
                                <w:sz w:val="22"/>
                                <w:szCs w:val="22"/>
                                <w:lang w:val="en-GB"/>
                              </w:rPr>
                              <m:t>*</m:t>
                            </m:r>
                          </m:sup>
                        </m:sSup>
                        <m:r>
                          <w:rPr>
                            <w:rFonts w:ascii="Cambria Math" w:hAnsi="Cambria Math" w:cs="Arial"/>
                            <w:sz w:val="22"/>
                            <w:szCs w:val="22"/>
                            <w:lang w:val="en-GB"/>
                          </w:rPr>
                          <m:t>AddO</m:t>
                        </m:r>
                        <m:sSup>
                          <m:sSupPr>
                            <m:ctrlPr>
                              <w:rPr>
                                <w:rFonts w:ascii="Cambria Math" w:hAnsi="Cambria Math" w:cs="Arial"/>
                                <w:bCs/>
                                <w:i/>
                                <w:sz w:val="22"/>
                                <w:szCs w:val="22"/>
                                <w:lang w:val="en-GB"/>
                              </w:rPr>
                            </m:ctrlPr>
                          </m:sSupPr>
                          <m:e>
                            <m:r>
                              <w:rPr>
                                <w:rFonts w:ascii="Cambria Math" w:hAnsi="Cambria Math" w:cs="Arial"/>
                                <w:sz w:val="22"/>
                                <w:szCs w:val="22"/>
                                <w:lang w:val="en-GB"/>
                              </w:rPr>
                              <m:t>n</m:t>
                            </m:r>
                          </m:e>
                          <m:sup>
                            <m:r>
                              <w:rPr>
                                <w:rFonts w:ascii="Cambria Math" w:hAnsi="Cambria Math" w:cs="Arial"/>
                                <w:sz w:val="22"/>
                                <w:szCs w:val="22"/>
                                <w:lang w:val="en-GB"/>
                              </w:rPr>
                              <m:t>aggregate</m:t>
                            </m:r>
                          </m:sup>
                        </m:sSup>
                      </m:den>
                    </m:f>
                  </m:e>
                </m:d>
                <m:r>
                  <w:rPr>
                    <w:rFonts w:ascii="Cambria Math" w:hAnsi="Cambria Math" w:cs="Arial"/>
                    <w:sz w:val="22"/>
                    <w:szCs w:val="22"/>
                    <w:lang w:val="en-GB"/>
                  </w:rPr>
                  <m:t>}</m:t>
                </m:r>
              </m:e>
            </m:d>
          </m:e>
        </m:d>
      </m:oMath>
      <w:r w:rsidRPr="00E4265B">
        <w:rPr>
          <w:rFonts w:ascii="Arial" w:hAnsi="Arial" w:cs="Arial"/>
          <w:bCs/>
          <w:sz w:val="22"/>
          <w:szCs w:val="22"/>
          <w:lang w:val="en-GB"/>
        </w:rPr>
        <w:t xml:space="preserve"> </w:t>
      </w:r>
    </w:p>
    <w:p w14:paraId="2825B4F4" w14:textId="77777777" w:rsidR="006A7087" w:rsidRPr="00E4265B" w:rsidRDefault="006A7087" w:rsidP="006A7087">
      <w:pPr>
        <w:pStyle w:val="A1List"/>
        <w:ind w:left="1984"/>
        <w:rPr>
          <w:rFonts w:ascii="Arial" w:hAnsi="Arial" w:cs="Arial"/>
          <w:bCs/>
          <w:sz w:val="22"/>
          <w:szCs w:val="22"/>
          <w:lang w:val="en-GB"/>
        </w:rPr>
      </w:pPr>
      <w:r w:rsidRPr="00E4265B">
        <w:rPr>
          <w:rFonts w:ascii="Arial" w:hAnsi="Arial" w:cs="Arial"/>
          <w:bCs/>
          <w:sz w:val="22"/>
          <w:szCs w:val="22"/>
          <w:lang w:val="en-GB"/>
        </w:rPr>
        <w:t>where:</w:t>
      </w:r>
    </w:p>
    <w:p w14:paraId="499BCC88" w14:textId="77777777" w:rsidR="006A7087" w:rsidRPr="00E4265B" w:rsidRDefault="006A7087" w:rsidP="006A7087">
      <w:pPr>
        <w:pStyle w:val="A1List"/>
        <w:ind w:left="1984"/>
        <w:rPr>
          <w:rFonts w:ascii="Arial" w:hAnsi="Arial" w:cs="Arial"/>
          <w:bCs/>
          <w:sz w:val="22"/>
          <w:szCs w:val="22"/>
          <w:lang w:val="en-GB"/>
        </w:rPr>
      </w:pPr>
      <w:r w:rsidRPr="00E4265B">
        <w:rPr>
          <w:rFonts w:ascii="Arial" w:hAnsi="Arial" w:cs="Arial"/>
          <w:bCs/>
          <w:sz w:val="22"/>
          <w:szCs w:val="22"/>
          <w:lang w:val="en-GB"/>
        </w:rPr>
        <w:t xml:space="preserve">exp(…) = the exponential function; </w:t>
      </w:r>
    </w:p>
    <w:p w14:paraId="790259B7" w14:textId="77777777" w:rsidR="006A7087" w:rsidRPr="00E4265B" w:rsidRDefault="006A7087" w:rsidP="006A7087">
      <w:pPr>
        <w:pStyle w:val="A1List"/>
        <w:ind w:left="1984"/>
        <w:rPr>
          <w:rFonts w:ascii="Arial" w:hAnsi="Arial" w:cs="Arial"/>
          <w:bCs/>
          <w:sz w:val="22"/>
          <w:szCs w:val="22"/>
          <w:lang w:val="en-GB"/>
        </w:rPr>
      </w:pPr>
      <w:r w:rsidRPr="00E4265B">
        <w:rPr>
          <w:rFonts w:ascii="Arial" w:hAnsi="Arial" w:cs="Arial"/>
          <w:bCs/>
          <w:i/>
          <w:sz w:val="22"/>
          <w:szCs w:val="22"/>
          <w:lang w:val="en-GB"/>
        </w:rPr>
        <w:t xml:space="preserve">Floor </w:t>
      </w:r>
      <w:r w:rsidRPr="00E4265B">
        <w:rPr>
          <w:rFonts w:ascii="Arial" w:hAnsi="Arial" w:cs="Arial"/>
          <w:bCs/>
          <w:sz w:val="22"/>
          <w:szCs w:val="22"/>
          <w:lang w:val="en-GB"/>
        </w:rPr>
        <w:t xml:space="preserve">= 5%; </w:t>
      </w:r>
    </w:p>
    <w:p w14:paraId="6A38B94A" w14:textId="77777777" w:rsidR="006A7087" w:rsidRPr="00E4265B" w:rsidRDefault="006A7087" w:rsidP="006A7087">
      <w:pPr>
        <w:pStyle w:val="A1List"/>
        <w:ind w:left="1984"/>
        <w:rPr>
          <w:rFonts w:ascii="Arial" w:hAnsi="Arial" w:cs="Arial"/>
          <w:bCs/>
          <w:sz w:val="22"/>
          <w:szCs w:val="22"/>
          <w:lang w:val="en-GB"/>
        </w:rPr>
      </w:pPr>
      <w:r w:rsidRPr="00E4265B">
        <w:rPr>
          <w:rFonts w:ascii="Arial" w:hAnsi="Arial" w:cs="Arial"/>
          <w:bCs/>
          <w:i/>
          <w:sz w:val="22"/>
          <w:szCs w:val="22"/>
          <w:lang w:val="en-GB"/>
        </w:rPr>
        <w:t>V</w:t>
      </w:r>
      <w:r w:rsidRPr="00E4265B">
        <w:rPr>
          <w:rFonts w:ascii="Arial" w:hAnsi="Arial" w:cs="Arial"/>
          <w:bCs/>
          <w:sz w:val="22"/>
          <w:szCs w:val="22"/>
          <w:lang w:val="en-GB"/>
        </w:rPr>
        <w:t xml:space="preserve"> = the value of the derivative transactions in the netting set; and</w:t>
      </w:r>
    </w:p>
    <w:p w14:paraId="1D2936CF" w14:textId="77777777" w:rsidR="006A7087" w:rsidRPr="00E4265B" w:rsidRDefault="006A7087" w:rsidP="00C33BDF">
      <w:pPr>
        <w:pStyle w:val="A1List"/>
        <w:ind w:left="1418" w:hanging="425"/>
        <w:rPr>
          <w:rFonts w:ascii="Arial" w:hAnsi="Arial" w:cs="Arial"/>
          <w:bCs/>
          <w:sz w:val="22"/>
          <w:szCs w:val="22"/>
          <w:lang w:val="en-GB"/>
        </w:rPr>
      </w:pPr>
      <w:r w:rsidRPr="00E4265B">
        <w:rPr>
          <w:rFonts w:ascii="Arial" w:hAnsi="Arial" w:cs="Arial"/>
          <w:bCs/>
          <w:i/>
          <w:sz w:val="22"/>
          <w:szCs w:val="22"/>
          <w:lang w:val="en-GB"/>
        </w:rPr>
        <w:t>C</w:t>
      </w:r>
      <w:r w:rsidRPr="00E4265B">
        <w:rPr>
          <w:rFonts w:ascii="Arial" w:hAnsi="Arial" w:cs="Arial"/>
          <w:bCs/>
          <w:sz w:val="22"/>
          <w:szCs w:val="22"/>
          <w:lang w:val="en-GB"/>
        </w:rPr>
        <w:t xml:space="preserve"> = the haircut value of the net collateral held, calculated in accordance with </w:t>
      </w:r>
      <w:r w:rsidR="0075547B" w:rsidRPr="00E4265B">
        <w:rPr>
          <w:rFonts w:ascii="Arial" w:hAnsi="Arial" w:cs="Arial"/>
          <w:bCs/>
          <w:sz w:val="22"/>
          <w:szCs w:val="22"/>
          <w:lang w:val="en-GB"/>
        </w:rPr>
        <w:t xml:space="preserve">Section </w:t>
      </w:r>
      <w:r w:rsidRPr="00E4265B">
        <w:rPr>
          <w:rFonts w:ascii="Arial" w:hAnsi="Arial" w:cs="Arial"/>
          <w:bCs/>
          <w:sz w:val="22"/>
          <w:szCs w:val="22"/>
          <w:lang w:val="en-GB"/>
        </w:rPr>
        <w:t xml:space="preserve">A4.3. </w:t>
      </w:r>
    </w:p>
    <w:p w14:paraId="51285E64" w14:textId="77777777" w:rsidR="006A7087" w:rsidRPr="00E4265B" w:rsidRDefault="006A7087" w:rsidP="006A7087">
      <w:pPr>
        <w:pStyle w:val="TitleL5"/>
        <w:rPr>
          <w:rFonts w:ascii="Arial" w:hAnsi="Arial" w:cs="Arial"/>
          <w:sz w:val="22"/>
          <w:szCs w:val="22"/>
          <w:lang w:val="en-GB"/>
        </w:rPr>
      </w:pPr>
      <w:r w:rsidRPr="00E4265B">
        <w:rPr>
          <w:rFonts w:ascii="Arial" w:hAnsi="Arial" w:cs="Arial"/>
          <w:sz w:val="22"/>
          <w:szCs w:val="22"/>
          <w:lang w:val="en-GB"/>
        </w:rPr>
        <w:t>General steps for calculating the add-on</w:t>
      </w:r>
    </w:p>
    <w:p w14:paraId="14BA0F34" w14:textId="77777777" w:rsidR="006A7087" w:rsidRPr="00E4265B" w:rsidRDefault="006A7087" w:rsidP="006A7087">
      <w:pPr>
        <w:pStyle w:val="A1List"/>
        <w:rPr>
          <w:rFonts w:ascii="Arial" w:hAnsi="Arial" w:cs="Arial"/>
          <w:b/>
          <w:bCs/>
          <w:sz w:val="22"/>
          <w:szCs w:val="22"/>
          <w:lang w:val="en-GB"/>
        </w:rPr>
      </w:pPr>
      <w:r w:rsidRPr="00E4265B">
        <w:rPr>
          <w:rFonts w:ascii="Arial" w:hAnsi="Arial" w:cs="Arial"/>
          <w:b/>
          <w:bCs/>
          <w:sz w:val="22"/>
          <w:szCs w:val="22"/>
          <w:lang w:val="en-GB"/>
        </w:rPr>
        <w:t>A4.6.28</w:t>
      </w:r>
      <w:r w:rsidRPr="00E4265B">
        <w:rPr>
          <w:rFonts w:ascii="Arial" w:hAnsi="Arial" w:cs="Arial"/>
          <w:b/>
          <w:bCs/>
          <w:sz w:val="22"/>
          <w:szCs w:val="22"/>
          <w:lang w:val="en-GB"/>
        </w:rPr>
        <w:tab/>
      </w:r>
      <w:r w:rsidRPr="00E4265B">
        <w:rPr>
          <w:rFonts w:ascii="Arial" w:hAnsi="Arial" w:cs="Arial"/>
          <w:bCs/>
          <w:sz w:val="22"/>
          <w:szCs w:val="22"/>
          <w:lang w:val="en-GB"/>
        </w:rPr>
        <w:t xml:space="preserve">For each transaction, the Authorised Person must identify the primary risk factor or factors and attribute the transaction to one or more of the five asset classes: interest rate, foreign exchange, credit, equity or commodity. </w:t>
      </w:r>
    </w:p>
    <w:p w14:paraId="40E5EE72" w14:textId="77777777" w:rsidR="006A7087" w:rsidRPr="00E4265B" w:rsidRDefault="006A7087" w:rsidP="006A7087">
      <w:pPr>
        <w:pStyle w:val="A1List"/>
        <w:rPr>
          <w:rFonts w:ascii="Arial" w:hAnsi="Arial" w:cs="Arial"/>
          <w:bCs/>
          <w:sz w:val="22"/>
          <w:szCs w:val="22"/>
          <w:lang w:val="en-GB"/>
        </w:rPr>
      </w:pPr>
      <w:r w:rsidRPr="00E4265B">
        <w:rPr>
          <w:rFonts w:ascii="Arial" w:hAnsi="Arial" w:cs="Arial"/>
          <w:b/>
          <w:bCs/>
          <w:sz w:val="22"/>
          <w:szCs w:val="22"/>
          <w:lang w:val="en-GB"/>
        </w:rPr>
        <w:t>A4.6.29</w:t>
      </w:r>
      <w:r w:rsidRPr="00E4265B">
        <w:rPr>
          <w:rFonts w:ascii="Arial" w:hAnsi="Arial" w:cs="Arial"/>
          <w:b/>
          <w:bCs/>
          <w:sz w:val="22"/>
          <w:szCs w:val="22"/>
          <w:lang w:val="en-GB"/>
        </w:rPr>
        <w:tab/>
      </w:r>
      <w:r w:rsidRPr="00E4265B">
        <w:rPr>
          <w:rFonts w:ascii="Arial" w:hAnsi="Arial" w:cs="Arial"/>
          <w:bCs/>
          <w:sz w:val="22"/>
          <w:szCs w:val="22"/>
          <w:lang w:val="en-GB"/>
        </w:rPr>
        <w:t xml:space="preserve">The Authorised Person must determine the add-on for each asset class in accordance with the asset-class-specific formulae set out in A4.6.35 – A4.6.58. </w:t>
      </w:r>
    </w:p>
    <w:p w14:paraId="4FF959DD" w14:textId="77777777" w:rsidR="006A7087" w:rsidRPr="00E4265B" w:rsidRDefault="006A7087" w:rsidP="006A7087">
      <w:pPr>
        <w:pStyle w:val="TitleL5"/>
        <w:rPr>
          <w:rFonts w:ascii="Arial" w:hAnsi="Arial" w:cs="Arial"/>
          <w:sz w:val="22"/>
          <w:szCs w:val="22"/>
          <w:lang w:val="en-GB"/>
        </w:rPr>
      </w:pPr>
      <w:r w:rsidRPr="00E4265B">
        <w:rPr>
          <w:rFonts w:ascii="Arial" w:hAnsi="Arial" w:cs="Arial"/>
          <w:sz w:val="22"/>
          <w:szCs w:val="22"/>
          <w:lang w:val="en-GB"/>
        </w:rPr>
        <w:t>Guidance</w:t>
      </w:r>
    </w:p>
    <w:p w14:paraId="2BF953F2" w14:textId="77777777" w:rsidR="006A7087" w:rsidRPr="00E4265B" w:rsidRDefault="006A7087" w:rsidP="006A7087">
      <w:pPr>
        <w:pStyle w:val="A1List"/>
        <w:rPr>
          <w:rFonts w:ascii="Arial" w:hAnsi="Arial" w:cs="Arial"/>
          <w:bCs/>
          <w:sz w:val="22"/>
          <w:szCs w:val="22"/>
          <w:lang w:val="en-GB"/>
        </w:rPr>
      </w:pPr>
      <w:r w:rsidRPr="00E4265B">
        <w:rPr>
          <w:rFonts w:ascii="Arial" w:hAnsi="Arial" w:cs="Arial"/>
          <w:bCs/>
          <w:sz w:val="22"/>
          <w:szCs w:val="22"/>
          <w:lang w:val="en-GB"/>
        </w:rPr>
        <w:tab/>
        <w:t xml:space="preserve">Most derivative transactions have one primary risk driver, defined by the reference underlying instrument (e.g. an interest rate curve for an interest rate swap, a reference entity for a credit default swap, a foreign exchange rate for an FX call option etc.). </w:t>
      </w:r>
    </w:p>
    <w:p w14:paraId="17162A88" w14:textId="77777777" w:rsidR="006A7087" w:rsidRPr="00E4265B" w:rsidRDefault="006A7087" w:rsidP="004D6020">
      <w:pPr>
        <w:pStyle w:val="TitleL5"/>
        <w:rPr>
          <w:rFonts w:ascii="Arial" w:hAnsi="Arial" w:cs="Arial"/>
          <w:sz w:val="22"/>
          <w:szCs w:val="22"/>
          <w:lang w:val="en-GB"/>
        </w:rPr>
      </w:pPr>
      <w:r w:rsidRPr="00E4265B">
        <w:rPr>
          <w:rFonts w:ascii="Arial" w:hAnsi="Arial" w:cs="Arial"/>
          <w:sz w:val="22"/>
          <w:szCs w:val="22"/>
          <w:lang w:val="en-GB"/>
        </w:rPr>
        <w:t>Formulae and parameters common to all asset classes</w:t>
      </w:r>
    </w:p>
    <w:p w14:paraId="486A5F0D" w14:textId="77777777" w:rsidR="006A7087" w:rsidRPr="00E4265B" w:rsidRDefault="006A7087" w:rsidP="006A7087">
      <w:pPr>
        <w:pStyle w:val="A1List"/>
        <w:rPr>
          <w:rFonts w:ascii="Arial" w:hAnsi="Arial" w:cs="Arial"/>
          <w:b/>
          <w:bCs/>
          <w:sz w:val="22"/>
          <w:szCs w:val="22"/>
          <w:lang w:val="en-GB"/>
        </w:rPr>
      </w:pPr>
      <w:r w:rsidRPr="00E4265B">
        <w:rPr>
          <w:rFonts w:ascii="Arial" w:hAnsi="Arial" w:cs="Arial"/>
          <w:b/>
          <w:bCs/>
          <w:sz w:val="22"/>
          <w:szCs w:val="22"/>
          <w:lang w:val="en-GB"/>
        </w:rPr>
        <w:t>A4.6.30</w:t>
      </w:r>
      <w:r w:rsidRPr="00E4265B">
        <w:rPr>
          <w:rFonts w:ascii="Arial" w:hAnsi="Arial" w:cs="Arial"/>
          <w:b/>
          <w:bCs/>
          <w:sz w:val="22"/>
          <w:szCs w:val="22"/>
          <w:lang w:val="en-GB"/>
        </w:rPr>
        <w:tab/>
      </w:r>
      <w:r w:rsidRPr="00E4265B">
        <w:rPr>
          <w:rFonts w:ascii="Arial" w:hAnsi="Arial" w:cs="Arial"/>
          <w:bCs/>
          <w:sz w:val="22"/>
          <w:szCs w:val="22"/>
          <w:lang w:val="en-GB"/>
        </w:rPr>
        <w:t xml:space="preserve">The following formulae and adjustments are used in the determination of the add-ons for all asset classes. </w:t>
      </w:r>
    </w:p>
    <w:p w14:paraId="33CD3FAE" w14:textId="77777777" w:rsidR="006A7087" w:rsidRPr="00E4265B" w:rsidRDefault="006A7087" w:rsidP="006A7087">
      <w:pPr>
        <w:pStyle w:val="TitleL5"/>
        <w:rPr>
          <w:rFonts w:ascii="Arial" w:hAnsi="Arial" w:cs="Arial"/>
          <w:sz w:val="22"/>
          <w:szCs w:val="22"/>
          <w:lang w:val="en-GB"/>
        </w:rPr>
      </w:pPr>
      <w:r w:rsidRPr="00E4265B">
        <w:rPr>
          <w:rFonts w:ascii="Arial" w:hAnsi="Arial" w:cs="Arial"/>
          <w:sz w:val="22"/>
          <w:szCs w:val="22"/>
          <w:lang w:val="en-GB"/>
        </w:rPr>
        <w:t xml:space="preserve">Supervisory delta adjustment: </w:t>
      </w:r>
      <w:r w:rsidRPr="00E4265B">
        <w:rPr>
          <w:rFonts w:ascii="Arial" w:hAnsi="Arial" w:cs="Arial"/>
          <w:i/>
          <w:iCs/>
          <w:sz w:val="22"/>
          <w:szCs w:val="22"/>
          <w:lang w:val="en-GB"/>
        </w:rPr>
        <w:t>δ</w:t>
      </w:r>
      <w:r w:rsidRPr="00E4265B">
        <w:rPr>
          <w:rFonts w:ascii="Arial" w:hAnsi="Arial" w:cs="Arial"/>
          <w:i/>
          <w:iCs/>
          <w:sz w:val="22"/>
          <w:szCs w:val="22"/>
          <w:vertAlign w:val="subscript"/>
          <w:lang w:val="en-GB"/>
        </w:rPr>
        <w:t>i</w:t>
      </w:r>
    </w:p>
    <w:p w14:paraId="6410B466" w14:textId="77777777" w:rsidR="006A7087" w:rsidRPr="00E4265B" w:rsidRDefault="006A7087" w:rsidP="006A7087">
      <w:pPr>
        <w:pStyle w:val="A1List"/>
        <w:rPr>
          <w:rFonts w:ascii="Arial" w:hAnsi="Arial" w:cs="Arial"/>
          <w:bCs/>
          <w:sz w:val="22"/>
          <w:szCs w:val="22"/>
          <w:lang w:val="en-GB"/>
        </w:rPr>
      </w:pPr>
      <w:r w:rsidRPr="00E4265B">
        <w:rPr>
          <w:rFonts w:ascii="Arial" w:hAnsi="Arial" w:cs="Arial"/>
          <w:b/>
          <w:bCs/>
          <w:sz w:val="22"/>
          <w:szCs w:val="22"/>
          <w:lang w:val="en-GB"/>
        </w:rPr>
        <w:t>A4.6.31</w:t>
      </w:r>
      <w:r w:rsidRPr="00E4265B">
        <w:rPr>
          <w:rFonts w:ascii="Arial" w:hAnsi="Arial" w:cs="Arial"/>
          <w:b/>
          <w:bCs/>
          <w:sz w:val="22"/>
          <w:szCs w:val="22"/>
          <w:lang w:val="en-GB"/>
        </w:rPr>
        <w:tab/>
      </w:r>
      <w:r w:rsidRPr="00E4265B">
        <w:rPr>
          <w:rFonts w:ascii="Arial" w:hAnsi="Arial" w:cs="Arial"/>
          <w:bCs/>
          <w:sz w:val="22"/>
          <w:szCs w:val="22"/>
          <w:lang w:val="en-GB"/>
        </w:rPr>
        <w:t>The Authorised Person must include the following supervisory delta adjustments in the calculation of the relevant add-on where relevant.</w:t>
      </w:r>
    </w:p>
    <w:tbl>
      <w:tblPr>
        <w:tblStyle w:val="TableGrid"/>
        <w:tblW w:w="0" w:type="auto"/>
        <w:tblInd w:w="1008" w:type="dxa"/>
        <w:tblLook w:val="04A0" w:firstRow="1" w:lastRow="0" w:firstColumn="1" w:lastColumn="0" w:noHBand="0" w:noVBand="1"/>
      </w:tblPr>
      <w:tblGrid>
        <w:gridCol w:w="2327"/>
        <w:gridCol w:w="2841"/>
        <w:gridCol w:w="2841"/>
      </w:tblGrid>
      <w:tr w:rsidR="004D6020" w:rsidRPr="00E4265B" w14:paraId="480CF527" w14:textId="77777777" w:rsidTr="003732F6">
        <w:tc>
          <w:tcPr>
            <w:tcW w:w="2375" w:type="dxa"/>
            <w:shd w:val="clear" w:color="auto" w:fill="D9D9D9" w:themeFill="background1" w:themeFillShade="D9"/>
            <w:vAlign w:val="center"/>
          </w:tcPr>
          <w:p w14:paraId="6FE5A41D" w14:textId="77777777" w:rsidR="004D6020" w:rsidRPr="00E4265B" w:rsidRDefault="004D6020" w:rsidP="003732F6">
            <w:pPr>
              <w:pStyle w:val="A1List"/>
              <w:tabs>
                <w:tab w:val="clear" w:pos="990"/>
              </w:tabs>
              <w:ind w:left="0" w:firstLine="0"/>
              <w:jc w:val="center"/>
              <w:rPr>
                <w:rFonts w:ascii="Arial" w:hAnsi="Arial" w:cs="Arial"/>
                <w:b/>
                <w:i/>
                <w:iCs/>
                <w:sz w:val="22"/>
                <w:szCs w:val="22"/>
                <w:lang w:val="en-GB"/>
              </w:rPr>
            </w:pPr>
            <w:r w:rsidRPr="00E4265B">
              <w:rPr>
                <w:rFonts w:ascii="Arial" w:hAnsi="Arial" w:cs="Arial"/>
                <w:b/>
                <w:i/>
                <w:iCs/>
                <w:sz w:val="22"/>
                <w:szCs w:val="22"/>
                <w:lang w:val="en-GB"/>
              </w:rPr>
              <w:t>δ</w:t>
            </w:r>
            <w:r w:rsidRPr="00E4265B">
              <w:rPr>
                <w:rFonts w:ascii="Arial" w:hAnsi="Arial" w:cs="Arial"/>
                <w:b/>
                <w:i/>
                <w:iCs/>
                <w:sz w:val="22"/>
                <w:szCs w:val="22"/>
                <w:vertAlign w:val="subscript"/>
                <w:lang w:val="en-GB"/>
              </w:rPr>
              <w:t>i</w:t>
            </w:r>
          </w:p>
        </w:tc>
        <w:tc>
          <w:tcPr>
            <w:tcW w:w="2930" w:type="dxa"/>
            <w:shd w:val="clear" w:color="auto" w:fill="D9D9D9" w:themeFill="background1" w:themeFillShade="D9"/>
          </w:tcPr>
          <w:p w14:paraId="57D5DE6D" w14:textId="77777777" w:rsidR="004D6020" w:rsidRPr="00E4265B" w:rsidRDefault="004D6020" w:rsidP="004D6020">
            <w:pPr>
              <w:pStyle w:val="A1List"/>
              <w:tabs>
                <w:tab w:val="clear" w:pos="990"/>
              </w:tabs>
              <w:ind w:left="0" w:firstLine="0"/>
              <w:jc w:val="center"/>
              <w:rPr>
                <w:rFonts w:ascii="Arial" w:hAnsi="Arial" w:cs="Arial"/>
                <w:b/>
                <w:sz w:val="22"/>
                <w:szCs w:val="22"/>
                <w:lang w:val="en-GB"/>
              </w:rPr>
            </w:pPr>
            <w:r w:rsidRPr="00E4265B">
              <w:rPr>
                <w:rFonts w:ascii="Arial" w:hAnsi="Arial" w:cs="Arial"/>
                <w:b/>
                <w:sz w:val="22"/>
                <w:szCs w:val="22"/>
                <w:lang w:val="en-GB"/>
              </w:rPr>
              <w:t>Long in the primary risk factor</w:t>
            </w:r>
          </w:p>
        </w:tc>
        <w:tc>
          <w:tcPr>
            <w:tcW w:w="2930" w:type="dxa"/>
            <w:shd w:val="clear" w:color="auto" w:fill="D9D9D9" w:themeFill="background1" w:themeFillShade="D9"/>
          </w:tcPr>
          <w:p w14:paraId="42C2D909" w14:textId="77777777" w:rsidR="004D6020" w:rsidRPr="00E4265B" w:rsidRDefault="004D6020" w:rsidP="004D6020">
            <w:pPr>
              <w:pStyle w:val="A1List"/>
              <w:tabs>
                <w:tab w:val="clear" w:pos="990"/>
              </w:tabs>
              <w:ind w:left="0" w:firstLine="0"/>
              <w:jc w:val="center"/>
              <w:rPr>
                <w:rFonts w:ascii="Arial" w:hAnsi="Arial" w:cs="Arial"/>
                <w:b/>
                <w:sz w:val="22"/>
                <w:szCs w:val="22"/>
                <w:lang w:val="en-GB"/>
              </w:rPr>
            </w:pPr>
            <w:r w:rsidRPr="00E4265B">
              <w:rPr>
                <w:rFonts w:ascii="Arial" w:hAnsi="Arial" w:cs="Arial"/>
                <w:b/>
                <w:sz w:val="22"/>
                <w:szCs w:val="22"/>
                <w:lang w:val="en-GB"/>
              </w:rPr>
              <w:t>Short in the primary risk factor</w:t>
            </w:r>
          </w:p>
        </w:tc>
      </w:tr>
      <w:tr w:rsidR="004D6020" w:rsidRPr="00E4265B" w14:paraId="55C65933" w14:textId="77777777" w:rsidTr="004D6020">
        <w:tc>
          <w:tcPr>
            <w:tcW w:w="2375" w:type="dxa"/>
          </w:tcPr>
          <w:p w14:paraId="3425AC90" w14:textId="77777777" w:rsidR="004D6020" w:rsidRPr="00E4265B" w:rsidRDefault="004D6020" w:rsidP="00605654">
            <w:pPr>
              <w:pStyle w:val="A1List"/>
              <w:tabs>
                <w:tab w:val="clear" w:pos="990"/>
              </w:tabs>
              <w:ind w:left="0" w:firstLine="0"/>
              <w:rPr>
                <w:rFonts w:ascii="Arial" w:hAnsi="Arial" w:cs="Arial"/>
                <w:bCs/>
                <w:sz w:val="22"/>
                <w:szCs w:val="22"/>
                <w:lang w:val="en-GB"/>
              </w:rPr>
            </w:pPr>
            <w:r w:rsidRPr="00E4265B">
              <w:rPr>
                <w:rFonts w:ascii="Arial" w:hAnsi="Arial" w:cs="Arial"/>
                <w:bCs/>
                <w:sz w:val="22"/>
                <w:szCs w:val="22"/>
                <w:lang w:val="en-GB"/>
              </w:rPr>
              <w:t xml:space="preserve">Instruments that are not options or CDO tranches </w:t>
            </w:r>
          </w:p>
        </w:tc>
        <w:tc>
          <w:tcPr>
            <w:tcW w:w="2930" w:type="dxa"/>
          </w:tcPr>
          <w:p w14:paraId="2459F086" w14:textId="77777777" w:rsidR="004D6020" w:rsidRPr="00E4265B" w:rsidRDefault="004D6020" w:rsidP="004D6020">
            <w:pPr>
              <w:pStyle w:val="A1List"/>
              <w:tabs>
                <w:tab w:val="clear" w:pos="990"/>
              </w:tabs>
              <w:ind w:left="0" w:firstLine="0"/>
              <w:jc w:val="center"/>
              <w:rPr>
                <w:rFonts w:ascii="Arial" w:hAnsi="Arial" w:cs="Arial"/>
                <w:bCs/>
                <w:sz w:val="22"/>
                <w:szCs w:val="22"/>
                <w:lang w:val="en-GB"/>
              </w:rPr>
            </w:pPr>
            <w:r w:rsidRPr="00E4265B">
              <w:rPr>
                <w:rFonts w:ascii="Arial" w:hAnsi="Arial" w:cs="Arial"/>
                <w:bCs/>
                <w:sz w:val="22"/>
                <w:szCs w:val="22"/>
                <w:lang w:val="en-GB"/>
              </w:rPr>
              <w:t>+1</w:t>
            </w:r>
          </w:p>
        </w:tc>
        <w:tc>
          <w:tcPr>
            <w:tcW w:w="2930" w:type="dxa"/>
          </w:tcPr>
          <w:p w14:paraId="296D00D9" w14:textId="77777777" w:rsidR="004D6020" w:rsidRPr="00E4265B" w:rsidRDefault="004D6020" w:rsidP="004D6020">
            <w:pPr>
              <w:pStyle w:val="A1List"/>
              <w:tabs>
                <w:tab w:val="clear" w:pos="990"/>
              </w:tabs>
              <w:ind w:left="0" w:firstLine="0"/>
              <w:jc w:val="center"/>
              <w:rPr>
                <w:rFonts w:ascii="Arial" w:hAnsi="Arial" w:cs="Arial"/>
                <w:bCs/>
                <w:sz w:val="22"/>
                <w:szCs w:val="22"/>
                <w:lang w:val="en-GB"/>
              </w:rPr>
            </w:pPr>
            <w:r w:rsidRPr="00E4265B">
              <w:rPr>
                <w:rFonts w:ascii="Arial" w:hAnsi="Arial" w:cs="Arial"/>
                <w:bCs/>
                <w:sz w:val="22"/>
                <w:szCs w:val="22"/>
                <w:lang w:val="en-GB"/>
              </w:rPr>
              <w:t>-1</w:t>
            </w:r>
          </w:p>
        </w:tc>
      </w:tr>
    </w:tbl>
    <w:p w14:paraId="3558E799" w14:textId="77777777" w:rsidR="004D6020" w:rsidRPr="00E4265B" w:rsidRDefault="004D6020" w:rsidP="004D6020">
      <w:pPr>
        <w:pStyle w:val="A1List"/>
        <w:ind w:left="1984"/>
        <w:rPr>
          <w:rFonts w:ascii="Arial" w:hAnsi="Arial" w:cs="Arial"/>
          <w:bCs/>
          <w:sz w:val="22"/>
          <w:szCs w:val="22"/>
          <w:lang w:val="en-GB"/>
        </w:rPr>
      </w:pPr>
    </w:p>
    <w:tbl>
      <w:tblPr>
        <w:tblStyle w:val="TableGrid"/>
        <w:tblW w:w="0" w:type="auto"/>
        <w:tblInd w:w="1008" w:type="dxa"/>
        <w:tblLook w:val="04A0" w:firstRow="1" w:lastRow="0" w:firstColumn="1" w:lastColumn="0" w:noHBand="0" w:noVBand="1"/>
      </w:tblPr>
      <w:tblGrid>
        <w:gridCol w:w="1275"/>
        <w:gridCol w:w="3367"/>
        <w:gridCol w:w="3367"/>
      </w:tblGrid>
      <w:tr w:rsidR="00453910" w:rsidRPr="00E4265B" w14:paraId="5346D611" w14:textId="77777777" w:rsidTr="003732F6">
        <w:tc>
          <w:tcPr>
            <w:tcW w:w="1383" w:type="dxa"/>
            <w:shd w:val="clear" w:color="auto" w:fill="D9D9D9" w:themeFill="background1" w:themeFillShade="D9"/>
            <w:vAlign w:val="center"/>
          </w:tcPr>
          <w:p w14:paraId="2EB9ABE7" w14:textId="77777777" w:rsidR="004D6020" w:rsidRPr="00E4265B" w:rsidRDefault="004D6020" w:rsidP="003732F6">
            <w:pPr>
              <w:pStyle w:val="A1List"/>
              <w:tabs>
                <w:tab w:val="clear" w:pos="990"/>
              </w:tabs>
              <w:ind w:left="0" w:firstLine="0"/>
              <w:jc w:val="center"/>
              <w:rPr>
                <w:rFonts w:ascii="Arial" w:hAnsi="Arial" w:cs="Arial"/>
                <w:b/>
                <w:i/>
                <w:iCs/>
                <w:sz w:val="22"/>
                <w:szCs w:val="22"/>
                <w:lang w:val="en-GB"/>
              </w:rPr>
            </w:pPr>
            <w:r w:rsidRPr="00E4265B">
              <w:rPr>
                <w:rFonts w:ascii="Arial" w:hAnsi="Arial" w:cs="Arial"/>
                <w:b/>
                <w:i/>
                <w:iCs/>
                <w:sz w:val="22"/>
                <w:szCs w:val="22"/>
                <w:lang w:val="en-GB"/>
              </w:rPr>
              <w:lastRenderedPageBreak/>
              <w:t>δi</w:t>
            </w:r>
          </w:p>
        </w:tc>
        <w:tc>
          <w:tcPr>
            <w:tcW w:w="3426" w:type="dxa"/>
            <w:shd w:val="clear" w:color="auto" w:fill="D9D9D9" w:themeFill="background1" w:themeFillShade="D9"/>
          </w:tcPr>
          <w:p w14:paraId="24049629" w14:textId="77777777" w:rsidR="004D6020" w:rsidRPr="00E4265B" w:rsidRDefault="004D6020" w:rsidP="004D6020">
            <w:pPr>
              <w:pStyle w:val="A1List"/>
              <w:tabs>
                <w:tab w:val="clear" w:pos="990"/>
              </w:tabs>
              <w:ind w:left="0" w:firstLine="0"/>
              <w:jc w:val="center"/>
              <w:rPr>
                <w:rFonts w:ascii="Arial" w:hAnsi="Arial" w:cs="Arial"/>
                <w:b/>
                <w:sz w:val="22"/>
                <w:szCs w:val="22"/>
                <w:lang w:val="en-GB"/>
              </w:rPr>
            </w:pPr>
            <w:r w:rsidRPr="00E4265B">
              <w:rPr>
                <w:rFonts w:ascii="Arial" w:hAnsi="Arial" w:cs="Arial"/>
                <w:b/>
                <w:sz w:val="22"/>
                <w:szCs w:val="22"/>
                <w:lang w:val="en-GB"/>
              </w:rPr>
              <w:t>Bought</w:t>
            </w:r>
          </w:p>
        </w:tc>
        <w:tc>
          <w:tcPr>
            <w:tcW w:w="3426" w:type="dxa"/>
            <w:shd w:val="clear" w:color="auto" w:fill="D9D9D9" w:themeFill="background1" w:themeFillShade="D9"/>
          </w:tcPr>
          <w:p w14:paraId="5F01632E" w14:textId="77777777" w:rsidR="004D6020" w:rsidRPr="00E4265B" w:rsidRDefault="004D6020" w:rsidP="004D6020">
            <w:pPr>
              <w:pStyle w:val="A1List"/>
              <w:tabs>
                <w:tab w:val="clear" w:pos="990"/>
              </w:tabs>
              <w:ind w:left="0" w:firstLine="0"/>
              <w:jc w:val="center"/>
              <w:rPr>
                <w:rFonts w:ascii="Arial" w:hAnsi="Arial" w:cs="Arial"/>
                <w:b/>
                <w:sz w:val="22"/>
                <w:szCs w:val="22"/>
                <w:lang w:val="en-GB"/>
              </w:rPr>
            </w:pPr>
            <w:r w:rsidRPr="00E4265B">
              <w:rPr>
                <w:rFonts w:ascii="Arial" w:hAnsi="Arial" w:cs="Arial"/>
                <w:b/>
                <w:sz w:val="22"/>
                <w:szCs w:val="22"/>
                <w:lang w:val="en-GB"/>
              </w:rPr>
              <w:t>Sold</w:t>
            </w:r>
          </w:p>
        </w:tc>
      </w:tr>
      <w:tr w:rsidR="00453910" w:rsidRPr="00E4265B" w14:paraId="7CE75FF4" w14:textId="77777777" w:rsidTr="00453910">
        <w:tc>
          <w:tcPr>
            <w:tcW w:w="1383" w:type="dxa"/>
          </w:tcPr>
          <w:p w14:paraId="5F8F3BC4" w14:textId="77777777" w:rsidR="004D6020" w:rsidRPr="00E4265B" w:rsidRDefault="004D6020" w:rsidP="00605654">
            <w:pPr>
              <w:pStyle w:val="A1List"/>
              <w:tabs>
                <w:tab w:val="clear" w:pos="990"/>
              </w:tabs>
              <w:ind w:left="0" w:firstLine="0"/>
              <w:rPr>
                <w:rFonts w:ascii="Arial" w:hAnsi="Arial" w:cs="Arial"/>
                <w:bCs/>
                <w:sz w:val="22"/>
                <w:szCs w:val="22"/>
                <w:lang w:val="en-GB"/>
              </w:rPr>
            </w:pPr>
            <w:r w:rsidRPr="00E4265B">
              <w:rPr>
                <w:rFonts w:ascii="Arial" w:hAnsi="Arial" w:cs="Arial"/>
                <w:bCs/>
                <w:sz w:val="22"/>
                <w:szCs w:val="22"/>
                <w:lang w:val="en-GB"/>
              </w:rPr>
              <w:t>Call options</w:t>
            </w:r>
          </w:p>
        </w:tc>
        <w:tc>
          <w:tcPr>
            <w:tcW w:w="3426" w:type="dxa"/>
          </w:tcPr>
          <w:p w14:paraId="14F4B622" w14:textId="77777777" w:rsidR="004D6020" w:rsidRPr="00E4265B" w:rsidRDefault="0075547B" w:rsidP="00453910">
            <w:pPr>
              <w:pStyle w:val="A1List"/>
              <w:tabs>
                <w:tab w:val="clear" w:pos="990"/>
              </w:tabs>
              <w:ind w:left="0" w:firstLine="0"/>
              <w:jc w:val="center"/>
              <w:rPr>
                <w:rFonts w:ascii="Arial" w:hAnsi="Arial" w:cs="Arial"/>
                <w:bCs/>
                <w:sz w:val="22"/>
                <w:szCs w:val="22"/>
                <w:lang w:val="en-GB"/>
              </w:rPr>
            </w:pPr>
            <m:oMathPara>
              <m:oMath>
                <m:r>
                  <w:rPr>
                    <w:rFonts w:ascii="Cambria Math" w:hAnsi="Cambria Math" w:cs="Arial"/>
                    <w:sz w:val="22"/>
                    <w:szCs w:val="22"/>
                    <w:lang w:val="en-GB"/>
                  </w:rPr>
                  <m:t>+</m:t>
                </m:r>
                <m:r>
                  <m:rPr>
                    <m:sty m:val="p"/>
                  </m:rPr>
                  <w:rPr>
                    <w:rFonts w:ascii="Cambria Math" w:hAnsi="Cambria Math" w:cs="Arial"/>
                    <w:sz w:val="22"/>
                    <w:szCs w:val="22"/>
                    <w:lang w:val="en-GB"/>
                  </w:rPr>
                  <m:t>Φ</m:t>
                </m:r>
                <m:d>
                  <m:dPr>
                    <m:ctrlPr>
                      <w:rPr>
                        <w:rFonts w:ascii="Cambria Math" w:hAnsi="Cambria Math" w:cs="Arial"/>
                        <w:bCs/>
                        <w:i/>
                        <w:sz w:val="22"/>
                        <w:szCs w:val="22"/>
                        <w:lang w:val="en-GB"/>
                      </w:rPr>
                    </m:ctrlPr>
                  </m:dPr>
                  <m:e>
                    <m:f>
                      <m:fPr>
                        <m:ctrlPr>
                          <w:rPr>
                            <w:rFonts w:ascii="Cambria Math" w:hAnsi="Cambria Math" w:cs="Arial"/>
                            <w:bCs/>
                            <w:i/>
                            <w:sz w:val="22"/>
                            <w:szCs w:val="22"/>
                            <w:lang w:val="en-GB"/>
                          </w:rPr>
                        </m:ctrlPr>
                      </m:fPr>
                      <m:num>
                        <m:r>
                          <m:rPr>
                            <m:sty m:val="p"/>
                          </m:rPr>
                          <w:rPr>
                            <w:rFonts w:ascii="Cambria Math" w:hAnsi="Cambria Math" w:cs="Arial"/>
                            <w:sz w:val="22"/>
                            <w:szCs w:val="22"/>
                            <w:lang w:val="en-GB"/>
                          </w:rPr>
                          <m:t>l</m:t>
                        </m:r>
                        <m:r>
                          <m:rPr>
                            <m:nor/>
                          </m:rPr>
                          <w:rPr>
                            <w:rFonts w:ascii="Arial" w:hAnsi="Arial" w:cs="Arial"/>
                            <w:bCs/>
                            <w:sz w:val="22"/>
                            <w:szCs w:val="22"/>
                            <w:lang w:val="en-GB"/>
                          </w:rPr>
                          <m:t>n(</m:t>
                        </m:r>
                        <m:sSub>
                          <m:sSubPr>
                            <m:ctrlPr>
                              <w:rPr>
                                <w:rFonts w:ascii="Cambria Math" w:hAnsi="Cambria Math" w:cs="Arial"/>
                                <w:bCs/>
                                <w:i/>
                                <w:sz w:val="22"/>
                                <w:szCs w:val="22"/>
                                <w:lang w:val="en-GB"/>
                              </w:rPr>
                            </m:ctrlPr>
                          </m:sSubPr>
                          <m:e>
                            <m:r>
                              <w:rPr>
                                <w:rFonts w:ascii="Cambria Math" w:hAnsi="Cambria Math" w:cs="Arial"/>
                                <w:sz w:val="22"/>
                                <w:szCs w:val="22"/>
                                <w:lang w:val="en-GB"/>
                              </w:rPr>
                              <m:t>P</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bCs/>
                                <w:i/>
                                <w:sz w:val="22"/>
                                <w:szCs w:val="22"/>
                                <w:lang w:val="en-GB"/>
                              </w:rPr>
                            </m:ctrlPr>
                          </m:sSubPr>
                          <m:e>
                            <m:r>
                              <w:rPr>
                                <w:rFonts w:ascii="Cambria Math" w:hAnsi="Cambria Math" w:cs="Arial"/>
                                <w:sz w:val="22"/>
                                <w:szCs w:val="22"/>
                                <w:lang w:val="en-GB"/>
                              </w:rPr>
                              <m:t>K</m:t>
                            </m:r>
                          </m:e>
                          <m:sub>
                            <m:r>
                              <w:rPr>
                                <w:rFonts w:ascii="Cambria Math" w:hAnsi="Cambria Math" w:cs="Arial"/>
                                <w:sz w:val="22"/>
                                <w:szCs w:val="22"/>
                                <w:lang w:val="en-GB"/>
                              </w:rPr>
                              <m:t>i</m:t>
                            </m:r>
                          </m:sub>
                        </m:sSub>
                        <m:r>
                          <w:rPr>
                            <w:rFonts w:ascii="Cambria Math" w:hAnsi="Cambria Math" w:cs="Arial"/>
                            <w:sz w:val="22"/>
                            <w:szCs w:val="22"/>
                            <w:lang w:val="en-GB"/>
                          </w:rPr>
                          <m:t>)+0.</m:t>
                        </m:r>
                        <m:sSup>
                          <m:sSupPr>
                            <m:ctrlPr>
                              <w:rPr>
                                <w:rFonts w:ascii="Cambria Math" w:hAnsi="Cambria Math" w:cs="Arial"/>
                                <w:bCs/>
                                <w:i/>
                                <w:sz w:val="22"/>
                                <w:szCs w:val="22"/>
                                <w:lang w:val="en-GB"/>
                              </w:rPr>
                            </m:ctrlPr>
                          </m:sSupPr>
                          <m:e>
                            <m:r>
                              <w:rPr>
                                <w:rFonts w:ascii="Cambria Math" w:hAnsi="Cambria Math" w:cs="Arial"/>
                                <w:sz w:val="22"/>
                                <w:szCs w:val="22"/>
                                <w:lang w:val="en-GB"/>
                              </w:rPr>
                              <m:t>5</m:t>
                            </m:r>
                          </m:e>
                          <m:sup>
                            <m:r>
                              <w:rPr>
                                <w:rFonts w:ascii="Cambria Math" w:hAnsi="Cambria Math" w:cs="Arial"/>
                                <w:sz w:val="22"/>
                                <w:szCs w:val="22"/>
                                <w:lang w:val="en-GB"/>
                              </w:rPr>
                              <m:t>*</m:t>
                            </m:r>
                          </m:sup>
                        </m:sSup>
                        <m:sSubSup>
                          <m:sSubSupPr>
                            <m:ctrlPr>
                              <w:rPr>
                                <w:rFonts w:ascii="Cambria Math" w:hAnsi="Cambria Math" w:cs="Arial"/>
                                <w:bCs/>
                                <w:i/>
                                <w:sz w:val="22"/>
                                <w:szCs w:val="22"/>
                                <w:lang w:val="en-GB"/>
                              </w:rPr>
                            </m:ctrlPr>
                          </m:sSubSupPr>
                          <m:e>
                            <m:r>
                              <w:rPr>
                                <w:rFonts w:ascii="Cambria Math" w:hAnsi="Cambria Math" w:cs="Arial"/>
                                <w:sz w:val="22"/>
                                <w:szCs w:val="22"/>
                                <w:lang w:val="en-GB"/>
                              </w:rPr>
                              <m:t>σ</m:t>
                            </m:r>
                          </m:e>
                          <m:sub>
                            <m:r>
                              <w:rPr>
                                <w:rFonts w:ascii="Cambria Math" w:hAnsi="Cambria Math" w:cs="Arial"/>
                                <w:sz w:val="22"/>
                                <w:szCs w:val="22"/>
                                <w:lang w:val="en-GB"/>
                              </w:rPr>
                              <m:t>i</m:t>
                            </m:r>
                          </m:sub>
                          <m:sup>
                            <m:r>
                              <w:rPr>
                                <w:rFonts w:ascii="Cambria Math" w:hAnsi="Cambria Math" w:cs="Arial"/>
                                <w:sz w:val="22"/>
                                <w:szCs w:val="22"/>
                                <w:lang w:val="en-GB"/>
                              </w:rPr>
                              <m:t>2</m:t>
                            </m:r>
                          </m:sup>
                        </m:sSubSup>
                        <m:r>
                          <w:rPr>
                            <w:rFonts w:ascii="Cambria Math" w:hAnsi="Cambria Math" w:cs="Arial"/>
                            <w:sz w:val="22"/>
                            <w:szCs w:val="22"/>
                            <w:lang w:val="en-GB"/>
                          </w:rPr>
                          <m:t>*</m:t>
                        </m:r>
                        <m:sSub>
                          <m:sSubPr>
                            <m:ctrlPr>
                              <w:rPr>
                                <w:rFonts w:ascii="Cambria Math" w:hAnsi="Cambria Math" w:cs="Arial"/>
                                <w:bCs/>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num>
                      <m:den>
                        <m:sSub>
                          <m:sSubPr>
                            <m:ctrlPr>
                              <w:rPr>
                                <w:rFonts w:ascii="Cambria Math" w:hAnsi="Cambria Math" w:cs="Arial"/>
                                <w:bCs/>
                                <w:i/>
                                <w:sz w:val="22"/>
                                <w:szCs w:val="22"/>
                                <w:lang w:val="en-GB"/>
                              </w:rPr>
                            </m:ctrlPr>
                          </m:sSubPr>
                          <m:e>
                            <m:r>
                              <w:rPr>
                                <w:rFonts w:ascii="Cambria Math" w:hAnsi="Cambria Math" w:cs="Arial"/>
                                <w:sz w:val="22"/>
                                <w:szCs w:val="22"/>
                                <w:lang w:val="en-GB"/>
                              </w:rPr>
                              <m:t>σ</m:t>
                            </m:r>
                          </m:e>
                          <m:sub>
                            <m:r>
                              <w:rPr>
                                <w:rFonts w:ascii="Cambria Math" w:hAnsi="Cambria Math" w:cs="Arial"/>
                                <w:sz w:val="22"/>
                                <w:szCs w:val="22"/>
                                <w:lang w:val="en-GB"/>
                              </w:rPr>
                              <m:t>i</m:t>
                            </m:r>
                          </m:sub>
                        </m:sSub>
                        <m:r>
                          <w:rPr>
                            <w:rFonts w:ascii="Cambria Math" w:hAnsi="Cambria Math" w:cs="Arial"/>
                            <w:sz w:val="22"/>
                            <w:szCs w:val="22"/>
                            <w:lang w:val="en-GB"/>
                          </w:rPr>
                          <m:t>*</m:t>
                        </m:r>
                        <m:rad>
                          <m:radPr>
                            <m:degHide m:val="1"/>
                            <m:ctrlPr>
                              <w:rPr>
                                <w:rFonts w:ascii="Cambria Math" w:hAnsi="Cambria Math" w:cs="Arial"/>
                                <w:bCs/>
                                <w:i/>
                                <w:sz w:val="22"/>
                                <w:szCs w:val="22"/>
                                <w:lang w:val="en-GB"/>
                              </w:rPr>
                            </m:ctrlPr>
                          </m:radPr>
                          <m:deg/>
                          <m:e>
                            <m:sSub>
                              <m:sSubPr>
                                <m:ctrlPr>
                                  <w:rPr>
                                    <w:rFonts w:ascii="Cambria Math" w:hAnsi="Cambria Math" w:cs="Arial"/>
                                    <w:bCs/>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e>
                        </m:rad>
                      </m:den>
                    </m:f>
                  </m:e>
                </m:d>
              </m:oMath>
            </m:oMathPara>
          </w:p>
        </w:tc>
        <w:tc>
          <w:tcPr>
            <w:tcW w:w="3426" w:type="dxa"/>
          </w:tcPr>
          <w:p w14:paraId="0AFBE75C" w14:textId="77777777" w:rsidR="004D6020" w:rsidRPr="00E4265B" w:rsidRDefault="00453910" w:rsidP="004D6020">
            <w:pPr>
              <w:pStyle w:val="A1List"/>
              <w:tabs>
                <w:tab w:val="clear" w:pos="990"/>
              </w:tabs>
              <w:ind w:left="0" w:firstLine="0"/>
              <w:jc w:val="center"/>
              <w:rPr>
                <w:rFonts w:ascii="Arial" w:hAnsi="Arial" w:cs="Arial"/>
                <w:bCs/>
                <w:sz w:val="22"/>
                <w:szCs w:val="22"/>
                <w:lang w:val="en-GB"/>
              </w:rPr>
            </w:pPr>
            <m:oMathPara>
              <m:oMath>
                <m:r>
                  <w:rPr>
                    <w:rFonts w:ascii="Cambria Math" w:hAnsi="Cambria Math" w:cs="Arial"/>
                    <w:sz w:val="22"/>
                    <w:szCs w:val="22"/>
                    <w:lang w:val="en-GB"/>
                  </w:rPr>
                  <m:t>-</m:t>
                </m:r>
                <m:r>
                  <m:rPr>
                    <m:sty m:val="p"/>
                  </m:rPr>
                  <w:rPr>
                    <w:rFonts w:ascii="Cambria Math" w:hAnsi="Cambria Math" w:cs="Arial"/>
                    <w:sz w:val="22"/>
                    <w:szCs w:val="22"/>
                    <w:lang w:val="en-GB"/>
                  </w:rPr>
                  <m:t>Φ</m:t>
                </m:r>
                <m:d>
                  <m:dPr>
                    <m:ctrlPr>
                      <w:rPr>
                        <w:rFonts w:ascii="Cambria Math" w:hAnsi="Cambria Math" w:cs="Arial"/>
                        <w:bCs/>
                        <w:i/>
                        <w:sz w:val="22"/>
                        <w:szCs w:val="22"/>
                        <w:lang w:val="en-GB"/>
                      </w:rPr>
                    </m:ctrlPr>
                  </m:dPr>
                  <m:e>
                    <m:f>
                      <m:fPr>
                        <m:ctrlPr>
                          <w:rPr>
                            <w:rFonts w:ascii="Cambria Math" w:hAnsi="Cambria Math" w:cs="Arial"/>
                            <w:bCs/>
                            <w:i/>
                            <w:sz w:val="22"/>
                            <w:szCs w:val="22"/>
                            <w:lang w:val="en-GB"/>
                          </w:rPr>
                        </m:ctrlPr>
                      </m:fPr>
                      <m:num>
                        <m:r>
                          <m:rPr>
                            <m:sty m:val="p"/>
                          </m:rPr>
                          <w:rPr>
                            <w:rFonts w:ascii="Cambria Math" w:hAnsi="Cambria Math" w:cs="Arial"/>
                            <w:sz w:val="22"/>
                            <w:szCs w:val="22"/>
                            <w:lang w:val="en-GB"/>
                          </w:rPr>
                          <m:t>l</m:t>
                        </m:r>
                        <m:r>
                          <m:rPr>
                            <m:nor/>
                          </m:rPr>
                          <w:rPr>
                            <w:rFonts w:ascii="Arial" w:hAnsi="Arial" w:cs="Arial"/>
                            <w:bCs/>
                            <w:sz w:val="22"/>
                            <w:szCs w:val="22"/>
                            <w:lang w:val="en-GB"/>
                          </w:rPr>
                          <m:t>n(</m:t>
                        </m:r>
                        <m:sSub>
                          <m:sSubPr>
                            <m:ctrlPr>
                              <w:rPr>
                                <w:rFonts w:ascii="Cambria Math" w:hAnsi="Cambria Math" w:cs="Arial"/>
                                <w:bCs/>
                                <w:i/>
                                <w:sz w:val="22"/>
                                <w:szCs w:val="22"/>
                                <w:lang w:val="en-GB"/>
                              </w:rPr>
                            </m:ctrlPr>
                          </m:sSubPr>
                          <m:e>
                            <m:r>
                              <w:rPr>
                                <w:rFonts w:ascii="Cambria Math" w:hAnsi="Cambria Math" w:cs="Arial"/>
                                <w:sz w:val="22"/>
                                <w:szCs w:val="22"/>
                                <w:lang w:val="en-GB"/>
                              </w:rPr>
                              <m:t>P</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bCs/>
                                <w:i/>
                                <w:sz w:val="22"/>
                                <w:szCs w:val="22"/>
                                <w:lang w:val="en-GB"/>
                              </w:rPr>
                            </m:ctrlPr>
                          </m:sSubPr>
                          <m:e>
                            <m:r>
                              <w:rPr>
                                <w:rFonts w:ascii="Cambria Math" w:hAnsi="Cambria Math" w:cs="Arial"/>
                                <w:sz w:val="22"/>
                                <w:szCs w:val="22"/>
                                <w:lang w:val="en-GB"/>
                              </w:rPr>
                              <m:t>K</m:t>
                            </m:r>
                          </m:e>
                          <m:sub>
                            <m:r>
                              <w:rPr>
                                <w:rFonts w:ascii="Cambria Math" w:hAnsi="Cambria Math" w:cs="Arial"/>
                                <w:sz w:val="22"/>
                                <w:szCs w:val="22"/>
                                <w:lang w:val="en-GB"/>
                              </w:rPr>
                              <m:t>i</m:t>
                            </m:r>
                          </m:sub>
                        </m:sSub>
                        <m:r>
                          <w:rPr>
                            <w:rFonts w:ascii="Cambria Math" w:hAnsi="Cambria Math" w:cs="Arial"/>
                            <w:sz w:val="22"/>
                            <w:szCs w:val="22"/>
                            <w:lang w:val="en-GB"/>
                          </w:rPr>
                          <m:t>)+0.</m:t>
                        </m:r>
                        <m:sSup>
                          <m:sSupPr>
                            <m:ctrlPr>
                              <w:rPr>
                                <w:rFonts w:ascii="Cambria Math" w:hAnsi="Cambria Math" w:cs="Arial"/>
                                <w:bCs/>
                                <w:i/>
                                <w:sz w:val="22"/>
                                <w:szCs w:val="22"/>
                                <w:lang w:val="en-GB"/>
                              </w:rPr>
                            </m:ctrlPr>
                          </m:sSupPr>
                          <m:e>
                            <m:r>
                              <w:rPr>
                                <w:rFonts w:ascii="Cambria Math" w:hAnsi="Cambria Math" w:cs="Arial"/>
                                <w:sz w:val="22"/>
                                <w:szCs w:val="22"/>
                                <w:lang w:val="en-GB"/>
                              </w:rPr>
                              <m:t>5</m:t>
                            </m:r>
                          </m:e>
                          <m:sup>
                            <m:r>
                              <w:rPr>
                                <w:rFonts w:ascii="Cambria Math" w:hAnsi="Cambria Math" w:cs="Arial"/>
                                <w:sz w:val="22"/>
                                <w:szCs w:val="22"/>
                                <w:lang w:val="en-GB"/>
                              </w:rPr>
                              <m:t>*</m:t>
                            </m:r>
                          </m:sup>
                        </m:sSup>
                        <m:sSubSup>
                          <m:sSubSupPr>
                            <m:ctrlPr>
                              <w:rPr>
                                <w:rFonts w:ascii="Cambria Math" w:hAnsi="Cambria Math" w:cs="Arial"/>
                                <w:bCs/>
                                <w:i/>
                                <w:sz w:val="22"/>
                                <w:szCs w:val="22"/>
                                <w:lang w:val="en-GB"/>
                              </w:rPr>
                            </m:ctrlPr>
                          </m:sSubSupPr>
                          <m:e>
                            <m:r>
                              <w:rPr>
                                <w:rFonts w:ascii="Cambria Math" w:hAnsi="Cambria Math" w:cs="Arial"/>
                                <w:sz w:val="22"/>
                                <w:szCs w:val="22"/>
                                <w:lang w:val="en-GB"/>
                              </w:rPr>
                              <m:t>σ</m:t>
                            </m:r>
                          </m:e>
                          <m:sub>
                            <m:r>
                              <w:rPr>
                                <w:rFonts w:ascii="Cambria Math" w:hAnsi="Cambria Math" w:cs="Arial"/>
                                <w:sz w:val="22"/>
                                <w:szCs w:val="22"/>
                                <w:lang w:val="en-GB"/>
                              </w:rPr>
                              <m:t>i</m:t>
                            </m:r>
                          </m:sub>
                          <m:sup>
                            <m:r>
                              <w:rPr>
                                <w:rFonts w:ascii="Cambria Math" w:hAnsi="Cambria Math" w:cs="Arial"/>
                                <w:sz w:val="22"/>
                                <w:szCs w:val="22"/>
                                <w:lang w:val="en-GB"/>
                              </w:rPr>
                              <m:t>2</m:t>
                            </m:r>
                          </m:sup>
                        </m:sSubSup>
                        <m:r>
                          <w:rPr>
                            <w:rFonts w:ascii="Cambria Math" w:hAnsi="Cambria Math" w:cs="Arial"/>
                            <w:sz w:val="22"/>
                            <w:szCs w:val="22"/>
                            <w:lang w:val="en-GB"/>
                          </w:rPr>
                          <m:t>*</m:t>
                        </m:r>
                        <m:sSub>
                          <m:sSubPr>
                            <m:ctrlPr>
                              <w:rPr>
                                <w:rFonts w:ascii="Cambria Math" w:hAnsi="Cambria Math" w:cs="Arial"/>
                                <w:bCs/>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num>
                      <m:den>
                        <m:sSub>
                          <m:sSubPr>
                            <m:ctrlPr>
                              <w:rPr>
                                <w:rFonts w:ascii="Cambria Math" w:hAnsi="Cambria Math" w:cs="Arial"/>
                                <w:bCs/>
                                <w:i/>
                                <w:sz w:val="22"/>
                                <w:szCs w:val="22"/>
                                <w:lang w:val="en-GB"/>
                              </w:rPr>
                            </m:ctrlPr>
                          </m:sSubPr>
                          <m:e>
                            <m:r>
                              <w:rPr>
                                <w:rFonts w:ascii="Cambria Math" w:hAnsi="Cambria Math" w:cs="Arial"/>
                                <w:sz w:val="22"/>
                                <w:szCs w:val="22"/>
                                <w:lang w:val="en-GB"/>
                              </w:rPr>
                              <m:t>σ</m:t>
                            </m:r>
                          </m:e>
                          <m:sub>
                            <m:r>
                              <w:rPr>
                                <w:rFonts w:ascii="Cambria Math" w:hAnsi="Cambria Math" w:cs="Arial"/>
                                <w:sz w:val="22"/>
                                <w:szCs w:val="22"/>
                                <w:lang w:val="en-GB"/>
                              </w:rPr>
                              <m:t>i</m:t>
                            </m:r>
                          </m:sub>
                        </m:sSub>
                        <m:r>
                          <w:rPr>
                            <w:rFonts w:ascii="Cambria Math" w:hAnsi="Cambria Math" w:cs="Arial"/>
                            <w:sz w:val="22"/>
                            <w:szCs w:val="22"/>
                            <w:lang w:val="en-GB"/>
                          </w:rPr>
                          <m:t>*</m:t>
                        </m:r>
                        <m:rad>
                          <m:radPr>
                            <m:degHide m:val="1"/>
                            <m:ctrlPr>
                              <w:rPr>
                                <w:rFonts w:ascii="Cambria Math" w:hAnsi="Cambria Math" w:cs="Arial"/>
                                <w:bCs/>
                                <w:i/>
                                <w:sz w:val="22"/>
                                <w:szCs w:val="22"/>
                                <w:lang w:val="en-GB"/>
                              </w:rPr>
                            </m:ctrlPr>
                          </m:radPr>
                          <m:deg/>
                          <m:e>
                            <m:sSub>
                              <m:sSubPr>
                                <m:ctrlPr>
                                  <w:rPr>
                                    <w:rFonts w:ascii="Cambria Math" w:hAnsi="Cambria Math" w:cs="Arial"/>
                                    <w:bCs/>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e>
                        </m:rad>
                      </m:den>
                    </m:f>
                  </m:e>
                </m:d>
              </m:oMath>
            </m:oMathPara>
          </w:p>
        </w:tc>
      </w:tr>
      <w:tr w:rsidR="004D6020" w:rsidRPr="00E4265B" w14:paraId="75347E5B" w14:textId="77777777" w:rsidTr="00453910">
        <w:tc>
          <w:tcPr>
            <w:tcW w:w="1383" w:type="dxa"/>
          </w:tcPr>
          <w:p w14:paraId="535901EF" w14:textId="77777777" w:rsidR="004D6020" w:rsidRPr="00E4265B" w:rsidRDefault="004D6020" w:rsidP="00605654">
            <w:pPr>
              <w:pStyle w:val="A1List"/>
              <w:tabs>
                <w:tab w:val="clear" w:pos="990"/>
              </w:tabs>
              <w:ind w:left="0" w:firstLine="0"/>
              <w:rPr>
                <w:rFonts w:ascii="Arial" w:hAnsi="Arial" w:cs="Arial"/>
                <w:bCs/>
                <w:sz w:val="22"/>
                <w:szCs w:val="22"/>
                <w:lang w:val="en-GB"/>
              </w:rPr>
            </w:pPr>
            <w:r w:rsidRPr="00E4265B">
              <w:rPr>
                <w:rFonts w:ascii="Arial" w:hAnsi="Arial" w:cs="Arial"/>
                <w:bCs/>
                <w:sz w:val="22"/>
                <w:szCs w:val="22"/>
                <w:lang w:val="en-GB"/>
              </w:rPr>
              <w:t>Put options</w:t>
            </w:r>
          </w:p>
        </w:tc>
        <w:tc>
          <w:tcPr>
            <w:tcW w:w="3426" w:type="dxa"/>
          </w:tcPr>
          <w:p w14:paraId="18AC160D" w14:textId="77777777" w:rsidR="004D6020" w:rsidRPr="00E4265B" w:rsidRDefault="00453910" w:rsidP="0075547B">
            <w:pPr>
              <w:pStyle w:val="A1List"/>
              <w:tabs>
                <w:tab w:val="clear" w:pos="990"/>
              </w:tabs>
              <w:ind w:left="0" w:firstLine="0"/>
              <w:jc w:val="center"/>
              <w:rPr>
                <w:rFonts w:ascii="Arial" w:hAnsi="Arial" w:cs="Arial"/>
                <w:bCs/>
                <w:sz w:val="22"/>
                <w:szCs w:val="22"/>
                <w:lang w:val="en-GB"/>
              </w:rPr>
            </w:pPr>
            <m:oMathPara>
              <m:oMath>
                <m:r>
                  <w:rPr>
                    <w:rFonts w:ascii="Cambria Math" w:hAnsi="Cambria Math" w:cs="Arial"/>
                    <w:sz w:val="22"/>
                    <w:szCs w:val="22"/>
                    <w:lang w:val="en-GB"/>
                  </w:rPr>
                  <m:t>-</m:t>
                </m:r>
                <m:r>
                  <m:rPr>
                    <m:sty m:val="p"/>
                  </m:rPr>
                  <w:rPr>
                    <w:rFonts w:ascii="Cambria Math" w:hAnsi="Cambria Math" w:cs="Arial"/>
                    <w:sz w:val="22"/>
                    <w:szCs w:val="22"/>
                    <w:lang w:val="en-GB"/>
                  </w:rPr>
                  <m:t>Φ</m:t>
                </m:r>
                <m:d>
                  <m:dPr>
                    <m:ctrlPr>
                      <w:rPr>
                        <w:rFonts w:ascii="Cambria Math" w:hAnsi="Cambria Math" w:cs="Arial"/>
                        <w:bCs/>
                        <w:i/>
                        <w:sz w:val="22"/>
                        <w:szCs w:val="22"/>
                        <w:lang w:val="en-GB"/>
                      </w:rPr>
                    </m:ctrlPr>
                  </m:dPr>
                  <m:e>
                    <m:r>
                      <w:rPr>
                        <w:rFonts w:ascii="Cambria Math" w:hAnsi="Cambria Math" w:cs="Arial"/>
                        <w:sz w:val="22"/>
                        <w:szCs w:val="22"/>
                        <w:lang w:val="en-GB"/>
                      </w:rPr>
                      <m:t>-</m:t>
                    </m:r>
                    <m:f>
                      <m:fPr>
                        <m:ctrlPr>
                          <w:rPr>
                            <w:rFonts w:ascii="Cambria Math" w:hAnsi="Cambria Math" w:cs="Arial"/>
                            <w:bCs/>
                            <w:i/>
                            <w:sz w:val="22"/>
                            <w:szCs w:val="22"/>
                            <w:lang w:val="en-GB"/>
                          </w:rPr>
                        </m:ctrlPr>
                      </m:fPr>
                      <m:num>
                        <m:r>
                          <m:rPr>
                            <m:nor/>
                          </m:rPr>
                          <w:rPr>
                            <w:rFonts w:ascii="Arial" w:hAnsi="Arial" w:cs="Arial"/>
                            <w:bCs/>
                            <w:sz w:val="22"/>
                            <w:szCs w:val="22"/>
                            <w:lang w:val="en-GB"/>
                          </w:rPr>
                          <m:t>ln(</m:t>
                        </m:r>
                        <m:sSub>
                          <m:sSubPr>
                            <m:ctrlPr>
                              <w:rPr>
                                <w:rFonts w:ascii="Cambria Math" w:hAnsi="Cambria Math" w:cs="Arial"/>
                                <w:bCs/>
                                <w:i/>
                                <w:sz w:val="22"/>
                                <w:szCs w:val="22"/>
                                <w:lang w:val="en-GB"/>
                              </w:rPr>
                            </m:ctrlPr>
                          </m:sSubPr>
                          <m:e>
                            <m:r>
                              <w:rPr>
                                <w:rFonts w:ascii="Cambria Math" w:hAnsi="Cambria Math" w:cs="Arial"/>
                                <w:sz w:val="22"/>
                                <w:szCs w:val="22"/>
                                <w:lang w:val="en-GB"/>
                              </w:rPr>
                              <m:t>P</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bCs/>
                                <w:i/>
                                <w:sz w:val="22"/>
                                <w:szCs w:val="22"/>
                                <w:lang w:val="en-GB"/>
                              </w:rPr>
                            </m:ctrlPr>
                          </m:sSubPr>
                          <m:e>
                            <m:r>
                              <w:rPr>
                                <w:rFonts w:ascii="Cambria Math" w:hAnsi="Cambria Math" w:cs="Arial"/>
                                <w:sz w:val="22"/>
                                <w:szCs w:val="22"/>
                                <w:lang w:val="en-GB"/>
                              </w:rPr>
                              <m:t>K</m:t>
                            </m:r>
                          </m:e>
                          <m:sub>
                            <m:r>
                              <w:rPr>
                                <w:rFonts w:ascii="Cambria Math" w:hAnsi="Cambria Math" w:cs="Arial"/>
                                <w:sz w:val="22"/>
                                <w:szCs w:val="22"/>
                                <w:lang w:val="en-GB"/>
                              </w:rPr>
                              <m:t>i</m:t>
                            </m:r>
                          </m:sub>
                        </m:sSub>
                        <m:r>
                          <w:rPr>
                            <w:rFonts w:ascii="Cambria Math" w:hAnsi="Cambria Math" w:cs="Arial"/>
                            <w:sz w:val="22"/>
                            <w:szCs w:val="22"/>
                            <w:lang w:val="en-GB"/>
                          </w:rPr>
                          <m:t>)+0.</m:t>
                        </m:r>
                        <m:sSup>
                          <m:sSupPr>
                            <m:ctrlPr>
                              <w:rPr>
                                <w:rFonts w:ascii="Cambria Math" w:hAnsi="Cambria Math" w:cs="Arial"/>
                                <w:bCs/>
                                <w:i/>
                                <w:sz w:val="22"/>
                                <w:szCs w:val="22"/>
                                <w:lang w:val="en-GB"/>
                              </w:rPr>
                            </m:ctrlPr>
                          </m:sSupPr>
                          <m:e>
                            <m:r>
                              <w:rPr>
                                <w:rFonts w:ascii="Cambria Math" w:hAnsi="Cambria Math" w:cs="Arial"/>
                                <w:sz w:val="22"/>
                                <w:szCs w:val="22"/>
                                <w:lang w:val="en-GB"/>
                              </w:rPr>
                              <m:t>5</m:t>
                            </m:r>
                          </m:e>
                          <m:sup>
                            <m:r>
                              <w:rPr>
                                <w:rFonts w:ascii="Cambria Math" w:hAnsi="Cambria Math" w:cs="Arial"/>
                                <w:sz w:val="22"/>
                                <w:szCs w:val="22"/>
                                <w:lang w:val="en-GB"/>
                              </w:rPr>
                              <m:t>*</m:t>
                            </m:r>
                          </m:sup>
                        </m:sSup>
                        <m:sSubSup>
                          <m:sSubSupPr>
                            <m:ctrlPr>
                              <w:rPr>
                                <w:rFonts w:ascii="Cambria Math" w:hAnsi="Cambria Math" w:cs="Arial"/>
                                <w:bCs/>
                                <w:i/>
                                <w:sz w:val="22"/>
                                <w:szCs w:val="22"/>
                                <w:lang w:val="en-GB"/>
                              </w:rPr>
                            </m:ctrlPr>
                          </m:sSubSupPr>
                          <m:e>
                            <m:r>
                              <w:rPr>
                                <w:rFonts w:ascii="Cambria Math" w:hAnsi="Cambria Math" w:cs="Arial"/>
                                <w:sz w:val="22"/>
                                <w:szCs w:val="22"/>
                                <w:lang w:val="en-GB"/>
                              </w:rPr>
                              <m:t>σ</m:t>
                            </m:r>
                          </m:e>
                          <m:sub>
                            <m:r>
                              <w:rPr>
                                <w:rFonts w:ascii="Cambria Math" w:hAnsi="Cambria Math" w:cs="Arial"/>
                                <w:sz w:val="22"/>
                                <w:szCs w:val="22"/>
                                <w:lang w:val="en-GB"/>
                              </w:rPr>
                              <m:t>i</m:t>
                            </m:r>
                          </m:sub>
                          <m:sup>
                            <m:r>
                              <w:rPr>
                                <w:rFonts w:ascii="Cambria Math" w:hAnsi="Cambria Math" w:cs="Arial"/>
                                <w:sz w:val="22"/>
                                <w:szCs w:val="22"/>
                                <w:lang w:val="en-GB"/>
                              </w:rPr>
                              <m:t>2</m:t>
                            </m:r>
                          </m:sup>
                        </m:sSubSup>
                        <m:r>
                          <w:rPr>
                            <w:rFonts w:ascii="Cambria Math" w:hAnsi="Cambria Math" w:cs="Arial"/>
                            <w:sz w:val="22"/>
                            <w:szCs w:val="22"/>
                            <w:lang w:val="en-GB"/>
                          </w:rPr>
                          <m:t>*</m:t>
                        </m:r>
                        <m:sSub>
                          <m:sSubPr>
                            <m:ctrlPr>
                              <w:rPr>
                                <w:rFonts w:ascii="Cambria Math" w:hAnsi="Cambria Math" w:cs="Arial"/>
                                <w:bCs/>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num>
                      <m:den>
                        <m:sSub>
                          <m:sSubPr>
                            <m:ctrlPr>
                              <w:rPr>
                                <w:rFonts w:ascii="Cambria Math" w:hAnsi="Cambria Math" w:cs="Arial"/>
                                <w:bCs/>
                                <w:i/>
                                <w:sz w:val="22"/>
                                <w:szCs w:val="22"/>
                                <w:lang w:val="en-GB"/>
                              </w:rPr>
                            </m:ctrlPr>
                          </m:sSubPr>
                          <m:e>
                            <m:r>
                              <w:rPr>
                                <w:rFonts w:ascii="Cambria Math" w:hAnsi="Cambria Math" w:cs="Arial"/>
                                <w:sz w:val="22"/>
                                <w:szCs w:val="22"/>
                                <w:lang w:val="en-GB"/>
                              </w:rPr>
                              <m:t>σ</m:t>
                            </m:r>
                          </m:e>
                          <m:sub>
                            <m:r>
                              <w:rPr>
                                <w:rFonts w:ascii="Cambria Math" w:hAnsi="Cambria Math" w:cs="Arial"/>
                                <w:sz w:val="22"/>
                                <w:szCs w:val="22"/>
                                <w:lang w:val="en-GB"/>
                              </w:rPr>
                              <m:t>i</m:t>
                            </m:r>
                          </m:sub>
                        </m:sSub>
                        <m:r>
                          <w:rPr>
                            <w:rFonts w:ascii="Cambria Math" w:hAnsi="Cambria Math" w:cs="Arial"/>
                            <w:sz w:val="22"/>
                            <w:szCs w:val="22"/>
                            <w:lang w:val="en-GB"/>
                          </w:rPr>
                          <m:t>*</m:t>
                        </m:r>
                        <m:rad>
                          <m:radPr>
                            <m:degHide m:val="1"/>
                            <m:ctrlPr>
                              <w:rPr>
                                <w:rFonts w:ascii="Cambria Math" w:hAnsi="Cambria Math" w:cs="Arial"/>
                                <w:bCs/>
                                <w:i/>
                                <w:sz w:val="22"/>
                                <w:szCs w:val="22"/>
                                <w:lang w:val="en-GB"/>
                              </w:rPr>
                            </m:ctrlPr>
                          </m:radPr>
                          <m:deg/>
                          <m:e>
                            <m:sSub>
                              <m:sSubPr>
                                <m:ctrlPr>
                                  <w:rPr>
                                    <w:rFonts w:ascii="Cambria Math" w:hAnsi="Cambria Math" w:cs="Arial"/>
                                    <w:bCs/>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e>
                        </m:rad>
                      </m:den>
                    </m:f>
                  </m:e>
                </m:d>
              </m:oMath>
            </m:oMathPara>
          </w:p>
        </w:tc>
        <w:tc>
          <w:tcPr>
            <w:tcW w:w="3426" w:type="dxa"/>
          </w:tcPr>
          <w:p w14:paraId="1CD6BD9A" w14:textId="77777777" w:rsidR="004D6020" w:rsidRPr="00E4265B" w:rsidRDefault="00453910" w:rsidP="0075547B">
            <w:pPr>
              <w:pStyle w:val="A1List"/>
              <w:tabs>
                <w:tab w:val="clear" w:pos="990"/>
              </w:tabs>
              <w:ind w:left="0" w:firstLine="0"/>
              <w:jc w:val="center"/>
              <w:rPr>
                <w:rFonts w:ascii="Arial" w:hAnsi="Arial" w:cs="Arial"/>
                <w:bCs/>
                <w:sz w:val="22"/>
                <w:szCs w:val="22"/>
                <w:lang w:val="en-GB"/>
              </w:rPr>
            </w:pPr>
            <m:oMathPara>
              <m:oMath>
                <m:r>
                  <w:rPr>
                    <w:rFonts w:ascii="Cambria Math" w:hAnsi="Cambria Math" w:cs="Arial"/>
                    <w:sz w:val="22"/>
                    <w:szCs w:val="22"/>
                    <w:lang w:val="en-GB"/>
                  </w:rPr>
                  <m:t>+</m:t>
                </m:r>
                <m:r>
                  <m:rPr>
                    <m:sty m:val="p"/>
                  </m:rPr>
                  <w:rPr>
                    <w:rFonts w:ascii="Cambria Math" w:hAnsi="Cambria Math" w:cs="Arial"/>
                    <w:sz w:val="22"/>
                    <w:szCs w:val="22"/>
                    <w:lang w:val="en-GB"/>
                  </w:rPr>
                  <m:t>Φ</m:t>
                </m:r>
                <m:d>
                  <m:dPr>
                    <m:ctrlPr>
                      <w:rPr>
                        <w:rFonts w:ascii="Cambria Math" w:hAnsi="Cambria Math" w:cs="Arial"/>
                        <w:bCs/>
                        <w:i/>
                        <w:sz w:val="22"/>
                        <w:szCs w:val="22"/>
                        <w:lang w:val="en-GB"/>
                      </w:rPr>
                    </m:ctrlPr>
                  </m:dPr>
                  <m:e>
                    <m:r>
                      <w:rPr>
                        <w:rFonts w:ascii="Cambria Math" w:hAnsi="Cambria Math" w:cs="Arial"/>
                        <w:sz w:val="22"/>
                        <w:szCs w:val="22"/>
                        <w:lang w:val="en-GB"/>
                      </w:rPr>
                      <m:t>-</m:t>
                    </m:r>
                    <m:f>
                      <m:fPr>
                        <m:ctrlPr>
                          <w:rPr>
                            <w:rFonts w:ascii="Cambria Math" w:hAnsi="Cambria Math" w:cs="Arial"/>
                            <w:bCs/>
                            <w:i/>
                            <w:sz w:val="22"/>
                            <w:szCs w:val="22"/>
                            <w:lang w:val="en-GB"/>
                          </w:rPr>
                        </m:ctrlPr>
                      </m:fPr>
                      <m:num>
                        <m:r>
                          <m:rPr>
                            <m:nor/>
                          </m:rPr>
                          <w:rPr>
                            <w:rFonts w:ascii="Arial" w:hAnsi="Arial" w:cs="Arial"/>
                            <w:bCs/>
                            <w:sz w:val="22"/>
                            <w:szCs w:val="22"/>
                            <w:lang w:val="en-GB"/>
                          </w:rPr>
                          <m:t>ln(</m:t>
                        </m:r>
                        <m:sSub>
                          <m:sSubPr>
                            <m:ctrlPr>
                              <w:rPr>
                                <w:rFonts w:ascii="Cambria Math" w:hAnsi="Cambria Math" w:cs="Arial"/>
                                <w:bCs/>
                                <w:i/>
                                <w:sz w:val="22"/>
                                <w:szCs w:val="22"/>
                                <w:lang w:val="en-GB"/>
                              </w:rPr>
                            </m:ctrlPr>
                          </m:sSubPr>
                          <m:e>
                            <m:r>
                              <w:rPr>
                                <w:rFonts w:ascii="Cambria Math" w:hAnsi="Cambria Math" w:cs="Arial"/>
                                <w:sz w:val="22"/>
                                <w:szCs w:val="22"/>
                                <w:lang w:val="en-GB"/>
                              </w:rPr>
                              <m:t>P</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bCs/>
                                <w:i/>
                                <w:sz w:val="22"/>
                                <w:szCs w:val="22"/>
                                <w:lang w:val="en-GB"/>
                              </w:rPr>
                            </m:ctrlPr>
                          </m:sSubPr>
                          <m:e>
                            <m:r>
                              <w:rPr>
                                <w:rFonts w:ascii="Cambria Math" w:hAnsi="Cambria Math" w:cs="Arial"/>
                                <w:sz w:val="22"/>
                                <w:szCs w:val="22"/>
                                <w:lang w:val="en-GB"/>
                              </w:rPr>
                              <m:t>K</m:t>
                            </m:r>
                          </m:e>
                          <m:sub>
                            <m:r>
                              <w:rPr>
                                <w:rFonts w:ascii="Cambria Math" w:hAnsi="Cambria Math" w:cs="Arial"/>
                                <w:sz w:val="22"/>
                                <w:szCs w:val="22"/>
                                <w:lang w:val="en-GB"/>
                              </w:rPr>
                              <m:t>i</m:t>
                            </m:r>
                          </m:sub>
                        </m:sSub>
                        <m:r>
                          <w:rPr>
                            <w:rFonts w:ascii="Cambria Math" w:hAnsi="Cambria Math" w:cs="Arial"/>
                            <w:sz w:val="22"/>
                            <w:szCs w:val="22"/>
                            <w:lang w:val="en-GB"/>
                          </w:rPr>
                          <m:t>)+0.</m:t>
                        </m:r>
                        <m:sSup>
                          <m:sSupPr>
                            <m:ctrlPr>
                              <w:rPr>
                                <w:rFonts w:ascii="Cambria Math" w:hAnsi="Cambria Math" w:cs="Arial"/>
                                <w:bCs/>
                                <w:i/>
                                <w:sz w:val="22"/>
                                <w:szCs w:val="22"/>
                                <w:lang w:val="en-GB"/>
                              </w:rPr>
                            </m:ctrlPr>
                          </m:sSupPr>
                          <m:e>
                            <m:r>
                              <w:rPr>
                                <w:rFonts w:ascii="Cambria Math" w:hAnsi="Cambria Math" w:cs="Arial"/>
                                <w:sz w:val="22"/>
                                <w:szCs w:val="22"/>
                                <w:lang w:val="en-GB"/>
                              </w:rPr>
                              <m:t>5</m:t>
                            </m:r>
                          </m:e>
                          <m:sup>
                            <m:r>
                              <w:rPr>
                                <w:rFonts w:ascii="Cambria Math" w:hAnsi="Cambria Math" w:cs="Arial"/>
                                <w:sz w:val="22"/>
                                <w:szCs w:val="22"/>
                                <w:lang w:val="en-GB"/>
                              </w:rPr>
                              <m:t>*</m:t>
                            </m:r>
                          </m:sup>
                        </m:sSup>
                        <m:sSubSup>
                          <m:sSubSupPr>
                            <m:ctrlPr>
                              <w:rPr>
                                <w:rFonts w:ascii="Cambria Math" w:hAnsi="Cambria Math" w:cs="Arial"/>
                                <w:bCs/>
                                <w:i/>
                                <w:sz w:val="22"/>
                                <w:szCs w:val="22"/>
                                <w:lang w:val="en-GB"/>
                              </w:rPr>
                            </m:ctrlPr>
                          </m:sSubSupPr>
                          <m:e>
                            <m:r>
                              <w:rPr>
                                <w:rFonts w:ascii="Cambria Math" w:hAnsi="Cambria Math" w:cs="Arial"/>
                                <w:sz w:val="22"/>
                                <w:szCs w:val="22"/>
                                <w:lang w:val="en-GB"/>
                              </w:rPr>
                              <m:t>σ</m:t>
                            </m:r>
                          </m:e>
                          <m:sub>
                            <m:r>
                              <w:rPr>
                                <w:rFonts w:ascii="Cambria Math" w:hAnsi="Cambria Math" w:cs="Arial"/>
                                <w:sz w:val="22"/>
                                <w:szCs w:val="22"/>
                                <w:lang w:val="en-GB"/>
                              </w:rPr>
                              <m:t>i</m:t>
                            </m:r>
                          </m:sub>
                          <m:sup>
                            <m:r>
                              <w:rPr>
                                <w:rFonts w:ascii="Cambria Math" w:hAnsi="Cambria Math" w:cs="Arial"/>
                                <w:sz w:val="22"/>
                                <w:szCs w:val="22"/>
                                <w:lang w:val="en-GB"/>
                              </w:rPr>
                              <m:t>2</m:t>
                            </m:r>
                          </m:sup>
                        </m:sSubSup>
                        <m:r>
                          <w:rPr>
                            <w:rFonts w:ascii="Cambria Math" w:hAnsi="Cambria Math" w:cs="Arial"/>
                            <w:sz w:val="22"/>
                            <w:szCs w:val="22"/>
                            <w:lang w:val="en-GB"/>
                          </w:rPr>
                          <m:t>*</m:t>
                        </m:r>
                        <m:sSub>
                          <m:sSubPr>
                            <m:ctrlPr>
                              <w:rPr>
                                <w:rFonts w:ascii="Cambria Math" w:hAnsi="Cambria Math" w:cs="Arial"/>
                                <w:bCs/>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num>
                      <m:den>
                        <m:sSub>
                          <m:sSubPr>
                            <m:ctrlPr>
                              <w:rPr>
                                <w:rFonts w:ascii="Cambria Math" w:hAnsi="Cambria Math" w:cs="Arial"/>
                                <w:bCs/>
                                <w:i/>
                                <w:sz w:val="22"/>
                                <w:szCs w:val="22"/>
                                <w:lang w:val="en-GB"/>
                              </w:rPr>
                            </m:ctrlPr>
                          </m:sSubPr>
                          <m:e>
                            <m:r>
                              <w:rPr>
                                <w:rFonts w:ascii="Cambria Math" w:hAnsi="Cambria Math" w:cs="Arial"/>
                                <w:sz w:val="22"/>
                                <w:szCs w:val="22"/>
                                <w:lang w:val="en-GB"/>
                              </w:rPr>
                              <m:t>σ</m:t>
                            </m:r>
                          </m:e>
                          <m:sub>
                            <m:r>
                              <w:rPr>
                                <w:rFonts w:ascii="Cambria Math" w:hAnsi="Cambria Math" w:cs="Arial"/>
                                <w:sz w:val="22"/>
                                <w:szCs w:val="22"/>
                                <w:lang w:val="en-GB"/>
                              </w:rPr>
                              <m:t>i</m:t>
                            </m:r>
                          </m:sub>
                        </m:sSub>
                        <m:r>
                          <w:rPr>
                            <w:rFonts w:ascii="Cambria Math" w:hAnsi="Cambria Math" w:cs="Arial"/>
                            <w:sz w:val="22"/>
                            <w:szCs w:val="22"/>
                            <w:lang w:val="en-GB"/>
                          </w:rPr>
                          <m:t>*</m:t>
                        </m:r>
                        <m:rad>
                          <m:radPr>
                            <m:degHide m:val="1"/>
                            <m:ctrlPr>
                              <w:rPr>
                                <w:rFonts w:ascii="Cambria Math" w:hAnsi="Cambria Math" w:cs="Arial"/>
                                <w:bCs/>
                                <w:i/>
                                <w:sz w:val="22"/>
                                <w:szCs w:val="22"/>
                                <w:lang w:val="en-GB"/>
                              </w:rPr>
                            </m:ctrlPr>
                          </m:radPr>
                          <m:deg/>
                          <m:e>
                            <m:sSub>
                              <m:sSubPr>
                                <m:ctrlPr>
                                  <w:rPr>
                                    <w:rFonts w:ascii="Cambria Math" w:hAnsi="Cambria Math" w:cs="Arial"/>
                                    <w:bCs/>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e>
                        </m:rad>
                      </m:den>
                    </m:f>
                  </m:e>
                </m:d>
              </m:oMath>
            </m:oMathPara>
          </w:p>
        </w:tc>
      </w:tr>
      <w:tr w:rsidR="00453910" w:rsidRPr="00E4265B" w14:paraId="37F33555" w14:textId="77777777" w:rsidTr="00605654">
        <w:tc>
          <w:tcPr>
            <w:tcW w:w="8235" w:type="dxa"/>
            <w:gridSpan w:val="3"/>
          </w:tcPr>
          <w:p w14:paraId="2EBD7D56" w14:textId="77777777" w:rsidR="00453910" w:rsidRPr="00E4265B" w:rsidRDefault="00453910" w:rsidP="004D6020">
            <w:pPr>
              <w:pStyle w:val="A1List"/>
              <w:rPr>
                <w:rFonts w:ascii="Arial" w:hAnsi="Arial" w:cs="Arial"/>
                <w:bCs/>
                <w:sz w:val="22"/>
                <w:szCs w:val="22"/>
                <w:lang w:val="en-GB"/>
              </w:rPr>
            </w:pPr>
            <w:r w:rsidRPr="00E4265B">
              <w:rPr>
                <w:rFonts w:ascii="Arial" w:hAnsi="Arial" w:cs="Arial"/>
                <w:bCs/>
                <w:sz w:val="22"/>
                <w:szCs w:val="22"/>
                <w:lang w:val="en-GB"/>
              </w:rPr>
              <w:t>With the following parameters:</w:t>
            </w:r>
          </w:p>
          <w:p w14:paraId="367E1380" w14:textId="77777777" w:rsidR="00453910" w:rsidRPr="00E4265B" w:rsidRDefault="00453910" w:rsidP="004D6020">
            <w:pPr>
              <w:pStyle w:val="A1List"/>
              <w:rPr>
                <w:rFonts w:ascii="Arial" w:hAnsi="Arial" w:cs="Arial"/>
                <w:bCs/>
                <w:sz w:val="22"/>
                <w:szCs w:val="22"/>
                <w:lang w:val="en-GB"/>
              </w:rPr>
            </w:pPr>
            <w:r w:rsidRPr="00E4265B">
              <w:rPr>
                <w:rFonts w:ascii="Arial" w:hAnsi="Arial" w:cs="Arial"/>
                <w:bCs/>
                <w:i/>
                <w:iCs/>
                <w:sz w:val="22"/>
                <w:szCs w:val="22"/>
                <w:lang w:val="en-GB"/>
              </w:rPr>
              <w:t>P</w:t>
            </w:r>
            <w:r w:rsidRPr="00E4265B">
              <w:rPr>
                <w:rFonts w:ascii="Arial" w:hAnsi="Arial" w:cs="Arial"/>
                <w:bCs/>
                <w:i/>
                <w:iCs/>
                <w:sz w:val="22"/>
                <w:szCs w:val="22"/>
                <w:vertAlign w:val="subscript"/>
                <w:lang w:val="en-GB"/>
              </w:rPr>
              <w:t>i</w:t>
            </w:r>
            <w:r w:rsidRPr="00E4265B">
              <w:rPr>
                <w:rFonts w:ascii="Arial" w:hAnsi="Arial" w:cs="Arial"/>
                <w:bCs/>
                <w:sz w:val="22"/>
                <w:szCs w:val="22"/>
                <w:lang w:val="en-GB"/>
              </w:rPr>
              <w:t xml:space="preserve"> = underlying price (spot, forward, average etc.)</w:t>
            </w:r>
          </w:p>
          <w:p w14:paraId="1DBEE560" w14:textId="77777777" w:rsidR="00453910" w:rsidRPr="00E4265B" w:rsidRDefault="00453910" w:rsidP="004D6020">
            <w:pPr>
              <w:pStyle w:val="A1List"/>
              <w:rPr>
                <w:rFonts w:ascii="Arial" w:hAnsi="Arial" w:cs="Arial"/>
                <w:bCs/>
                <w:sz w:val="22"/>
                <w:szCs w:val="22"/>
                <w:lang w:val="en-GB"/>
              </w:rPr>
            </w:pPr>
            <w:r w:rsidRPr="00E4265B">
              <w:rPr>
                <w:rFonts w:ascii="Arial" w:hAnsi="Arial" w:cs="Arial"/>
                <w:bCs/>
                <w:i/>
                <w:iCs/>
                <w:sz w:val="22"/>
                <w:szCs w:val="22"/>
                <w:lang w:val="en-GB"/>
              </w:rPr>
              <w:t>K</w:t>
            </w:r>
            <w:r w:rsidRPr="00E4265B">
              <w:rPr>
                <w:rFonts w:ascii="Arial" w:hAnsi="Arial" w:cs="Arial"/>
                <w:bCs/>
                <w:i/>
                <w:iCs/>
                <w:sz w:val="22"/>
                <w:szCs w:val="22"/>
                <w:vertAlign w:val="subscript"/>
                <w:lang w:val="en-GB"/>
              </w:rPr>
              <w:t>i</w:t>
            </w:r>
            <w:r w:rsidRPr="00E4265B">
              <w:rPr>
                <w:rFonts w:ascii="Arial" w:hAnsi="Arial" w:cs="Arial"/>
                <w:bCs/>
                <w:sz w:val="22"/>
                <w:szCs w:val="22"/>
                <w:lang w:val="en-GB"/>
              </w:rPr>
              <w:t xml:space="preserve"> = strike price</w:t>
            </w:r>
          </w:p>
          <w:p w14:paraId="3F725F7A" w14:textId="77777777" w:rsidR="00453910" w:rsidRPr="00E4265B" w:rsidRDefault="00453910" w:rsidP="004D6020">
            <w:pPr>
              <w:pStyle w:val="A1List"/>
              <w:rPr>
                <w:rFonts w:ascii="Arial" w:hAnsi="Arial" w:cs="Arial"/>
                <w:bCs/>
                <w:sz w:val="22"/>
                <w:szCs w:val="22"/>
                <w:lang w:val="en-GB"/>
              </w:rPr>
            </w:pPr>
            <w:r w:rsidRPr="00E4265B">
              <w:rPr>
                <w:rFonts w:ascii="Arial" w:hAnsi="Arial" w:cs="Arial"/>
                <w:bCs/>
                <w:i/>
                <w:iCs/>
                <w:sz w:val="22"/>
                <w:szCs w:val="22"/>
                <w:lang w:val="en-GB"/>
              </w:rPr>
              <w:t>T</w:t>
            </w:r>
            <w:r w:rsidRPr="00E4265B">
              <w:rPr>
                <w:rFonts w:ascii="Arial" w:hAnsi="Arial" w:cs="Arial"/>
                <w:bCs/>
                <w:i/>
                <w:iCs/>
                <w:sz w:val="22"/>
                <w:szCs w:val="22"/>
                <w:vertAlign w:val="subscript"/>
                <w:lang w:val="en-GB"/>
              </w:rPr>
              <w:t>i</w:t>
            </w:r>
            <w:r w:rsidRPr="00E4265B">
              <w:rPr>
                <w:rFonts w:ascii="Arial" w:hAnsi="Arial" w:cs="Arial"/>
                <w:bCs/>
                <w:sz w:val="22"/>
                <w:szCs w:val="22"/>
                <w:lang w:val="en-GB"/>
              </w:rPr>
              <w:t xml:space="preserve"> = latest contractual exercise date of the option </w:t>
            </w:r>
          </w:p>
          <w:p w14:paraId="21C5AFBA" w14:textId="5D26D84D" w:rsidR="00453910" w:rsidRPr="00E4265B" w:rsidRDefault="00CE77CD" w:rsidP="00453910">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The supervisory volatility σ</w:t>
            </w:r>
            <w:r w:rsidRPr="00E4265B">
              <w:rPr>
                <w:rFonts w:ascii="Arial" w:hAnsi="Arial" w:cs="Arial"/>
                <w:bCs/>
                <w:sz w:val="22"/>
                <w:szCs w:val="22"/>
                <w:vertAlign w:val="subscript"/>
                <w:lang w:val="en-GB"/>
              </w:rPr>
              <w:t>i</w:t>
            </w:r>
            <w:r w:rsidR="00453910" w:rsidRPr="00E4265B">
              <w:rPr>
                <w:rFonts w:ascii="Arial" w:hAnsi="Arial" w:cs="Arial"/>
                <w:bCs/>
                <w:sz w:val="22"/>
                <w:szCs w:val="22"/>
                <w:lang w:val="en-GB"/>
              </w:rPr>
              <w:t xml:space="preserve"> </w:t>
            </w:r>
            <w:r w:rsidRPr="00E4265B">
              <w:rPr>
                <w:rFonts w:ascii="Arial" w:hAnsi="Arial" w:cs="Arial"/>
                <w:bCs/>
                <w:sz w:val="22"/>
                <w:szCs w:val="22"/>
                <w:lang w:val="en-GB"/>
              </w:rPr>
              <w:t xml:space="preserve">of an option is specified on the basis of </w:t>
            </w:r>
            <w:r w:rsidR="00453910" w:rsidRPr="00E4265B">
              <w:rPr>
                <w:rFonts w:ascii="Arial" w:hAnsi="Arial" w:cs="Arial"/>
                <w:bCs/>
                <w:sz w:val="22"/>
                <w:szCs w:val="22"/>
                <w:lang w:val="en-GB"/>
              </w:rPr>
              <w:t>the supervisory factor applicable to the trade in accordance with the table set out in A4.6.34</w:t>
            </w:r>
            <w:r w:rsidR="00343B7B" w:rsidRPr="00E4265B">
              <w:rPr>
                <w:rFonts w:ascii="Arial" w:hAnsi="Arial" w:cs="Arial"/>
                <w:bCs/>
                <w:sz w:val="22"/>
                <w:szCs w:val="22"/>
                <w:lang w:val="en-GB"/>
              </w:rPr>
              <w:t>.</w:t>
            </w:r>
          </w:p>
        </w:tc>
      </w:tr>
    </w:tbl>
    <w:p w14:paraId="0851D1A7" w14:textId="77777777" w:rsidR="004D6020" w:rsidRPr="00E4265B" w:rsidRDefault="004D6020" w:rsidP="004D6020">
      <w:pPr>
        <w:pStyle w:val="A1List"/>
        <w:ind w:left="1984"/>
        <w:rPr>
          <w:rFonts w:ascii="Arial" w:hAnsi="Arial" w:cs="Arial"/>
          <w:bCs/>
          <w:sz w:val="22"/>
          <w:szCs w:val="22"/>
          <w:lang w:val="en-GB"/>
        </w:rPr>
      </w:pPr>
    </w:p>
    <w:tbl>
      <w:tblPr>
        <w:tblStyle w:val="TableGrid"/>
        <w:tblW w:w="0" w:type="auto"/>
        <w:tblInd w:w="1008" w:type="dxa"/>
        <w:tblLook w:val="04A0" w:firstRow="1" w:lastRow="0" w:firstColumn="1" w:lastColumn="0" w:noHBand="0" w:noVBand="1"/>
      </w:tblPr>
      <w:tblGrid>
        <w:gridCol w:w="1213"/>
        <w:gridCol w:w="3398"/>
        <w:gridCol w:w="3398"/>
      </w:tblGrid>
      <w:tr w:rsidR="00224455" w:rsidRPr="00E4265B" w14:paraId="2A643698" w14:textId="77777777" w:rsidTr="003732F6">
        <w:tc>
          <w:tcPr>
            <w:tcW w:w="1239" w:type="dxa"/>
            <w:shd w:val="clear" w:color="auto" w:fill="D9D9D9" w:themeFill="background1" w:themeFillShade="D9"/>
            <w:vAlign w:val="center"/>
          </w:tcPr>
          <w:p w14:paraId="51D0D1C5" w14:textId="77777777" w:rsidR="00224455" w:rsidRPr="00E4265B" w:rsidRDefault="00224455" w:rsidP="003732F6">
            <w:pPr>
              <w:pStyle w:val="A1List"/>
              <w:tabs>
                <w:tab w:val="clear" w:pos="990"/>
              </w:tabs>
              <w:ind w:left="0" w:firstLine="0"/>
              <w:jc w:val="center"/>
              <w:rPr>
                <w:rFonts w:ascii="Arial" w:hAnsi="Arial" w:cs="Arial"/>
                <w:b/>
                <w:i/>
                <w:iCs/>
                <w:sz w:val="22"/>
                <w:szCs w:val="22"/>
                <w:lang w:val="en-GB"/>
              </w:rPr>
            </w:pPr>
            <w:r w:rsidRPr="00E4265B">
              <w:rPr>
                <w:rFonts w:ascii="Arial" w:hAnsi="Arial" w:cs="Arial"/>
                <w:b/>
                <w:i/>
                <w:iCs/>
                <w:sz w:val="22"/>
                <w:szCs w:val="22"/>
                <w:lang w:val="en-GB"/>
              </w:rPr>
              <w:t>δ</w:t>
            </w:r>
            <w:r w:rsidRPr="00E4265B">
              <w:rPr>
                <w:rFonts w:ascii="Arial" w:hAnsi="Arial" w:cs="Arial"/>
                <w:b/>
                <w:i/>
                <w:iCs/>
                <w:sz w:val="22"/>
                <w:szCs w:val="22"/>
                <w:vertAlign w:val="subscript"/>
                <w:lang w:val="en-GB"/>
              </w:rPr>
              <w:t>i</w:t>
            </w:r>
          </w:p>
        </w:tc>
        <w:tc>
          <w:tcPr>
            <w:tcW w:w="3498" w:type="dxa"/>
            <w:shd w:val="clear" w:color="auto" w:fill="D9D9D9" w:themeFill="background1" w:themeFillShade="D9"/>
          </w:tcPr>
          <w:p w14:paraId="530C4F1A" w14:textId="77777777" w:rsidR="00224455" w:rsidRPr="00E4265B" w:rsidRDefault="00224455" w:rsidP="00605654">
            <w:pPr>
              <w:pStyle w:val="A1List"/>
              <w:tabs>
                <w:tab w:val="clear" w:pos="990"/>
              </w:tabs>
              <w:ind w:left="0" w:firstLine="0"/>
              <w:jc w:val="center"/>
              <w:rPr>
                <w:rFonts w:ascii="Arial" w:hAnsi="Arial" w:cs="Arial"/>
                <w:b/>
                <w:sz w:val="22"/>
                <w:szCs w:val="22"/>
                <w:lang w:val="en-GB"/>
              </w:rPr>
            </w:pPr>
            <w:r w:rsidRPr="00E4265B">
              <w:rPr>
                <w:rFonts w:ascii="Arial" w:hAnsi="Arial" w:cs="Arial"/>
                <w:b/>
                <w:sz w:val="22"/>
                <w:szCs w:val="22"/>
                <w:lang w:val="en-GB"/>
              </w:rPr>
              <w:t>Purchased (long protection)</w:t>
            </w:r>
          </w:p>
        </w:tc>
        <w:tc>
          <w:tcPr>
            <w:tcW w:w="3498" w:type="dxa"/>
            <w:shd w:val="clear" w:color="auto" w:fill="D9D9D9" w:themeFill="background1" w:themeFillShade="D9"/>
          </w:tcPr>
          <w:p w14:paraId="1A437ECD" w14:textId="77777777" w:rsidR="00224455" w:rsidRPr="00E4265B" w:rsidRDefault="00224455" w:rsidP="00605654">
            <w:pPr>
              <w:pStyle w:val="A1List"/>
              <w:tabs>
                <w:tab w:val="clear" w:pos="990"/>
              </w:tabs>
              <w:ind w:left="0" w:firstLine="0"/>
              <w:jc w:val="center"/>
              <w:rPr>
                <w:rFonts w:ascii="Arial" w:hAnsi="Arial" w:cs="Arial"/>
                <w:b/>
                <w:sz w:val="22"/>
                <w:szCs w:val="22"/>
                <w:lang w:val="en-GB"/>
              </w:rPr>
            </w:pPr>
            <w:r w:rsidRPr="00E4265B">
              <w:rPr>
                <w:rFonts w:ascii="Arial" w:hAnsi="Arial" w:cs="Arial"/>
                <w:b/>
                <w:sz w:val="22"/>
                <w:szCs w:val="22"/>
                <w:lang w:val="en-GB"/>
              </w:rPr>
              <w:t>Sold (short protection)</w:t>
            </w:r>
          </w:p>
        </w:tc>
      </w:tr>
      <w:tr w:rsidR="00224455" w:rsidRPr="00E4265B" w14:paraId="270E03F7" w14:textId="77777777" w:rsidTr="00224455">
        <w:tc>
          <w:tcPr>
            <w:tcW w:w="1239" w:type="dxa"/>
          </w:tcPr>
          <w:p w14:paraId="618F40EE" w14:textId="77777777" w:rsidR="00224455" w:rsidRPr="00E4265B" w:rsidRDefault="00224455" w:rsidP="00224455">
            <w:pPr>
              <w:pStyle w:val="A1List"/>
              <w:tabs>
                <w:tab w:val="clear" w:pos="990"/>
              </w:tabs>
              <w:ind w:left="0" w:firstLine="0"/>
              <w:rPr>
                <w:rFonts w:ascii="Arial" w:hAnsi="Arial" w:cs="Arial"/>
                <w:bCs/>
                <w:sz w:val="22"/>
                <w:szCs w:val="22"/>
                <w:lang w:val="en-GB"/>
              </w:rPr>
            </w:pPr>
            <w:r w:rsidRPr="00E4265B">
              <w:rPr>
                <w:rFonts w:ascii="Arial" w:hAnsi="Arial" w:cs="Arial"/>
                <w:bCs/>
                <w:sz w:val="22"/>
                <w:szCs w:val="22"/>
                <w:lang w:val="en-GB"/>
              </w:rPr>
              <w:t>CDO tranches</w:t>
            </w:r>
          </w:p>
        </w:tc>
        <w:tc>
          <w:tcPr>
            <w:tcW w:w="3498" w:type="dxa"/>
          </w:tcPr>
          <w:p w14:paraId="4FBAD0E3" w14:textId="77777777" w:rsidR="00224455" w:rsidRPr="00E4265B" w:rsidRDefault="00224455" w:rsidP="00224455">
            <w:pPr>
              <w:pStyle w:val="A1List"/>
              <w:tabs>
                <w:tab w:val="clear" w:pos="990"/>
              </w:tabs>
              <w:ind w:left="0" w:firstLine="0"/>
              <w:jc w:val="center"/>
              <w:rPr>
                <w:rFonts w:ascii="Arial" w:hAnsi="Arial" w:cs="Arial"/>
                <w:bCs/>
                <w:sz w:val="22"/>
                <w:szCs w:val="22"/>
                <w:lang w:val="en-GB"/>
              </w:rPr>
            </w:pPr>
            <m:oMathPara>
              <m:oMath>
                <m:r>
                  <w:rPr>
                    <w:rFonts w:ascii="Cambria Math" w:hAnsi="Cambria Math" w:cs="Arial"/>
                    <w:sz w:val="22"/>
                    <w:szCs w:val="22"/>
                    <w:lang w:val="en-GB"/>
                  </w:rPr>
                  <m:t>+</m:t>
                </m:r>
                <m:f>
                  <m:fPr>
                    <m:ctrlPr>
                      <w:rPr>
                        <w:rFonts w:ascii="Cambria Math" w:hAnsi="Cambria Math" w:cs="Arial"/>
                        <w:bCs/>
                        <w:i/>
                        <w:sz w:val="22"/>
                        <w:szCs w:val="22"/>
                        <w:lang w:val="en-GB"/>
                      </w:rPr>
                    </m:ctrlPr>
                  </m:fPr>
                  <m:num>
                    <m:r>
                      <w:rPr>
                        <w:rFonts w:ascii="Cambria Math" w:hAnsi="Cambria Math" w:cs="Arial"/>
                        <w:sz w:val="22"/>
                        <w:szCs w:val="22"/>
                        <w:lang w:val="en-GB"/>
                      </w:rPr>
                      <m:t>15</m:t>
                    </m:r>
                  </m:num>
                  <m:den>
                    <m:d>
                      <m:dPr>
                        <m:ctrlPr>
                          <w:rPr>
                            <w:rFonts w:ascii="Cambria Math" w:hAnsi="Cambria Math" w:cs="Arial"/>
                            <w:bCs/>
                            <w:i/>
                            <w:sz w:val="22"/>
                            <w:szCs w:val="22"/>
                            <w:lang w:val="en-GB"/>
                          </w:rPr>
                        </m:ctrlPr>
                      </m:dPr>
                      <m:e>
                        <m:r>
                          <w:rPr>
                            <w:rFonts w:ascii="Cambria Math" w:hAnsi="Cambria Math" w:cs="Arial"/>
                            <w:sz w:val="22"/>
                            <w:szCs w:val="22"/>
                            <w:lang w:val="en-GB"/>
                          </w:rPr>
                          <m:t>1+1</m:t>
                        </m:r>
                        <m:sSup>
                          <m:sSupPr>
                            <m:ctrlPr>
                              <w:rPr>
                                <w:rFonts w:ascii="Cambria Math" w:hAnsi="Cambria Math" w:cs="Arial"/>
                                <w:bCs/>
                                <w:i/>
                                <w:sz w:val="22"/>
                                <w:szCs w:val="22"/>
                                <w:lang w:val="en-GB"/>
                              </w:rPr>
                            </m:ctrlPr>
                          </m:sSupPr>
                          <m:e>
                            <m:r>
                              <w:rPr>
                                <w:rFonts w:ascii="Cambria Math" w:hAnsi="Cambria Math" w:cs="Arial"/>
                                <w:sz w:val="22"/>
                                <w:szCs w:val="22"/>
                                <w:lang w:val="en-GB"/>
                              </w:rPr>
                              <m:t>4</m:t>
                            </m:r>
                          </m:e>
                          <m:sup>
                            <m:r>
                              <w:rPr>
                                <w:rFonts w:ascii="Cambria Math" w:hAnsi="Cambria Math" w:cs="Arial"/>
                                <w:sz w:val="22"/>
                                <w:szCs w:val="22"/>
                                <w:lang w:val="en-GB"/>
                              </w:rPr>
                              <m:t>*</m:t>
                            </m:r>
                          </m:sup>
                        </m:sSup>
                        <m:sSub>
                          <m:sSubPr>
                            <m:ctrlPr>
                              <w:rPr>
                                <w:rFonts w:ascii="Cambria Math" w:hAnsi="Cambria Math" w:cs="Arial"/>
                                <w:bCs/>
                                <w:i/>
                                <w:sz w:val="22"/>
                                <w:szCs w:val="22"/>
                                <w:lang w:val="en-GB"/>
                              </w:rPr>
                            </m:ctrlPr>
                          </m:sSubPr>
                          <m:e>
                            <m:r>
                              <w:rPr>
                                <w:rFonts w:ascii="Cambria Math" w:hAnsi="Cambria Math" w:cs="Arial"/>
                                <w:sz w:val="22"/>
                                <w:szCs w:val="22"/>
                                <w:lang w:val="en-GB"/>
                              </w:rPr>
                              <m:t>A</m:t>
                            </m:r>
                          </m:e>
                          <m:sub>
                            <m:r>
                              <w:rPr>
                                <w:rFonts w:ascii="Cambria Math" w:hAnsi="Cambria Math" w:cs="Arial"/>
                                <w:sz w:val="22"/>
                                <w:szCs w:val="22"/>
                                <w:lang w:val="en-GB"/>
                              </w:rPr>
                              <m:t>i</m:t>
                            </m:r>
                          </m:sub>
                        </m:sSub>
                      </m:e>
                    </m:d>
                    <m:r>
                      <w:rPr>
                        <w:rFonts w:ascii="Cambria Math" w:hAnsi="Cambria Math" w:cs="Arial"/>
                        <w:sz w:val="22"/>
                        <w:szCs w:val="22"/>
                        <w:lang w:val="en-GB"/>
                      </w:rPr>
                      <m:t>*(1+1</m:t>
                    </m:r>
                    <m:sSup>
                      <m:sSupPr>
                        <m:ctrlPr>
                          <w:rPr>
                            <w:rFonts w:ascii="Cambria Math" w:hAnsi="Cambria Math" w:cs="Arial"/>
                            <w:bCs/>
                            <w:i/>
                            <w:sz w:val="22"/>
                            <w:szCs w:val="22"/>
                            <w:lang w:val="en-GB"/>
                          </w:rPr>
                        </m:ctrlPr>
                      </m:sSupPr>
                      <m:e>
                        <m:r>
                          <w:rPr>
                            <w:rFonts w:ascii="Cambria Math" w:hAnsi="Cambria Math" w:cs="Arial"/>
                            <w:sz w:val="22"/>
                            <w:szCs w:val="22"/>
                            <w:lang w:val="en-GB"/>
                          </w:rPr>
                          <m:t>4</m:t>
                        </m:r>
                      </m:e>
                      <m:sup>
                        <m:r>
                          <w:rPr>
                            <w:rFonts w:ascii="Cambria Math" w:hAnsi="Cambria Math" w:cs="Arial"/>
                            <w:sz w:val="22"/>
                            <w:szCs w:val="22"/>
                            <w:lang w:val="en-GB"/>
                          </w:rPr>
                          <m:t>*</m:t>
                        </m:r>
                      </m:sup>
                    </m:sSup>
                    <m:sSub>
                      <m:sSubPr>
                        <m:ctrlPr>
                          <w:rPr>
                            <w:rFonts w:ascii="Cambria Math" w:hAnsi="Cambria Math" w:cs="Arial"/>
                            <w:bCs/>
                            <w:i/>
                            <w:sz w:val="22"/>
                            <w:szCs w:val="22"/>
                            <w:lang w:val="en-GB"/>
                          </w:rPr>
                        </m:ctrlPr>
                      </m:sSubPr>
                      <m:e>
                        <m:r>
                          <w:rPr>
                            <w:rFonts w:ascii="Cambria Math" w:hAnsi="Cambria Math" w:cs="Arial"/>
                            <w:sz w:val="22"/>
                            <w:szCs w:val="22"/>
                            <w:lang w:val="en-GB"/>
                          </w:rPr>
                          <m:t>D</m:t>
                        </m:r>
                      </m:e>
                      <m:sub>
                        <m:r>
                          <w:rPr>
                            <w:rFonts w:ascii="Cambria Math" w:hAnsi="Cambria Math" w:cs="Arial"/>
                            <w:sz w:val="22"/>
                            <w:szCs w:val="22"/>
                            <w:lang w:val="en-GB"/>
                          </w:rPr>
                          <m:t>i</m:t>
                        </m:r>
                      </m:sub>
                    </m:sSub>
                    <m:r>
                      <w:rPr>
                        <w:rFonts w:ascii="Cambria Math" w:hAnsi="Cambria Math" w:cs="Arial"/>
                        <w:sz w:val="22"/>
                        <w:szCs w:val="22"/>
                        <w:lang w:val="en-GB"/>
                      </w:rPr>
                      <m:t>)</m:t>
                    </m:r>
                  </m:den>
                </m:f>
              </m:oMath>
            </m:oMathPara>
          </w:p>
        </w:tc>
        <w:tc>
          <w:tcPr>
            <w:tcW w:w="3498" w:type="dxa"/>
          </w:tcPr>
          <w:p w14:paraId="4CEC79EB" w14:textId="77777777" w:rsidR="00224455" w:rsidRPr="00E4265B" w:rsidRDefault="00224455" w:rsidP="00605654">
            <w:pPr>
              <w:pStyle w:val="A1List"/>
              <w:tabs>
                <w:tab w:val="clear" w:pos="990"/>
              </w:tabs>
              <w:ind w:left="0" w:firstLine="0"/>
              <w:jc w:val="center"/>
              <w:rPr>
                <w:rFonts w:ascii="Arial" w:hAnsi="Arial" w:cs="Arial"/>
                <w:bCs/>
                <w:sz w:val="22"/>
                <w:szCs w:val="22"/>
                <w:lang w:val="en-GB"/>
              </w:rPr>
            </w:pPr>
            <m:oMathPara>
              <m:oMath>
                <m:r>
                  <w:rPr>
                    <w:rFonts w:ascii="Cambria Math" w:hAnsi="Cambria Math" w:cs="Arial"/>
                    <w:sz w:val="22"/>
                    <w:szCs w:val="22"/>
                    <w:lang w:val="en-GB"/>
                  </w:rPr>
                  <m:t>-</m:t>
                </m:r>
                <m:f>
                  <m:fPr>
                    <m:ctrlPr>
                      <w:rPr>
                        <w:rFonts w:ascii="Cambria Math" w:hAnsi="Cambria Math" w:cs="Arial"/>
                        <w:bCs/>
                        <w:i/>
                        <w:sz w:val="22"/>
                        <w:szCs w:val="22"/>
                        <w:lang w:val="en-GB"/>
                      </w:rPr>
                    </m:ctrlPr>
                  </m:fPr>
                  <m:num>
                    <m:r>
                      <w:rPr>
                        <w:rFonts w:ascii="Cambria Math" w:hAnsi="Cambria Math" w:cs="Arial"/>
                        <w:sz w:val="22"/>
                        <w:szCs w:val="22"/>
                        <w:lang w:val="en-GB"/>
                      </w:rPr>
                      <m:t>15</m:t>
                    </m:r>
                  </m:num>
                  <m:den>
                    <m:d>
                      <m:dPr>
                        <m:ctrlPr>
                          <w:rPr>
                            <w:rFonts w:ascii="Cambria Math" w:hAnsi="Cambria Math" w:cs="Arial"/>
                            <w:bCs/>
                            <w:i/>
                            <w:sz w:val="22"/>
                            <w:szCs w:val="22"/>
                            <w:lang w:val="en-GB"/>
                          </w:rPr>
                        </m:ctrlPr>
                      </m:dPr>
                      <m:e>
                        <m:r>
                          <w:rPr>
                            <w:rFonts w:ascii="Cambria Math" w:hAnsi="Cambria Math" w:cs="Arial"/>
                            <w:sz w:val="22"/>
                            <w:szCs w:val="22"/>
                            <w:lang w:val="en-GB"/>
                          </w:rPr>
                          <m:t>1+1</m:t>
                        </m:r>
                        <m:sSup>
                          <m:sSupPr>
                            <m:ctrlPr>
                              <w:rPr>
                                <w:rFonts w:ascii="Cambria Math" w:hAnsi="Cambria Math" w:cs="Arial"/>
                                <w:bCs/>
                                <w:i/>
                                <w:sz w:val="22"/>
                                <w:szCs w:val="22"/>
                                <w:lang w:val="en-GB"/>
                              </w:rPr>
                            </m:ctrlPr>
                          </m:sSupPr>
                          <m:e>
                            <m:r>
                              <w:rPr>
                                <w:rFonts w:ascii="Cambria Math" w:hAnsi="Cambria Math" w:cs="Arial"/>
                                <w:sz w:val="22"/>
                                <w:szCs w:val="22"/>
                                <w:lang w:val="en-GB"/>
                              </w:rPr>
                              <m:t>4</m:t>
                            </m:r>
                          </m:e>
                          <m:sup>
                            <m:r>
                              <w:rPr>
                                <w:rFonts w:ascii="Cambria Math" w:hAnsi="Cambria Math" w:cs="Arial"/>
                                <w:sz w:val="22"/>
                                <w:szCs w:val="22"/>
                                <w:lang w:val="en-GB"/>
                              </w:rPr>
                              <m:t>*</m:t>
                            </m:r>
                          </m:sup>
                        </m:sSup>
                        <m:sSub>
                          <m:sSubPr>
                            <m:ctrlPr>
                              <w:rPr>
                                <w:rFonts w:ascii="Cambria Math" w:hAnsi="Cambria Math" w:cs="Arial"/>
                                <w:bCs/>
                                <w:i/>
                                <w:sz w:val="22"/>
                                <w:szCs w:val="22"/>
                                <w:lang w:val="en-GB"/>
                              </w:rPr>
                            </m:ctrlPr>
                          </m:sSubPr>
                          <m:e>
                            <m:r>
                              <w:rPr>
                                <w:rFonts w:ascii="Cambria Math" w:hAnsi="Cambria Math" w:cs="Arial"/>
                                <w:sz w:val="22"/>
                                <w:szCs w:val="22"/>
                                <w:lang w:val="en-GB"/>
                              </w:rPr>
                              <m:t>A</m:t>
                            </m:r>
                          </m:e>
                          <m:sub>
                            <m:r>
                              <w:rPr>
                                <w:rFonts w:ascii="Cambria Math" w:hAnsi="Cambria Math" w:cs="Arial"/>
                                <w:sz w:val="22"/>
                                <w:szCs w:val="22"/>
                                <w:lang w:val="en-GB"/>
                              </w:rPr>
                              <m:t>i</m:t>
                            </m:r>
                          </m:sub>
                        </m:sSub>
                      </m:e>
                    </m:d>
                    <m:r>
                      <w:rPr>
                        <w:rFonts w:ascii="Cambria Math" w:hAnsi="Cambria Math" w:cs="Arial"/>
                        <w:sz w:val="22"/>
                        <w:szCs w:val="22"/>
                        <w:lang w:val="en-GB"/>
                      </w:rPr>
                      <m:t>*(1+1</m:t>
                    </m:r>
                    <m:sSup>
                      <m:sSupPr>
                        <m:ctrlPr>
                          <w:rPr>
                            <w:rFonts w:ascii="Cambria Math" w:hAnsi="Cambria Math" w:cs="Arial"/>
                            <w:bCs/>
                            <w:i/>
                            <w:sz w:val="22"/>
                            <w:szCs w:val="22"/>
                            <w:lang w:val="en-GB"/>
                          </w:rPr>
                        </m:ctrlPr>
                      </m:sSupPr>
                      <m:e>
                        <m:r>
                          <w:rPr>
                            <w:rFonts w:ascii="Cambria Math" w:hAnsi="Cambria Math" w:cs="Arial"/>
                            <w:sz w:val="22"/>
                            <w:szCs w:val="22"/>
                            <w:lang w:val="en-GB"/>
                          </w:rPr>
                          <m:t>4</m:t>
                        </m:r>
                      </m:e>
                      <m:sup>
                        <m:r>
                          <w:rPr>
                            <w:rFonts w:ascii="Cambria Math" w:hAnsi="Cambria Math" w:cs="Arial"/>
                            <w:sz w:val="22"/>
                            <w:szCs w:val="22"/>
                            <w:lang w:val="en-GB"/>
                          </w:rPr>
                          <m:t>*</m:t>
                        </m:r>
                      </m:sup>
                    </m:sSup>
                    <m:sSub>
                      <m:sSubPr>
                        <m:ctrlPr>
                          <w:rPr>
                            <w:rFonts w:ascii="Cambria Math" w:hAnsi="Cambria Math" w:cs="Arial"/>
                            <w:bCs/>
                            <w:i/>
                            <w:sz w:val="22"/>
                            <w:szCs w:val="22"/>
                            <w:lang w:val="en-GB"/>
                          </w:rPr>
                        </m:ctrlPr>
                      </m:sSubPr>
                      <m:e>
                        <m:r>
                          <w:rPr>
                            <w:rFonts w:ascii="Cambria Math" w:hAnsi="Cambria Math" w:cs="Arial"/>
                            <w:sz w:val="22"/>
                            <w:szCs w:val="22"/>
                            <w:lang w:val="en-GB"/>
                          </w:rPr>
                          <m:t>D</m:t>
                        </m:r>
                      </m:e>
                      <m:sub>
                        <m:r>
                          <w:rPr>
                            <w:rFonts w:ascii="Cambria Math" w:hAnsi="Cambria Math" w:cs="Arial"/>
                            <w:sz w:val="22"/>
                            <w:szCs w:val="22"/>
                            <w:lang w:val="en-GB"/>
                          </w:rPr>
                          <m:t>i</m:t>
                        </m:r>
                      </m:sub>
                    </m:sSub>
                    <m:r>
                      <w:rPr>
                        <w:rFonts w:ascii="Cambria Math" w:hAnsi="Cambria Math" w:cs="Arial"/>
                        <w:sz w:val="22"/>
                        <w:szCs w:val="22"/>
                        <w:lang w:val="en-GB"/>
                      </w:rPr>
                      <m:t>)</m:t>
                    </m:r>
                  </m:den>
                </m:f>
              </m:oMath>
            </m:oMathPara>
          </w:p>
        </w:tc>
      </w:tr>
      <w:tr w:rsidR="00224455" w:rsidRPr="00E4265B" w14:paraId="522DDDB7" w14:textId="77777777" w:rsidTr="00605654">
        <w:tc>
          <w:tcPr>
            <w:tcW w:w="8235" w:type="dxa"/>
            <w:gridSpan w:val="3"/>
          </w:tcPr>
          <w:p w14:paraId="5FBADB2B" w14:textId="77777777" w:rsidR="00224455" w:rsidRPr="00E4265B" w:rsidRDefault="00224455" w:rsidP="00224455">
            <w:pPr>
              <w:pStyle w:val="A1List"/>
              <w:rPr>
                <w:rFonts w:ascii="Arial" w:hAnsi="Arial" w:cs="Arial"/>
                <w:bCs/>
                <w:sz w:val="22"/>
                <w:szCs w:val="22"/>
                <w:lang w:val="en-GB"/>
              </w:rPr>
            </w:pPr>
            <w:r w:rsidRPr="00E4265B">
              <w:rPr>
                <w:rFonts w:ascii="Arial" w:hAnsi="Arial" w:cs="Arial"/>
                <w:bCs/>
                <w:sz w:val="22"/>
                <w:szCs w:val="22"/>
                <w:lang w:val="en-GB"/>
              </w:rPr>
              <w:t>With the following parameters:</w:t>
            </w:r>
          </w:p>
          <w:p w14:paraId="1E76E28E" w14:textId="77777777" w:rsidR="00224455" w:rsidRPr="00E4265B" w:rsidRDefault="00224455" w:rsidP="00224455">
            <w:pPr>
              <w:pStyle w:val="A1List"/>
              <w:rPr>
                <w:rFonts w:ascii="Arial" w:hAnsi="Arial" w:cs="Arial"/>
                <w:bCs/>
                <w:sz w:val="22"/>
                <w:szCs w:val="22"/>
                <w:lang w:val="en-GB"/>
              </w:rPr>
            </w:pPr>
            <w:r w:rsidRPr="00E4265B">
              <w:rPr>
                <w:rFonts w:ascii="Arial" w:hAnsi="Arial" w:cs="Arial"/>
                <w:bCs/>
                <w:i/>
                <w:iCs/>
                <w:sz w:val="22"/>
                <w:szCs w:val="22"/>
                <w:lang w:val="en-GB"/>
              </w:rPr>
              <w:t>A</w:t>
            </w:r>
            <w:r w:rsidRPr="00E4265B">
              <w:rPr>
                <w:rFonts w:ascii="Arial" w:hAnsi="Arial" w:cs="Arial"/>
                <w:bCs/>
                <w:i/>
                <w:iCs/>
                <w:sz w:val="22"/>
                <w:szCs w:val="22"/>
                <w:vertAlign w:val="subscript"/>
                <w:lang w:val="en-GB"/>
              </w:rPr>
              <w:t>i</w:t>
            </w:r>
            <w:r w:rsidRPr="00E4265B">
              <w:rPr>
                <w:rFonts w:ascii="Arial" w:hAnsi="Arial" w:cs="Arial"/>
                <w:bCs/>
                <w:sz w:val="22"/>
                <w:szCs w:val="22"/>
                <w:lang w:val="en-GB"/>
              </w:rPr>
              <w:t xml:space="preserve"> = attachment point of the CDO tranche</w:t>
            </w:r>
          </w:p>
          <w:p w14:paraId="51DE2492" w14:textId="77777777" w:rsidR="00224455" w:rsidRPr="00E4265B" w:rsidRDefault="00224455" w:rsidP="00224455">
            <w:pPr>
              <w:pStyle w:val="A1List"/>
              <w:tabs>
                <w:tab w:val="clear" w:pos="990"/>
              </w:tabs>
              <w:ind w:left="0" w:firstLine="0"/>
              <w:jc w:val="left"/>
              <w:rPr>
                <w:rFonts w:ascii="Arial" w:hAnsi="Arial" w:cs="Arial"/>
                <w:bCs/>
                <w:sz w:val="22"/>
                <w:szCs w:val="22"/>
                <w:lang w:val="en-GB"/>
              </w:rPr>
            </w:pPr>
            <w:r w:rsidRPr="00E4265B">
              <w:rPr>
                <w:rFonts w:ascii="Arial" w:hAnsi="Arial" w:cs="Arial"/>
                <w:bCs/>
                <w:i/>
                <w:iCs/>
                <w:sz w:val="22"/>
                <w:szCs w:val="22"/>
                <w:lang w:val="en-GB"/>
              </w:rPr>
              <w:t>D</w:t>
            </w:r>
            <w:r w:rsidRPr="00E4265B">
              <w:rPr>
                <w:rFonts w:ascii="Arial" w:hAnsi="Arial" w:cs="Arial"/>
                <w:bCs/>
                <w:i/>
                <w:iCs/>
                <w:sz w:val="22"/>
                <w:szCs w:val="22"/>
                <w:vertAlign w:val="subscript"/>
                <w:lang w:val="en-GB"/>
              </w:rPr>
              <w:t>i</w:t>
            </w:r>
            <w:r w:rsidRPr="00E4265B">
              <w:rPr>
                <w:rFonts w:ascii="Arial" w:hAnsi="Arial" w:cs="Arial"/>
                <w:bCs/>
                <w:sz w:val="22"/>
                <w:szCs w:val="22"/>
                <w:lang w:val="en-GB"/>
              </w:rPr>
              <w:t xml:space="preserve"> = detachment point of the CDO tranche</w:t>
            </w:r>
          </w:p>
        </w:tc>
      </w:tr>
    </w:tbl>
    <w:p w14:paraId="449F85CE" w14:textId="77777777" w:rsidR="00224455" w:rsidRPr="00E4265B" w:rsidRDefault="00224455" w:rsidP="00224455">
      <w:pPr>
        <w:pStyle w:val="A1List"/>
        <w:ind w:left="1984"/>
        <w:rPr>
          <w:rFonts w:ascii="Arial" w:hAnsi="Arial" w:cs="Arial"/>
          <w:bCs/>
          <w:sz w:val="22"/>
          <w:szCs w:val="22"/>
          <w:lang w:val="en-GB"/>
        </w:rPr>
      </w:pPr>
    </w:p>
    <w:p w14:paraId="36DCFEE3" w14:textId="77777777" w:rsidR="00EC435B" w:rsidRPr="00E4265B" w:rsidRDefault="00EC435B" w:rsidP="00224455">
      <w:pPr>
        <w:pStyle w:val="A1List"/>
        <w:ind w:left="1984"/>
        <w:rPr>
          <w:rFonts w:ascii="Arial" w:hAnsi="Arial" w:cs="Arial"/>
          <w:b/>
          <w:bCs/>
          <w:sz w:val="22"/>
          <w:szCs w:val="22"/>
          <w:lang w:val="en-GB"/>
        </w:rPr>
      </w:pPr>
      <w:r w:rsidRPr="00E4265B">
        <w:rPr>
          <w:rFonts w:ascii="Arial" w:hAnsi="Arial" w:cs="Arial"/>
          <w:b/>
          <w:bCs/>
          <w:sz w:val="22"/>
          <w:szCs w:val="22"/>
          <w:lang w:val="en-GB"/>
        </w:rPr>
        <w:t>Guidance</w:t>
      </w:r>
    </w:p>
    <w:p w14:paraId="572B1624" w14:textId="77777777" w:rsidR="00EC435B" w:rsidRPr="00E4265B" w:rsidRDefault="00EC435B" w:rsidP="00EC435B">
      <w:pPr>
        <w:pStyle w:val="A1List"/>
        <w:ind w:left="993" w:hanging="3"/>
        <w:rPr>
          <w:rFonts w:ascii="Arial" w:hAnsi="Arial" w:cs="Arial"/>
          <w:bCs/>
          <w:sz w:val="22"/>
          <w:szCs w:val="22"/>
          <w:lang w:val="en-GB"/>
        </w:rPr>
      </w:pPr>
      <w:r w:rsidRPr="00E4265B">
        <w:rPr>
          <w:rFonts w:ascii="Arial" w:hAnsi="Arial" w:cs="Arial"/>
          <w:bCs/>
          <w:sz w:val="22"/>
          <w:szCs w:val="22"/>
          <w:lang w:val="en-GB"/>
        </w:rPr>
        <w:t xml:space="preserve">"Long in the primary risk factor" means that the market value of the instrument increases, whereas "short in the primary risk factor" means that the market value of the instrument decreases when the value of the primary risk factor increases. The symbol Φ in these equations represents the standard normal cumulative distribution function. </w:t>
      </w:r>
    </w:p>
    <w:p w14:paraId="2AFD4E74" w14:textId="77777777" w:rsidR="00224455" w:rsidRPr="00E4265B" w:rsidRDefault="00224455" w:rsidP="00224455">
      <w:pPr>
        <w:pStyle w:val="TitleL5"/>
        <w:rPr>
          <w:rFonts w:ascii="Arial" w:hAnsi="Arial" w:cs="Arial"/>
          <w:sz w:val="22"/>
          <w:szCs w:val="22"/>
          <w:lang w:val="en-GB"/>
        </w:rPr>
      </w:pPr>
      <w:r w:rsidRPr="00E4265B">
        <w:rPr>
          <w:rFonts w:ascii="Arial" w:hAnsi="Arial" w:cs="Arial"/>
          <w:sz w:val="22"/>
          <w:szCs w:val="22"/>
          <w:lang w:val="en-GB"/>
        </w:rPr>
        <w:t>Time risk horizons – unmargined transactions</w:t>
      </w:r>
    </w:p>
    <w:p w14:paraId="52B776C8" w14:textId="77777777" w:rsidR="00224455" w:rsidRPr="00E4265B" w:rsidRDefault="00224455" w:rsidP="00224455">
      <w:pPr>
        <w:pStyle w:val="A1List"/>
        <w:rPr>
          <w:rFonts w:ascii="Arial" w:hAnsi="Arial" w:cs="Arial"/>
          <w:b/>
          <w:bCs/>
          <w:sz w:val="22"/>
          <w:szCs w:val="22"/>
          <w:lang w:val="en-GB"/>
        </w:rPr>
      </w:pPr>
      <w:r w:rsidRPr="00E4265B">
        <w:rPr>
          <w:rFonts w:ascii="Arial" w:hAnsi="Arial" w:cs="Arial"/>
          <w:b/>
          <w:bCs/>
          <w:sz w:val="22"/>
          <w:szCs w:val="22"/>
          <w:lang w:val="en-GB"/>
        </w:rPr>
        <w:t>A4.6.32</w:t>
      </w:r>
      <w:r w:rsidRPr="00E4265B">
        <w:rPr>
          <w:rFonts w:ascii="Arial" w:hAnsi="Arial" w:cs="Arial"/>
          <w:b/>
          <w:bCs/>
          <w:sz w:val="22"/>
          <w:szCs w:val="22"/>
          <w:lang w:val="en-GB"/>
        </w:rPr>
        <w:tab/>
      </w:r>
      <w:r w:rsidRPr="00E4265B">
        <w:rPr>
          <w:rFonts w:ascii="Arial" w:hAnsi="Arial" w:cs="Arial"/>
          <w:bCs/>
          <w:sz w:val="22"/>
          <w:szCs w:val="22"/>
          <w:lang w:val="en-GB"/>
        </w:rPr>
        <w:t>The Authorised Person must calculate the maturity factor (</w:t>
      </w:r>
      <w:r w:rsidRPr="00E4265B">
        <w:rPr>
          <w:rFonts w:ascii="Arial" w:hAnsi="Arial" w:cs="Arial"/>
          <w:bCs/>
          <w:i/>
          <w:iCs/>
          <w:sz w:val="22"/>
          <w:szCs w:val="22"/>
          <w:lang w:val="en-GB"/>
        </w:rPr>
        <w:t>MF</w:t>
      </w:r>
      <w:r w:rsidRPr="00E4265B">
        <w:rPr>
          <w:rFonts w:ascii="Arial" w:hAnsi="Arial" w:cs="Arial"/>
          <w:bCs/>
          <w:i/>
          <w:iCs/>
          <w:sz w:val="22"/>
          <w:szCs w:val="22"/>
          <w:vertAlign w:val="subscript"/>
          <w:lang w:val="en-GB"/>
        </w:rPr>
        <w:t>i</w:t>
      </w:r>
      <w:r w:rsidRPr="00E4265B">
        <w:rPr>
          <w:rFonts w:ascii="Arial" w:hAnsi="Arial" w:cs="Arial"/>
          <w:bCs/>
          <w:sz w:val="22"/>
          <w:szCs w:val="22"/>
          <w:lang w:val="en-GB"/>
        </w:rPr>
        <w:t>) of unmargined transactions in accordance with the following formula:</w:t>
      </w:r>
    </w:p>
    <w:p w14:paraId="6354AACD" w14:textId="77777777" w:rsidR="00224455" w:rsidRPr="00E4265B" w:rsidRDefault="00B275AE" w:rsidP="00EB2E15">
      <w:pPr>
        <w:pStyle w:val="A1List"/>
        <w:ind w:left="630" w:firstLine="360"/>
        <w:rPr>
          <w:rFonts w:ascii="Arial" w:eastAsiaTheme="minorEastAsia" w:hAnsi="Arial" w:cs="Arial"/>
          <w:bCs/>
          <w:sz w:val="22"/>
          <w:szCs w:val="22"/>
          <w:lang w:val="en-GB"/>
        </w:rPr>
      </w:pPr>
      <m:oMathPara>
        <m:oMath>
          <m:sSubSup>
            <m:sSubSupPr>
              <m:ctrlPr>
                <w:rPr>
                  <w:rFonts w:ascii="Cambria Math" w:hAnsi="Cambria Math" w:cs="Arial"/>
                  <w:i/>
                  <w:sz w:val="22"/>
                  <w:szCs w:val="22"/>
                  <w:lang w:val="en-GB"/>
                </w:rPr>
              </m:ctrlPr>
            </m:sSubSupPr>
            <m:e>
              <m:r>
                <w:rPr>
                  <w:rFonts w:ascii="Cambria Math" w:hAnsi="Cambria Math" w:cs="Arial"/>
                  <w:sz w:val="22"/>
                  <w:szCs w:val="22"/>
                  <w:lang w:val="en-GB"/>
                </w:rPr>
                <m:t>MF</m:t>
              </m:r>
            </m:e>
            <m:sub>
              <m:r>
                <w:rPr>
                  <w:rFonts w:ascii="Cambria Math" w:hAnsi="Cambria Math" w:cs="Arial"/>
                  <w:sz w:val="22"/>
                  <w:szCs w:val="22"/>
                  <w:lang w:val="en-GB"/>
                </w:rPr>
                <m:t>i</m:t>
              </m:r>
            </m:sub>
            <m:sup>
              <m:r>
                <w:rPr>
                  <w:rFonts w:ascii="Cambria Math" w:hAnsi="Cambria Math" w:cs="Arial"/>
                  <w:sz w:val="22"/>
                  <w:szCs w:val="22"/>
                  <w:lang w:val="en-GB"/>
                </w:rPr>
                <m:t>(</m:t>
              </m:r>
              <m:r>
                <w:rPr>
                  <w:rFonts w:ascii="Cambria Math" w:hAnsi="Cambria Math" w:cs="Arial"/>
                  <w:sz w:val="22"/>
                  <w:szCs w:val="22"/>
                  <w:lang w:val="en-GB"/>
                </w:rPr>
                <m:t>unmargined</m:t>
              </m:r>
              <m:r>
                <w:rPr>
                  <w:rFonts w:ascii="Cambria Math" w:hAnsi="Cambria Math" w:cs="Arial"/>
                  <w:sz w:val="22"/>
                  <w:szCs w:val="22"/>
                  <w:lang w:val="en-GB"/>
                </w:rPr>
                <m:t>)</m:t>
              </m:r>
            </m:sup>
          </m:sSubSup>
          <m:r>
            <w:rPr>
              <w:rFonts w:ascii="Cambria Math" w:hAnsi="Cambria Math" w:cs="Arial"/>
              <w:sz w:val="22"/>
              <w:szCs w:val="22"/>
              <w:lang w:val="en-GB"/>
            </w:rPr>
            <m:t>=</m:t>
          </m:r>
          <m:rad>
            <m:radPr>
              <m:degHide m:val="1"/>
              <m:ctrlPr>
                <w:rPr>
                  <w:rFonts w:ascii="Cambria Math" w:hAnsi="Cambria Math" w:cs="Arial"/>
                  <w:bCs/>
                  <w:i/>
                  <w:sz w:val="22"/>
                  <w:szCs w:val="22"/>
                  <w:lang w:val="en-GB"/>
                </w:rPr>
              </m:ctrlPr>
            </m:radPr>
            <m:deg/>
            <m:e>
              <m:f>
                <m:fPr>
                  <m:ctrlPr>
                    <w:rPr>
                      <w:rFonts w:ascii="Cambria Math" w:hAnsi="Cambria Math" w:cs="Arial"/>
                      <w:bCs/>
                      <w:i/>
                      <w:sz w:val="22"/>
                      <w:szCs w:val="22"/>
                      <w:lang w:val="en-GB"/>
                    </w:rPr>
                  </m:ctrlPr>
                </m:fPr>
                <m:num>
                  <m:r>
                    <m:rPr>
                      <m:sty m:val="p"/>
                    </m:rPr>
                    <w:rPr>
                      <w:rFonts w:ascii="Cambria Math" w:hAnsi="Cambria Math" w:cs="Arial"/>
                      <w:sz w:val="22"/>
                      <w:szCs w:val="22"/>
                      <w:lang w:val="en-GB"/>
                    </w:rPr>
                    <m:t>min⁡</m:t>
                  </m:r>
                  <m:r>
                    <w:rPr>
                      <w:rFonts w:ascii="Cambria Math" w:hAnsi="Cambria Math" w:cs="Arial"/>
                      <w:sz w:val="22"/>
                      <w:szCs w:val="22"/>
                      <w:lang w:val="en-GB"/>
                    </w:rPr>
                    <m:t>(</m:t>
                  </m:r>
                  <m:sSub>
                    <m:sSubPr>
                      <m:ctrlPr>
                        <w:rPr>
                          <w:rFonts w:ascii="Cambria Math" w:hAnsi="Cambria Math" w:cs="Arial"/>
                          <w:bCs/>
                          <w:i/>
                          <w:sz w:val="22"/>
                          <w:szCs w:val="22"/>
                          <w:lang w:val="en-GB"/>
                        </w:rPr>
                      </m:ctrlPr>
                    </m:sSubPr>
                    <m:e>
                      <m:r>
                        <w:rPr>
                          <w:rFonts w:ascii="Cambria Math" w:hAnsi="Cambria Math" w:cs="Arial"/>
                          <w:sz w:val="22"/>
                          <w:szCs w:val="22"/>
                          <w:lang w:val="en-GB"/>
                        </w:rPr>
                        <m:t>M</m:t>
                      </m:r>
                    </m:e>
                    <m:sub>
                      <m:r>
                        <w:rPr>
                          <w:rFonts w:ascii="Cambria Math" w:hAnsi="Cambria Math" w:cs="Arial"/>
                          <w:sz w:val="22"/>
                          <w:szCs w:val="22"/>
                          <w:lang w:val="en-GB"/>
                        </w:rPr>
                        <m:t>i</m:t>
                      </m:r>
                    </m:sub>
                  </m:sSub>
                  <m:r>
                    <w:rPr>
                      <w:rFonts w:ascii="Cambria Math" w:hAnsi="Cambria Math" w:cs="Arial"/>
                      <w:sz w:val="22"/>
                      <w:szCs w:val="22"/>
                      <w:lang w:val="en-GB"/>
                    </w:rPr>
                    <m:t xml:space="preserve">;1 </m:t>
                  </m:r>
                  <m:r>
                    <w:rPr>
                      <w:rFonts w:ascii="Cambria Math" w:hAnsi="Cambria Math" w:cs="Arial"/>
                      <w:sz w:val="22"/>
                      <w:szCs w:val="22"/>
                      <w:lang w:val="en-GB"/>
                    </w:rPr>
                    <m:t>year</m:t>
                  </m:r>
                  <m:r>
                    <w:rPr>
                      <w:rFonts w:ascii="Cambria Math" w:hAnsi="Cambria Math" w:cs="Arial"/>
                      <w:sz w:val="22"/>
                      <w:szCs w:val="22"/>
                      <w:lang w:val="en-GB"/>
                    </w:rPr>
                    <m:t>)</m:t>
                  </m:r>
                </m:num>
                <m:den>
                  <m:r>
                    <w:rPr>
                      <w:rFonts w:ascii="Cambria Math" w:hAnsi="Cambria Math" w:cs="Arial"/>
                      <w:sz w:val="22"/>
                      <w:szCs w:val="22"/>
                      <w:lang w:val="en-GB"/>
                    </w:rPr>
                    <m:t xml:space="preserve">1 </m:t>
                  </m:r>
                  <m:r>
                    <w:rPr>
                      <w:rFonts w:ascii="Cambria Math" w:hAnsi="Cambria Math" w:cs="Arial"/>
                      <w:sz w:val="22"/>
                      <w:szCs w:val="22"/>
                      <w:lang w:val="en-GB"/>
                    </w:rPr>
                    <m:t>year</m:t>
                  </m:r>
                </m:den>
              </m:f>
            </m:e>
          </m:rad>
        </m:oMath>
      </m:oMathPara>
    </w:p>
    <w:p w14:paraId="422953A3" w14:textId="6FCBBC31" w:rsidR="00224455" w:rsidRPr="00E4265B" w:rsidRDefault="00224455" w:rsidP="00744616">
      <w:pPr>
        <w:pStyle w:val="A1List"/>
        <w:ind w:left="990" w:firstLine="0"/>
        <w:rPr>
          <w:rFonts w:ascii="Arial" w:hAnsi="Arial" w:cs="Arial"/>
          <w:bCs/>
          <w:sz w:val="22"/>
          <w:szCs w:val="22"/>
          <w:lang w:val="en-GB"/>
        </w:rPr>
      </w:pPr>
      <w:r w:rsidRPr="00E4265B">
        <w:rPr>
          <w:rFonts w:ascii="Arial" w:hAnsi="Arial" w:cs="Arial"/>
          <w:bCs/>
          <w:sz w:val="22"/>
          <w:szCs w:val="22"/>
          <w:lang w:val="en-GB"/>
        </w:rPr>
        <w:t xml:space="preserve">where </w:t>
      </w:r>
      <w:r w:rsidRPr="00E4265B">
        <w:rPr>
          <w:rFonts w:ascii="Arial" w:hAnsi="Arial" w:cs="Arial"/>
          <w:bCs/>
          <w:i/>
          <w:iCs/>
          <w:sz w:val="22"/>
          <w:szCs w:val="22"/>
          <w:lang w:val="en-GB"/>
        </w:rPr>
        <w:t>M</w:t>
      </w:r>
      <w:r w:rsidRPr="00E4265B">
        <w:rPr>
          <w:rFonts w:ascii="Arial" w:hAnsi="Arial" w:cs="Arial"/>
          <w:bCs/>
          <w:i/>
          <w:iCs/>
          <w:sz w:val="22"/>
          <w:szCs w:val="22"/>
          <w:vertAlign w:val="subscript"/>
          <w:lang w:val="en-GB"/>
        </w:rPr>
        <w:t>i</w:t>
      </w:r>
      <w:r w:rsidRPr="00E4265B">
        <w:rPr>
          <w:rFonts w:ascii="Arial" w:hAnsi="Arial" w:cs="Arial"/>
          <w:bCs/>
          <w:sz w:val="22"/>
          <w:szCs w:val="22"/>
          <w:lang w:val="en-GB"/>
        </w:rPr>
        <w:t xml:space="preserve"> is the remaining maturity of the transaction, floored at </w:t>
      </w:r>
      <w:r w:rsidR="00744616" w:rsidRPr="00E4265B">
        <w:rPr>
          <w:rFonts w:ascii="Arial" w:hAnsi="Arial" w:cs="Arial"/>
          <w:bCs/>
          <w:sz w:val="22"/>
          <w:szCs w:val="22"/>
          <w:lang w:val="en-GB"/>
        </w:rPr>
        <w:t>ten</w:t>
      </w:r>
      <w:r w:rsidRPr="00E4265B">
        <w:rPr>
          <w:rFonts w:ascii="Arial" w:hAnsi="Arial" w:cs="Arial"/>
          <w:bCs/>
          <w:sz w:val="22"/>
          <w:szCs w:val="22"/>
          <w:lang w:val="en-GB"/>
        </w:rPr>
        <w:t xml:space="preserve"> business days. </w:t>
      </w:r>
    </w:p>
    <w:p w14:paraId="467A73E6" w14:textId="77777777" w:rsidR="00224455" w:rsidRPr="00E4265B" w:rsidRDefault="00224455" w:rsidP="00224455">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62BD16AB" w14:textId="62989804" w:rsidR="00224455" w:rsidRPr="00E4265B" w:rsidRDefault="00224455" w:rsidP="00744616">
      <w:pPr>
        <w:pStyle w:val="A1List"/>
        <w:ind w:left="936" w:firstLine="0"/>
        <w:rPr>
          <w:rFonts w:ascii="Arial" w:hAnsi="Arial" w:cs="Arial"/>
          <w:bCs/>
          <w:sz w:val="22"/>
          <w:szCs w:val="22"/>
          <w:lang w:val="en-GB"/>
        </w:rPr>
      </w:pPr>
      <w:r w:rsidRPr="00E4265B">
        <w:rPr>
          <w:rFonts w:ascii="Arial" w:hAnsi="Arial" w:cs="Arial"/>
          <w:bCs/>
          <w:sz w:val="22"/>
          <w:szCs w:val="22"/>
          <w:lang w:val="en-GB"/>
        </w:rPr>
        <w:t xml:space="preserve">The formula requires that the minimum time risk horizon for unmargined transactions is the lesser of one year and the remaining maturity of the derivative contract, floored at </w:t>
      </w:r>
      <w:r w:rsidR="00744616" w:rsidRPr="00E4265B">
        <w:rPr>
          <w:rFonts w:ascii="Arial" w:hAnsi="Arial" w:cs="Arial"/>
          <w:bCs/>
          <w:sz w:val="22"/>
          <w:szCs w:val="22"/>
          <w:lang w:val="en-GB"/>
        </w:rPr>
        <w:t>ten</w:t>
      </w:r>
      <w:r w:rsidRPr="00E4265B">
        <w:rPr>
          <w:rFonts w:ascii="Arial" w:hAnsi="Arial" w:cs="Arial"/>
          <w:bCs/>
          <w:sz w:val="22"/>
          <w:szCs w:val="22"/>
          <w:lang w:val="en-GB"/>
        </w:rPr>
        <w:t xml:space="preserve"> business days. </w:t>
      </w:r>
    </w:p>
    <w:p w14:paraId="0B1B8F57" w14:textId="77777777" w:rsidR="00224455" w:rsidRPr="00E4265B" w:rsidRDefault="00224455" w:rsidP="00224455">
      <w:pPr>
        <w:pStyle w:val="TitleL5"/>
        <w:rPr>
          <w:rFonts w:ascii="Arial" w:hAnsi="Arial" w:cs="Arial"/>
          <w:sz w:val="22"/>
          <w:szCs w:val="22"/>
          <w:lang w:val="en-GB"/>
        </w:rPr>
      </w:pPr>
      <w:r w:rsidRPr="00E4265B">
        <w:rPr>
          <w:rFonts w:ascii="Arial" w:hAnsi="Arial" w:cs="Arial"/>
          <w:sz w:val="22"/>
          <w:szCs w:val="22"/>
          <w:lang w:val="en-GB"/>
        </w:rPr>
        <w:t>Time risk horizons – margined transactions</w:t>
      </w:r>
    </w:p>
    <w:p w14:paraId="3B56C1B1" w14:textId="77777777" w:rsidR="00224455" w:rsidRPr="00E4265B" w:rsidRDefault="00224455" w:rsidP="00224455">
      <w:pPr>
        <w:pStyle w:val="A1List"/>
        <w:rPr>
          <w:rFonts w:ascii="Arial" w:hAnsi="Arial" w:cs="Arial"/>
          <w:b/>
          <w:bCs/>
          <w:sz w:val="22"/>
          <w:szCs w:val="22"/>
          <w:lang w:val="en-GB"/>
        </w:rPr>
      </w:pPr>
      <w:r w:rsidRPr="00E4265B">
        <w:rPr>
          <w:rFonts w:ascii="Arial" w:hAnsi="Arial" w:cs="Arial"/>
          <w:b/>
          <w:bCs/>
          <w:sz w:val="22"/>
          <w:szCs w:val="22"/>
          <w:lang w:val="en-GB"/>
        </w:rPr>
        <w:t>A4.6.33</w:t>
      </w:r>
      <w:r w:rsidRPr="00E4265B">
        <w:rPr>
          <w:rFonts w:ascii="Arial" w:hAnsi="Arial" w:cs="Arial"/>
          <w:b/>
          <w:bCs/>
          <w:sz w:val="22"/>
          <w:szCs w:val="22"/>
          <w:lang w:val="en-GB"/>
        </w:rPr>
        <w:tab/>
      </w:r>
      <w:r w:rsidRPr="00E4265B">
        <w:rPr>
          <w:rFonts w:ascii="Arial" w:hAnsi="Arial" w:cs="Arial"/>
          <w:bCs/>
          <w:sz w:val="22"/>
          <w:szCs w:val="22"/>
          <w:lang w:val="en-GB"/>
        </w:rPr>
        <w:t xml:space="preserve">The Authorised Person must calculate the </w:t>
      </w:r>
      <w:r w:rsidRPr="00E4265B">
        <w:rPr>
          <w:rFonts w:ascii="Arial" w:hAnsi="Arial" w:cs="Arial"/>
          <w:bCs/>
          <w:i/>
          <w:iCs/>
          <w:sz w:val="22"/>
          <w:szCs w:val="22"/>
          <w:lang w:val="en-GB"/>
        </w:rPr>
        <w:t>MF</w:t>
      </w:r>
      <w:r w:rsidRPr="00E4265B">
        <w:rPr>
          <w:rFonts w:ascii="Arial" w:hAnsi="Arial" w:cs="Arial"/>
          <w:bCs/>
          <w:i/>
          <w:iCs/>
          <w:sz w:val="22"/>
          <w:szCs w:val="22"/>
          <w:vertAlign w:val="subscript"/>
          <w:lang w:val="en-GB"/>
        </w:rPr>
        <w:t>i</w:t>
      </w:r>
      <w:r w:rsidRPr="00E4265B">
        <w:rPr>
          <w:rFonts w:ascii="Arial" w:hAnsi="Arial" w:cs="Arial"/>
          <w:bCs/>
          <w:sz w:val="22"/>
          <w:szCs w:val="22"/>
          <w:lang w:val="en-GB"/>
        </w:rPr>
        <w:t xml:space="preserve"> of margined transactions in accordance with the following formula:</w:t>
      </w:r>
    </w:p>
    <w:p w14:paraId="0A5168EA" w14:textId="77777777" w:rsidR="00B30DE5" w:rsidRPr="00E4265B" w:rsidRDefault="00B30DE5" w:rsidP="00EB2E15">
      <w:pPr>
        <w:pStyle w:val="A1List"/>
        <w:ind w:left="630" w:firstLine="360"/>
        <w:rPr>
          <w:rFonts w:ascii="Arial" w:hAnsi="Arial" w:cs="Arial"/>
          <w:i/>
          <w:sz w:val="22"/>
          <w:szCs w:val="22"/>
          <w:lang w:val="en-GB"/>
        </w:rPr>
      </w:pPr>
      <m:oMathPara>
        <m:oMath>
          <m:r>
            <w:rPr>
              <w:rFonts w:ascii="Cambria Math" w:hAnsi="Cambria Math" w:cs="Arial"/>
              <w:sz w:val="22"/>
              <w:szCs w:val="22"/>
              <w:lang w:val="en-GB"/>
            </w:rPr>
            <m:t>M</m:t>
          </m:r>
          <m:sSubSup>
            <m:sSubSupPr>
              <m:ctrlPr>
                <w:rPr>
                  <w:rFonts w:ascii="Cambria Math" w:hAnsi="Cambria Math" w:cs="Arial"/>
                  <w:i/>
                  <w:sz w:val="22"/>
                  <w:szCs w:val="22"/>
                  <w:lang w:val="en-GB"/>
                </w:rPr>
              </m:ctrlPr>
            </m:sSubSupPr>
            <m:e>
              <m:r>
                <w:rPr>
                  <w:rFonts w:ascii="Cambria Math" w:hAnsi="Cambria Math" w:cs="Arial"/>
                  <w:sz w:val="22"/>
                  <w:szCs w:val="22"/>
                  <w:lang w:val="en-GB"/>
                </w:rPr>
                <m:t>F</m:t>
              </m:r>
            </m:e>
            <m:sub>
              <m:r>
                <w:rPr>
                  <w:rFonts w:ascii="Cambria Math" w:hAnsi="Cambria Math" w:cs="Arial"/>
                  <w:sz w:val="22"/>
                  <w:szCs w:val="22"/>
                  <w:lang w:val="en-GB"/>
                </w:rPr>
                <m:t>i</m:t>
              </m:r>
            </m:sub>
            <m:sup>
              <m:r>
                <w:rPr>
                  <w:rFonts w:ascii="Cambria Math" w:hAnsi="Cambria Math" w:cs="Arial"/>
                  <w:sz w:val="22"/>
                  <w:szCs w:val="22"/>
                  <w:lang w:val="en-GB"/>
                </w:rPr>
                <m:t>(margined)</m:t>
              </m:r>
            </m:sup>
          </m:sSubSup>
          <m:r>
            <w:rPr>
              <w:rFonts w:ascii="Cambria Math" w:hAnsi="Cambria Math" w:cs="Arial"/>
              <w:sz w:val="22"/>
              <w:szCs w:val="22"/>
              <w:lang w:val="en-GB"/>
            </w:rPr>
            <m:t>=</m:t>
          </m:r>
          <m:f>
            <m:fPr>
              <m:ctrlPr>
                <w:rPr>
                  <w:rFonts w:ascii="Cambria Math" w:hAnsi="Cambria Math" w:cs="Arial"/>
                  <w:i/>
                  <w:sz w:val="22"/>
                  <w:szCs w:val="22"/>
                  <w:lang w:val="en-GB"/>
                </w:rPr>
              </m:ctrlPr>
            </m:fPr>
            <m:num>
              <m:r>
                <w:rPr>
                  <w:rFonts w:ascii="Cambria Math" w:hAnsi="Cambria Math" w:cs="Arial"/>
                  <w:sz w:val="22"/>
                  <w:szCs w:val="22"/>
                  <w:lang w:val="en-GB"/>
                </w:rPr>
                <m:t>3</m:t>
              </m:r>
            </m:num>
            <m:den>
              <m:r>
                <w:rPr>
                  <w:rFonts w:ascii="Cambria Math" w:hAnsi="Cambria Math" w:cs="Arial"/>
                  <w:sz w:val="22"/>
                  <w:szCs w:val="22"/>
                  <w:lang w:val="en-GB"/>
                </w:rPr>
                <m:t>2</m:t>
              </m:r>
            </m:den>
          </m:f>
          <m:rad>
            <m:radPr>
              <m:degHide m:val="1"/>
              <m:ctrlPr>
                <w:rPr>
                  <w:rFonts w:ascii="Cambria Math" w:hAnsi="Cambria Math" w:cs="Arial"/>
                  <w:i/>
                  <w:sz w:val="22"/>
                  <w:szCs w:val="22"/>
                  <w:lang w:val="en-GB"/>
                </w:rPr>
              </m:ctrlPr>
            </m:radPr>
            <m:deg/>
            <m:e>
              <m:f>
                <m:fPr>
                  <m:ctrlPr>
                    <w:rPr>
                      <w:rFonts w:ascii="Cambria Math" w:hAnsi="Cambria Math" w:cs="Arial"/>
                      <w:i/>
                      <w:sz w:val="22"/>
                      <w:szCs w:val="22"/>
                      <w:lang w:val="en-GB"/>
                    </w:rPr>
                  </m:ctrlPr>
                </m:fPr>
                <m:num>
                  <m:r>
                    <w:rPr>
                      <w:rFonts w:ascii="Cambria Math" w:hAnsi="Cambria Math" w:cs="Arial"/>
                      <w:sz w:val="22"/>
                      <w:szCs w:val="22"/>
                      <w:lang w:val="en-GB"/>
                    </w:rPr>
                    <m:t>MPO</m:t>
                  </m:r>
                  <m:sSub>
                    <m:sSubPr>
                      <m:ctrlPr>
                        <w:rPr>
                          <w:rFonts w:ascii="Cambria Math" w:hAnsi="Cambria Math" w:cs="Arial"/>
                          <w:i/>
                          <w:sz w:val="22"/>
                          <w:szCs w:val="22"/>
                          <w:lang w:val="en-GB"/>
                        </w:rPr>
                      </m:ctrlPr>
                    </m:sSubPr>
                    <m:e>
                      <m:r>
                        <w:rPr>
                          <w:rFonts w:ascii="Cambria Math" w:hAnsi="Cambria Math" w:cs="Arial"/>
                          <w:sz w:val="22"/>
                          <w:szCs w:val="22"/>
                          <w:lang w:val="en-GB"/>
                        </w:rPr>
                        <m:t>R</m:t>
                      </m:r>
                    </m:e>
                    <m:sub>
                      <m:r>
                        <w:rPr>
                          <w:rFonts w:ascii="Cambria Math" w:hAnsi="Cambria Math" w:cs="Arial"/>
                          <w:sz w:val="22"/>
                          <w:szCs w:val="22"/>
                          <w:lang w:val="en-GB"/>
                        </w:rPr>
                        <m:t>i</m:t>
                      </m:r>
                    </m:sub>
                  </m:sSub>
                </m:num>
                <m:den>
                  <m:r>
                    <w:rPr>
                      <w:rFonts w:ascii="Cambria Math" w:hAnsi="Cambria Math" w:cs="Arial"/>
                      <w:sz w:val="22"/>
                      <w:szCs w:val="22"/>
                      <w:lang w:val="en-GB"/>
                    </w:rPr>
                    <m:t>1 year</m:t>
                  </m:r>
                </m:den>
              </m:f>
            </m:e>
          </m:rad>
        </m:oMath>
      </m:oMathPara>
    </w:p>
    <w:p w14:paraId="703282AA" w14:textId="77777777" w:rsidR="00B30DE5" w:rsidRPr="00E4265B" w:rsidRDefault="00B30DE5" w:rsidP="00224455">
      <w:pPr>
        <w:pStyle w:val="A1List"/>
        <w:ind w:left="1984"/>
        <w:rPr>
          <w:rFonts w:ascii="Arial" w:eastAsiaTheme="minorEastAsia" w:hAnsi="Arial" w:cs="Arial"/>
          <w:bCs/>
          <w:sz w:val="22"/>
          <w:szCs w:val="22"/>
          <w:lang w:val="en-GB"/>
        </w:rPr>
      </w:pPr>
    </w:p>
    <w:p w14:paraId="5CCBB3A9" w14:textId="77777777" w:rsidR="00224455" w:rsidRPr="00E4265B" w:rsidRDefault="00224455" w:rsidP="00224455">
      <w:pPr>
        <w:pStyle w:val="A1List"/>
        <w:ind w:left="990" w:firstLine="0"/>
        <w:rPr>
          <w:rFonts w:ascii="Arial" w:hAnsi="Arial" w:cs="Arial"/>
          <w:bCs/>
          <w:sz w:val="22"/>
          <w:szCs w:val="22"/>
          <w:lang w:val="en-GB"/>
        </w:rPr>
      </w:pPr>
      <w:r w:rsidRPr="00E4265B">
        <w:rPr>
          <w:rFonts w:ascii="Arial" w:hAnsi="Arial" w:cs="Arial"/>
          <w:bCs/>
          <w:sz w:val="22"/>
          <w:szCs w:val="22"/>
          <w:lang w:val="en-GB"/>
        </w:rPr>
        <w:t>The appropriate margin period of risk (</w:t>
      </w:r>
      <w:r w:rsidRPr="00E4265B">
        <w:rPr>
          <w:rFonts w:ascii="Arial" w:hAnsi="Arial" w:cs="Arial"/>
          <w:bCs/>
          <w:i/>
          <w:iCs/>
          <w:sz w:val="22"/>
          <w:szCs w:val="22"/>
          <w:lang w:val="en-GB"/>
        </w:rPr>
        <w:t>MPOR</w:t>
      </w:r>
      <w:r w:rsidRPr="00E4265B">
        <w:rPr>
          <w:rFonts w:ascii="Arial" w:hAnsi="Arial" w:cs="Arial"/>
          <w:bCs/>
          <w:i/>
          <w:iCs/>
          <w:sz w:val="22"/>
          <w:szCs w:val="22"/>
          <w:vertAlign w:val="subscript"/>
          <w:lang w:val="en-GB"/>
        </w:rPr>
        <w:t>i</w:t>
      </w:r>
      <w:r w:rsidRPr="00E4265B">
        <w:rPr>
          <w:rFonts w:ascii="Arial" w:hAnsi="Arial" w:cs="Arial"/>
          <w:bCs/>
          <w:sz w:val="22"/>
          <w:szCs w:val="22"/>
          <w:lang w:val="en-GB"/>
        </w:rPr>
        <w:t>) is determined in accordance with the following table:</w:t>
      </w:r>
    </w:p>
    <w:tbl>
      <w:tblPr>
        <w:tblStyle w:val="TableGrid"/>
        <w:tblW w:w="0" w:type="auto"/>
        <w:tblInd w:w="1008" w:type="dxa"/>
        <w:tblLook w:val="04A0" w:firstRow="1" w:lastRow="0" w:firstColumn="1" w:lastColumn="0" w:noHBand="0" w:noVBand="1"/>
      </w:tblPr>
      <w:tblGrid>
        <w:gridCol w:w="4762"/>
        <w:gridCol w:w="3247"/>
      </w:tblGrid>
      <w:tr w:rsidR="00A01F35" w:rsidRPr="00E4265B" w14:paraId="0797187D" w14:textId="77777777" w:rsidTr="00CC5D1C">
        <w:trPr>
          <w:tblHeader/>
        </w:trPr>
        <w:tc>
          <w:tcPr>
            <w:tcW w:w="0" w:type="auto"/>
            <w:shd w:val="clear" w:color="auto" w:fill="D9D9D9" w:themeFill="background1" w:themeFillShade="D9"/>
            <w:vAlign w:val="center"/>
          </w:tcPr>
          <w:p w14:paraId="0DB836A2" w14:textId="77777777" w:rsidR="00A01F35" w:rsidRPr="00E4265B" w:rsidRDefault="00A01F35" w:rsidP="00A01F35">
            <w:pPr>
              <w:pStyle w:val="A1List"/>
              <w:tabs>
                <w:tab w:val="clear" w:pos="990"/>
              </w:tabs>
              <w:ind w:left="0" w:firstLine="0"/>
              <w:jc w:val="center"/>
              <w:rPr>
                <w:rFonts w:ascii="Arial" w:hAnsi="Arial" w:cs="Arial"/>
                <w:b/>
                <w:sz w:val="22"/>
                <w:szCs w:val="22"/>
                <w:lang w:val="en-GB"/>
              </w:rPr>
            </w:pPr>
            <w:r w:rsidRPr="00E4265B">
              <w:rPr>
                <w:rFonts w:ascii="Arial" w:hAnsi="Arial" w:cs="Arial"/>
                <w:b/>
                <w:sz w:val="22"/>
                <w:szCs w:val="22"/>
                <w:lang w:val="en-GB"/>
              </w:rPr>
              <w:t>Transaction Type</w:t>
            </w:r>
          </w:p>
        </w:tc>
        <w:tc>
          <w:tcPr>
            <w:tcW w:w="0" w:type="auto"/>
            <w:shd w:val="clear" w:color="auto" w:fill="D9D9D9" w:themeFill="background1" w:themeFillShade="D9"/>
            <w:vAlign w:val="center"/>
          </w:tcPr>
          <w:p w14:paraId="6F14AF54" w14:textId="77777777" w:rsidR="00A01F35" w:rsidRPr="00E4265B" w:rsidRDefault="00F12EB9" w:rsidP="00A01F35">
            <w:pPr>
              <w:pStyle w:val="A1List"/>
              <w:tabs>
                <w:tab w:val="clear" w:pos="990"/>
              </w:tabs>
              <w:ind w:left="0" w:firstLine="0"/>
              <w:jc w:val="center"/>
              <w:rPr>
                <w:rFonts w:ascii="Arial" w:hAnsi="Arial" w:cs="Arial"/>
                <w:b/>
                <w:sz w:val="22"/>
                <w:szCs w:val="22"/>
                <w:lang w:val="en-GB"/>
              </w:rPr>
            </w:pPr>
            <w:r w:rsidRPr="00E4265B">
              <w:rPr>
                <w:rFonts w:ascii="Arial" w:hAnsi="Arial" w:cs="Arial"/>
                <w:b/>
                <w:sz w:val="22"/>
                <w:szCs w:val="22"/>
                <w:lang w:val="en-GB"/>
              </w:rPr>
              <w:t xml:space="preserve">Minimum </w:t>
            </w:r>
            <w:r w:rsidR="00A01F35" w:rsidRPr="00E4265B">
              <w:rPr>
                <w:rFonts w:ascii="Arial" w:hAnsi="Arial" w:cs="Arial"/>
                <w:b/>
                <w:sz w:val="22"/>
                <w:szCs w:val="22"/>
                <w:lang w:val="en-GB"/>
              </w:rPr>
              <w:t>Margin Period of Risk (</w:t>
            </w:r>
            <w:r w:rsidR="00A01F35" w:rsidRPr="00E4265B">
              <w:rPr>
                <w:rFonts w:ascii="Arial" w:hAnsi="Arial" w:cs="Arial"/>
                <w:b/>
                <w:i/>
                <w:iCs/>
                <w:sz w:val="22"/>
                <w:szCs w:val="22"/>
                <w:lang w:val="en-GB"/>
              </w:rPr>
              <w:t>MPOR</w:t>
            </w:r>
            <w:r w:rsidR="00A01F35" w:rsidRPr="00E4265B">
              <w:rPr>
                <w:rFonts w:ascii="Arial" w:hAnsi="Arial" w:cs="Arial"/>
                <w:b/>
                <w:i/>
                <w:iCs/>
                <w:sz w:val="22"/>
                <w:szCs w:val="22"/>
                <w:vertAlign w:val="subscript"/>
                <w:lang w:val="en-GB"/>
              </w:rPr>
              <w:t>i</w:t>
            </w:r>
            <w:r w:rsidR="00A01F35" w:rsidRPr="00E4265B">
              <w:rPr>
                <w:rFonts w:ascii="Arial" w:hAnsi="Arial" w:cs="Arial"/>
                <w:b/>
                <w:sz w:val="22"/>
                <w:szCs w:val="22"/>
                <w:lang w:val="en-GB"/>
              </w:rPr>
              <w:t>)</w:t>
            </w:r>
          </w:p>
        </w:tc>
      </w:tr>
      <w:tr w:rsidR="00A01F35" w:rsidRPr="00E4265B" w14:paraId="0F172774" w14:textId="77777777" w:rsidTr="00CC5D1C">
        <w:tc>
          <w:tcPr>
            <w:tcW w:w="0" w:type="auto"/>
            <w:vAlign w:val="center"/>
          </w:tcPr>
          <w:p w14:paraId="4A932756" w14:textId="77777777" w:rsidR="00A01F35" w:rsidRPr="00E4265B" w:rsidRDefault="00A01F35" w:rsidP="00CC5D1C">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Non-centrally-cleared derivative transactions subject to daily margin agreements</w:t>
            </w:r>
          </w:p>
        </w:tc>
        <w:tc>
          <w:tcPr>
            <w:tcW w:w="0" w:type="auto"/>
            <w:vAlign w:val="center"/>
          </w:tcPr>
          <w:p w14:paraId="0A58E35D" w14:textId="220DD71D" w:rsidR="00A01F35" w:rsidRPr="00E4265B" w:rsidRDefault="00744616" w:rsidP="00A01F35">
            <w:pPr>
              <w:pStyle w:val="A1List"/>
              <w:tabs>
                <w:tab w:val="clear" w:pos="990"/>
              </w:tabs>
              <w:ind w:left="0" w:firstLine="0"/>
              <w:jc w:val="center"/>
              <w:rPr>
                <w:rFonts w:ascii="Arial" w:hAnsi="Arial" w:cs="Arial"/>
                <w:bCs/>
                <w:sz w:val="22"/>
                <w:szCs w:val="22"/>
                <w:lang w:val="en-GB"/>
              </w:rPr>
            </w:pPr>
            <w:r w:rsidRPr="00E4265B">
              <w:rPr>
                <w:rFonts w:ascii="Arial" w:hAnsi="Arial" w:cs="Arial"/>
                <w:bCs/>
                <w:sz w:val="22"/>
                <w:szCs w:val="22"/>
                <w:lang w:val="en-GB"/>
              </w:rPr>
              <w:t>Ten</w:t>
            </w:r>
            <w:r w:rsidR="00A01F35" w:rsidRPr="00E4265B">
              <w:rPr>
                <w:rFonts w:ascii="Arial" w:hAnsi="Arial" w:cs="Arial"/>
                <w:bCs/>
                <w:sz w:val="22"/>
                <w:szCs w:val="22"/>
                <w:lang w:val="en-GB"/>
              </w:rPr>
              <w:t xml:space="preserve"> business days</w:t>
            </w:r>
          </w:p>
        </w:tc>
      </w:tr>
      <w:tr w:rsidR="00A01F35" w:rsidRPr="00E4265B" w14:paraId="3BD53A99" w14:textId="77777777" w:rsidTr="00CC5D1C">
        <w:tc>
          <w:tcPr>
            <w:tcW w:w="0" w:type="auto"/>
            <w:vAlign w:val="center"/>
          </w:tcPr>
          <w:p w14:paraId="06513741" w14:textId="77777777" w:rsidR="00A01F35" w:rsidRPr="00E4265B" w:rsidRDefault="00A01F35" w:rsidP="00CC5D1C">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Centrally cleared derivative transactions subject to daily margin agreements</w:t>
            </w:r>
          </w:p>
        </w:tc>
        <w:tc>
          <w:tcPr>
            <w:tcW w:w="0" w:type="auto"/>
            <w:vAlign w:val="center"/>
          </w:tcPr>
          <w:p w14:paraId="74C16F3C" w14:textId="55A80F5F" w:rsidR="00A01F35" w:rsidRPr="00E4265B" w:rsidRDefault="00744616" w:rsidP="00A01F35">
            <w:pPr>
              <w:pStyle w:val="A1List"/>
              <w:tabs>
                <w:tab w:val="clear" w:pos="990"/>
              </w:tabs>
              <w:ind w:left="0" w:firstLine="0"/>
              <w:jc w:val="center"/>
              <w:rPr>
                <w:rFonts w:ascii="Arial" w:hAnsi="Arial" w:cs="Arial"/>
                <w:bCs/>
                <w:sz w:val="22"/>
                <w:szCs w:val="22"/>
                <w:lang w:val="en-GB"/>
              </w:rPr>
            </w:pPr>
            <w:r w:rsidRPr="00E4265B">
              <w:rPr>
                <w:rFonts w:ascii="Arial" w:hAnsi="Arial" w:cs="Arial"/>
                <w:bCs/>
                <w:sz w:val="22"/>
                <w:szCs w:val="22"/>
                <w:lang w:val="en-GB"/>
              </w:rPr>
              <w:t>Five</w:t>
            </w:r>
            <w:r w:rsidR="00A01F35" w:rsidRPr="00E4265B">
              <w:rPr>
                <w:rFonts w:ascii="Arial" w:hAnsi="Arial" w:cs="Arial"/>
                <w:bCs/>
                <w:sz w:val="22"/>
                <w:szCs w:val="22"/>
                <w:lang w:val="en-GB"/>
              </w:rPr>
              <w:t xml:space="preserve"> business days</w:t>
            </w:r>
          </w:p>
        </w:tc>
      </w:tr>
      <w:tr w:rsidR="00A01F35" w:rsidRPr="00E4265B" w14:paraId="117E2420" w14:textId="77777777" w:rsidTr="00CC5D1C">
        <w:tc>
          <w:tcPr>
            <w:tcW w:w="0" w:type="auto"/>
            <w:vAlign w:val="center"/>
          </w:tcPr>
          <w:p w14:paraId="7E35C556" w14:textId="77777777" w:rsidR="00A01F35" w:rsidRPr="00E4265B" w:rsidRDefault="00A01F35" w:rsidP="00CC5D1C">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 xml:space="preserve">Netting sets consisting of 5,000 or more transactions that are not with a central counterparty </w:t>
            </w:r>
          </w:p>
        </w:tc>
        <w:tc>
          <w:tcPr>
            <w:tcW w:w="0" w:type="auto"/>
            <w:vAlign w:val="center"/>
          </w:tcPr>
          <w:p w14:paraId="6FE07890" w14:textId="458AE341" w:rsidR="00A01F35" w:rsidRPr="00E4265B" w:rsidRDefault="00744616" w:rsidP="00A01F35">
            <w:pPr>
              <w:pStyle w:val="A1List"/>
              <w:tabs>
                <w:tab w:val="clear" w:pos="990"/>
              </w:tabs>
              <w:ind w:left="0" w:firstLine="0"/>
              <w:jc w:val="center"/>
              <w:rPr>
                <w:rFonts w:ascii="Arial" w:hAnsi="Arial" w:cs="Arial"/>
                <w:bCs/>
                <w:sz w:val="22"/>
                <w:szCs w:val="22"/>
                <w:lang w:val="en-GB"/>
              </w:rPr>
            </w:pPr>
            <w:r w:rsidRPr="00E4265B">
              <w:rPr>
                <w:rFonts w:ascii="Arial" w:hAnsi="Arial" w:cs="Arial"/>
                <w:bCs/>
                <w:sz w:val="22"/>
                <w:szCs w:val="22"/>
                <w:lang w:val="en-GB"/>
              </w:rPr>
              <w:t>Twenty</w:t>
            </w:r>
            <w:r w:rsidR="00A01F35" w:rsidRPr="00E4265B">
              <w:rPr>
                <w:rFonts w:ascii="Arial" w:hAnsi="Arial" w:cs="Arial"/>
                <w:bCs/>
                <w:sz w:val="22"/>
                <w:szCs w:val="22"/>
                <w:lang w:val="en-GB"/>
              </w:rPr>
              <w:t xml:space="preserve"> business days</w:t>
            </w:r>
          </w:p>
        </w:tc>
      </w:tr>
      <w:tr w:rsidR="00A01F35" w:rsidRPr="00E4265B" w14:paraId="1E1A8D5D" w14:textId="77777777" w:rsidTr="00CC5D1C">
        <w:tc>
          <w:tcPr>
            <w:tcW w:w="0" w:type="auto"/>
            <w:vAlign w:val="center"/>
          </w:tcPr>
          <w:p w14:paraId="2F3CA430" w14:textId="77777777" w:rsidR="00A01F35" w:rsidRPr="00E4265B" w:rsidRDefault="00A01F35" w:rsidP="00CC5D1C">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Netting sets with outstanding disputes</w:t>
            </w:r>
          </w:p>
        </w:tc>
        <w:tc>
          <w:tcPr>
            <w:tcW w:w="0" w:type="auto"/>
            <w:vAlign w:val="center"/>
          </w:tcPr>
          <w:p w14:paraId="447380A2" w14:textId="77777777" w:rsidR="00A01F35" w:rsidRPr="00E4265B" w:rsidRDefault="00A01F35" w:rsidP="00A01F35">
            <w:pPr>
              <w:pStyle w:val="A1List"/>
              <w:tabs>
                <w:tab w:val="clear" w:pos="990"/>
              </w:tabs>
              <w:ind w:left="0" w:firstLine="0"/>
              <w:jc w:val="center"/>
              <w:rPr>
                <w:rFonts w:ascii="Arial" w:hAnsi="Arial" w:cs="Arial"/>
                <w:bCs/>
                <w:sz w:val="22"/>
                <w:szCs w:val="22"/>
                <w:lang w:val="en-GB"/>
              </w:rPr>
            </w:pPr>
            <w:r w:rsidRPr="00E4265B">
              <w:rPr>
                <w:rFonts w:ascii="Arial" w:hAnsi="Arial" w:cs="Arial"/>
                <w:bCs/>
                <w:sz w:val="22"/>
                <w:szCs w:val="22"/>
                <w:lang w:val="en-GB"/>
              </w:rPr>
              <w:t xml:space="preserve">Double the </w:t>
            </w:r>
            <w:r w:rsidRPr="00E4265B">
              <w:rPr>
                <w:rFonts w:ascii="Arial" w:hAnsi="Arial" w:cs="Arial"/>
                <w:bCs/>
                <w:i/>
                <w:iCs/>
                <w:sz w:val="22"/>
                <w:szCs w:val="22"/>
                <w:lang w:val="en-GB"/>
              </w:rPr>
              <w:t>MPOR</w:t>
            </w:r>
            <w:r w:rsidRPr="00E4265B">
              <w:rPr>
                <w:rFonts w:ascii="Arial" w:hAnsi="Arial" w:cs="Arial"/>
                <w:bCs/>
                <w:i/>
                <w:iCs/>
                <w:sz w:val="22"/>
                <w:szCs w:val="22"/>
                <w:vertAlign w:val="subscript"/>
                <w:lang w:val="en-GB"/>
              </w:rPr>
              <w:t>i</w:t>
            </w:r>
            <w:r w:rsidRPr="00E4265B">
              <w:rPr>
                <w:rFonts w:ascii="Arial" w:hAnsi="Arial" w:cs="Arial"/>
                <w:bCs/>
                <w:sz w:val="22"/>
                <w:szCs w:val="22"/>
                <w:lang w:val="en-GB"/>
              </w:rPr>
              <w:t xml:space="preserve"> for the relevant category of transaction</w:t>
            </w:r>
          </w:p>
        </w:tc>
      </w:tr>
    </w:tbl>
    <w:p w14:paraId="7BADD956" w14:textId="77777777" w:rsidR="00A01F35" w:rsidRPr="00E4265B" w:rsidRDefault="00A01F35" w:rsidP="0089332A">
      <w:pPr>
        <w:pStyle w:val="TitleL5"/>
        <w:rPr>
          <w:rFonts w:ascii="Arial" w:hAnsi="Arial" w:cs="Arial"/>
          <w:sz w:val="22"/>
          <w:szCs w:val="22"/>
          <w:highlight w:val="yellow"/>
          <w:lang w:val="en-GB"/>
        </w:rPr>
      </w:pPr>
    </w:p>
    <w:p w14:paraId="5777AD0E" w14:textId="77777777" w:rsidR="00A01F35" w:rsidRPr="00E4265B" w:rsidRDefault="00A01F35" w:rsidP="00A01F35">
      <w:pPr>
        <w:pStyle w:val="TitleL5"/>
        <w:rPr>
          <w:rFonts w:ascii="Arial" w:hAnsi="Arial" w:cs="Arial"/>
          <w:sz w:val="22"/>
          <w:szCs w:val="22"/>
          <w:lang w:val="en-GB"/>
        </w:rPr>
      </w:pPr>
      <w:r w:rsidRPr="00E4265B">
        <w:rPr>
          <w:rFonts w:ascii="Arial" w:hAnsi="Arial" w:cs="Arial"/>
          <w:sz w:val="22"/>
          <w:szCs w:val="22"/>
          <w:lang w:val="en-GB"/>
        </w:rPr>
        <w:t>Supervisory factors, correlation and supervisory option volatilities</w:t>
      </w:r>
    </w:p>
    <w:p w14:paraId="2536D2D2" w14:textId="77777777" w:rsidR="00A01F35" w:rsidRPr="00E4265B" w:rsidRDefault="00A01F35" w:rsidP="00A01F35">
      <w:pPr>
        <w:pStyle w:val="A1List"/>
        <w:rPr>
          <w:rFonts w:ascii="Arial" w:hAnsi="Arial" w:cs="Arial"/>
          <w:bCs/>
          <w:sz w:val="22"/>
          <w:szCs w:val="22"/>
          <w:lang w:val="en-GB"/>
        </w:rPr>
      </w:pPr>
      <w:r w:rsidRPr="00E4265B">
        <w:rPr>
          <w:rFonts w:ascii="Arial" w:hAnsi="Arial" w:cs="Arial"/>
          <w:b/>
          <w:bCs/>
          <w:sz w:val="22"/>
          <w:szCs w:val="22"/>
          <w:lang w:val="en-GB"/>
        </w:rPr>
        <w:t>A4.6.34</w:t>
      </w:r>
      <w:r w:rsidRPr="00E4265B">
        <w:rPr>
          <w:rFonts w:ascii="Arial" w:hAnsi="Arial" w:cs="Arial"/>
          <w:b/>
          <w:bCs/>
          <w:sz w:val="22"/>
          <w:szCs w:val="22"/>
          <w:lang w:val="en-GB"/>
        </w:rPr>
        <w:tab/>
      </w:r>
      <w:r w:rsidRPr="00E4265B">
        <w:rPr>
          <w:rFonts w:ascii="Arial" w:hAnsi="Arial" w:cs="Arial"/>
          <w:bCs/>
          <w:sz w:val="22"/>
          <w:szCs w:val="22"/>
          <w:lang w:val="en-GB"/>
        </w:rPr>
        <w:t>Supervisory factors are specific to each asset class. The Authorised Person must refer to the table below to determine the supervisory factor relevant to their determination of the add-on for their particular asset class in accordance with the asset-class-specific formulae set out in</w:t>
      </w:r>
      <w:r w:rsidR="00F12EB9" w:rsidRPr="00E4265B">
        <w:rPr>
          <w:rFonts w:ascii="Arial" w:hAnsi="Arial" w:cs="Arial"/>
          <w:bCs/>
          <w:sz w:val="22"/>
          <w:szCs w:val="22"/>
          <w:lang w:val="en-GB"/>
        </w:rPr>
        <w:t xml:space="preserve"> Rules A4.6.35 to</w:t>
      </w:r>
      <w:r w:rsidRPr="00E4265B">
        <w:rPr>
          <w:rFonts w:ascii="Arial" w:hAnsi="Arial" w:cs="Arial"/>
          <w:bCs/>
          <w:sz w:val="22"/>
          <w:szCs w:val="22"/>
          <w:lang w:val="en-GB"/>
        </w:rPr>
        <w:t xml:space="preserve"> A4.6.58.</w:t>
      </w:r>
    </w:p>
    <w:tbl>
      <w:tblPr>
        <w:tblStyle w:val="TableGrid"/>
        <w:tblW w:w="0" w:type="auto"/>
        <w:tblInd w:w="990" w:type="dxa"/>
        <w:tblLook w:val="04A0" w:firstRow="1" w:lastRow="0" w:firstColumn="1" w:lastColumn="0" w:noHBand="0" w:noVBand="1"/>
      </w:tblPr>
      <w:tblGrid>
        <w:gridCol w:w="1664"/>
        <w:gridCol w:w="1710"/>
        <w:gridCol w:w="1488"/>
        <w:gridCol w:w="1449"/>
        <w:gridCol w:w="1716"/>
      </w:tblGrid>
      <w:tr w:rsidR="005677DE" w:rsidRPr="00E4265B" w14:paraId="5D739099" w14:textId="77777777" w:rsidTr="005677DE">
        <w:trPr>
          <w:trHeight w:val="216"/>
          <w:tblHeader/>
        </w:trPr>
        <w:tc>
          <w:tcPr>
            <w:tcW w:w="0" w:type="auto"/>
            <w:shd w:val="clear" w:color="auto" w:fill="D9D9D9" w:themeFill="background1" w:themeFillShade="D9"/>
            <w:vAlign w:val="center"/>
          </w:tcPr>
          <w:p w14:paraId="434288DF" w14:textId="77777777" w:rsidR="00F12EB9" w:rsidRPr="00E4265B" w:rsidRDefault="00F12EB9" w:rsidP="00605654">
            <w:pPr>
              <w:pStyle w:val="A1List"/>
              <w:tabs>
                <w:tab w:val="clear" w:pos="990"/>
              </w:tabs>
              <w:ind w:left="0" w:firstLine="0"/>
              <w:rPr>
                <w:rFonts w:ascii="Arial" w:hAnsi="Arial" w:cs="Arial"/>
                <w:b/>
                <w:sz w:val="22"/>
                <w:szCs w:val="22"/>
                <w:lang w:val="en-GB"/>
              </w:rPr>
            </w:pPr>
            <w:r w:rsidRPr="00E4265B">
              <w:rPr>
                <w:rFonts w:ascii="Arial" w:hAnsi="Arial" w:cs="Arial"/>
                <w:b/>
                <w:sz w:val="22"/>
                <w:szCs w:val="22"/>
                <w:lang w:val="en-GB"/>
              </w:rPr>
              <w:t>Asset Class</w:t>
            </w:r>
          </w:p>
        </w:tc>
        <w:tc>
          <w:tcPr>
            <w:tcW w:w="1710" w:type="dxa"/>
            <w:shd w:val="clear" w:color="auto" w:fill="D9D9D9" w:themeFill="background1" w:themeFillShade="D9"/>
            <w:vAlign w:val="center"/>
          </w:tcPr>
          <w:p w14:paraId="6A89B0E5" w14:textId="77777777" w:rsidR="00F12EB9" w:rsidRPr="00E4265B" w:rsidRDefault="00F12EB9" w:rsidP="00A01F35">
            <w:pPr>
              <w:pStyle w:val="A1List"/>
              <w:tabs>
                <w:tab w:val="clear" w:pos="990"/>
              </w:tabs>
              <w:ind w:left="0" w:firstLine="0"/>
              <w:jc w:val="center"/>
              <w:rPr>
                <w:rFonts w:ascii="Arial" w:hAnsi="Arial" w:cs="Arial"/>
                <w:b/>
                <w:sz w:val="22"/>
                <w:szCs w:val="22"/>
                <w:lang w:val="en-GB"/>
              </w:rPr>
            </w:pPr>
            <w:r w:rsidRPr="00E4265B">
              <w:rPr>
                <w:rFonts w:ascii="Arial" w:hAnsi="Arial" w:cs="Arial"/>
                <w:b/>
                <w:sz w:val="22"/>
                <w:szCs w:val="22"/>
                <w:lang w:val="en-GB"/>
              </w:rPr>
              <w:t>Subclass</w:t>
            </w:r>
          </w:p>
        </w:tc>
        <w:tc>
          <w:tcPr>
            <w:tcW w:w="1380" w:type="dxa"/>
            <w:shd w:val="clear" w:color="auto" w:fill="D9D9D9" w:themeFill="background1" w:themeFillShade="D9"/>
            <w:vAlign w:val="center"/>
          </w:tcPr>
          <w:p w14:paraId="3F5431E2" w14:textId="57EE6207" w:rsidR="00F12EB9" w:rsidRPr="00E4265B" w:rsidRDefault="00F12EB9" w:rsidP="005677DE">
            <w:pPr>
              <w:pStyle w:val="A1List"/>
              <w:tabs>
                <w:tab w:val="clear" w:pos="990"/>
              </w:tabs>
              <w:ind w:left="0" w:firstLine="0"/>
              <w:jc w:val="center"/>
              <w:rPr>
                <w:rFonts w:ascii="Arial" w:hAnsi="Arial" w:cs="Arial"/>
                <w:b/>
                <w:sz w:val="22"/>
                <w:szCs w:val="22"/>
                <w:lang w:val="en-GB"/>
              </w:rPr>
            </w:pPr>
            <w:r w:rsidRPr="00E4265B">
              <w:rPr>
                <w:rFonts w:ascii="Arial" w:hAnsi="Arial" w:cs="Arial"/>
                <w:b/>
                <w:sz w:val="22"/>
                <w:szCs w:val="22"/>
                <w:lang w:val="en-GB"/>
              </w:rPr>
              <w:t>Supervisory factor</w:t>
            </w:r>
            <w:r w:rsidR="003732F6" w:rsidRPr="00E4265B">
              <w:rPr>
                <w:rFonts w:ascii="Arial" w:hAnsi="Arial" w:cs="Arial"/>
                <w:b/>
                <w:sz w:val="22"/>
                <w:szCs w:val="22"/>
                <w:lang w:val="en-GB"/>
              </w:rPr>
              <w:t xml:space="preserve"> </w:t>
            </w:r>
            <w:r w:rsidRPr="00E4265B">
              <w:rPr>
                <w:rFonts w:ascii="Arial" w:hAnsi="Arial" w:cs="Arial"/>
                <w:b/>
                <w:i/>
                <w:iCs/>
                <w:sz w:val="22"/>
                <w:szCs w:val="22"/>
                <w:lang w:val="en-GB"/>
              </w:rPr>
              <w:t>SF</w:t>
            </w:r>
            <w:r w:rsidR="003732F6" w:rsidRPr="00E4265B">
              <w:rPr>
                <w:rFonts w:ascii="Arial" w:hAnsi="Arial" w:cs="Arial"/>
                <w:b/>
                <w:sz w:val="22"/>
                <w:szCs w:val="22"/>
                <w:lang w:val="en-GB"/>
              </w:rPr>
              <w:t xml:space="preserve"> (%</w:t>
            </w:r>
            <w:r w:rsidRPr="00E4265B">
              <w:rPr>
                <w:rFonts w:ascii="Arial" w:hAnsi="Arial" w:cs="Arial"/>
                <w:b/>
                <w:sz w:val="22"/>
                <w:szCs w:val="22"/>
                <w:lang w:val="en-GB"/>
              </w:rPr>
              <w:t>)</w:t>
            </w:r>
          </w:p>
        </w:tc>
        <w:tc>
          <w:tcPr>
            <w:tcW w:w="0" w:type="auto"/>
            <w:shd w:val="clear" w:color="auto" w:fill="D9D9D9" w:themeFill="background1" w:themeFillShade="D9"/>
            <w:vAlign w:val="center"/>
          </w:tcPr>
          <w:p w14:paraId="1C0A8C23" w14:textId="6F3379C9" w:rsidR="00F12EB9" w:rsidRPr="00E4265B" w:rsidRDefault="00F12EB9" w:rsidP="005677DE">
            <w:pPr>
              <w:pStyle w:val="A1List"/>
              <w:tabs>
                <w:tab w:val="clear" w:pos="990"/>
              </w:tabs>
              <w:ind w:left="0" w:firstLine="0"/>
              <w:jc w:val="center"/>
              <w:rPr>
                <w:rFonts w:ascii="Arial" w:hAnsi="Arial" w:cs="Arial"/>
                <w:b/>
                <w:sz w:val="22"/>
                <w:szCs w:val="22"/>
                <w:lang w:val="en-GB"/>
              </w:rPr>
            </w:pPr>
            <w:r w:rsidRPr="00E4265B">
              <w:rPr>
                <w:rFonts w:ascii="Arial" w:hAnsi="Arial" w:cs="Arial"/>
                <w:b/>
                <w:sz w:val="22"/>
                <w:szCs w:val="22"/>
                <w:lang w:val="en-GB"/>
              </w:rPr>
              <w:t>C</w:t>
            </w:r>
            <w:r w:rsidR="003732F6" w:rsidRPr="00E4265B">
              <w:rPr>
                <w:rFonts w:ascii="Arial" w:hAnsi="Arial" w:cs="Arial"/>
                <w:b/>
                <w:sz w:val="22"/>
                <w:szCs w:val="22"/>
                <w:lang w:val="en-GB"/>
              </w:rPr>
              <w:t xml:space="preserve">orrelation </w:t>
            </w:r>
            <w:r w:rsidRPr="00E4265B">
              <w:rPr>
                <w:rFonts w:ascii="Arial" w:hAnsi="Arial" w:cs="Arial"/>
                <w:b/>
                <w:i/>
                <w:iCs/>
                <w:sz w:val="22"/>
                <w:szCs w:val="22"/>
                <w:lang w:val="en-GB"/>
              </w:rPr>
              <w:t>ρ</w:t>
            </w:r>
            <w:r w:rsidR="003732F6" w:rsidRPr="00E4265B">
              <w:rPr>
                <w:rFonts w:ascii="Arial" w:hAnsi="Arial" w:cs="Arial"/>
                <w:b/>
                <w:sz w:val="22"/>
                <w:szCs w:val="22"/>
                <w:lang w:val="en-GB"/>
              </w:rPr>
              <w:t xml:space="preserve"> (%</w:t>
            </w:r>
            <w:r w:rsidRPr="00E4265B">
              <w:rPr>
                <w:rFonts w:ascii="Arial" w:hAnsi="Arial" w:cs="Arial"/>
                <w:b/>
                <w:sz w:val="22"/>
                <w:szCs w:val="22"/>
                <w:lang w:val="en-GB"/>
              </w:rPr>
              <w:t>)</w:t>
            </w:r>
          </w:p>
        </w:tc>
        <w:tc>
          <w:tcPr>
            <w:tcW w:w="0" w:type="auto"/>
            <w:shd w:val="clear" w:color="auto" w:fill="D9D9D9" w:themeFill="background1" w:themeFillShade="D9"/>
            <w:vAlign w:val="center"/>
          </w:tcPr>
          <w:p w14:paraId="5BAED6CE" w14:textId="24D40CA8" w:rsidR="00F12EB9" w:rsidRPr="00E4265B" w:rsidRDefault="003732F6" w:rsidP="005677DE">
            <w:pPr>
              <w:pStyle w:val="A1List"/>
              <w:tabs>
                <w:tab w:val="clear" w:pos="990"/>
              </w:tabs>
              <w:ind w:left="0" w:firstLine="0"/>
              <w:jc w:val="center"/>
              <w:rPr>
                <w:rFonts w:ascii="Arial" w:hAnsi="Arial" w:cs="Arial"/>
                <w:b/>
                <w:sz w:val="22"/>
                <w:szCs w:val="22"/>
                <w:lang w:val="en-GB"/>
              </w:rPr>
            </w:pPr>
            <w:r w:rsidRPr="00E4265B">
              <w:rPr>
                <w:rFonts w:ascii="Arial" w:hAnsi="Arial" w:cs="Arial"/>
                <w:b/>
                <w:sz w:val="22"/>
                <w:szCs w:val="22"/>
                <w:lang w:val="en-GB"/>
              </w:rPr>
              <w:t xml:space="preserve">Supervisory </w:t>
            </w:r>
            <w:r w:rsidR="00CC5D1C" w:rsidRPr="00E4265B">
              <w:rPr>
                <w:rFonts w:ascii="Arial" w:hAnsi="Arial" w:cs="Arial"/>
                <w:b/>
                <w:sz w:val="22"/>
                <w:szCs w:val="22"/>
                <w:lang w:val="en-GB"/>
              </w:rPr>
              <w:t xml:space="preserve">option </w:t>
            </w:r>
            <w:r w:rsidRPr="00E4265B">
              <w:rPr>
                <w:rFonts w:ascii="Arial" w:hAnsi="Arial" w:cs="Arial"/>
                <w:b/>
                <w:sz w:val="22"/>
                <w:szCs w:val="22"/>
                <w:lang w:val="en-GB"/>
              </w:rPr>
              <w:t xml:space="preserve">volatility </w:t>
            </w:r>
            <w:r w:rsidR="00F12EB9" w:rsidRPr="00E4265B">
              <w:rPr>
                <w:rFonts w:ascii="Arial" w:hAnsi="Arial" w:cs="Arial"/>
                <w:b/>
                <w:i/>
                <w:iCs/>
                <w:sz w:val="22"/>
                <w:szCs w:val="22"/>
                <w:lang w:val="en-GB"/>
              </w:rPr>
              <w:t>σ</w:t>
            </w:r>
            <w:r w:rsidRPr="00E4265B">
              <w:rPr>
                <w:rFonts w:ascii="Arial" w:hAnsi="Arial" w:cs="Arial"/>
                <w:b/>
                <w:sz w:val="22"/>
                <w:szCs w:val="22"/>
                <w:lang w:val="en-GB"/>
              </w:rPr>
              <w:t xml:space="preserve"> (%</w:t>
            </w:r>
            <w:r w:rsidR="00F12EB9" w:rsidRPr="00E4265B">
              <w:rPr>
                <w:rFonts w:ascii="Arial" w:hAnsi="Arial" w:cs="Arial"/>
                <w:b/>
                <w:sz w:val="22"/>
                <w:szCs w:val="22"/>
                <w:lang w:val="en-GB"/>
              </w:rPr>
              <w:t>)</w:t>
            </w:r>
          </w:p>
        </w:tc>
      </w:tr>
      <w:tr w:rsidR="005677DE" w:rsidRPr="00E4265B" w14:paraId="56FFB85D" w14:textId="77777777" w:rsidTr="005677DE">
        <w:trPr>
          <w:trHeight w:val="216"/>
        </w:trPr>
        <w:tc>
          <w:tcPr>
            <w:tcW w:w="0" w:type="auto"/>
            <w:vAlign w:val="center"/>
          </w:tcPr>
          <w:p w14:paraId="357F2FC6" w14:textId="77777777" w:rsidR="00F12EB9" w:rsidRPr="00E4265B" w:rsidRDefault="00F12EB9" w:rsidP="003732F6">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Interest rate</w:t>
            </w:r>
          </w:p>
        </w:tc>
        <w:tc>
          <w:tcPr>
            <w:tcW w:w="1710" w:type="dxa"/>
            <w:shd w:val="clear" w:color="auto" w:fill="F2F2F2" w:themeFill="background1" w:themeFillShade="F2"/>
            <w:vAlign w:val="center"/>
          </w:tcPr>
          <w:p w14:paraId="6B5891DF" w14:textId="77777777" w:rsidR="00F12EB9" w:rsidRPr="00E4265B" w:rsidRDefault="00F12EB9" w:rsidP="00CC5D1C">
            <w:pPr>
              <w:pStyle w:val="A1List"/>
              <w:tabs>
                <w:tab w:val="clear" w:pos="990"/>
              </w:tabs>
              <w:ind w:left="0" w:firstLine="0"/>
              <w:jc w:val="left"/>
              <w:rPr>
                <w:rFonts w:ascii="Arial" w:hAnsi="Arial" w:cs="Arial"/>
                <w:bCs/>
                <w:sz w:val="22"/>
                <w:szCs w:val="22"/>
                <w:lang w:val="en-GB"/>
              </w:rPr>
            </w:pPr>
          </w:p>
        </w:tc>
        <w:tc>
          <w:tcPr>
            <w:tcW w:w="1380" w:type="dxa"/>
            <w:vAlign w:val="center"/>
          </w:tcPr>
          <w:p w14:paraId="3FE11B23" w14:textId="623C0BB3" w:rsidR="00F12EB9" w:rsidRPr="00E4265B" w:rsidRDefault="00F12EB9" w:rsidP="003732F6">
            <w:pPr>
              <w:pStyle w:val="A1Lis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0.50</w:t>
            </w:r>
          </w:p>
        </w:tc>
        <w:tc>
          <w:tcPr>
            <w:tcW w:w="0" w:type="auto"/>
            <w:vAlign w:val="center"/>
          </w:tcPr>
          <w:p w14:paraId="39DAE2C2" w14:textId="72C8CDF1" w:rsidR="00F12EB9" w:rsidRPr="00E4265B" w:rsidRDefault="00EB2E15" w:rsidP="003732F6">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n/a</w:t>
            </w:r>
          </w:p>
        </w:tc>
        <w:tc>
          <w:tcPr>
            <w:tcW w:w="0" w:type="auto"/>
            <w:vAlign w:val="center"/>
          </w:tcPr>
          <w:p w14:paraId="1D3A0C89" w14:textId="3499C02A" w:rsidR="00F12EB9" w:rsidRPr="00E4265B" w:rsidRDefault="00F12EB9" w:rsidP="003732F6">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50</w:t>
            </w:r>
          </w:p>
        </w:tc>
      </w:tr>
      <w:tr w:rsidR="005677DE" w:rsidRPr="00E4265B" w14:paraId="1F3AC1AC" w14:textId="77777777" w:rsidTr="005677DE">
        <w:trPr>
          <w:trHeight w:val="216"/>
        </w:trPr>
        <w:tc>
          <w:tcPr>
            <w:tcW w:w="0" w:type="auto"/>
            <w:vAlign w:val="center"/>
          </w:tcPr>
          <w:p w14:paraId="2B50A466" w14:textId="77777777" w:rsidR="00EB2E15" w:rsidRPr="00E4265B" w:rsidRDefault="00EB2E15" w:rsidP="003732F6">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Foreign exchange</w:t>
            </w:r>
          </w:p>
        </w:tc>
        <w:tc>
          <w:tcPr>
            <w:tcW w:w="1710" w:type="dxa"/>
            <w:shd w:val="clear" w:color="auto" w:fill="F2F2F2" w:themeFill="background1" w:themeFillShade="F2"/>
            <w:vAlign w:val="center"/>
          </w:tcPr>
          <w:p w14:paraId="4FBFA403" w14:textId="77777777" w:rsidR="00EB2E15" w:rsidRPr="00E4265B" w:rsidRDefault="00EB2E15" w:rsidP="00CC5D1C">
            <w:pPr>
              <w:pStyle w:val="A1List"/>
              <w:tabs>
                <w:tab w:val="clear" w:pos="990"/>
              </w:tabs>
              <w:ind w:left="0" w:firstLine="0"/>
              <w:jc w:val="left"/>
              <w:rPr>
                <w:rFonts w:ascii="Arial" w:hAnsi="Arial" w:cs="Arial"/>
                <w:bCs/>
                <w:sz w:val="22"/>
                <w:szCs w:val="22"/>
                <w:lang w:val="en-GB"/>
              </w:rPr>
            </w:pPr>
          </w:p>
        </w:tc>
        <w:tc>
          <w:tcPr>
            <w:tcW w:w="1380" w:type="dxa"/>
            <w:vAlign w:val="center"/>
          </w:tcPr>
          <w:p w14:paraId="0603E175" w14:textId="096DD644" w:rsidR="00EB2E15" w:rsidRPr="00E4265B" w:rsidRDefault="00EB2E15" w:rsidP="003732F6">
            <w:pPr>
              <w:pStyle w:val="A1Lis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4.0</w:t>
            </w:r>
          </w:p>
        </w:tc>
        <w:tc>
          <w:tcPr>
            <w:tcW w:w="0" w:type="auto"/>
            <w:vAlign w:val="center"/>
          </w:tcPr>
          <w:p w14:paraId="5DECFB3A" w14:textId="47F2CBDA" w:rsidR="00EB2E15" w:rsidRPr="00E4265B" w:rsidRDefault="00EB2E15" w:rsidP="003732F6">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n/a</w:t>
            </w:r>
          </w:p>
        </w:tc>
        <w:tc>
          <w:tcPr>
            <w:tcW w:w="0" w:type="auto"/>
            <w:vAlign w:val="center"/>
          </w:tcPr>
          <w:p w14:paraId="676EC2F9" w14:textId="55C19B5C" w:rsidR="00EB2E15" w:rsidRPr="00E4265B" w:rsidRDefault="00EB2E15" w:rsidP="003732F6">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15</w:t>
            </w:r>
          </w:p>
        </w:tc>
      </w:tr>
      <w:tr w:rsidR="005677DE" w:rsidRPr="00E4265B" w14:paraId="414D1037" w14:textId="77777777" w:rsidTr="005677DE">
        <w:trPr>
          <w:trHeight w:val="216"/>
        </w:trPr>
        <w:tc>
          <w:tcPr>
            <w:tcW w:w="0" w:type="auto"/>
            <w:vMerge w:val="restart"/>
            <w:vAlign w:val="center"/>
          </w:tcPr>
          <w:p w14:paraId="2C249696" w14:textId="45C0A6BE" w:rsidR="00EB2E15" w:rsidRPr="00E4265B" w:rsidRDefault="00EB2E15" w:rsidP="003732F6">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lastRenderedPageBreak/>
              <w:t>Credit, single name</w:t>
            </w:r>
            <w:r w:rsidR="005677DE" w:rsidRPr="00E4265B">
              <w:rPr>
                <w:rFonts w:ascii="Arial" w:hAnsi="Arial" w:cs="Arial"/>
                <w:bCs/>
                <w:sz w:val="22"/>
                <w:szCs w:val="22"/>
                <w:lang w:val="en-GB"/>
              </w:rPr>
              <w:br/>
              <w:t>(where CQG represents Credit Quality Grade)</w:t>
            </w:r>
          </w:p>
        </w:tc>
        <w:tc>
          <w:tcPr>
            <w:tcW w:w="1710" w:type="dxa"/>
            <w:vAlign w:val="center"/>
          </w:tcPr>
          <w:p w14:paraId="12B1CDB0" w14:textId="510CAC8C" w:rsidR="00EB2E15" w:rsidRPr="00E4265B" w:rsidRDefault="005677DE" w:rsidP="003732F6">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CQG</w:t>
            </w:r>
            <w:r w:rsidR="00CC5D1C" w:rsidRPr="00E4265B">
              <w:rPr>
                <w:rFonts w:ascii="Arial" w:hAnsi="Arial" w:cs="Arial"/>
                <w:bCs/>
                <w:sz w:val="22"/>
                <w:szCs w:val="22"/>
                <w:lang w:val="en-GB"/>
              </w:rPr>
              <w:t xml:space="preserve"> 1</w:t>
            </w:r>
          </w:p>
        </w:tc>
        <w:tc>
          <w:tcPr>
            <w:tcW w:w="1380" w:type="dxa"/>
            <w:vAlign w:val="center"/>
          </w:tcPr>
          <w:p w14:paraId="4A2CA092" w14:textId="7F71FC26" w:rsidR="00EB2E15" w:rsidRPr="00E4265B" w:rsidRDefault="00EB2E15" w:rsidP="003732F6">
            <w:pPr>
              <w:pStyle w:val="A1Lis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0.38</w:t>
            </w:r>
          </w:p>
        </w:tc>
        <w:tc>
          <w:tcPr>
            <w:tcW w:w="0" w:type="auto"/>
            <w:vAlign w:val="center"/>
          </w:tcPr>
          <w:p w14:paraId="2D18CD64" w14:textId="52E334F1" w:rsidR="00EB2E15" w:rsidRPr="00E4265B" w:rsidRDefault="00EB2E15" w:rsidP="003732F6">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50</w:t>
            </w:r>
          </w:p>
        </w:tc>
        <w:tc>
          <w:tcPr>
            <w:tcW w:w="0" w:type="auto"/>
            <w:vAlign w:val="center"/>
          </w:tcPr>
          <w:p w14:paraId="2B8C52B1" w14:textId="7172D432" w:rsidR="00EB2E15" w:rsidRPr="00E4265B" w:rsidRDefault="00EB2E15" w:rsidP="003732F6">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100</w:t>
            </w:r>
          </w:p>
        </w:tc>
      </w:tr>
      <w:tr w:rsidR="005677DE" w:rsidRPr="00E4265B" w14:paraId="2C294C25" w14:textId="77777777" w:rsidTr="005677DE">
        <w:trPr>
          <w:trHeight w:val="216"/>
        </w:trPr>
        <w:tc>
          <w:tcPr>
            <w:tcW w:w="0" w:type="auto"/>
            <w:vMerge/>
            <w:vAlign w:val="center"/>
          </w:tcPr>
          <w:p w14:paraId="6816070A" w14:textId="77777777" w:rsidR="00CC5D1C" w:rsidRPr="00E4265B" w:rsidRDefault="00CC5D1C" w:rsidP="00CC5D1C">
            <w:pPr>
              <w:pStyle w:val="A1List"/>
              <w:tabs>
                <w:tab w:val="clear" w:pos="990"/>
              </w:tabs>
              <w:ind w:left="0" w:firstLine="0"/>
              <w:jc w:val="left"/>
              <w:rPr>
                <w:rFonts w:ascii="Arial" w:hAnsi="Arial" w:cs="Arial"/>
                <w:bCs/>
                <w:sz w:val="22"/>
                <w:szCs w:val="22"/>
                <w:lang w:val="en-GB"/>
              </w:rPr>
            </w:pPr>
          </w:p>
        </w:tc>
        <w:tc>
          <w:tcPr>
            <w:tcW w:w="1710" w:type="dxa"/>
            <w:vAlign w:val="center"/>
          </w:tcPr>
          <w:p w14:paraId="3018EEF7" w14:textId="4C437266" w:rsidR="00CC5D1C" w:rsidRPr="00E4265B" w:rsidRDefault="005677DE" w:rsidP="00CC5D1C">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CQG</w:t>
            </w:r>
            <w:r w:rsidR="00CC5D1C" w:rsidRPr="00E4265B">
              <w:rPr>
                <w:rFonts w:ascii="Arial" w:hAnsi="Arial" w:cs="Arial"/>
                <w:bCs/>
                <w:sz w:val="22"/>
                <w:szCs w:val="22"/>
                <w:lang w:val="en-GB"/>
              </w:rPr>
              <w:t xml:space="preserve"> 2</w:t>
            </w:r>
          </w:p>
        </w:tc>
        <w:tc>
          <w:tcPr>
            <w:tcW w:w="1380" w:type="dxa"/>
            <w:vAlign w:val="center"/>
          </w:tcPr>
          <w:p w14:paraId="47943586" w14:textId="541AB7D8" w:rsidR="00CC5D1C" w:rsidRPr="00E4265B" w:rsidRDefault="00CC5D1C" w:rsidP="00CC5D1C">
            <w:pPr>
              <w:pStyle w:val="A1Lis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0.42</w:t>
            </w:r>
          </w:p>
        </w:tc>
        <w:tc>
          <w:tcPr>
            <w:tcW w:w="0" w:type="auto"/>
            <w:vAlign w:val="center"/>
          </w:tcPr>
          <w:p w14:paraId="1BD62D93" w14:textId="200BC9B7" w:rsidR="00CC5D1C" w:rsidRPr="00E4265B" w:rsidRDefault="00CC5D1C" w:rsidP="00CC5D1C">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50</w:t>
            </w:r>
          </w:p>
        </w:tc>
        <w:tc>
          <w:tcPr>
            <w:tcW w:w="0" w:type="auto"/>
            <w:vAlign w:val="center"/>
          </w:tcPr>
          <w:p w14:paraId="029F165B" w14:textId="7F4628B3" w:rsidR="00CC5D1C" w:rsidRPr="00E4265B" w:rsidRDefault="00CC5D1C" w:rsidP="00CC5D1C">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100</w:t>
            </w:r>
          </w:p>
        </w:tc>
      </w:tr>
      <w:tr w:rsidR="005677DE" w:rsidRPr="00E4265B" w14:paraId="4186CE9B" w14:textId="77777777" w:rsidTr="005677DE">
        <w:trPr>
          <w:trHeight w:val="216"/>
        </w:trPr>
        <w:tc>
          <w:tcPr>
            <w:tcW w:w="0" w:type="auto"/>
            <w:vMerge/>
            <w:vAlign w:val="center"/>
          </w:tcPr>
          <w:p w14:paraId="475AEBEE" w14:textId="77777777" w:rsidR="00CC5D1C" w:rsidRPr="00E4265B" w:rsidRDefault="00CC5D1C" w:rsidP="00CC5D1C">
            <w:pPr>
              <w:pStyle w:val="A1List"/>
              <w:tabs>
                <w:tab w:val="clear" w:pos="990"/>
              </w:tabs>
              <w:ind w:left="0" w:firstLine="0"/>
              <w:jc w:val="left"/>
              <w:rPr>
                <w:rFonts w:ascii="Arial" w:hAnsi="Arial" w:cs="Arial"/>
                <w:bCs/>
                <w:sz w:val="22"/>
                <w:szCs w:val="22"/>
                <w:lang w:val="en-GB"/>
              </w:rPr>
            </w:pPr>
          </w:p>
        </w:tc>
        <w:tc>
          <w:tcPr>
            <w:tcW w:w="1710" w:type="dxa"/>
            <w:vAlign w:val="center"/>
          </w:tcPr>
          <w:p w14:paraId="0619D4B1" w14:textId="5B2A8385" w:rsidR="00CC5D1C" w:rsidRPr="00E4265B" w:rsidRDefault="005677DE" w:rsidP="00CC5D1C">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CQG</w:t>
            </w:r>
            <w:r w:rsidR="00CC5D1C" w:rsidRPr="00E4265B">
              <w:rPr>
                <w:rFonts w:ascii="Arial" w:hAnsi="Arial" w:cs="Arial"/>
                <w:bCs/>
                <w:sz w:val="22"/>
                <w:szCs w:val="22"/>
                <w:lang w:val="en-GB"/>
              </w:rPr>
              <w:t xml:space="preserve"> 3</w:t>
            </w:r>
          </w:p>
        </w:tc>
        <w:tc>
          <w:tcPr>
            <w:tcW w:w="1380" w:type="dxa"/>
            <w:vAlign w:val="center"/>
          </w:tcPr>
          <w:p w14:paraId="28014BDD" w14:textId="41945636" w:rsidR="00CC5D1C" w:rsidRPr="00E4265B" w:rsidRDefault="00CC5D1C" w:rsidP="00CC5D1C">
            <w:pPr>
              <w:pStyle w:val="A1Lis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0.54</w:t>
            </w:r>
          </w:p>
        </w:tc>
        <w:tc>
          <w:tcPr>
            <w:tcW w:w="0" w:type="auto"/>
            <w:vAlign w:val="center"/>
          </w:tcPr>
          <w:p w14:paraId="54C834A7" w14:textId="72BC20C4" w:rsidR="00CC5D1C" w:rsidRPr="00E4265B" w:rsidRDefault="00CC5D1C" w:rsidP="00CC5D1C">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50</w:t>
            </w:r>
          </w:p>
        </w:tc>
        <w:tc>
          <w:tcPr>
            <w:tcW w:w="0" w:type="auto"/>
            <w:vAlign w:val="center"/>
          </w:tcPr>
          <w:p w14:paraId="1F98BC91" w14:textId="36420686" w:rsidR="00CC5D1C" w:rsidRPr="00E4265B" w:rsidRDefault="00CC5D1C" w:rsidP="00CC5D1C">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100</w:t>
            </w:r>
          </w:p>
        </w:tc>
      </w:tr>
      <w:tr w:rsidR="005677DE" w:rsidRPr="00E4265B" w14:paraId="097DDA85" w14:textId="77777777" w:rsidTr="005677DE">
        <w:trPr>
          <w:trHeight w:val="216"/>
        </w:trPr>
        <w:tc>
          <w:tcPr>
            <w:tcW w:w="0" w:type="auto"/>
            <w:vMerge/>
            <w:vAlign w:val="center"/>
          </w:tcPr>
          <w:p w14:paraId="6BB0F888" w14:textId="77777777" w:rsidR="00CC5D1C" w:rsidRPr="00E4265B" w:rsidRDefault="00CC5D1C" w:rsidP="00CC5D1C">
            <w:pPr>
              <w:pStyle w:val="A1List"/>
              <w:tabs>
                <w:tab w:val="clear" w:pos="990"/>
              </w:tabs>
              <w:ind w:left="0" w:firstLine="0"/>
              <w:jc w:val="left"/>
              <w:rPr>
                <w:rFonts w:ascii="Arial" w:hAnsi="Arial" w:cs="Arial"/>
                <w:bCs/>
                <w:sz w:val="22"/>
                <w:szCs w:val="22"/>
                <w:lang w:val="en-GB"/>
              </w:rPr>
            </w:pPr>
          </w:p>
        </w:tc>
        <w:tc>
          <w:tcPr>
            <w:tcW w:w="1710" w:type="dxa"/>
            <w:vAlign w:val="center"/>
          </w:tcPr>
          <w:p w14:paraId="7F3B6CA4" w14:textId="06EE9CC7" w:rsidR="00CC5D1C" w:rsidRPr="00E4265B" w:rsidRDefault="005677DE" w:rsidP="00CC5D1C">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CQG</w:t>
            </w:r>
            <w:r w:rsidR="00CC5D1C" w:rsidRPr="00E4265B">
              <w:rPr>
                <w:rFonts w:ascii="Arial" w:hAnsi="Arial" w:cs="Arial"/>
                <w:bCs/>
                <w:sz w:val="22"/>
                <w:szCs w:val="22"/>
                <w:lang w:val="en-GB"/>
              </w:rPr>
              <w:t xml:space="preserve"> 4</w:t>
            </w:r>
          </w:p>
        </w:tc>
        <w:tc>
          <w:tcPr>
            <w:tcW w:w="1380" w:type="dxa"/>
            <w:vAlign w:val="center"/>
          </w:tcPr>
          <w:p w14:paraId="25C3DDDE" w14:textId="1E011E52" w:rsidR="00CC5D1C" w:rsidRPr="00E4265B" w:rsidRDefault="00CC5D1C" w:rsidP="00CC5D1C">
            <w:pPr>
              <w:pStyle w:val="A1Lis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1.06</w:t>
            </w:r>
          </w:p>
        </w:tc>
        <w:tc>
          <w:tcPr>
            <w:tcW w:w="0" w:type="auto"/>
            <w:vAlign w:val="center"/>
          </w:tcPr>
          <w:p w14:paraId="66236516" w14:textId="2BF4E8E3" w:rsidR="00CC5D1C" w:rsidRPr="00E4265B" w:rsidRDefault="00CC5D1C" w:rsidP="00CC5D1C">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50</w:t>
            </w:r>
          </w:p>
        </w:tc>
        <w:tc>
          <w:tcPr>
            <w:tcW w:w="0" w:type="auto"/>
            <w:vAlign w:val="center"/>
          </w:tcPr>
          <w:p w14:paraId="76E9FC38" w14:textId="6D970FAC" w:rsidR="00CC5D1C" w:rsidRPr="00E4265B" w:rsidRDefault="00CC5D1C" w:rsidP="00CC5D1C">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100</w:t>
            </w:r>
          </w:p>
        </w:tc>
      </w:tr>
      <w:tr w:rsidR="005677DE" w:rsidRPr="00E4265B" w14:paraId="63DEDB69" w14:textId="77777777" w:rsidTr="005677DE">
        <w:trPr>
          <w:trHeight w:val="216"/>
        </w:trPr>
        <w:tc>
          <w:tcPr>
            <w:tcW w:w="0" w:type="auto"/>
            <w:vMerge/>
            <w:vAlign w:val="center"/>
          </w:tcPr>
          <w:p w14:paraId="3C34E2A1" w14:textId="77777777" w:rsidR="00CC5D1C" w:rsidRPr="00E4265B" w:rsidRDefault="00CC5D1C" w:rsidP="00CC5D1C">
            <w:pPr>
              <w:pStyle w:val="A1List"/>
              <w:tabs>
                <w:tab w:val="clear" w:pos="990"/>
              </w:tabs>
              <w:ind w:left="0" w:firstLine="0"/>
              <w:jc w:val="left"/>
              <w:rPr>
                <w:rFonts w:ascii="Arial" w:hAnsi="Arial" w:cs="Arial"/>
                <w:bCs/>
                <w:sz w:val="22"/>
                <w:szCs w:val="22"/>
                <w:lang w:val="en-GB"/>
              </w:rPr>
            </w:pPr>
          </w:p>
        </w:tc>
        <w:tc>
          <w:tcPr>
            <w:tcW w:w="1710" w:type="dxa"/>
            <w:vAlign w:val="center"/>
          </w:tcPr>
          <w:p w14:paraId="53E70ACF" w14:textId="47832860" w:rsidR="00CC5D1C" w:rsidRPr="00E4265B" w:rsidRDefault="005677DE" w:rsidP="00CC5D1C">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CQG</w:t>
            </w:r>
            <w:r w:rsidR="00CC5D1C" w:rsidRPr="00E4265B">
              <w:rPr>
                <w:rFonts w:ascii="Arial" w:hAnsi="Arial" w:cs="Arial"/>
                <w:bCs/>
                <w:sz w:val="22"/>
                <w:szCs w:val="22"/>
                <w:lang w:val="en-GB"/>
              </w:rPr>
              <w:t xml:space="preserve"> </w:t>
            </w:r>
            <w:r w:rsidR="006F1948" w:rsidRPr="00E4265B">
              <w:rPr>
                <w:rFonts w:ascii="Arial" w:hAnsi="Arial" w:cs="Arial"/>
                <w:bCs/>
                <w:sz w:val="22"/>
                <w:szCs w:val="22"/>
                <w:lang w:val="en-GB"/>
              </w:rPr>
              <w:t>5</w:t>
            </w:r>
          </w:p>
        </w:tc>
        <w:tc>
          <w:tcPr>
            <w:tcW w:w="1380" w:type="dxa"/>
            <w:vAlign w:val="center"/>
          </w:tcPr>
          <w:p w14:paraId="61969C9C" w14:textId="57413710" w:rsidR="00CC5D1C" w:rsidRPr="00E4265B" w:rsidRDefault="00CC5D1C" w:rsidP="00CC5D1C">
            <w:pPr>
              <w:pStyle w:val="A1Lis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1.6</w:t>
            </w:r>
          </w:p>
        </w:tc>
        <w:tc>
          <w:tcPr>
            <w:tcW w:w="0" w:type="auto"/>
            <w:vAlign w:val="center"/>
          </w:tcPr>
          <w:p w14:paraId="6A02FEB6" w14:textId="7BEA4B22" w:rsidR="00CC5D1C" w:rsidRPr="00E4265B" w:rsidRDefault="00CC5D1C" w:rsidP="00CC5D1C">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50</w:t>
            </w:r>
          </w:p>
        </w:tc>
        <w:tc>
          <w:tcPr>
            <w:tcW w:w="0" w:type="auto"/>
            <w:vAlign w:val="center"/>
          </w:tcPr>
          <w:p w14:paraId="0FF2777E" w14:textId="66514DE3" w:rsidR="00CC5D1C" w:rsidRPr="00E4265B" w:rsidRDefault="00CC5D1C" w:rsidP="00CC5D1C">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100</w:t>
            </w:r>
          </w:p>
        </w:tc>
      </w:tr>
      <w:tr w:rsidR="005677DE" w:rsidRPr="00E4265B" w14:paraId="50BB95A8" w14:textId="77777777" w:rsidTr="005677DE">
        <w:trPr>
          <w:trHeight w:val="216"/>
        </w:trPr>
        <w:tc>
          <w:tcPr>
            <w:tcW w:w="0" w:type="auto"/>
            <w:vMerge/>
            <w:vAlign w:val="center"/>
          </w:tcPr>
          <w:p w14:paraId="779445A6" w14:textId="77777777" w:rsidR="006F1948" w:rsidRPr="00E4265B" w:rsidRDefault="006F1948" w:rsidP="006F1948">
            <w:pPr>
              <w:pStyle w:val="A1List"/>
              <w:tabs>
                <w:tab w:val="clear" w:pos="990"/>
              </w:tabs>
              <w:ind w:left="0" w:firstLine="0"/>
              <w:jc w:val="left"/>
              <w:rPr>
                <w:rFonts w:ascii="Arial" w:hAnsi="Arial" w:cs="Arial"/>
                <w:bCs/>
                <w:sz w:val="22"/>
                <w:szCs w:val="22"/>
                <w:lang w:val="en-GB"/>
              </w:rPr>
            </w:pPr>
          </w:p>
        </w:tc>
        <w:tc>
          <w:tcPr>
            <w:tcW w:w="1710" w:type="dxa"/>
            <w:vAlign w:val="center"/>
          </w:tcPr>
          <w:p w14:paraId="0E40F0D6" w14:textId="53EA15F5" w:rsidR="006F1948" w:rsidRPr="00E4265B" w:rsidRDefault="005677DE" w:rsidP="006F1948">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CQG</w:t>
            </w:r>
            <w:r w:rsidR="006F1948" w:rsidRPr="00E4265B">
              <w:rPr>
                <w:rFonts w:ascii="Arial" w:hAnsi="Arial" w:cs="Arial"/>
                <w:bCs/>
                <w:sz w:val="22"/>
                <w:szCs w:val="22"/>
                <w:lang w:val="en-GB"/>
              </w:rPr>
              <w:t xml:space="preserve"> 6</w:t>
            </w:r>
          </w:p>
        </w:tc>
        <w:tc>
          <w:tcPr>
            <w:tcW w:w="1380" w:type="dxa"/>
            <w:vAlign w:val="center"/>
          </w:tcPr>
          <w:p w14:paraId="6C63FB36" w14:textId="5825E517" w:rsidR="006F1948" w:rsidRPr="00E4265B" w:rsidRDefault="006F1948" w:rsidP="006F1948">
            <w:pPr>
              <w:pStyle w:val="A1Lis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6.0</w:t>
            </w:r>
          </w:p>
        </w:tc>
        <w:tc>
          <w:tcPr>
            <w:tcW w:w="0" w:type="auto"/>
            <w:vAlign w:val="center"/>
          </w:tcPr>
          <w:p w14:paraId="52A92CAB" w14:textId="40D28536" w:rsidR="006F1948" w:rsidRPr="00E4265B" w:rsidRDefault="006F194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50</w:t>
            </w:r>
          </w:p>
        </w:tc>
        <w:tc>
          <w:tcPr>
            <w:tcW w:w="0" w:type="auto"/>
            <w:vAlign w:val="center"/>
          </w:tcPr>
          <w:p w14:paraId="3F23853F" w14:textId="674D4AFF" w:rsidR="006F1948" w:rsidRPr="00E4265B" w:rsidRDefault="006F194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100</w:t>
            </w:r>
          </w:p>
        </w:tc>
      </w:tr>
      <w:tr w:rsidR="008D19E8" w:rsidRPr="00E4265B" w14:paraId="2ABDA7E7" w14:textId="77777777" w:rsidTr="004F0FAB">
        <w:trPr>
          <w:trHeight w:val="216"/>
        </w:trPr>
        <w:tc>
          <w:tcPr>
            <w:tcW w:w="0" w:type="auto"/>
            <w:vMerge w:val="restart"/>
            <w:vAlign w:val="center"/>
          </w:tcPr>
          <w:p w14:paraId="47692AB8" w14:textId="379EA608" w:rsidR="008D19E8" w:rsidRPr="00E4265B" w:rsidRDefault="008D19E8" w:rsidP="008D19E8">
            <w:pPr>
              <w:pStyle w:val="A1List"/>
              <w:keepNex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Credit, index</w:t>
            </w:r>
          </w:p>
        </w:tc>
        <w:tc>
          <w:tcPr>
            <w:tcW w:w="1710" w:type="dxa"/>
            <w:vAlign w:val="center"/>
          </w:tcPr>
          <w:p w14:paraId="2898A2C5" w14:textId="77777777" w:rsidR="008D19E8" w:rsidRPr="00E4265B" w:rsidRDefault="008D19E8" w:rsidP="006F1948">
            <w:pPr>
              <w:pStyle w:val="A1List"/>
              <w:keepNex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Investment Grade</w:t>
            </w:r>
          </w:p>
        </w:tc>
        <w:tc>
          <w:tcPr>
            <w:tcW w:w="1380" w:type="dxa"/>
            <w:vAlign w:val="center"/>
          </w:tcPr>
          <w:p w14:paraId="02A935D0" w14:textId="1B43056F" w:rsidR="008D19E8" w:rsidRPr="00E4265B" w:rsidRDefault="008D19E8" w:rsidP="006F1948">
            <w:pPr>
              <w:pStyle w:val="A1List"/>
              <w:keepNex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0.38</w:t>
            </w:r>
          </w:p>
        </w:tc>
        <w:tc>
          <w:tcPr>
            <w:tcW w:w="0" w:type="auto"/>
            <w:vAlign w:val="center"/>
          </w:tcPr>
          <w:p w14:paraId="308222A9" w14:textId="75344345" w:rsidR="008D19E8" w:rsidRPr="00E4265B" w:rsidRDefault="008D19E8" w:rsidP="006F1948">
            <w:pPr>
              <w:pStyle w:val="A1List"/>
              <w:keepNex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80</w:t>
            </w:r>
          </w:p>
        </w:tc>
        <w:tc>
          <w:tcPr>
            <w:tcW w:w="0" w:type="auto"/>
            <w:vAlign w:val="center"/>
          </w:tcPr>
          <w:p w14:paraId="0B788CC9" w14:textId="7105A6FF" w:rsidR="008D19E8" w:rsidRPr="00E4265B" w:rsidRDefault="008D19E8" w:rsidP="006F1948">
            <w:pPr>
              <w:pStyle w:val="A1List"/>
              <w:keepNex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80</w:t>
            </w:r>
          </w:p>
        </w:tc>
      </w:tr>
      <w:tr w:rsidR="008D19E8" w:rsidRPr="00E4265B" w14:paraId="02F9408E" w14:textId="77777777" w:rsidTr="004F0FAB">
        <w:trPr>
          <w:trHeight w:val="216"/>
        </w:trPr>
        <w:tc>
          <w:tcPr>
            <w:tcW w:w="0" w:type="auto"/>
            <w:vMerge/>
            <w:vAlign w:val="center"/>
          </w:tcPr>
          <w:p w14:paraId="48DF1B30" w14:textId="2577777E" w:rsidR="008D19E8" w:rsidRPr="00E4265B" w:rsidRDefault="008D19E8" w:rsidP="006F1948">
            <w:pPr>
              <w:pStyle w:val="A1List"/>
              <w:tabs>
                <w:tab w:val="clear" w:pos="990"/>
              </w:tabs>
              <w:ind w:left="0" w:firstLine="0"/>
              <w:jc w:val="left"/>
              <w:rPr>
                <w:rFonts w:ascii="Arial" w:hAnsi="Arial" w:cs="Arial"/>
                <w:bCs/>
                <w:sz w:val="22"/>
                <w:szCs w:val="22"/>
                <w:lang w:val="en-GB"/>
              </w:rPr>
            </w:pPr>
          </w:p>
        </w:tc>
        <w:tc>
          <w:tcPr>
            <w:tcW w:w="1710" w:type="dxa"/>
            <w:vAlign w:val="center"/>
          </w:tcPr>
          <w:p w14:paraId="3222EB36" w14:textId="5B4575E1" w:rsidR="008D19E8" w:rsidRPr="00E4265B" w:rsidRDefault="008D19E8" w:rsidP="006F1948">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Non-Investment Grade</w:t>
            </w:r>
          </w:p>
        </w:tc>
        <w:tc>
          <w:tcPr>
            <w:tcW w:w="1380" w:type="dxa"/>
            <w:vAlign w:val="center"/>
          </w:tcPr>
          <w:p w14:paraId="00A64A3E" w14:textId="00E48B70" w:rsidR="008D19E8" w:rsidRPr="00E4265B" w:rsidRDefault="008D19E8" w:rsidP="006F1948">
            <w:pPr>
              <w:pStyle w:val="A1Lis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1.06</w:t>
            </w:r>
          </w:p>
        </w:tc>
        <w:tc>
          <w:tcPr>
            <w:tcW w:w="0" w:type="auto"/>
            <w:vAlign w:val="center"/>
          </w:tcPr>
          <w:p w14:paraId="067AD4EA" w14:textId="5AC5F278" w:rsidR="008D19E8" w:rsidRPr="00E4265B" w:rsidRDefault="008D19E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80</w:t>
            </w:r>
          </w:p>
        </w:tc>
        <w:tc>
          <w:tcPr>
            <w:tcW w:w="0" w:type="auto"/>
            <w:vAlign w:val="center"/>
          </w:tcPr>
          <w:p w14:paraId="3146C4D1" w14:textId="76F3DAEE" w:rsidR="008D19E8" w:rsidRPr="00E4265B" w:rsidRDefault="008D19E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80</w:t>
            </w:r>
          </w:p>
        </w:tc>
      </w:tr>
      <w:tr w:rsidR="005677DE" w:rsidRPr="00E4265B" w14:paraId="14CC47D1" w14:textId="77777777" w:rsidTr="005677DE">
        <w:trPr>
          <w:trHeight w:val="216"/>
        </w:trPr>
        <w:tc>
          <w:tcPr>
            <w:tcW w:w="0" w:type="auto"/>
            <w:vAlign w:val="center"/>
          </w:tcPr>
          <w:p w14:paraId="2F2E4BBC" w14:textId="77777777" w:rsidR="006F1948" w:rsidRPr="00E4265B" w:rsidRDefault="006F1948" w:rsidP="006F1948">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Equity, single name</w:t>
            </w:r>
          </w:p>
        </w:tc>
        <w:tc>
          <w:tcPr>
            <w:tcW w:w="1710" w:type="dxa"/>
            <w:shd w:val="clear" w:color="auto" w:fill="F2F2F2" w:themeFill="background1" w:themeFillShade="F2"/>
            <w:vAlign w:val="center"/>
          </w:tcPr>
          <w:p w14:paraId="1E1C39B7" w14:textId="77777777" w:rsidR="006F1948" w:rsidRPr="00E4265B" w:rsidRDefault="006F1948" w:rsidP="006F1948">
            <w:pPr>
              <w:pStyle w:val="A1List"/>
              <w:tabs>
                <w:tab w:val="clear" w:pos="990"/>
              </w:tabs>
              <w:ind w:left="0" w:firstLine="0"/>
              <w:jc w:val="left"/>
              <w:rPr>
                <w:rFonts w:ascii="Arial" w:hAnsi="Arial" w:cs="Arial"/>
                <w:bCs/>
                <w:sz w:val="22"/>
                <w:szCs w:val="22"/>
                <w:lang w:val="en-GB"/>
              </w:rPr>
            </w:pPr>
          </w:p>
        </w:tc>
        <w:tc>
          <w:tcPr>
            <w:tcW w:w="1380" w:type="dxa"/>
            <w:vAlign w:val="center"/>
          </w:tcPr>
          <w:p w14:paraId="3BDEDC1D" w14:textId="0422D300" w:rsidR="006F1948" w:rsidRPr="00E4265B" w:rsidRDefault="006F1948" w:rsidP="006F1948">
            <w:pPr>
              <w:pStyle w:val="A1Lis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32</w:t>
            </w:r>
          </w:p>
        </w:tc>
        <w:tc>
          <w:tcPr>
            <w:tcW w:w="0" w:type="auto"/>
            <w:vAlign w:val="center"/>
          </w:tcPr>
          <w:p w14:paraId="6FAF1053" w14:textId="47056843" w:rsidR="006F1948" w:rsidRPr="00E4265B" w:rsidRDefault="006F194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50</w:t>
            </w:r>
          </w:p>
        </w:tc>
        <w:tc>
          <w:tcPr>
            <w:tcW w:w="0" w:type="auto"/>
            <w:vAlign w:val="center"/>
          </w:tcPr>
          <w:p w14:paraId="2A1222C2" w14:textId="357DB432" w:rsidR="006F1948" w:rsidRPr="00E4265B" w:rsidRDefault="006F194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120</w:t>
            </w:r>
          </w:p>
        </w:tc>
      </w:tr>
      <w:tr w:rsidR="005677DE" w:rsidRPr="00E4265B" w14:paraId="61E80972" w14:textId="77777777" w:rsidTr="005677DE">
        <w:trPr>
          <w:trHeight w:val="216"/>
        </w:trPr>
        <w:tc>
          <w:tcPr>
            <w:tcW w:w="0" w:type="auto"/>
            <w:vAlign w:val="center"/>
          </w:tcPr>
          <w:p w14:paraId="7BEBE082" w14:textId="77777777" w:rsidR="006F1948" w:rsidRPr="00E4265B" w:rsidRDefault="006F1948" w:rsidP="006F1948">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Equity, index</w:t>
            </w:r>
          </w:p>
        </w:tc>
        <w:tc>
          <w:tcPr>
            <w:tcW w:w="1710" w:type="dxa"/>
            <w:shd w:val="clear" w:color="auto" w:fill="F2F2F2" w:themeFill="background1" w:themeFillShade="F2"/>
            <w:vAlign w:val="center"/>
          </w:tcPr>
          <w:p w14:paraId="2310D549" w14:textId="77777777" w:rsidR="006F1948" w:rsidRPr="00E4265B" w:rsidRDefault="006F1948" w:rsidP="006F1948">
            <w:pPr>
              <w:pStyle w:val="A1List"/>
              <w:tabs>
                <w:tab w:val="clear" w:pos="990"/>
              </w:tabs>
              <w:ind w:left="0" w:firstLine="0"/>
              <w:jc w:val="left"/>
              <w:rPr>
                <w:rFonts w:ascii="Arial" w:hAnsi="Arial" w:cs="Arial"/>
                <w:bCs/>
                <w:sz w:val="22"/>
                <w:szCs w:val="22"/>
                <w:lang w:val="en-GB"/>
              </w:rPr>
            </w:pPr>
          </w:p>
        </w:tc>
        <w:tc>
          <w:tcPr>
            <w:tcW w:w="1380" w:type="dxa"/>
            <w:vAlign w:val="center"/>
          </w:tcPr>
          <w:p w14:paraId="57D32750" w14:textId="3276C48C" w:rsidR="006F1948" w:rsidRPr="00E4265B" w:rsidRDefault="006F1948" w:rsidP="006F1948">
            <w:pPr>
              <w:pStyle w:val="A1Lis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20</w:t>
            </w:r>
          </w:p>
        </w:tc>
        <w:tc>
          <w:tcPr>
            <w:tcW w:w="0" w:type="auto"/>
            <w:vAlign w:val="center"/>
          </w:tcPr>
          <w:p w14:paraId="5A980113" w14:textId="115EF54C" w:rsidR="006F1948" w:rsidRPr="00E4265B" w:rsidRDefault="006F194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80</w:t>
            </w:r>
          </w:p>
        </w:tc>
        <w:tc>
          <w:tcPr>
            <w:tcW w:w="0" w:type="auto"/>
            <w:vAlign w:val="center"/>
          </w:tcPr>
          <w:p w14:paraId="146E2E04" w14:textId="02F50E33" w:rsidR="006F1948" w:rsidRPr="00E4265B" w:rsidRDefault="006F194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75</w:t>
            </w:r>
          </w:p>
        </w:tc>
      </w:tr>
      <w:tr w:rsidR="005677DE" w:rsidRPr="00E4265B" w14:paraId="3F8FFEED" w14:textId="77777777" w:rsidTr="005677DE">
        <w:trPr>
          <w:trHeight w:val="216"/>
        </w:trPr>
        <w:tc>
          <w:tcPr>
            <w:tcW w:w="0" w:type="auto"/>
            <w:vMerge w:val="restart"/>
            <w:vAlign w:val="center"/>
          </w:tcPr>
          <w:p w14:paraId="1DBF4AE2" w14:textId="77777777" w:rsidR="006F1948" w:rsidRPr="00E4265B" w:rsidRDefault="006F1948" w:rsidP="006F1948">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Commodity</w:t>
            </w:r>
          </w:p>
        </w:tc>
        <w:tc>
          <w:tcPr>
            <w:tcW w:w="1710" w:type="dxa"/>
            <w:vAlign w:val="center"/>
          </w:tcPr>
          <w:p w14:paraId="4EA88C3A" w14:textId="77777777" w:rsidR="006F1948" w:rsidRPr="00E4265B" w:rsidRDefault="006F1948" w:rsidP="006F1948">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Electricity</w:t>
            </w:r>
          </w:p>
        </w:tc>
        <w:tc>
          <w:tcPr>
            <w:tcW w:w="1380" w:type="dxa"/>
            <w:vAlign w:val="center"/>
          </w:tcPr>
          <w:p w14:paraId="33187BE4" w14:textId="0E2E66BD" w:rsidR="006F1948" w:rsidRPr="00E4265B" w:rsidRDefault="006F1948" w:rsidP="006F1948">
            <w:pPr>
              <w:pStyle w:val="A1Lis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40</w:t>
            </w:r>
          </w:p>
        </w:tc>
        <w:tc>
          <w:tcPr>
            <w:tcW w:w="0" w:type="auto"/>
            <w:vAlign w:val="center"/>
          </w:tcPr>
          <w:p w14:paraId="4D55A61B" w14:textId="25281A96" w:rsidR="006F1948" w:rsidRPr="00E4265B" w:rsidRDefault="006F194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40</w:t>
            </w:r>
          </w:p>
        </w:tc>
        <w:tc>
          <w:tcPr>
            <w:tcW w:w="0" w:type="auto"/>
            <w:vAlign w:val="center"/>
          </w:tcPr>
          <w:p w14:paraId="69D23033" w14:textId="0E90A045" w:rsidR="006F1948" w:rsidRPr="00E4265B" w:rsidRDefault="006F194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150</w:t>
            </w:r>
          </w:p>
        </w:tc>
      </w:tr>
      <w:tr w:rsidR="005677DE" w:rsidRPr="00E4265B" w14:paraId="524D91A2" w14:textId="77777777" w:rsidTr="005677DE">
        <w:trPr>
          <w:trHeight w:val="216"/>
        </w:trPr>
        <w:tc>
          <w:tcPr>
            <w:tcW w:w="0" w:type="auto"/>
            <w:vMerge/>
            <w:vAlign w:val="center"/>
          </w:tcPr>
          <w:p w14:paraId="1233A13E" w14:textId="77777777" w:rsidR="006F1948" w:rsidRPr="00E4265B" w:rsidRDefault="006F1948" w:rsidP="006F1948">
            <w:pPr>
              <w:pStyle w:val="A1List"/>
              <w:tabs>
                <w:tab w:val="clear" w:pos="990"/>
              </w:tabs>
              <w:ind w:left="0" w:firstLine="0"/>
              <w:rPr>
                <w:rFonts w:ascii="Arial" w:hAnsi="Arial" w:cs="Arial"/>
                <w:bCs/>
                <w:sz w:val="22"/>
                <w:szCs w:val="22"/>
                <w:lang w:val="en-GB"/>
              </w:rPr>
            </w:pPr>
          </w:p>
        </w:tc>
        <w:tc>
          <w:tcPr>
            <w:tcW w:w="1710" w:type="dxa"/>
            <w:vAlign w:val="center"/>
          </w:tcPr>
          <w:p w14:paraId="61BD8483" w14:textId="77777777" w:rsidR="006F1948" w:rsidRPr="00E4265B" w:rsidRDefault="006F1948" w:rsidP="006F1948">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Oil/Gas</w:t>
            </w:r>
          </w:p>
        </w:tc>
        <w:tc>
          <w:tcPr>
            <w:tcW w:w="1380" w:type="dxa"/>
            <w:vAlign w:val="center"/>
          </w:tcPr>
          <w:p w14:paraId="3E91903F" w14:textId="5D613E3F" w:rsidR="006F1948" w:rsidRPr="00E4265B" w:rsidRDefault="006F1948" w:rsidP="006F1948">
            <w:pPr>
              <w:pStyle w:val="A1Lis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18</w:t>
            </w:r>
          </w:p>
        </w:tc>
        <w:tc>
          <w:tcPr>
            <w:tcW w:w="0" w:type="auto"/>
            <w:vAlign w:val="center"/>
          </w:tcPr>
          <w:p w14:paraId="7157A7FC" w14:textId="769DE627" w:rsidR="006F1948" w:rsidRPr="00E4265B" w:rsidRDefault="006F194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40</w:t>
            </w:r>
          </w:p>
        </w:tc>
        <w:tc>
          <w:tcPr>
            <w:tcW w:w="0" w:type="auto"/>
            <w:vAlign w:val="center"/>
          </w:tcPr>
          <w:p w14:paraId="4AD46C5A" w14:textId="22935C42" w:rsidR="006F1948" w:rsidRPr="00E4265B" w:rsidRDefault="006F194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70</w:t>
            </w:r>
          </w:p>
        </w:tc>
      </w:tr>
      <w:tr w:rsidR="005677DE" w:rsidRPr="00E4265B" w14:paraId="44A9A5C5" w14:textId="77777777" w:rsidTr="005677DE">
        <w:trPr>
          <w:trHeight w:val="216"/>
        </w:trPr>
        <w:tc>
          <w:tcPr>
            <w:tcW w:w="0" w:type="auto"/>
            <w:vMerge/>
            <w:vAlign w:val="center"/>
          </w:tcPr>
          <w:p w14:paraId="04D8E4FF" w14:textId="77777777" w:rsidR="006F1948" w:rsidRPr="00E4265B" w:rsidRDefault="006F1948" w:rsidP="006F1948">
            <w:pPr>
              <w:pStyle w:val="A1List"/>
              <w:tabs>
                <w:tab w:val="clear" w:pos="990"/>
              </w:tabs>
              <w:ind w:left="0" w:firstLine="0"/>
              <w:rPr>
                <w:rFonts w:ascii="Arial" w:hAnsi="Arial" w:cs="Arial"/>
                <w:bCs/>
                <w:sz w:val="22"/>
                <w:szCs w:val="22"/>
                <w:lang w:val="en-GB"/>
              </w:rPr>
            </w:pPr>
          </w:p>
        </w:tc>
        <w:tc>
          <w:tcPr>
            <w:tcW w:w="1710" w:type="dxa"/>
            <w:vAlign w:val="center"/>
          </w:tcPr>
          <w:p w14:paraId="0FD5C8C1" w14:textId="77777777" w:rsidR="006F1948" w:rsidRPr="00E4265B" w:rsidRDefault="006F1948" w:rsidP="006F1948">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Metals</w:t>
            </w:r>
          </w:p>
        </w:tc>
        <w:tc>
          <w:tcPr>
            <w:tcW w:w="1380" w:type="dxa"/>
            <w:vAlign w:val="center"/>
          </w:tcPr>
          <w:p w14:paraId="17835DD8" w14:textId="0A470DA5" w:rsidR="006F1948" w:rsidRPr="00E4265B" w:rsidRDefault="006F1948" w:rsidP="006F1948">
            <w:pPr>
              <w:pStyle w:val="A1Lis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18</w:t>
            </w:r>
          </w:p>
        </w:tc>
        <w:tc>
          <w:tcPr>
            <w:tcW w:w="0" w:type="auto"/>
            <w:vAlign w:val="center"/>
          </w:tcPr>
          <w:p w14:paraId="25B3F71F" w14:textId="62E33939" w:rsidR="006F1948" w:rsidRPr="00E4265B" w:rsidRDefault="006F194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40</w:t>
            </w:r>
          </w:p>
        </w:tc>
        <w:tc>
          <w:tcPr>
            <w:tcW w:w="0" w:type="auto"/>
            <w:vAlign w:val="center"/>
          </w:tcPr>
          <w:p w14:paraId="041C16F7" w14:textId="42172815" w:rsidR="006F1948" w:rsidRPr="00E4265B" w:rsidRDefault="006F194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70</w:t>
            </w:r>
          </w:p>
        </w:tc>
      </w:tr>
      <w:tr w:rsidR="005677DE" w:rsidRPr="00E4265B" w14:paraId="197A0A7A" w14:textId="77777777" w:rsidTr="005677DE">
        <w:trPr>
          <w:trHeight w:val="216"/>
        </w:trPr>
        <w:tc>
          <w:tcPr>
            <w:tcW w:w="0" w:type="auto"/>
            <w:vMerge/>
            <w:vAlign w:val="center"/>
          </w:tcPr>
          <w:p w14:paraId="3B495E91" w14:textId="77777777" w:rsidR="006F1948" w:rsidRPr="00E4265B" w:rsidRDefault="006F1948" w:rsidP="006F1948">
            <w:pPr>
              <w:pStyle w:val="A1List"/>
              <w:tabs>
                <w:tab w:val="clear" w:pos="990"/>
              </w:tabs>
              <w:ind w:left="0" w:firstLine="0"/>
              <w:rPr>
                <w:rFonts w:ascii="Arial" w:hAnsi="Arial" w:cs="Arial"/>
                <w:bCs/>
                <w:sz w:val="22"/>
                <w:szCs w:val="22"/>
                <w:lang w:val="en-GB"/>
              </w:rPr>
            </w:pPr>
          </w:p>
        </w:tc>
        <w:tc>
          <w:tcPr>
            <w:tcW w:w="1710" w:type="dxa"/>
            <w:vAlign w:val="center"/>
          </w:tcPr>
          <w:p w14:paraId="08BDBF04" w14:textId="77777777" w:rsidR="006F1948" w:rsidRPr="00E4265B" w:rsidRDefault="006F1948" w:rsidP="006F1948">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Agricultural</w:t>
            </w:r>
          </w:p>
        </w:tc>
        <w:tc>
          <w:tcPr>
            <w:tcW w:w="1380" w:type="dxa"/>
            <w:vAlign w:val="center"/>
          </w:tcPr>
          <w:p w14:paraId="7255A3DD" w14:textId="0D698872" w:rsidR="006F1948" w:rsidRPr="00E4265B" w:rsidRDefault="006F1948" w:rsidP="006F1948">
            <w:pPr>
              <w:pStyle w:val="A1Lis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18</w:t>
            </w:r>
          </w:p>
        </w:tc>
        <w:tc>
          <w:tcPr>
            <w:tcW w:w="0" w:type="auto"/>
            <w:vAlign w:val="center"/>
          </w:tcPr>
          <w:p w14:paraId="5A7C43F4" w14:textId="24A43696" w:rsidR="006F1948" w:rsidRPr="00E4265B" w:rsidRDefault="006F194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40</w:t>
            </w:r>
          </w:p>
        </w:tc>
        <w:tc>
          <w:tcPr>
            <w:tcW w:w="0" w:type="auto"/>
            <w:vAlign w:val="center"/>
          </w:tcPr>
          <w:p w14:paraId="6C47CC6B" w14:textId="4ACEE2AC" w:rsidR="006F1948" w:rsidRPr="00E4265B" w:rsidRDefault="006F194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70</w:t>
            </w:r>
          </w:p>
        </w:tc>
      </w:tr>
      <w:tr w:rsidR="005677DE" w:rsidRPr="00E4265B" w14:paraId="269140AD" w14:textId="77777777" w:rsidTr="005677DE">
        <w:trPr>
          <w:trHeight w:val="216"/>
        </w:trPr>
        <w:tc>
          <w:tcPr>
            <w:tcW w:w="0" w:type="auto"/>
            <w:vMerge/>
            <w:vAlign w:val="center"/>
          </w:tcPr>
          <w:p w14:paraId="79F0A97B" w14:textId="77777777" w:rsidR="006F1948" w:rsidRPr="00E4265B" w:rsidRDefault="006F1948" w:rsidP="006F1948">
            <w:pPr>
              <w:pStyle w:val="A1List"/>
              <w:tabs>
                <w:tab w:val="clear" w:pos="990"/>
              </w:tabs>
              <w:ind w:left="0" w:firstLine="0"/>
              <w:rPr>
                <w:rFonts w:ascii="Arial" w:hAnsi="Arial" w:cs="Arial"/>
                <w:bCs/>
                <w:sz w:val="22"/>
                <w:szCs w:val="22"/>
                <w:lang w:val="en-GB"/>
              </w:rPr>
            </w:pPr>
          </w:p>
        </w:tc>
        <w:tc>
          <w:tcPr>
            <w:tcW w:w="1710" w:type="dxa"/>
            <w:vAlign w:val="center"/>
          </w:tcPr>
          <w:p w14:paraId="20A2D89C" w14:textId="77777777" w:rsidR="006F1948" w:rsidRPr="00E4265B" w:rsidRDefault="006F1948" w:rsidP="006F1948">
            <w:pPr>
              <w:pStyle w:val="A1List"/>
              <w:tabs>
                <w:tab w:val="clear" w:pos="990"/>
              </w:tabs>
              <w:ind w:left="0" w:firstLine="0"/>
              <w:jc w:val="left"/>
              <w:rPr>
                <w:rFonts w:ascii="Arial" w:hAnsi="Arial" w:cs="Arial"/>
                <w:bCs/>
                <w:sz w:val="22"/>
                <w:szCs w:val="22"/>
                <w:lang w:val="en-GB"/>
              </w:rPr>
            </w:pPr>
            <w:r w:rsidRPr="00E4265B">
              <w:rPr>
                <w:rFonts w:ascii="Arial" w:hAnsi="Arial" w:cs="Arial"/>
                <w:bCs/>
                <w:sz w:val="22"/>
                <w:szCs w:val="22"/>
                <w:lang w:val="en-GB"/>
              </w:rPr>
              <w:t>Other</w:t>
            </w:r>
          </w:p>
        </w:tc>
        <w:tc>
          <w:tcPr>
            <w:tcW w:w="1380" w:type="dxa"/>
            <w:vAlign w:val="center"/>
          </w:tcPr>
          <w:p w14:paraId="225C9524" w14:textId="7DDAB394" w:rsidR="006F1948" w:rsidRPr="00E4265B" w:rsidRDefault="006F1948" w:rsidP="006F1948">
            <w:pPr>
              <w:pStyle w:val="A1List"/>
              <w:tabs>
                <w:tab w:val="clear" w:pos="990"/>
              </w:tabs>
              <w:ind w:left="0" w:right="236" w:firstLine="0"/>
              <w:jc w:val="right"/>
              <w:rPr>
                <w:rFonts w:ascii="Arial" w:hAnsi="Arial" w:cs="Arial"/>
                <w:sz w:val="22"/>
                <w:szCs w:val="22"/>
                <w:lang w:val="en-GB"/>
              </w:rPr>
            </w:pPr>
            <w:r w:rsidRPr="00E4265B">
              <w:rPr>
                <w:rFonts w:ascii="Arial" w:hAnsi="Arial" w:cs="Arial"/>
                <w:sz w:val="22"/>
                <w:szCs w:val="22"/>
                <w:lang w:val="en-GB"/>
              </w:rPr>
              <w:t>18</w:t>
            </w:r>
          </w:p>
        </w:tc>
        <w:tc>
          <w:tcPr>
            <w:tcW w:w="0" w:type="auto"/>
            <w:vAlign w:val="center"/>
          </w:tcPr>
          <w:p w14:paraId="54D24FF5" w14:textId="4A281F77" w:rsidR="006F1948" w:rsidRPr="00E4265B" w:rsidRDefault="006F194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40</w:t>
            </w:r>
          </w:p>
        </w:tc>
        <w:tc>
          <w:tcPr>
            <w:tcW w:w="0" w:type="auto"/>
            <w:vAlign w:val="center"/>
          </w:tcPr>
          <w:p w14:paraId="23524797" w14:textId="004BE4E3" w:rsidR="006F1948" w:rsidRPr="00E4265B" w:rsidRDefault="006F1948" w:rsidP="006F1948">
            <w:pPr>
              <w:pStyle w:val="A1List"/>
              <w:tabs>
                <w:tab w:val="clear" w:pos="990"/>
              </w:tabs>
              <w:ind w:left="0" w:right="236" w:firstLine="0"/>
              <w:jc w:val="right"/>
              <w:rPr>
                <w:rFonts w:ascii="Arial" w:hAnsi="Arial" w:cs="Arial"/>
                <w:bCs/>
                <w:sz w:val="22"/>
                <w:szCs w:val="22"/>
                <w:lang w:val="en-GB"/>
              </w:rPr>
            </w:pPr>
            <w:r w:rsidRPr="00E4265B">
              <w:rPr>
                <w:rFonts w:ascii="Arial" w:hAnsi="Arial" w:cs="Arial"/>
                <w:bCs/>
                <w:sz w:val="22"/>
                <w:szCs w:val="22"/>
                <w:lang w:val="en-GB"/>
              </w:rPr>
              <w:t>70</w:t>
            </w:r>
          </w:p>
        </w:tc>
      </w:tr>
    </w:tbl>
    <w:p w14:paraId="2D6AF801" w14:textId="77777777" w:rsidR="00A01F35" w:rsidRPr="00E4265B" w:rsidRDefault="00A01F35" w:rsidP="0089332A">
      <w:pPr>
        <w:pStyle w:val="TitleL5"/>
        <w:rPr>
          <w:rFonts w:ascii="Arial" w:hAnsi="Arial" w:cs="Arial"/>
          <w:sz w:val="22"/>
          <w:szCs w:val="22"/>
          <w:highlight w:val="yellow"/>
          <w:lang w:val="en-GB"/>
        </w:rPr>
      </w:pPr>
    </w:p>
    <w:p w14:paraId="7BB8F8F4" w14:textId="06B6AC43" w:rsidR="00A01F35" w:rsidRPr="00E4265B" w:rsidRDefault="00A01F35" w:rsidP="00A01F35">
      <w:pPr>
        <w:pStyle w:val="TitleL5"/>
        <w:rPr>
          <w:rFonts w:ascii="Arial" w:hAnsi="Arial" w:cs="Arial"/>
          <w:sz w:val="22"/>
          <w:szCs w:val="22"/>
          <w:lang w:val="en-GB"/>
        </w:rPr>
      </w:pPr>
      <w:r w:rsidRPr="00E4265B">
        <w:rPr>
          <w:rFonts w:ascii="Arial" w:hAnsi="Arial" w:cs="Arial"/>
          <w:sz w:val="22"/>
          <w:szCs w:val="22"/>
          <w:lang w:val="en-GB"/>
        </w:rPr>
        <w:t>Trade level adjusted notional – interest rate</w:t>
      </w:r>
      <w:r w:rsidR="00C33BDF" w:rsidRPr="00E4265B">
        <w:rPr>
          <w:rFonts w:ascii="Arial" w:hAnsi="Arial" w:cs="Arial"/>
          <w:sz w:val="22"/>
          <w:szCs w:val="22"/>
          <w:lang w:val="en-GB"/>
        </w:rPr>
        <w:t xml:space="preserve"> </w:t>
      </w:r>
      <w:r w:rsidR="00C33BDF" w:rsidRPr="00E4265B">
        <w:rPr>
          <w:rFonts w:ascii="Arial" w:hAnsi="Arial" w:cs="Arial"/>
          <w:sz w:val="22"/>
          <w:szCs w:val="22"/>
        </w:rPr>
        <w:t>(</w:t>
      </w:r>
      <w:r w:rsidR="00C33BDF" w:rsidRPr="00E4265B">
        <w:rPr>
          <w:rFonts w:ascii="Arial" w:hAnsi="Arial" w:cs="Arial"/>
          <w:i/>
          <w:iCs/>
          <w:sz w:val="22"/>
          <w:szCs w:val="22"/>
        </w:rPr>
        <w:t>d</w:t>
      </w:r>
      <w:r w:rsidR="00C33BDF" w:rsidRPr="00E4265B">
        <w:rPr>
          <w:rFonts w:ascii="Arial" w:hAnsi="Arial" w:cs="Arial"/>
          <w:i/>
          <w:iCs/>
          <w:sz w:val="22"/>
          <w:szCs w:val="22"/>
          <w:vertAlign w:val="subscript"/>
        </w:rPr>
        <w:t>i</w:t>
      </w:r>
      <w:r w:rsidR="00C33BDF" w:rsidRPr="00E4265B">
        <w:rPr>
          <w:rFonts w:ascii="Arial" w:hAnsi="Arial" w:cs="Arial"/>
          <w:i/>
          <w:iCs/>
          <w:sz w:val="22"/>
          <w:szCs w:val="22"/>
          <w:vertAlign w:val="superscript"/>
        </w:rPr>
        <w:t>(IR)</w:t>
      </w:r>
      <w:r w:rsidR="00C33BDF" w:rsidRPr="00E4265B">
        <w:rPr>
          <w:rFonts w:ascii="Arial" w:hAnsi="Arial" w:cs="Arial"/>
          <w:sz w:val="22"/>
          <w:szCs w:val="22"/>
        </w:rPr>
        <w:t>)</w:t>
      </w:r>
      <w:r w:rsidRPr="00E4265B">
        <w:rPr>
          <w:rFonts w:ascii="Arial" w:hAnsi="Arial" w:cs="Arial"/>
          <w:sz w:val="22"/>
          <w:szCs w:val="22"/>
          <w:lang w:val="en-GB"/>
        </w:rPr>
        <w:t xml:space="preserve"> and credit derivatives</w:t>
      </w:r>
      <w:r w:rsidR="00C33BDF" w:rsidRPr="00E4265B">
        <w:rPr>
          <w:rFonts w:ascii="Arial" w:hAnsi="Arial" w:cs="Arial"/>
          <w:sz w:val="22"/>
          <w:szCs w:val="22"/>
          <w:lang w:val="en-GB"/>
        </w:rPr>
        <w:t xml:space="preserve"> </w:t>
      </w:r>
      <w:r w:rsidR="00C33BDF" w:rsidRPr="00E4265B">
        <w:rPr>
          <w:rFonts w:ascii="Arial" w:hAnsi="Arial" w:cs="Arial"/>
          <w:sz w:val="22"/>
          <w:szCs w:val="22"/>
        </w:rPr>
        <w:t>(</w:t>
      </w:r>
      <w:r w:rsidR="00C33BDF" w:rsidRPr="00E4265B">
        <w:rPr>
          <w:rFonts w:ascii="Arial" w:hAnsi="Arial" w:cs="Arial"/>
          <w:i/>
          <w:iCs/>
          <w:sz w:val="22"/>
          <w:szCs w:val="22"/>
        </w:rPr>
        <w:t>d</w:t>
      </w:r>
      <w:r w:rsidR="00C33BDF" w:rsidRPr="00E4265B">
        <w:rPr>
          <w:rFonts w:ascii="Arial" w:hAnsi="Arial" w:cs="Arial"/>
          <w:i/>
          <w:iCs/>
          <w:sz w:val="22"/>
          <w:szCs w:val="22"/>
          <w:vertAlign w:val="subscript"/>
        </w:rPr>
        <w:t>i</w:t>
      </w:r>
      <w:r w:rsidR="00C33BDF" w:rsidRPr="00E4265B">
        <w:rPr>
          <w:rFonts w:ascii="Arial" w:hAnsi="Arial" w:cs="Arial"/>
          <w:i/>
          <w:iCs/>
          <w:sz w:val="22"/>
          <w:szCs w:val="22"/>
          <w:vertAlign w:val="superscript"/>
        </w:rPr>
        <w:t>(Credit)</w:t>
      </w:r>
      <w:r w:rsidR="00C33BDF" w:rsidRPr="00E4265B">
        <w:rPr>
          <w:rFonts w:ascii="Arial" w:hAnsi="Arial" w:cs="Arial"/>
          <w:sz w:val="22"/>
          <w:szCs w:val="22"/>
        </w:rPr>
        <w:t>)</w:t>
      </w:r>
    </w:p>
    <w:p w14:paraId="0233AA7F" w14:textId="77777777" w:rsidR="00A01F35" w:rsidRPr="00E4265B" w:rsidRDefault="00A01F35" w:rsidP="008A0D15">
      <w:pPr>
        <w:pStyle w:val="A1List"/>
        <w:rPr>
          <w:rFonts w:ascii="Arial" w:hAnsi="Arial" w:cs="Arial"/>
          <w:b/>
          <w:bCs/>
          <w:sz w:val="22"/>
          <w:szCs w:val="22"/>
          <w:lang w:val="en-GB"/>
        </w:rPr>
      </w:pPr>
      <w:r w:rsidRPr="00E4265B">
        <w:rPr>
          <w:rFonts w:ascii="Arial" w:hAnsi="Arial" w:cs="Arial"/>
          <w:b/>
          <w:bCs/>
          <w:sz w:val="22"/>
          <w:szCs w:val="22"/>
          <w:lang w:val="en-GB"/>
        </w:rPr>
        <w:t>A4.6.35</w:t>
      </w:r>
      <w:r w:rsidRPr="00E4265B">
        <w:rPr>
          <w:rFonts w:ascii="Arial" w:hAnsi="Arial" w:cs="Arial"/>
          <w:b/>
          <w:bCs/>
          <w:sz w:val="22"/>
          <w:szCs w:val="22"/>
          <w:lang w:val="en-GB"/>
        </w:rPr>
        <w:tab/>
      </w:r>
      <w:r w:rsidRPr="00E4265B">
        <w:rPr>
          <w:rFonts w:ascii="Arial" w:hAnsi="Arial" w:cs="Arial"/>
          <w:bCs/>
          <w:sz w:val="22"/>
          <w:szCs w:val="22"/>
          <w:lang w:val="en-GB"/>
        </w:rPr>
        <w:t>For interest rate and credit derivatives, the trade-level adjusted notional is the product of the trade notional amount, converted to the domestic currency, and the supervisory duration (</w:t>
      </w:r>
      <w:r w:rsidRPr="00E4265B">
        <w:rPr>
          <w:rFonts w:ascii="Arial" w:hAnsi="Arial" w:cs="Arial"/>
          <w:bCs/>
          <w:i/>
          <w:iCs/>
          <w:sz w:val="22"/>
          <w:szCs w:val="22"/>
          <w:lang w:val="en-GB"/>
        </w:rPr>
        <w:t>SD</w:t>
      </w:r>
      <w:r w:rsidRPr="00E4265B">
        <w:rPr>
          <w:rFonts w:ascii="Arial" w:hAnsi="Arial" w:cs="Arial"/>
          <w:bCs/>
          <w:i/>
          <w:iCs/>
          <w:sz w:val="22"/>
          <w:szCs w:val="22"/>
          <w:vertAlign w:val="subscript"/>
          <w:lang w:val="en-GB"/>
        </w:rPr>
        <w:t>i</w:t>
      </w:r>
      <w:r w:rsidRPr="00E4265B">
        <w:rPr>
          <w:rFonts w:ascii="Arial" w:hAnsi="Arial" w:cs="Arial"/>
          <w:bCs/>
          <w:sz w:val="22"/>
          <w:szCs w:val="22"/>
          <w:lang w:val="en-GB"/>
        </w:rPr>
        <w:t>):</w:t>
      </w:r>
    </w:p>
    <w:p w14:paraId="13207560" w14:textId="77777777" w:rsidR="00A01F35" w:rsidRPr="00E4265B" w:rsidRDefault="00A01F35" w:rsidP="008A0D15">
      <w:pPr>
        <w:pStyle w:val="A1List"/>
        <w:ind w:left="990" w:firstLine="0"/>
        <w:jc w:val="center"/>
        <w:rPr>
          <w:rFonts w:ascii="Arial" w:hAnsi="Arial" w:cs="Arial"/>
          <w:bCs/>
          <w:i/>
          <w:sz w:val="22"/>
          <w:szCs w:val="22"/>
          <w:lang w:val="en-GB"/>
        </w:rPr>
      </w:pPr>
      <w:r w:rsidRPr="00E4265B">
        <w:rPr>
          <w:rFonts w:ascii="Arial" w:hAnsi="Arial" w:cs="Arial"/>
          <w:bCs/>
          <w:i/>
          <w:sz w:val="22"/>
          <w:szCs w:val="22"/>
          <w:lang w:val="en-GB"/>
        </w:rPr>
        <w:t xml:space="preserve">Trade-level adjusted notional = </w:t>
      </w:r>
      <w:r w:rsidR="00211CE9" w:rsidRPr="00E4265B">
        <w:rPr>
          <w:rFonts w:ascii="Arial" w:hAnsi="Arial" w:cs="Arial"/>
          <w:bCs/>
          <w:i/>
          <w:sz w:val="22"/>
          <w:szCs w:val="22"/>
          <w:lang w:val="en-GB"/>
        </w:rPr>
        <w:t>T</w:t>
      </w:r>
      <w:r w:rsidRPr="00E4265B">
        <w:rPr>
          <w:rFonts w:ascii="Arial" w:hAnsi="Arial" w:cs="Arial"/>
          <w:bCs/>
          <w:i/>
          <w:sz w:val="22"/>
          <w:szCs w:val="22"/>
          <w:lang w:val="en-GB"/>
        </w:rPr>
        <w:t>rade notional amount * SD</w:t>
      </w:r>
      <w:r w:rsidRPr="00E4265B">
        <w:rPr>
          <w:rFonts w:ascii="Arial" w:hAnsi="Arial" w:cs="Arial"/>
          <w:bCs/>
          <w:i/>
          <w:sz w:val="22"/>
          <w:szCs w:val="22"/>
          <w:vertAlign w:val="subscript"/>
          <w:lang w:val="en-GB"/>
        </w:rPr>
        <w:t>i</w:t>
      </w:r>
    </w:p>
    <w:p w14:paraId="5F438FEF" w14:textId="77777777" w:rsidR="008A0D15" w:rsidRPr="00E4265B" w:rsidRDefault="00A01F35" w:rsidP="008A0D15">
      <w:pPr>
        <w:pStyle w:val="A1List"/>
        <w:rPr>
          <w:rFonts w:ascii="Arial" w:hAnsi="Arial" w:cs="Arial"/>
          <w:b/>
          <w:bCs/>
          <w:sz w:val="22"/>
          <w:szCs w:val="22"/>
          <w:lang w:val="en-GB"/>
        </w:rPr>
      </w:pPr>
      <w:r w:rsidRPr="00E4265B">
        <w:rPr>
          <w:rFonts w:ascii="Arial" w:hAnsi="Arial" w:cs="Arial"/>
          <w:b/>
          <w:bCs/>
          <w:sz w:val="22"/>
          <w:szCs w:val="22"/>
          <w:lang w:val="en-GB"/>
        </w:rPr>
        <w:t>A4.6.36</w:t>
      </w:r>
      <w:r w:rsidRPr="00E4265B">
        <w:rPr>
          <w:rFonts w:ascii="Arial" w:hAnsi="Arial" w:cs="Arial"/>
          <w:b/>
          <w:bCs/>
          <w:sz w:val="22"/>
          <w:szCs w:val="22"/>
          <w:lang w:val="en-GB"/>
        </w:rPr>
        <w:tab/>
      </w:r>
      <w:r w:rsidRPr="00E4265B">
        <w:rPr>
          <w:rFonts w:ascii="Arial" w:hAnsi="Arial" w:cs="Arial"/>
          <w:bCs/>
          <w:sz w:val="22"/>
          <w:szCs w:val="22"/>
          <w:lang w:val="en-GB"/>
        </w:rPr>
        <w:t>SDi is determined in accordance with the following formula:</w:t>
      </w:r>
    </w:p>
    <w:p w14:paraId="3DF5AD2D" w14:textId="77777777" w:rsidR="008A0D15" w:rsidRPr="00E4265B" w:rsidRDefault="008A0D15" w:rsidP="008A0D15">
      <w:pPr>
        <w:pStyle w:val="A1List"/>
        <w:rPr>
          <w:rFonts w:ascii="Arial" w:hAnsi="Arial" w:cs="Arial"/>
          <w:b/>
          <w:bCs/>
          <w:sz w:val="22"/>
          <w:szCs w:val="22"/>
          <w:lang w:val="en-GB"/>
        </w:rPr>
      </w:pPr>
      <m:oMathPara>
        <m:oMath>
          <m:r>
            <w:rPr>
              <w:rFonts w:ascii="Cambria Math" w:hAnsi="Cambria Math" w:cs="Arial"/>
              <w:sz w:val="22"/>
              <w:szCs w:val="22"/>
              <w:lang w:val="en-GB"/>
            </w:rPr>
            <m:t>S</m:t>
          </m:r>
          <m:sSub>
            <m:sSubPr>
              <m:ctrlPr>
                <w:rPr>
                  <w:rFonts w:ascii="Cambria Math" w:hAnsi="Cambria Math" w:cs="Arial"/>
                  <w:bCs/>
                  <w:i/>
                  <w:sz w:val="22"/>
                  <w:szCs w:val="22"/>
                  <w:lang w:val="en-GB"/>
                </w:rPr>
              </m:ctrlPr>
            </m:sSubPr>
            <m:e>
              <m:r>
                <w:rPr>
                  <w:rFonts w:ascii="Cambria Math" w:hAnsi="Cambria Math" w:cs="Arial"/>
                  <w:sz w:val="22"/>
                  <w:szCs w:val="22"/>
                  <w:lang w:val="en-GB"/>
                </w:rPr>
                <m:t>D</m:t>
              </m:r>
            </m:e>
            <m:sub>
              <m:r>
                <w:rPr>
                  <w:rFonts w:ascii="Cambria Math" w:hAnsi="Cambria Math" w:cs="Arial"/>
                  <w:sz w:val="22"/>
                  <w:szCs w:val="22"/>
                  <w:lang w:val="en-GB"/>
                </w:rPr>
                <m:t>i</m:t>
              </m:r>
            </m:sub>
          </m:sSub>
          <m:r>
            <w:rPr>
              <w:rFonts w:ascii="Cambria Math" w:hAnsi="Cambria Math" w:cs="Arial"/>
              <w:sz w:val="22"/>
              <w:szCs w:val="22"/>
              <w:lang w:val="en-GB"/>
            </w:rPr>
            <m:t>=</m:t>
          </m:r>
          <m:f>
            <m:fPr>
              <m:ctrlPr>
                <w:rPr>
                  <w:rFonts w:ascii="Cambria Math" w:hAnsi="Cambria Math" w:cs="Arial"/>
                  <w:bCs/>
                  <w:i/>
                  <w:sz w:val="22"/>
                  <w:szCs w:val="22"/>
                  <w:lang w:val="en-GB"/>
                </w:rPr>
              </m:ctrlPr>
            </m:fPr>
            <m:num>
              <m:r>
                <m:rPr>
                  <m:nor/>
                </m:rPr>
                <w:rPr>
                  <w:rFonts w:ascii="Arial" w:hAnsi="Arial" w:cs="Arial"/>
                  <w:bCs/>
                  <w:sz w:val="22"/>
                  <w:szCs w:val="22"/>
                  <w:lang w:val="en-GB"/>
                </w:rPr>
                <m:t>exp(-0.0</m:t>
              </m:r>
              <m:sSup>
                <m:sSupPr>
                  <m:ctrlPr>
                    <w:rPr>
                      <w:rFonts w:ascii="Cambria Math" w:hAnsi="Cambria Math" w:cs="Arial"/>
                      <w:bCs/>
                      <w:i/>
                      <w:sz w:val="22"/>
                      <w:szCs w:val="22"/>
                      <w:lang w:val="en-GB"/>
                    </w:rPr>
                  </m:ctrlPr>
                </m:sSupPr>
                <m:e>
                  <m:r>
                    <w:rPr>
                      <w:rFonts w:ascii="Cambria Math" w:hAnsi="Cambria Math" w:cs="Arial"/>
                      <w:sz w:val="22"/>
                      <w:szCs w:val="22"/>
                      <w:lang w:val="en-GB"/>
                    </w:rPr>
                    <m:t>5</m:t>
                  </m:r>
                </m:e>
                <m:sup>
                  <m:r>
                    <w:rPr>
                      <w:rFonts w:ascii="Cambria Math" w:hAnsi="Cambria Math" w:cs="Arial"/>
                      <w:sz w:val="22"/>
                      <w:szCs w:val="22"/>
                      <w:lang w:val="en-GB"/>
                    </w:rPr>
                    <m:t>*</m:t>
                  </m:r>
                </m:sup>
              </m:sSup>
              <m:sSub>
                <m:sSubPr>
                  <m:ctrlPr>
                    <w:rPr>
                      <w:rFonts w:ascii="Cambria Math" w:hAnsi="Cambria Math" w:cs="Arial"/>
                      <w:bCs/>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r>
                <w:rPr>
                  <w:rFonts w:ascii="Cambria Math" w:hAnsi="Cambria Math" w:cs="Arial"/>
                  <w:sz w:val="22"/>
                  <w:szCs w:val="22"/>
                  <w:lang w:val="en-GB"/>
                </w:rPr>
                <m:t>)-</m:t>
              </m:r>
              <m:r>
                <m:rPr>
                  <m:nor/>
                </m:rPr>
                <w:rPr>
                  <w:rFonts w:ascii="Arial" w:hAnsi="Arial" w:cs="Arial"/>
                  <w:bCs/>
                  <w:sz w:val="22"/>
                  <w:szCs w:val="22"/>
                  <w:lang w:val="en-GB"/>
                </w:rPr>
                <m:t>exp(-0.0</m:t>
              </m:r>
              <m:sSup>
                <m:sSupPr>
                  <m:ctrlPr>
                    <w:rPr>
                      <w:rFonts w:ascii="Cambria Math" w:hAnsi="Cambria Math" w:cs="Arial"/>
                      <w:bCs/>
                      <w:i/>
                      <w:sz w:val="22"/>
                      <w:szCs w:val="22"/>
                      <w:lang w:val="en-GB"/>
                    </w:rPr>
                  </m:ctrlPr>
                </m:sSupPr>
                <m:e>
                  <m:r>
                    <w:rPr>
                      <w:rFonts w:ascii="Cambria Math" w:hAnsi="Cambria Math" w:cs="Arial"/>
                      <w:sz w:val="22"/>
                      <w:szCs w:val="22"/>
                      <w:lang w:val="en-GB"/>
                    </w:rPr>
                    <m:t>5</m:t>
                  </m:r>
                </m:e>
                <m:sup>
                  <m:r>
                    <w:rPr>
                      <w:rFonts w:ascii="Cambria Math" w:hAnsi="Cambria Math" w:cs="Arial"/>
                      <w:sz w:val="22"/>
                      <w:szCs w:val="22"/>
                      <w:lang w:val="en-GB"/>
                    </w:rPr>
                    <m:t>*</m:t>
                  </m:r>
                </m:sup>
              </m:sSup>
              <m:sSub>
                <m:sSubPr>
                  <m:ctrlPr>
                    <w:rPr>
                      <w:rFonts w:ascii="Cambria Math" w:hAnsi="Cambria Math" w:cs="Arial"/>
                      <w:bCs/>
                      <w:i/>
                      <w:sz w:val="22"/>
                      <w:szCs w:val="22"/>
                      <w:lang w:val="en-GB"/>
                    </w:rPr>
                  </m:ctrlPr>
                </m:sSubPr>
                <m:e>
                  <m:r>
                    <w:rPr>
                      <w:rFonts w:ascii="Cambria Math" w:hAnsi="Cambria Math" w:cs="Arial"/>
                      <w:sz w:val="22"/>
                      <w:szCs w:val="22"/>
                      <w:lang w:val="en-GB"/>
                    </w:rPr>
                    <m:t>E</m:t>
                  </m:r>
                </m:e>
                <m:sub>
                  <m:r>
                    <w:rPr>
                      <w:rFonts w:ascii="Cambria Math" w:hAnsi="Cambria Math" w:cs="Arial"/>
                      <w:sz w:val="22"/>
                      <w:szCs w:val="22"/>
                      <w:lang w:val="en-GB"/>
                    </w:rPr>
                    <m:t>i</m:t>
                  </m:r>
                </m:sub>
              </m:sSub>
              <m:r>
                <w:rPr>
                  <w:rFonts w:ascii="Cambria Math" w:hAnsi="Cambria Math" w:cs="Arial"/>
                  <w:sz w:val="22"/>
                  <w:szCs w:val="22"/>
                  <w:lang w:val="en-GB"/>
                </w:rPr>
                <m:t>)</m:t>
              </m:r>
            </m:num>
            <m:den>
              <m:r>
                <w:rPr>
                  <w:rFonts w:ascii="Cambria Math" w:hAnsi="Cambria Math" w:cs="Arial"/>
                  <w:sz w:val="22"/>
                  <w:szCs w:val="22"/>
                  <w:lang w:val="en-GB"/>
                </w:rPr>
                <m:t>0.05</m:t>
              </m:r>
            </m:den>
          </m:f>
        </m:oMath>
      </m:oMathPara>
    </w:p>
    <w:p w14:paraId="150159AA" w14:textId="77777777" w:rsidR="00DE7245" w:rsidRPr="00E4265B" w:rsidRDefault="00DE7245" w:rsidP="00DE7245">
      <w:pPr>
        <w:pStyle w:val="A1List"/>
        <w:ind w:left="990" w:firstLine="0"/>
        <w:rPr>
          <w:rFonts w:ascii="Arial" w:hAnsi="Arial" w:cs="Arial"/>
          <w:bCs/>
          <w:sz w:val="22"/>
          <w:szCs w:val="22"/>
          <w:lang w:val="en-GB"/>
        </w:rPr>
      </w:pPr>
      <w:r w:rsidRPr="00E4265B">
        <w:rPr>
          <w:rFonts w:ascii="Arial" w:hAnsi="Arial" w:cs="Arial"/>
          <w:bCs/>
          <w:sz w:val="22"/>
          <w:szCs w:val="22"/>
          <w:lang w:val="en-GB"/>
        </w:rPr>
        <w:lastRenderedPageBreak/>
        <w:t xml:space="preserve">where </w:t>
      </w:r>
      <w:r w:rsidRPr="00E4265B">
        <w:rPr>
          <w:rFonts w:ascii="Arial" w:hAnsi="Arial" w:cs="Arial"/>
          <w:bCs/>
          <w:i/>
          <w:iCs/>
          <w:sz w:val="22"/>
          <w:szCs w:val="22"/>
          <w:lang w:val="en-GB"/>
        </w:rPr>
        <w:t>S</w:t>
      </w:r>
      <w:r w:rsidRPr="00E4265B">
        <w:rPr>
          <w:rFonts w:ascii="Arial" w:hAnsi="Arial" w:cs="Arial"/>
          <w:bCs/>
          <w:i/>
          <w:iCs/>
          <w:sz w:val="22"/>
          <w:szCs w:val="22"/>
          <w:vertAlign w:val="subscript"/>
          <w:lang w:val="en-GB"/>
        </w:rPr>
        <w:t>i</w:t>
      </w:r>
      <w:r w:rsidRPr="00E4265B">
        <w:rPr>
          <w:rFonts w:ascii="Arial" w:hAnsi="Arial" w:cs="Arial"/>
          <w:bCs/>
          <w:sz w:val="22"/>
          <w:szCs w:val="22"/>
          <w:vertAlign w:val="subscript"/>
          <w:lang w:val="en-GB"/>
        </w:rPr>
        <w:t xml:space="preserve"> </w:t>
      </w:r>
      <w:r w:rsidRPr="00E4265B">
        <w:rPr>
          <w:rFonts w:ascii="Arial" w:hAnsi="Arial" w:cs="Arial"/>
          <w:bCs/>
          <w:sz w:val="22"/>
          <w:szCs w:val="22"/>
          <w:lang w:val="en-GB"/>
        </w:rPr>
        <w:t xml:space="preserve">and </w:t>
      </w:r>
      <w:r w:rsidRPr="00E4265B">
        <w:rPr>
          <w:rFonts w:ascii="Arial" w:hAnsi="Arial" w:cs="Arial"/>
          <w:bCs/>
          <w:i/>
          <w:iCs/>
          <w:sz w:val="22"/>
          <w:szCs w:val="22"/>
          <w:lang w:val="en-GB"/>
        </w:rPr>
        <w:t>E</w:t>
      </w:r>
      <w:r w:rsidRPr="00E4265B">
        <w:rPr>
          <w:rFonts w:ascii="Arial" w:hAnsi="Arial" w:cs="Arial"/>
          <w:bCs/>
          <w:i/>
          <w:iCs/>
          <w:sz w:val="22"/>
          <w:szCs w:val="22"/>
          <w:vertAlign w:val="subscript"/>
          <w:lang w:val="en-GB"/>
        </w:rPr>
        <w:t>i</w:t>
      </w:r>
      <w:r w:rsidRPr="00E4265B">
        <w:rPr>
          <w:rFonts w:ascii="Arial" w:hAnsi="Arial" w:cs="Arial"/>
          <w:bCs/>
          <w:sz w:val="22"/>
          <w:szCs w:val="22"/>
          <w:lang w:val="en-GB"/>
        </w:rPr>
        <w:t xml:space="preserve"> are the start and end dates, respectively, of the time period referenced by the interest rate or credit derivative, floored by ten business days.</w:t>
      </w:r>
    </w:p>
    <w:p w14:paraId="6FD978B7" w14:textId="77777777" w:rsidR="00DE7245" w:rsidRPr="00E4265B" w:rsidRDefault="00DE7245" w:rsidP="00C33BDF">
      <w:pPr>
        <w:pStyle w:val="TitleL5"/>
        <w:ind w:firstLine="57"/>
        <w:rPr>
          <w:rFonts w:ascii="Arial" w:hAnsi="Arial" w:cs="Arial"/>
          <w:sz w:val="22"/>
          <w:szCs w:val="22"/>
          <w:lang w:val="en-GB"/>
        </w:rPr>
      </w:pPr>
      <w:r w:rsidRPr="00E4265B">
        <w:rPr>
          <w:rFonts w:ascii="Arial" w:hAnsi="Arial" w:cs="Arial"/>
          <w:sz w:val="22"/>
          <w:szCs w:val="22"/>
          <w:lang w:val="en-GB"/>
        </w:rPr>
        <w:t>Add-on for interest rate derivatives</w:t>
      </w:r>
    </w:p>
    <w:p w14:paraId="04F8F9E6" w14:textId="77777777" w:rsidR="00DE7245" w:rsidRPr="00E4265B" w:rsidRDefault="00DE7245" w:rsidP="00DE7245">
      <w:pPr>
        <w:pStyle w:val="A1List"/>
        <w:rPr>
          <w:rFonts w:ascii="Arial" w:hAnsi="Arial" w:cs="Arial"/>
          <w:b/>
          <w:bCs/>
          <w:sz w:val="22"/>
          <w:szCs w:val="22"/>
          <w:lang w:val="en-GB"/>
        </w:rPr>
      </w:pPr>
      <w:r w:rsidRPr="00E4265B">
        <w:rPr>
          <w:rFonts w:ascii="Arial" w:hAnsi="Arial" w:cs="Arial"/>
          <w:b/>
          <w:bCs/>
          <w:sz w:val="22"/>
          <w:szCs w:val="22"/>
          <w:lang w:val="en-GB"/>
        </w:rPr>
        <w:t>A4.6.37</w:t>
      </w:r>
      <w:r w:rsidRPr="00E4265B">
        <w:rPr>
          <w:rFonts w:ascii="Arial" w:hAnsi="Arial" w:cs="Arial"/>
          <w:b/>
          <w:bCs/>
          <w:sz w:val="22"/>
          <w:szCs w:val="22"/>
          <w:lang w:val="en-GB"/>
        </w:rPr>
        <w:tab/>
      </w:r>
      <w:r w:rsidRPr="00E4265B">
        <w:rPr>
          <w:rFonts w:ascii="Arial" w:hAnsi="Arial" w:cs="Arial"/>
          <w:bCs/>
          <w:sz w:val="22"/>
          <w:szCs w:val="22"/>
          <w:lang w:val="en-GB"/>
        </w:rPr>
        <w:t xml:space="preserve">The add-on for interest rate derivatives is the sum of the add-ons for each hedging set of interest rate derivatives transacted with a counterparty in a netting set. </w:t>
      </w:r>
    </w:p>
    <w:p w14:paraId="5E9791F1" w14:textId="62D241C2" w:rsidR="00DE7245" w:rsidRPr="00E4265B" w:rsidRDefault="00DE7245" w:rsidP="00CC5D1C">
      <w:pPr>
        <w:pStyle w:val="A1List"/>
        <w:rPr>
          <w:rFonts w:ascii="Arial" w:hAnsi="Arial" w:cs="Arial"/>
          <w:b/>
          <w:bCs/>
          <w:sz w:val="22"/>
          <w:szCs w:val="22"/>
          <w:lang w:val="en-GB"/>
        </w:rPr>
      </w:pPr>
      <w:r w:rsidRPr="00E4265B">
        <w:rPr>
          <w:rFonts w:ascii="Arial" w:hAnsi="Arial" w:cs="Arial"/>
          <w:b/>
          <w:bCs/>
          <w:sz w:val="22"/>
          <w:szCs w:val="22"/>
          <w:lang w:val="en-GB"/>
        </w:rPr>
        <w:t>A4.6.38</w:t>
      </w:r>
      <w:r w:rsidRPr="00E4265B">
        <w:rPr>
          <w:rFonts w:ascii="Arial" w:hAnsi="Arial" w:cs="Arial"/>
          <w:b/>
          <w:bCs/>
          <w:sz w:val="22"/>
          <w:szCs w:val="22"/>
          <w:lang w:val="en-GB"/>
        </w:rPr>
        <w:tab/>
      </w:r>
      <w:r w:rsidRPr="00E4265B">
        <w:rPr>
          <w:rFonts w:ascii="Arial" w:hAnsi="Arial" w:cs="Arial"/>
          <w:bCs/>
          <w:sz w:val="22"/>
          <w:szCs w:val="22"/>
          <w:lang w:val="en-GB"/>
        </w:rPr>
        <w:t xml:space="preserve">Interest rate derivatives consist of a separate hedging set for each currency. Interest rate derivatives are divided into three time 'buckets' as follows: less than </w:t>
      </w:r>
      <w:r w:rsidR="00CC5D1C" w:rsidRPr="00E4265B">
        <w:rPr>
          <w:rFonts w:ascii="Arial" w:hAnsi="Arial" w:cs="Arial"/>
          <w:bCs/>
          <w:sz w:val="22"/>
          <w:szCs w:val="22"/>
          <w:lang w:val="en-GB"/>
        </w:rPr>
        <w:t xml:space="preserve">or equal to </w:t>
      </w:r>
      <w:r w:rsidRPr="00E4265B">
        <w:rPr>
          <w:rFonts w:ascii="Arial" w:hAnsi="Arial" w:cs="Arial"/>
          <w:bCs/>
          <w:sz w:val="22"/>
          <w:szCs w:val="22"/>
          <w:lang w:val="en-GB"/>
        </w:rPr>
        <w:t xml:space="preserve">one year, </w:t>
      </w:r>
      <w:r w:rsidR="00CC5D1C" w:rsidRPr="00E4265B">
        <w:rPr>
          <w:rFonts w:ascii="Arial" w:hAnsi="Arial" w:cs="Arial"/>
          <w:bCs/>
          <w:sz w:val="22"/>
          <w:szCs w:val="22"/>
          <w:lang w:val="en-GB"/>
        </w:rPr>
        <w:t xml:space="preserve">greater than </w:t>
      </w:r>
      <w:r w:rsidRPr="00E4265B">
        <w:rPr>
          <w:rFonts w:ascii="Arial" w:hAnsi="Arial" w:cs="Arial"/>
          <w:bCs/>
          <w:sz w:val="22"/>
          <w:szCs w:val="22"/>
          <w:lang w:val="en-GB"/>
        </w:rPr>
        <w:t xml:space="preserve">one </w:t>
      </w:r>
      <w:r w:rsidR="00CC5D1C" w:rsidRPr="00E4265B">
        <w:rPr>
          <w:rFonts w:ascii="Arial" w:hAnsi="Arial" w:cs="Arial"/>
          <w:bCs/>
          <w:sz w:val="22"/>
          <w:szCs w:val="22"/>
          <w:lang w:val="en-GB"/>
        </w:rPr>
        <w:t xml:space="preserve">year </w:t>
      </w:r>
      <w:r w:rsidRPr="00E4265B">
        <w:rPr>
          <w:rFonts w:ascii="Arial" w:hAnsi="Arial" w:cs="Arial"/>
          <w:bCs/>
          <w:sz w:val="22"/>
          <w:szCs w:val="22"/>
          <w:lang w:val="en-GB"/>
        </w:rPr>
        <w:t xml:space="preserve">and </w:t>
      </w:r>
      <w:r w:rsidR="00CC5D1C" w:rsidRPr="00E4265B">
        <w:rPr>
          <w:rFonts w:ascii="Arial" w:hAnsi="Arial" w:cs="Arial"/>
          <w:bCs/>
          <w:sz w:val="22"/>
          <w:szCs w:val="22"/>
          <w:lang w:val="en-GB"/>
        </w:rPr>
        <w:t xml:space="preserve">lessthanor equal to </w:t>
      </w:r>
      <w:r w:rsidRPr="00E4265B">
        <w:rPr>
          <w:rFonts w:ascii="Arial" w:hAnsi="Arial" w:cs="Arial"/>
          <w:bCs/>
          <w:sz w:val="22"/>
          <w:szCs w:val="22"/>
          <w:lang w:val="en-GB"/>
        </w:rPr>
        <w:t>five years</w:t>
      </w:r>
      <w:r w:rsidR="00CC5D1C" w:rsidRPr="00E4265B">
        <w:rPr>
          <w:rFonts w:ascii="Arial" w:hAnsi="Arial" w:cs="Arial"/>
          <w:bCs/>
          <w:sz w:val="22"/>
          <w:szCs w:val="22"/>
          <w:lang w:val="en-GB"/>
        </w:rPr>
        <w:t>,</w:t>
      </w:r>
      <w:r w:rsidRPr="00E4265B">
        <w:rPr>
          <w:rFonts w:ascii="Arial" w:hAnsi="Arial" w:cs="Arial"/>
          <w:bCs/>
          <w:sz w:val="22"/>
          <w:szCs w:val="22"/>
          <w:lang w:val="en-GB"/>
        </w:rPr>
        <w:t xml:space="preserve"> and more than five years.</w:t>
      </w:r>
      <w:r w:rsidRPr="00E4265B">
        <w:rPr>
          <w:rFonts w:ascii="Arial" w:hAnsi="Arial" w:cs="Arial"/>
          <w:b/>
          <w:bCs/>
          <w:sz w:val="22"/>
          <w:szCs w:val="22"/>
          <w:lang w:val="en-GB"/>
        </w:rPr>
        <w:t xml:space="preserve">  </w:t>
      </w:r>
    </w:p>
    <w:p w14:paraId="77C6BCE3" w14:textId="77777777" w:rsidR="00DE7245" w:rsidRPr="00E4265B" w:rsidRDefault="00DE7245" w:rsidP="00DE7245">
      <w:pPr>
        <w:pStyle w:val="A1List"/>
        <w:rPr>
          <w:rFonts w:ascii="Arial" w:hAnsi="Arial" w:cs="Arial"/>
          <w:b/>
          <w:bCs/>
          <w:sz w:val="22"/>
          <w:szCs w:val="22"/>
          <w:lang w:val="en-GB"/>
        </w:rPr>
      </w:pPr>
      <w:r w:rsidRPr="00E4265B">
        <w:rPr>
          <w:rFonts w:ascii="Arial" w:hAnsi="Arial" w:cs="Arial"/>
          <w:b/>
          <w:bCs/>
          <w:sz w:val="22"/>
          <w:szCs w:val="22"/>
          <w:lang w:val="en-GB"/>
        </w:rPr>
        <w:t>A4.6.39</w:t>
      </w:r>
      <w:r w:rsidRPr="00E4265B">
        <w:rPr>
          <w:rFonts w:ascii="Arial" w:hAnsi="Arial" w:cs="Arial"/>
          <w:b/>
          <w:bCs/>
          <w:sz w:val="22"/>
          <w:szCs w:val="22"/>
          <w:lang w:val="en-GB"/>
        </w:rPr>
        <w:tab/>
      </w:r>
      <w:r w:rsidRPr="00E4265B">
        <w:rPr>
          <w:rFonts w:ascii="Arial" w:hAnsi="Arial" w:cs="Arial"/>
          <w:bCs/>
          <w:sz w:val="22"/>
          <w:szCs w:val="22"/>
          <w:lang w:val="en-GB"/>
        </w:rPr>
        <w:t>The add-on for a hedging set of interest rate derivatives is calculated in two steps:</w:t>
      </w:r>
    </w:p>
    <w:p w14:paraId="1E4957B6" w14:textId="77777777" w:rsidR="00DE7245" w:rsidRPr="00E4265B" w:rsidRDefault="00DE7245" w:rsidP="00C33BDF">
      <w:pPr>
        <w:pStyle w:val="TitleL5"/>
        <w:ind w:firstLine="57"/>
        <w:rPr>
          <w:rFonts w:ascii="Arial" w:hAnsi="Arial" w:cs="Arial"/>
          <w:sz w:val="22"/>
          <w:szCs w:val="22"/>
          <w:lang w:val="en-GB"/>
        </w:rPr>
      </w:pPr>
      <w:r w:rsidRPr="00E4265B">
        <w:rPr>
          <w:rFonts w:ascii="Arial" w:hAnsi="Arial" w:cs="Arial"/>
          <w:sz w:val="22"/>
          <w:szCs w:val="22"/>
          <w:lang w:val="en-GB"/>
        </w:rPr>
        <w:t>Step 1</w:t>
      </w:r>
    </w:p>
    <w:p w14:paraId="7EB6B5B5" w14:textId="77777777" w:rsidR="008A0D15" w:rsidRPr="00E4265B" w:rsidRDefault="00DE7245" w:rsidP="00DE7245">
      <w:pPr>
        <w:pStyle w:val="A1List"/>
        <w:rPr>
          <w:rFonts w:ascii="Arial" w:hAnsi="Arial" w:cs="Arial"/>
          <w:b/>
          <w:bCs/>
          <w:sz w:val="22"/>
          <w:szCs w:val="22"/>
          <w:lang w:val="en-GB"/>
        </w:rPr>
      </w:pPr>
      <w:r w:rsidRPr="00E4265B">
        <w:rPr>
          <w:rFonts w:ascii="Arial" w:hAnsi="Arial" w:cs="Arial"/>
          <w:b/>
          <w:bCs/>
          <w:sz w:val="22"/>
          <w:szCs w:val="22"/>
          <w:lang w:val="en-GB"/>
        </w:rPr>
        <w:t>A4.6.40</w:t>
      </w:r>
      <w:r w:rsidRPr="00E4265B">
        <w:rPr>
          <w:rFonts w:ascii="Arial" w:hAnsi="Arial" w:cs="Arial"/>
          <w:b/>
          <w:bCs/>
          <w:sz w:val="22"/>
          <w:szCs w:val="22"/>
          <w:lang w:val="en-GB"/>
        </w:rPr>
        <w:tab/>
      </w:r>
      <w:r w:rsidRPr="00E4265B">
        <w:rPr>
          <w:rFonts w:ascii="Arial" w:hAnsi="Arial" w:cs="Arial"/>
          <w:bCs/>
          <w:sz w:val="22"/>
          <w:szCs w:val="22"/>
          <w:lang w:val="en-GB"/>
        </w:rPr>
        <w:t>The effective notional is calculated in accordance with the following formula:</w:t>
      </w:r>
    </w:p>
    <w:p w14:paraId="4265E3BB" w14:textId="77777777" w:rsidR="00DE7245" w:rsidRPr="00E4265B" w:rsidRDefault="00B275AE" w:rsidP="00DE7245">
      <w:pPr>
        <w:pStyle w:val="A1List"/>
        <w:ind w:left="990" w:firstLine="0"/>
        <w:rPr>
          <w:rFonts w:ascii="Arial" w:hAnsi="Arial" w:cs="Arial"/>
          <w:bCs/>
          <w:sz w:val="22"/>
          <w:szCs w:val="22"/>
          <w:lang w:val="en-GB"/>
        </w:rPr>
      </w:pPr>
      <m:oMathPara>
        <m:oMath>
          <m:sSubSup>
            <m:sSubSupPr>
              <m:ctrlPr>
                <w:rPr>
                  <w:rFonts w:ascii="Cambria Math" w:hAnsi="Cambria Math" w:cs="Arial"/>
                  <w:bCs/>
                  <w:i/>
                  <w:sz w:val="22"/>
                  <w:szCs w:val="22"/>
                  <w:lang w:val="en-GB"/>
                </w:rPr>
              </m:ctrlPr>
            </m:sSubSupPr>
            <m:e>
              <m:r>
                <w:rPr>
                  <w:rFonts w:ascii="Cambria Math" w:hAnsi="Cambria Math" w:cs="Arial"/>
                  <w:sz w:val="22"/>
                  <w:szCs w:val="22"/>
                  <w:lang w:val="en-GB"/>
                </w:rPr>
                <m:t>D</m:t>
              </m:r>
            </m:e>
            <m:sub>
              <m:r>
                <w:rPr>
                  <w:rFonts w:ascii="Cambria Math" w:hAnsi="Cambria Math" w:cs="Arial"/>
                  <w:sz w:val="22"/>
                  <w:szCs w:val="22"/>
                  <w:lang w:val="en-GB"/>
                </w:rPr>
                <m:t>jk</m:t>
              </m:r>
            </m:sub>
            <m:sup>
              <m:r>
                <w:rPr>
                  <w:rFonts w:ascii="Cambria Math" w:hAnsi="Cambria Math" w:cs="Arial"/>
                  <w:sz w:val="22"/>
                  <w:szCs w:val="22"/>
                  <w:lang w:val="en-GB"/>
                </w:rPr>
                <m:t>(</m:t>
              </m:r>
              <m:r>
                <w:rPr>
                  <w:rFonts w:ascii="Cambria Math" w:hAnsi="Cambria Math" w:cs="Arial"/>
                  <w:sz w:val="22"/>
                  <w:szCs w:val="22"/>
                  <w:lang w:val="en-GB"/>
                </w:rPr>
                <m:t>IR</m:t>
              </m:r>
              <m:r>
                <w:rPr>
                  <w:rFonts w:ascii="Cambria Math" w:hAnsi="Cambria Math" w:cs="Arial"/>
                  <w:sz w:val="22"/>
                  <w:szCs w:val="22"/>
                  <w:lang w:val="en-GB"/>
                </w:rPr>
                <m:t>)</m:t>
              </m:r>
            </m:sup>
          </m:sSubSup>
          <m:r>
            <w:rPr>
              <w:rFonts w:ascii="Cambria Math" w:hAnsi="Cambria Math" w:cs="Arial"/>
              <w:sz w:val="22"/>
              <w:szCs w:val="22"/>
              <w:lang w:val="en-GB"/>
            </w:rPr>
            <m:t>=</m:t>
          </m:r>
          <m:r>
            <w:rPr>
              <w:rFonts w:ascii="Cambria Math" w:eastAsiaTheme="minorEastAsia" w:hAnsi="Cambria Math" w:cs="Arial"/>
              <w:sz w:val="22"/>
              <w:szCs w:val="22"/>
              <w:lang w:val="en-GB"/>
            </w:rPr>
            <m:t xml:space="preserve"> </m:t>
          </m:r>
          <m:nary>
            <m:naryPr>
              <m:chr m:val="∑"/>
              <m:limLoc m:val="undOvr"/>
              <m:supHide m:val="1"/>
              <m:ctrlPr>
                <w:rPr>
                  <w:rFonts w:ascii="Cambria Math" w:eastAsiaTheme="minorEastAsia" w:hAnsi="Cambria Math" w:cs="Arial"/>
                  <w:bCs/>
                  <w:i/>
                  <w:sz w:val="22"/>
                  <w:szCs w:val="22"/>
                  <w:lang w:val="en-GB"/>
                </w:rPr>
              </m:ctrlPr>
            </m:naryPr>
            <m:sub>
              <m:r>
                <w:rPr>
                  <w:rFonts w:ascii="Cambria Math" w:eastAsiaTheme="minorEastAsia" w:hAnsi="Cambria Math" w:cs="Arial"/>
                  <w:sz w:val="22"/>
                  <w:szCs w:val="22"/>
                  <w:lang w:val="en-GB"/>
                </w:rPr>
                <m:t>i</m:t>
              </m:r>
              <m:r>
                <w:rPr>
                  <w:rFonts w:ascii="Cambria Math" w:eastAsiaTheme="minorEastAsia" w:hAnsi="Cambria Math" w:cs="Arial"/>
                  <w:sz w:val="22"/>
                  <w:szCs w:val="22"/>
                  <w:lang w:val="en-GB"/>
                </w:rPr>
                <m:t>∈</m:t>
              </m:r>
              <m:d>
                <m:dPr>
                  <m:endChr m:val=""/>
                  <m:ctrlPr>
                    <w:rPr>
                      <w:rFonts w:ascii="Cambria Math" w:eastAsiaTheme="minorEastAsia" w:hAnsi="Cambria Math" w:cs="Arial"/>
                      <w:i/>
                      <w:sz w:val="22"/>
                      <w:szCs w:val="22"/>
                      <w:lang w:val="en-GB"/>
                    </w:rPr>
                  </m:ctrlPr>
                </m:dPr>
                <m:e>
                  <m:d>
                    <m:dPr>
                      <m:begChr m:val=""/>
                      <m:ctrlPr>
                        <w:rPr>
                          <w:rFonts w:ascii="Cambria Math" w:eastAsiaTheme="minorEastAsia" w:hAnsi="Cambria Math" w:cs="Arial"/>
                          <w:i/>
                          <w:sz w:val="22"/>
                          <w:szCs w:val="22"/>
                          <w:lang w:val="en-GB"/>
                        </w:rPr>
                      </m:ctrlPr>
                    </m:dPr>
                    <m:e>
                      <m:r>
                        <w:rPr>
                          <w:rFonts w:ascii="Cambria Math" w:eastAsiaTheme="minorEastAsia" w:hAnsi="Cambria Math" w:cs="Arial"/>
                          <w:sz w:val="22"/>
                          <w:szCs w:val="22"/>
                          <w:lang w:val="en-GB"/>
                        </w:rPr>
                        <m:t>Cc</m:t>
                      </m:r>
                      <m:sSub>
                        <m:sSubPr>
                          <m:ctrlPr>
                            <w:rPr>
                              <w:rFonts w:ascii="Cambria Math" w:eastAsiaTheme="minorEastAsia" w:hAnsi="Cambria Math" w:cs="Arial"/>
                              <w:bCs/>
                              <w:i/>
                              <w:sz w:val="22"/>
                              <w:szCs w:val="22"/>
                              <w:lang w:val="en-GB"/>
                            </w:rPr>
                          </m:ctrlPr>
                        </m:sSubPr>
                        <m:e>
                          <m:r>
                            <w:rPr>
                              <w:rFonts w:ascii="Cambria Math" w:eastAsiaTheme="minorEastAsia" w:hAnsi="Cambria Math" w:cs="Arial"/>
                              <w:sz w:val="22"/>
                              <w:szCs w:val="22"/>
                              <w:lang w:val="en-GB"/>
                            </w:rPr>
                            <m:t>y</m:t>
                          </m:r>
                        </m:e>
                        <m:sub>
                          <m:r>
                            <w:rPr>
                              <w:rFonts w:ascii="Cambria Math" w:eastAsiaTheme="minorEastAsia" w:hAnsi="Cambria Math" w:cs="Arial"/>
                              <w:sz w:val="22"/>
                              <w:szCs w:val="22"/>
                              <w:lang w:val="en-GB"/>
                            </w:rPr>
                            <m:t>j</m:t>
                          </m:r>
                        </m:sub>
                      </m:sSub>
                      <m:r>
                        <w:rPr>
                          <w:rFonts w:ascii="Cambria Math" w:eastAsiaTheme="minorEastAsia" w:hAnsi="Cambria Math" w:cs="Arial"/>
                          <w:sz w:val="22"/>
                          <w:szCs w:val="22"/>
                          <w:lang w:val="en-GB"/>
                        </w:rPr>
                        <m:t xml:space="preserve">, </m:t>
                      </m:r>
                      <m:r>
                        <w:rPr>
                          <w:rFonts w:ascii="Cambria Math" w:eastAsiaTheme="minorEastAsia" w:hAnsi="Cambria Math" w:cs="Arial"/>
                          <w:sz w:val="22"/>
                          <w:szCs w:val="22"/>
                          <w:lang w:val="en-GB"/>
                        </w:rPr>
                        <m:t>M</m:t>
                      </m:r>
                      <m:sSub>
                        <m:sSubPr>
                          <m:ctrlPr>
                            <w:rPr>
                              <w:rFonts w:ascii="Cambria Math" w:eastAsiaTheme="minorEastAsia" w:hAnsi="Cambria Math" w:cs="Arial"/>
                              <w:bCs/>
                              <w:i/>
                              <w:sz w:val="22"/>
                              <w:szCs w:val="22"/>
                              <w:lang w:val="en-GB"/>
                            </w:rPr>
                          </m:ctrlPr>
                        </m:sSubPr>
                        <m:e>
                          <m:r>
                            <w:rPr>
                              <w:rFonts w:ascii="Cambria Math" w:eastAsiaTheme="minorEastAsia" w:hAnsi="Cambria Math" w:cs="Arial"/>
                              <w:sz w:val="22"/>
                              <w:szCs w:val="22"/>
                              <w:lang w:val="en-GB"/>
                            </w:rPr>
                            <m:t>B</m:t>
                          </m:r>
                        </m:e>
                        <m:sub>
                          <m:r>
                            <w:rPr>
                              <w:rFonts w:ascii="Cambria Math" w:eastAsiaTheme="minorEastAsia" w:hAnsi="Cambria Math" w:cs="Arial"/>
                              <w:sz w:val="22"/>
                              <w:szCs w:val="22"/>
                              <w:lang w:val="en-GB"/>
                            </w:rPr>
                            <m:t>k</m:t>
                          </m:r>
                        </m:sub>
                      </m:sSub>
                    </m:e>
                  </m:d>
                </m:e>
              </m:d>
            </m:sub>
            <m:sup/>
            <m:e>
              <m:sSub>
                <m:sSubPr>
                  <m:ctrlPr>
                    <w:rPr>
                      <w:rFonts w:ascii="Cambria Math" w:eastAsiaTheme="minorEastAsia" w:hAnsi="Cambria Math" w:cs="Arial"/>
                      <w:bCs/>
                      <w:i/>
                      <w:sz w:val="22"/>
                      <w:szCs w:val="22"/>
                      <w:lang w:val="en-GB"/>
                    </w:rPr>
                  </m:ctrlPr>
                </m:sSubPr>
                <m:e>
                  <m:r>
                    <w:rPr>
                      <w:rFonts w:ascii="Cambria Math" w:eastAsiaTheme="minorEastAsia" w:hAnsi="Cambria Math" w:cs="Arial"/>
                      <w:sz w:val="22"/>
                      <w:szCs w:val="22"/>
                      <w:lang w:val="en-GB"/>
                    </w:rPr>
                    <m:t>δ</m:t>
                  </m:r>
                </m:e>
                <m:sub>
                  <m:r>
                    <w:rPr>
                      <w:rFonts w:ascii="Cambria Math" w:eastAsiaTheme="minorEastAsia" w:hAnsi="Cambria Math" w:cs="Arial"/>
                      <w:sz w:val="22"/>
                      <w:szCs w:val="22"/>
                      <w:lang w:val="en-GB"/>
                    </w:rPr>
                    <m:t>i</m:t>
                  </m:r>
                </m:sub>
              </m:sSub>
              <m:r>
                <w:rPr>
                  <w:rFonts w:ascii="Cambria Math" w:eastAsiaTheme="minorEastAsia" w:hAnsi="Cambria Math" w:cs="Arial"/>
                  <w:sz w:val="22"/>
                  <w:szCs w:val="22"/>
                  <w:lang w:val="en-GB"/>
                </w:rPr>
                <m:t>*</m:t>
              </m:r>
            </m:e>
          </m:nary>
          <m:sSubSup>
            <m:sSubSupPr>
              <m:ctrlPr>
                <w:rPr>
                  <w:rFonts w:ascii="Cambria Math" w:eastAsiaTheme="minorEastAsia" w:hAnsi="Cambria Math" w:cs="Arial"/>
                  <w:bCs/>
                  <w:i/>
                  <w:sz w:val="22"/>
                  <w:szCs w:val="22"/>
                  <w:lang w:val="en-GB"/>
                </w:rPr>
              </m:ctrlPr>
            </m:sSubSupPr>
            <m:e>
              <m:r>
                <w:rPr>
                  <w:rFonts w:ascii="Cambria Math" w:eastAsiaTheme="minorEastAsia" w:hAnsi="Cambria Math" w:cs="Arial"/>
                  <w:sz w:val="22"/>
                  <w:szCs w:val="22"/>
                  <w:lang w:val="en-GB"/>
                </w:rPr>
                <m:t>d</m:t>
              </m:r>
            </m:e>
            <m:sub>
              <m:r>
                <w:rPr>
                  <w:rFonts w:ascii="Cambria Math" w:eastAsiaTheme="minorEastAsia" w:hAnsi="Cambria Math" w:cs="Arial"/>
                  <w:sz w:val="22"/>
                  <w:szCs w:val="22"/>
                  <w:lang w:val="en-GB"/>
                </w:rPr>
                <m:t>i</m:t>
              </m:r>
            </m:sub>
            <m:sup>
              <m:r>
                <w:rPr>
                  <w:rFonts w:ascii="Cambria Math" w:eastAsiaTheme="minorEastAsia" w:hAnsi="Cambria Math" w:cs="Arial"/>
                  <w:sz w:val="22"/>
                  <w:szCs w:val="22"/>
                  <w:lang w:val="en-GB"/>
                </w:rPr>
                <m:t>(</m:t>
              </m:r>
              <m:r>
                <w:rPr>
                  <w:rFonts w:ascii="Cambria Math" w:eastAsiaTheme="minorEastAsia" w:hAnsi="Cambria Math" w:cs="Arial"/>
                  <w:sz w:val="22"/>
                  <w:szCs w:val="22"/>
                  <w:lang w:val="en-GB"/>
                </w:rPr>
                <m:t>IR</m:t>
              </m:r>
              <m:r>
                <w:rPr>
                  <w:rFonts w:ascii="Cambria Math" w:eastAsiaTheme="minorEastAsia" w:hAnsi="Cambria Math" w:cs="Arial"/>
                  <w:sz w:val="22"/>
                  <w:szCs w:val="22"/>
                  <w:lang w:val="en-GB"/>
                </w:rPr>
                <m:t>)</m:t>
              </m:r>
            </m:sup>
          </m:sSubSup>
          <m:r>
            <w:rPr>
              <w:rFonts w:ascii="Cambria Math" w:eastAsiaTheme="minorEastAsia" w:hAnsi="Cambria Math" w:cs="Arial"/>
              <w:sz w:val="22"/>
              <w:szCs w:val="22"/>
              <w:lang w:val="en-GB"/>
            </w:rPr>
            <m:t>*</m:t>
          </m:r>
          <m:r>
            <w:rPr>
              <w:rFonts w:ascii="Cambria Math" w:eastAsiaTheme="minorEastAsia" w:hAnsi="Cambria Math" w:cs="Arial"/>
              <w:sz w:val="22"/>
              <w:szCs w:val="22"/>
              <w:lang w:val="en-GB"/>
            </w:rPr>
            <m:t>M</m:t>
          </m:r>
          <m:sSubSup>
            <m:sSubSupPr>
              <m:ctrlPr>
                <w:rPr>
                  <w:rFonts w:ascii="Cambria Math" w:eastAsiaTheme="minorEastAsia" w:hAnsi="Cambria Math" w:cs="Arial"/>
                  <w:bCs/>
                  <w:i/>
                  <w:sz w:val="22"/>
                  <w:szCs w:val="22"/>
                  <w:lang w:val="en-GB"/>
                </w:rPr>
              </m:ctrlPr>
            </m:sSubSupPr>
            <m:e>
              <m:r>
                <w:rPr>
                  <w:rFonts w:ascii="Cambria Math" w:eastAsiaTheme="minorEastAsia" w:hAnsi="Cambria Math" w:cs="Arial"/>
                  <w:sz w:val="22"/>
                  <w:szCs w:val="22"/>
                  <w:lang w:val="en-GB"/>
                </w:rPr>
                <m:t>F</m:t>
              </m:r>
            </m:e>
            <m:sub>
              <m:r>
                <w:rPr>
                  <w:rFonts w:ascii="Cambria Math" w:eastAsiaTheme="minorEastAsia" w:hAnsi="Cambria Math" w:cs="Arial"/>
                  <w:sz w:val="22"/>
                  <w:szCs w:val="22"/>
                  <w:lang w:val="en-GB"/>
                </w:rPr>
                <m:t>i</m:t>
              </m:r>
            </m:sub>
            <m:sup>
              <m:r>
                <w:rPr>
                  <w:rFonts w:ascii="Cambria Math" w:eastAsiaTheme="minorEastAsia" w:hAnsi="Cambria Math" w:cs="Arial"/>
                  <w:sz w:val="22"/>
                  <w:szCs w:val="22"/>
                  <w:lang w:val="en-GB"/>
                </w:rPr>
                <m:t>(</m:t>
              </m:r>
              <m:r>
                <w:rPr>
                  <w:rFonts w:ascii="Cambria Math" w:eastAsiaTheme="minorEastAsia" w:hAnsi="Cambria Math" w:cs="Arial"/>
                  <w:sz w:val="22"/>
                  <w:szCs w:val="22"/>
                  <w:lang w:val="en-GB"/>
                </w:rPr>
                <m:t>type</m:t>
              </m:r>
              <m:r>
                <w:rPr>
                  <w:rFonts w:ascii="Cambria Math" w:eastAsiaTheme="minorEastAsia" w:hAnsi="Cambria Math" w:cs="Arial"/>
                  <w:sz w:val="22"/>
                  <w:szCs w:val="22"/>
                  <w:lang w:val="en-GB"/>
                </w:rPr>
                <m:t>)</m:t>
              </m:r>
            </m:sup>
          </m:sSubSup>
        </m:oMath>
      </m:oMathPara>
    </w:p>
    <w:p w14:paraId="59DE43E4" w14:textId="77777777" w:rsidR="00387CAC" w:rsidRPr="00E4265B" w:rsidRDefault="00387CAC" w:rsidP="00DE7245">
      <w:pPr>
        <w:pStyle w:val="A1List"/>
        <w:ind w:left="990" w:firstLine="0"/>
        <w:rPr>
          <w:rFonts w:ascii="Arial" w:hAnsi="Arial" w:cs="Arial"/>
          <w:bCs/>
          <w:sz w:val="22"/>
          <w:szCs w:val="22"/>
          <w:lang w:val="en-GB"/>
        </w:rPr>
      </w:pPr>
    </w:p>
    <w:p w14:paraId="3EDF5C31" w14:textId="77777777" w:rsidR="00DE7245" w:rsidRPr="00E4265B" w:rsidRDefault="00DE7245" w:rsidP="00DE7245">
      <w:pPr>
        <w:pStyle w:val="A1List"/>
        <w:ind w:left="990" w:firstLine="0"/>
        <w:rPr>
          <w:rFonts w:ascii="Arial" w:hAnsi="Arial" w:cs="Arial"/>
          <w:bCs/>
          <w:sz w:val="22"/>
          <w:szCs w:val="22"/>
          <w:lang w:val="en-GB"/>
        </w:rPr>
      </w:pPr>
      <w:r w:rsidRPr="00E4265B">
        <w:rPr>
          <w:rFonts w:ascii="Arial" w:hAnsi="Arial" w:cs="Arial"/>
          <w:bCs/>
          <w:sz w:val="22"/>
          <w:szCs w:val="22"/>
          <w:lang w:val="en-GB"/>
        </w:rPr>
        <w:t>where:</w:t>
      </w:r>
    </w:p>
    <w:p w14:paraId="19E09FE4" w14:textId="6B236C24" w:rsidR="00DE7245" w:rsidRPr="00E4265B" w:rsidRDefault="00A176CF" w:rsidP="00DE7245">
      <w:pPr>
        <w:pStyle w:val="A1List"/>
        <w:ind w:left="990" w:firstLine="0"/>
        <w:rPr>
          <w:rFonts w:ascii="Arial" w:hAnsi="Arial" w:cs="Arial"/>
          <w:bCs/>
          <w:sz w:val="22"/>
          <w:szCs w:val="22"/>
          <w:lang w:val="en-GB"/>
        </w:rPr>
      </w:pPr>
      <w:r w:rsidRPr="00E4265B">
        <w:rPr>
          <w:rFonts w:ascii="Arial" w:hAnsi="Arial" w:cs="Arial"/>
          <w:bCs/>
          <w:i/>
          <w:iCs/>
          <w:sz w:val="22"/>
          <w:szCs w:val="22"/>
          <w:lang w:val="en-GB"/>
        </w:rPr>
        <w:t xml:space="preserve">i </w:t>
      </w:r>
      <w:r w:rsidR="00EF29A4" w:rsidRPr="00E4265B">
        <w:rPr>
          <w:rFonts w:ascii="Arial" w:hAnsi="Arial" w:cs="Arial"/>
          <w:bCs/>
          <w:i/>
          <w:iCs/>
          <w:sz w:val="22"/>
          <w:szCs w:val="22"/>
          <w:lang w:val="en-GB"/>
        </w:rPr>
        <w:t>ε</w:t>
      </w:r>
      <w:r w:rsidRPr="00E4265B">
        <w:rPr>
          <w:rFonts w:ascii="Arial" w:hAnsi="Arial" w:cs="Arial"/>
          <w:bCs/>
          <w:i/>
          <w:iCs/>
          <w:sz w:val="22"/>
          <w:szCs w:val="22"/>
          <w:lang w:val="en-GB"/>
        </w:rPr>
        <w:t xml:space="preserve"> </w:t>
      </w:r>
      <w:r w:rsidR="00DE7245" w:rsidRPr="00E4265B">
        <w:rPr>
          <w:rFonts w:ascii="Arial" w:hAnsi="Arial" w:cs="Arial"/>
          <w:bCs/>
          <w:i/>
          <w:iCs/>
          <w:sz w:val="22"/>
          <w:szCs w:val="22"/>
          <w:lang w:val="en-GB"/>
        </w:rPr>
        <w:t>(Ccy</w:t>
      </w:r>
      <w:r w:rsidR="00DE7245" w:rsidRPr="00E4265B">
        <w:rPr>
          <w:rFonts w:ascii="Arial" w:hAnsi="Arial" w:cs="Arial"/>
          <w:bCs/>
          <w:i/>
          <w:iCs/>
          <w:sz w:val="22"/>
          <w:szCs w:val="22"/>
          <w:vertAlign w:val="subscript"/>
          <w:lang w:val="en-GB"/>
        </w:rPr>
        <w:t>j</w:t>
      </w:r>
      <w:r w:rsidR="00DE7245" w:rsidRPr="00E4265B">
        <w:rPr>
          <w:rFonts w:ascii="Arial" w:hAnsi="Arial" w:cs="Arial"/>
          <w:bCs/>
          <w:i/>
          <w:iCs/>
          <w:sz w:val="22"/>
          <w:szCs w:val="22"/>
          <w:lang w:val="en-GB"/>
        </w:rPr>
        <w:t>, MB</w:t>
      </w:r>
      <w:r w:rsidR="00DE7245" w:rsidRPr="00E4265B">
        <w:rPr>
          <w:rFonts w:ascii="Arial" w:hAnsi="Arial" w:cs="Arial"/>
          <w:bCs/>
          <w:i/>
          <w:iCs/>
          <w:sz w:val="22"/>
          <w:szCs w:val="22"/>
          <w:vertAlign w:val="subscript"/>
          <w:lang w:val="en-GB"/>
        </w:rPr>
        <w:t>k</w:t>
      </w:r>
      <w:r w:rsidR="00DE7245" w:rsidRPr="00E4265B">
        <w:rPr>
          <w:rFonts w:ascii="Arial" w:hAnsi="Arial" w:cs="Arial"/>
          <w:bCs/>
          <w:i/>
          <w:iCs/>
          <w:sz w:val="22"/>
          <w:szCs w:val="22"/>
          <w:lang w:val="en-GB"/>
        </w:rPr>
        <w:t xml:space="preserve">) </w:t>
      </w:r>
      <w:r w:rsidR="00DE7245" w:rsidRPr="00E4265B">
        <w:rPr>
          <w:rFonts w:ascii="Arial" w:hAnsi="Arial" w:cs="Arial"/>
          <w:bCs/>
          <w:sz w:val="22"/>
          <w:szCs w:val="22"/>
          <w:lang w:val="en-GB"/>
        </w:rPr>
        <w:t xml:space="preserve">refers to trades of currency </w:t>
      </w:r>
      <w:r w:rsidR="00DE7245" w:rsidRPr="00E4265B">
        <w:rPr>
          <w:rFonts w:ascii="Arial" w:hAnsi="Arial" w:cs="Arial"/>
          <w:bCs/>
          <w:i/>
          <w:sz w:val="22"/>
          <w:szCs w:val="22"/>
          <w:lang w:val="en-GB"/>
        </w:rPr>
        <w:t>j</w:t>
      </w:r>
      <w:r w:rsidR="00DE7245" w:rsidRPr="00E4265B">
        <w:rPr>
          <w:rFonts w:ascii="Arial" w:hAnsi="Arial" w:cs="Arial"/>
          <w:bCs/>
          <w:sz w:val="22"/>
          <w:szCs w:val="22"/>
          <w:lang w:val="en-GB"/>
        </w:rPr>
        <w:t xml:space="preserve"> that belong to maturity bucket </w:t>
      </w:r>
      <w:r w:rsidR="00DE7245" w:rsidRPr="00E4265B">
        <w:rPr>
          <w:rFonts w:ascii="Arial" w:hAnsi="Arial" w:cs="Arial"/>
          <w:bCs/>
          <w:i/>
          <w:sz w:val="22"/>
          <w:szCs w:val="22"/>
          <w:lang w:val="en-GB"/>
        </w:rPr>
        <w:t>k</w:t>
      </w:r>
      <w:r w:rsidR="00DE7245" w:rsidRPr="00E4265B">
        <w:rPr>
          <w:rFonts w:ascii="Arial" w:hAnsi="Arial" w:cs="Arial"/>
          <w:bCs/>
          <w:sz w:val="22"/>
          <w:szCs w:val="22"/>
          <w:lang w:val="en-GB"/>
        </w:rPr>
        <w:t xml:space="preserve">. </w:t>
      </w:r>
    </w:p>
    <w:p w14:paraId="5962AA5E" w14:textId="77777777" w:rsidR="00DE7245" w:rsidRPr="00E4265B" w:rsidRDefault="00DE7245" w:rsidP="00DE7245">
      <w:pPr>
        <w:pStyle w:val="TitleL5"/>
        <w:rPr>
          <w:rFonts w:ascii="Arial" w:hAnsi="Arial" w:cs="Arial"/>
          <w:sz w:val="22"/>
          <w:szCs w:val="22"/>
          <w:lang w:val="en-GB"/>
        </w:rPr>
      </w:pPr>
      <w:r w:rsidRPr="00E4265B">
        <w:rPr>
          <w:rFonts w:ascii="Arial" w:hAnsi="Arial" w:cs="Arial"/>
          <w:sz w:val="22"/>
          <w:szCs w:val="22"/>
          <w:lang w:val="en-GB"/>
        </w:rPr>
        <w:t>Guidance</w:t>
      </w:r>
    </w:p>
    <w:p w14:paraId="392ECF5C" w14:textId="77777777" w:rsidR="00DE7245" w:rsidRPr="00E4265B" w:rsidRDefault="00DE7245" w:rsidP="00DE7245">
      <w:pPr>
        <w:pStyle w:val="A1List"/>
        <w:ind w:left="990"/>
        <w:rPr>
          <w:rFonts w:ascii="Arial" w:hAnsi="Arial" w:cs="Arial"/>
          <w:bCs/>
          <w:sz w:val="22"/>
          <w:szCs w:val="22"/>
          <w:lang w:val="en-GB"/>
        </w:rPr>
      </w:pPr>
      <w:r w:rsidRPr="00E4265B">
        <w:rPr>
          <w:rFonts w:ascii="Arial" w:hAnsi="Arial" w:cs="Arial"/>
          <w:bCs/>
          <w:sz w:val="22"/>
          <w:szCs w:val="22"/>
          <w:lang w:val="en-GB"/>
        </w:rPr>
        <w:tab/>
        <w:t xml:space="preserve">The effect of this formula is that the effective notional for each time bucket and currency is the sum of the trade-level adjusted notional amounts multiplied by the supervisory delta adjustments and the maturity factor. </w:t>
      </w:r>
    </w:p>
    <w:p w14:paraId="53D5D5E3" w14:textId="77777777" w:rsidR="00DE7245" w:rsidRPr="00E4265B" w:rsidRDefault="00DE7245" w:rsidP="00DE7245">
      <w:pPr>
        <w:pStyle w:val="TitleL5"/>
        <w:rPr>
          <w:rFonts w:ascii="Arial" w:hAnsi="Arial" w:cs="Arial"/>
          <w:sz w:val="22"/>
          <w:szCs w:val="22"/>
          <w:lang w:val="en-GB"/>
        </w:rPr>
      </w:pPr>
      <w:r w:rsidRPr="00E4265B">
        <w:rPr>
          <w:rFonts w:ascii="Arial" w:hAnsi="Arial" w:cs="Arial"/>
          <w:sz w:val="22"/>
          <w:szCs w:val="22"/>
          <w:lang w:val="en-GB"/>
        </w:rPr>
        <w:t>Step 2</w:t>
      </w:r>
    </w:p>
    <w:p w14:paraId="4D7B3AA8" w14:textId="77777777" w:rsidR="00DE7245" w:rsidRPr="00E4265B" w:rsidRDefault="00DE7245" w:rsidP="00DE7245">
      <w:pPr>
        <w:pStyle w:val="A1List"/>
        <w:rPr>
          <w:rFonts w:ascii="Arial" w:hAnsi="Arial" w:cs="Arial"/>
          <w:bCs/>
          <w:sz w:val="22"/>
          <w:szCs w:val="22"/>
          <w:lang w:val="en-GB"/>
        </w:rPr>
      </w:pPr>
      <w:r w:rsidRPr="00E4265B">
        <w:rPr>
          <w:rFonts w:ascii="Arial" w:hAnsi="Arial" w:cs="Arial"/>
          <w:b/>
          <w:bCs/>
          <w:sz w:val="22"/>
          <w:szCs w:val="22"/>
          <w:lang w:val="en-GB"/>
        </w:rPr>
        <w:t>A4.6.41</w:t>
      </w:r>
      <w:r w:rsidRPr="00E4265B">
        <w:rPr>
          <w:rFonts w:ascii="Arial" w:hAnsi="Arial" w:cs="Arial"/>
          <w:b/>
          <w:bCs/>
          <w:sz w:val="22"/>
          <w:szCs w:val="22"/>
          <w:lang w:val="en-GB"/>
        </w:rPr>
        <w:tab/>
      </w:r>
      <w:r w:rsidRPr="00E4265B">
        <w:rPr>
          <w:rFonts w:ascii="Arial" w:hAnsi="Arial" w:cs="Arial"/>
          <w:bCs/>
          <w:sz w:val="22"/>
          <w:szCs w:val="22"/>
          <w:lang w:val="en-GB"/>
        </w:rPr>
        <w:t>The Authorised Person must aggregate across maturity buckets for each hedging set in accordance with the following formula:</w:t>
      </w:r>
    </w:p>
    <w:p w14:paraId="0B862D08" w14:textId="53DEC4DA" w:rsidR="00B45B16" w:rsidRPr="00E4265B" w:rsidRDefault="00796FA2" w:rsidP="00DE7245">
      <w:pPr>
        <w:pStyle w:val="A1List"/>
        <w:ind w:left="990" w:firstLine="0"/>
        <w:rPr>
          <w:rFonts w:ascii="Arial" w:eastAsiaTheme="minorEastAsia" w:hAnsi="Arial" w:cs="Arial"/>
          <w:bCs/>
          <w:i/>
          <w:iCs/>
          <w:sz w:val="22"/>
          <w:szCs w:val="22"/>
          <w:lang w:val="en-GB"/>
        </w:rPr>
      </w:pPr>
      <m:oMathPara>
        <m:oMath>
          <m:r>
            <m:rPr>
              <m:nor/>
            </m:rPr>
            <w:rPr>
              <w:rFonts w:ascii="Arial" w:hAnsi="Arial" w:cs="Arial"/>
              <w:bCs/>
              <w:i/>
              <w:iCs/>
              <w:spacing w:val="-20"/>
              <w:sz w:val="22"/>
              <w:szCs w:val="22"/>
              <w:lang w:val="en-GB"/>
            </w:rPr>
            <m:t>EffectiveNotiona</m:t>
          </m:r>
          <m:sSubSup>
            <m:sSubSupPr>
              <m:ctrlPr>
                <w:rPr>
                  <w:rFonts w:ascii="Cambria Math" w:hAnsi="Cambria Math" w:cs="Arial"/>
                  <w:bCs/>
                  <w:i/>
                  <w:iCs/>
                  <w:sz w:val="22"/>
                  <w:szCs w:val="22"/>
                  <w:lang w:val="en-GB"/>
                </w:rPr>
              </m:ctrlPr>
            </m:sSubSupPr>
            <m:e>
              <m:r>
                <w:rPr>
                  <w:rFonts w:ascii="Cambria Math" w:hAnsi="Cambria Math" w:cs="Arial"/>
                  <w:sz w:val="22"/>
                  <w:szCs w:val="22"/>
                  <w:lang w:val="en-GB"/>
                </w:rPr>
                <m:t>l</m:t>
              </m:r>
            </m:e>
            <m:sub>
              <m:r>
                <w:rPr>
                  <w:rFonts w:ascii="Cambria Math" w:hAnsi="Cambria Math" w:cs="Arial"/>
                  <w:sz w:val="22"/>
                  <w:szCs w:val="22"/>
                  <w:lang w:val="en-GB"/>
                </w:rPr>
                <m:t>j</m:t>
              </m:r>
            </m:sub>
            <m:sup>
              <m:d>
                <m:dPr>
                  <m:ctrlPr>
                    <w:rPr>
                      <w:rFonts w:ascii="Cambria Math" w:hAnsi="Cambria Math" w:cs="Arial"/>
                      <w:bCs/>
                      <w:i/>
                      <w:iCs/>
                      <w:sz w:val="22"/>
                      <w:szCs w:val="22"/>
                      <w:lang w:val="en-GB"/>
                    </w:rPr>
                  </m:ctrlPr>
                </m:dPr>
                <m:e>
                  <m:r>
                    <w:rPr>
                      <w:rFonts w:ascii="Cambria Math" w:hAnsi="Cambria Math" w:cs="Arial"/>
                      <w:sz w:val="22"/>
                      <w:szCs w:val="22"/>
                      <w:lang w:val="en-GB"/>
                    </w:rPr>
                    <m:t>IR</m:t>
                  </m:r>
                </m:e>
              </m:d>
            </m:sup>
          </m:sSubSup>
          <m:r>
            <w:rPr>
              <w:rFonts w:ascii="Cambria Math" w:hAnsi="Cambria Math" w:cs="Arial"/>
              <w:sz w:val="22"/>
              <w:szCs w:val="22"/>
              <w:lang w:val="en-GB"/>
            </w:rPr>
            <m:t>=</m:t>
          </m:r>
          <m:sSup>
            <m:sSupPr>
              <m:ctrlPr>
                <w:rPr>
                  <w:rFonts w:ascii="Cambria Math" w:hAnsi="Cambria Math" w:cs="Arial"/>
                  <w:bCs/>
                  <w:i/>
                  <w:iCs/>
                  <w:sz w:val="22"/>
                  <w:szCs w:val="22"/>
                  <w:lang w:val="en-GB"/>
                </w:rPr>
              </m:ctrlPr>
            </m:sSupPr>
            <m:e>
              <m:d>
                <m:dPr>
                  <m:begChr m:val="["/>
                  <m:endChr m:val="]"/>
                  <m:ctrlPr>
                    <w:rPr>
                      <w:rFonts w:ascii="Cambria Math" w:hAnsi="Cambria Math" w:cs="Arial"/>
                      <w:bCs/>
                      <w:i/>
                      <w:iCs/>
                      <w:sz w:val="22"/>
                      <w:szCs w:val="22"/>
                      <w:lang w:val="en-GB"/>
                    </w:rPr>
                  </m:ctrlPr>
                </m:dPr>
                <m:e>
                  <m:sSup>
                    <m:sSupPr>
                      <m:ctrlPr>
                        <w:rPr>
                          <w:rFonts w:ascii="Cambria Math" w:hAnsi="Cambria Math" w:cs="Arial"/>
                          <w:bCs/>
                          <w:i/>
                          <w:iCs/>
                          <w:sz w:val="22"/>
                          <w:szCs w:val="22"/>
                          <w:lang w:val="en-GB"/>
                        </w:rPr>
                      </m:ctrlPr>
                    </m:sSupPr>
                    <m:e>
                      <m:d>
                        <m:dPr>
                          <m:ctrlPr>
                            <w:rPr>
                              <w:rFonts w:ascii="Cambria Math" w:hAnsi="Cambria Math" w:cs="Arial"/>
                              <w:bCs/>
                              <w:i/>
                              <w:iCs/>
                              <w:sz w:val="22"/>
                              <w:szCs w:val="22"/>
                              <w:lang w:val="en-GB"/>
                            </w:rPr>
                          </m:ctrlPr>
                        </m:dPr>
                        <m:e>
                          <m:sSubSup>
                            <m:sSubSupPr>
                              <m:ctrlPr>
                                <w:rPr>
                                  <w:rFonts w:ascii="Cambria Math" w:hAnsi="Cambria Math" w:cs="Arial"/>
                                  <w:bCs/>
                                  <w:i/>
                                  <w:iCs/>
                                  <w:sz w:val="22"/>
                                  <w:szCs w:val="22"/>
                                  <w:lang w:val="en-GB"/>
                                </w:rPr>
                              </m:ctrlPr>
                            </m:sSubSupPr>
                            <m:e>
                              <m:r>
                                <w:rPr>
                                  <w:rFonts w:ascii="Cambria Math" w:hAnsi="Cambria Math" w:cs="Arial"/>
                                  <w:sz w:val="22"/>
                                  <w:szCs w:val="22"/>
                                  <w:lang w:val="en-GB"/>
                                </w:rPr>
                                <m:t>D</m:t>
                              </m:r>
                            </m:e>
                            <m:sub>
                              <m:r>
                                <w:rPr>
                                  <w:rFonts w:ascii="Cambria Math" w:hAnsi="Cambria Math" w:cs="Arial"/>
                                  <w:sz w:val="22"/>
                                  <w:szCs w:val="22"/>
                                  <w:lang w:val="en-GB"/>
                                </w:rPr>
                                <m:t>j1</m:t>
                              </m:r>
                            </m:sub>
                            <m:sup>
                              <m:d>
                                <m:dPr>
                                  <m:ctrlPr>
                                    <w:rPr>
                                      <w:rFonts w:ascii="Cambria Math" w:hAnsi="Cambria Math" w:cs="Arial"/>
                                      <w:bCs/>
                                      <w:i/>
                                      <w:iCs/>
                                      <w:sz w:val="22"/>
                                      <w:szCs w:val="22"/>
                                      <w:lang w:val="en-GB"/>
                                    </w:rPr>
                                  </m:ctrlPr>
                                </m:dPr>
                                <m:e>
                                  <m:r>
                                    <w:rPr>
                                      <w:rFonts w:ascii="Cambria Math" w:hAnsi="Cambria Math" w:cs="Arial"/>
                                      <w:sz w:val="22"/>
                                      <w:szCs w:val="22"/>
                                      <w:lang w:val="en-GB"/>
                                    </w:rPr>
                                    <m:t>IR</m:t>
                                  </m:r>
                                </m:e>
                              </m:d>
                            </m:sup>
                          </m:sSubSup>
                        </m:e>
                      </m:d>
                    </m:e>
                    <m:sup>
                      <m:r>
                        <w:rPr>
                          <w:rFonts w:ascii="Cambria Math" w:hAnsi="Cambria Math" w:cs="Arial"/>
                          <w:sz w:val="22"/>
                          <w:szCs w:val="22"/>
                          <w:lang w:val="en-GB"/>
                        </w:rPr>
                        <m:t>2</m:t>
                      </m:r>
                    </m:sup>
                  </m:sSup>
                  <m:r>
                    <w:rPr>
                      <w:rFonts w:ascii="Cambria Math" w:hAnsi="Cambria Math" w:cs="Arial"/>
                      <w:sz w:val="22"/>
                      <w:szCs w:val="22"/>
                      <w:lang w:val="en-GB"/>
                    </w:rPr>
                    <m:t>+</m:t>
                  </m:r>
                  <m:sSup>
                    <m:sSupPr>
                      <m:ctrlPr>
                        <w:rPr>
                          <w:rFonts w:ascii="Cambria Math" w:hAnsi="Cambria Math" w:cs="Arial"/>
                          <w:bCs/>
                          <w:i/>
                          <w:iCs/>
                          <w:sz w:val="22"/>
                          <w:szCs w:val="22"/>
                          <w:lang w:val="en-GB"/>
                        </w:rPr>
                      </m:ctrlPr>
                    </m:sSupPr>
                    <m:e>
                      <m:d>
                        <m:dPr>
                          <m:ctrlPr>
                            <w:rPr>
                              <w:rFonts w:ascii="Cambria Math" w:hAnsi="Cambria Math" w:cs="Arial"/>
                              <w:bCs/>
                              <w:i/>
                              <w:iCs/>
                              <w:sz w:val="22"/>
                              <w:szCs w:val="22"/>
                              <w:lang w:val="en-GB"/>
                            </w:rPr>
                          </m:ctrlPr>
                        </m:dPr>
                        <m:e>
                          <m:sSubSup>
                            <m:sSubSupPr>
                              <m:ctrlPr>
                                <w:rPr>
                                  <w:rFonts w:ascii="Cambria Math" w:hAnsi="Cambria Math" w:cs="Arial"/>
                                  <w:bCs/>
                                  <w:i/>
                                  <w:iCs/>
                                  <w:sz w:val="22"/>
                                  <w:szCs w:val="22"/>
                                  <w:lang w:val="en-GB"/>
                                </w:rPr>
                              </m:ctrlPr>
                            </m:sSubSupPr>
                            <m:e>
                              <m:r>
                                <w:rPr>
                                  <w:rFonts w:ascii="Cambria Math" w:hAnsi="Cambria Math" w:cs="Arial"/>
                                  <w:sz w:val="22"/>
                                  <w:szCs w:val="22"/>
                                  <w:lang w:val="en-GB"/>
                                </w:rPr>
                                <m:t>D</m:t>
                              </m:r>
                            </m:e>
                            <m:sub>
                              <m:r>
                                <w:rPr>
                                  <w:rFonts w:ascii="Cambria Math" w:hAnsi="Cambria Math" w:cs="Arial"/>
                                  <w:sz w:val="22"/>
                                  <w:szCs w:val="22"/>
                                  <w:lang w:val="en-GB"/>
                                </w:rPr>
                                <m:t>j2</m:t>
                              </m:r>
                            </m:sub>
                            <m:sup>
                              <m:d>
                                <m:dPr>
                                  <m:ctrlPr>
                                    <w:rPr>
                                      <w:rFonts w:ascii="Cambria Math" w:hAnsi="Cambria Math" w:cs="Arial"/>
                                      <w:bCs/>
                                      <w:i/>
                                      <w:iCs/>
                                      <w:sz w:val="22"/>
                                      <w:szCs w:val="22"/>
                                      <w:lang w:val="en-GB"/>
                                    </w:rPr>
                                  </m:ctrlPr>
                                </m:dPr>
                                <m:e>
                                  <m:r>
                                    <w:rPr>
                                      <w:rFonts w:ascii="Cambria Math" w:hAnsi="Cambria Math" w:cs="Arial"/>
                                      <w:sz w:val="22"/>
                                      <w:szCs w:val="22"/>
                                      <w:lang w:val="en-GB"/>
                                    </w:rPr>
                                    <m:t>IR</m:t>
                                  </m:r>
                                </m:e>
                              </m:d>
                            </m:sup>
                          </m:sSubSup>
                        </m:e>
                      </m:d>
                    </m:e>
                    <m:sup>
                      <m:r>
                        <w:rPr>
                          <w:rFonts w:ascii="Cambria Math" w:hAnsi="Cambria Math" w:cs="Arial"/>
                          <w:sz w:val="22"/>
                          <w:szCs w:val="22"/>
                          <w:lang w:val="en-GB"/>
                        </w:rPr>
                        <m:t>2</m:t>
                      </m:r>
                    </m:sup>
                  </m:sSup>
                  <m:r>
                    <w:rPr>
                      <w:rFonts w:ascii="Cambria Math" w:hAnsi="Cambria Math" w:cs="Arial"/>
                      <w:sz w:val="22"/>
                      <w:szCs w:val="22"/>
                      <w:lang w:val="en-GB"/>
                    </w:rPr>
                    <m:t>+</m:t>
                  </m:r>
                  <m:sSup>
                    <m:sSupPr>
                      <m:ctrlPr>
                        <w:rPr>
                          <w:rFonts w:ascii="Cambria Math" w:hAnsi="Cambria Math" w:cs="Arial"/>
                          <w:bCs/>
                          <w:i/>
                          <w:iCs/>
                          <w:sz w:val="22"/>
                          <w:szCs w:val="22"/>
                          <w:lang w:val="en-GB"/>
                        </w:rPr>
                      </m:ctrlPr>
                    </m:sSupPr>
                    <m:e>
                      <m:d>
                        <m:dPr>
                          <m:ctrlPr>
                            <w:rPr>
                              <w:rFonts w:ascii="Cambria Math" w:hAnsi="Cambria Math" w:cs="Arial"/>
                              <w:bCs/>
                              <w:i/>
                              <w:iCs/>
                              <w:sz w:val="22"/>
                              <w:szCs w:val="22"/>
                              <w:lang w:val="en-GB"/>
                            </w:rPr>
                          </m:ctrlPr>
                        </m:dPr>
                        <m:e>
                          <m:sSubSup>
                            <m:sSubSupPr>
                              <m:ctrlPr>
                                <w:rPr>
                                  <w:rFonts w:ascii="Cambria Math" w:hAnsi="Cambria Math" w:cs="Arial"/>
                                  <w:bCs/>
                                  <w:i/>
                                  <w:iCs/>
                                  <w:sz w:val="22"/>
                                  <w:szCs w:val="22"/>
                                  <w:lang w:val="en-GB"/>
                                </w:rPr>
                              </m:ctrlPr>
                            </m:sSubSupPr>
                            <m:e>
                              <m:r>
                                <w:rPr>
                                  <w:rFonts w:ascii="Cambria Math" w:hAnsi="Cambria Math" w:cs="Arial"/>
                                  <w:sz w:val="22"/>
                                  <w:szCs w:val="22"/>
                                  <w:lang w:val="en-GB"/>
                                </w:rPr>
                                <m:t>D</m:t>
                              </m:r>
                            </m:e>
                            <m:sub>
                              <m:r>
                                <w:rPr>
                                  <w:rFonts w:ascii="Cambria Math" w:hAnsi="Cambria Math" w:cs="Arial"/>
                                  <w:sz w:val="22"/>
                                  <w:szCs w:val="22"/>
                                  <w:lang w:val="en-GB"/>
                                </w:rPr>
                                <m:t>j3</m:t>
                              </m:r>
                            </m:sub>
                            <m:sup>
                              <m:d>
                                <m:dPr>
                                  <m:ctrlPr>
                                    <w:rPr>
                                      <w:rFonts w:ascii="Cambria Math" w:hAnsi="Cambria Math" w:cs="Arial"/>
                                      <w:bCs/>
                                      <w:i/>
                                      <w:iCs/>
                                      <w:sz w:val="22"/>
                                      <w:szCs w:val="22"/>
                                      <w:lang w:val="en-GB"/>
                                    </w:rPr>
                                  </m:ctrlPr>
                                </m:dPr>
                                <m:e>
                                  <m:r>
                                    <w:rPr>
                                      <w:rFonts w:ascii="Cambria Math" w:hAnsi="Cambria Math" w:cs="Arial"/>
                                      <w:sz w:val="22"/>
                                      <w:szCs w:val="22"/>
                                      <w:lang w:val="en-GB"/>
                                    </w:rPr>
                                    <m:t>IR</m:t>
                                  </m:r>
                                </m:e>
                              </m:d>
                            </m:sup>
                          </m:sSubSup>
                        </m:e>
                      </m:d>
                    </m:e>
                    <m:sup>
                      <m:r>
                        <w:rPr>
                          <w:rFonts w:ascii="Cambria Math" w:hAnsi="Cambria Math" w:cs="Arial"/>
                          <w:sz w:val="22"/>
                          <w:szCs w:val="22"/>
                          <w:lang w:val="en-GB"/>
                        </w:rPr>
                        <m:t>2</m:t>
                      </m:r>
                    </m:sup>
                  </m:sSup>
                  <m:r>
                    <w:rPr>
                      <w:rFonts w:ascii="Cambria Math" w:hAnsi="Cambria Math" w:cs="Arial"/>
                      <w:sz w:val="22"/>
                      <w:szCs w:val="22"/>
                      <w:lang w:val="en-GB"/>
                    </w:rPr>
                    <m:t>+</m:t>
                  </m:r>
                  <m:sSup>
                    <m:sSupPr>
                      <m:ctrlPr>
                        <w:rPr>
                          <w:rFonts w:ascii="Cambria Math" w:hAnsi="Cambria Math" w:cs="Arial"/>
                          <w:i/>
                          <w:iCs/>
                          <w:sz w:val="22"/>
                          <w:szCs w:val="22"/>
                          <w:lang w:val="en-GB"/>
                        </w:rPr>
                      </m:ctrlPr>
                    </m:sSupPr>
                    <m:e>
                      <m:r>
                        <w:rPr>
                          <w:rFonts w:ascii="Cambria Math" w:hAnsi="Cambria Math" w:cs="Arial"/>
                          <w:sz w:val="22"/>
                          <w:szCs w:val="22"/>
                          <w:lang w:val="en-GB"/>
                        </w:rPr>
                        <m:t>1.4</m:t>
                      </m:r>
                    </m:e>
                    <m:sup>
                      <m:r>
                        <w:rPr>
                          <w:rFonts w:ascii="Cambria Math" w:hAnsi="Cambria Math" w:cs="Arial"/>
                          <w:sz w:val="22"/>
                          <w:szCs w:val="22"/>
                          <w:lang w:val="en-GB"/>
                        </w:rPr>
                        <m:t>*</m:t>
                      </m:r>
                    </m:sup>
                  </m:sSup>
                  <m:sSubSup>
                    <m:sSubSupPr>
                      <m:ctrlPr>
                        <w:rPr>
                          <w:rFonts w:ascii="Cambria Math" w:hAnsi="Cambria Math" w:cs="Arial"/>
                          <w:bCs/>
                          <w:i/>
                          <w:iCs/>
                          <w:sz w:val="22"/>
                          <w:szCs w:val="22"/>
                          <w:lang w:val="en-GB"/>
                        </w:rPr>
                      </m:ctrlPr>
                    </m:sSubSupPr>
                    <m:e>
                      <m:r>
                        <w:rPr>
                          <w:rFonts w:ascii="Cambria Math" w:hAnsi="Cambria Math" w:cs="Arial"/>
                          <w:sz w:val="22"/>
                          <w:szCs w:val="22"/>
                          <w:lang w:val="en-GB"/>
                        </w:rPr>
                        <m:t>D</m:t>
                      </m:r>
                    </m:e>
                    <m:sub>
                      <m:r>
                        <w:rPr>
                          <w:rFonts w:ascii="Cambria Math" w:hAnsi="Cambria Math" w:cs="Arial"/>
                          <w:sz w:val="22"/>
                          <w:szCs w:val="22"/>
                          <w:lang w:val="en-GB"/>
                        </w:rPr>
                        <m:t>j1</m:t>
                      </m:r>
                    </m:sub>
                    <m:sup>
                      <m:d>
                        <m:dPr>
                          <m:ctrlPr>
                            <w:rPr>
                              <w:rFonts w:ascii="Cambria Math" w:hAnsi="Cambria Math" w:cs="Arial"/>
                              <w:bCs/>
                              <w:i/>
                              <w:iCs/>
                              <w:sz w:val="22"/>
                              <w:szCs w:val="22"/>
                              <w:lang w:val="en-GB"/>
                            </w:rPr>
                          </m:ctrlPr>
                        </m:dPr>
                        <m:e>
                          <m:r>
                            <w:rPr>
                              <w:rFonts w:ascii="Cambria Math" w:hAnsi="Cambria Math" w:cs="Arial"/>
                              <w:sz w:val="22"/>
                              <w:szCs w:val="22"/>
                              <w:lang w:val="en-GB"/>
                            </w:rPr>
                            <m:t>IR</m:t>
                          </m:r>
                        </m:e>
                      </m:d>
                    </m:sup>
                  </m:sSubSup>
                  <m:sSubSup>
                    <m:sSubSupPr>
                      <m:ctrlPr>
                        <w:rPr>
                          <w:rFonts w:ascii="Cambria Math" w:hAnsi="Cambria Math" w:cs="Arial"/>
                          <w:bCs/>
                          <w:i/>
                          <w:iCs/>
                          <w:sz w:val="22"/>
                          <w:szCs w:val="22"/>
                          <w:lang w:val="en-GB"/>
                        </w:rPr>
                      </m:ctrlPr>
                    </m:sSubSupPr>
                    <m:e>
                      <m:r>
                        <w:rPr>
                          <w:rFonts w:ascii="Cambria Math" w:hAnsi="Cambria Math" w:cs="Arial"/>
                          <w:sz w:val="22"/>
                          <w:szCs w:val="22"/>
                          <w:lang w:val="en-GB"/>
                        </w:rPr>
                        <m:t>*D</m:t>
                      </m:r>
                    </m:e>
                    <m:sub>
                      <m:r>
                        <w:rPr>
                          <w:rFonts w:ascii="Cambria Math" w:hAnsi="Cambria Math" w:cs="Arial"/>
                          <w:sz w:val="22"/>
                          <w:szCs w:val="22"/>
                          <w:lang w:val="en-GB"/>
                        </w:rPr>
                        <m:t>j2</m:t>
                      </m:r>
                    </m:sub>
                    <m:sup>
                      <m:d>
                        <m:dPr>
                          <m:ctrlPr>
                            <w:rPr>
                              <w:rFonts w:ascii="Cambria Math" w:hAnsi="Cambria Math" w:cs="Arial"/>
                              <w:bCs/>
                              <w:i/>
                              <w:iCs/>
                              <w:sz w:val="22"/>
                              <w:szCs w:val="22"/>
                              <w:lang w:val="en-GB"/>
                            </w:rPr>
                          </m:ctrlPr>
                        </m:dPr>
                        <m:e>
                          <m:r>
                            <w:rPr>
                              <w:rFonts w:ascii="Cambria Math" w:hAnsi="Cambria Math" w:cs="Arial"/>
                              <w:sz w:val="22"/>
                              <w:szCs w:val="22"/>
                              <w:lang w:val="en-GB"/>
                            </w:rPr>
                            <m:t>IR</m:t>
                          </m:r>
                        </m:e>
                      </m:d>
                    </m:sup>
                  </m:sSubSup>
                  <m:r>
                    <w:rPr>
                      <w:rFonts w:ascii="Cambria Math" w:hAnsi="Cambria Math" w:cs="Arial"/>
                      <w:sz w:val="22"/>
                      <w:szCs w:val="22"/>
                      <w:lang w:val="en-GB"/>
                    </w:rPr>
                    <m:t>+1.4*</m:t>
                  </m:r>
                  <m:sSubSup>
                    <m:sSubSupPr>
                      <m:ctrlPr>
                        <w:rPr>
                          <w:rFonts w:ascii="Cambria Math" w:hAnsi="Cambria Math" w:cs="Arial"/>
                          <w:bCs/>
                          <w:i/>
                          <w:iCs/>
                          <w:sz w:val="22"/>
                          <w:szCs w:val="22"/>
                          <w:lang w:val="en-GB"/>
                        </w:rPr>
                      </m:ctrlPr>
                    </m:sSubSupPr>
                    <m:e>
                      <m:r>
                        <w:rPr>
                          <w:rFonts w:ascii="Cambria Math" w:hAnsi="Cambria Math" w:cs="Arial"/>
                          <w:sz w:val="22"/>
                          <w:szCs w:val="22"/>
                          <w:lang w:val="en-GB"/>
                        </w:rPr>
                        <m:t>D</m:t>
                      </m:r>
                    </m:e>
                    <m:sub>
                      <m:r>
                        <w:rPr>
                          <w:rFonts w:ascii="Cambria Math" w:hAnsi="Cambria Math" w:cs="Arial"/>
                          <w:sz w:val="22"/>
                          <w:szCs w:val="22"/>
                          <w:lang w:val="en-GB"/>
                        </w:rPr>
                        <m:t>j2</m:t>
                      </m:r>
                    </m:sub>
                    <m:sup>
                      <m:d>
                        <m:dPr>
                          <m:ctrlPr>
                            <w:rPr>
                              <w:rFonts w:ascii="Cambria Math" w:hAnsi="Cambria Math" w:cs="Arial"/>
                              <w:bCs/>
                              <w:i/>
                              <w:iCs/>
                              <w:sz w:val="22"/>
                              <w:szCs w:val="22"/>
                              <w:lang w:val="en-GB"/>
                            </w:rPr>
                          </m:ctrlPr>
                        </m:dPr>
                        <m:e>
                          <m:r>
                            <w:rPr>
                              <w:rFonts w:ascii="Cambria Math" w:hAnsi="Cambria Math" w:cs="Arial"/>
                              <w:sz w:val="22"/>
                              <w:szCs w:val="22"/>
                              <w:lang w:val="en-GB"/>
                            </w:rPr>
                            <m:t>IR</m:t>
                          </m:r>
                        </m:e>
                      </m:d>
                    </m:sup>
                  </m:sSubSup>
                  <m:sSubSup>
                    <m:sSubSupPr>
                      <m:ctrlPr>
                        <w:rPr>
                          <w:rFonts w:ascii="Cambria Math" w:hAnsi="Cambria Math" w:cs="Arial"/>
                          <w:bCs/>
                          <w:i/>
                          <w:iCs/>
                          <w:sz w:val="22"/>
                          <w:szCs w:val="22"/>
                          <w:lang w:val="en-GB"/>
                        </w:rPr>
                      </m:ctrlPr>
                    </m:sSubSupPr>
                    <m:e>
                      <m:r>
                        <w:rPr>
                          <w:rFonts w:ascii="Cambria Math" w:hAnsi="Cambria Math" w:cs="Arial"/>
                          <w:sz w:val="22"/>
                          <w:szCs w:val="22"/>
                          <w:lang w:val="en-GB"/>
                        </w:rPr>
                        <m:t>*D</m:t>
                      </m:r>
                    </m:e>
                    <m:sub>
                      <m:r>
                        <w:rPr>
                          <w:rFonts w:ascii="Cambria Math" w:hAnsi="Cambria Math" w:cs="Arial"/>
                          <w:sz w:val="22"/>
                          <w:szCs w:val="22"/>
                          <w:lang w:val="en-GB"/>
                        </w:rPr>
                        <m:t>j3</m:t>
                      </m:r>
                    </m:sub>
                    <m:sup>
                      <m:d>
                        <m:dPr>
                          <m:ctrlPr>
                            <w:rPr>
                              <w:rFonts w:ascii="Cambria Math" w:hAnsi="Cambria Math" w:cs="Arial"/>
                              <w:bCs/>
                              <w:i/>
                              <w:iCs/>
                              <w:sz w:val="22"/>
                              <w:szCs w:val="22"/>
                              <w:lang w:val="en-GB"/>
                            </w:rPr>
                          </m:ctrlPr>
                        </m:dPr>
                        <m:e>
                          <m:r>
                            <w:rPr>
                              <w:rFonts w:ascii="Cambria Math" w:hAnsi="Cambria Math" w:cs="Arial"/>
                              <w:sz w:val="22"/>
                              <w:szCs w:val="22"/>
                              <w:lang w:val="en-GB"/>
                            </w:rPr>
                            <m:t>IR</m:t>
                          </m:r>
                        </m:e>
                      </m:d>
                    </m:sup>
                  </m:sSubSup>
                  <m:r>
                    <w:rPr>
                      <w:rFonts w:ascii="Cambria Math" w:hAnsi="Cambria Math" w:cs="Arial"/>
                      <w:sz w:val="22"/>
                      <w:szCs w:val="22"/>
                      <w:lang w:val="en-GB"/>
                    </w:rPr>
                    <m:t>+0.6*</m:t>
                  </m:r>
                  <m:sSubSup>
                    <m:sSubSupPr>
                      <m:ctrlPr>
                        <w:rPr>
                          <w:rFonts w:ascii="Cambria Math" w:hAnsi="Cambria Math" w:cs="Arial"/>
                          <w:bCs/>
                          <w:i/>
                          <w:iCs/>
                          <w:sz w:val="22"/>
                          <w:szCs w:val="22"/>
                          <w:lang w:val="en-GB"/>
                        </w:rPr>
                      </m:ctrlPr>
                    </m:sSubSupPr>
                    <m:e>
                      <m:r>
                        <w:rPr>
                          <w:rFonts w:ascii="Cambria Math" w:hAnsi="Cambria Math" w:cs="Arial"/>
                          <w:sz w:val="22"/>
                          <w:szCs w:val="22"/>
                          <w:lang w:val="en-GB"/>
                        </w:rPr>
                        <m:t>D</m:t>
                      </m:r>
                    </m:e>
                    <m:sub>
                      <m:r>
                        <w:rPr>
                          <w:rFonts w:ascii="Cambria Math" w:hAnsi="Cambria Math" w:cs="Arial"/>
                          <w:sz w:val="22"/>
                          <w:szCs w:val="22"/>
                          <w:lang w:val="en-GB"/>
                        </w:rPr>
                        <m:t>j1</m:t>
                      </m:r>
                    </m:sub>
                    <m:sup>
                      <m:d>
                        <m:dPr>
                          <m:ctrlPr>
                            <w:rPr>
                              <w:rFonts w:ascii="Cambria Math" w:hAnsi="Cambria Math" w:cs="Arial"/>
                              <w:bCs/>
                              <w:i/>
                              <w:iCs/>
                              <w:sz w:val="22"/>
                              <w:szCs w:val="22"/>
                              <w:lang w:val="en-GB"/>
                            </w:rPr>
                          </m:ctrlPr>
                        </m:dPr>
                        <m:e>
                          <m:r>
                            <w:rPr>
                              <w:rFonts w:ascii="Cambria Math" w:hAnsi="Cambria Math" w:cs="Arial"/>
                              <w:sz w:val="22"/>
                              <w:szCs w:val="22"/>
                              <w:lang w:val="en-GB"/>
                            </w:rPr>
                            <m:t>IR</m:t>
                          </m:r>
                        </m:e>
                      </m:d>
                    </m:sup>
                  </m:sSubSup>
                  <m:sSubSup>
                    <m:sSubSupPr>
                      <m:ctrlPr>
                        <w:rPr>
                          <w:rFonts w:ascii="Cambria Math" w:hAnsi="Cambria Math" w:cs="Arial"/>
                          <w:bCs/>
                          <w:i/>
                          <w:iCs/>
                          <w:sz w:val="22"/>
                          <w:szCs w:val="22"/>
                          <w:lang w:val="en-GB"/>
                        </w:rPr>
                      </m:ctrlPr>
                    </m:sSubSupPr>
                    <m:e>
                      <m:r>
                        <w:rPr>
                          <w:rFonts w:ascii="Cambria Math" w:hAnsi="Cambria Math" w:cs="Arial"/>
                          <w:sz w:val="22"/>
                          <w:szCs w:val="22"/>
                          <w:lang w:val="en-GB"/>
                        </w:rPr>
                        <m:t>*D</m:t>
                      </m:r>
                    </m:e>
                    <m:sub>
                      <m:r>
                        <w:rPr>
                          <w:rFonts w:ascii="Cambria Math" w:hAnsi="Cambria Math" w:cs="Arial"/>
                          <w:sz w:val="22"/>
                          <w:szCs w:val="22"/>
                          <w:lang w:val="en-GB"/>
                        </w:rPr>
                        <m:t>j3</m:t>
                      </m:r>
                    </m:sub>
                    <m:sup>
                      <m:d>
                        <m:dPr>
                          <m:ctrlPr>
                            <w:rPr>
                              <w:rFonts w:ascii="Cambria Math" w:hAnsi="Cambria Math" w:cs="Arial"/>
                              <w:bCs/>
                              <w:i/>
                              <w:iCs/>
                              <w:sz w:val="22"/>
                              <w:szCs w:val="22"/>
                              <w:lang w:val="en-GB"/>
                            </w:rPr>
                          </m:ctrlPr>
                        </m:dPr>
                        <m:e>
                          <m:r>
                            <w:rPr>
                              <w:rFonts w:ascii="Cambria Math" w:hAnsi="Cambria Math" w:cs="Arial"/>
                              <w:sz w:val="22"/>
                              <w:szCs w:val="22"/>
                              <w:lang w:val="en-GB"/>
                            </w:rPr>
                            <m:t>IR</m:t>
                          </m:r>
                        </m:e>
                      </m:d>
                    </m:sup>
                  </m:sSubSup>
                </m:e>
              </m:d>
            </m:e>
            <m:sup>
              <m:f>
                <m:fPr>
                  <m:ctrlPr>
                    <w:rPr>
                      <w:rFonts w:ascii="Cambria Math" w:hAnsi="Cambria Math" w:cs="Arial"/>
                      <w:bCs/>
                      <w:i/>
                      <w:iCs/>
                      <w:sz w:val="22"/>
                      <w:szCs w:val="22"/>
                      <w:lang w:val="en-GB"/>
                    </w:rPr>
                  </m:ctrlPr>
                </m:fPr>
                <m:num>
                  <m:r>
                    <w:rPr>
                      <w:rFonts w:ascii="Cambria Math" w:hAnsi="Cambria Math" w:cs="Arial"/>
                      <w:sz w:val="22"/>
                      <w:szCs w:val="22"/>
                      <w:lang w:val="en-GB"/>
                    </w:rPr>
                    <m:t>1</m:t>
                  </m:r>
                </m:num>
                <m:den>
                  <m:r>
                    <w:rPr>
                      <w:rFonts w:ascii="Cambria Math" w:hAnsi="Cambria Math" w:cs="Arial"/>
                      <w:sz w:val="22"/>
                      <w:szCs w:val="22"/>
                      <w:lang w:val="en-GB"/>
                    </w:rPr>
                    <m:t>2</m:t>
                  </m:r>
                </m:den>
              </m:f>
            </m:sup>
          </m:sSup>
        </m:oMath>
      </m:oMathPara>
    </w:p>
    <w:p w14:paraId="357A31E5" w14:textId="77777777" w:rsidR="00605654" w:rsidRPr="00E4265B" w:rsidRDefault="009A7F14" w:rsidP="009A7F14">
      <w:pPr>
        <w:pStyle w:val="A1List"/>
        <w:rPr>
          <w:rFonts w:ascii="Arial" w:hAnsi="Arial" w:cs="Arial"/>
          <w:b/>
          <w:bCs/>
          <w:sz w:val="22"/>
          <w:szCs w:val="22"/>
          <w:lang w:val="en-GB"/>
        </w:rPr>
      </w:pPr>
      <w:r w:rsidRPr="00E4265B">
        <w:rPr>
          <w:rFonts w:ascii="Arial" w:hAnsi="Arial" w:cs="Arial"/>
          <w:b/>
          <w:bCs/>
          <w:sz w:val="22"/>
          <w:szCs w:val="22"/>
          <w:lang w:val="en-GB"/>
        </w:rPr>
        <w:t>A4.6.42</w:t>
      </w:r>
      <w:r w:rsidRPr="00E4265B">
        <w:rPr>
          <w:rFonts w:ascii="Arial" w:hAnsi="Arial" w:cs="Arial"/>
          <w:b/>
          <w:bCs/>
          <w:sz w:val="22"/>
          <w:szCs w:val="22"/>
          <w:lang w:val="en-GB"/>
        </w:rPr>
        <w:tab/>
      </w:r>
      <w:r w:rsidRPr="00E4265B">
        <w:rPr>
          <w:rFonts w:ascii="Arial" w:hAnsi="Arial" w:cs="Arial"/>
          <w:bCs/>
          <w:sz w:val="22"/>
          <w:szCs w:val="22"/>
          <w:lang w:val="en-GB"/>
        </w:rPr>
        <w:t>The Authorised Person must then determine the hedging set level add-on in accordance with the following formula:</w:t>
      </w:r>
    </w:p>
    <w:p w14:paraId="2BD8FB8E" w14:textId="33575586" w:rsidR="009A7F14" w:rsidRPr="00E4265B" w:rsidRDefault="009A7F14" w:rsidP="009A7F14">
      <w:pPr>
        <w:pStyle w:val="A1List"/>
        <w:ind w:left="990" w:firstLine="0"/>
        <w:rPr>
          <w:rFonts w:ascii="Arial" w:hAnsi="Arial" w:cs="Arial"/>
          <w:bCs/>
          <w:sz w:val="22"/>
          <w:szCs w:val="22"/>
          <w:lang w:val="en-GB"/>
        </w:rPr>
      </w:pPr>
      <m:oMathPara>
        <m:oMath>
          <m:r>
            <w:rPr>
              <w:rFonts w:ascii="Cambria Math" w:hAnsi="Cambria Math" w:cs="Arial"/>
              <w:sz w:val="22"/>
              <w:szCs w:val="22"/>
              <w:lang w:val="en-GB"/>
            </w:rPr>
            <m:t>AddO</m:t>
          </m:r>
          <m:sSubSup>
            <m:sSubSupPr>
              <m:ctrlPr>
                <w:rPr>
                  <w:rFonts w:ascii="Cambria Math" w:hAnsi="Cambria Math" w:cs="Arial"/>
                  <w:bCs/>
                  <w:i/>
                  <w:sz w:val="22"/>
                  <w:szCs w:val="22"/>
                  <w:lang w:val="en-GB"/>
                </w:rPr>
              </m:ctrlPr>
            </m:sSubSupPr>
            <m:e>
              <m:r>
                <w:rPr>
                  <w:rFonts w:ascii="Cambria Math" w:hAnsi="Cambria Math" w:cs="Arial"/>
                  <w:sz w:val="22"/>
                  <w:szCs w:val="22"/>
                  <w:lang w:val="en-GB"/>
                </w:rPr>
                <m:t>n</m:t>
              </m:r>
            </m:e>
            <m:sub>
              <m:r>
                <w:rPr>
                  <w:rFonts w:ascii="Cambria Math" w:hAnsi="Cambria Math" w:cs="Arial"/>
                  <w:sz w:val="22"/>
                  <w:szCs w:val="22"/>
                  <w:lang w:val="en-GB"/>
                </w:rPr>
                <m:t>j</m:t>
              </m:r>
            </m:sub>
            <m:sup>
              <m:r>
                <w:rPr>
                  <w:rFonts w:ascii="Cambria Math" w:hAnsi="Cambria Math" w:cs="Arial"/>
                  <w:sz w:val="22"/>
                  <w:szCs w:val="22"/>
                  <w:lang w:val="en-GB"/>
                </w:rPr>
                <m:t>(IR)</m:t>
              </m:r>
            </m:sup>
          </m:sSubSup>
          <m:r>
            <w:rPr>
              <w:rFonts w:ascii="Cambria Math" w:hAnsi="Cambria Math" w:cs="Arial"/>
              <w:sz w:val="22"/>
              <w:szCs w:val="22"/>
              <w:lang w:val="en-GB"/>
            </w:rPr>
            <m:t>=S</m:t>
          </m:r>
          <m:sSubSup>
            <m:sSubSupPr>
              <m:ctrlPr>
                <w:rPr>
                  <w:rFonts w:ascii="Cambria Math" w:hAnsi="Cambria Math" w:cs="Arial"/>
                  <w:bCs/>
                  <w:i/>
                  <w:sz w:val="22"/>
                  <w:szCs w:val="22"/>
                  <w:lang w:val="en-GB"/>
                </w:rPr>
              </m:ctrlPr>
            </m:sSubSupPr>
            <m:e>
              <m:r>
                <w:rPr>
                  <w:rFonts w:ascii="Cambria Math" w:hAnsi="Cambria Math" w:cs="Arial"/>
                  <w:sz w:val="22"/>
                  <w:szCs w:val="22"/>
                  <w:lang w:val="en-GB"/>
                </w:rPr>
                <m:t>F</m:t>
              </m:r>
            </m:e>
            <m:sub>
              <m:r>
                <w:rPr>
                  <w:rFonts w:ascii="Cambria Math" w:hAnsi="Cambria Math" w:cs="Arial"/>
                  <w:sz w:val="22"/>
                  <w:szCs w:val="22"/>
                  <w:lang w:val="en-GB"/>
                </w:rPr>
                <m:t>j</m:t>
              </m:r>
            </m:sub>
            <m:sup>
              <m:r>
                <w:rPr>
                  <w:rFonts w:ascii="Cambria Math" w:hAnsi="Cambria Math" w:cs="Arial"/>
                  <w:sz w:val="22"/>
                  <w:szCs w:val="22"/>
                  <w:lang w:val="en-GB"/>
                </w:rPr>
                <m:t>(IR)</m:t>
              </m:r>
            </m:sup>
          </m:sSubSup>
          <m:r>
            <w:rPr>
              <w:rFonts w:ascii="Cambria Math" w:hAnsi="Cambria Math" w:cs="Arial"/>
              <w:sz w:val="22"/>
              <w:szCs w:val="22"/>
              <w:lang w:val="en-GB"/>
            </w:rPr>
            <m:t>* EffectiveNotiona</m:t>
          </m:r>
          <m:sSubSup>
            <m:sSubSupPr>
              <m:ctrlPr>
                <w:rPr>
                  <w:rFonts w:ascii="Cambria Math" w:hAnsi="Cambria Math" w:cs="Arial"/>
                  <w:bCs/>
                  <w:i/>
                  <w:sz w:val="22"/>
                  <w:szCs w:val="22"/>
                  <w:lang w:val="en-GB"/>
                </w:rPr>
              </m:ctrlPr>
            </m:sSubSupPr>
            <m:e>
              <m:r>
                <w:rPr>
                  <w:rFonts w:ascii="Cambria Math" w:hAnsi="Cambria Math" w:cs="Arial"/>
                  <w:sz w:val="22"/>
                  <w:szCs w:val="22"/>
                  <w:lang w:val="en-GB"/>
                </w:rPr>
                <m:t>l</m:t>
              </m:r>
            </m:e>
            <m:sub>
              <m:r>
                <w:rPr>
                  <w:rFonts w:ascii="Cambria Math" w:hAnsi="Cambria Math" w:cs="Arial"/>
                  <w:sz w:val="22"/>
                  <w:szCs w:val="22"/>
                  <w:lang w:val="en-GB"/>
                </w:rPr>
                <m:t>j</m:t>
              </m:r>
            </m:sub>
            <m:sup>
              <m:r>
                <w:rPr>
                  <w:rFonts w:ascii="Cambria Math" w:hAnsi="Cambria Math" w:cs="Arial"/>
                  <w:sz w:val="22"/>
                  <w:szCs w:val="22"/>
                  <w:lang w:val="en-GB"/>
                </w:rPr>
                <m:t>(IR)</m:t>
              </m:r>
            </m:sup>
          </m:sSubSup>
        </m:oMath>
      </m:oMathPara>
    </w:p>
    <w:p w14:paraId="3E373680" w14:textId="77777777" w:rsidR="009A7F14" w:rsidRPr="00E4265B" w:rsidRDefault="009A7F14" w:rsidP="009A7F14">
      <w:pPr>
        <w:pStyle w:val="A1List"/>
        <w:rPr>
          <w:rFonts w:ascii="Arial" w:hAnsi="Arial" w:cs="Arial"/>
          <w:b/>
          <w:bCs/>
          <w:sz w:val="22"/>
          <w:szCs w:val="22"/>
          <w:lang w:val="en-GB"/>
        </w:rPr>
      </w:pPr>
      <w:r w:rsidRPr="00E4265B">
        <w:rPr>
          <w:rFonts w:ascii="Arial" w:hAnsi="Arial" w:cs="Arial"/>
          <w:b/>
          <w:bCs/>
          <w:sz w:val="22"/>
          <w:szCs w:val="22"/>
          <w:lang w:val="en-GB"/>
        </w:rPr>
        <w:t>A4.6.43</w:t>
      </w:r>
      <w:r w:rsidRPr="00E4265B">
        <w:rPr>
          <w:rFonts w:ascii="Arial" w:hAnsi="Arial" w:cs="Arial"/>
          <w:b/>
          <w:bCs/>
          <w:sz w:val="22"/>
          <w:szCs w:val="22"/>
          <w:lang w:val="en-GB"/>
        </w:rPr>
        <w:tab/>
      </w:r>
      <w:r w:rsidRPr="00E4265B">
        <w:rPr>
          <w:rFonts w:ascii="Arial" w:hAnsi="Arial" w:cs="Arial"/>
          <w:bCs/>
          <w:sz w:val="22"/>
          <w:szCs w:val="22"/>
          <w:lang w:val="en-GB"/>
        </w:rPr>
        <w:t>The Authorised Person must then aggregate the interest rate derivative add-on across hedging sets by simple summation, as follows:</w:t>
      </w:r>
    </w:p>
    <w:p w14:paraId="6732A404" w14:textId="77777777" w:rsidR="009A7F14" w:rsidRPr="00E4265B" w:rsidRDefault="009A7F14" w:rsidP="009A7F14">
      <w:pPr>
        <w:pStyle w:val="A1List"/>
        <w:ind w:left="990" w:firstLine="0"/>
        <w:rPr>
          <w:rFonts w:ascii="Arial" w:hAnsi="Arial" w:cs="Arial"/>
          <w:bCs/>
          <w:sz w:val="22"/>
          <w:szCs w:val="22"/>
          <w:lang w:val="en-GB"/>
        </w:rPr>
      </w:pPr>
      <m:oMathPara>
        <m:oMath>
          <m:r>
            <w:rPr>
              <w:rFonts w:ascii="Cambria Math" w:hAnsi="Cambria Math" w:cs="Arial"/>
              <w:sz w:val="22"/>
              <w:szCs w:val="22"/>
              <w:lang w:val="en-GB"/>
            </w:rPr>
            <w:lastRenderedPageBreak/>
            <m:t>AddO</m:t>
          </m:r>
          <m:sSup>
            <m:sSupPr>
              <m:ctrlPr>
                <w:rPr>
                  <w:rFonts w:ascii="Cambria Math" w:hAnsi="Cambria Math" w:cs="Arial"/>
                  <w:bCs/>
                  <w:i/>
                  <w:sz w:val="22"/>
                  <w:szCs w:val="22"/>
                  <w:lang w:val="en-GB"/>
                </w:rPr>
              </m:ctrlPr>
            </m:sSupPr>
            <m:e>
              <m:r>
                <w:rPr>
                  <w:rFonts w:ascii="Cambria Math" w:hAnsi="Cambria Math" w:cs="Arial"/>
                  <w:sz w:val="22"/>
                  <w:szCs w:val="22"/>
                  <w:lang w:val="en-GB"/>
                </w:rPr>
                <m:t>n</m:t>
              </m:r>
            </m:e>
            <m:sup>
              <m:r>
                <w:rPr>
                  <w:rFonts w:ascii="Cambria Math" w:hAnsi="Cambria Math" w:cs="Arial"/>
                  <w:sz w:val="22"/>
                  <w:szCs w:val="22"/>
                  <w:lang w:val="en-GB"/>
                </w:rPr>
                <m:t>(IR)</m:t>
              </m:r>
            </m:sup>
          </m:sSup>
          <m:r>
            <w:rPr>
              <w:rFonts w:ascii="Cambria Math" w:hAnsi="Cambria Math" w:cs="Arial"/>
              <w:sz w:val="22"/>
              <w:szCs w:val="22"/>
              <w:lang w:val="en-GB"/>
            </w:rPr>
            <m:t>=</m:t>
          </m:r>
          <m:nary>
            <m:naryPr>
              <m:chr m:val="∑"/>
              <m:limLoc m:val="undOvr"/>
              <m:supHide m:val="1"/>
              <m:ctrlPr>
                <w:rPr>
                  <w:rFonts w:ascii="Cambria Math" w:hAnsi="Cambria Math" w:cs="Arial"/>
                  <w:bCs/>
                  <w:i/>
                  <w:sz w:val="22"/>
                  <w:szCs w:val="22"/>
                  <w:lang w:val="en-GB"/>
                </w:rPr>
              </m:ctrlPr>
            </m:naryPr>
            <m:sub>
              <m:r>
                <w:rPr>
                  <w:rFonts w:ascii="Cambria Math" w:hAnsi="Cambria Math" w:cs="Arial"/>
                  <w:sz w:val="22"/>
                  <w:szCs w:val="22"/>
                  <w:lang w:val="en-GB"/>
                </w:rPr>
                <m:t>j</m:t>
              </m:r>
            </m:sub>
            <m:sup/>
            <m:e>
              <m:r>
                <w:rPr>
                  <w:rFonts w:ascii="Cambria Math" w:hAnsi="Cambria Math" w:cs="Arial"/>
                  <w:sz w:val="22"/>
                  <w:szCs w:val="22"/>
                  <w:lang w:val="en-GB"/>
                </w:rPr>
                <m:t>AddO</m:t>
              </m:r>
              <m:sSubSup>
                <m:sSubSupPr>
                  <m:ctrlPr>
                    <w:rPr>
                      <w:rFonts w:ascii="Cambria Math" w:hAnsi="Cambria Math" w:cs="Arial"/>
                      <w:bCs/>
                      <w:i/>
                      <w:sz w:val="22"/>
                      <w:szCs w:val="22"/>
                      <w:lang w:val="en-GB"/>
                    </w:rPr>
                  </m:ctrlPr>
                </m:sSubSupPr>
                <m:e>
                  <m:r>
                    <w:rPr>
                      <w:rFonts w:ascii="Cambria Math" w:hAnsi="Cambria Math" w:cs="Arial"/>
                      <w:sz w:val="22"/>
                      <w:szCs w:val="22"/>
                      <w:lang w:val="en-GB"/>
                    </w:rPr>
                    <m:t>n</m:t>
                  </m:r>
                </m:e>
                <m:sub>
                  <m:r>
                    <w:rPr>
                      <w:rFonts w:ascii="Cambria Math" w:hAnsi="Cambria Math" w:cs="Arial"/>
                      <w:sz w:val="22"/>
                      <w:szCs w:val="22"/>
                      <w:lang w:val="en-GB"/>
                    </w:rPr>
                    <m:t>j</m:t>
                  </m:r>
                </m:sub>
                <m:sup>
                  <m:r>
                    <w:rPr>
                      <w:rFonts w:ascii="Cambria Math" w:hAnsi="Cambria Math" w:cs="Arial"/>
                      <w:sz w:val="22"/>
                      <w:szCs w:val="22"/>
                      <w:lang w:val="en-GB"/>
                    </w:rPr>
                    <m:t>(IR)</m:t>
                  </m:r>
                </m:sup>
              </m:sSubSup>
            </m:e>
          </m:nary>
        </m:oMath>
      </m:oMathPara>
    </w:p>
    <w:p w14:paraId="1CCB0D4A" w14:textId="77777777" w:rsidR="00B06152" w:rsidRPr="00E4265B" w:rsidRDefault="00B06152" w:rsidP="00B06152">
      <w:pPr>
        <w:pStyle w:val="TitleL5"/>
        <w:rPr>
          <w:rFonts w:ascii="Arial" w:hAnsi="Arial" w:cs="Arial"/>
          <w:sz w:val="22"/>
          <w:szCs w:val="22"/>
          <w:lang w:val="en-GB"/>
        </w:rPr>
      </w:pPr>
      <w:r w:rsidRPr="00E4265B">
        <w:rPr>
          <w:rFonts w:ascii="Arial" w:hAnsi="Arial" w:cs="Arial"/>
          <w:sz w:val="22"/>
          <w:szCs w:val="22"/>
          <w:lang w:val="en-GB"/>
        </w:rPr>
        <w:t>Add-on for credit derivatives</w:t>
      </w:r>
    </w:p>
    <w:p w14:paraId="34C98F93" w14:textId="77777777" w:rsidR="009A7F14" w:rsidRPr="00E4265B" w:rsidRDefault="00B06152" w:rsidP="00B06152">
      <w:pPr>
        <w:pStyle w:val="A1List"/>
        <w:rPr>
          <w:rFonts w:ascii="Arial" w:hAnsi="Arial" w:cs="Arial"/>
          <w:b/>
          <w:bCs/>
          <w:sz w:val="22"/>
          <w:szCs w:val="22"/>
          <w:lang w:val="en-GB"/>
        </w:rPr>
      </w:pPr>
      <w:r w:rsidRPr="00E4265B">
        <w:rPr>
          <w:rFonts w:ascii="Arial" w:hAnsi="Arial" w:cs="Arial"/>
          <w:b/>
          <w:bCs/>
          <w:sz w:val="22"/>
          <w:szCs w:val="22"/>
          <w:lang w:val="en-GB"/>
        </w:rPr>
        <w:t>A4.6.44</w:t>
      </w:r>
      <w:r w:rsidRPr="00E4265B">
        <w:rPr>
          <w:rFonts w:ascii="Arial" w:hAnsi="Arial" w:cs="Arial"/>
          <w:b/>
          <w:bCs/>
          <w:sz w:val="22"/>
          <w:szCs w:val="22"/>
          <w:lang w:val="en-GB"/>
        </w:rPr>
        <w:tab/>
      </w:r>
      <w:r w:rsidRPr="00E4265B">
        <w:rPr>
          <w:rFonts w:ascii="Arial" w:hAnsi="Arial" w:cs="Arial"/>
          <w:bCs/>
          <w:sz w:val="22"/>
          <w:szCs w:val="22"/>
          <w:lang w:val="en-GB"/>
        </w:rPr>
        <w:t>All credit derivatives referencing the same entity may be offset fully to form an entity-level effective notional amount:</w:t>
      </w:r>
    </w:p>
    <w:p w14:paraId="3395BD04" w14:textId="77777777" w:rsidR="009A7F14" w:rsidRPr="00E4265B" w:rsidRDefault="00B06152" w:rsidP="009A7F14">
      <w:pPr>
        <w:pStyle w:val="A1List"/>
        <w:ind w:left="990" w:firstLine="0"/>
        <w:rPr>
          <w:rFonts w:ascii="Arial" w:hAnsi="Arial" w:cs="Arial"/>
          <w:bCs/>
          <w:sz w:val="22"/>
          <w:szCs w:val="22"/>
          <w:lang w:val="en-GB"/>
        </w:rPr>
      </w:pPr>
      <m:oMathPara>
        <m:oMath>
          <m:r>
            <w:rPr>
              <w:rFonts w:ascii="Cambria Math" w:hAnsi="Cambria Math" w:cs="Arial"/>
              <w:sz w:val="22"/>
              <w:szCs w:val="22"/>
              <w:lang w:val="en-GB"/>
            </w:rPr>
            <m:t>EffectiveNotiona</m:t>
          </m:r>
          <m:sSubSup>
            <m:sSubSupPr>
              <m:ctrlPr>
                <w:rPr>
                  <w:rFonts w:ascii="Cambria Math" w:hAnsi="Cambria Math" w:cs="Arial"/>
                  <w:bCs/>
                  <w:i/>
                  <w:sz w:val="22"/>
                  <w:szCs w:val="22"/>
                  <w:lang w:val="en-GB"/>
                </w:rPr>
              </m:ctrlPr>
            </m:sSubSupPr>
            <m:e>
              <m:r>
                <w:rPr>
                  <w:rFonts w:ascii="Cambria Math" w:hAnsi="Cambria Math" w:cs="Arial"/>
                  <w:sz w:val="22"/>
                  <w:szCs w:val="22"/>
                  <w:lang w:val="en-GB"/>
                </w:rPr>
                <m:t>l</m:t>
              </m:r>
            </m:e>
            <m:sub>
              <m:r>
                <w:rPr>
                  <w:rFonts w:ascii="Cambria Math" w:hAnsi="Cambria Math" w:cs="Arial"/>
                  <w:sz w:val="22"/>
                  <w:szCs w:val="22"/>
                  <w:lang w:val="en-GB"/>
                </w:rPr>
                <m:t>k</m:t>
              </m:r>
            </m:sub>
            <m:sup>
              <m:r>
                <w:rPr>
                  <w:rFonts w:ascii="Cambria Math" w:hAnsi="Cambria Math" w:cs="Arial"/>
                  <w:sz w:val="22"/>
                  <w:szCs w:val="22"/>
                  <w:lang w:val="en-GB"/>
                </w:rPr>
                <m:t>(Credit)</m:t>
              </m:r>
            </m:sup>
          </m:sSubSup>
          <m:r>
            <w:rPr>
              <w:rFonts w:ascii="Cambria Math" w:hAnsi="Cambria Math" w:cs="Arial"/>
              <w:sz w:val="22"/>
              <w:szCs w:val="22"/>
              <w:lang w:val="en-GB"/>
            </w:rPr>
            <m:t>=</m:t>
          </m:r>
          <m:nary>
            <m:naryPr>
              <m:chr m:val="∑"/>
              <m:limLoc m:val="undOvr"/>
              <m:supHide m:val="1"/>
              <m:ctrlPr>
                <w:rPr>
                  <w:rFonts w:ascii="Cambria Math" w:hAnsi="Cambria Math" w:cs="Arial"/>
                  <w:bCs/>
                  <w:i/>
                  <w:sz w:val="22"/>
                  <w:szCs w:val="22"/>
                  <w:lang w:val="en-GB"/>
                </w:rPr>
              </m:ctrlPr>
            </m:naryPr>
            <m:sub>
              <m:r>
                <w:rPr>
                  <w:rFonts w:ascii="Cambria Math" w:hAnsi="Cambria Math" w:cs="Arial"/>
                  <w:sz w:val="22"/>
                  <w:szCs w:val="22"/>
                  <w:lang w:val="en-GB"/>
                </w:rPr>
                <m:t>i∈Entit</m:t>
              </m:r>
              <m:sSub>
                <m:sSubPr>
                  <m:ctrlPr>
                    <w:rPr>
                      <w:rFonts w:ascii="Cambria Math" w:hAnsi="Cambria Math" w:cs="Arial"/>
                      <w:bCs/>
                      <w:i/>
                      <w:sz w:val="22"/>
                      <w:szCs w:val="22"/>
                      <w:lang w:val="en-GB"/>
                    </w:rPr>
                  </m:ctrlPr>
                </m:sSubPr>
                <m:e>
                  <m:r>
                    <w:rPr>
                      <w:rFonts w:ascii="Cambria Math" w:hAnsi="Cambria Math" w:cs="Arial"/>
                      <w:sz w:val="22"/>
                      <w:szCs w:val="22"/>
                      <w:lang w:val="en-GB"/>
                    </w:rPr>
                    <m:t>y</m:t>
                  </m:r>
                </m:e>
                <m:sub>
                  <m:r>
                    <w:rPr>
                      <w:rFonts w:ascii="Cambria Math" w:hAnsi="Cambria Math" w:cs="Arial"/>
                      <w:sz w:val="22"/>
                      <w:szCs w:val="22"/>
                      <w:lang w:val="en-GB"/>
                    </w:rPr>
                    <m:t>k</m:t>
                  </m:r>
                </m:sub>
              </m:sSub>
            </m:sub>
            <m:sup/>
            <m:e>
              <m:sSub>
                <m:sSubPr>
                  <m:ctrlPr>
                    <w:rPr>
                      <w:rFonts w:ascii="Cambria Math" w:hAnsi="Cambria Math" w:cs="Arial"/>
                      <w:bCs/>
                      <w:i/>
                      <w:sz w:val="22"/>
                      <w:szCs w:val="22"/>
                      <w:lang w:val="en-GB"/>
                    </w:rPr>
                  </m:ctrlPr>
                </m:sSubPr>
                <m:e>
                  <m:r>
                    <w:rPr>
                      <w:rFonts w:ascii="Cambria Math" w:hAnsi="Cambria Math" w:cs="Arial"/>
                      <w:sz w:val="22"/>
                      <w:szCs w:val="22"/>
                      <w:lang w:val="en-GB"/>
                    </w:rPr>
                    <m:t>δ</m:t>
                  </m:r>
                </m:e>
                <m:sub>
                  <m:r>
                    <w:rPr>
                      <w:rFonts w:ascii="Cambria Math" w:hAnsi="Cambria Math" w:cs="Arial"/>
                      <w:sz w:val="22"/>
                      <w:szCs w:val="22"/>
                      <w:lang w:val="en-GB"/>
                    </w:rPr>
                    <m:t>i</m:t>
                  </m:r>
                </m:sub>
              </m:sSub>
              <m:r>
                <w:rPr>
                  <w:rFonts w:ascii="Cambria Math" w:hAnsi="Cambria Math" w:cs="Arial"/>
                  <w:sz w:val="22"/>
                  <w:szCs w:val="22"/>
                  <w:lang w:val="en-GB"/>
                </w:rPr>
                <m:t>*</m:t>
              </m:r>
              <m:sSubSup>
                <m:sSubSupPr>
                  <m:ctrlPr>
                    <w:rPr>
                      <w:rFonts w:ascii="Cambria Math" w:hAnsi="Cambria Math" w:cs="Arial"/>
                      <w:bCs/>
                      <w:i/>
                      <w:sz w:val="22"/>
                      <w:szCs w:val="22"/>
                      <w:lang w:val="en-GB"/>
                    </w:rPr>
                  </m:ctrlPr>
                </m:sSubSupPr>
                <m:e>
                  <m:r>
                    <w:rPr>
                      <w:rFonts w:ascii="Cambria Math" w:hAnsi="Cambria Math" w:cs="Arial"/>
                      <w:sz w:val="22"/>
                      <w:szCs w:val="22"/>
                      <w:lang w:val="en-GB"/>
                    </w:rPr>
                    <m:t>d</m:t>
                  </m:r>
                </m:e>
                <m:sub>
                  <m:r>
                    <w:rPr>
                      <w:rFonts w:ascii="Cambria Math" w:hAnsi="Cambria Math" w:cs="Arial"/>
                      <w:sz w:val="22"/>
                      <w:szCs w:val="22"/>
                      <w:lang w:val="en-GB"/>
                    </w:rPr>
                    <m:t>i</m:t>
                  </m:r>
                </m:sub>
                <m:sup>
                  <m:d>
                    <m:dPr>
                      <m:ctrlPr>
                        <w:rPr>
                          <w:rFonts w:ascii="Cambria Math" w:hAnsi="Cambria Math" w:cs="Arial"/>
                          <w:bCs/>
                          <w:i/>
                          <w:sz w:val="22"/>
                          <w:szCs w:val="22"/>
                          <w:lang w:val="en-GB"/>
                        </w:rPr>
                      </m:ctrlPr>
                    </m:dPr>
                    <m:e>
                      <m:r>
                        <w:rPr>
                          <w:rFonts w:ascii="Cambria Math" w:hAnsi="Cambria Math" w:cs="Arial"/>
                          <w:sz w:val="22"/>
                          <w:szCs w:val="22"/>
                          <w:lang w:val="en-GB"/>
                        </w:rPr>
                        <m:t>Credit</m:t>
                      </m:r>
                    </m:e>
                  </m:d>
                </m:sup>
              </m:sSubSup>
              <m:r>
                <w:rPr>
                  <w:rFonts w:ascii="Cambria Math" w:hAnsi="Cambria Math" w:cs="Arial"/>
                  <w:sz w:val="22"/>
                  <w:szCs w:val="22"/>
                  <w:lang w:val="en-GB"/>
                </w:rPr>
                <m:t>*M</m:t>
              </m:r>
              <m:sSubSup>
                <m:sSubSupPr>
                  <m:ctrlPr>
                    <w:rPr>
                      <w:rFonts w:ascii="Cambria Math" w:hAnsi="Cambria Math" w:cs="Arial"/>
                      <w:bCs/>
                      <w:i/>
                      <w:sz w:val="22"/>
                      <w:szCs w:val="22"/>
                      <w:lang w:val="en-GB"/>
                    </w:rPr>
                  </m:ctrlPr>
                </m:sSubSupPr>
                <m:e>
                  <m:r>
                    <w:rPr>
                      <w:rFonts w:ascii="Cambria Math" w:hAnsi="Cambria Math" w:cs="Arial"/>
                      <w:sz w:val="22"/>
                      <w:szCs w:val="22"/>
                      <w:lang w:val="en-GB"/>
                    </w:rPr>
                    <m:t>F</m:t>
                  </m:r>
                </m:e>
                <m:sub>
                  <m:r>
                    <w:rPr>
                      <w:rFonts w:ascii="Cambria Math" w:hAnsi="Cambria Math" w:cs="Arial"/>
                      <w:sz w:val="22"/>
                      <w:szCs w:val="22"/>
                      <w:lang w:val="en-GB"/>
                    </w:rPr>
                    <m:t>i</m:t>
                  </m:r>
                </m:sub>
                <m:sup>
                  <m:r>
                    <w:rPr>
                      <w:rFonts w:ascii="Cambria Math" w:hAnsi="Cambria Math" w:cs="Arial"/>
                      <w:sz w:val="22"/>
                      <w:szCs w:val="22"/>
                      <w:lang w:val="en-GB"/>
                    </w:rPr>
                    <m:t>(type)</m:t>
                  </m:r>
                </m:sup>
              </m:sSubSup>
            </m:e>
          </m:nary>
        </m:oMath>
      </m:oMathPara>
    </w:p>
    <w:p w14:paraId="1281084A" w14:textId="56A40A22" w:rsidR="00B06152" w:rsidRPr="00E4265B" w:rsidRDefault="00B06152" w:rsidP="00A176CF">
      <w:pPr>
        <w:pStyle w:val="A1List"/>
        <w:ind w:left="990" w:firstLine="0"/>
        <w:rPr>
          <w:rFonts w:ascii="Arial" w:hAnsi="Arial" w:cs="Arial"/>
          <w:bCs/>
          <w:sz w:val="22"/>
          <w:szCs w:val="22"/>
          <w:lang w:val="en-GB"/>
        </w:rPr>
      </w:pPr>
      <w:r w:rsidRPr="00E4265B">
        <w:rPr>
          <w:rFonts w:ascii="Arial" w:hAnsi="Arial" w:cs="Arial"/>
          <w:bCs/>
          <w:sz w:val="22"/>
          <w:szCs w:val="22"/>
          <w:lang w:val="en-GB"/>
        </w:rPr>
        <w:t xml:space="preserve">where </w:t>
      </w:r>
      <w:r w:rsidR="00A176CF" w:rsidRPr="00E4265B">
        <w:rPr>
          <w:rFonts w:ascii="Arial" w:hAnsi="Arial" w:cs="Arial"/>
          <w:bCs/>
          <w:i/>
          <w:iCs/>
          <w:sz w:val="22"/>
          <w:szCs w:val="22"/>
          <w:lang w:val="en-GB"/>
        </w:rPr>
        <w:t xml:space="preserve">i </w:t>
      </w:r>
      <w:r w:rsidRPr="00E4265B">
        <w:rPr>
          <w:rFonts w:ascii="Arial" w:hAnsi="Arial" w:cs="Arial"/>
          <w:bCs/>
          <w:i/>
          <w:iCs/>
          <w:sz w:val="22"/>
          <w:szCs w:val="22"/>
          <w:lang w:val="en-GB"/>
        </w:rPr>
        <w:t>ε</w:t>
      </w:r>
      <w:r w:rsidR="00A176CF" w:rsidRPr="00E4265B">
        <w:rPr>
          <w:rFonts w:ascii="Arial" w:hAnsi="Arial" w:cs="Arial"/>
          <w:bCs/>
          <w:i/>
          <w:iCs/>
          <w:sz w:val="22"/>
          <w:szCs w:val="22"/>
          <w:lang w:val="en-GB"/>
        </w:rPr>
        <w:t xml:space="preserve"> </w:t>
      </w:r>
      <w:r w:rsidRPr="00E4265B">
        <w:rPr>
          <w:rFonts w:ascii="Arial" w:hAnsi="Arial" w:cs="Arial"/>
          <w:bCs/>
          <w:i/>
          <w:iCs/>
          <w:sz w:val="22"/>
          <w:szCs w:val="22"/>
          <w:lang w:val="en-GB"/>
        </w:rPr>
        <w:t>Entity</w:t>
      </w:r>
      <w:r w:rsidRPr="00E4265B">
        <w:rPr>
          <w:rFonts w:ascii="Arial" w:hAnsi="Arial" w:cs="Arial"/>
          <w:bCs/>
          <w:i/>
          <w:iCs/>
          <w:sz w:val="22"/>
          <w:szCs w:val="22"/>
          <w:vertAlign w:val="subscript"/>
          <w:lang w:val="en-GB"/>
        </w:rPr>
        <w:t>k</w:t>
      </w:r>
      <w:r w:rsidRPr="00E4265B">
        <w:rPr>
          <w:rFonts w:ascii="Arial" w:hAnsi="Arial" w:cs="Arial"/>
          <w:bCs/>
          <w:sz w:val="22"/>
          <w:szCs w:val="22"/>
          <w:lang w:val="en-GB"/>
        </w:rPr>
        <w:t xml:space="preserve"> refers to trades of </w:t>
      </w:r>
      <w:r w:rsidR="00A176CF" w:rsidRPr="00E4265B">
        <w:rPr>
          <w:rFonts w:ascii="Arial" w:hAnsi="Arial" w:cs="Arial"/>
          <w:bCs/>
          <w:i/>
          <w:iCs/>
          <w:sz w:val="22"/>
          <w:szCs w:val="22"/>
          <w:lang w:val="en-GB"/>
        </w:rPr>
        <w:t>Entity</w:t>
      </w:r>
      <w:r w:rsidRPr="00E4265B">
        <w:rPr>
          <w:rFonts w:ascii="Arial" w:hAnsi="Arial" w:cs="Arial"/>
          <w:bCs/>
          <w:i/>
          <w:iCs/>
          <w:sz w:val="22"/>
          <w:szCs w:val="22"/>
          <w:vertAlign w:val="subscript"/>
          <w:lang w:val="en-GB"/>
        </w:rPr>
        <w:t>k</w:t>
      </w:r>
      <w:r w:rsidRPr="00E4265B">
        <w:rPr>
          <w:rFonts w:ascii="Arial" w:hAnsi="Arial" w:cs="Arial"/>
          <w:bCs/>
          <w:sz w:val="22"/>
          <w:szCs w:val="22"/>
          <w:lang w:val="en-GB"/>
        </w:rPr>
        <w:t xml:space="preserve">. </w:t>
      </w:r>
    </w:p>
    <w:p w14:paraId="7B27BD72" w14:textId="77777777" w:rsidR="00B06152" w:rsidRPr="00E4265B" w:rsidRDefault="00B06152" w:rsidP="00B06152">
      <w:pPr>
        <w:pStyle w:val="TitleL5"/>
        <w:rPr>
          <w:rFonts w:ascii="Arial" w:hAnsi="Arial" w:cs="Arial"/>
          <w:sz w:val="22"/>
          <w:szCs w:val="22"/>
          <w:lang w:val="en-GB"/>
        </w:rPr>
      </w:pPr>
      <w:r w:rsidRPr="00E4265B">
        <w:rPr>
          <w:rFonts w:ascii="Arial" w:hAnsi="Arial" w:cs="Arial"/>
          <w:sz w:val="22"/>
          <w:szCs w:val="22"/>
          <w:lang w:val="en-GB"/>
        </w:rPr>
        <w:t>Guidance</w:t>
      </w:r>
    </w:p>
    <w:p w14:paraId="3E9BB1F4" w14:textId="77777777" w:rsidR="00B06152" w:rsidRPr="00E4265B" w:rsidRDefault="00B06152" w:rsidP="00B06152">
      <w:pPr>
        <w:pStyle w:val="A1List"/>
        <w:ind w:left="936" w:firstLine="0"/>
        <w:rPr>
          <w:rFonts w:ascii="Arial" w:hAnsi="Arial" w:cs="Arial"/>
          <w:bCs/>
          <w:sz w:val="22"/>
          <w:szCs w:val="22"/>
          <w:lang w:val="en-GB"/>
        </w:rPr>
      </w:pPr>
      <w:r w:rsidRPr="00E4265B">
        <w:rPr>
          <w:rFonts w:ascii="Arial" w:hAnsi="Arial" w:cs="Arial"/>
          <w:bCs/>
          <w:sz w:val="22"/>
          <w:szCs w:val="22"/>
          <w:lang w:val="en-GB"/>
        </w:rPr>
        <w:t xml:space="preserve">The effect of this formula is that the effective notional for each entity is the sum of the trade-level adjusted notional amounts multiplied by the supervisory delta adjustments and the maturity factor. </w:t>
      </w:r>
    </w:p>
    <w:p w14:paraId="7606BB13" w14:textId="77777777" w:rsidR="009A7F14" w:rsidRPr="00E4265B" w:rsidRDefault="00B06152" w:rsidP="00B06152">
      <w:pPr>
        <w:pStyle w:val="A1List"/>
        <w:rPr>
          <w:rFonts w:ascii="Arial" w:hAnsi="Arial" w:cs="Arial"/>
          <w:b/>
          <w:bCs/>
          <w:sz w:val="22"/>
          <w:szCs w:val="22"/>
          <w:lang w:val="en-GB"/>
        </w:rPr>
      </w:pPr>
      <w:r w:rsidRPr="00E4265B">
        <w:rPr>
          <w:rFonts w:ascii="Arial" w:hAnsi="Arial" w:cs="Arial"/>
          <w:b/>
          <w:bCs/>
          <w:sz w:val="22"/>
          <w:szCs w:val="22"/>
          <w:lang w:val="en-GB"/>
        </w:rPr>
        <w:t>A4.6.45</w:t>
      </w:r>
      <w:r w:rsidRPr="00E4265B">
        <w:rPr>
          <w:rFonts w:ascii="Arial" w:hAnsi="Arial" w:cs="Arial"/>
          <w:b/>
          <w:bCs/>
          <w:sz w:val="22"/>
          <w:szCs w:val="22"/>
          <w:lang w:val="en-GB"/>
        </w:rPr>
        <w:tab/>
      </w:r>
      <w:r w:rsidRPr="00E4265B">
        <w:rPr>
          <w:rFonts w:ascii="Arial" w:hAnsi="Arial" w:cs="Arial"/>
          <w:bCs/>
          <w:sz w:val="22"/>
          <w:szCs w:val="22"/>
          <w:lang w:val="en-GB"/>
        </w:rPr>
        <w:t>The add-on for all positions referencing the entity is determined in accordance with the following formula:</w:t>
      </w:r>
    </w:p>
    <w:p w14:paraId="7B43B525" w14:textId="77777777" w:rsidR="00B06152" w:rsidRPr="00E4265B" w:rsidRDefault="00B06152" w:rsidP="00B06152">
      <w:pPr>
        <w:pStyle w:val="A1List"/>
        <w:ind w:left="936" w:firstLine="0"/>
        <w:rPr>
          <w:rFonts w:ascii="Arial" w:hAnsi="Arial" w:cs="Arial"/>
          <w:bCs/>
          <w:sz w:val="22"/>
          <w:szCs w:val="22"/>
          <w:lang w:val="en-GB"/>
        </w:rPr>
      </w:pPr>
      <m:oMathPara>
        <m:oMath>
          <m:r>
            <w:rPr>
              <w:rFonts w:ascii="Cambria Math" w:hAnsi="Cambria Math" w:cs="Arial"/>
              <w:sz w:val="22"/>
              <w:szCs w:val="22"/>
              <w:lang w:val="en-GB"/>
            </w:rPr>
            <m:t>AddOn</m:t>
          </m:r>
          <m:d>
            <m:dPr>
              <m:ctrlPr>
                <w:rPr>
                  <w:rFonts w:ascii="Cambria Math" w:hAnsi="Cambria Math" w:cs="Arial"/>
                  <w:bCs/>
                  <w:i/>
                  <w:sz w:val="22"/>
                  <w:szCs w:val="22"/>
                  <w:lang w:val="en-GB"/>
                </w:rPr>
              </m:ctrlPr>
            </m:dPr>
            <m:e>
              <m:r>
                <w:rPr>
                  <w:rFonts w:ascii="Cambria Math" w:hAnsi="Cambria Math" w:cs="Arial"/>
                  <w:sz w:val="22"/>
                  <w:szCs w:val="22"/>
                  <w:lang w:val="en-GB"/>
                </w:rPr>
                <m:t>Entit</m:t>
              </m:r>
              <m:sSub>
                <m:sSubPr>
                  <m:ctrlPr>
                    <w:rPr>
                      <w:rFonts w:ascii="Cambria Math" w:hAnsi="Cambria Math" w:cs="Arial"/>
                      <w:bCs/>
                      <w:i/>
                      <w:sz w:val="22"/>
                      <w:szCs w:val="22"/>
                      <w:lang w:val="en-GB"/>
                    </w:rPr>
                  </m:ctrlPr>
                </m:sSubPr>
                <m:e>
                  <m:r>
                    <w:rPr>
                      <w:rFonts w:ascii="Cambria Math" w:hAnsi="Cambria Math" w:cs="Arial"/>
                      <w:sz w:val="22"/>
                      <w:szCs w:val="22"/>
                      <w:lang w:val="en-GB"/>
                    </w:rPr>
                    <m:t>y</m:t>
                  </m:r>
                </m:e>
                <m:sub>
                  <m:r>
                    <w:rPr>
                      <w:rFonts w:ascii="Cambria Math" w:hAnsi="Cambria Math" w:cs="Arial"/>
                      <w:sz w:val="22"/>
                      <w:szCs w:val="22"/>
                      <w:lang w:val="en-GB"/>
                    </w:rPr>
                    <m:t>k</m:t>
                  </m:r>
                </m:sub>
              </m:sSub>
            </m:e>
          </m:d>
          <m:r>
            <w:rPr>
              <w:rFonts w:ascii="Cambria Math" w:hAnsi="Cambria Math" w:cs="Arial"/>
              <w:sz w:val="22"/>
              <w:szCs w:val="22"/>
              <w:lang w:val="en-GB"/>
            </w:rPr>
            <m:t>=S</m:t>
          </m:r>
          <m:sSubSup>
            <m:sSubSupPr>
              <m:ctrlPr>
                <w:rPr>
                  <w:rFonts w:ascii="Cambria Math" w:hAnsi="Cambria Math" w:cs="Arial"/>
                  <w:bCs/>
                  <w:i/>
                  <w:sz w:val="22"/>
                  <w:szCs w:val="22"/>
                  <w:lang w:val="en-GB"/>
                </w:rPr>
              </m:ctrlPr>
            </m:sSubSupPr>
            <m:e>
              <m:r>
                <w:rPr>
                  <w:rFonts w:ascii="Cambria Math" w:hAnsi="Cambria Math" w:cs="Arial"/>
                  <w:sz w:val="22"/>
                  <w:szCs w:val="22"/>
                  <w:lang w:val="en-GB"/>
                </w:rPr>
                <m:t>F</m:t>
              </m:r>
            </m:e>
            <m:sub>
              <m:r>
                <w:rPr>
                  <w:rFonts w:ascii="Cambria Math" w:hAnsi="Cambria Math" w:cs="Arial"/>
                  <w:sz w:val="22"/>
                  <w:szCs w:val="22"/>
                  <w:lang w:val="en-GB"/>
                </w:rPr>
                <m:t>k</m:t>
              </m:r>
            </m:sub>
            <m:sup>
              <m:r>
                <w:rPr>
                  <w:rFonts w:ascii="Cambria Math" w:hAnsi="Cambria Math" w:cs="Arial"/>
                  <w:sz w:val="22"/>
                  <w:szCs w:val="22"/>
                  <w:lang w:val="en-GB"/>
                </w:rPr>
                <m:t>(Credit)</m:t>
              </m:r>
            </m:sup>
          </m:sSubSup>
          <m:r>
            <w:rPr>
              <w:rFonts w:ascii="Cambria Math" w:hAnsi="Cambria Math" w:cs="Arial"/>
              <w:sz w:val="22"/>
              <w:szCs w:val="22"/>
              <w:lang w:val="en-GB"/>
            </w:rPr>
            <m:t>*EffectiveNotiona</m:t>
          </m:r>
          <m:sSubSup>
            <m:sSubSupPr>
              <m:ctrlPr>
                <w:rPr>
                  <w:rFonts w:ascii="Cambria Math" w:hAnsi="Cambria Math" w:cs="Arial"/>
                  <w:bCs/>
                  <w:i/>
                  <w:sz w:val="22"/>
                  <w:szCs w:val="22"/>
                  <w:lang w:val="en-GB"/>
                </w:rPr>
              </m:ctrlPr>
            </m:sSubSupPr>
            <m:e>
              <m:r>
                <w:rPr>
                  <w:rFonts w:ascii="Cambria Math" w:hAnsi="Cambria Math" w:cs="Arial"/>
                  <w:sz w:val="22"/>
                  <w:szCs w:val="22"/>
                  <w:lang w:val="en-GB"/>
                </w:rPr>
                <m:t>l</m:t>
              </m:r>
            </m:e>
            <m:sub>
              <m:r>
                <w:rPr>
                  <w:rFonts w:ascii="Cambria Math" w:hAnsi="Cambria Math" w:cs="Arial"/>
                  <w:sz w:val="22"/>
                  <w:szCs w:val="22"/>
                  <w:lang w:val="en-GB"/>
                </w:rPr>
                <m:t>k</m:t>
              </m:r>
            </m:sub>
            <m:sup>
              <m:r>
                <w:rPr>
                  <w:rFonts w:ascii="Cambria Math" w:hAnsi="Cambria Math" w:cs="Arial"/>
                  <w:sz w:val="22"/>
                  <w:szCs w:val="22"/>
                  <w:lang w:val="en-GB"/>
                </w:rPr>
                <m:t>(Credit)</m:t>
              </m:r>
            </m:sup>
          </m:sSubSup>
        </m:oMath>
      </m:oMathPara>
    </w:p>
    <w:p w14:paraId="6F894659" w14:textId="77777777" w:rsidR="00B06152" w:rsidRPr="00E4265B" w:rsidRDefault="00B06152" w:rsidP="00B06152">
      <w:pPr>
        <w:pStyle w:val="A1List"/>
        <w:ind w:left="936" w:firstLine="0"/>
        <w:rPr>
          <w:rFonts w:ascii="Arial" w:hAnsi="Arial" w:cs="Arial"/>
          <w:bCs/>
          <w:sz w:val="22"/>
          <w:szCs w:val="22"/>
          <w:lang w:val="en-GB"/>
        </w:rPr>
      </w:pPr>
      <w:r w:rsidRPr="00E4265B">
        <w:rPr>
          <w:rFonts w:ascii="Arial" w:hAnsi="Arial" w:cs="Arial"/>
          <w:bCs/>
          <w:sz w:val="22"/>
          <w:szCs w:val="22"/>
          <w:lang w:val="en-GB"/>
        </w:rPr>
        <w:t xml:space="preserve">where </w:t>
      </w:r>
      <w:r w:rsidRPr="00E4265B">
        <w:rPr>
          <w:rFonts w:ascii="Arial" w:hAnsi="Arial" w:cs="Arial"/>
          <w:bCs/>
          <w:i/>
          <w:iCs/>
          <w:sz w:val="22"/>
          <w:szCs w:val="22"/>
          <w:lang w:val="en-GB"/>
        </w:rPr>
        <w:t>SF</w:t>
      </w:r>
      <w:r w:rsidRPr="00E4265B">
        <w:rPr>
          <w:rFonts w:ascii="Arial" w:hAnsi="Arial" w:cs="Arial"/>
          <w:bCs/>
          <w:i/>
          <w:iCs/>
          <w:sz w:val="22"/>
          <w:szCs w:val="22"/>
          <w:vertAlign w:val="subscript"/>
          <w:lang w:val="en-GB"/>
        </w:rPr>
        <w:t>k</w:t>
      </w:r>
      <w:r w:rsidRPr="00E4265B">
        <w:rPr>
          <w:rFonts w:ascii="Arial" w:hAnsi="Arial" w:cs="Arial"/>
          <w:bCs/>
          <w:sz w:val="22"/>
          <w:szCs w:val="22"/>
          <w:lang w:val="en-GB"/>
        </w:rPr>
        <w:t xml:space="preserve"> is the supervisory factor for the credit asset class, determined in accordance with the table set out in A4.6.36. </w:t>
      </w:r>
    </w:p>
    <w:p w14:paraId="005CB28E" w14:textId="77777777" w:rsidR="00B06152" w:rsidRPr="00E4265B" w:rsidRDefault="00B06152" w:rsidP="00B06152">
      <w:pPr>
        <w:pStyle w:val="A1List"/>
        <w:rPr>
          <w:rFonts w:ascii="Arial" w:hAnsi="Arial" w:cs="Arial"/>
          <w:b/>
          <w:bCs/>
          <w:sz w:val="22"/>
          <w:szCs w:val="22"/>
          <w:lang w:val="en-GB"/>
        </w:rPr>
      </w:pPr>
      <w:r w:rsidRPr="00E4265B">
        <w:rPr>
          <w:rFonts w:ascii="Arial" w:hAnsi="Arial" w:cs="Arial"/>
          <w:b/>
          <w:bCs/>
          <w:sz w:val="22"/>
          <w:szCs w:val="22"/>
          <w:lang w:val="en-GB"/>
        </w:rPr>
        <w:t>A4.6.46</w:t>
      </w:r>
      <w:r w:rsidRPr="00E4265B">
        <w:rPr>
          <w:rFonts w:ascii="Arial" w:hAnsi="Arial" w:cs="Arial"/>
          <w:b/>
          <w:bCs/>
          <w:sz w:val="22"/>
          <w:szCs w:val="22"/>
          <w:lang w:val="en-GB"/>
        </w:rPr>
        <w:tab/>
      </w:r>
      <w:r w:rsidRPr="00E4265B">
        <w:rPr>
          <w:rFonts w:ascii="Arial" w:hAnsi="Arial" w:cs="Arial"/>
          <w:bCs/>
          <w:sz w:val="22"/>
          <w:szCs w:val="22"/>
          <w:lang w:val="en-GB"/>
        </w:rPr>
        <w:t>The cumulative add-on for the credit derivatives hedging set is determined in accordance with the following formula:</w:t>
      </w:r>
    </w:p>
    <w:p w14:paraId="7F3AAC8D" w14:textId="77777777" w:rsidR="00B06152" w:rsidRPr="00E4265B" w:rsidRDefault="00B275AE" w:rsidP="00B06152">
      <w:pPr>
        <w:pStyle w:val="A1List"/>
        <w:ind w:left="936" w:firstLine="0"/>
        <w:rPr>
          <w:rFonts w:ascii="Arial" w:hAnsi="Arial" w:cs="Arial"/>
          <w:bCs/>
          <w:sz w:val="22"/>
          <w:szCs w:val="22"/>
          <w:lang w:val="en-GB"/>
        </w:rPr>
      </w:pPr>
      <m:oMathPara>
        <m:oMath>
          <m:sSup>
            <m:sSupPr>
              <m:ctrlPr>
                <w:rPr>
                  <w:rFonts w:ascii="Cambria Math" w:hAnsi="Cambria Math" w:cs="Arial"/>
                  <w:bCs/>
                  <w:i/>
                  <w:sz w:val="22"/>
                  <w:szCs w:val="22"/>
                  <w:lang w:val="en-GB"/>
                </w:rPr>
              </m:ctrlPr>
            </m:sSupPr>
            <m:e>
              <m:r>
                <w:rPr>
                  <w:rFonts w:ascii="Cambria Math" w:hAnsi="Cambria Math" w:cs="Arial"/>
                  <w:sz w:val="22"/>
                  <w:szCs w:val="22"/>
                  <w:lang w:val="en-GB"/>
                </w:rPr>
                <m:t>AddO</m:t>
              </m:r>
              <m:sSup>
                <m:sSupPr>
                  <m:ctrlPr>
                    <w:rPr>
                      <w:rFonts w:ascii="Cambria Math" w:hAnsi="Cambria Math" w:cs="Arial"/>
                      <w:bCs/>
                      <w:i/>
                      <w:sz w:val="22"/>
                      <w:szCs w:val="22"/>
                      <w:lang w:val="en-GB"/>
                    </w:rPr>
                  </m:ctrlPr>
                </m:sSupPr>
                <m:e>
                  <m:r>
                    <w:rPr>
                      <w:rFonts w:ascii="Cambria Math" w:hAnsi="Cambria Math" w:cs="Arial"/>
                      <w:sz w:val="22"/>
                      <w:szCs w:val="22"/>
                      <w:lang w:val="en-GB"/>
                    </w:rPr>
                    <m:t>n</m:t>
                  </m:r>
                </m:e>
                <m:sup>
                  <m:d>
                    <m:dPr>
                      <m:ctrlPr>
                        <w:rPr>
                          <w:rFonts w:ascii="Cambria Math" w:hAnsi="Cambria Math" w:cs="Arial"/>
                          <w:bCs/>
                          <w:i/>
                          <w:sz w:val="22"/>
                          <w:szCs w:val="22"/>
                          <w:lang w:val="en-GB"/>
                        </w:rPr>
                      </m:ctrlPr>
                    </m:dPr>
                    <m:e>
                      <m:r>
                        <w:rPr>
                          <w:rFonts w:ascii="Cambria Math" w:hAnsi="Cambria Math" w:cs="Arial"/>
                          <w:sz w:val="22"/>
                          <w:szCs w:val="22"/>
                          <w:lang w:val="en-GB"/>
                        </w:rPr>
                        <m:t>Credit</m:t>
                      </m:r>
                    </m:e>
                  </m:d>
                </m:sup>
              </m:sSup>
              <m:r>
                <w:rPr>
                  <w:rFonts w:ascii="Cambria Math" w:hAnsi="Cambria Math" w:cs="Arial"/>
                  <w:sz w:val="22"/>
                  <w:szCs w:val="22"/>
                  <w:lang w:val="en-GB"/>
                </w:rPr>
                <m:t>=</m:t>
              </m:r>
              <m:d>
                <m:dPr>
                  <m:begChr m:val="["/>
                  <m:endChr m:val=""/>
                  <m:ctrlPr>
                    <w:rPr>
                      <w:rFonts w:ascii="Cambria Math" w:hAnsi="Cambria Math" w:cs="Arial"/>
                      <w:bCs/>
                      <w:i/>
                      <w:sz w:val="22"/>
                      <w:szCs w:val="22"/>
                      <w:lang w:val="en-GB"/>
                    </w:rPr>
                  </m:ctrlPr>
                </m:dPr>
                <m:e>
                  <m:d>
                    <m:dPr>
                      <m:begChr m:val=""/>
                      <m:ctrlPr>
                        <w:rPr>
                          <w:rFonts w:ascii="Cambria Math" w:hAnsi="Cambria Math" w:cs="Arial"/>
                          <w:bCs/>
                          <w:i/>
                          <w:sz w:val="22"/>
                          <w:szCs w:val="22"/>
                          <w:lang w:val="en-GB"/>
                        </w:rPr>
                      </m:ctrlPr>
                    </m:dPr>
                    <m:e>
                      <m:d>
                        <m:dPr>
                          <m:endChr m:val=""/>
                          <m:ctrlPr>
                            <w:rPr>
                              <w:rFonts w:ascii="Cambria Math" w:hAnsi="Cambria Math" w:cs="Arial"/>
                              <w:bCs/>
                              <w:i/>
                              <w:sz w:val="22"/>
                              <w:szCs w:val="22"/>
                              <w:lang w:val="en-GB"/>
                            </w:rPr>
                          </m:ctrlPr>
                        </m:dPr>
                        <m:e>
                          <m:nary>
                            <m:naryPr>
                              <m:chr m:val="∑"/>
                              <m:limLoc m:val="undOvr"/>
                              <m:supHide m:val="1"/>
                              <m:ctrlPr>
                                <w:rPr>
                                  <w:rFonts w:ascii="Cambria Math" w:hAnsi="Cambria Math" w:cs="Arial"/>
                                  <w:bCs/>
                                  <w:i/>
                                  <w:sz w:val="22"/>
                                  <w:szCs w:val="22"/>
                                  <w:lang w:val="en-GB"/>
                                </w:rPr>
                              </m:ctrlPr>
                            </m:naryPr>
                            <m:sub>
                              <m:r>
                                <w:rPr>
                                  <w:rFonts w:ascii="Cambria Math" w:hAnsi="Cambria Math" w:cs="Arial"/>
                                  <w:sz w:val="22"/>
                                  <w:szCs w:val="22"/>
                                  <w:lang w:val="en-GB"/>
                                </w:rPr>
                                <m:t>k</m:t>
                              </m:r>
                            </m:sub>
                            <m:sup/>
                            <m:e>
                              <m:sSubSup>
                                <m:sSubSupPr>
                                  <m:ctrlPr>
                                    <w:rPr>
                                      <w:rFonts w:ascii="Cambria Math" w:hAnsi="Cambria Math" w:cs="Arial"/>
                                      <w:bCs/>
                                      <w:i/>
                                      <w:sz w:val="22"/>
                                      <w:szCs w:val="22"/>
                                      <w:lang w:val="en-GB"/>
                                    </w:rPr>
                                  </m:ctrlPr>
                                </m:sSubSupPr>
                                <m:e>
                                  <m:r>
                                    <w:rPr>
                                      <w:rFonts w:ascii="Cambria Math" w:hAnsi="Cambria Math" w:cs="Arial"/>
                                      <w:sz w:val="22"/>
                                      <w:szCs w:val="22"/>
                                      <w:lang w:val="en-GB"/>
                                    </w:rPr>
                                    <m:t>ρ</m:t>
                                  </m:r>
                                </m:e>
                                <m:sub>
                                  <m:r>
                                    <w:rPr>
                                      <w:rFonts w:ascii="Cambria Math" w:hAnsi="Cambria Math" w:cs="Arial"/>
                                      <w:sz w:val="22"/>
                                      <w:szCs w:val="22"/>
                                      <w:lang w:val="en-GB"/>
                                    </w:rPr>
                                    <m:t>k</m:t>
                                  </m:r>
                                </m:sub>
                                <m:sup>
                                  <m:d>
                                    <m:dPr>
                                      <m:ctrlPr>
                                        <w:rPr>
                                          <w:rFonts w:ascii="Cambria Math" w:hAnsi="Cambria Math" w:cs="Arial"/>
                                          <w:bCs/>
                                          <w:i/>
                                          <w:sz w:val="22"/>
                                          <w:szCs w:val="22"/>
                                          <w:lang w:val="en-GB"/>
                                        </w:rPr>
                                      </m:ctrlPr>
                                    </m:dPr>
                                    <m:e>
                                      <m:r>
                                        <w:rPr>
                                          <w:rFonts w:ascii="Cambria Math" w:hAnsi="Cambria Math" w:cs="Arial"/>
                                          <w:sz w:val="22"/>
                                          <w:szCs w:val="22"/>
                                          <w:lang w:val="en-GB"/>
                                        </w:rPr>
                                        <m:t>Credit</m:t>
                                      </m:r>
                                    </m:e>
                                  </m:d>
                                </m:sup>
                              </m:sSubSup>
                              <m:r>
                                <w:rPr>
                                  <w:rFonts w:ascii="Cambria Math" w:hAnsi="Cambria Math" w:cs="Arial"/>
                                  <w:sz w:val="22"/>
                                  <w:szCs w:val="22"/>
                                  <w:lang w:val="en-GB"/>
                                </w:rPr>
                                <m:t>*</m:t>
                              </m:r>
                              <m:r>
                                <w:rPr>
                                  <w:rFonts w:ascii="Cambria Math" w:hAnsi="Cambria Math" w:cs="Arial"/>
                                  <w:sz w:val="22"/>
                                  <w:szCs w:val="22"/>
                                  <w:lang w:val="en-GB"/>
                                </w:rPr>
                                <m:t>AddOn</m:t>
                              </m:r>
                              <m:r>
                                <w:rPr>
                                  <w:rFonts w:ascii="Cambria Math" w:hAnsi="Cambria Math" w:cs="Arial"/>
                                  <w:sz w:val="22"/>
                                  <w:szCs w:val="22"/>
                                  <w:lang w:val="en-GB"/>
                                </w:rPr>
                                <m:t>(</m:t>
                              </m:r>
                              <m:r>
                                <w:rPr>
                                  <w:rFonts w:ascii="Cambria Math" w:hAnsi="Cambria Math" w:cs="Arial"/>
                                  <w:sz w:val="22"/>
                                  <w:szCs w:val="22"/>
                                  <w:lang w:val="en-GB"/>
                                </w:rPr>
                                <m:t>Entit</m:t>
                              </m:r>
                              <m:sSub>
                                <m:sSubPr>
                                  <m:ctrlPr>
                                    <w:rPr>
                                      <w:rFonts w:ascii="Cambria Math" w:hAnsi="Cambria Math" w:cs="Arial"/>
                                      <w:bCs/>
                                      <w:i/>
                                      <w:sz w:val="22"/>
                                      <w:szCs w:val="22"/>
                                      <w:lang w:val="en-GB"/>
                                    </w:rPr>
                                  </m:ctrlPr>
                                </m:sSubPr>
                                <m:e>
                                  <m:r>
                                    <w:rPr>
                                      <w:rFonts w:ascii="Cambria Math" w:hAnsi="Cambria Math" w:cs="Arial"/>
                                      <w:sz w:val="22"/>
                                      <w:szCs w:val="22"/>
                                      <w:lang w:val="en-GB"/>
                                    </w:rPr>
                                    <m:t>y</m:t>
                                  </m:r>
                                </m:e>
                                <m:sub>
                                  <m:r>
                                    <w:rPr>
                                      <w:rFonts w:ascii="Cambria Math" w:hAnsi="Cambria Math" w:cs="Arial"/>
                                      <w:sz w:val="22"/>
                                      <w:szCs w:val="22"/>
                                      <w:lang w:val="en-GB"/>
                                    </w:rPr>
                                    <m:t>k</m:t>
                                  </m:r>
                                </m:sub>
                              </m:sSub>
                            </m:e>
                          </m:nary>
                        </m:e>
                      </m:d>
                      <m:r>
                        <w:rPr>
                          <w:rFonts w:ascii="Cambria Math" w:hAnsi="Cambria Math" w:cs="Arial"/>
                          <w:sz w:val="22"/>
                          <w:szCs w:val="22"/>
                          <w:lang w:val="en-GB"/>
                        </w:rPr>
                        <m:t>)</m:t>
                      </m:r>
                    </m:e>
                  </m:d>
                </m:e>
              </m:d>
            </m:e>
            <m:sup>
              <m:r>
                <w:rPr>
                  <w:rFonts w:ascii="Cambria Math" w:hAnsi="Cambria Math" w:cs="Arial"/>
                  <w:sz w:val="22"/>
                  <w:szCs w:val="22"/>
                  <w:lang w:val="en-GB"/>
                </w:rPr>
                <m:t>2</m:t>
              </m:r>
            </m:sup>
          </m:sSup>
          <m:r>
            <w:rPr>
              <w:rFonts w:ascii="Cambria Math" w:hAnsi="Cambria Math" w:cs="Arial"/>
              <w:sz w:val="22"/>
              <w:szCs w:val="22"/>
              <w:lang w:val="en-GB"/>
            </w:rPr>
            <m:t>+</m:t>
          </m:r>
          <m:sSup>
            <m:sSupPr>
              <m:ctrlPr>
                <w:rPr>
                  <w:rFonts w:ascii="Cambria Math" w:hAnsi="Cambria Math" w:cs="Arial"/>
                  <w:bCs/>
                  <w:i/>
                  <w:sz w:val="22"/>
                  <w:szCs w:val="22"/>
                  <w:lang w:val="en-GB"/>
                </w:rPr>
              </m:ctrlPr>
            </m:sSupPr>
            <m:e>
              <m:d>
                <m:dPr>
                  <m:begChr m:val=""/>
                  <m:endChr m:val="]"/>
                  <m:ctrlPr>
                    <w:rPr>
                      <w:rFonts w:ascii="Cambria Math" w:hAnsi="Cambria Math" w:cs="Arial"/>
                      <w:bCs/>
                      <w:i/>
                      <w:sz w:val="22"/>
                      <w:szCs w:val="22"/>
                      <w:lang w:val="en-GB"/>
                    </w:rPr>
                  </m:ctrlPr>
                </m:dPr>
                <m:e>
                  <m:sSup>
                    <m:sSupPr>
                      <m:ctrlPr>
                        <w:rPr>
                          <w:rFonts w:ascii="Cambria Math" w:hAnsi="Cambria Math" w:cs="Arial"/>
                          <w:bCs/>
                          <w:i/>
                          <w:sz w:val="22"/>
                          <w:szCs w:val="22"/>
                          <w:lang w:val="en-GB"/>
                        </w:rPr>
                      </m:ctrlPr>
                    </m:sSupPr>
                    <m:e>
                      <m:nary>
                        <m:naryPr>
                          <m:chr m:val="∑"/>
                          <m:limLoc m:val="undOvr"/>
                          <m:supHide m:val="1"/>
                          <m:ctrlPr>
                            <w:rPr>
                              <w:rFonts w:ascii="Cambria Math" w:hAnsi="Cambria Math" w:cs="Arial"/>
                              <w:bCs/>
                              <w:i/>
                              <w:sz w:val="22"/>
                              <w:szCs w:val="22"/>
                              <w:lang w:val="en-GB"/>
                            </w:rPr>
                          </m:ctrlPr>
                        </m:naryPr>
                        <m:sub>
                          <m:r>
                            <w:rPr>
                              <w:rFonts w:ascii="Cambria Math" w:hAnsi="Cambria Math" w:cs="Arial"/>
                              <w:sz w:val="22"/>
                              <w:szCs w:val="22"/>
                              <w:lang w:val="en-GB"/>
                            </w:rPr>
                            <m:t>k</m:t>
                          </m:r>
                        </m:sub>
                        <m:sup/>
                        <m:e>
                          <m:d>
                            <m:dPr>
                              <m:begChr m:val=""/>
                              <m:ctrlPr>
                                <w:rPr>
                                  <w:rFonts w:ascii="Cambria Math" w:hAnsi="Cambria Math" w:cs="Arial"/>
                                  <w:i/>
                                  <w:sz w:val="22"/>
                                  <w:szCs w:val="22"/>
                                  <w:lang w:val="en-GB"/>
                                </w:rPr>
                              </m:ctrlPr>
                            </m:dPr>
                            <m:e>
                              <m:d>
                                <m:dPr>
                                  <m:endChr m:val=""/>
                                  <m:ctrlPr>
                                    <w:rPr>
                                      <w:rFonts w:ascii="Cambria Math" w:hAnsi="Cambria Math" w:cs="Arial"/>
                                      <w:i/>
                                      <w:sz w:val="22"/>
                                      <w:szCs w:val="22"/>
                                      <w:lang w:val="en-GB"/>
                                    </w:rPr>
                                  </m:ctrlPr>
                                </m:dPr>
                                <m:e>
                                  <m:r>
                                    <w:rPr>
                                      <w:rFonts w:ascii="Cambria Math" w:hAnsi="Cambria Math" w:cs="Arial"/>
                                      <w:sz w:val="22"/>
                                      <w:szCs w:val="22"/>
                                      <w:lang w:val="en-GB"/>
                                    </w:rPr>
                                    <m:t>1-(</m:t>
                                  </m:r>
                                  <m:sSubSup>
                                    <m:sSubSupPr>
                                      <m:ctrlPr>
                                        <w:rPr>
                                          <w:rFonts w:ascii="Cambria Math" w:hAnsi="Cambria Math" w:cs="Arial"/>
                                          <w:bCs/>
                                          <w:i/>
                                          <w:sz w:val="22"/>
                                          <w:szCs w:val="22"/>
                                          <w:lang w:val="en-GB"/>
                                        </w:rPr>
                                      </m:ctrlPr>
                                    </m:sSubSupPr>
                                    <m:e>
                                      <m:r>
                                        <w:rPr>
                                          <w:rFonts w:ascii="Cambria Math" w:hAnsi="Cambria Math" w:cs="Arial"/>
                                          <w:sz w:val="22"/>
                                          <w:szCs w:val="22"/>
                                          <w:lang w:val="en-GB"/>
                                        </w:rPr>
                                        <m:t>ρ</m:t>
                                      </m:r>
                                    </m:e>
                                    <m:sub>
                                      <m:r>
                                        <w:rPr>
                                          <w:rFonts w:ascii="Cambria Math" w:hAnsi="Cambria Math" w:cs="Arial"/>
                                          <w:sz w:val="22"/>
                                          <w:szCs w:val="22"/>
                                          <w:lang w:val="en-GB"/>
                                        </w:rPr>
                                        <m:t>k</m:t>
                                      </m:r>
                                    </m:sub>
                                    <m:sup>
                                      <m:d>
                                        <m:dPr>
                                          <m:ctrlPr>
                                            <w:rPr>
                                              <w:rFonts w:ascii="Cambria Math" w:hAnsi="Cambria Math" w:cs="Arial"/>
                                              <w:bCs/>
                                              <w:i/>
                                              <w:sz w:val="22"/>
                                              <w:szCs w:val="22"/>
                                              <w:lang w:val="en-GB"/>
                                            </w:rPr>
                                          </m:ctrlPr>
                                        </m:dPr>
                                        <m:e>
                                          <m:r>
                                            <w:rPr>
                                              <w:rFonts w:ascii="Cambria Math" w:hAnsi="Cambria Math" w:cs="Arial"/>
                                              <w:sz w:val="22"/>
                                              <w:szCs w:val="22"/>
                                              <w:lang w:val="en-GB"/>
                                            </w:rPr>
                                            <m:t>Credit</m:t>
                                          </m:r>
                                        </m:e>
                                      </m:d>
                                    </m:sup>
                                  </m:sSubSup>
                                </m:e>
                              </m:d>
                              <m:sSup>
                                <m:sSupPr>
                                  <m:ctrlPr>
                                    <w:rPr>
                                      <w:rFonts w:ascii="Cambria Math" w:hAnsi="Cambria Math" w:cs="Arial"/>
                                      <w:bCs/>
                                      <w:i/>
                                      <w:sz w:val="22"/>
                                      <w:szCs w:val="22"/>
                                      <w:lang w:val="en-GB"/>
                                    </w:rPr>
                                  </m:ctrlPr>
                                </m:sSupPr>
                                <m:e>
                                  <m:r>
                                    <w:rPr>
                                      <w:rFonts w:ascii="Cambria Math" w:hAnsi="Cambria Math" w:cs="Arial"/>
                                      <w:sz w:val="22"/>
                                      <w:szCs w:val="22"/>
                                      <w:lang w:val="en-GB"/>
                                    </w:rPr>
                                    <m:t>)</m:t>
                                  </m:r>
                                </m:e>
                                <m:sup>
                                  <m:r>
                                    <w:rPr>
                                      <w:rFonts w:ascii="Cambria Math" w:hAnsi="Cambria Math" w:cs="Arial"/>
                                      <w:sz w:val="22"/>
                                      <w:szCs w:val="22"/>
                                      <w:lang w:val="en-GB"/>
                                    </w:rPr>
                                    <m:t>2</m:t>
                                  </m:r>
                                </m:sup>
                              </m:sSup>
                            </m:e>
                          </m:d>
                        </m:e>
                      </m:nary>
                      <m:r>
                        <w:rPr>
                          <w:rFonts w:ascii="Cambria Math" w:hAnsi="Cambria Math" w:cs="Arial"/>
                          <w:sz w:val="22"/>
                          <w:szCs w:val="22"/>
                          <w:lang w:val="en-GB"/>
                        </w:rPr>
                        <m:t>*</m:t>
                      </m:r>
                      <m:d>
                        <m:dPr>
                          <m:ctrlPr>
                            <w:rPr>
                              <w:rFonts w:ascii="Cambria Math" w:hAnsi="Cambria Math" w:cs="Arial"/>
                              <w:bCs/>
                              <w:i/>
                              <w:sz w:val="22"/>
                              <w:szCs w:val="22"/>
                              <w:lang w:val="en-GB"/>
                            </w:rPr>
                          </m:ctrlPr>
                        </m:dPr>
                        <m:e>
                          <m:r>
                            <w:rPr>
                              <w:rFonts w:ascii="Cambria Math" w:hAnsi="Cambria Math" w:cs="Arial"/>
                              <w:sz w:val="22"/>
                              <w:szCs w:val="22"/>
                              <w:lang w:val="en-GB"/>
                            </w:rPr>
                            <m:t>AddOn</m:t>
                          </m:r>
                          <m:d>
                            <m:dPr>
                              <m:ctrlPr>
                                <w:rPr>
                                  <w:rFonts w:ascii="Cambria Math" w:hAnsi="Cambria Math" w:cs="Arial"/>
                                  <w:bCs/>
                                  <w:i/>
                                  <w:sz w:val="22"/>
                                  <w:szCs w:val="22"/>
                                  <w:lang w:val="en-GB"/>
                                </w:rPr>
                              </m:ctrlPr>
                            </m:dPr>
                            <m:e>
                              <m:r>
                                <w:rPr>
                                  <w:rFonts w:ascii="Cambria Math" w:hAnsi="Cambria Math" w:cs="Arial"/>
                                  <w:sz w:val="22"/>
                                  <w:szCs w:val="22"/>
                                  <w:lang w:val="en-GB"/>
                                </w:rPr>
                                <m:t>Entit</m:t>
                              </m:r>
                              <m:sSub>
                                <m:sSubPr>
                                  <m:ctrlPr>
                                    <w:rPr>
                                      <w:rFonts w:ascii="Cambria Math" w:hAnsi="Cambria Math" w:cs="Arial"/>
                                      <w:bCs/>
                                      <w:i/>
                                      <w:sz w:val="22"/>
                                      <w:szCs w:val="22"/>
                                      <w:lang w:val="en-GB"/>
                                    </w:rPr>
                                  </m:ctrlPr>
                                </m:sSubPr>
                                <m:e>
                                  <m:r>
                                    <w:rPr>
                                      <w:rFonts w:ascii="Cambria Math" w:hAnsi="Cambria Math" w:cs="Arial"/>
                                      <w:sz w:val="22"/>
                                      <w:szCs w:val="22"/>
                                      <w:lang w:val="en-GB"/>
                                    </w:rPr>
                                    <m:t>y</m:t>
                                  </m:r>
                                </m:e>
                                <m:sub>
                                  <m:r>
                                    <w:rPr>
                                      <w:rFonts w:ascii="Cambria Math" w:hAnsi="Cambria Math" w:cs="Arial"/>
                                      <w:sz w:val="22"/>
                                      <w:szCs w:val="22"/>
                                      <w:lang w:val="en-GB"/>
                                    </w:rPr>
                                    <m:t>k</m:t>
                                  </m:r>
                                </m:sub>
                              </m:sSub>
                            </m:e>
                          </m:d>
                        </m:e>
                      </m:d>
                    </m:e>
                    <m:sup>
                      <m:r>
                        <w:rPr>
                          <w:rFonts w:ascii="Cambria Math" w:hAnsi="Cambria Math" w:cs="Arial"/>
                          <w:sz w:val="22"/>
                          <w:szCs w:val="22"/>
                          <w:lang w:val="en-GB"/>
                        </w:rPr>
                        <m:t>2</m:t>
                      </m:r>
                    </m:sup>
                  </m:sSup>
                </m:e>
              </m:d>
            </m:e>
            <m:sup>
              <m:f>
                <m:fPr>
                  <m:ctrlPr>
                    <w:rPr>
                      <w:rFonts w:ascii="Cambria Math" w:hAnsi="Cambria Math" w:cs="Arial"/>
                      <w:bCs/>
                      <w:i/>
                      <w:sz w:val="22"/>
                      <w:szCs w:val="22"/>
                      <w:lang w:val="en-GB"/>
                    </w:rPr>
                  </m:ctrlPr>
                </m:fPr>
                <m:num>
                  <m:r>
                    <w:rPr>
                      <w:rFonts w:ascii="Cambria Math" w:hAnsi="Cambria Math" w:cs="Arial"/>
                      <w:sz w:val="22"/>
                      <w:szCs w:val="22"/>
                      <w:lang w:val="en-GB"/>
                    </w:rPr>
                    <m:t>1</m:t>
                  </m:r>
                </m:num>
                <m:den>
                  <m:r>
                    <w:rPr>
                      <w:rFonts w:ascii="Cambria Math" w:hAnsi="Cambria Math" w:cs="Arial"/>
                      <w:sz w:val="22"/>
                      <w:szCs w:val="22"/>
                      <w:lang w:val="en-GB"/>
                    </w:rPr>
                    <m:t>2</m:t>
                  </m:r>
                </m:den>
              </m:f>
            </m:sup>
          </m:sSup>
        </m:oMath>
      </m:oMathPara>
    </w:p>
    <w:p w14:paraId="08FA9B8F" w14:textId="0DE7F9AF" w:rsidR="0091590B" w:rsidRPr="00E4265B" w:rsidRDefault="0091590B" w:rsidP="00A176CF">
      <w:pPr>
        <w:pStyle w:val="A1List"/>
        <w:ind w:left="936" w:firstLine="0"/>
        <w:rPr>
          <w:rFonts w:ascii="Arial" w:hAnsi="Arial" w:cs="Arial"/>
          <w:bCs/>
          <w:sz w:val="22"/>
          <w:szCs w:val="22"/>
          <w:lang w:val="en-GB"/>
        </w:rPr>
      </w:pPr>
      <w:r w:rsidRPr="00E4265B">
        <w:rPr>
          <w:rFonts w:ascii="Arial" w:hAnsi="Arial" w:cs="Arial"/>
          <w:bCs/>
          <w:sz w:val="22"/>
          <w:szCs w:val="22"/>
          <w:lang w:val="en-GB"/>
        </w:rPr>
        <w:t xml:space="preserve">where </w:t>
      </w:r>
      <w:r w:rsidRPr="00E4265B">
        <w:rPr>
          <w:rFonts w:ascii="Arial" w:hAnsi="Arial" w:cs="Arial"/>
          <w:bCs/>
          <w:i/>
          <w:iCs/>
          <w:sz w:val="22"/>
          <w:szCs w:val="22"/>
          <w:lang w:val="en-GB"/>
        </w:rPr>
        <w:t>ρ</w:t>
      </w:r>
      <w:r w:rsidRPr="00E4265B">
        <w:rPr>
          <w:rFonts w:ascii="Arial" w:hAnsi="Arial" w:cs="Arial"/>
          <w:bCs/>
          <w:i/>
          <w:iCs/>
          <w:sz w:val="22"/>
          <w:szCs w:val="22"/>
          <w:vertAlign w:val="superscript"/>
          <w:lang w:val="en-GB"/>
        </w:rPr>
        <w:t>(credit)</w:t>
      </w:r>
      <w:r w:rsidR="00A176CF" w:rsidRPr="00E4265B">
        <w:rPr>
          <w:rFonts w:ascii="Arial" w:hAnsi="Arial" w:cs="Arial"/>
          <w:bCs/>
          <w:i/>
          <w:iCs/>
          <w:sz w:val="22"/>
          <w:szCs w:val="22"/>
          <w:vertAlign w:val="subscript"/>
          <w:lang w:val="en-GB"/>
        </w:rPr>
        <w:t>k</w:t>
      </w:r>
      <w:r w:rsidRPr="00E4265B">
        <w:rPr>
          <w:rFonts w:ascii="Arial" w:hAnsi="Arial" w:cs="Arial"/>
          <w:bCs/>
          <w:sz w:val="22"/>
          <w:szCs w:val="22"/>
          <w:lang w:val="en-GB"/>
        </w:rPr>
        <w:t xml:space="preserve"> is the appropriate correlation factor corresponding to the entity </w:t>
      </w:r>
      <w:r w:rsidRPr="00E4265B">
        <w:rPr>
          <w:rFonts w:ascii="Arial" w:hAnsi="Arial" w:cs="Arial"/>
          <w:bCs/>
          <w:i/>
          <w:sz w:val="22"/>
          <w:szCs w:val="22"/>
          <w:lang w:val="en-GB"/>
        </w:rPr>
        <w:t>k</w:t>
      </w:r>
      <w:r w:rsidRPr="00E4265B">
        <w:rPr>
          <w:rFonts w:ascii="Arial" w:hAnsi="Arial" w:cs="Arial"/>
          <w:bCs/>
          <w:sz w:val="22"/>
          <w:szCs w:val="22"/>
          <w:lang w:val="en-GB"/>
        </w:rPr>
        <w:t xml:space="preserve">, determined in accordance with the table set out in A4.6.36. </w:t>
      </w:r>
    </w:p>
    <w:p w14:paraId="112E61E4" w14:textId="77777777" w:rsidR="0091590B" w:rsidRPr="00E4265B" w:rsidRDefault="0091590B" w:rsidP="0091590B">
      <w:pPr>
        <w:pStyle w:val="TitleL5"/>
        <w:rPr>
          <w:rFonts w:ascii="Arial" w:hAnsi="Arial" w:cs="Arial"/>
          <w:sz w:val="22"/>
          <w:szCs w:val="22"/>
          <w:lang w:val="en-GB"/>
        </w:rPr>
      </w:pPr>
      <w:r w:rsidRPr="00E4265B">
        <w:rPr>
          <w:rFonts w:ascii="Arial" w:hAnsi="Arial" w:cs="Arial"/>
          <w:sz w:val="22"/>
          <w:szCs w:val="22"/>
          <w:lang w:val="en-GB"/>
        </w:rPr>
        <w:t>Trade level adjusted notional – foreign exchange derivatives</w:t>
      </w:r>
    </w:p>
    <w:p w14:paraId="3B6E305C" w14:textId="77777777" w:rsidR="0091590B" w:rsidRPr="00E4265B" w:rsidRDefault="0091590B" w:rsidP="0091590B">
      <w:pPr>
        <w:pStyle w:val="A1List"/>
        <w:rPr>
          <w:rFonts w:ascii="Arial" w:hAnsi="Arial" w:cs="Arial"/>
          <w:b/>
          <w:bCs/>
          <w:sz w:val="22"/>
          <w:szCs w:val="22"/>
          <w:lang w:val="en-GB"/>
        </w:rPr>
      </w:pPr>
      <w:r w:rsidRPr="00E4265B">
        <w:rPr>
          <w:rFonts w:ascii="Arial" w:hAnsi="Arial" w:cs="Arial"/>
          <w:b/>
          <w:bCs/>
          <w:sz w:val="22"/>
          <w:szCs w:val="22"/>
          <w:lang w:val="en-GB"/>
        </w:rPr>
        <w:t>A4.6.47</w:t>
      </w:r>
      <w:r w:rsidRPr="00E4265B">
        <w:rPr>
          <w:rFonts w:ascii="Arial" w:hAnsi="Arial" w:cs="Arial"/>
          <w:b/>
          <w:bCs/>
          <w:sz w:val="22"/>
          <w:szCs w:val="22"/>
          <w:lang w:val="en-GB"/>
        </w:rPr>
        <w:tab/>
      </w:r>
      <w:r w:rsidRPr="00E4265B">
        <w:rPr>
          <w:rFonts w:ascii="Arial" w:hAnsi="Arial" w:cs="Arial"/>
          <w:bCs/>
          <w:sz w:val="22"/>
          <w:szCs w:val="22"/>
          <w:lang w:val="en-GB"/>
        </w:rPr>
        <w:t>The adjusted notional of foreign exchange derivatives is defined as the notional of the foreign currency leg of the contract, converted to the domestic currency.</w:t>
      </w:r>
      <w:r w:rsidRPr="00E4265B">
        <w:rPr>
          <w:rFonts w:ascii="Arial" w:hAnsi="Arial" w:cs="Arial"/>
          <w:b/>
          <w:bCs/>
          <w:sz w:val="22"/>
          <w:szCs w:val="22"/>
          <w:lang w:val="en-GB"/>
        </w:rPr>
        <w:t xml:space="preserve"> </w:t>
      </w:r>
    </w:p>
    <w:p w14:paraId="0D420CAC" w14:textId="77777777" w:rsidR="0091590B" w:rsidRPr="00E4265B" w:rsidRDefault="0091590B" w:rsidP="0091590B">
      <w:pPr>
        <w:pStyle w:val="TitleL5"/>
        <w:rPr>
          <w:rFonts w:ascii="Arial" w:hAnsi="Arial" w:cs="Arial"/>
          <w:sz w:val="22"/>
          <w:szCs w:val="22"/>
          <w:lang w:val="en-GB"/>
        </w:rPr>
      </w:pPr>
      <w:r w:rsidRPr="00E4265B">
        <w:rPr>
          <w:rFonts w:ascii="Arial" w:hAnsi="Arial" w:cs="Arial"/>
          <w:sz w:val="22"/>
          <w:szCs w:val="22"/>
          <w:lang w:val="en-GB"/>
        </w:rPr>
        <w:t>Guidance</w:t>
      </w:r>
    </w:p>
    <w:p w14:paraId="39ECCE65" w14:textId="77777777" w:rsidR="0091590B" w:rsidRPr="00E4265B" w:rsidRDefault="0091590B" w:rsidP="0091590B">
      <w:pPr>
        <w:pStyle w:val="A1List"/>
        <w:ind w:left="936" w:firstLine="0"/>
        <w:rPr>
          <w:rFonts w:ascii="Arial" w:hAnsi="Arial" w:cs="Arial"/>
          <w:bCs/>
          <w:sz w:val="22"/>
          <w:szCs w:val="22"/>
          <w:lang w:val="en-GB"/>
        </w:rPr>
      </w:pPr>
      <w:r w:rsidRPr="00E4265B">
        <w:rPr>
          <w:rFonts w:ascii="Arial" w:hAnsi="Arial" w:cs="Arial"/>
          <w:bCs/>
          <w:sz w:val="22"/>
          <w:szCs w:val="22"/>
          <w:lang w:val="en-GB"/>
        </w:rPr>
        <w:t xml:space="preserve">If both legs of the foreign exchange derivative are denominated in currencies other than the domestic currency, the notional amount of each leg is converted to the domestic currency and the leg with the larger domestic currency value is the adjusted notional amount. </w:t>
      </w:r>
    </w:p>
    <w:p w14:paraId="4CB6BD1A" w14:textId="77777777" w:rsidR="0091590B" w:rsidRPr="00E4265B" w:rsidRDefault="0091590B" w:rsidP="0091590B">
      <w:pPr>
        <w:pStyle w:val="TitleL5"/>
        <w:rPr>
          <w:rFonts w:ascii="Arial" w:hAnsi="Arial" w:cs="Arial"/>
          <w:sz w:val="22"/>
          <w:szCs w:val="22"/>
          <w:lang w:val="en-GB"/>
        </w:rPr>
      </w:pPr>
      <w:r w:rsidRPr="00E4265B">
        <w:rPr>
          <w:rFonts w:ascii="Arial" w:hAnsi="Arial" w:cs="Arial"/>
          <w:sz w:val="22"/>
          <w:szCs w:val="22"/>
          <w:lang w:val="en-GB"/>
        </w:rPr>
        <w:lastRenderedPageBreak/>
        <w:t>Add-on for foreign exchange derivatives</w:t>
      </w:r>
    </w:p>
    <w:p w14:paraId="19816211" w14:textId="77777777" w:rsidR="00B06152" w:rsidRPr="00E4265B" w:rsidRDefault="0091590B" w:rsidP="0091590B">
      <w:pPr>
        <w:pStyle w:val="A1List"/>
        <w:rPr>
          <w:rFonts w:ascii="Arial" w:hAnsi="Arial" w:cs="Arial"/>
          <w:b/>
          <w:bCs/>
          <w:sz w:val="22"/>
          <w:szCs w:val="22"/>
          <w:lang w:val="en-GB"/>
        </w:rPr>
      </w:pPr>
      <w:r w:rsidRPr="00E4265B">
        <w:rPr>
          <w:rFonts w:ascii="Arial" w:hAnsi="Arial" w:cs="Arial"/>
          <w:b/>
          <w:bCs/>
          <w:sz w:val="22"/>
          <w:szCs w:val="22"/>
          <w:lang w:val="en-GB"/>
        </w:rPr>
        <w:t>A4.6.48</w:t>
      </w:r>
      <w:r w:rsidRPr="00E4265B">
        <w:rPr>
          <w:rFonts w:ascii="Arial" w:hAnsi="Arial" w:cs="Arial"/>
          <w:b/>
          <w:bCs/>
          <w:sz w:val="22"/>
          <w:szCs w:val="22"/>
          <w:lang w:val="en-GB"/>
        </w:rPr>
        <w:tab/>
      </w:r>
      <w:r w:rsidRPr="00E4265B">
        <w:rPr>
          <w:rFonts w:ascii="Arial" w:hAnsi="Arial" w:cs="Arial"/>
          <w:bCs/>
          <w:sz w:val="22"/>
          <w:szCs w:val="22"/>
          <w:lang w:val="en-GB"/>
        </w:rPr>
        <w:t>The effective notional for foreign exchange derivatives is calculated in accordance with the following formula:</w:t>
      </w:r>
    </w:p>
    <w:p w14:paraId="139BF4EE" w14:textId="77777777" w:rsidR="0091590B" w:rsidRPr="00E4265B" w:rsidRDefault="0091590B" w:rsidP="0091590B">
      <w:pPr>
        <w:pStyle w:val="A1List"/>
        <w:ind w:left="990" w:firstLine="0"/>
        <w:rPr>
          <w:rFonts w:ascii="Arial" w:hAnsi="Arial" w:cs="Arial"/>
          <w:bCs/>
          <w:sz w:val="22"/>
          <w:szCs w:val="22"/>
          <w:lang w:val="en-GB"/>
        </w:rPr>
      </w:pPr>
      <m:oMathPara>
        <m:oMath>
          <m:r>
            <w:rPr>
              <w:rFonts w:ascii="Cambria Math" w:hAnsi="Cambria Math" w:cs="Arial"/>
              <w:sz w:val="22"/>
              <w:szCs w:val="22"/>
              <w:lang w:val="en-GB"/>
            </w:rPr>
            <m:t>EffectiveNotiona</m:t>
          </m:r>
          <m:sSubSup>
            <m:sSubSupPr>
              <m:ctrlPr>
                <w:rPr>
                  <w:rFonts w:ascii="Cambria Math" w:hAnsi="Cambria Math" w:cs="Arial"/>
                  <w:bCs/>
                  <w:i/>
                  <w:sz w:val="22"/>
                  <w:szCs w:val="22"/>
                  <w:lang w:val="en-GB"/>
                </w:rPr>
              </m:ctrlPr>
            </m:sSubSupPr>
            <m:e>
              <m:r>
                <w:rPr>
                  <w:rFonts w:ascii="Cambria Math" w:hAnsi="Cambria Math" w:cs="Arial"/>
                  <w:sz w:val="22"/>
                  <w:szCs w:val="22"/>
                  <w:lang w:val="en-GB"/>
                </w:rPr>
                <m:t>l</m:t>
              </m:r>
            </m:e>
            <m:sub>
              <m:r>
                <w:rPr>
                  <w:rFonts w:ascii="Cambria Math" w:hAnsi="Cambria Math" w:cs="Arial"/>
                  <w:sz w:val="22"/>
                  <w:szCs w:val="22"/>
                  <w:lang w:val="en-GB"/>
                </w:rPr>
                <m:t>j</m:t>
              </m:r>
            </m:sub>
            <m:sup>
              <m:r>
                <w:rPr>
                  <w:rFonts w:ascii="Cambria Math" w:hAnsi="Cambria Math" w:cs="Arial"/>
                  <w:sz w:val="22"/>
                  <w:szCs w:val="22"/>
                  <w:lang w:val="en-GB"/>
                </w:rPr>
                <m:t>(FX)</m:t>
              </m:r>
            </m:sup>
          </m:sSubSup>
          <m:r>
            <w:rPr>
              <w:rFonts w:ascii="Cambria Math" w:hAnsi="Cambria Math" w:cs="Arial"/>
              <w:sz w:val="22"/>
              <w:szCs w:val="22"/>
              <w:lang w:val="en-GB"/>
            </w:rPr>
            <m:t>=</m:t>
          </m:r>
          <m:nary>
            <m:naryPr>
              <m:chr m:val="∑"/>
              <m:limLoc m:val="undOvr"/>
              <m:supHide m:val="1"/>
              <m:ctrlPr>
                <w:rPr>
                  <w:rFonts w:ascii="Cambria Math" w:hAnsi="Cambria Math" w:cs="Arial"/>
                  <w:bCs/>
                  <w:i/>
                  <w:sz w:val="22"/>
                  <w:szCs w:val="22"/>
                  <w:lang w:val="en-GB"/>
                </w:rPr>
              </m:ctrlPr>
            </m:naryPr>
            <m:sub>
              <m:r>
                <w:rPr>
                  <w:rFonts w:ascii="Cambria Math" w:hAnsi="Cambria Math" w:cs="Arial"/>
                  <w:sz w:val="22"/>
                  <w:szCs w:val="22"/>
                  <w:lang w:val="en-GB"/>
                </w:rPr>
                <m:t>i∈H</m:t>
              </m:r>
              <m:sSub>
                <m:sSubPr>
                  <m:ctrlPr>
                    <w:rPr>
                      <w:rFonts w:ascii="Cambria Math" w:hAnsi="Cambria Math" w:cs="Arial"/>
                      <w:bCs/>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j</m:t>
                  </m:r>
                </m:sub>
              </m:sSub>
            </m:sub>
            <m:sup/>
            <m:e>
              <m:sSub>
                <m:sSubPr>
                  <m:ctrlPr>
                    <w:rPr>
                      <w:rFonts w:ascii="Cambria Math" w:hAnsi="Cambria Math" w:cs="Arial"/>
                      <w:bCs/>
                      <w:i/>
                      <w:sz w:val="22"/>
                      <w:szCs w:val="22"/>
                      <w:lang w:val="en-GB"/>
                    </w:rPr>
                  </m:ctrlPr>
                </m:sSubPr>
                <m:e>
                  <m:r>
                    <w:rPr>
                      <w:rFonts w:ascii="Cambria Math" w:hAnsi="Cambria Math" w:cs="Arial"/>
                      <w:sz w:val="22"/>
                      <w:szCs w:val="22"/>
                      <w:lang w:val="en-GB"/>
                    </w:rPr>
                    <m:t>δ</m:t>
                  </m:r>
                </m:e>
                <m:sub>
                  <m:r>
                    <w:rPr>
                      <w:rFonts w:ascii="Cambria Math" w:hAnsi="Cambria Math" w:cs="Arial"/>
                      <w:sz w:val="22"/>
                      <w:szCs w:val="22"/>
                      <w:lang w:val="en-GB"/>
                    </w:rPr>
                    <m:t>i</m:t>
                  </m:r>
                </m:sub>
              </m:sSub>
              <m:r>
                <w:rPr>
                  <w:rFonts w:ascii="Cambria Math" w:hAnsi="Cambria Math" w:cs="Arial"/>
                  <w:sz w:val="22"/>
                  <w:szCs w:val="22"/>
                  <w:lang w:val="en-GB"/>
                </w:rPr>
                <m:t>*</m:t>
              </m:r>
              <m:sSubSup>
                <m:sSubSupPr>
                  <m:ctrlPr>
                    <w:rPr>
                      <w:rFonts w:ascii="Cambria Math" w:hAnsi="Cambria Math" w:cs="Arial"/>
                      <w:bCs/>
                      <w:i/>
                      <w:sz w:val="22"/>
                      <w:szCs w:val="22"/>
                      <w:lang w:val="en-GB"/>
                    </w:rPr>
                  </m:ctrlPr>
                </m:sSubSupPr>
                <m:e>
                  <m:r>
                    <w:rPr>
                      <w:rFonts w:ascii="Cambria Math" w:hAnsi="Cambria Math" w:cs="Arial"/>
                      <w:sz w:val="22"/>
                      <w:szCs w:val="22"/>
                      <w:lang w:val="en-GB"/>
                    </w:rPr>
                    <m:t>d</m:t>
                  </m:r>
                </m:e>
                <m:sub>
                  <m:r>
                    <w:rPr>
                      <w:rFonts w:ascii="Cambria Math" w:hAnsi="Cambria Math" w:cs="Arial"/>
                      <w:sz w:val="22"/>
                      <w:szCs w:val="22"/>
                      <w:lang w:val="en-GB"/>
                    </w:rPr>
                    <m:t>i</m:t>
                  </m:r>
                </m:sub>
                <m:sup>
                  <m:d>
                    <m:dPr>
                      <m:ctrlPr>
                        <w:rPr>
                          <w:rFonts w:ascii="Cambria Math" w:hAnsi="Cambria Math" w:cs="Arial"/>
                          <w:bCs/>
                          <w:i/>
                          <w:sz w:val="22"/>
                          <w:szCs w:val="22"/>
                          <w:lang w:val="en-GB"/>
                        </w:rPr>
                      </m:ctrlPr>
                    </m:dPr>
                    <m:e>
                      <m:r>
                        <w:rPr>
                          <w:rFonts w:ascii="Cambria Math" w:hAnsi="Cambria Math" w:cs="Arial"/>
                          <w:sz w:val="22"/>
                          <w:szCs w:val="22"/>
                          <w:lang w:val="en-GB"/>
                        </w:rPr>
                        <m:t>FX</m:t>
                      </m:r>
                    </m:e>
                  </m:d>
                </m:sup>
              </m:sSubSup>
              <m:r>
                <w:rPr>
                  <w:rFonts w:ascii="Cambria Math" w:hAnsi="Cambria Math" w:cs="Arial"/>
                  <w:sz w:val="22"/>
                  <w:szCs w:val="22"/>
                  <w:lang w:val="en-GB"/>
                </w:rPr>
                <m:t>*M</m:t>
              </m:r>
              <m:sSubSup>
                <m:sSubSupPr>
                  <m:ctrlPr>
                    <w:rPr>
                      <w:rFonts w:ascii="Cambria Math" w:hAnsi="Cambria Math" w:cs="Arial"/>
                      <w:bCs/>
                      <w:i/>
                      <w:sz w:val="22"/>
                      <w:szCs w:val="22"/>
                      <w:lang w:val="en-GB"/>
                    </w:rPr>
                  </m:ctrlPr>
                </m:sSubSupPr>
                <m:e>
                  <m:r>
                    <w:rPr>
                      <w:rFonts w:ascii="Cambria Math" w:hAnsi="Cambria Math" w:cs="Arial"/>
                      <w:sz w:val="22"/>
                      <w:szCs w:val="22"/>
                      <w:lang w:val="en-GB"/>
                    </w:rPr>
                    <m:t>F</m:t>
                  </m:r>
                </m:e>
                <m:sub>
                  <m:r>
                    <w:rPr>
                      <w:rFonts w:ascii="Cambria Math" w:hAnsi="Cambria Math" w:cs="Arial"/>
                      <w:sz w:val="22"/>
                      <w:szCs w:val="22"/>
                      <w:lang w:val="en-GB"/>
                    </w:rPr>
                    <m:t>i</m:t>
                  </m:r>
                </m:sub>
                <m:sup>
                  <m:r>
                    <w:rPr>
                      <w:rFonts w:ascii="Cambria Math" w:hAnsi="Cambria Math" w:cs="Arial"/>
                      <w:sz w:val="22"/>
                      <w:szCs w:val="22"/>
                      <w:lang w:val="en-GB"/>
                    </w:rPr>
                    <m:t>(type)</m:t>
                  </m:r>
                </m:sup>
              </m:sSubSup>
            </m:e>
          </m:nary>
        </m:oMath>
      </m:oMathPara>
    </w:p>
    <w:p w14:paraId="610FFE43" w14:textId="077BDA2E" w:rsidR="00D12D4D" w:rsidRPr="00E4265B" w:rsidRDefault="00D12D4D" w:rsidP="00A176CF">
      <w:pPr>
        <w:pStyle w:val="A1List"/>
        <w:ind w:left="936" w:firstLine="0"/>
        <w:rPr>
          <w:rFonts w:ascii="Arial" w:hAnsi="Arial" w:cs="Arial"/>
          <w:bCs/>
          <w:sz w:val="22"/>
          <w:szCs w:val="22"/>
          <w:lang w:val="en-GB"/>
        </w:rPr>
      </w:pPr>
      <w:r w:rsidRPr="00E4265B">
        <w:rPr>
          <w:rFonts w:ascii="Arial" w:hAnsi="Arial" w:cs="Arial"/>
          <w:bCs/>
          <w:sz w:val="22"/>
          <w:szCs w:val="22"/>
          <w:lang w:val="en-GB"/>
        </w:rPr>
        <w:t xml:space="preserve">where </w:t>
      </w:r>
      <w:r w:rsidR="00A176CF" w:rsidRPr="00E4265B">
        <w:rPr>
          <w:rFonts w:ascii="Arial" w:hAnsi="Arial" w:cs="Arial"/>
          <w:bCs/>
          <w:i/>
          <w:iCs/>
          <w:sz w:val="22"/>
          <w:szCs w:val="22"/>
          <w:lang w:val="en-GB"/>
        </w:rPr>
        <w:t xml:space="preserve">i </w:t>
      </w:r>
      <w:r w:rsidRPr="00E4265B">
        <w:rPr>
          <w:rFonts w:ascii="Arial" w:hAnsi="Arial" w:cs="Arial"/>
          <w:bCs/>
          <w:i/>
          <w:iCs/>
          <w:sz w:val="22"/>
          <w:szCs w:val="22"/>
          <w:lang w:val="en-GB"/>
        </w:rPr>
        <w:t>ε</w:t>
      </w:r>
      <w:r w:rsidR="00A176CF" w:rsidRPr="00E4265B">
        <w:rPr>
          <w:rFonts w:ascii="Arial" w:hAnsi="Arial" w:cs="Arial"/>
          <w:bCs/>
          <w:i/>
          <w:iCs/>
          <w:sz w:val="22"/>
          <w:szCs w:val="22"/>
          <w:lang w:val="en-GB"/>
        </w:rPr>
        <w:t xml:space="preserve"> </w:t>
      </w:r>
      <w:r w:rsidRPr="00E4265B">
        <w:rPr>
          <w:rFonts w:ascii="Arial" w:hAnsi="Arial" w:cs="Arial"/>
          <w:bCs/>
          <w:i/>
          <w:iCs/>
          <w:sz w:val="22"/>
          <w:szCs w:val="22"/>
          <w:lang w:val="en-GB"/>
        </w:rPr>
        <w:t>HS</w:t>
      </w:r>
      <w:r w:rsidRPr="00E4265B">
        <w:rPr>
          <w:rFonts w:ascii="Arial" w:hAnsi="Arial" w:cs="Arial"/>
          <w:bCs/>
          <w:i/>
          <w:iCs/>
          <w:sz w:val="22"/>
          <w:szCs w:val="22"/>
          <w:vertAlign w:val="subscript"/>
          <w:lang w:val="en-GB"/>
        </w:rPr>
        <w:t>j</w:t>
      </w:r>
      <w:r w:rsidRPr="00E4265B">
        <w:rPr>
          <w:rFonts w:ascii="Arial" w:hAnsi="Arial" w:cs="Arial"/>
          <w:bCs/>
          <w:sz w:val="22"/>
          <w:szCs w:val="22"/>
          <w:lang w:val="en-GB"/>
        </w:rPr>
        <w:t xml:space="preserve"> refers to trades of hedging set </w:t>
      </w:r>
      <w:r w:rsidRPr="00E4265B">
        <w:rPr>
          <w:rFonts w:ascii="Arial" w:hAnsi="Arial" w:cs="Arial"/>
          <w:bCs/>
          <w:i/>
          <w:iCs/>
          <w:sz w:val="22"/>
          <w:szCs w:val="22"/>
          <w:lang w:val="en-GB"/>
        </w:rPr>
        <w:t>HS</w:t>
      </w:r>
      <w:r w:rsidRPr="00E4265B">
        <w:rPr>
          <w:rFonts w:ascii="Arial" w:hAnsi="Arial" w:cs="Arial"/>
          <w:bCs/>
          <w:i/>
          <w:iCs/>
          <w:sz w:val="22"/>
          <w:szCs w:val="22"/>
          <w:vertAlign w:val="subscript"/>
          <w:lang w:val="en-GB"/>
        </w:rPr>
        <w:t>j</w:t>
      </w:r>
    </w:p>
    <w:p w14:paraId="3D9A4C32" w14:textId="77777777" w:rsidR="00D12D4D" w:rsidRPr="00E4265B" w:rsidRDefault="00D12D4D" w:rsidP="00D12D4D">
      <w:pPr>
        <w:pStyle w:val="TitleL5"/>
        <w:rPr>
          <w:rFonts w:ascii="Arial" w:hAnsi="Arial" w:cs="Arial"/>
          <w:sz w:val="22"/>
          <w:szCs w:val="22"/>
          <w:lang w:val="en-GB"/>
        </w:rPr>
      </w:pPr>
      <w:r w:rsidRPr="00E4265B">
        <w:rPr>
          <w:rFonts w:ascii="Arial" w:hAnsi="Arial" w:cs="Arial"/>
          <w:sz w:val="22"/>
          <w:szCs w:val="22"/>
          <w:lang w:val="en-GB"/>
        </w:rPr>
        <w:t>Guidance</w:t>
      </w:r>
    </w:p>
    <w:p w14:paraId="6369FDAB" w14:textId="77777777" w:rsidR="00D12D4D" w:rsidRPr="00E4265B" w:rsidRDefault="00D12D4D" w:rsidP="00D12D4D">
      <w:pPr>
        <w:pStyle w:val="A1List"/>
        <w:ind w:left="936" w:firstLine="0"/>
        <w:rPr>
          <w:rFonts w:ascii="Arial" w:hAnsi="Arial" w:cs="Arial"/>
          <w:bCs/>
          <w:sz w:val="22"/>
          <w:szCs w:val="22"/>
          <w:lang w:val="en-GB"/>
        </w:rPr>
      </w:pPr>
      <w:r w:rsidRPr="00E4265B">
        <w:rPr>
          <w:rFonts w:ascii="Arial" w:hAnsi="Arial" w:cs="Arial"/>
          <w:bCs/>
          <w:sz w:val="22"/>
          <w:szCs w:val="22"/>
          <w:lang w:val="en-GB"/>
        </w:rPr>
        <w:t xml:space="preserve">The effective notional for each currency pair, given by the above formula, is the sum of the trade-level adjusted notional amounts multiplied by the supervisory delta adjustments and the maturity factor. </w:t>
      </w:r>
    </w:p>
    <w:p w14:paraId="74356B59" w14:textId="77777777" w:rsidR="00B06152" w:rsidRPr="00E4265B" w:rsidRDefault="00D12D4D" w:rsidP="00D12D4D">
      <w:pPr>
        <w:pStyle w:val="A1List"/>
        <w:rPr>
          <w:rFonts w:ascii="Arial" w:hAnsi="Arial" w:cs="Arial"/>
          <w:b/>
          <w:bCs/>
          <w:sz w:val="22"/>
          <w:szCs w:val="22"/>
          <w:lang w:val="en-GB"/>
        </w:rPr>
      </w:pPr>
      <w:r w:rsidRPr="00E4265B">
        <w:rPr>
          <w:rFonts w:ascii="Arial" w:hAnsi="Arial" w:cs="Arial"/>
          <w:b/>
          <w:bCs/>
          <w:sz w:val="22"/>
          <w:szCs w:val="22"/>
          <w:lang w:val="en-GB"/>
        </w:rPr>
        <w:t>A4.6.49</w:t>
      </w:r>
      <w:r w:rsidRPr="00E4265B">
        <w:rPr>
          <w:rFonts w:ascii="Arial" w:hAnsi="Arial" w:cs="Arial"/>
          <w:b/>
          <w:bCs/>
          <w:sz w:val="22"/>
          <w:szCs w:val="22"/>
          <w:lang w:val="en-GB"/>
        </w:rPr>
        <w:tab/>
      </w:r>
      <w:r w:rsidRPr="00E4265B">
        <w:rPr>
          <w:rFonts w:ascii="Arial" w:hAnsi="Arial" w:cs="Arial"/>
          <w:bCs/>
          <w:sz w:val="22"/>
          <w:szCs w:val="22"/>
          <w:lang w:val="en-GB"/>
        </w:rPr>
        <w:t>The Authorised Person must calculate the hedging set level add-on in accordance with the following formula:</w:t>
      </w:r>
    </w:p>
    <w:p w14:paraId="40643A8E" w14:textId="77777777" w:rsidR="00D12D4D" w:rsidRPr="00E4265B" w:rsidRDefault="00D12D4D" w:rsidP="00B06152">
      <w:pPr>
        <w:pStyle w:val="A1List"/>
        <w:ind w:left="936" w:firstLine="0"/>
        <w:rPr>
          <w:rFonts w:ascii="Arial" w:hAnsi="Arial" w:cs="Arial"/>
          <w:bCs/>
          <w:sz w:val="22"/>
          <w:szCs w:val="22"/>
          <w:lang w:val="en-GB"/>
        </w:rPr>
      </w:pPr>
      <m:oMathPara>
        <m:oMath>
          <m:r>
            <w:rPr>
              <w:rFonts w:ascii="Cambria Math" w:hAnsi="Cambria Math" w:cs="Arial"/>
              <w:sz w:val="22"/>
              <w:szCs w:val="22"/>
              <w:lang w:val="en-GB"/>
            </w:rPr>
            <m:t>AddO</m:t>
          </m:r>
          <m:sSubSup>
            <m:sSubSupPr>
              <m:ctrlPr>
                <w:rPr>
                  <w:rFonts w:ascii="Cambria Math" w:hAnsi="Cambria Math" w:cs="Arial"/>
                  <w:bCs/>
                  <w:i/>
                  <w:sz w:val="22"/>
                  <w:szCs w:val="22"/>
                  <w:lang w:val="en-GB"/>
                </w:rPr>
              </m:ctrlPr>
            </m:sSubSupPr>
            <m:e>
              <m:r>
                <w:rPr>
                  <w:rFonts w:ascii="Cambria Math" w:hAnsi="Cambria Math" w:cs="Arial"/>
                  <w:sz w:val="22"/>
                  <w:szCs w:val="22"/>
                  <w:lang w:val="en-GB"/>
                </w:rPr>
                <m:t>n</m:t>
              </m:r>
            </m:e>
            <m:sub>
              <m:r>
                <w:rPr>
                  <w:rFonts w:ascii="Cambria Math" w:hAnsi="Cambria Math" w:cs="Arial"/>
                  <w:sz w:val="22"/>
                  <w:szCs w:val="22"/>
                  <w:lang w:val="en-GB"/>
                </w:rPr>
                <m:t>H</m:t>
              </m:r>
              <m:sSub>
                <m:sSubPr>
                  <m:ctrlPr>
                    <w:rPr>
                      <w:rFonts w:ascii="Cambria Math" w:hAnsi="Cambria Math" w:cs="Arial"/>
                      <w:bCs/>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j</m:t>
                  </m:r>
                </m:sub>
              </m:sSub>
            </m:sub>
            <m:sup>
              <m:r>
                <w:rPr>
                  <w:rFonts w:ascii="Cambria Math" w:hAnsi="Cambria Math" w:cs="Arial"/>
                  <w:sz w:val="22"/>
                  <w:szCs w:val="22"/>
                  <w:lang w:val="en-GB"/>
                </w:rPr>
                <m:t>(FX)</m:t>
              </m:r>
            </m:sup>
          </m:sSubSup>
          <m:r>
            <w:rPr>
              <w:rFonts w:ascii="Cambria Math" w:eastAsiaTheme="minorEastAsia" w:hAnsi="Cambria Math" w:cs="Arial"/>
              <w:sz w:val="22"/>
              <w:szCs w:val="22"/>
              <w:lang w:val="en-GB"/>
            </w:rPr>
            <m:t>=S</m:t>
          </m:r>
          <m:sSubSup>
            <m:sSubSupPr>
              <m:ctrlPr>
                <w:rPr>
                  <w:rFonts w:ascii="Cambria Math" w:eastAsiaTheme="minorEastAsia" w:hAnsi="Cambria Math" w:cs="Arial"/>
                  <w:bCs/>
                  <w:i/>
                  <w:sz w:val="22"/>
                  <w:szCs w:val="22"/>
                  <w:lang w:val="en-GB"/>
                </w:rPr>
              </m:ctrlPr>
            </m:sSubSupPr>
            <m:e>
              <m:r>
                <w:rPr>
                  <w:rFonts w:ascii="Cambria Math" w:eastAsiaTheme="minorEastAsia" w:hAnsi="Cambria Math" w:cs="Arial"/>
                  <w:sz w:val="22"/>
                  <w:szCs w:val="22"/>
                  <w:lang w:val="en-GB"/>
                </w:rPr>
                <m:t>F</m:t>
              </m:r>
            </m:e>
            <m:sub>
              <m:r>
                <w:rPr>
                  <w:rFonts w:ascii="Cambria Math" w:eastAsiaTheme="minorEastAsia" w:hAnsi="Cambria Math" w:cs="Arial"/>
                  <w:sz w:val="22"/>
                  <w:szCs w:val="22"/>
                  <w:lang w:val="en-GB"/>
                </w:rPr>
                <m:t>j</m:t>
              </m:r>
            </m:sub>
            <m:sup>
              <m:r>
                <w:rPr>
                  <w:rFonts w:ascii="Cambria Math" w:eastAsiaTheme="minorEastAsia" w:hAnsi="Cambria Math" w:cs="Arial"/>
                  <w:sz w:val="22"/>
                  <w:szCs w:val="22"/>
                  <w:lang w:val="en-GB"/>
                </w:rPr>
                <m:t>(FX)</m:t>
              </m:r>
            </m:sup>
          </m:sSubSup>
          <m:r>
            <w:rPr>
              <w:rFonts w:ascii="Cambria Math" w:eastAsiaTheme="minorEastAsia" w:hAnsi="Cambria Math" w:cs="Arial"/>
              <w:sz w:val="22"/>
              <w:szCs w:val="22"/>
              <w:lang w:val="en-GB"/>
            </w:rPr>
            <m:t>*|EffectiveNotiona</m:t>
          </m:r>
          <m:sSubSup>
            <m:sSubSupPr>
              <m:ctrlPr>
                <w:rPr>
                  <w:rFonts w:ascii="Cambria Math" w:eastAsiaTheme="minorEastAsia" w:hAnsi="Cambria Math" w:cs="Arial"/>
                  <w:bCs/>
                  <w:i/>
                  <w:sz w:val="22"/>
                  <w:szCs w:val="22"/>
                  <w:lang w:val="en-GB"/>
                </w:rPr>
              </m:ctrlPr>
            </m:sSubSupPr>
            <m:e>
              <m:r>
                <w:rPr>
                  <w:rFonts w:ascii="Cambria Math" w:eastAsiaTheme="minorEastAsia" w:hAnsi="Cambria Math" w:cs="Arial"/>
                  <w:sz w:val="22"/>
                  <w:szCs w:val="22"/>
                  <w:lang w:val="en-GB"/>
                </w:rPr>
                <m:t>l</m:t>
              </m:r>
            </m:e>
            <m:sub>
              <m:r>
                <w:rPr>
                  <w:rFonts w:ascii="Cambria Math" w:eastAsiaTheme="minorEastAsia" w:hAnsi="Cambria Math" w:cs="Arial"/>
                  <w:sz w:val="22"/>
                  <w:szCs w:val="22"/>
                  <w:lang w:val="en-GB"/>
                </w:rPr>
                <m:t>j</m:t>
              </m:r>
            </m:sub>
            <m:sup>
              <m:d>
                <m:dPr>
                  <m:ctrlPr>
                    <w:rPr>
                      <w:rFonts w:ascii="Cambria Math" w:eastAsiaTheme="minorEastAsia" w:hAnsi="Cambria Math" w:cs="Arial"/>
                      <w:bCs/>
                      <w:i/>
                      <w:sz w:val="22"/>
                      <w:szCs w:val="22"/>
                      <w:lang w:val="en-GB"/>
                    </w:rPr>
                  </m:ctrlPr>
                </m:dPr>
                <m:e>
                  <m:r>
                    <w:rPr>
                      <w:rFonts w:ascii="Cambria Math" w:eastAsiaTheme="minorEastAsia" w:hAnsi="Cambria Math" w:cs="Arial"/>
                      <w:sz w:val="22"/>
                      <w:szCs w:val="22"/>
                      <w:lang w:val="en-GB"/>
                    </w:rPr>
                    <m:t>FX</m:t>
                  </m:r>
                </m:e>
              </m:d>
            </m:sup>
          </m:sSubSup>
          <m:r>
            <w:rPr>
              <w:rFonts w:ascii="Cambria Math" w:eastAsiaTheme="minorEastAsia" w:hAnsi="Cambria Math" w:cs="Arial"/>
              <w:sz w:val="22"/>
              <w:szCs w:val="22"/>
              <w:lang w:val="en-GB"/>
            </w:rPr>
            <m:t>|</m:t>
          </m:r>
        </m:oMath>
      </m:oMathPara>
    </w:p>
    <w:p w14:paraId="602731ED" w14:textId="77777777" w:rsidR="00D12D4D" w:rsidRPr="00E4265B" w:rsidRDefault="00D12D4D" w:rsidP="00D12D4D">
      <w:pPr>
        <w:pStyle w:val="A1List"/>
        <w:rPr>
          <w:rFonts w:ascii="Arial" w:hAnsi="Arial" w:cs="Arial"/>
          <w:b/>
          <w:bCs/>
          <w:sz w:val="22"/>
          <w:szCs w:val="22"/>
          <w:lang w:val="en-GB"/>
        </w:rPr>
      </w:pPr>
      <w:r w:rsidRPr="00E4265B">
        <w:rPr>
          <w:rFonts w:ascii="Arial" w:hAnsi="Arial" w:cs="Arial"/>
          <w:b/>
          <w:bCs/>
          <w:sz w:val="22"/>
          <w:szCs w:val="22"/>
          <w:lang w:val="en-GB"/>
        </w:rPr>
        <w:t>A4.6.50</w:t>
      </w:r>
      <w:r w:rsidRPr="00E4265B">
        <w:rPr>
          <w:rFonts w:ascii="Arial" w:hAnsi="Arial" w:cs="Arial"/>
          <w:b/>
          <w:bCs/>
          <w:sz w:val="22"/>
          <w:szCs w:val="22"/>
          <w:lang w:val="en-GB"/>
        </w:rPr>
        <w:tab/>
      </w:r>
      <w:r w:rsidRPr="00E4265B">
        <w:rPr>
          <w:rFonts w:ascii="Arial" w:hAnsi="Arial" w:cs="Arial"/>
          <w:bCs/>
          <w:sz w:val="22"/>
          <w:szCs w:val="22"/>
          <w:lang w:val="en-GB"/>
        </w:rPr>
        <w:t>The Authorised Person must then aggregate the foreign exchange derivative add-on across hedging sets by simple summation, as follows:</w:t>
      </w:r>
    </w:p>
    <w:p w14:paraId="5AB330DB" w14:textId="77777777" w:rsidR="00D12D4D" w:rsidRPr="00E4265B" w:rsidRDefault="00D12D4D" w:rsidP="00D12D4D">
      <w:pPr>
        <w:pStyle w:val="A1List"/>
        <w:ind w:left="990" w:firstLine="0"/>
        <w:rPr>
          <w:rFonts w:ascii="Arial" w:hAnsi="Arial" w:cs="Arial"/>
          <w:bCs/>
          <w:sz w:val="22"/>
          <w:szCs w:val="22"/>
          <w:lang w:val="en-GB"/>
        </w:rPr>
      </w:pPr>
      <m:oMathPara>
        <m:oMath>
          <m:r>
            <w:rPr>
              <w:rFonts w:ascii="Cambria Math" w:hAnsi="Cambria Math" w:cs="Arial"/>
              <w:sz w:val="22"/>
              <w:szCs w:val="22"/>
              <w:lang w:val="en-GB"/>
            </w:rPr>
            <m:t>AddO</m:t>
          </m:r>
          <m:sSup>
            <m:sSupPr>
              <m:ctrlPr>
                <w:rPr>
                  <w:rFonts w:ascii="Cambria Math" w:hAnsi="Cambria Math" w:cs="Arial"/>
                  <w:bCs/>
                  <w:i/>
                  <w:sz w:val="22"/>
                  <w:szCs w:val="22"/>
                  <w:lang w:val="en-GB"/>
                </w:rPr>
              </m:ctrlPr>
            </m:sSupPr>
            <m:e>
              <m:r>
                <w:rPr>
                  <w:rFonts w:ascii="Cambria Math" w:hAnsi="Cambria Math" w:cs="Arial"/>
                  <w:sz w:val="22"/>
                  <w:szCs w:val="22"/>
                  <w:lang w:val="en-GB"/>
                </w:rPr>
                <m:t>n</m:t>
              </m:r>
            </m:e>
            <m:sup>
              <m:r>
                <w:rPr>
                  <w:rFonts w:ascii="Cambria Math" w:hAnsi="Cambria Math" w:cs="Arial"/>
                  <w:sz w:val="22"/>
                  <w:szCs w:val="22"/>
                  <w:lang w:val="en-GB"/>
                </w:rPr>
                <m:t>(FX)</m:t>
              </m:r>
            </m:sup>
          </m:sSup>
          <m:r>
            <w:rPr>
              <w:rFonts w:ascii="Cambria Math" w:hAnsi="Cambria Math" w:cs="Arial"/>
              <w:sz w:val="22"/>
              <w:szCs w:val="22"/>
              <w:lang w:val="en-GB"/>
            </w:rPr>
            <m:t>=</m:t>
          </m:r>
          <m:nary>
            <m:naryPr>
              <m:chr m:val="∑"/>
              <m:limLoc m:val="undOvr"/>
              <m:supHide m:val="1"/>
              <m:ctrlPr>
                <w:rPr>
                  <w:rFonts w:ascii="Cambria Math" w:hAnsi="Cambria Math" w:cs="Arial"/>
                  <w:bCs/>
                  <w:i/>
                  <w:sz w:val="22"/>
                  <w:szCs w:val="22"/>
                  <w:lang w:val="en-GB"/>
                </w:rPr>
              </m:ctrlPr>
            </m:naryPr>
            <m:sub>
              <m:r>
                <w:rPr>
                  <w:rFonts w:ascii="Cambria Math" w:hAnsi="Cambria Math" w:cs="Arial"/>
                  <w:sz w:val="22"/>
                  <w:szCs w:val="22"/>
                  <w:lang w:val="en-GB"/>
                </w:rPr>
                <m:t>j</m:t>
              </m:r>
            </m:sub>
            <m:sup/>
            <m:e>
              <m:sSubSup>
                <m:sSubSupPr>
                  <m:ctrlPr>
                    <w:rPr>
                      <w:rFonts w:ascii="Cambria Math" w:hAnsi="Cambria Math" w:cs="Arial"/>
                      <w:bCs/>
                      <w:i/>
                      <w:sz w:val="22"/>
                      <w:szCs w:val="22"/>
                      <w:lang w:val="en-GB"/>
                    </w:rPr>
                  </m:ctrlPr>
                </m:sSubSupPr>
                <m:e>
                  <m:r>
                    <w:rPr>
                      <w:rFonts w:ascii="Cambria Math" w:hAnsi="Cambria Math" w:cs="Arial"/>
                      <w:sz w:val="22"/>
                      <w:szCs w:val="22"/>
                      <w:lang w:val="en-GB"/>
                    </w:rPr>
                    <m:t>AddOn</m:t>
                  </m:r>
                </m:e>
                <m:sub>
                  <m:r>
                    <w:rPr>
                      <w:rFonts w:ascii="Cambria Math" w:hAnsi="Cambria Math" w:cs="Arial"/>
                      <w:sz w:val="22"/>
                      <w:szCs w:val="22"/>
                      <w:lang w:val="en-GB"/>
                    </w:rPr>
                    <m:t>H</m:t>
                  </m:r>
                  <m:sSub>
                    <m:sSubPr>
                      <m:ctrlPr>
                        <w:rPr>
                          <w:rFonts w:ascii="Cambria Math" w:hAnsi="Cambria Math" w:cs="Arial"/>
                          <w:bCs/>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j</m:t>
                      </m:r>
                    </m:sub>
                  </m:sSub>
                </m:sub>
                <m:sup>
                  <m:d>
                    <m:dPr>
                      <m:ctrlPr>
                        <w:rPr>
                          <w:rFonts w:ascii="Cambria Math" w:hAnsi="Cambria Math" w:cs="Arial"/>
                          <w:bCs/>
                          <w:i/>
                          <w:sz w:val="22"/>
                          <w:szCs w:val="22"/>
                          <w:lang w:val="en-GB"/>
                        </w:rPr>
                      </m:ctrlPr>
                    </m:dPr>
                    <m:e>
                      <m:r>
                        <w:rPr>
                          <w:rFonts w:ascii="Cambria Math" w:hAnsi="Cambria Math" w:cs="Arial"/>
                          <w:sz w:val="22"/>
                          <w:szCs w:val="22"/>
                          <w:lang w:val="en-GB"/>
                        </w:rPr>
                        <m:t>FX</m:t>
                      </m:r>
                    </m:e>
                  </m:d>
                </m:sup>
              </m:sSubSup>
            </m:e>
          </m:nary>
        </m:oMath>
      </m:oMathPara>
    </w:p>
    <w:p w14:paraId="276620A5" w14:textId="77777777" w:rsidR="00D12D4D" w:rsidRPr="00E4265B" w:rsidRDefault="00D12D4D" w:rsidP="00D12D4D">
      <w:pPr>
        <w:pStyle w:val="TitleL5"/>
        <w:rPr>
          <w:rFonts w:ascii="Arial" w:hAnsi="Arial" w:cs="Arial"/>
          <w:sz w:val="22"/>
          <w:szCs w:val="22"/>
          <w:lang w:val="en-GB"/>
        </w:rPr>
      </w:pPr>
      <w:r w:rsidRPr="00E4265B">
        <w:rPr>
          <w:rFonts w:ascii="Arial" w:hAnsi="Arial" w:cs="Arial"/>
          <w:sz w:val="22"/>
          <w:szCs w:val="22"/>
          <w:lang w:val="en-GB"/>
        </w:rPr>
        <w:t>Trade level adjusted notional – equity and commodity derivatives</w:t>
      </w:r>
    </w:p>
    <w:p w14:paraId="13FF20AD" w14:textId="77777777" w:rsidR="00D12D4D" w:rsidRPr="00E4265B" w:rsidRDefault="00D12D4D" w:rsidP="00D12D4D">
      <w:pPr>
        <w:pStyle w:val="A1List"/>
        <w:rPr>
          <w:rFonts w:ascii="Arial" w:hAnsi="Arial" w:cs="Arial"/>
          <w:bCs/>
          <w:sz w:val="22"/>
          <w:szCs w:val="22"/>
          <w:lang w:val="en-GB"/>
        </w:rPr>
      </w:pPr>
      <w:r w:rsidRPr="00E4265B">
        <w:rPr>
          <w:rFonts w:ascii="Arial" w:hAnsi="Arial" w:cs="Arial"/>
          <w:b/>
          <w:bCs/>
          <w:sz w:val="22"/>
          <w:szCs w:val="22"/>
          <w:lang w:val="en-GB"/>
        </w:rPr>
        <w:t>A4.6.51</w:t>
      </w:r>
      <w:r w:rsidRPr="00E4265B">
        <w:rPr>
          <w:rFonts w:ascii="Arial" w:hAnsi="Arial" w:cs="Arial"/>
          <w:b/>
          <w:bCs/>
          <w:sz w:val="22"/>
          <w:szCs w:val="22"/>
          <w:lang w:val="en-GB"/>
        </w:rPr>
        <w:tab/>
      </w:r>
      <w:r w:rsidRPr="00E4265B">
        <w:rPr>
          <w:rFonts w:ascii="Arial" w:hAnsi="Arial" w:cs="Arial"/>
          <w:bCs/>
          <w:sz w:val="22"/>
          <w:szCs w:val="22"/>
          <w:lang w:val="en-GB"/>
        </w:rPr>
        <w:t xml:space="preserve">For equity and commodity derivatives, the adjusted notional is defined as the product of the current price of one unit of the stock or commodity and the number of units referenced by the trade. </w:t>
      </w:r>
    </w:p>
    <w:p w14:paraId="3D95524F" w14:textId="77777777" w:rsidR="00D12D4D" w:rsidRPr="00E4265B" w:rsidRDefault="00D12D4D" w:rsidP="00D12D4D">
      <w:pPr>
        <w:pStyle w:val="TitleL5"/>
        <w:rPr>
          <w:rFonts w:ascii="Arial" w:hAnsi="Arial" w:cs="Arial"/>
          <w:sz w:val="22"/>
          <w:szCs w:val="22"/>
          <w:lang w:val="en-GB"/>
        </w:rPr>
      </w:pPr>
      <w:r w:rsidRPr="00E4265B">
        <w:rPr>
          <w:rFonts w:ascii="Arial" w:hAnsi="Arial" w:cs="Arial"/>
          <w:sz w:val="22"/>
          <w:szCs w:val="22"/>
          <w:lang w:val="en-GB"/>
        </w:rPr>
        <w:t>Add-on for equity derivatives</w:t>
      </w:r>
    </w:p>
    <w:p w14:paraId="248362CA" w14:textId="77777777" w:rsidR="00D12D4D" w:rsidRPr="00E4265B" w:rsidRDefault="00D12D4D" w:rsidP="00D12D4D">
      <w:pPr>
        <w:pStyle w:val="A1List"/>
        <w:rPr>
          <w:rFonts w:ascii="Arial" w:hAnsi="Arial" w:cs="Arial"/>
          <w:bCs/>
          <w:sz w:val="22"/>
          <w:szCs w:val="22"/>
          <w:lang w:val="en-GB"/>
        </w:rPr>
      </w:pPr>
      <w:r w:rsidRPr="00E4265B">
        <w:rPr>
          <w:rFonts w:ascii="Arial" w:hAnsi="Arial" w:cs="Arial"/>
          <w:b/>
          <w:bCs/>
          <w:sz w:val="22"/>
          <w:szCs w:val="22"/>
          <w:lang w:val="en-GB"/>
        </w:rPr>
        <w:t>A4.6.52</w:t>
      </w:r>
      <w:r w:rsidRPr="00E4265B">
        <w:rPr>
          <w:rFonts w:ascii="Arial" w:hAnsi="Arial" w:cs="Arial"/>
          <w:b/>
          <w:bCs/>
          <w:sz w:val="22"/>
          <w:szCs w:val="22"/>
          <w:lang w:val="en-GB"/>
        </w:rPr>
        <w:tab/>
      </w:r>
      <w:r w:rsidRPr="00E4265B">
        <w:rPr>
          <w:rFonts w:ascii="Arial" w:hAnsi="Arial" w:cs="Arial"/>
          <w:bCs/>
          <w:sz w:val="22"/>
          <w:szCs w:val="22"/>
          <w:lang w:val="en-GB"/>
        </w:rPr>
        <w:t>The Authorised Person must determine the effective notional value of an equity derivative transaction referenced to an entity in accordance with the following formula:</w:t>
      </w:r>
    </w:p>
    <w:p w14:paraId="5F719ACD" w14:textId="77777777" w:rsidR="00D12D4D" w:rsidRPr="00E4265B" w:rsidRDefault="00D12D4D" w:rsidP="00D12D4D">
      <w:pPr>
        <w:pStyle w:val="A1List"/>
        <w:ind w:left="990" w:firstLine="0"/>
        <w:rPr>
          <w:rFonts w:ascii="Arial" w:hAnsi="Arial" w:cs="Arial"/>
          <w:bCs/>
          <w:sz w:val="22"/>
          <w:szCs w:val="22"/>
          <w:lang w:val="en-GB"/>
        </w:rPr>
      </w:pPr>
      <m:oMathPara>
        <m:oMath>
          <m:r>
            <w:rPr>
              <w:rFonts w:ascii="Cambria Math" w:hAnsi="Cambria Math" w:cs="Arial"/>
              <w:sz w:val="22"/>
              <w:szCs w:val="22"/>
              <w:lang w:val="en-GB"/>
            </w:rPr>
            <m:t>EffectiveNotiona</m:t>
          </m:r>
          <m:sSubSup>
            <m:sSubSupPr>
              <m:ctrlPr>
                <w:rPr>
                  <w:rFonts w:ascii="Cambria Math" w:hAnsi="Cambria Math" w:cs="Arial"/>
                  <w:bCs/>
                  <w:i/>
                  <w:sz w:val="22"/>
                  <w:szCs w:val="22"/>
                  <w:lang w:val="en-GB"/>
                </w:rPr>
              </m:ctrlPr>
            </m:sSubSupPr>
            <m:e>
              <m:r>
                <w:rPr>
                  <w:rFonts w:ascii="Cambria Math" w:hAnsi="Cambria Math" w:cs="Arial"/>
                  <w:sz w:val="22"/>
                  <w:szCs w:val="22"/>
                  <w:lang w:val="en-GB"/>
                </w:rPr>
                <m:t>l</m:t>
              </m:r>
            </m:e>
            <m:sub>
              <m:r>
                <w:rPr>
                  <w:rFonts w:ascii="Cambria Math" w:hAnsi="Cambria Math" w:cs="Arial"/>
                  <w:sz w:val="22"/>
                  <w:szCs w:val="22"/>
                  <w:lang w:val="en-GB"/>
                </w:rPr>
                <m:t>k</m:t>
              </m:r>
            </m:sub>
            <m:sup>
              <m:r>
                <w:rPr>
                  <w:rFonts w:ascii="Cambria Math" w:hAnsi="Cambria Math" w:cs="Arial"/>
                  <w:sz w:val="22"/>
                  <w:szCs w:val="22"/>
                  <w:lang w:val="en-GB"/>
                </w:rPr>
                <m:t>(Equity)</m:t>
              </m:r>
            </m:sup>
          </m:sSubSup>
          <m:r>
            <w:rPr>
              <w:rFonts w:ascii="Cambria Math" w:hAnsi="Cambria Math" w:cs="Arial"/>
              <w:sz w:val="22"/>
              <w:szCs w:val="22"/>
              <w:lang w:val="en-GB"/>
            </w:rPr>
            <m:t>=</m:t>
          </m:r>
          <m:nary>
            <m:naryPr>
              <m:chr m:val="∑"/>
              <m:limLoc m:val="undOvr"/>
              <m:supHide m:val="1"/>
              <m:ctrlPr>
                <w:rPr>
                  <w:rFonts w:ascii="Cambria Math" w:hAnsi="Cambria Math" w:cs="Arial"/>
                  <w:bCs/>
                  <w:i/>
                  <w:sz w:val="22"/>
                  <w:szCs w:val="22"/>
                  <w:lang w:val="en-GB"/>
                </w:rPr>
              </m:ctrlPr>
            </m:naryPr>
            <m:sub>
              <m:r>
                <w:rPr>
                  <w:rFonts w:ascii="Cambria Math" w:hAnsi="Cambria Math" w:cs="Arial"/>
                  <w:sz w:val="22"/>
                  <w:szCs w:val="22"/>
                  <w:lang w:val="en-GB"/>
                </w:rPr>
                <m:t>i∈Entit</m:t>
              </m:r>
              <m:sSub>
                <m:sSubPr>
                  <m:ctrlPr>
                    <w:rPr>
                      <w:rFonts w:ascii="Cambria Math" w:hAnsi="Cambria Math" w:cs="Arial"/>
                      <w:bCs/>
                      <w:i/>
                      <w:sz w:val="22"/>
                      <w:szCs w:val="22"/>
                      <w:lang w:val="en-GB"/>
                    </w:rPr>
                  </m:ctrlPr>
                </m:sSubPr>
                <m:e>
                  <m:r>
                    <w:rPr>
                      <w:rFonts w:ascii="Cambria Math" w:hAnsi="Cambria Math" w:cs="Arial"/>
                      <w:sz w:val="22"/>
                      <w:szCs w:val="22"/>
                      <w:lang w:val="en-GB"/>
                    </w:rPr>
                    <m:t>y</m:t>
                  </m:r>
                </m:e>
                <m:sub>
                  <m:r>
                    <w:rPr>
                      <w:rFonts w:ascii="Cambria Math" w:hAnsi="Cambria Math" w:cs="Arial"/>
                      <w:sz w:val="22"/>
                      <w:szCs w:val="22"/>
                      <w:lang w:val="en-GB"/>
                    </w:rPr>
                    <m:t>k</m:t>
                  </m:r>
                </m:sub>
              </m:sSub>
            </m:sub>
            <m:sup/>
            <m:e>
              <m:sSub>
                <m:sSubPr>
                  <m:ctrlPr>
                    <w:rPr>
                      <w:rFonts w:ascii="Cambria Math" w:hAnsi="Cambria Math" w:cs="Arial"/>
                      <w:bCs/>
                      <w:i/>
                      <w:sz w:val="22"/>
                      <w:szCs w:val="22"/>
                      <w:lang w:val="en-GB"/>
                    </w:rPr>
                  </m:ctrlPr>
                </m:sSubPr>
                <m:e>
                  <m:r>
                    <w:rPr>
                      <w:rFonts w:ascii="Cambria Math" w:hAnsi="Cambria Math" w:cs="Arial"/>
                      <w:sz w:val="22"/>
                      <w:szCs w:val="22"/>
                      <w:lang w:val="en-GB"/>
                    </w:rPr>
                    <m:t>δ</m:t>
                  </m:r>
                </m:e>
                <m:sub>
                  <m:r>
                    <w:rPr>
                      <w:rFonts w:ascii="Cambria Math" w:hAnsi="Cambria Math" w:cs="Arial"/>
                      <w:sz w:val="22"/>
                      <w:szCs w:val="22"/>
                      <w:lang w:val="en-GB"/>
                    </w:rPr>
                    <m:t>i</m:t>
                  </m:r>
                </m:sub>
              </m:sSub>
              <m:r>
                <w:rPr>
                  <w:rFonts w:ascii="Cambria Math" w:hAnsi="Cambria Math" w:cs="Arial"/>
                  <w:sz w:val="22"/>
                  <w:szCs w:val="22"/>
                  <w:lang w:val="en-GB"/>
                </w:rPr>
                <m:t>*</m:t>
              </m:r>
              <m:sSubSup>
                <m:sSubSupPr>
                  <m:ctrlPr>
                    <w:rPr>
                      <w:rFonts w:ascii="Cambria Math" w:hAnsi="Cambria Math" w:cs="Arial"/>
                      <w:bCs/>
                      <w:i/>
                      <w:sz w:val="22"/>
                      <w:szCs w:val="22"/>
                      <w:lang w:val="en-GB"/>
                    </w:rPr>
                  </m:ctrlPr>
                </m:sSubSupPr>
                <m:e>
                  <m:r>
                    <w:rPr>
                      <w:rFonts w:ascii="Cambria Math" w:hAnsi="Cambria Math" w:cs="Arial"/>
                      <w:sz w:val="22"/>
                      <w:szCs w:val="22"/>
                      <w:lang w:val="en-GB"/>
                    </w:rPr>
                    <m:t>d</m:t>
                  </m:r>
                </m:e>
                <m:sub>
                  <m:r>
                    <w:rPr>
                      <w:rFonts w:ascii="Cambria Math" w:hAnsi="Cambria Math" w:cs="Arial"/>
                      <w:sz w:val="22"/>
                      <w:szCs w:val="22"/>
                      <w:lang w:val="en-GB"/>
                    </w:rPr>
                    <m:t>i</m:t>
                  </m:r>
                </m:sub>
                <m:sup>
                  <m:d>
                    <m:dPr>
                      <m:ctrlPr>
                        <w:rPr>
                          <w:rFonts w:ascii="Cambria Math" w:hAnsi="Cambria Math" w:cs="Arial"/>
                          <w:bCs/>
                          <w:i/>
                          <w:sz w:val="22"/>
                          <w:szCs w:val="22"/>
                          <w:lang w:val="en-GB"/>
                        </w:rPr>
                      </m:ctrlPr>
                    </m:dPr>
                    <m:e>
                      <m:r>
                        <w:rPr>
                          <w:rFonts w:ascii="Cambria Math" w:hAnsi="Cambria Math" w:cs="Arial"/>
                          <w:sz w:val="22"/>
                          <w:szCs w:val="22"/>
                          <w:lang w:val="en-GB"/>
                        </w:rPr>
                        <m:t>Equity</m:t>
                      </m:r>
                    </m:e>
                  </m:d>
                </m:sup>
              </m:sSubSup>
              <m:r>
                <w:rPr>
                  <w:rFonts w:ascii="Cambria Math" w:hAnsi="Cambria Math" w:cs="Arial"/>
                  <w:sz w:val="22"/>
                  <w:szCs w:val="22"/>
                  <w:lang w:val="en-GB"/>
                </w:rPr>
                <m:t>*M</m:t>
              </m:r>
              <m:sSubSup>
                <m:sSubSupPr>
                  <m:ctrlPr>
                    <w:rPr>
                      <w:rFonts w:ascii="Cambria Math" w:hAnsi="Cambria Math" w:cs="Arial"/>
                      <w:bCs/>
                      <w:i/>
                      <w:sz w:val="22"/>
                      <w:szCs w:val="22"/>
                      <w:lang w:val="en-GB"/>
                    </w:rPr>
                  </m:ctrlPr>
                </m:sSubSupPr>
                <m:e>
                  <m:r>
                    <w:rPr>
                      <w:rFonts w:ascii="Cambria Math" w:hAnsi="Cambria Math" w:cs="Arial"/>
                      <w:sz w:val="22"/>
                      <w:szCs w:val="22"/>
                      <w:lang w:val="en-GB"/>
                    </w:rPr>
                    <m:t>F</m:t>
                  </m:r>
                </m:e>
                <m:sub>
                  <m:r>
                    <w:rPr>
                      <w:rFonts w:ascii="Cambria Math" w:hAnsi="Cambria Math" w:cs="Arial"/>
                      <w:sz w:val="22"/>
                      <w:szCs w:val="22"/>
                      <w:lang w:val="en-GB"/>
                    </w:rPr>
                    <m:t>i</m:t>
                  </m:r>
                </m:sub>
                <m:sup>
                  <m:r>
                    <w:rPr>
                      <w:rFonts w:ascii="Cambria Math" w:hAnsi="Cambria Math" w:cs="Arial"/>
                      <w:sz w:val="22"/>
                      <w:szCs w:val="22"/>
                      <w:lang w:val="en-GB"/>
                    </w:rPr>
                    <m:t>(type)</m:t>
                  </m:r>
                </m:sup>
              </m:sSubSup>
            </m:e>
          </m:nary>
        </m:oMath>
      </m:oMathPara>
    </w:p>
    <w:p w14:paraId="244C85E3" w14:textId="68F137B3" w:rsidR="00D12D4D" w:rsidRPr="00E4265B" w:rsidRDefault="00D12D4D" w:rsidP="00D12D4D">
      <w:pPr>
        <w:pStyle w:val="A1List"/>
        <w:ind w:left="936" w:firstLine="0"/>
        <w:rPr>
          <w:rFonts w:ascii="Arial" w:hAnsi="Arial" w:cs="Arial"/>
          <w:bCs/>
          <w:sz w:val="22"/>
          <w:szCs w:val="22"/>
          <w:lang w:val="en-GB"/>
        </w:rPr>
      </w:pPr>
      <w:r w:rsidRPr="00E4265B">
        <w:rPr>
          <w:rFonts w:ascii="Arial" w:hAnsi="Arial" w:cs="Arial"/>
          <w:bCs/>
          <w:sz w:val="22"/>
          <w:szCs w:val="22"/>
          <w:lang w:val="en-GB"/>
        </w:rPr>
        <w:t xml:space="preserve">where </w:t>
      </w:r>
      <w:r w:rsidRPr="00E4265B">
        <w:rPr>
          <w:rFonts w:ascii="Arial" w:hAnsi="Arial" w:cs="Arial"/>
          <w:bCs/>
          <w:i/>
          <w:iCs/>
          <w:sz w:val="22"/>
          <w:szCs w:val="22"/>
          <w:lang w:val="en-GB"/>
        </w:rPr>
        <w:t>i</w:t>
      </w:r>
      <w:r w:rsidR="00CD32AD" w:rsidRPr="00E4265B">
        <w:rPr>
          <w:rFonts w:ascii="Arial" w:hAnsi="Arial" w:cs="Arial"/>
          <w:bCs/>
          <w:i/>
          <w:iCs/>
          <w:sz w:val="22"/>
          <w:szCs w:val="22"/>
          <w:lang w:val="en-GB"/>
        </w:rPr>
        <w:t xml:space="preserve"> </w:t>
      </w:r>
      <w:r w:rsidRPr="00E4265B">
        <w:rPr>
          <w:rFonts w:ascii="Arial" w:hAnsi="Arial" w:cs="Arial"/>
          <w:bCs/>
          <w:i/>
          <w:iCs/>
          <w:sz w:val="22"/>
          <w:szCs w:val="22"/>
          <w:lang w:val="en-GB"/>
        </w:rPr>
        <w:t>ε</w:t>
      </w:r>
      <w:r w:rsidR="00CD32AD" w:rsidRPr="00E4265B">
        <w:rPr>
          <w:rFonts w:ascii="Arial" w:hAnsi="Arial" w:cs="Arial"/>
          <w:bCs/>
          <w:i/>
          <w:iCs/>
          <w:sz w:val="22"/>
          <w:szCs w:val="22"/>
          <w:lang w:val="en-GB"/>
        </w:rPr>
        <w:t xml:space="preserve"> </w:t>
      </w:r>
      <w:r w:rsidRPr="00E4265B">
        <w:rPr>
          <w:rFonts w:ascii="Arial" w:hAnsi="Arial" w:cs="Arial"/>
          <w:bCs/>
          <w:i/>
          <w:iCs/>
          <w:sz w:val="22"/>
          <w:szCs w:val="22"/>
          <w:lang w:val="en-GB"/>
        </w:rPr>
        <w:t>Entity</w:t>
      </w:r>
      <w:r w:rsidRPr="00E4265B">
        <w:rPr>
          <w:rFonts w:ascii="Arial" w:hAnsi="Arial" w:cs="Arial"/>
          <w:bCs/>
          <w:i/>
          <w:iCs/>
          <w:sz w:val="22"/>
          <w:szCs w:val="22"/>
          <w:vertAlign w:val="subscript"/>
          <w:lang w:val="en-GB"/>
        </w:rPr>
        <w:t>k</w:t>
      </w:r>
      <w:r w:rsidRPr="00E4265B">
        <w:rPr>
          <w:rFonts w:ascii="Arial" w:hAnsi="Arial" w:cs="Arial"/>
          <w:bCs/>
          <w:sz w:val="22"/>
          <w:szCs w:val="22"/>
          <w:lang w:val="en-GB"/>
        </w:rPr>
        <w:t xml:space="preserve"> refers to trades of entity k. </w:t>
      </w:r>
    </w:p>
    <w:p w14:paraId="26B92005" w14:textId="77777777" w:rsidR="00D12D4D" w:rsidRPr="00E4265B" w:rsidRDefault="00D12D4D" w:rsidP="00D12D4D">
      <w:pPr>
        <w:pStyle w:val="TitleL5"/>
        <w:rPr>
          <w:rFonts w:ascii="Arial" w:hAnsi="Arial" w:cs="Arial"/>
          <w:sz w:val="22"/>
          <w:szCs w:val="22"/>
          <w:lang w:val="en-GB"/>
        </w:rPr>
      </w:pPr>
      <w:r w:rsidRPr="00E4265B">
        <w:rPr>
          <w:rFonts w:ascii="Arial" w:hAnsi="Arial" w:cs="Arial"/>
          <w:sz w:val="22"/>
          <w:szCs w:val="22"/>
          <w:lang w:val="en-GB"/>
        </w:rPr>
        <w:t>Guidance</w:t>
      </w:r>
    </w:p>
    <w:p w14:paraId="270E2F64" w14:textId="77777777" w:rsidR="00D12D4D" w:rsidRPr="00E4265B" w:rsidRDefault="00D12D4D" w:rsidP="00D12D4D">
      <w:pPr>
        <w:pStyle w:val="A1List"/>
        <w:ind w:left="936" w:firstLine="0"/>
        <w:rPr>
          <w:rFonts w:ascii="Arial" w:hAnsi="Arial" w:cs="Arial"/>
          <w:bCs/>
          <w:sz w:val="22"/>
          <w:szCs w:val="22"/>
          <w:lang w:val="en-GB"/>
        </w:rPr>
      </w:pPr>
      <w:r w:rsidRPr="00E4265B">
        <w:rPr>
          <w:rFonts w:ascii="Arial" w:hAnsi="Arial" w:cs="Arial"/>
          <w:bCs/>
          <w:sz w:val="22"/>
          <w:szCs w:val="22"/>
          <w:lang w:val="en-GB"/>
        </w:rPr>
        <w:t xml:space="preserve">The effective notional for each entity, calculated in accordance with the above formula, is the sum of the trade-level adjusted notional amounts multiplied by the supervisory delta adjustments and the maturity factor. </w:t>
      </w:r>
    </w:p>
    <w:p w14:paraId="663CE56B" w14:textId="77777777" w:rsidR="00D12D4D" w:rsidRPr="00E4265B" w:rsidRDefault="00D12D4D" w:rsidP="00D12D4D">
      <w:pPr>
        <w:pStyle w:val="A1List"/>
        <w:rPr>
          <w:rFonts w:ascii="Arial" w:hAnsi="Arial" w:cs="Arial"/>
          <w:b/>
          <w:bCs/>
          <w:sz w:val="22"/>
          <w:szCs w:val="22"/>
          <w:lang w:val="en-GB"/>
        </w:rPr>
      </w:pPr>
      <w:r w:rsidRPr="00E4265B">
        <w:rPr>
          <w:rFonts w:ascii="Arial" w:hAnsi="Arial" w:cs="Arial"/>
          <w:b/>
          <w:bCs/>
          <w:sz w:val="22"/>
          <w:szCs w:val="22"/>
          <w:lang w:val="en-GB"/>
        </w:rPr>
        <w:t>A4.6.53</w:t>
      </w:r>
      <w:r w:rsidRPr="00E4265B">
        <w:rPr>
          <w:rFonts w:ascii="Arial" w:hAnsi="Arial" w:cs="Arial"/>
          <w:b/>
          <w:bCs/>
          <w:sz w:val="22"/>
          <w:szCs w:val="22"/>
          <w:lang w:val="en-GB"/>
        </w:rPr>
        <w:tab/>
      </w:r>
      <w:r w:rsidRPr="00E4265B">
        <w:rPr>
          <w:rFonts w:ascii="Arial" w:hAnsi="Arial" w:cs="Arial"/>
          <w:bCs/>
          <w:sz w:val="22"/>
          <w:szCs w:val="22"/>
          <w:lang w:val="en-GB"/>
        </w:rPr>
        <w:t>The Authorised Person must calculate the add-on for all positions referencing entity k and its effective notional in accordance with the following formula:</w:t>
      </w:r>
    </w:p>
    <w:p w14:paraId="493A2EC2" w14:textId="77777777" w:rsidR="00D12D4D" w:rsidRPr="00E4265B" w:rsidRDefault="00D12D4D" w:rsidP="00D12D4D">
      <w:pPr>
        <w:pStyle w:val="A1List"/>
        <w:ind w:left="936" w:firstLine="0"/>
        <w:rPr>
          <w:rFonts w:ascii="Arial" w:hAnsi="Arial" w:cs="Arial"/>
          <w:bCs/>
          <w:sz w:val="22"/>
          <w:szCs w:val="22"/>
          <w:lang w:val="en-GB"/>
        </w:rPr>
      </w:pPr>
      <m:oMathPara>
        <m:oMath>
          <m:r>
            <w:rPr>
              <w:rFonts w:ascii="Cambria Math" w:hAnsi="Cambria Math" w:cs="Arial"/>
              <w:sz w:val="22"/>
              <w:szCs w:val="22"/>
              <w:lang w:val="en-GB"/>
            </w:rPr>
            <m:t>AddOn</m:t>
          </m:r>
          <m:d>
            <m:dPr>
              <m:ctrlPr>
                <w:rPr>
                  <w:rFonts w:ascii="Cambria Math" w:hAnsi="Cambria Math" w:cs="Arial"/>
                  <w:bCs/>
                  <w:i/>
                  <w:sz w:val="22"/>
                  <w:szCs w:val="22"/>
                  <w:lang w:val="en-GB"/>
                </w:rPr>
              </m:ctrlPr>
            </m:dPr>
            <m:e>
              <m:r>
                <w:rPr>
                  <w:rFonts w:ascii="Cambria Math" w:hAnsi="Cambria Math" w:cs="Arial"/>
                  <w:sz w:val="22"/>
                  <w:szCs w:val="22"/>
                  <w:lang w:val="en-GB"/>
                </w:rPr>
                <m:t>Entit</m:t>
              </m:r>
              <m:sSub>
                <m:sSubPr>
                  <m:ctrlPr>
                    <w:rPr>
                      <w:rFonts w:ascii="Cambria Math" w:hAnsi="Cambria Math" w:cs="Arial"/>
                      <w:bCs/>
                      <w:i/>
                      <w:sz w:val="22"/>
                      <w:szCs w:val="22"/>
                      <w:lang w:val="en-GB"/>
                    </w:rPr>
                  </m:ctrlPr>
                </m:sSubPr>
                <m:e>
                  <m:r>
                    <w:rPr>
                      <w:rFonts w:ascii="Cambria Math" w:hAnsi="Cambria Math" w:cs="Arial"/>
                      <w:sz w:val="22"/>
                      <w:szCs w:val="22"/>
                      <w:lang w:val="en-GB"/>
                    </w:rPr>
                    <m:t>y</m:t>
                  </m:r>
                </m:e>
                <m:sub>
                  <m:r>
                    <w:rPr>
                      <w:rFonts w:ascii="Cambria Math" w:hAnsi="Cambria Math" w:cs="Arial"/>
                      <w:sz w:val="22"/>
                      <w:szCs w:val="22"/>
                      <w:lang w:val="en-GB"/>
                    </w:rPr>
                    <m:t>k</m:t>
                  </m:r>
                </m:sub>
              </m:sSub>
            </m:e>
          </m:d>
          <m:r>
            <w:rPr>
              <w:rFonts w:ascii="Cambria Math" w:hAnsi="Cambria Math" w:cs="Arial"/>
              <w:sz w:val="22"/>
              <w:szCs w:val="22"/>
              <w:lang w:val="en-GB"/>
            </w:rPr>
            <m:t>=S</m:t>
          </m:r>
          <m:sSubSup>
            <m:sSubSupPr>
              <m:ctrlPr>
                <w:rPr>
                  <w:rFonts w:ascii="Cambria Math" w:hAnsi="Cambria Math" w:cs="Arial"/>
                  <w:bCs/>
                  <w:i/>
                  <w:sz w:val="22"/>
                  <w:szCs w:val="22"/>
                  <w:lang w:val="en-GB"/>
                </w:rPr>
              </m:ctrlPr>
            </m:sSubSupPr>
            <m:e>
              <m:r>
                <w:rPr>
                  <w:rFonts w:ascii="Cambria Math" w:hAnsi="Cambria Math" w:cs="Arial"/>
                  <w:sz w:val="22"/>
                  <w:szCs w:val="22"/>
                  <w:lang w:val="en-GB"/>
                </w:rPr>
                <m:t>F</m:t>
              </m:r>
            </m:e>
            <m:sub>
              <m:r>
                <w:rPr>
                  <w:rFonts w:ascii="Cambria Math" w:hAnsi="Cambria Math" w:cs="Arial"/>
                  <w:sz w:val="22"/>
                  <w:szCs w:val="22"/>
                  <w:lang w:val="en-GB"/>
                </w:rPr>
                <m:t>k</m:t>
              </m:r>
            </m:sub>
            <m:sup>
              <m:r>
                <w:rPr>
                  <w:rFonts w:ascii="Cambria Math" w:hAnsi="Cambria Math" w:cs="Arial"/>
                  <w:sz w:val="22"/>
                  <w:szCs w:val="22"/>
                  <w:lang w:val="en-GB"/>
                </w:rPr>
                <m:t>(Equity)</m:t>
              </m:r>
            </m:sup>
          </m:sSubSup>
          <m:r>
            <w:rPr>
              <w:rFonts w:ascii="Cambria Math" w:hAnsi="Cambria Math" w:cs="Arial"/>
              <w:sz w:val="22"/>
              <w:szCs w:val="22"/>
              <w:lang w:val="en-GB"/>
            </w:rPr>
            <m:t>*EffectiveNotiona</m:t>
          </m:r>
          <m:sSubSup>
            <m:sSubSupPr>
              <m:ctrlPr>
                <w:rPr>
                  <w:rFonts w:ascii="Cambria Math" w:hAnsi="Cambria Math" w:cs="Arial"/>
                  <w:bCs/>
                  <w:i/>
                  <w:sz w:val="22"/>
                  <w:szCs w:val="22"/>
                  <w:lang w:val="en-GB"/>
                </w:rPr>
              </m:ctrlPr>
            </m:sSubSupPr>
            <m:e>
              <m:r>
                <w:rPr>
                  <w:rFonts w:ascii="Cambria Math" w:hAnsi="Cambria Math" w:cs="Arial"/>
                  <w:sz w:val="22"/>
                  <w:szCs w:val="22"/>
                  <w:lang w:val="en-GB"/>
                </w:rPr>
                <m:t>l</m:t>
              </m:r>
            </m:e>
            <m:sub>
              <m:r>
                <w:rPr>
                  <w:rFonts w:ascii="Cambria Math" w:hAnsi="Cambria Math" w:cs="Arial"/>
                  <w:sz w:val="22"/>
                  <w:szCs w:val="22"/>
                  <w:lang w:val="en-GB"/>
                </w:rPr>
                <m:t>k</m:t>
              </m:r>
            </m:sub>
            <m:sup>
              <m:r>
                <w:rPr>
                  <w:rFonts w:ascii="Cambria Math" w:hAnsi="Cambria Math" w:cs="Arial"/>
                  <w:sz w:val="22"/>
                  <w:szCs w:val="22"/>
                  <w:lang w:val="en-GB"/>
                </w:rPr>
                <m:t>(Equity)</m:t>
              </m:r>
            </m:sup>
          </m:sSubSup>
        </m:oMath>
      </m:oMathPara>
    </w:p>
    <w:p w14:paraId="5820B01A" w14:textId="77777777" w:rsidR="00D12D4D" w:rsidRPr="00E4265B" w:rsidRDefault="0017214F" w:rsidP="0017214F">
      <w:pPr>
        <w:pStyle w:val="A1List"/>
        <w:keepNext/>
        <w:rPr>
          <w:rFonts w:ascii="Arial" w:hAnsi="Arial" w:cs="Arial"/>
          <w:b/>
          <w:bCs/>
          <w:sz w:val="22"/>
          <w:szCs w:val="22"/>
          <w:lang w:val="en-GB"/>
        </w:rPr>
      </w:pPr>
      <w:r w:rsidRPr="00E4265B">
        <w:rPr>
          <w:rFonts w:ascii="Arial" w:hAnsi="Arial" w:cs="Arial"/>
          <w:b/>
          <w:bCs/>
          <w:sz w:val="22"/>
          <w:szCs w:val="22"/>
          <w:lang w:val="en-GB"/>
        </w:rPr>
        <w:lastRenderedPageBreak/>
        <w:t>A4.6.54</w:t>
      </w:r>
      <w:r w:rsidRPr="00E4265B">
        <w:rPr>
          <w:rFonts w:ascii="Arial" w:hAnsi="Arial" w:cs="Arial"/>
          <w:b/>
          <w:bCs/>
          <w:sz w:val="22"/>
          <w:szCs w:val="22"/>
          <w:lang w:val="en-GB"/>
        </w:rPr>
        <w:tab/>
      </w:r>
      <w:r w:rsidRPr="00E4265B">
        <w:rPr>
          <w:rFonts w:ascii="Arial" w:hAnsi="Arial" w:cs="Arial"/>
          <w:bCs/>
          <w:sz w:val="22"/>
          <w:szCs w:val="22"/>
          <w:lang w:val="en-GB"/>
        </w:rPr>
        <w:t>The Authorised Person must calculate the add-on for the hedging set in accordance with the following formula:</w:t>
      </w:r>
    </w:p>
    <w:p w14:paraId="7910B74C" w14:textId="77777777" w:rsidR="0017214F" w:rsidRPr="00E4265B" w:rsidRDefault="00B275AE" w:rsidP="0017214F">
      <w:pPr>
        <w:pStyle w:val="A1List"/>
        <w:keepNext/>
        <w:ind w:left="936" w:firstLine="0"/>
        <w:rPr>
          <w:rFonts w:ascii="Arial" w:hAnsi="Arial" w:cs="Arial"/>
          <w:bCs/>
          <w:sz w:val="22"/>
          <w:szCs w:val="22"/>
          <w:lang w:val="en-GB"/>
        </w:rPr>
      </w:pPr>
      <m:oMathPara>
        <m:oMath>
          <m:sSup>
            <m:sSupPr>
              <m:ctrlPr>
                <w:rPr>
                  <w:rFonts w:ascii="Cambria Math" w:hAnsi="Cambria Math" w:cs="Arial"/>
                  <w:bCs/>
                  <w:i/>
                  <w:sz w:val="22"/>
                  <w:szCs w:val="22"/>
                  <w:lang w:val="en-GB"/>
                </w:rPr>
              </m:ctrlPr>
            </m:sSupPr>
            <m:e>
              <m:r>
                <w:rPr>
                  <w:rFonts w:ascii="Cambria Math" w:hAnsi="Cambria Math" w:cs="Arial"/>
                  <w:sz w:val="22"/>
                  <w:szCs w:val="22"/>
                  <w:lang w:val="en-GB"/>
                </w:rPr>
                <m:t>AddO</m:t>
              </m:r>
              <m:sSup>
                <m:sSupPr>
                  <m:ctrlPr>
                    <w:rPr>
                      <w:rFonts w:ascii="Cambria Math" w:hAnsi="Cambria Math" w:cs="Arial"/>
                      <w:bCs/>
                      <w:i/>
                      <w:sz w:val="22"/>
                      <w:szCs w:val="22"/>
                      <w:lang w:val="en-GB"/>
                    </w:rPr>
                  </m:ctrlPr>
                </m:sSupPr>
                <m:e>
                  <m:r>
                    <w:rPr>
                      <w:rFonts w:ascii="Cambria Math" w:hAnsi="Cambria Math" w:cs="Arial"/>
                      <w:sz w:val="22"/>
                      <w:szCs w:val="22"/>
                      <w:lang w:val="en-GB"/>
                    </w:rPr>
                    <m:t>n</m:t>
                  </m:r>
                </m:e>
                <m:sup>
                  <m:d>
                    <m:dPr>
                      <m:ctrlPr>
                        <w:rPr>
                          <w:rFonts w:ascii="Cambria Math" w:hAnsi="Cambria Math" w:cs="Arial"/>
                          <w:bCs/>
                          <w:i/>
                          <w:sz w:val="22"/>
                          <w:szCs w:val="22"/>
                          <w:lang w:val="en-GB"/>
                        </w:rPr>
                      </m:ctrlPr>
                    </m:dPr>
                    <m:e>
                      <m:r>
                        <w:rPr>
                          <w:rFonts w:ascii="Cambria Math" w:hAnsi="Cambria Math" w:cs="Arial"/>
                          <w:sz w:val="22"/>
                          <w:szCs w:val="22"/>
                          <w:lang w:val="en-GB"/>
                        </w:rPr>
                        <m:t>Equity</m:t>
                      </m:r>
                    </m:e>
                  </m:d>
                </m:sup>
              </m:sSup>
              <m:r>
                <w:rPr>
                  <w:rFonts w:ascii="Cambria Math" w:hAnsi="Cambria Math" w:cs="Arial"/>
                  <w:sz w:val="22"/>
                  <w:szCs w:val="22"/>
                  <w:lang w:val="en-GB"/>
                </w:rPr>
                <m:t>=</m:t>
              </m:r>
              <m:d>
                <m:dPr>
                  <m:begChr m:val="["/>
                  <m:endChr m:val=""/>
                  <m:ctrlPr>
                    <w:rPr>
                      <w:rFonts w:ascii="Cambria Math" w:hAnsi="Cambria Math" w:cs="Arial"/>
                      <w:bCs/>
                      <w:i/>
                      <w:sz w:val="22"/>
                      <w:szCs w:val="22"/>
                      <w:lang w:val="en-GB"/>
                    </w:rPr>
                  </m:ctrlPr>
                </m:dPr>
                <m:e>
                  <m:d>
                    <m:dPr>
                      <m:begChr m:val=""/>
                      <m:ctrlPr>
                        <w:rPr>
                          <w:rFonts w:ascii="Cambria Math" w:hAnsi="Cambria Math" w:cs="Arial"/>
                          <w:bCs/>
                          <w:i/>
                          <w:sz w:val="22"/>
                          <w:szCs w:val="22"/>
                          <w:lang w:val="en-GB"/>
                        </w:rPr>
                      </m:ctrlPr>
                    </m:dPr>
                    <m:e>
                      <m:d>
                        <m:dPr>
                          <m:endChr m:val=""/>
                          <m:ctrlPr>
                            <w:rPr>
                              <w:rFonts w:ascii="Cambria Math" w:hAnsi="Cambria Math" w:cs="Arial"/>
                              <w:bCs/>
                              <w:i/>
                              <w:sz w:val="22"/>
                              <w:szCs w:val="22"/>
                              <w:lang w:val="en-GB"/>
                            </w:rPr>
                          </m:ctrlPr>
                        </m:dPr>
                        <m:e>
                          <m:nary>
                            <m:naryPr>
                              <m:chr m:val="∑"/>
                              <m:limLoc m:val="undOvr"/>
                              <m:supHide m:val="1"/>
                              <m:ctrlPr>
                                <w:rPr>
                                  <w:rFonts w:ascii="Cambria Math" w:hAnsi="Cambria Math" w:cs="Arial"/>
                                  <w:bCs/>
                                  <w:i/>
                                  <w:sz w:val="22"/>
                                  <w:szCs w:val="22"/>
                                  <w:lang w:val="en-GB"/>
                                </w:rPr>
                              </m:ctrlPr>
                            </m:naryPr>
                            <m:sub>
                              <m:r>
                                <w:rPr>
                                  <w:rFonts w:ascii="Cambria Math" w:hAnsi="Cambria Math" w:cs="Arial"/>
                                  <w:sz w:val="22"/>
                                  <w:szCs w:val="22"/>
                                  <w:lang w:val="en-GB"/>
                                </w:rPr>
                                <m:t>k</m:t>
                              </m:r>
                            </m:sub>
                            <m:sup/>
                            <m:e>
                              <m:sSubSup>
                                <m:sSubSupPr>
                                  <m:ctrlPr>
                                    <w:rPr>
                                      <w:rFonts w:ascii="Cambria Math" w:hAnsi="Cambria Math" w:cs="Arial"/>
                                      <w:bCs/>
                                      <w:i/>
                                      <w:sz w:val="22"/>
                                      <w:szCs w:val="22"/>
                                      <w:lang w:val="en-GB"/>
                                    </w:rPr>
                                  </m:ctrlPr>
                                </m:sSubSupPr>
                                <m:e>
                                  <m:r>
                                    <w:rPr>
                                      <w:rFonts w:ascii="Cambria Math" w:hAnsi="Cambria Math" w:cs="Arial"/>
                                      <w:sz w:val="22"/>
                                      <w:szCs w:val="22"/>
                                      <w:lang w:val="en-GB"/>
                                    </w:rPr>
                                    <m:t>ρ</m:t>
                                  </m:r>
                                </m:e>
                                <m:sub>
                                  <m:r>
                                    <w:rPr>
                                      <w:rFonts w:ascii="Cambria Math" w:hAnsi="Cambria Math" w:cs="Arial"/>
                                      <w:sz w:val="22"/>
                                      <w:szCs w:val="22"/>
                                      <w:lang w:val="en-GB"/>
                                    </w:rPr>
                                    <m:t>k</m:t>
                                  </m:r>
                                </m:sub>
                                <m:sup>
                                  <m:d>
                                    <m:dPr>
                                      <m:ctrlPr>
                                        <w:rPr>
                                          <w:rFonts w:ascii="Cambria Math" w:hAnsi="Cambria Math" w:cs="Arial"/>
                                          <w:bCs/>
                                          <w:i/>
                                          <w:sz w:val="22"/>
                                          <w:szCs w:val="22"/>
                                          <w:lang w:val="en-GB"/>
                                        </w:rPr>
                                      </m:ctrlPr>
                                    </m:dPr>
                                    <m:e>
                                      <m:r>
                                        <w:rPr>
                                          <w:rFonts w:ascii="Cambria Math" w:hAnsi="Cambria Math" w:cs="Arial"/>
                                          <w:sz w:val="22"/>
                                          <w:szCs w:val="22"/>
                                          <w:lang w:val="en-GB"/>
                                        </w:rPr>
                                        <m:t>Equity</m:t>
                                      </m:r>
                                    </m:e>
                                  </m:d>
                                </m:sup>
                              </m:sSubSup>
                              <m:r>
                                <w:rPr>
                                  <w:rFonts w:ascii="Cambria Math" w:hAnsi="Cambria Math" w:cs="Arial"/>
                                  <w:sz w:val="22"/>
                                  <w:szCs w:val="22"/>
                                  <w:lang w:val="en-GB"/>
                                </w:rPr>
                                <m:t xml:space="preserve">^* </m:t>
                              </m:r>
                              <m:r>
                                <w:rPr>
                                  <w:rFonts w:ascii="Cambria Math" w:hAnsi="Cambria Math" w:cs="Arial"/>
                                  <w:sz w:val="22"/>
                                  <w:szCs w:val="22"/>
                                  <w:lang w:val="en-GB"/>
                                </w:rPr>
                                <m:t>AddOn</m:t>
                              </m:r>
                              <m:r>
                                <w:rPr>
                                  <w:rFonts w:ascii="Cambria Math" w:hAnsi="Cambria Math" w:cs="Arial"/>
                                  <w:sz w:val="22"/>
                                  <w:szCs w:val="22"/>
                                  <w:lang w:val="en-GB"/>
                                </w:rPr>
                                <m:t>(</m:t>
                              </m:r>
                              <m:r>
                                <w:rPr>
                                  <w:rFonts w:ascii="Cambria Math" w:hAnsi="Cambria Math" w:cs="Arial"/>
                                  <w:sz w:val="22"/>
                                  <w:szCs w:val="22"/>
                                  <w:lang w:val="en-GB"/>
                                </w:rPr>
                                <m:t>Entit</m:t>
                              </m:r>
                              <m:sSub>
                                <m:sSubPr>
                                  <m:ctrlPr>
                                    <w:rPr>
                                      <w:rFonts w:ascii="Cambria Math" w:hAnsi="Cambria Math" w:cs="Arial"/>
                                      <w:bCs/>
                                      <w:i/>
                                      <w:sz w:val="22"/>
                                      <w:szCs w:val="22"/>
                                      <w:lang w:val="en-GB"/>
                                    </w:rPr>
                                  </m:ctrlPr>
                                </m:sSubPr>
                                <m:e>
                                  <m:r>
                                    <w:rPr>
                                      <w:rFonts w:ascii="Cambria Math" w:hAnsi="Cambria Math" w:cs="Arial"/>
                                      <w:sz w:val="22"/>
                                      <w:szCs w:val="22"/>
                                      <w:lang w:val="en-GB"/>
                                    </w:rPr>
                                    <m:t>y</m:t>
                                  </m:r>
                                </m:e>
                                <m:sub>
                                  <m:r>
                                    <w:rPr>
                                      <w:rFonts w:ascii="Cambria Math" w:hAnsi="Cambria Math" w:cs="Arial"/>
                                      <w:sz w:val="22"/>
                                      <w:szCs w:val="22"/>
                                      <w:lang w:val="en-GB"/>
                                    </w:rPr>
                                    <m:t>k</m:t>
                                  </m:r>
                                </m:sub>
                              </m:sSub>
                            </m:e>
                          </m:nary>
                        </m:e>
                      </m:d>
                      <m:r>
                        <w:rPr>
                          <w:rFonts w:ascii="Cambria Math" w:hAnsi="Cambria Math" w:cs="Arial"/>
                          <w:sz w:val="22"/>
                          <w:szCs w:val="22"/>
                          <w:lang w:val="en-GB"/>
                        </w:rPr>
                        <m:t>)</m:t>
                      </m:r>
                    </m:e>
                  </m:d>
                </m:e>
              </m:d>
            </m:e>
            <m:sup>
              <m:r>
                <w:rPr>
                  <w:rFonts w:ascii="Cambria Math" w:hAnsi="Cambria Math" w:cs="Arial"/>
                  <w:sz w:val="22"/>
                  <w:szCs w:val="22"/>
                  <w:lang w:val="en-GB"/>
                </w:rPr>
                <m:t>2</m:t>
              </m:r>
            </m:sup>
          </m:sSup>
          <m:r>
            <w:rPr>
              <w:rFonts w:ascii="Cambria Math" w:hAnsi="Cambria Math" w:cs="Arial"/>
              <w:sz w:val="22"/>
              <w:szCs w:val="22"/>
              <w:lang w:val="en-GB"/>
            </w:rPr>
            <m:t>+</m:t>
          </m:r>
          <m:sSup>
            <m:sSupPr>
              <m:ctrlPr>
                <w:rPr>
                  <w:rFonts w:ascii="Cambria Math" w:hAnsi="Cambria Math" w:cs="Arial"/>
                  <w:bCs/>
                  <w:i/>
                  <w:sz w:val="22"/>
                  <w:szCs w:val="22"/>
                  <w:lang w:val="en-GB"/>
                </w:rPr>
              </m:ctrlPr>
            </m:sSupPr>
            <m:e>
              <m:d>
                <m:dPr>
                  <m:begChr m:val=""/>
                  <m:endChr m:val="]"/>
                  <m:ctrlPr>
                    <w:rPr>
                      <w:rFonts w:ascii="Cambria Math" w:hAnsi="Cambria Math" w:cs="Arial"/>
                      <w:bCs/>
                      <w:i/>
                      <w:sz w:val="22"/>
                      <w:szCs w:val="22"/>
                      <w:lang w:val="en-GB"/>
                    </w:rPr>
                  </m:ctrlPr>
                </m:dPr>
                <m:e>
                  <m:sSup>
                    <m:sSupPr>
                      <m:ctrlPr>
                        <w:rPr>
                          <w:rFonts w:ascii="Cambria Math" w:hAnsi="Cambria Math" w:cs="Arial"/>
                          <w:bCs/>
                          <w:i/>
                          <w:sz w:val="22"/>
                          <w:szCs w:val="22"/>
                          <w:lang w:val="en-GB"/>
                        </w:rPr>
                      </m:ctrlPr>
                    </m:sSupPr>
                    <m:e>
                      <m:nary>
                        <m:naryPr>
                          <m:chr m:val="∑"/>
                          <m:limLoc m:val="undOvr"/>
                          <m:supHide m:val="1"/>
                          <m:ctrlPr>
                            <w:rPr>
                              <w:rFonts w:ascii="Cambria Math" w:hAnsi="Cambria Math" w:cs="Arial"/>
                              <w:bCs/>
                              <w:i/>
                              <w:sz w:val="22"/>
                              <w:szCs w:val="22"/>
                              <w:lang w:val="en-GB"/>
                            </w:rPr>
                          </m:ctrlPr>
                        </m:naryPr>
                        <m:sub>
                          <m:r>
                            <w:rPr>
                              <w:rFonts w:ascii="Cambria Math" w:hAnsi="Cambria Math" w:cs="Arial"/>
                              <w:sz w:val="22"/>
                              <w:szCs w:val="22"/>
                              <w:lang w:val="en-GB"/>
                            </w:rPr>
                            <m:t>k</m:t>
                          </m:r>
                        </m:sub>
                        <m:sup/>
                        <m:e>
                          <m:r>
                            <w:rPr>
                              <w:rFonts w:ascii="Cambria Math" w:hAnsi="Cambria Math" w:cs="Arial"/>
                              <w:sz w:val="22"/>
                              <w:szCs w:val="22"/>
                              <w:lang w:val="en-GB"/>
                            </w:rPr>
                            <m:t>(1-(</m:t>
                          </m:r>
                          <m:sSubSup>
                            <m:sSubSupPr>
                              <m:ctrlPr>
                                <w:rPr>
                                  <w:rFonts w:ascii="Cambria Math" w:hAnsi="Cambria Math" w:cs="Arial"/>
                                  <w:bCs/>
                                  <w:i/>
                                  <w:sz w:val="22"/>
                                  <w:szCs w:val="22"/>
                                  <w:lang w:val="en-GB"/>
                                </w:rPr>
                              </m:ctrlPr>
                            </m:sSubSupPr>
                            <m:e>
                              <m:r>
                                <w:rPr>
                                  <w:rFonts w:ascii="Cambria Math" w:hAnsi="Cambria Math" w:cs="Arial"/>
                                  <w:sz w:val="22"/>
                                  <w:szCs w:val="22"/>
                                  <w:lang w:val="en-GB"/>
                                </w:rPr>
                                <m:t>ρ</m:t>
                              </m:r>
                            </m:e>
                            <m:sub>
                              <m:r>
                                <w:rPr>
                                  <w:rFonts w:ascii="Cambria Math" w:hAnsi="Cambria Math" w:cs="Arial"/>
                                  <w:sz w:val="22"/>
                                  <w:szCs w:val="22"/>
                                  <w:lang w:val="en-GB"/>
                                </w:rPr>
                                <m:t>k</m:t>
                              </m:r>
                            </m:sub>
                            <m:sup>
                              <m:d>
                                <m:dPr>
                                  <m:ctrlPr>
                                    <w:rPr>
                                      <w:rFonts w:ascii="Cambria Math" w:hAnsi="Cambria Math" w:cs="Arial"/>
                                      <w:bCs/>
                                      <w:i/>
                                      <w:sz w:val="22"/>
                                      <w:szCs w:val="22"/>
                                      <w:lang w:val="en-GB"/>
                                    </w:rPr>
                                  </m:ctrlPr>
                                </m:dPr>
                                <m:e>
                                  <m:r>
                                    <w:rPr>
                                      <w:rFonts w:ascii="Cambria Math" w:hAnsi="Cambria Math" w:cs="Arial"/>
                                      <w:sz w:val="22"/>
                                      <w:szCs w:val="22"/>
                                      <w:lang w:val="en-GB"/>
                                    </w:rPr>
                                    <m:t>Equity</m:t>
                                  </m:r>
                                </m:e>
                              </m:d>
                            </m:sup>
                          </m:sSubSup>
                          <m:sSup>
                            <m:sSupPr>
                              <m:ctrlPr>
                                <w:rPr>
                                  <w:rFonts w:ascii="Cambria Math" w:hAnsi="Cambria Math" w:cs="Arial"/>
                                  <w:bCs/>
                                  <w:i/>
                                  <w:sz w:val="22"/>
                                  <w:szCs w:val="22"/>
                                  <w:lang w:val="en-GB"/>
                                </w:rPr>
                              </m:ctrlPr>
                            </m:sSupPr>
                            <m:e>
                              <m:r>
                                <w:rPr>
                                  <w:rFonts w:ascii="Cambria Math" w:hAnsi="Cambria Math" w:cs="Arial"/>
                                  <w:sz w:val="22"/>
                                  <w:szCs w:val="22"/>
                                  <w:lang w:val="en-GB"/>
                                </w:rPr>
                                <m:t>)</m:t>
                              </m:r>
                            </m:e>
                            <m:sup>
                              <m:r>
                                <w:rPr>
                                  <w:rFonts w:ascii="Cambria Math" w:hAnsi="Cambria Math" w:cs="Arial"/>
                                  <w:sz w:val="22"/>
                                  <w:szCs w:val="22"/>
                                  <w:lang w:val="en-GB"/>
                                </w:rPr>
                                <m:t>2</m:t>
                              </m:r>
                            </m:sup>
                          </m:sSup>
                        </m:e>
                      </m:nary>
                      <m:r>
                        <w:rPr>
                          <w:rFonts w:ascii="Cambria Math" w:hAnsi="Cambria Math" w:cs="Arial"/>
                          <w:sz w:val="22"/>
                          <w:szCs w:val="22"/>
                          <w:lang w:val="en-GB"/>
                        </w:rPr>
                        <m:t>)*</m:t>
                      </m:r>
                      <m:d>
                        <m:dPr>
                          <m:ctrlPr>
                            <w:rPr>
                              <w:rFonts w:ascii="Cambria Math" w:hAnsi="Cambria Math" w:cs="Arial"/>
                              <w:bCs/>
                              <w:i/>
                              <w:sz w:val="22"/>
                              <w:szCs w:val="22"/>
                              <w:lang w:val="en-GB"/>
                            </w:rPr>
                          </m:ctrlPr>
                        </m:dPr>
                        <m:e>
                          <m:r>
                            <w:rPr>
                              <w:rFonts w:ascii="Cambria Math" w:hAnsi="Cambria Math" w:cs="Arial"/>
                              <w:sz w:val="22"/>
                              <w:szCs w:val="22"/>
                              <w:lang w:val="en-GB"/>
                            </w:rPr>
                            <m:t>AddOn</m:t>
                          </m:r>
                          <m:d>
                            <m:dPr>
                              <m:ctrlPr>
                                <w:rPr>
                                  <w:rFonts w:ascii="Cambria Math" w:hAnsi="Cambria Math" w:cs="Arial"/>
                                  <w:bCs/>
                                  <w:i/>
                                  <w:sz w:val="22"/>
                                  <w:szCs w:val="22"/>
                                  <w:lang w:val="en-GB"/>
                                </w:rPr>
                              </m:ctrlPr>
                            </m:dPr>
                            <m:e>
                              <m:r>
                                <w:rPr>
                                  <w:rFonts w:ascii="Cambria Math" w:hAnsi="Cambria Math" w:cs="Arial"/>
                                  <w:sz w:val="22"/>
                                  <w:szCs w:val="22"/>
                                  <w:lang w:val="en-GB"/>
                                </w:rPr>
                                <m:t>Entit</m:t>
                              </m:r>
                              <m:sSub>
                                <m:sSubPr>
                                  <m:ctrlPr>
                                    <w:rPr>
                                      <w:rFonts w:ascii="Cambria Math" w:hAnsi="Cambria Math" w:cs="Arial"/>
                                      <w:bCs/>
                                      <w:i/>
                                      <w:sz w:val="22"/>
                                      <w:szCs w:val="22"/>
                                      <w:lang w:val="en-GB"/>
                                    </w:rPr>
                                  </m:ctrlPr>
                                </m:sSubPr>
                                <m:e>
                                  <m:r>
                                    <w:rPr>
                                      <w:rFonts w:ascii="Cambria Math" w:hAnsi="Cambria Math" w:cs="Arial"/>
                                      <w:sz w:val="22"/>
                                      <w:szCs w:val="22"/>
                                      <w:lang w:val="en-GB"/>
                                    </w:rPr>
                                    <m:t>y</m:t>
                                  </m:r>
                                </m:e>
                                <m:sub>
                                  <m:r>
                                    <w:rPr>
                                      <w:rFonts w:ascii="Cambria Math" w:hAnsi="Cambria Math" w:cs="Arial"/>
                                      <w:sz w:val="22"/>
                                      <w:szCs w:val="22"/>
                                      <w:lang w:val="en-GB"/>
                                    </w:rPr>
                                    <m:t>k</m:t>
                                  </m:r>
                                </m:sub>
                              </m:sSub>
                            </m:e>
                          </m:d>
                        </m:e>
                      </m:d>
                    </m:e>
                    <m:sup>
                      <m:r>
                        <w:rPr>
                          <w:rFonts w:ascii="Cambria Math" w:hAnsi="Cambria Math" w:cs="Arial"/>
                          <w:sz w:val="22"/>
                          <w:szCs w:val="22"/>
                          <w:lang w:val="en-GB"/>
                        </w:rPr>
                        <m:t>2</m:t>
                      </m:r>
                    </m:sup>
                  </m:sSup>
                </m:e>
              </m:d>
            </m:e>
            <m:sup>
              <m:f>
                <m:fPr>
                  <m:ctrlPr>
                    <w:rPr>
                      <w:rFonts w:ascii="Cambria Math" w:hAnsi="Cambria Math" w:cs="Arial"/>
                      <w:bCs/>
                      <w:i/>
                      <w:sz w:val="22"/>
                      <w:szCs w:val="22"/>
                      <w:lang w:val="en-GB"/>
                    </w:rPr>
                  </m:ctrlPr>
                </m:fPr>
                <m:num>
                  <m:r>
                    <w:rPr>
                      <w:rFonts w:ascii="Cambria Math" w:hAnsi="Cambria Math" w:cs="Arial"/>
                      <w:sz w:val="22"/>
                      <w:szCs w:val="22"/>
                      <w:lang w:val="en-GB"/>
                    </w:rPr>
                    <m:t>1</m:t>
                  </m:r>
                </m:num>
                <m:den>
                  <m:r>
                    <w:rPr>
                      <w:rFonts w:ascii="Cambria Math" w:hAnsi="Cambria Math" w:cs="Arial"/>
                      <w:sz w:val="22"/>
                      <w:szCs w:val="22"/>
                      <w:lang w:val="en-GB"/>
                    </w:rPr>
                    <m:t>2</m:t>
                  </m:r>
                </m:den>
              </m:f>
            </m:sup>
          </m:sSup>
        </m:oMath>
      </m:oMathPara>
    </w:p>
    <w:p w14:paraId="1154E75B" w14:textId="77777777" w:rsidR="0017214F" w:rsidRPr="00E4265B" w:rsidRDefault="0017214F" w:rsidP="0017214F">
      <w:pPr>
        <w:pStyle w:val="A1List"/>
        <w:ind w:left="936" w:firstLine="0"/>
        <w:rPr>
          <w:rFonts w:ascii="Arial" w:hAnsi="Arial" w:cs="Arial"/>
          <w:bCs/>
          <w:sz w:val="22"/>
          <w:szCs w:val="22"/>
          <w:lang w:val="en-GB"/>
        </w:rPr>
      </w:pPr>
      <w:r w:rsidRPr="00E4265B">
        <w:rPr>
          <w:rFonts w:ascii="Arial" w:hAnsi="Arial" w:cs="Arial"/>
          <w:bCs/>
          <w:sz w:val="22"/>
          <w:szCs w:val="22"/>
          <w:lang w:val="en-GB"/>
        </w:rPr>
        <w:t xml:space="preserve">where </w:t>
      </w:r>
      <w:r w:rsidRPr="00E4265B">
        <w:rPr>
          <w:rFonts w:ascii="Arial" w:hAnsi="Arial" w:cs="Arial"/>
          <w:bCs/>
          <w:i/>
          <w:iCs/>
          <w:sz w:val="22"/>
          <w:szCs w:val="22"/>
          <w:lang w:val="en-GB"/>
        </w:rPr>
        <w:t>ρ</w:t>
      </w:r>
      <w:r w:rsidRPr="00E4265B">
        <w:rPr>
          <w:rFonts w:ascii="Arial" w:hAnsi="Arial" w:cs="Arial"/>
          <w:bCs/>
          <w:i/>
          <w:iCs/>
          <w:sz w:val="22"/>
          <w:szCs w:val="22"/>
          <w:vertAlign w:val="subscript"/>
          <w:lang w:val="en-GB"/>
        </w:rPr>
        <w:t>k</w:t>
      </w:r>
      <w:r w:rsidRPr="00E4265B">
        <w:rPr>
          <w:rFonts w:ascii="Arial" w:hAnsi="Arial" w:cs="Arial"/>
          <w:bCs/>
          <w:i/>
          <w:iCs/>
          <w:sz w:val="22"/>
          <w:szCs w:val="22"/>
          <w:vertAlign w:val="superscript"/>
          <w:lang w:val="en-GB"/>
        </w:rPr>
        <w:t>(equity)</w:t>
      </w:r>
      <w:r w:rsidRPr="00E4265B">
        <w:rPr>
          <w:rFonts w:ascii="Arial" w:hAnsi="Arial" w:cs="Arial"/>
          <w:bCs/>
          <w:sz w:val="22"/>
          <w:szCs w:val="22"/>
          <w:lang w:val="en-GB"/>
        </w:rPr>
        <w:t xml:space="preserve"> is the appropriate correlation factor corresponding to the entity k, determined in accordance with the table set out in A4.6.34. </w:t>
      </w:r>
    </w:p>
    <w:p w14:paraId="013C5492" w14:textId="77777777" w:rsidR="0017214F" w:rsidRPr="00E4265B" w:rsidRDefault="0017214F" w:rsidP="0017214F">
      <w:pPr>
        <w:pStyle w:val="TitleL5"/>
        <w:rPr>
          <w:rFonts w:ascii="Arial" w:hAnsi="Arial" w:cs="Arial"/>
          <w:sz w:val="22"/>
          <w:szCs w:val="22"/>
          <w:lang w:val="en-GB"/>
        </w:rPr>
      </w:pPr>
      <w:r w:rsidRPr="00E4265B">
        <w:rPr>
          <w:rFonts w:ascii="Arial" w:hAnsi="Arial" w:cs="Arial"/>
          <w:sz w:val="22"/>
          <w:szCs w:val="22"/>
          <w:lang w:val="en-GB"/>
        </w:rPr>
        <w:t>Add-on for commodity derivatives</w:t>
      </w:r>
    </w:p>
    <w:p w14:paraId="02851599" w14:textId="77777777" w:rsidR="0017214F" w:rsidRPr="00E4265B" w:rsidRDefault="0017214F" w:rsidP="0017214F">
      <w:pPr>
        <w:pStyle w:val="A1List"/>
        <w:keepNext/>
        <w:rPr>
          <w:rFonts w:ascii="Arial" w:hAnsi="Arial" w:cs="Arial"/>
          <w:b/>
          <w:bCs/>
          <w:sz w:val="22"/>
          <w:szCs w:val="22"/>
          <w:lang w:val="en-GB"/>
        </w:rPr>
      </w:pPr>
      <w:r w:rsidRPr="00E4265B">
        <w:rPr>
          <w:rFonts w:ascii="Arial" w:hAnsi="Arial" w:cs="Arial"/>
          <w:b/>
          <w:bCs/>
          <w:sz w:val="22"/>
          <w:szCs w:val="22"/>
          <w:lang w:val="en-GB"/>
        </w:rPr>
        <w:t>A4.6.55</w:t>
      </w:r>
      <w:r w:rsidRPr="00E4265B">
        <w:rPr>
          <w:rFonts w:ascii="Arial" w:hAnsi="Arial" w:cs="Arial"/>
          <w:b/>
          <w:bCs/>
          <w:sz w:val="22"/>
          <w:szCs w:val="22"/>
          <w:lang w:val="en-GB"/>
        </w:rPr>
        <w:tab/>
      </w:r>
      <w:r w:rsidRPr="00E4265B">
        <w:rPr>
          <w:rFonts w:ascii="Arial" w:hAnsi="Arial" w:cs="Arial"/>
          <w:bCs/>
          <w:sz w:val="22"/>
          <w:szCs w:val="22"/>
          <w:lang w:val="en-GB"/>
        </w:rPr>
        <w:t>The Authorised Person must determine the effective notional value of a commodity derivative transaction in a commodity of a particular type listed in A4.6.34 in accordance with the following formula:</w:t>
      </w:r>
    </w:p>
    <w:p w14:paraId="469A36AB" w14:textId="77777777" w:rsidR="0017214F" w:rsidRPr="00E4265B" w:rsidRDefault="0017214F" w:rsidP="0017214F">
      <w:pPr>
        <w:pStyle w:val="A1List"/>
        <w:ind w:left="990" w:firstLine="0"/>
        <w:rPr>
          <w:rFonts w:ascii="Arial" w:hAnsi="Arial" w:cs="Arial"/>
          <w:bCs/>
          <w:sz w:val="22"/>
          <w:szCs w:val="22"/>
          <w:lang w:val="en-GB"/>
        </w:rPr>
      </w:pPr>
      <m:oMathPara>
        <m:oMath>
          <m:r>
            <w:rPr>
              <w:rFonts w:ascii="Cambria Math" w:hAnsi="Cambria Math" w:cs="Arial"/>
              <w:sz w:val="22"/>
              <w:szCs w:val="22"/>
              <w:lang w:val="en-GB"/>
            </w:rPr>
            <m:t>EffectiveNotiona</m:t>
          </m:r>
          <m:sSubSup>
            <m:sSubSupPr>
              <m:ctrlPr>
                <w:rPr>
                  <w:rFonts w:ascii="Cambria Math" w:hAnsi="Cambria Math" w:cs="Arial"/>
                  <w:bCs/>
                  <w:i/>
                  <w:sz w:val="22"/>
                  <w:szCs w:val="22"/>
                  <w:lang w:val="en-GB"/>
                </w:rPr>
              </m:ctrlPr>
            </m:sSubSupPr>
            <m:e>
              <m:r>
                <w:rPr>
                  <w:rFonts w:ascii="Cambria Math" w:hAnsi="Cambria Math" w:cs="Arial"/>
                  <w:sz w:val="22"/>
                  <w:szCs w:val="22"/>
                  <w:lang w:val="en-GB"/>
                </w:rPr>
                <m:t>l</m:t>
              </m:r>
            </m:e>
            <m:sub>
              <m:r>
                <w:rPr>
                  <w:rFonts w:ascii="Cambria Math" w:hAnsi="Cambria Math" w:cs="Arial"/>
                  <w:sz w:val="22"/>
                  <w:szCs w:val="22"/>
                  <w:lang w:val="en-GB"/>
                </w:rPr>
                <m:t>k</m:t>
              </m:r>
            </m:sub>
            <m:sup>
              <m:r>
                <w:rPr>
                  <w:rFonts w:ascii="Cambria Math" w:hAnsi="Cambria Math" w:cs="Arial"/>
                  <w:sz w:val="22"/>
                  <w:szCs w:val="22"/>
                  <w:lang w:val="en-GB"/>
                </w:rPr>
                <m:t>(Com)</m:t>
              </m:r>
            </m:sup>
          </m:sSubSup>
          <m:r>
            <w:rPr>
              <w:rFonts w:ascii="Cambria Math" w:hAnsi="Cambria Math" w:cs="Arial"/>
              <w:sz w:val="22"/>
              <w:szCs w:val="22"/>
              <w:lang w:val="en-GB"/>
            </w:rPr>
            <m:t>=</m:t>
          </m:r>
          <m:nary>
            <m:naryPr>
              <m:chr m:val="∑"/>
              <m:limLoc m:val="undOvr"/>
              <m:supHide m:val="1"/>
              <m:ctrlPr>
                <w:rPr>
                  <w:rFonts w:ascii="Cambria Math" w:hAnsi="Cambria Math" w:cs="Arial"/>
                  <w:bCs/>
                  <w:i/>
                  <w:sz w:val="22"/>
                  <w:szCs w:val="22"/>
                  <w:lang w:val="en-GB"/>
                </w:rPr>
              </m:ctrlPr>
            </m:naryPr>
            <m:sub>
              <m:r>
                <w:rPr>
                  <w:rFonts w:ascii="Cambria Math" w:hAnsi="Cambria Math" w:cs="Arial"/>
                  <w:sz w:val="22"/>
                  <w:szCs w:val="22"/>
                  <w:lang w:val="en-GB"/>
                </w:rPr>
                <m:t>i∈Typ</m:t>
              </m:r>
              <m:sSubSup>
                <m:sSubSupPr>
                  <m:ctrlPr>
                    <w:rPr>
                      <w:rFonts w:ascii="Cambria Math" w:hAnsi="Cambria Math" w:cs="Arial"/>
                      <w:bCs/>
                      <w:i/>
                      <w:sz w:val="22"/>
                      <w:szCs w:val="22"/>
                      <w:lang w:val="en-GB"/>
                    </w:rPr>
                  </m:ctrlPr>
                </m:sSubSupPr>
                <m:e>
                  <m:r>
                    <w:rPr>
                      <w:rFonts w:ascii="Cambria Math" w:hAnsi="Cambria Math" w:cs="Arial"/>
                      <w:sz w:val="22"/>
                      <w:szCs w:val="22"/>
                      <w:lang w:val="en-GB"/>
                    </w:rPr>
                    <m:t>e</m:t>
                  </m:r>
                </m:e>
                <m:sub>
                  <m:r>
                    <w:rPr>
                      <w:rFonts w:ascii="Cambria Math" w:hAnsi="Cambria Math" w:cs="Arial"/>
                      <w:sz w:val="22"/>
                      <w:szCs w:val="22"/>
                      <w:lang w:val="en-GB"/>
                    </w:rPr>
                    <m:t>k</m:t>
                  </m:r>
                </m:sub>
                <m:sup>
                  <m:r>
                    <w:rPr>
                      <w:rFonts w:ascii="Cambria Math" w:hAnsi="Cambria Math" w:cs="Arial"/>
                      <w:sz w:val="22"/>
                      <w:szCs w:val="22"/>
                      <w:lang w:val="en-GB"/>
                    </w:rPr>
                    <m:t>j</m:t>
                  </m:r>
                </m:sup>
              </m:sSubSup>
            </m:sub>
            <m:sup/>
            <m:e>
              <m:sSub>
                <m:sSubPr>
                  <m:ctrlPr>
                    <w:rPr>
                      <w:rFonts w:ascii="Cambria Math" w:hAnsi="Cambria Math" w:cs="Arial"/>
                      <w:bCs/>
                      <w:i/>
                      <w:sz w:val="22"/>
                      <w:szCs w:val="22"/>
                      <w:lang w:val="en-GB"/>
                    </w:rPr>
                  </m:ctrlPr>
                </m:sSubPr>
                <m:e>
                  <m:r>
                    <w:rPr>
                      <w:rFonts w:ascii="Cambria Math" w:hAnsi="Cambria Math" w:cs="Arial"/>
                      <w:sz w:val="22"/>
                      <w:szCs w:val="22"/>
                      <w:lang w:val="en-GB"/>
                    </w:rPr>
                    <m:t>δ</m:t>
                  </m:r>
                </m:e>
                <m:sub>
                  <m:r>
                    <w:rPr>
                      <w:rFonts w:ascii="Cambria Math" w:hAnsi="Cambria Math" w:cs="Arial"/>
                      <w:sz w:val="22"/>
                      <w:szCs w:val="22"/>
                      <w:lang w:val="en-GB"/>
                    </w:rPr>
                    <m:t>i</m:t>
                  </m:r>
                </m:sub>
              </m:sSub>
              <m:r>
                <w:rPr>
                  <w:rFonts w:ascii="Cambria Math" w:hAnsi="Cambria Math" w:cs="Arial"/>
                  <w:sz w:val="22"/>
                  <w:szCs w:val="22"/>
                  <w:lang w:val="en-GB"/>
                </w:rPr>
                <m:t>*</m:t>
              </m:r>
              <m:sSubSup>
                <m:sSubSupPr>
                  <m:ctrlPr>
                    <w:rPr>
                      <w:rFonts w:ascii="Cambria Math" w:hAnsi="Cambria Math" w:cs="Arial"/>
                      <w:bCs/>
                      <w:i/>
                      <w:sz w:val="22"/>
                      <w:szCs w:val="22"/>
                      <w:lang w:val="en-GB"/>
                    </w:rPr>
                  </m:ctrlPr>
                </m:sSubSupPr>
                <m:e>
                  <m:r>
                    <w:rPr>
                      <w:rFonts w:ascii="Cambria Math" w:hAnsi="Cambria Math" w:cs="Arial"/>
                      <w:sz w:val="22"/>
                      <w:szCs w:val="22"/>
                      <w:lang w:val="en-GB"/>
                    </w:rPr>
                    <m:t>d</m:t>
                  </m:r>
                </m:e>
                <m:sub>
                  <m:r>
                    <w:rPr>
                      <w:rFonts w:ascii="Cambria Math" w:hAnsi="Cambria Math" w:cs="Arial"/>
                      <w:sz w:val="22"/>
                      <w:szCs w:val="22"/>
                      <w:lang w:val="en-GB"/>
                    </w:rPr>
                    <m:t>i</m:t>
                  </m:r>
                </m:sub>
                <m:sup>
                  <m:d>
                    <m:dPr>
                      <m:ctrlPr>
                        <w:rPr>
                          <w:rFonts w:ascii="Cambria Math" w:hAnsi="Cambria Math" w:cs="Arial"/>
                          <w:bCs/>
                          <w:i/>
                          <w:sz w:val="22"/>
                          <w:szCs w:val="22"/>
                          <w:lang w:val="en-GB"/>
                        </w:rPr>
                      </m:ctrlPr>
                    </m:dPr>
                    <m:e>
                      <m:r>
                        <w:rPr>
                          <w:rFonts w:ascii="Cambria Math" w:hAnsi="Cambria Math" w:cs="Arial"/>
                          <w:sz w:val="22"/>
                          <w:szCs w:val="22"/>
                          <w:lang w:val="en-GB"/>
                        </w:rPr>
                        <m:t>Com</m:t>
                      </m:r>
                    </m:e>
                  </m:d>
                </m:sup>
              </m:sSubSup>
              <m:r>
                <w:rPr>
                  <w:rFonts w:ascii="Cambria Math" w:hAnsi="Cambria Math" w:cs="Arial"/>
                  <w:sz w:val="22"/>
                  <w:szCs w:val="22"/>
                  <w:lang w:val="en-GB"/>
                </w:rPr>
                <m:t>*M</m:t>
              </m:r>
              <m:sSubSup>
                <m:sSubSupPr>
                  <m:ctrlPr>
                    <w:rPr>
                      <w:rFonts w:ascii="Cambria Math" w:hAnsi="Cambria Math" w:cs="Arial"/>
                      <w:bCs/>
                      <w:i/>
                      <w:sz w:val="22"/>
                      <w:szCs w:val="22"/>
                      <w:lang w:val="en-GB"/>
                    </w:rPr>
                  </m:ctrlPr>
                </m:sSubSupPr>
                <m:e>
                  <m:r>
                    <w:rPr>
                      <w:rFonts w:ascii="Cambria Math" w:hAnsi="Cambria Math" w:cs="Arial"/>
                      <w:sz w:val="22"/>
                      <w:szCs w:val="22"/>
                      <w:lang w:val="en-GB"/>
                    </w:rPr>
                    <m:t>F</m:t>
                  </m:r>
                </m:e>
                <m:sub>
                  <m:r>
                    <w:rPr>
                      <w:rFonts w:ascii="Cambria Math" w:hAnsi="Cambria Math" w:cs="Arial"/>
                      <w:sz w:val="22"/>
                      <w:szCs w:val="22"/>
                      <w:lang w:val="en-GB"/>
                    </w:rPr>
                    <m:t>i</m:t>
                  </m:r>
                </m:sub>
                <m:sup>
                  <m:r>
                    <w:rPr>
                      <w:rFonts w:ascii="Cambria Math" w:hAnsi="Cambria Math" w:cs="Arial"/>
                      <w:sz w:val="22"/>
                      <w:szCs w:val="22"/>
                      <w:lang w:val="en-GB"/>
                    </w:rPr>
                    <m:t>(type)</m:t>
                  </m:r>
                </m:sup>
              </m:sSubSup>
            </m:e>
          </m:nary>
        </m:oMath>
      </m:oMathPara>
    </w:p>
    <w:p w14:paraId="43D2C374" w14:textId="08F2BA9A" w:rsidR="0017214F" w:rsidRPr="00E4265B" w:rsidRDefault="0017214F" w:rsidP="0017214F">
      <w:pPr>
        <w:pStyle w:val="A1List"/>
        <w:ind w:left="936" w:firstLine="0"/>
        <w:rPr>
          <w:rFonts w:ascii="Arial" w:hAnsi="Arial" w:cs="Arial"/>
          <w:bCs/>
          <w:sz w:val="22"/>
          <w:szCs w:val="22"/>
          <w:lang w:val="en-GB"/>
        </w:rPr>
      </w:pPr>
      <w:r w:rsidRPr="00E4265B">
        <w:rPr>
          <w:rFonts w:ascii="Arial" w:hAnsi="Arial" w:cs="Arial"/>
          <w:bCs/>
          <w:sz w:val="22"/>
          <w:szCs w:val="22"/>
          <w:lang w:val="en-GB"/>
        </w:rPr>
        <w:t xml:space="preserve">where </w:t>
      </w:r>
      <w:r w:rsidRPr="00E4265B">
        <w:rPr>
          <w:rFonts w:ascii="Arial" w:hAnsi="Arial" w:cs="Arial"/>
          <w:bCs/>
          <w:i/>
          <w:iCs/>
          <w:sz w:val="22"/>
          <w:szCs w:val="22"/>
          <w:lang w:val="en-GB"/>
        </w:rPr>
        <w:t>i</w:t>
      </w:r>
      <w:r w:rsidR="00CD32AD" w:rsidRPr="00E4265B">
        <w:rPr>
          <w:rFonts w:ascii="Arial" w:hAnsi="Arial" w:cs="Arial"/>
          <w:bCs/>
          <w:i/>
          <w:iCs/>
          <w:sz w:val="22"/>
          <w:szCs w:val="22"/>
          <w:lang w:val="en-GB"/>
        </w:rPr>
        <w:t xml:space="preserve"> </w:t>
      </w:r>
      <w:r w:rsidRPr="00E4265B">
        <w:rPr>
          <w:rFonts w:ascii="Arial" w:hAnsi="Arial" w:cs="Arial"/>
          <w:bCs/>
          <w:i/>
          <w:iCs/>
          <w:sz w:val="22"/>
          <w:szCs w:val="22"/>
          <w:lang w:val="en-GB"/>
        </w:rPr>
        <w:t>εType</w:t>
      </w:r>
      <w:r w:rsidRPr="00E4265B">
        <w:rPr>
          <w:rFonts w:ascii="Arial" w:hAnsi="Arial" w:cs="Arial"/>
          <w:bCs/>
          <w:i/>
          <w:iCs/>
          <w:sz w:val="22"/>
          <w:szCs w:val="22"/>
          <w:vertAlign w:val="subscript"/>
          <w:lang w:val="en-GB"/>
        </w:rPr>
        <w:t>k</w:t>
      </w:r>
      <w:r w:rsidRPr="00E4265B">
        <w:rPr>
          <w:rFonts w:ascii="Arial" w:hAnsi="Arial" w:cs="Arial"/>
          <w:bCs/>
          <w:i/>
          <w:iCs/>
          <w:sz w:val="22"/>
          <w:szCs w:val="22"/>
          <w:vertAlign w:val="superscript"/>
          <w:lang w:val="en-GB"/>
        </w:rPr>
        <w:t>j</w:t>
      </w:r>
      <w:r w:rsidRPr="00E4265B">
        <w:rPr>
          <w:rFonts w:ascii="Arial" w:hAnsi="Arial" w:cs="Arial"/>
          <w:bCs/>
          <w:sz w:val="22"/>
          <w:szCs w:val="22"/>
          <w:lang w:val="en-GB"/>
        </w:rPr>
        <w:t xml:space="preserve"> refers to trades of commodity type k in hedging set j.</w:t>
      </w:r>
    </w:p>
    <w:p w14:paraId="07A114EE" w14:textId="77777777" w:rsidR="0017214F" w:rsidRPr="00E4265B" w:rsidRDefault="0017214F" w:rsidP="0017214F">
      <w:pPr>
        <w:pStyle w:val="TitleL5"/>
        <w:rPr>
          <w:rFonts w:ascii="Arial" w:hAnsi="Arial" w:cs="Arial"/>
          <w:sz w:val="22"/>
          <w:szCs w:val="22"/>
          <w:lang w:val="en-GB"/>
        </w:rPr>
      </w:pPr>
      <w:r w:rsidRPr="00E4265B">
        <w:rPr>
          <w:rFonts w:ascii="Arial" w:hAnsi="Arial" w:cs="Arial"/>
          <w:sz w:val="22"/>
          <w:szCs w:val="22"/>
          <w:lang w:val="en-GB"/>
        </w:rPr>
        <w:t>Guidance</w:t>
      </w:r>
    </w:p>
    <w:p w14:paraId="49ACB57E" w14:textId="77777777" w:rsidR="0017214F" w:rsidRPr="00E4265B" w:rsidRDefault="0017214F" w:rsidP="0017214F">
      <w:pPr>
        <w:pStyle w:val="A1List"/>
        <w:ind w:left="936" w:firstLine="0"/>
        <w:rPr>
          <w:rFonts w:ascii="Arial" w:hAnsi="Arial" w:cs="Arial"/>
          <w:bCs/>
          <w:sz w:val="22"/>
          <w:szCs w:val="22"/>
          <w:lang w:val="en-GB"/>
        </w:rPr>
      </w:pPr>
      <w:r w:rsidRPr="00E4265B">
        <w:rPr>
          <w:rFonts w:ascii="Arial" w:hAnsi="Arial" w:cs="Arial"/>
          <w:bCs/>
          <w:sz w:val="22"/>
          <w:szCs w:val="22"/>
          <w:lang w:val="en-GB"/>
        </w:rPr>
        <w:t xml:space="preserve">The effective notional for each commodity derivative, calculated in accordance with the above formula, is the sum of the trade-level adjusted notional amounts multiplied by the supervisory delta adjustments and the maturity factor. </w:t>
      </w:r>
    </w:p>
    <w:p w14:paraId="01BB841C" w14:textId="77777777" w:rsidR="0017214F" w:rsidRPr="00E4265B" w:rsidRDefault="0017214F" w:rsidP="0017214F">
      <w:pPr>
        <w:pStyle w:val="A1List"/>
        <w:keepNext/>
        <w:rPr>
          <w:rFonts w:ascii="Arial" w:hAnsi="Arial" w:cs="Arial"/>
          <w:bCs/>
          <w:sz w:val="22"/>
          <w:szCs w:val="22"/>
          <w:lang w:val="en-GB"/>
        </w:rPr>
      </w:pPr>
      <w:r w:rsidRPr="00E4265B">
        <w:rPr>
          <w:rFonts w:ascii="Arial" w:hAnsi="Arial" w:cs="Arial"/>
          <w:b/>
          <w:bCs/>
          <w:sz w:val="22"/>
          <w:szCs w:val="22"/>
          <w:lang w:val="en-GB"/>
        </w:rPr>
        <w:t>A4.6.56</w:t>
      </w:r>
      <w:r w:rsidRPr="00E4265B">
        <w:rPr>
          <w:rFonts w:ascii="Arial" w:hAnsi="Arial" w:cs="Arial"/>
          <w:b/>
          <w:bCs/>
          <w:sz w:val="22"/>
          <w:szCs w:val="22"/>
          <w:lang w:val="en-GB"/>
        </w:rPr>
        <w:tab/>
      </w:r>
      <w:r w:rsidRPr="00E4265B">
        <w:rPr>
          <w:rFonts w:ascii="Arial" w:hAnsi="Arial" w:cs="Arial"/>
          <w:bCs/>
          <w:sz w:val="22"/>
          <w:szCs w:val="22"/>
          <w:lang w:val="en-GB"/>
        </w:rPr>
        <w:t>The Authorised Person must determine the add-on for all commodity derivatives of commodity type k in accordance with the following formula:</w:t>
      </w:r>
    </w:p>
    <w:p w14:paraId="11C7D7C7" w14:textId="77777777" w:rsidR="00F3795F" w:rsidRPr="00E4265B" w:rsidRDefault="00F3795F" w:rsidP="00F3795F">
      <w:pPr>
        <w:pStyle w:val="A1List"/>
        <w:ind w:left="936" w:firstLine="0"/>
        <w:rPr>
          <w:rFonts w:ascii="Arial" w:hAnsi="Arial" w:cs="Arial"/>
          <w:bCs/>
          <w:sz w:val="22"/>
          <w:szCs w:val="22"/>
          <w:lang w:val="en-GB"/>
        </w:rPr>
      </w:pPr>
      <m:oMathPara>
        <m:oMath>
          <m:r>
            <w:rPr>
              <w:rFonts w:ascii="Cambria Math" w:hAnsi="Cambria Math" w:cs="Arial"/>
              <w:sz w:val="22"/>
              <w:szCs w:val="22"/>
              <w:lang w:val="en-GB"/>
            </w:rPr>
            <m:t>AddOn</m:t>
          </m:r>
          <m:d>
            <m:dPr>
              <m:ctrlPr>
                <w:rPr>
                  <w:rFonts w:ascii="Cambria Math" w:hAnsi="Cambria Math" w:cs="Arial"/>
                  <w:bCs/>
                  <w:i/>
                  <w:sz w:val="22"/>
                  <w:szCs w:val="22"/>
                  <w:lang w:val="en-GB"/>
                </w:rPr>
              </m:ctrlPr>
            </m:dPr>
            <m:e>
              <m:sSubSup>
                <m:sSubSupPr>
                  <m:ctrlPr>
                    <w:rPr>
                      <w:rFonts w:ascii="Cambria Math" w:hAnsi="Cambria Math" w:cs="Arial"/>
                      <w:bCs/>
                      <w:i/>
                      <w:sz w:val="22"/>
                      <w:szCs w:val="22"/>
                      <w:lang w:val="en-GB"/>
                    </w:rPr>
                  </m:ctrlPr>
                </m:sSubSupPr>
                <m:e>
                  <m:r>
                    <w:rPr>
                      <w:rFonts w:ascii="Cambria Math" w:hAnsi="Cambria Math" w:cs="Arial"/>
                      <w:sz w:val="22"/>
                      <w:szCs w:val="22"/>
                      <w:lang w:val="en-GB"/>
                    </w:rPr>
                    <m:t>Type</m:t>
                  </m:r>
                </m:e>
                <m:sub>
                  <m:r>
                    <w:rPr>
                      <w:rFonts w:ascii="Cambria Math" w:hAnsi="Cambria Math" w:cs="Arial"/>
                      <w:sz w:val="22"/>
                      <w:szCs w:val="22"/>
                      <w:lang w:val="en-GB"/>
                    </w:rPr>
                    <m:t>k</m:t>
                  </m:r>
                </m:sub>
                <m:sup>
                  <m:r>
                    <w:rPr>
                      <w:rFonts w:ascii="Cambria Math" w:hAnsi="Cambria Math" w:cs="Arial"/>
                      <w:sz w:val="22"/>
                      <w:szCs w:val="22"/>
                      <w:lang w:val="en-GB"/>
                    </w:rPr>
                    <m:t>j</m:t>
                  </m:r>
                </m:sup>
              </m:sSubSup>
            </m:e>
          </m:d>
          <m:r>
            <w:rPr>
              <w:rFonts w:ascii="Cambria Math" w:hAnsi="Cambria Math" w:cs="Arial"/>
              <w:sz w:val="22"/>
              <w:szCs w:val="22"/>
              <w:lang w:val="en-GB"/>
            </w:rPr>
            <m:t>=S</m:t>
          </m:r>
          <m:sSubSup>
            <m:sSubSupPr>
              <m:ctrlPr>
                <w:rPr>
                  <w:rFonts w:ascii="Cambria Math" w:hAnsi="Cambria Math" w:cs="Arial"/>
                  <w:bCs/>
                  <w:i/>
                  <w:sz w:val="22"/>
                  <w:szCs w:val="22"/>
                  <w:lang w:val="en-GB"/>
                </w:rPr>
              </m:ctrlPr>
            </m:sSubSupPr>
            <m:e>
              <m:r>
                <w:rPr>
                  <w:rFonts w:ascii="Cambria Math" w:hAnsi="Cambria Math" w:cs="Arial"/>
                  <w:sz w:val="22"/>
                  <w:szCs w:val="22"/>
                  <w:lang w:val="en-GB"/>
                </w:rPr>
                <m:t>F</m:t>
              </m:r>
            </m:e>
            <m:sub>
              <m:r>
                <w:rPr>
                  <w:rFonts w:ascii="Cambria Math" w:hAnsi="Cambria Math" w:cs="Arial"/>
                  <w:sz w:val="22"/>
                  <w:szCs w:val="22"/>
                  <w:lang w:val="en-GB"/>
                </w:rPr>
                <m:t>Typ</m:t>
              </m:r>
              <m:sSubSup>
                <m:sSubSupPr>
                  <m:ctrlPr>
                    <w:rPr>
                      <w:rFonts w:ascii="Cambria Math" w:hAnsi="Cambria Math" w:cs="Arial"/>
                      <w:bCs/>
                      <w:i/>
                      <w:sz w:val="22"/>
                      <w:szCs w:val="22"/>
                      <w:lang w:val="en-GB"/>
                    </w:rPr>
                  </m:ctrlPr>
                </m:sSubSupPr>
                <m:e>
                  <m:r>
                    <w:rPr>
                      <w:rFonts w:ascii="Cambria Math" w:hAnsi="Cambria Math" w:cs="Arial"/>
                      <w:sz w:val="22"/>
                      <w:szCs w:val="22"/>
                      <w:lang w:val="en-GB"/>
                    </w:rPr>
                    <m:t>e</m:t>
                  </m:r>
                </m:e>
                <m:sub>
                  <m:r>
                    <w:rPr>
                      <w:rFonts w:ascii="Cambria Math" w:hAnsi="Cambria Math" w:cs="Arial"/>
                      <w:sz w:val="22"/>
                      <w:szCs w:val="22"/>
                      <w:lang w:val="en-GB"/>
                    </w:rPr>
                    <m:t>k</m:t>
                  </m:r>
                </m:sub>
                <m:sup>
                  <m:r>
                    <w:rPr>
                      <w:rFonts w:ascii="Cambria Math" w:hAnsi="Cambria Math" w:cs="Arial"/>
                      <w:sz w:val="22"/>
                      <w:szCs w:val="22"/>
                      <w:lang w:val="en-GB"/>
                    </w:rPr>
                    <m:t>j</m:t>
                  </m:r>
                </m:sup>
              </m:sSubSup>
            </m:sub>
            <m:sup>
              <m:r>
                <w:rPr>
                  <w:rFonts w:ascii="Cambria Math" w:hAnsi="Cambria Math" w:cs="Arial"/>
                  <w:sz w:val="22"/>
                  <w:szCs w:val="22"/>
                  <w:lang w:val="en-GB"/>
                </w:rPr>
                <m:t>(Com)</m:t>
              </m:r>
            </m:sup>
          </m:sSubSup>
          <m:r>
            <w:rPr>
              <w:rFonts w:ascii="Cambria Math" w:hAnsi="Cambria Math" w:cs="Arial"/>
              <w:sz w:val="22"/>
              <w:szCs w:val="22"/>
              <w:lang w:val="en-GB"/>
            </w:rPr>
            <m:t>*EffectiveNotiona</m:t>
          </m:r>
          <m:sSubSup>
            <m:sSubSupPr>
              <m:ctrlPr>
                <w:rPr>
                  <w:rFonts w:ascii="Cambria Math" w:hAnsi="Cambria Math" w:cs="Arial"/>
                  <w:bCs/>
                  <w:i/>
                  <w:sz w:val="22"/>
                  <w:szCs w:val="22"/>
                  <w:lang w:val="en-GB"/>
                </w:rPr>
              </m:ctrlPr>
            </m:sSubSupPr>
            <m:e>
              <m:r>
                <w:rPr>
                  <w:rFonts w:ascii="Cambria Math" w:hAnsi="Cambria Math" w:cs="Arial"/>
                  <w:sz w:val="22"/>
                  <w:szCs w:val="22"/>
                  <w:lang w:val="en-GB"/>
                </w:rPr>
                <m:t>l</m:t>
              </m:r>
            </m:e>
            <m:sub>
              <m:r>
                <w:rPr>
                  <w:rFonts w:ascii="Cambria Math" w:hAnsi="Cambria Math" w:cs="Arial"/>
                  <w:sz w:val="22"/>
                  <w:szCs w:val="22"/>
                  <w:lang w:val="en-GB"/>
                </w:rPr>
                <m:t>k</m:t>
              </m:r>
            </m:sub>
            <m:sup>
              <m:r>
                <w:rPr>
                  <w:rFonts w:ascii="Cambria Math" w:hAnsi="Cambria Math" w:cs="Arial"/>
                  <w:sz w:val="22"/>
                  <w:szCs w:val="22"/>
                  <w:lang w:val="en-GB"/>
                </w:rPr>
                <m:t>(Com)</m:t>
              </m:r>
            </m:sup>
          </m:sSubSup>
        </m:oMath>
      </m:oMathPara>
    </w:p>
    <w:p w14:paraId="3AADAA36" w14:textId="77777777" w:rsidR="0017214F" w:rsidRPr="00E4265B" w:rsidRDefault="00F3795F" w:rsidP="0017214F">
      <w:pPr>
        <w:pStyle w:val="A1List"/>
        <w:keepNext/>
        <w:rPr>
          <w:rFonts w:ascii="Arial" w:hAnsi="Arial" w:cs="Arial"/>
          <w:b/>
          <w:bCs/>
          <w:sz w:val="22"/>
          <w:szCs w:val="22"/>
          <w:lang w:val="en-GB"/>
        </w:rPr>
      </w:pPr>
      <w:r w:rsidRPr="00E4265B">
        <w:rPr>
          <w:rFonts w:ascii="Arial" w:hAnsi="Arial" w:cs="Arial"/>
          <w:b/>
          <w:bCs/>
          <w:sz w:val="22"/>
          <w:szCs w:val="22"/>
          <w:lang w:val="en-GB"/>
        </w:rPr>
        <w:t>A4.6.57</w:t>
      </w:r>
      <w:r w:rsidRPr="00E4265B">
        <w:rPr>
          <w:rFonts w:ascii="Arial" w:hAnsi="Arial" w:cs="Arial"/>
          <w:b/>
          <w:bCs/>
          <w:sz w:val="22"/>
          <w:szCs w:val="22"/>
          <w:lang w:val="en-GB"/>
        </w:rPr>
        <w:tab/>
      </w:r>
      <w:r w:rsidRPr="00E4265B">
        <w:rPr>
          <w:rFonts w:ascii="Arial" w:hAnsi="Arial" w:cs="Arial"/>
          <w:bCs/>
          <w:sz w:val="22"/>
          <w:szCs w:val="22"/>
          <w:lang w:val="en-GB"/>
        </w:rPr>
        <w:t>The Authorised Person must determine the add-on for its commodity hedging set in accordance with the following formula:</w:t>
      </w:r>
    </w:p>
    <w:p w14:paraId="3367BDF2" w14:textId="77777777" w:rsidR="00D12D4D" w:rsidRPr="00E4265B" w:rsidRDefault="00B275AE" w:rsidP="00D12D4D">
      <w:pPr>
        <w:pStyle w:val="A1List"/>
        <w:ind w:left="936" w:firstLine="0"/>
        <w:rPr>
          <w:rFonts w:ascii="Arial" w:hAnsi="Arial" w:cs="Arial"/>
          <w:bCs/>
          <w:sz w:val="22"/>
          <w:szCs w:val="22"/>
          <w:lang w:val="en-GB"/>
        </w:rPr>
      </w:pPr>
      <m:oMathPara>
        <m:oMath>
          <m:sSup>
            <m:sSupPr>
              <m:ctrlPr>
                <w:rPr>
                  <w:rFonts w:ascii="Cambria Math" w:hAnsi="Cambria Math" w:cs="Arial"/>
                  <w:bCs/>
                  <w:i/>
                  <w:sz w:val="22"/>
                  <w:szCs w:val="22"/>
                  <w:lang w:val="en-GB"/>
                </w:rPr>
              </m:ctrlPr>
            </m:sSupPr>
            <m:e>
              <m:r>
                <w:rPr>
                  <w:rFonts w:ascii="Cambria Math" w:hAnsi="Cambria Math" w:cs="Arial"/>
                  <w:sz w:val="22"/>
                  <w:szCs w:val="22"/>
                  <w:lang w:val="en-GB"/>
                </w:rPr>
                <m:t>AddO</m:t>
              </m:r>
              <m:sSubSup>
                <m:sSubSupPr>
                  <m:ctrlPr>
                    <w:rPr>
                      <w:rFonts w:ascii="Cambria Math" w:hAnsi="Cambria Math" w:cs="Arial"/>
                      <w:bCs/>
                      <w:i/>
                      <w:sz w:val="22"/>
                      <w:szCs w:val="22"/>
                      <w:lang w:val="en-GB"/>
                    </w:rPr>
                  </m:ctrlPr>
                </m:sSubSupPr>
                <m:e>
                  <m:r>
                    <w:rPr>
                      <w:rFonts w:ascii="Cambria Math" w:hAnsi="Cambria Math" w:cs="Arial"/>
                      <w:sz w:val="22"/>
                      <w:szCs w:val="22"/>
                      <w:lang w:val="en-GB"/>
                    </w:rPr>
                    <m:t>n</m:t>
                  </m:r>
                </m:e>
                <m:sub>
                  <m:sSub>
                    <m:sSubPr>
                      <m:ctrlPr>
                        <w:rPr>
                          <w:rFonts w:ascii="Cambria Math" w:hAnsi="Cambria Math" w:cs="Arial"/>
                          <w:bCs/>
                          <w:i/>
                          <w:sz w:val="22"/>
                          <w:szCs w:val="22"/>
                          <w:lang w:val="en-GB"/>
                        </w:rPr>
                      </m:ctrlPr>
                    </m:sSubPr>
                    <m:e>
                      <m:r>
                        <w:rPr>
                          <w:rFonts w:ascii="Cambria Math" w:hAnsi="Cambria Math" w:cs="Arial"/>
                          <w:sz w:val="22"/>
                          <w:szCs w:val="22"/>
                          <w:lang w:val="en-GB"/>
                        </w:rPr>
                        <m:t>HS</m:t>
                      </m:r>
                    </m:e>
                    <m:sub>
                      <m:r>
                        <w:rPr>
                          <w:rFonts w:ascii="Cambria Math" w:hAnsi="Cambria Math" w:cs="Arial"/>
                          <w:sz w:val="22"/>
                          <w:szCs w:val="22"/>
                          <w:lang w:val="en-GB"/>
                        </w:rPr>
                        <m:t>j</m:t>
                      </m:r>
                    </m:sub>
                  </m:sSub>
                </m:sub>
                <m:sup>
                  <m:r>
                    <w:rPr>
                      <w:rFonts w:ascii="Cambria Math" w:hAnsi="Cambria Math" w:cs="Arial"/>
                      <w:sz w:val="22"/>
                      <w:szCs w:val="22"/>
                      <w:lang w:val="en-GB"/>
                    </w:rPr>
                    <m:t>(</m:t>
                  </m:r>
                  <m:r>
                    <w:rPr>
                      <w:rFonts w:ascii="Cambria Math" w:hAnsi="Cambria Math" w:cs="Arial"/>
                      <w:sz w:val="22"/>
                      <w:szCs w:val="22"/>
                      <w:lang w:val="en-GB"/>
                    </w:rPr>
                    <m:t>Com</m:t>
                  </m:r>
                  <m:r>
                    <w:rPr>
                      <w:rFonts w:ascii="Cambria Math" w:hAnsi="Cambria Math" w:cs="Arial"/>
                      <w:sz w:val="22"/>
                      <w:szCs w:val="22"/>
                      <w:lang w:val="en-GB"/>
                    </w:rPr>
                    <m:t>)</m:t>
                  </m:r>
                </m:sup>
              </m:sSubSup>
              <m:r>
                <w:rPr>
                  <w:rFonts w:ascii="Cambria Math" w:hAnsi="Cambria Math" w:cs="Arial"/>
                  <w:sz w:val="22"/>
                  <w:szCs w:val="22"/>
                  <w:lang w:val="en-GB"/>
                </w:rPr>
                <m:t>=</m:t>
              </m:r>
              <m:d>
                <m:dPr>
                  <m:begChr m:val="["/>
                  <m:endChr m:val=""/>
                  <m:ctrlPr>
                    <w:rPr>
                      <w:rFonts w:ascii="Cambria Math" w:hAnsi="Cambria Math" w:cs="Arial"/>
                      <w:bCs/>
                      <w:i/>
                      <w:sz w:val="22"/>
                      <w:szCs w:val="22"/>
                      <w:lang w:val="en-GB"/>
                    </w:rPr>
                  </m:ctrlPr>
                </m:dPr>
                <m:e>
                  <m:d>
                    <m:dPr>
                      <m:endChr m:val=""/>
                      <m:ctrlPr>
                        <w:rPr>
                          <w:rFonts w:ascii="Cambria Math" w:hAnsi="Cambria Math" w:cs="Arial"/>
                          <w:bCs/>
                          <w:i/>
                          <w:sz w:val="22"/>
                          <w:szCs w:val="22"/>
                          <w:lang w:val="en-GB"/>
                        </w:rPr>
                      </m:ctrlPr>
                    </m:dPr>
                    <m:e>
                      <m:d>
                        <m:dPr>
                          <m:begChr m:val=""/>
                          <m:ctrlPr>
                            <w:rPr>
                              <w:rFonts w:ascii="Cambria Math" w:hAnsi="Cambria Math" w:cs="Arial"/>
                              <w:bCs/>
                              <w:i/>
                              <w:sz w:val="22"/>
                              <w:szCs w:val="22"/>
                              <w:lang w:val="en-GB"/>
                            </w:rPr>
                          </m:ctrlPr>
                        </m:dPr>
                        <m:e>
                          <m:sSubSup>
                            <m:sSubSupPr>
                              <m:ctrlPr>
                                <w:rPr>
                                  <w:rFonts w:ascii="Cambria Math" w:hAnsi="Cambria Math" w:cs="Arial"/>
                                  <w:bCs/>
                                  <w:i/>
                                  <w:sz w:val="22"/>
                                  <w:szCs w:val="22"/>
                                  <w:lang w:val="en-GB"/>
                                </w:rPr>
                              </m:ctrlPr>
                            </m:sSubSupPr>
                            <m:e>
                              <m:r>
                                <w:rPr>
                                  <w:rFonts w:ascii="Cambria Math" w:hAnsi="Cambria Math" w:cs="Arial"/>
                                  <w:sz w:val="22"/>
                                  <w:szCs w:val="22"/>
                                  <w:lang w:val="en-GB"/>
                                </w:rPr>
                                <m:t>ρ</m:t>
                              </m:r>
                            </m:e>
                            <m:sub>
                              <m:r>
                                <w:rPr>
                                  <w:rFonts w:ascii="Cambria Math" w:hAnsi="Cambria Math" w:cs="Arial"/>
                                  <w:sz w:val="22"/>
                                  <w:szCs w:val="22"/>
                                  <w:lang w:val="en-GB"/>
                                </w:rPr>
                                <m:t>j</m:t>
                              </m:r>
                            </m:sub>
                            <m:sup>
                              <m:r>
                                <w:rPr>
                                  <w:rFonts w:ascii="Cambria Math" w:hAnsi="Cambria Math" w:cs="Arial"/>
                                  <w:sz w:val="22"/>
                                  <w:szCs w:val="22"/>
                                  <w:lang w:val="en-GB"/>
                                </w:rPr>
                                <m:t>(</m:t>
                              </m:r>
                              <m:r>
                                <w:rPr>
                                  <w:rFonts w:ascii="Cambria Math" w:hAnsi="Cambria Math" w:cs="Arial"/>
                                  <w:sz w:val="22"/>
                                  <w:szCs w:val="22"/>
                                  <w:lang w:val="en-GB"/>
                                </w:rPr>
                                <m:t>Com</m:t>
                              </m:r>
                              <m:r>
                                <w:rPr>
                                  <w:rFonts w:ascii="Cambria Math" w:hAnsi="Cambria Math" w:cs="Arial"/>
                                  <w:sz w:val="22"/>
                                  <w:szCs w:val="22"/>
                                  <w:lang w:val="en-GB"/>
                                </w:rPr>
                                <m:t>)</m:t>
                              </m:r>
                            </m:sup>
                          </m:sSubSup>
                          <m:r>
                            <w:rPr>
                              <w:rFonts w:ascii="Cambria Math" w:hAnsi="Cambria Math" w:cs="Arial"/>
                              <w:sz w:val="22"/>
                              <w:szCs w:val="22"/>
                              <w:lang w:val="en-GB"/>
                            </w:rPr>
                            <m:t>*</m:t>
                          </m:r>
                          <m:nary>
                            <m:naryPr>
                              <m:chr m:val="∑"/>
                              <m:limLoc m:val="undOvr"/>
                              <m:supHide m:val="1"/>
                              <m:ctrlPr>
                                <w:rPr>
                                  <w:rFonts w:ascii="Cambria Math" w:hAnsi="Cambria Math" w:cs="Arial"/>
                                  <w:bCs/>
                                  <w:i/>
                                  <w:sz w:val="22"/>
                                  <w:szCs w:val="22"/>
                                  <w:lang w:val="en-GB"/>
                                </w:rPr>
                              </m:ctrlPr>
                            </m:naryPr>
                            <m:sub>
                              <m:r>
                                <w:rPr>
                                  <w:rFonts w:ascii="Cambria Math" w:hAnsi="Cambria Math" w:cs="Arial"/>
                                  <w:sz w:val="22"/>
                                  <w:szCs w:val="22"/>
                                  <w:lang w:val="en-GB"/>
                                </w:rPr>
                                <m:t>k</m:t>
                              </m:r>
                            </m:sub>
                            <m:sup/>
                            <m:e>
                              <m:r>
                                <w:rPr>
                                  <w:rFonts w:ascii="Cambria Math" w:hAnsi="Cambria Math" w:cs="Arial"/>
                                  <w:sz w:val="22"/>
                                  <w:szCs w:val="22"/>
                                  <w:lang w:val="en-GB"/>
                                </w:rPr>
                                <m:t>AddOn</m:t>
                              </m:r>
                              <m:r>
                                <w:rPr>
                                  <w:rFonts w:ascii="Cambria Math" w:hAnsi="Cambria Math" w:cs="Arial"/>
                                  <w:sz w:val="22"/>
                                  <w:szCs w:val="22"/>
                                  <w:lang w:val="en-GB"/>
                                </w:rPr>
                                <m:t>(</m:t>
                              </m:r>
                              <m:r>
                                <w:rPr>
                                  <w:rFonts w:ascii="Cambria Math" w:hAnsi="Cambria Math" w:cs="Arial"/>
                                  <w:sz w:val="22"/>
                                  <w:szCs w:val="22"/>
                                  <w:lang w:val="en-GB"/>
                                </w:rPr>
                                <m:t>Typ</m:t>
                              </m:r>
                              <m:sSubSup>
                                <m:sSubSupPr>
                                  <m:ctrlPr>
                                    <w:rPr>
                                      <w:rFonts w:ascii="Cambria Math" w:hAnsi="Cambria Math" w:cs="Arial"/>
                                      <w:bCs/>
                                      <w:i/>
                                      <w:sz w:val="22"/>
                                      <w:szCs w:val="22"/>
                                      <w:lang w:val="en-GB"/>
                                    </w:rPr>
                                  </m:ctrlPr>
                                </m:sSubSupPr>
                                <m:e>
                                  <m:r>
                                    <w:rPr>
                                      <w:rFonts w:ascii="Cambria Math" w:hAnsi="Cambria Math" w:cs="Arial"/>
                                      <w:sz w:val="22"/>
                                      <w:szCs w:val="22"/>
                                      <w:lang w:val="en-GB"/>
                                    </w:rPr>
                                    <m:t>e</m:t>
                                  </m:r>
                                </m:e>
                                <m:sub>
                                  <m:r>
                                    <w:rPr>
                                      <w:rFonts w:ascii="Cambria Math" w:hAnsi="Cambria Math" w:cs="Arial"/>
                                      <w:sz w:val="22"/>
                                      <w:szCs w:val="22"/>
                                      <w:lang w:val="en-GB"/>
                                    </w:rPr>
                                    <m:t>k</m:t>
                                  </m:r>
                                </m:sub>
                                <m:sup>
                                  <m:r>
                                    <w:rPr>
                                      <w:rFonts w:ascii="Cambria Math" w:hAnsi="Cambria Math" w:cs="Arial"/>
                                      <w:sz w:val="22"/>
                                      <w:szCs w:val="22"/>
                                      <w:lang w:val="en-GB"/>
                                    </w:rPr>
                                    <m:t>j</m:t>
                                  </m:r>
                                </m:sup>
                              </m:sSubSup>
                              <m:r>
                                <w:rPr>
                                  <w:rFonts w:ascii="Cambria Math" w:hAnsi="Cambria Math" w:cs="Arial"/>
                                  <w:sz w:val="22"/>
                                  <w:szCs w:val="22"/>
                                  <w:lang w:val="en-GB"/>
                                </w:rPr>
                                <m:t>)</m:t>
                              </m:r>
                            </m:e>
                          </m:nary>
                        </m:e>
                      </m:d>
                    </m:e>
                  </m:d>
                </m:e>
              </m:d>
            </m:e>
            <m:sup>
              <m:r>
                <w:rPr>
                  <w:rFonts w:ascii="Cambria Math" w:hAnsi="Cambria Math" w:cs="Arial"/>
                  <w:sz w:val="22"/>
                  <w:szCs w:val="22"/>
                  <w:lang w:val="en-GB"/>
                </w:rPr>
                <m:t>2</m:t>
              </m:r>
            </m:sup>
          </m:sSup>
          <m:r>
            <w:rPr>
              <w:rFonts w:ascii="Cambria Math" w:hAnsi="Cambria Math" w:cs="Arial"/>
              <w:sz w:val="22"/>
              <w:szCs w:val="22"/>
              <w:lang w:val="en-GB"/>
            </w:rPr>
            <m:t>+</m:t>
          </m:r>
          <m:sSup>
            <m:sSupPr>
              <m:ctrlPr>
                <w:rPr>
                  <w:rFonts w:ascii="Cambria Math" w:hAnsi="Cambria Math" w:cs="Arial"/>
                  <w:bCs/>
                  <w:i/>
                  <w:sz w:val="22"/>
                  <w:szCs w:val="22"/>
                  <w:lang w:val="en-GB"/>
                </w:rPr>
              </m:ctrlPr>
            </m:sSupPr>
            <m:e>
              <m:d>
                <m:dPr>
                  <m:begChr m:val=""/>
                  <m:endChr m:val="]"/>
                  <m:ctrlPr>
                    <w:rPr>
                      <w:rFonts w:ascii="Cambria Math" w:hAnsi="Cambria Math" w:cs="Arial"/>
                      <w:bCs/>
                      <w:i/>
                      <w:sz w:val="22"/>
                      <w:szCs w:val="22"/>
                      <w:lang w:val="en-GB"/>
                    </w:rPr>
                  </m:ctrlPr>
                </m:dPr>
                <m:e>
                  <m:sSup>
                    <m:sSupPr>
                      <m:ctrlPr>
                        <w:rPr>
                          <w:rFonts w:ascii="Cambria Math" w:hAnsi="Cambria Math" w:cs="Arial"/>
                          <w:bCs/>
                          <w:i/>
                          <w:sz w:val="22"/>
                          <w:szCs w:val="22"/>
                          <w:lang w:val="en-GB"/>
                        </w:rPr>
                      </m:ctrlPr>
                    </m:sSupPr>
                    <m:e>
                      <m:d>
                        <m:dPr>
                          <m:ctrlPr>
                            <w:rPr>
                              <w:rFonts w:ascii="Cambria Math" w:hAnsi="Cambria Math" w:cs="Arial"/>
                              <w:bCs/>
                              <w:i/>
                              <w:sz w:val="22"/>
                              <w:szCs w:val="22"/>
                              <w:lang w:val="en-GB"/>
                            </w:rPr>
                          </m:ctrlPr>
                        </m:dPr>
                        <m:e>
                          <m:r>
                            <w:rPr>
                              <w:rFonts w:ascii="Cambria Math" w:hAnsi="Cambria Math" w:cs="Arial"/>
                              <w:sz w:val="22"/>
                              <w:szCs w:val="22"/>
                              <w:lang w:val="en-GB"/>
                            </w:rPr>
                            <m:t>1-(</m:t>
                          </m:r>
                          <m:sSubSup>
                            <m:sSubSupPr>
                              <m:ctrlPr>
                                <w:rPr>
                                  <w:rFonts w:ascii="Cambria Math" w:hAnsi="Cambria Math" w:cs="Arial"/>
                                  <w:bCs/>
                                  <w:i/>
                                  <w:sz w:val="22"/>
                                  <w:szCs w:val="22"/>
                                  <w:lang w:val="en-GB"/>
                                </w:rPr>
                              </m:ctrlPr>
                            </m:sSubSupPr>
                            <m:e>
                              <m:r>
                                <w:rPr>
                                  <w:rFonts w:ascii="Cambria Math" w:hAnsi="Cambria Math" w:cs="Arial"/>
                                  <w:sz w:val="22"/>
                                  <w:szCs w:val="22"/>
                                  <w:lang w:val="en-GB"/>
                                </w:rPr>
                                <m:t>ρ</m:t>
                              </m:r>
                            </m:e>
                            <m:sub>
                              <m:r>
                                <w:rPr>
                                  <w:rFonts w:ascii="Cambria Math" w:hAnsi="Cambria Math" w:cs="Arial"/>
                                  <w:sz w:val="22"/>
                                  <w:szCs w:val="22"/>
                                  <w:lang w:val="en-GB"/>
                                </w:rPr>
                                <m:t>j</m:t>
                              </m:r>
                            </m:sub>
                            <m:sup>
                              <m:d>
                                <m:dPr>
                                  <m:ctrlPr>
                                    <w:rPr>
                                      <w:rFonts w:ascii="Cambria Math" w:hAnsi="Cambria Math" w:cs="Arial"/>
                                      <w:bCs/>
                                      <w:i/>
                                      <w:sz w:val="22"/>
                                      <w:szCs w:val="22"/>
                                      <w:lang w:val="en-GB"/>
                                    </w:rPr>
                                  </m:ctrlPr>
                                </m:dPr>
                                <m:e>
                                  <m:r>
                                    <w:rPr>
                                      <w:rFonts w:ascii="Cambria Math" w:hAnsi="Cambria Math" w:cs="Arial"/>
                                      <w:sz w:val="22"/>
                                      <w:szCs w:val="22"/>
                                      <w:lang w:val="en-GB"/>
                                    </w:rPr>
                                    <m:t>Com</m:t>
                                  </m:r>
                                </m:e>
                              </m:d>
                            </m:sup>
                          </m:sSubSup>
                          <m:sSup>
                            <m:sSupPr>
                              <m:ctrlPr>
                                <w:rPr>
                                  <w:rFonts w:ascii="Cambria Math" w:hAnsi="Cambria Math" w:cs="Arial"/>
                                  <w:bCs/>
                                  <w:i/>
                                  <w:sz w:val="22"/>
                                  <w:szCs w:val="22"/>
                                  <w:lang w:val="en-GB"/>
                                </w:rPr>
                              </m:ctrlPr>
                            </m:sSupPr>
                            <m:e>
                              <m:r>
                                <w:rPr>
                                  <w:rFonts w:ascii="Cambria Math" w:hAnsi="Cambria Math" w:cs="Arial"/>
                                  <w:sz w:val="22"/>
                                  <w:szCs w:val="22"/>
                                  <w:lang w:val="en-GB"/>
                                </w:rPr>
                                <m:t>)</m:t>
                              </m:r>
                            </m:e>
                            <m:sup>
                              <m:r>
                                <w:rPr>
                                  <w:rFonts w:ascii="Cambria Math" w:hAnsi="Cambria Math" w:cs="Arial"/>
                                  <w:sz w:val="22"/>
                                  <w:szCs w:val="22"/>
                                  <w:lang w:val="en-GB"/>
                                </w:rPr>
                                <m:t>2</m:t>
                              </m:r>
                            </m:sup>
                          </m:sSup>
                        </m:e>
                      </m:d>
                      <m:r>
                        <w:rPr>
                          <w:rFonts w:ascii="Cambria Math" w:hAnsi="Cambria Math" w:cs="Arial"/>
                          <w:sz w:val="22"/>
                          <w:szCs w:val="22"/>
                          <w:lang w:val="en-GB"/>
                        </w:rPr>
                        <m:t>*</m:t>
                      </m:r>
                      <m:nary>
                        <m:naryPr>
                          <m:chr m:val="∑"/>
                          <m:limLoc m:val="undOvr"/>
                          <m:supHide m:val="1"/>
                          <m:ctrlPr>
                            <w:rPr>
                              <w:rFonts w:ascii="Cambria Math" w:hAnsi="Cambria Math" w:cs="Arial"/>
                              <w:bCs/>
                              <w:i/>
                              <w:sz w:val="22"/>
                              <w:szCs w:val="22"/>
                              <w:lang w:val="en-GB"/>
                            </w:rPr>
                          </m:ctrlPr>
                        </m:naryPr>
                        <m:sub>
                          <m:r>
                            <w:rPr>
                              <w:rFonts w:ascii="Cambria Math" w:hAnsi="Cambria Math" w:cs="Arial"/>
                              <w:sz w:val="22"/>
                              <w:szCs w:val="22"/>
                              <w:lang w:val="en-GB"/>
                            </w:rPr>
                            <m:t>k</m:t>
                          </m:r>
                        </m:sub>
                        <m:sup/>
                        <m:e>
                          <m:d>
                            <m:dPr>
                              <m:ctrlPr>
                                <w:rPr>
                                  <w:rFonts w:ascii="Cambria Math" w:hAnsi="Cambria Math" w:cs="Arial"/>
                                  <w:i/>
                                  <w:sz w:val="22"/>
                                  <w:szCs w:val="22"/>
                                  <w:lang w:val="en-GB"/>
                                </w:rPr>
                              </m:ctrlPr>
                            </m:dPr>
                            <m:e>
                              <m:r>
                                <w:rPr>
                                  <w:rFonts w:ascii="Cambria Math" w:hAnsi="Cambria Math" w:cs="Arial"/>
                                  <w:sz w:val="22"/>
                                  <w:szCs w:val="22"/>
                                  <w:lang w:val="en-GB"/>
                                </w:rPr>
                                <m:t>AddOn</m:t>
                              </m:r>
                              <m:d>
                                <m:dPr>
                                  <m:ctrlPr>
                                    <w:rPr>
                                      <w:rFonts w:ascii="Cambria Math" w:hAnsi="Cambria Math" w:cs="Arial"/>
                                      <w:bCs/>
                                      <w:i/>
                                      <w:sz w:val="22"/>
                                      <w:szCs w:val="22"/>
                                      <w:lang w:val="en-GB"/>
                                    </w:rPr>
                                  </m:ctrlPr>
                                </m:dPr>
                                <m:e>
                                  <m:r>
                                    <w:rPr>
                                      <w:rFonts w:ascii="Cambria Math" w:hAnsi="Cambria Math" w:cs="Arial"/>
                                      <w:sz w:val="22"/>
                                      <w:szCs w:val="22"/>
                                      <w:lang w:val="en-GB"/>
                                    </w:rPr>
                                    <m:t>Typ</m:t>
                                  </m:r>
                                  <m:sSubSup>
                                    <m:sSubSupPr>
                                      <m:ctrlPr>
                                        <w:rPr>
                                          <w:rFonts w:ascii="Cambria Math" w:hAnsi="Cambria Math" w:cs="Arial"/>
                                          <w:bCs/>
                                          <w:i/>
                                          <w:sz w:val="22"/>
                                          <w:szCs w:val="22"/>
                                          <w:lang w:val="en-GB"/>
                                        </w:rPr>
                                      </m:ctrlPr>
                                    </m:sSubSupPr>
                                    <m:e>
                                      <m:r>
                                        <w:rPr>
                                          <w:rFonts w:ascii="Cambria Math" w:hAnsi="Cambria Math" w:cs="Arial"/>
                                          <w:sz w:val="22"/>
                                          <w:szCs w:val="22"/>
                                          <w:lang w:val="en-GB"/>
                                        </w:rPr>
                                        <m:t>e</m:t>
                                      </m:r>
                                    </m:e>
                                    <m:sub>
                                      <m:r>
                                        <w:rPr>
                                          <w:rFonts w:ascii="Cambria Math" w:hAnsi="Cambria Math" w:cs="Arial"/>
                                          <w:sz w:val="22"/>
                                          <w:szCs w:val="22"/>
                                          <w:lang w:val="en-GB"/>
                                        </w:rPr>
                                        <m:t>k</m:t>
                                      </m:r>
                                    </m:sub>
                                    <m:sup>
                                      <m:r>
                                        <w:rPr>
                                          <w:rFonts w:ascii="Cambria Math" w:hAnsi="Cambria Math" w:cs="Arial"/>
                                          <w:sz w:val="22"/>
                                          <w:szCs w:val="22"/>
                                          <w:lang w:val="en-GB"/>
                                        </w:rPr>
                                        <m:t>j</m:t>
                                      </m:r>
                                    </m:sup>
                                  </m:sSubSup>
                                </m:e>
                              </m:d>
                            </m:e>
                          </m:d>
                        </m:e>
                      </m:nary>
                    </m:e>
                    <m:sup>
                      <m:r>
                        <w:rPr>
                          <w:rFonts w:ascii="Cambria Math" w:hAnsi="Cambria Math" w:cs="Arial"/>
                          <w:sz w:val="22"/>
                          <w:szCs w:val="22"/>
                          <w:lang w:val="en-GB"/>
                        </w:rPr>
                        <m:t>2</m:t>
                      </m:r>
                    </m:sup>
                  </m:sSup>
                </m:e>
              </m:d>
            </m:e>
            <m:sup>
              <m:f>
                <m:fPr>
                  <m:ctrlPr>
                    <w:rPr>
                      <w:rFonts w:ascii="Cambria Math" w:hAnsi="Cambria Math" w:cs="Arial"/>
                      <w:bCs/>
                      <w:i/>
                      <w:sz w:val="22"/>
                      <w:szCs w:val="22"/>
                      <w:lang w:val="en-GB"/>
                    </w:rPr>
                  </m:ctrlPr>
                </m:fPr>
                <m:num>
                  <m:r>
                    <w:rPr>
                      <w:rFonts w:ascii="Cambria Math" w:hAnsi="Cambria Math" w:cs="Arial"/>
                      <w:sz w:val="22"/>
                      <w:szCs w:val="22"/>
                      <w:lang w:val="en-GB"/>
                    </w:rPr>
                    <m:t>1</m:t>
                  </m:r>
                </m:num>
                <m:den>
                  <m:r>
                    <w:rPr>
                      <w:rFonts w:ascii="Cambria Math" w:hAnsi="Cambria Math" w:cs="Arial"/>
                      <w:sz w:val="22"/>
                      <w:szCs w:val="22"/>
                      <w:lang w:val="en-GB"/>
                    </w:rPr>
                    <m:t>2</m:t>
                  </m:r>
                </m:den>
              </m:f>
            </m:sup>
          </m:sSup>
        </m:oMath>
      </m:oMathPara>
    </w:p>
    <w:p w14:paraId="2DEECF12" w14:textId="77777777" w:rsidR="00F3795F" w:rsidRPr="00E4265B" w:rsidRDefault="00F3795F" w:rsidP="00F3795F">
      <w:pPr>
        <w:pStyle w:val="A1List"/>
        <w:ind w:left="936" w:firstLine="0"/>
        <w:rPr>
          <w:rFonts w:ascii="Arial" w:hAnsi="Arial" w:cs="Arial"/>
          <w:bCs/>
          <w:sz w:val="22"/>
          <w:szCs w:val="22"/>
          <w:lang w:val="en-GB"/>
        </w:rPr>
      </w:pPr>
      <w:r w:rsidRPr="00E4265B">
        <w:rPr>
          <w:rFonts w:ascii="Arial" w:hAnsi="Arial" w:cs="Arial"/>
          <w:bCs/>
          <w:sz w:val="22"/>
          <w:szCs w:val="22"/>
          <w:lang w:val="en-GB"/>
        </w:rPr>
        <w:t xml:space="preserve">where </w:t>
      </w:r>
      <w:r w:rsidRPr="00E4265B">
        <w:rPr>
          <w:rFonts w:ascii="Arial" w:hAnsi="Arial" w:cs="Arial"/>
          <w:bCs/>
          <w:i/>
          <w:iCs/>
          <w:sz w:val="22"/>
          <w:szCs w:val="22"/>
          <w:lang w:val="en-GB"/>
        </w:rPr>
        <w:t>ρ</w:t>
      </w:r>
      <w:r w:rsidRPr="00E4265B">
        <w:rPr>
          <w:rFonts w:ascii="Arial" w:hAnsi="Arial" w:cs="Arial"/>
          <w:bCs/>
          <w:i/>
          <w:iCs/>
          <w:sz w:val="22"/>
          <w:szCs w:val="22"/>
          <w:vertAlign w:val="subscript"/>
          <w:lang w:val="en-GB"/>
        </w:rPr>
        <w:t>j</w:t>
      </w:r>
      <w:r w:rsidRPr="00E4265B">
        <w:rPr>
          <w:rFonts w:ascii="Arial" w:hAnsi="Arial" w:cs="Arial"/>
          <w:bCs/>
          <w:i/>
          <w:iCs/>
          <w:sz w:val="22"/>
          <w:szCs w:val="22"/>
          <w:vertAlign w:val="superscript"/>
          <w:lang w:val="en-GB"/>
        </w:rPr>
        <w:t>(com)</w:t>
      </w:r>
      <w:r w:rsidRPr="00E4265B">
        <w:rPr>
          <w:rFonts w:ascii="Arial" w:hAnsi="Arial" w:cs="Arial"/>
          <w:bCs/>
          <w:sz w:val="22"/>
          <w:szCs w:val="22"/>
          <w:lang w:val="en-GB"/>
        </w:rPr>
        <w:t xml:space="preserve"> is the appropriate correlation factor, determined in accordance with the table in A4.6.34, for the hedging set j. </w:t>
      </w:r>
    </w:p>
    <w:p w14:paraId="3D8ABD6E" w14:textId="77777777" w:rsidR="0017214F" w:rsidRPr="00E4265B" w:rsidRDefault="00F3795F" w:rsidP="00F3795F">
      <w:pPr>
        <w:pStyle w:val="A1List"/>
        <w:keepNext/>
        <w:rPr>
          <w:rFonts w:ascii="Arial" w:hAnsi="Arial" w:cs="Arial"/>
          <w:bCs/>
          <w:sz w:val="22"/>
          <w:szCs w:val="22"/>
          <w:lang w:val="en-GB"/>
        </w:rPr>
      </w:pPr>
      <w:r w:rsidRPr="00E4265B">
        <w:rPr>
          <w:rFonts w:ascii="Arial" w:hAnsi="Arial" w:cs="Arial"/>
          <w:b/>
          <w:bCs/>
          <w:sz w:val="22"/>
          <w:szCs w:val="22"/>
          <w:lang w:val="en-GB"/>
        </w:rPr>
        <w:t>A4.6.58</w:t>
      </w:r>
      <w:r w:rsidRPr="00E4265B">
        <w:rPr>
          <w:rFonts w:ascii="Arial" w:hAnsi="Arial" w:cs="Arial"/>
          <w:b/>
          <w:bCs/>
          <w:sz w:val="22"/>
          <w:szCs w:val="22"/>
          <w:lang w:val="en-GB"/>
        </w:rPr>
        <w:tab/>
      </w:r>
      <w:r w:rsidRPr="00E4265B">
        <w:rPr>
          <w:rFonts w:ascii="Arial" w:hAnsi="Arial" w:cs="Arial"/>
          <w:bCs/>
          <w:sz w:val="22"/>
          <w:szCs w:val="22"/>
          <w:lang w:val="en-GB"/>
        </w:rPr>
        <w:t>The Authorised Person must determine the add-on for its commodity asset class in accordance with the following formula:</w:t>
      </w:r>
    </w:p>
    <w:p w14:paraId="0E920147" w14:textId="77777777" w:rsidR="00F3795F" w:rsidRPr="00E4265B" w:rsidRDefault="00F3795F" w:rsidP="00F3795F">
      <w:pPr>
        <w:pStyle w:val="A1List"/>
        <w:ind w:left="990" w:firstLine="0"/>
        <w:rPr>
          <w:rFonts w:ascii="Arial" w:hAnsi="Arial" w:cs="Arial"/>
          <w:bCs/>
          <w:sz w:val="22"/>
          <w:szCs w:val="22"/>
          <w:lang w:val="en-GB"/>
        </w:rPr>
      </w:pPr>
      <m:oMathPara>
        <m:oMath>
          <m:r>
            <w:rPr>
              <w:rFonts w:ascii="Cambria Math" w:hAnsi="Cambria Math" w:cs="Arial"/>
              <w:sz w:val="22"/>
              <w:szCs w:val="22"/>
              <w:lang w:val="en-GB"/>
            </w:rPr>
            <m:t>AddO</m:t>
          </m:r>
          <m:sSup>
            <m:sSupPr>
              <m:ctrlPr>
                <w:rPr>
                  <w:rFonts w:ascii="Cambria Math" w:hAnsi="Cambria Math" w:cs="Arial"/>
                  <w:bCs/>
                  <w:i/>
                  <w:sz w:val="22"/>
                  <w:szCs w:val="22"/>
                  <w:lang w:val="en-GB"/>
                </w:rPr>
              </m:ctrlPr>
            </m:sSupPr>
            <m:e>
              <m:r>
                <w:rPr>
                  <w:rFonts w:ascii="Cambria Math" w:hAnsi="Cambria Math" w:cs="Arial"/>
                  <w:sz w:val="22"/>
                  <w:szCs w:val="22"/>
                  <w:lang w:val="en-GB"/>
                </w:rPr>
                <m:t>n</m:t>
              </m:r>
            </m:e>
            <m:sup>
              <m:r>
                <w:rPr>
                  <w:rFonts w:ascii="Cambria Math" w:hAnsi="Cambria Math" w:cs="Arial"/>
                  <w:sz w:val="22"/>
                  <w:szCs w:val="22"/>
                  <w:lang w:val="en-GB"/>
                </w:rPr>
                <m:t>(Com)</m:t>
              </m:r>
            </m:sup>
          </m:sSup>
          <m:r>
            <w:rPr>
              <w:rFonts w:ascii="Cambria Math" w:hAnsi="Cambria Math" w:cs="Arial"/>
              <w:sz w:val="22"/>
              <w:szCs w:val="22"/>
              <w:lang w:val="en-GB"/>
            </w:rPr>
            <m:t>=</m:t>
          </m:r>
          <m:nary>
            <m:naryPr>
              <m:chr m:val="∑"/>
              <m:limLoc m:val="undOvr"/>
              <m:supHide m:val="1"/>
              <m:ctrlPr>
                <w:rPr>
                  <w:rFonts w:ascii="Cambria Math" w:hAnsi="Cambria Math" w:cs="Arial"/>
                  <w:bCs/>
                  <w:i/>
                  <w:sz w:val="22"/>
                  <w:szCs w:val="22"/>
                  <w:lang w:val="en-GB"/>
                </w:rPr>
              </m:ctrlPr>
            </m:naryPr>
            <m:sub>
              <m:r>
                <w:rPr>
                  <w:rFonts w:ascii="Cambria Math" w:hAnsi="Cambria Math" w:cs="Arial"/>
                  <w:sz w:val="22"/>
                  <w:szCs w:val="22"/>
                  <w:lang w:val="en-GB"/>
                </w:rPr>
                <m:t>j</m:t>
              </m:r>
            </m:sub>
            <m:sup/>
            <m:e>
              <m:r>
                <w:rPr>
                  <w:rFonts w:ascii="Cambria Math" w:hAnsi="Cambria Math" w:cs="Arial"/>
                  <w:sz w:val="22"/>
                  <w:szCs w:val="22"/>
                  <w:lang w:val="en-GB"/>
                </w:rPr>
                <m:t>AddO</m:t>
              </m:r>
              <m:sSubSup>
                <m:sSubSupPr>
                  <m:ctrlPr>
                    <w:rPr>
                      <w:rFonts w:ascii="Cambria Math" w:hAnsi="Cambria Math" w:cs="Arial"/>
                      <w:bCs/>
                      <w:i/>
                      <w:sz w:val="22"/>
                      <w:szCs w:val="22"/>
                      <w:lang w:val="en-GB"/>
                    </w:rPr>
                  </m:ctrlPr>
                </m:sSubSupPr>
                <m:e>
                  <m:r>
                    <w:rPr>
                      <w:rFonts w:ascii="Cambria Math" w:hAnsi="Cambria Math" w:cs="Arial"/>
                      <w:sz w:val="22"/>
                      <w:szCs w:val="22"/>
                      <w:lang w:val="en-GB"/>
                    </w:rPr>
                    <m:t>n</m:t>
                  </m:r>
                </m:e>
                <m:sub>
                  <m:sSub>
                    <m:sSubPr>
                      <m:ctrlPr>
                        <w:rPr>
                          <w:rFonts w:ascii="Cambria Math" w:hAnsi="Cambria Math" w:cs="Arial"/>
                          <w:bCs/>
                          <w:i/>
                          <w:sz w:val="22"/>
                          <w:szCs w:val="22"/>
                          <w:lang w:val="en-GB"/>
                        </w:rPr>
                      </m:ctrlPr>
                    </m:sSubPr>
                    <m:e>
                      <m:r>
                        <w:rPr>
                          <w:rFonts w:ascii="Cambria Math" w:hAnsi="Cambria Math" w:cs="Arial"/>
                          <w:sz w:val="22"/>
                          <w:szCs w:val="22"/>
                          <w:lang w:val="en-GB"/>
                        </w:rPr>
                        <m:t>HS</m:t>
                      </m:r>
                    </m:e>
                    <m:sub>
                      <m:r>
                        <w:rPr>
                          <w:rFonts w:ascii="Cambria Math" w:hAnsi="Cambria Math" w:cs="Arial"/>
                          <w:sz w:val="22"/>
                          <w:szCs w:val="22"/>
                          <w:lang w:val="en-GB"/>
                        </w:rPr>
                        <m:t>j</m:t>
                      </m:r>
                    </m:sub>
                  </m:sSub>
                </m:sub>
                <m:sup>
                  <m:r>
                    <w:rPr>
                      <w:rFonts w:ascii="Cambria Math" w:hAnsi="Cambria Math" w:cs="Arial"/>
                      <w:sz w:val="22"/>
                      <w:szCs w:val="22"/>
                      <w:lang w:val="en-GB"/>
                    </w:rPr>
                    <m:t>(Com)</m:t>
                  </m:r>
                </m:sup>
              </m:sSubSup>
            </m:e>
          </m:nary>
        </m:oMath>
      </m:oMathPara>
    </w:p>
    <w:p w14:paraId="1247ABE1" w14:textId="77777777" w:rsidR="00E22FF2" w:rsidRPr="00E4265B" w:rsidRDefault="00E22FF2" w:rsidP="004F0272">
      <w:pPr>
        <w:pStyle w:val="UK12Title2"/>
        <w:rPr>
          <w:rFonts w:ascii="Arial" w:hAnsi="Arial" w:cs="Arial"/>
          <w:sz w:val="22"/>
          <w:szCs w:val="22"/>
        </w:rPr>
      </w:pPr>
      <w:bookmarkStart w:id="975" w:name="_Toc33622484"/>
      <w:r w:rsidRPr="00E4265B">
        <w:rPr>
          <w:rFonts w:ascii="Arial" w:hAnsi="Arial" w:cs="Arial"/>
          <w:sz w:val="22"/>
          <w:szCs w:val="22"/>
        </w:rPr>
        <w:lastRenderedPageBreak/>
        <w:t>A4.7 </w:t>
      </w:r>
      <w:r w:rsidRPr="00E4265B">
        <w:rPr>
          <w:rFonts w:ascii="Arial" w:hAnsi="Arial" w:cs="Arial"/>
          <w:sz w:val="22"/>
          <w:szCs w:val="22"/>
        </w:rPr>
        <w:tab/>
        <w:t xml:space="preserve">Credit RWA </w:t>
      </w:r>
      <w:r w:rsidRPr="00E4265B">
        <w:rPr>
          <w:rFonts w:ascii="Arial" w:hAnsi="Arial" w:cs="Arial"/>
          <w:sz w:val="22"/>
          <w:szCs w:val="22"/>
        </w:rPr>
        <w:noBreakHyphen/>
        <w:t xml:space="preserve"> repurchase agreements, reverse repurchase agreements, similar transactions and other deferred settlements</w:t>
      </w:r>
      <w:bookmarkEnd w:id="975"/>
    </w:p>
    <w:p w14:paraId="62999B39"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A4.7.1</w:t>
      </w:r>
      <w:r w:rsidRPr="00E4265B">
        <w:rPr>
          <w:rFonts w:ascii="Arial" w:hAnsi="Arial" w:cs="Arial"/>
          <w:b/>
          <w:bCs/>
          <w:sz w:val="22"/>
          <w:szCs w:val="22"/>
          <w:lang w:val="en-GB"/>
        </w:rPr>
        <w:tab/>
      </w:r>
      <w:r w:rsidRPr="00E4265B">
        <w:rPr>
          <w:rFonts w:ascii="Arial" w:hAnsi="Arial" w:cs="Arial"/>
          <w:sz w:val="22"/>
          <w:szCs w:val="22"/>
          <w:lang w:val="en-GB"/>
        </w:rPr>
        <w:t>This Section applies to transactions in the Trading Book in relation to repurchase agreements, reverse repurchase agreements, similar transactions and deferred settlements.</w:t>
      </w:r>
    </w:p>
    <w:p w14:paraId="30BE89F4" w14:textId="77777777" w:rsidR="003C6AAF" w:rsidRPr="00E4265B" w:rsidRDefault="00E22FF2" w:rsidP="0089332A">
      <w:pPr>
        <w:pStyle w:val="A1List"/>
        <w:rPr>
          <w:rFonts w:ascii="Arial" w:hAnsi="Arial" w:cs="Arial"/>
          <w:sz w:val="22"/>
          <w:szCs w:val="22"/>
          <w:lang w:val="en-GB"/>
        </w:rPr>
      </w:pPr>
      <w:r w:rsidRPr="00E4265B">
        <w:rPr>
          <w:rFonts w:ascii="Arial" w:hAnsi="Arial" w:cs="Arial"/>
          <w:b/>
          <w:bCs/>
          <w:sz w:val="22"/>
          <w:szCs w:val="22"/>
          <w:lang w:val="en-GB"/>
        </w:rPr>
        <w:t>A4.7.2</w:t>
      </w:r>
      <w:r w:rsidRPr="00E4265B">
        <w:rPr>
          <w:rFonts w:ascii="Arial" w:hAnsi="Arial" w:cs="Arial"/>
          <w:b/>
          <w:bCs/>
          <w:sz w:val="22"/>
          <w:szCs w:val="22"/>
          <w:lang w:val="en-GB"/>
        </w:rPr>
        <w:tab/>
      </w:r>
      <w:r w:rsidRPr="00E4265B">
        <w:rPr>
          <w:rFonts w:ascii="Arial" w:hAnsi="Arial" w:cs="Arial"/>
          <w:sz w:val="22"/>
          <w:szCs w:val="22"/>
          <w:lang w:val="en-GB"/>
        </w:rPr>
        <w:t>For repurchase agreements and reverse repurchase agreements the formula for Credit RWA, which must be ca</w:t>
      </w:r>
      <w:r w:rsidR="003C6AAF" w:rsidRPr="00E4265B">
        <w:rPr>
          <w:rFonts w:ascii="Arial" w:hAnsi="Arial" w:cs="Arial"/>
          <w:sz w:val="22"/>
          <w:szCs w:val="22"/>
          <w:lang w:val="en-GB"/>
        </w:rPr>
        <w:t>lculated from T, is as follows:</w:t>
      </w:r>
    </w:p>
    <w:p w14:paraId="39E4B44C" w14:textId="18BF1DA6" w:rsidR="00E22FF2" w:rsidRPr="00E4265B" w:rsidRDefault="00E22FF2" w:rsidP="003C6AAF">
      <w:pPr>
        <w:pStyle w:val="A1List"/>
        <w:jc w:val="center"/>
        <w:rPr>
          <w:rFonts w:ascii="Arial" w:hAnsi="Arial" w:cs="Arial"/>
          <w:sz w:val="22"/>
          <w:szCs w:val="22"/>
          <w:lang w:val="en-GB"/>
        </w:rPr>
      </w:pPr>
      <w:r w:rsidRPr="00E4265B">
        <w:rPr>
          <w:rFonts w:ascii="Arial" w:hAnsi="Arial" w:cs="Arial"/>
          <w:sz w:val="22"/>
          <w:szCs w:val="22"/>
          <w:lang w:val="en-GB"/>
        </w:rPr>
        <w:t>Credit RWA = E x CRW.</w:t>
      </w:r>
    </w:p>
    <w:p w14:paraId="046FB0D3" w14:textId="77777777" w:rsidR="003C6AAF"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A4.7.3</w:t>
      </w:r>
      <w:r w:rsidRPr="00E4265B">
        <w:rPr>
          <w:rFonts w:ascii="Arial" w:hAnsi="Arial" w:cs="Arial"/>
          <w:b/>
          <w:bCs/>
          <w:sz w:val="22"/>
          <w:szCs w:val="22"/>
          <w:lang w:val="en-GB"/>
        </w:rPr>
        <w:tab/>
      </w:r>
      <w:r w:rsidR="003C6AAF" w:rsidRPr="00E4265B">
        <w:rPr>
          <w:rFonts w:ascii="Arial" w:hAnsi="Arial" w:cs="Arial"/>
          <w:sz w:val="22"/>
          <w:szCs w:val="22"/>
          <w:lang w:val="en-GB"/>
        </w:rPr>
        <w:t>For repurchase agreements:</w:t>
      </w:r>
    </w:p>
    <w:p w14:paraId="15E5923E" w14:textId="4BDF352A" w:rsidR="00E22FF2" w:rsidRPr="00E4265B" w:rsidRDefault="00E22FF2" w:rsidP="003C6AAF">
      <w:pPr>
        <w:pStyle w:val="A1List"/>
        <w:jc w:val="center"/>
        <w:rPr>
          <w:rFonts w:ascii="Arial" w:hAnsi="Arial" w:cs="Arial"/>
          <w:sz w:val="22"/>
          <w:szCs w:val="22"/>
          <w:lang w:val="en-GB"/>
        </w:rPr>
      </w:pPr>
      <w:r w:rsidRPr="00E4265B">
        <w:rPr>
          <w:rFonts w:ascii="Arial" w:hAnsi="Arial" w:cs="Arial"/>
          <w:sz w:val="22"/>
          <w:szCs w:val="22"/>
          <w:lang w:val="en-GB"/>
        </w:rPr>
        <w:t xml:space="preserve">E = MV of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sold </w:t>
      </w:r>
      <w:r w:rsidRPr="00E4265B">
        <w:rPr>
          <w:rFonts w:ascii="Arial" w:hAnsi="Arial" w:cs="Arial"/>
          <w:sz w:val="22"/>
          <w:szCs w:val="22"/>
          <w:lang w:val="en-GB"/>
        </w:rPr>
        <w:noBreakHyphen/>
        <w:t xml:space="preserve"> value of the Collateral or cash received.</w:t>
      </w:r>
    </w:p>
    <w:p w14:paraId="0AF0E83B" w14:textId="77777777" w:rsidR="003C6AAF" w:rsidRPr="00E4265B" w:rsidRDefault="00E22FF2" w:rsidP="004F005B">
      <w:pPr>
        <w:pStyle w:val="A1List"/>
        <w:rPr>
          <w:rFonts w:ascii="Arial" w:hAnsi="Arial" w:cs="Arial"/>
          <w:sz w:val="22"/>
          <w:szCs w:val="22"/>
          <w:lang w:val="en-GB"/>
        </w:rPr>
      </w:pPr>
      <w:r w:rsidRPr="00E4265B">
        <w:rPr>
          <w:rFonts w:ascii="Arial" w:hAnsi="Arial" w:cs="Arial"/>
          <w:b/>
          <w:bCs/>
          <w:sz w:val="22"/>
          <w:szCs w:val="22"/>
          <w:lang w:val="en-GB"/>
        </w:rPr>
        <w:t>A4.7.4</w:t>
      </w:r>
      <w:r w:rsidRPr="00E4265B">
        <w:rPr>
          <w:rFonts w:ascii="Arial" w:hAnsi="Arial" w:cs="Arial"/>
          <w:b/>
          <w:bCs/>
          <w:sz w:val="22"/>
          <w:szCs w:val="22"/>
          <w:lang w:val="en-GB"/>
        </w:rPr>
        <w:tab/>
      </w:r>
      <w:r w:rsidRPr="00E4265B">
        <w:rPr>
          <w:rFonts w:ascii="Arial" w:hAnsi="Arial" w:cs="Arial"/>
          <w:sz w:val="22"/>
          <w:szCs w:val="22"/>
          <w:lang w:val="en-GB"/>
        </w:rPr>
        <w:t>For</w:t>
      </w:r>
      <w:r w:rsidR="003C6AAF" w:rsidRPr="00E4265B">
        <w:rPr>
          <w:rFonts w:ascii="Arial" w:hAnsi="Arial" w:cs="Arial"/>
          <w:sz w:val="22"/>
          <w:szCs w:val="22"/>
          <w:lang w:val="en-GB"/>
        </w:rPr>
        <w:t xml:space="preserve"> reverse repurchase agreements:</w:t>
      </w:r>
    </w:p>
    <w:p w14:paraId="232804B4" w14:textId="5709E86A" w:rsidR="00E22FF2" w:rsidRPr="00E4265B" w:rsidRDefault="00E22FF2" w:rsidP="003C6AAF">
      <w:pPr>
        <w:pStyle w:val="A1List"/>
        <w:jc w:val="center"/>
        <w:rPr>
          <w:rFonts w:ascii="Arial" w:hAnsi="Arial" w:cs="Arial"/>
          <w:sz w:val="22"/>
          <w:szCs w:val="22"/>
          <w:lang w:val="en-GB"/>
        </w:rPr>
      </w:pPr>
      <w:r w:rsidRPr="00E4265B">
        <w:rPr>
          <w:rFonts w:ascii="Arial" w:hAnsi="Arial" w:cs="Arial"/>
          <w:sz w:val="22"/>
          <w:szCs w:val="22"/>
          <w:lang w:val="en-GB"/>
        </w:rPr>
        <w:t xml:space="preserve">E = Amount paid or Collateral given </w:t>
      </w:r>
      <w:r w:rsidRPr="00E4265B">
        <w:rPr>
          <w:rFonts w:ascii="Arial" w:hAnsi="Arial" w:cs="Arial"/>
          <w:sz w:val="22"/>
          <w:szCs w:val="22"/>
          <w:lang w:val="en-GB"/>
        </w:rPr>
        <w:noBreakHyphen/>
        <w:t xml:space="preserve"> MV of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received.</w:t>
      </w:r>
    </w:p>
    <w:p w14:paraId="2ABD4C59" w14:textId="77777777" w:rsidR="003C6AAF"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A4.7.5</w:t>
      </w:r>
      <w:r w:rsidRPr="00E4265B">
        <w:rPr>
          <w:rFonts w:ascii="Arial" w:hAnsi="Arial" w:cs="Arial"/>
          <w:b/>
          <w:bCs/>
          <w:sz w:val="22"/>
          <w:szCs w:val="22"/>
          <w:lang w:val="en-GB"/>
        </w:rPr>
        <w:tab/>
      </w:r>
      <w:r w:rsidRPr="00E4265B">
        <w:rPr>
          <w:rFonts w:ascii="Arial" w:hAnsi="Arial" w:cs="Arial"/>
          <w:sz w:val="22"/>
          <w:szCs w:val="22"/>
          <w:lang w:val="en-GB"/>
        </w:rPr>
        <w:t>I</w:t>
      </w:r>
      <w:r w:rsidR="003C6AAF" w:rsidRPr="00E4265B">
        <w:rPr>
          <w:rFonts w:ascii="Arial" w:hAnsi="Arial" w:cs="Arial"/>
          <w:sz w:val="22"/>
          <w:szCs w:val="22"/>
          <w:lang w:val="en-GB"/>
        </w:rPr>
        <w:t>f the E calculated is negative:</w:t>
      </w:r>
    </w:p>
    <w:p w14:paraId="51493F5D" w14:textId="3B26B0E6" w:rsidR="00E22FF2" w:rsidRPr="00E4265B" w:rsidRDefault="00E22FF2" w:rsidP="003C6AAF">
      <w:pPr>
        <w:pStyle w:val="A1List"/>
        <w:jc w:val="center"/>
        <w:rPr>
          <w:rFonts w:ascii="Arial" w:hAnsi="Arial" w:cs="Arial"/>
          <w:sz w:val="22"/>
          <w:szCs w:val="22"/>
          <w:lang w:val="en-GB"/>
        </w:rPr>
      </w:pPr>
      <w:r w:rsidRPr="00E4265B">
        <w:rPr>
          <w:rFonts w:ascii="Arial" w:hAnsi="Arial" w:cs="Arial"/>
          <w:sz w:val="22"/>
          <w:szCs w:val="22"/>
          <w:lang w:val="en-GB"/>
        </w:rPr>
        <w:t>Credit RWA = 0.</w:t>
      </w:r>
    </w:p>
    <w:p w14:paraId="0210A1B0"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A4.7.6</w:t>
      </w:r>
      <w:r w:rsidRPr="00E4265B">
        <w:rPr>
          <w:rFonts w:ascii="Arial" w:hAnsi="Arial" w:cs="Arial"/>
          <w:b/>
          <w:bCs/>
          <w:sz w:val="22"/>
          <w:szCs w:val="22"/>
          <w:lang w:val="en-GB"/>
        </w:rPr>
        <w:tab/>
      </w:r>
      <w:r w:rsidRPr="00E4265B">
        <w:rPr>
          <w:rFonts w:ascii="Arial" w:hAnsi="Arial" w:cs="Arial"/>
          <w:sz w:val="22"/>
          <w:szCs w:val="22"/>
          <w:lang w:val="en-GB"/>
        </w:rPr>
        <w:t xml:space="preserve">The MV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and the value of cash lodged must include accrued interest.</w:t>
      </w:r>
    </w:p>
    <w:p w14:paraId="53179AAD" w14:textId="77777777" w:rsidR="00E22FF2" w:rsidRPr="00E4265B" w:rsidRDefault="00E22FF2" w:rsidP="0089332A">
      <w:pPr>
        <w:pStyle w:val="A1List"/>
        <w:rPr>
          <w:rFonts w:ascii="Arial" w:hAnsi="Arial" w:cs="Arial"/>
          <w:sz w:val="22"/>
          <w:szCs w:val="22"/>
          <w:lang w:val="en-GB"/>
        </w:rPr>
      </w:pPr>
      <w:r w:rsidRPr="00E4265B">
        <w:rPr>
          <w:rFonts w:ascii="Arial" w:hAnsi="Arial" w:cs="Arial"/>
          <w:b/>
          <w:bCs/>
          <w:sz w:val="22"/>
          <w:szCs w:val="22"/>
          <w:lang w:val="en-GB"/>
        </w:rPr>
        <w:t>A4.7.7</w:t>
      </w:r>
      <w:r w:rsidRPr="00E4265B">
        <w:rPr>
          <w:rFonts w:ascii="Arial" w:hAnsi="Arial" w:cs="Arial"/>
          <w:b/>
          <w:bCs/>
          <w:sz w:val="22"/>
          <w:szCs w:val="22"/>
          <w:lang w:val="en-GB"/>
        </w:rPr>
        <w:tab/>
      </w:r>
      <w:r w:rsidRPr="00E4265B">
        <w:rPr>
          <w:rFonts w:ascii="Arial" w:hAnsi="Arial" w:cs="Arial"/>
          <w:sz w:val="22"/>
          <w:szCs w:val="22"/>
          <w:lang w:val="en-GB"/>
        </w:rPr>
        <w:t xml:space="preserve">The MV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and the value of Collateral under</w:t>
      </w:r>
      <w:r w:rsidR="00EF29A4" w:rsidRPr="00E4265B">
        <w:rPr>
          <w:rFonts w:ascii="Arial" w:hAnsi="Arial" w:cs="Arial"/>
          <w:sz w:val="22"/>
          <w:szCs w:val="22"/>
          <w:lang w:val="en-GB"/>
        </w:rPr>
        <w:t xml:space="preserve"> Rules</w:t>
      </w:r>
      <w:r w:rsidRPr="00E4265B">
        <w:rPr>
          <w:rFonts w:ascii="Arial" w:hAnsi="Arial" w:cs="Arial"/>
          <w:sz w:val="22"/>
          <w:szCs w:val="22"/>
          <w:lang w:val="en-GB"/>
        </w:rPr>
        <w:t xml:space="preserve"> A4.7.3 to A4.7.6 should be calculated in accordance with the CRM provisions set out in Section 4.13.</w:t>
      </w:r>
    </w:p>
    <w:p w14:paraId="4B95D277" w14:textId="77777777" w:rsidR="00F3795F" w:rsidRPr="00E4265B" w:rsidRDefault="00E22FF2" w:rsidP="0089332A">
      <w:pPr>
        <w:pStyle w:val="A1List"/>
        <w:rPr>
          <w:rFonts w:ascii="Arial" w:hAnsi="Arial" w:cs="Arial"/>
          <w:sz w:val="22"/>
          <w:szCs w:val="22"/>
          <w:lang w:val="en-GB"/>
        </w:rPr>
      </w:pPr>
      <w:r w:rsidRPr="00E4265B">
        <w:rPr>
          <w:rFonts w:ascii="Arial" w:hAnsi="Arial" w:cs="Arial"/>
          <w:b/>
          <w:bCs/>
          <w:sz w:val="22"/>
          <w:szCs w:val="22"/>
          <w:lang w:val="en-GB"/>
        </w:rPr>
        <w:t>A4.7.8</w:t>
      </w:r>
      <w:r w:rsidRPr="00E4265B">
        <w:rPr>
          <w:rFonts w:ascii="Arial" w:hAnsi="Arial" w:cs="Arial"/>
          <w:b/>
          <w:bCs/>
          <w:sz w:val="22"/>
          <w:szCs w:val="22"/>
          <w:lang w:val="en-GB"/>
        </w:rPr>
        <w:tab/>
      </w:r>
      <w:r w:rsidRPr="00E4265B">
        <w:rPr>
          <w:rFonts w:ascii="Arial" w:hAnsi="Arial" w:cs="Arial"/>
          <w:sz w:val="22"/>
          <w:szCs w:val="22"/>
          <w:lang w:val="en-GB"/>
        </w:rPr>
        <w:t xml:space="preserve">For deferred settlement purchases and sales transactions over the spot period: </w:t>
      </w:r>
    </w:p>
    <w:p w14:paraId="4DB7F420" w14:textId="77777777" w:rsidR="00E22FF2" w:rsidRPr="00E4265B" w:rsidRDefault="00E22FF2" w:rsidP="00F3795F">
      <w:pPr>
        <w:pStyle w:val="A1List"/>
        <w:jc w:val="center"/>
        <w:rPr>
          <w:rFonts w:ascii="Arial" w:hAnsi="Arial" w:cs="Arial"/>
          <w:sz w:val="22"/>
          <w:szCs w:val="22"/>
          <w:lang w:val="en-GB"/>
        </w:rPr>
      </w:pPr>
      <w:r w:rsidRPr="00E4265B">
        <w:rPr>
          <w:rFonts w:ascii="Arial" w:hAnsi="Arial" w:cs="Arial"/>
          <w:sz w:val="22"/>
          <w:szCs w:val="22"/>
          <w:lang w:val="en-GB"/>
        </w:rPr>
        <w:t>Credit RWA = 0.</w:t>
      </w:r>
    </w:p>
    <w:p w14:paraId="251D41C0"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A4.7.9</w:t>
      </w:r>
      <w:r w:rsidRPr="00E4265B">
        <w:rPr>
          <w:rFonts w:ascii="Arial" w:hAnsi="Arial" w:cs="Arial"/>
          <w:b/>
          <w:bCs/>
          <w:sz w:val="22"/>
          <w:szCs w:val="22"/>
          <w:lang w:val="en-GB"/>
        </w:rPr>
        <w:tab/>
      </w:r>
      <w:r w:rsidRPr="00E4265B">
        <w:rPr>
          <w:rFonts w:ascii="Arial" w:hAnsi="Arial" w:cs="Arial"/>
          <w:sz w:val="22"/>
          <w:szCs w:val="22"/>
          <w:lang w:val="en-GB"/>
        </w:rPr>
        <w:t>The 'spot period' means the shortest time between T and:</w:t>
      </w:r>
    </w:p>
    <w:p w14:paraId="6E701938" w14:textId="77777777" w:rsidR="00E22FF2" w:rsidRPr="00E4265B" w:rsidRDefault="00E22FF2" w:rsidP="0089332A">
      <w:pPr>
        <w:pStyle w:val="1List"/>
        <w:rPr>
          <w:rFonts w:ascii="Arial" w:hAnsi="Arial" w:cs="Arial"/>
          <w:sz w:val="22"/>
          <w:szCs w:val="22"/>
          <w:lang w:val="en-GB"/>
        </w:rPr>
      </w:pPr>
      <w:r w:rsidRPr="00E4265B">
        <w:rPr>
          <w:rFonts w:ascii="Arial" w:hAnsi="Arial" w:cs="Arial"/>
          <w:sz w:val="22"/>
          <w:szCs w:val="22"/>
          <w:lang w:val="en-GB"/>
        </w:rPr>
        <w:t>(a) </w:t>
      </w:r>
      <w:r w:rsidRPr="00E4265B">
        <w:rPr>
          <w:rFonts w:ascii="Arial" w:hAnsi="Arial" w:cs="Arial"/>
          <w:sz w:val="22"/>
          <w:szCs w:val="22"/>
          <w:lang w:val="en-GB"/>
        </w:rPr>
        <w:tab/>
        <w:t>the contractual settlement date;</w:t>
      </w:r>
    </w:p>
    <w:p w14:paraId="5D847B9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 </w:t>
      </w:r>
      <w:r w:rsidRPr="00E4265B">
        <w:rPr>
          <w:rFonts w:ascii="Arial" w:hAnsi="Arial" w:cs="Arial"/>
          <w:sz w:val="22"/>
          <w:szCs w:val="22"/>
          <w:lang w:val="en-GB"/>
        </w:rPr>
        <w:tab/>
        <w:t>the normal local market settlement date; and</w:t>
      </w:r>
    </w:p>
    <w:p w14:paraId="3E855E3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 </w:t>
      </w:r>
      <w:r w:rsidRPr="00E4265B">
        <w:rPr>
          <w:rFonts w:ascii="Arial" w:hAnsi="Arial" w:cs="Arial"/>
          <w:sz w:val="22"/>
          <w:szCs w:val="22"/>
          <w:lang w:val="en-GB"/>
        </w:rPr>
        <w:tab/>
        <w:t>T + five business days.</w:t>
      </w:r>
    </w:p>
    <w:p w14:paraId="1D7B4296" w14:textId="0C37DDE5"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A4.7.10</w:t>
      </w:r>
      <w:r w:rsidRPr="00E4265B">
        <w:rPr>
          <w:rFonts w:ascii="Arial" w:hAnsi="Arial" w:cs="Arial"/>
          <w:b/>
          <w:bCs/>
          <w:sz w:val="22"/>
          <w:szCs w:val="22"/>
          <w:lang w:val="en-GB"/>
        </w:rPr>
        <w:tab/>
      </w:r>
      <w:r w:rsidRPr="00E4265B">
        <w:rPr>
          <w:rFonts w:ascii="Arial" w:hAnsi="Arial" w:cs="Arial"/>
          <w:sz w:val="22"/>
          <w:szCs w:val="22"/>
          <w:lang w:val="en-GB"/>
        </w:rPr>
        <w:t xml:space="preserve">For deferred settlement purchases and sales transactions with a contractual settlement date after the spot period as set out above but less than </w:t>
      </w:r>
      <w:r w:rsidR="003C6AAF" w:rsidRPr="00E4265B">
        <w:rPr>
          <w:rFonts w:ascii="Arial" w:hAnsi="Arial" w:cs="Arial"/>
          <w:sz w:val="22"/>
          <w:szCs w:val="22"/>
          <w:lang w:val="en-GB"/>
        </w:rPr>
        <w:t>(T + </w:t>
      </w:r>
      <w:r w:rsidRPr="00E4265B">
        <w:rPr>
          <w:rFonts w:ascii="Arial" w:hAnsi="Arial" w:cs="Arial"/>
          <w:sz w:val="22"/>
          <w:szCs w:val="22"/>
          <w:lang w:val="en-GB"/>
        </w:rPr>
        <w:t>five business days</w:t>
      </w:r>
      <w:r w:rsidR="003C6AAF" w:rsidRPr="00E4265B">
        <w:rPr>
          <w:rFonts w:ascii="Arial" w:hAnsi="Arial" w:cs="Arial"/>
          <w:sz w:val="22"/>
          <w:szCs w:val="22"/>
          <w:lang w:val="en-GB"/>
        </w:rPr>
        <w:t>)</w:t>
      </w:r>
      <w:r w:rsidR="00F3795F" w:rsidRPr="00E4265B">
        <w:rPr>
          <w:rFonts w:ascii="Arial" w:hAnsi="Arial" w:cs="Arial"/>
          <w:sz w:val="22"/>
          <w:szCs w:val="22"/>
          <w:lang w:val="en-GB"/>
        </w:rPr>
        <w:t>:</w:t>
      </w:r>
    </w:p>
    <w:p w14:paraId="1CB64498" w14:textId="77777777" w:rsidR="00E22FF2" w:rsidRPr="00E4265B" w:rsidRDefault="00E22FF2" w:rsidP="00F3795F">
      <w:pPr>
        <w:pStyle w:val="A1List"/>
        <w:ind w:left="936" w:firstLine="0"/>
        <w:jc w:val="center"/>
        <w:rPr>
          <w:rFonts w:ascii="Arial" w:hAnsi="Arial" w:cs="Arial"/>
          <w:bCs/>
          <w:sz w:val="22"/>
          <w:szCs w:val="22"/>
          <w:lang w:val="en-GB"/>
        </w:rPr>
      </w:pPr>
      <w:r w:rsidRPr="00E4265B">
        <w:rPr>
          <w:rFonts w:ascii="Arial" w:hAnsi="Arial" w:cs="Arial"/>
          <w:bCs/>
          <w:sz w:val="22"/>
          <w:szCs w:val="22"/>
          <w:lang w:val="en-GB"/>
        </w:rPr>
        <w:t>Credit RWA = E x CRW.</w:t>
      </w:r>
    </w:p>
    <w:p w14:paraId="1772355E" w14:textId="77777777" w:rsidR="00F3795F" w:rsidRPr="00E4265B" w:rsidRDefault="00F3795F" w:rsidP="00F3795F">
      <w:pPr>
        <w:pStyle w:val="A1List"/>
        <w:rPr>
          <w:rFonts w:ascii="Arial" w:hAnsi="Arial" w:cs="Arial"/>
          <w:sz w:val="22"/>
          <w:szCs w:val="22"/>
          <w:lang w:val="en-GB"/>
        </w:rPr>
      </w:pPr>
      <w:r w:rsidRPr="00E4265B">
        <w:rPr>
          <w:rFonts w:ascii="Arial" w:hAnsi="Arial" w:cs="Arial"/>
          <w:b/>
          <w:bCs/>
          <w:sz w:val="22"/>
          <w:szCs w:val="22"/>
          <w:lang w:val="en-GB"/>
        </w:rPr>
        <w:t>A4.7.11</w:t>
      </w:r>
      <w:r w:rsidRPr="00E4265B">
        <w:rPr>
          <w:rFonts w:ascii="Arial" w:hAnsi="Arial" w:cs="Arial"/>
          <w:b/>
          <w:bCs/>
          <w:sz w:val="22"/>
          <w:szCs w:val="22"/>
          <w:lang w:val="en-GB"/>
        </w:rPr>
        <w:tab/>
      </w:r>
      <w:r w:rsidRPr="00E4265B">
        <w:rPr>
          <w:rFonts w:ascii="Arial" w:hAnsi="Arial" w:cs="Arial"/>
          <w:sz w:val="22"/>
          <w:szCs w:val="22"/>
          <w:lang w:val="en-GB"/>
        </w:rPr>
        <w:t xml:space="preserve">Not currently in use. </w:t>
      </w:r>
    </w:p>
    <w:p w14:paraId="137608D4" w14:textId="156071D8" w:rsidR="00F3795F"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A4.7.12</w:t>
      </w:r>
      <w:r w:rsidRPr="00E4265B">
        <w:rPr>
          <w:rFonts w:ascii="Arial" w:hAnsi="Arial" w:cs="Arial"/>
          <w:b/>
          <w:bCs/>
          <w:sz w:val="22"/>
          <w:szCs w:val="22"/>
          <w:lang w:val="en-GB"/>
        </w:rPr>
        <w:tab/>
      </w:r>
      <w:r w:rsidRPr="00E4265B">
        <w:rPr>
          <w:rFonts w:ascii="Arial" w:hAnsi="Arial" w:cs="Arial"/>
          <w:sz w:val="22"/>
          <w:szCs w:val="22"/>
          <w:lang w:val="en-GB"/>
        </w:rPr>
        <w:t xml:space="preserve">For deferred settlement purchases and sales transactions with a contractual settlement date exceeding </w:t>
      </w:r>
      <w:r w:rsidR="003C6AAF" w:rsidRPr="00E4265B">
        <w:rPr>
          <w:rFonts w:ascii="Arial" w:hAnsi="Arial" w:cs="Arial"/>
          <w:sz w:val="22"/>
          <w:szCs w:val="22"/>
          <w:lang w:val="en-GB"/>
        </w:rPr>
        <w:t>(T + </w:t>
      </w:r>
      <w:r w:rsidRPr="00E4265B">
        <w:rPr>
          <w:rFonts w:ascii="Arial" w:hAnsi="Arial" w:cs="Arial"/>
          <w:sz w:val="22"/>
          <w:szCs w:val="22"/>
          <w:lang w:val="en-GB"/>
        </w:rPr>
        <w:t>five business days</w:t>
      </w:r>
      <w:r w:rsidR="003C6AAF" w:rsidRPr="00E4265B">
        <w:rPr>
          <w:rFonts w:ascii="Arial" w:hAnsi="Arial" w:cs="Arial"/>
          <w:sz w:val="22"/>
          <w:szCs w:val="22"/>
          <w:lang w:val="en-GB"/>
        </w:rPr>
        <w:t>)</w:t>
      </w:r>
      <w:r w:rsidRPr="00E4265B">
        <w:rPr>
          <w:rFonts w:ascii="Arial" w:hAnsi="Arial" w:cs="Arial"/>
          <w:sz w:val="22"/>
          <w:szCs w:val="22"/>
          <w:lang w:val="en-GB"/>
        </w:rPr>
        <w:t xml:space="preserve">: </w:t>
      </w:r>
    </w:p>
    <w:p w14:paraId="323D70E7" w14:textId="77777777" w:rsidR="00E22FF2" w:rsidRPr="00E4265B" w:rsidRDefault="00E22FF2" w:rsidP="00F3795F">
      <w:pPr>
        <w:pStyle w:val="A1List"/>
        <w:ind w:left="936" w:firstLine="0"/>
        <w:jc w:val="center"/>
        <w:rPr>
          <w:rFonts w:ascii="Arial" w:hAnsi="Arial" w:cs="Arial"/>
          <w:bCs/>
          <w:sz w:val="22"/>
          <w:szCs w:val="22"/>
          <w:lang w:val="en-GB"/>
        </w:rPr>
      </w:pPr>
      <w:r w:rsidRPr="00E4265B">
        <w:rPr>
          <w:rFonts w:ascii="Arial" w:hAnsi="Arial" w:cs="Arial"/>
          <w:bCs/>
          <w:sz w:val="22"/>
          <w:szCs w:val="22"/>
          <w:lang w:val="en-GB"/>
        </w:rPr>
        <w:t xml:space="preserve">Credit RWA = E x CRW x the appropriate </w:t>
      </w:r>
      <w:r w:rsidR="00974E9E" w:rsidRPr="00E4265B">
        <w:rPr>
          <w:rFonts w:ascii="Arial" w:hAnsi="Arial" w:cs="Arial"/>
          <w:bCs/>
          <w:sz w:val="22"/>
          <w:szCs w:val="22"/>
          <w:lang w:val="en-GB"/>
        </w:rPr>
        <w:t xml:space="preserve">percentage </w:t>
      </w:r>
      <w:r w:rsidRPr="00E4265B">
        <w:rPr>
          <w:rFonts w:ascii="Arial" w:hAnsi="Arial" w:cs="Arial"/>
          <w:bCs/>
          <w:sz w:val="22"/>
          <w:szCs w:val="22"/>
          <w:lang w:val="en-GB"/>
        </w:rPr>
        <w:t>from the table below:</w:t>
      </w:r>
    </w:p>
    <w:tbl>
      <w:tblPr>
        <w:tblStyle w:val="TableGrid"/>
        <w:tblW w:w="0" w:type="auto"/>
        <w:tblInd w:w="1098" w:type="dxa"/>
        <w:tblLook w:val="04A0" w:firstRow="1" w:lastRow="0" w:firstColumn="1" w:lastColumn="0" w:noHBand="0" w:noVBand="1"/>
      </w:tblPr>
      <w:tblGrid>
        <w:gridCol w:w="3954"/>
        <w:gridCol w:w="3965"/>
      </w:tblGrid>
      <w:tr w:rsidR="00E22FF2" w:rsidRPr="00E4265B" w14:paraId="06E52A79" w14:textId="77777777" w:rsidTr="00A56816">
        <w:trPr>
          <w:tblHeader/>
        </w:trPr>
        <w:tc>
          <w:tcPr>
            <w:tcW w:w="4072" w:type="dxa"/>
            <w:shd w:val="pct20" w:color="auto" w:fill="auto"/>
          </w:tcPr>
          <w:p w14:paraId="7A21171F" w14:textId="77777777" w:rsidR="00E22FF2" w:rsidRPr="00E4265B" w:rsidRDefault="00E22FF2" w:rsidP="008702C6">
            <w:pPr>
              <w:spacing w:after="240"/>
              <w:jc w:val="center"/>
              <w:rPr>
                <w:rFonts w:ascii="Arial" w:hAnsi="Arial" w:cs="Arial"/>
                <w:b/>
                <w:sz w:val="22"/>
                <w:szCs w:val="22"/>
                <w:lang w:val="en-GB"/>
              </w:rPr>
            </w:pPr>
            <w:r w:rsidRPr="00E4265B">
              <w:rPr>
                <w:rFonts w:ascii="Arial" w:hAnsi="Arial" w:cs="Arial"/>
                <w:b/>
                <w:sz w:val="22"/>
                <w:szCs w:val="22"/>
                <w:lang w:val="en-GB"/>
              </w:rPr>
              <w:lastRenderedPageBreak/>
              <w:t>Number of business days calculated from</w:t>
            </w:r>
            <w:r w:rsidRPr="00E4265B">
              <w:rPr>
                <w:rFonts w:ascii="Arial" w:hAnsi="Arial" w:cs="Arial"/>
                <w:b/>
                <w:sz w:val="22"/>
                <w:szCs w:val="22"/>
                <w:lang w:val="en-GB"/>
              </w:rPr>
              <w:br/>
              <w:t>T</w:t>
            </w:r>
          </w:p>
        </w:tc>
        <w:tc>
          <w:tcPr>
            <w:tcW w:w="4073" w:type="dxa"/>
            <w:shd w:val="pct20" w:color="auto" w:fill="auto"/>
          </w:tcPr>
          <w:p w14:paraId="6280EBDB" w14:textId="77777777" w:rsidR="00E22FF2" w:rsidRPr="00E4265B" w:rsidRDefault="00E22FF2" w:rsidP="00974E9E">
            <w:pPr>
              <w:spacing w:after="240"/>
              <w:jc w:val="center"/>
              <w:rPr>
                <w:rFonts w:ascii="Arial" w:hAnsi="Arial" w:cs="Arial"/>
                <w:b/>
                <w:sz w:val="22"/>
                <w:szCs w:val="22"/>
                <w:lang w:val="en-GB"/>
              </w:rPr>
            </w:pPr>
            <w:r w:rsidRPr="00E4265B">
              <w:rPr>
                <w:rFonts w:ascii="Arial" w:hAnsi="Arial" w:cs="Arial"/>
                <w:b/>
                <w:sz w:val="22"/>
                <w:szCs w:val="22"/>
                <w:lang w:val="en-GB"/>
              </w:rPr>
              <w:t>Percentages used for calculation of</w:t>
            </w:r>
            <w:r w:rsidRPr="00E4265B">
              <w:rPr>
                <w:rFonts w:ascii="Arial" w:hAnsi="Arial" w:cs="Arial"/>
                <w:b/>
                <w:sz w:val="22"/>
                <w:szCs w:val="22"/>
                <w:lang w:val="en-GB"/>
              </w:rPr>
              <w:br/>
            </w:r>
            <w:r w:rsidR="00974E9E" w:rsidRPr="00E4265B">
              <w:rPr>
                <w:rFonts w:ascii="Arial" w:hAnsi="Arial" w:cs="Arial"/>
                <w:b/>
                <w:sz w:val="22"/>
                <w:szCs w:val="22"/>
                <w:lang w:val="en-GB"/>
              </w:rPr>
              <w:t>Credit RWA on deferred settlement transactions</w:t>
            </w:r>
          </w:p>
        </w:tc>
      </w:tr>
      <w:tr w:rsidR="00E22FF2" w:rsidRPr="00E4265B" w14:paraId="466E3660" w14:textId="77777777" w:rsidTr="00A56816">
        <w:tc>
          <w:tcPr>
            <w:tcW w:w="4072" w:type="dxa"/>
          </w:tcPr>
          <w:p w14:paraId="209B0561"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6 - 30</w:t>
            </w:r>
          </w:p>
        </w:tc>
        <w:tc>
          <w:tcPr>
            <w:tcW w:w="4073" w:type="dxa"/>
          </w:tcPr>
          <w:p w14:paraId="762A0E29"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5</w:t>
            </w:r>
            <w:r w:rsidR="00974E9E" w:rsidRPr="00E4265B">
              <w:rPr>
                <w:rFonts w:ascii="Arial" w:hAnsi="Arial" w:cs="Arial"/>
                <w:sz w:val="22"/>
                <w:szCs w:val="22"/>
                <w:lang w:val="en-GB"/>
              </w:rPr>
              <w:t>00%</w:t>
            </w:r>
          </w:p>
        </w:tc>
      </w:tr>
      <w:tr w:rsidR="00E22FF2" w:rsidRPr="00E4265B" w14:paraId="66532E50" w14:textId="77777777" w:rsidTr="00A56816">
        <w:tc>
          <w:tcPr>
            <w:tcW w:w="4072" w:type="dxa"/>
          </w:tcPr>
          <w:p w14:paraId="0D28E7E8"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31 - 45</w:t>
            </w:r>
          </w:p>
        </w:tc>
        <w:tc>
          <w:tcPr>
            <w:tcW w:w="4073" w:type="dxa"/>
          </w:tcPr>
          <w:p w14:paraId="75555963" w14:textId="77777777" w:rsidR="00E22FF2" w:rsidRPr="00E4265B" w:rsidRDefault="00E22FF2" w:rsidP="00974E9E">
            <w:pPr>
              <w:spacing w:after="240"/>
              <w:jc w:val="center"/>
              <w:rPr>
                <w:rFonts w:ascii="Arial" w:hAnsi="Arial" w:cs="Arial"/>
                <w:sz w:val="22"/>
                <w:szCs w:val="22"/>
                <w:lang w:val="en-GB"/>
              </w:rPr>
            </w:pPr>
            <w:r w:rsidRPr="00E4265B">
              <w:rPr>
                <w:rFonts w:ascii="Arial" w:hAnsi="Arial" w:cs="Arial"/>
                <w:sz w:val="22"/>
                <w:szCs w:val="22"/>
                <w:lang w:val="en-GB"/>
              </w:rPr>
              <w:t>75</w:t>
            </w:r>
            <w:r w:rsidR="00974E9E" w:rsidRPr="00E4265B">
              <w:rPr>
                <w:rFonts w:ascii="Arial" w:hAnsi="Arial" w:cs="Arial"/>
                <w:sz w:val="22"/>
                <w:szCs w:val="22"/>
                <w:lang w:val="en-GB"/>
              </w:rPr>
              <w:t>0%</w:t>
            </w:r>
          </w:p>
        </w:tc>
      </w:tr>
      <w:tr w:rsidR="00E22FF2" w:rsidRPr="00E4265B" w14:paraId="60C33DD8" w14:textId="77777777" w:rsidTr="00A56816">
        <w:tc>
          <w:tcPr>
            <w:tcW w:w="4072" w:type="dxa"/>
          </w:tcPr>
          <w:p w14:paraId="20249CF0"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46 or more</w:t>
            </w:r>
          </w:p>
        </w:tc>
        <w:tc>
          <w:tcPr>
            <w:tcW w:w="4073" w:type="dxa"/>
          </w:tcPr>
          <w:p w14:paraId="37A56FEA"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10</w:t>
            </w:r>
            <w:r w:rsidR="00974E9E" w:rsidRPr="00E4265B">
              <w:rPr>
                <w:rFonts w:ascii="Arial" w:hAnsi="Arial" w:cs="Arial"/>
                <w:sz w:val="22"/>
                <w:szCs w:val="22"/>
                <w:lang w:val="en-GB"/>
              </w:rPr>
              <w:t>00%</w:t>
            </w:r>
          </w:p>
        </w:tc>
      </w:tr>
    </w:tbl>
    <w:p w14:paraId="3D287F81" w14:textId="77777777" w:rsidR="00E22FF2" w:rsidRPr="00E4265B" w:rsidRDefault="00E22FF2" w:rsidP="00A56816">
      <w:pPr>
        <w:rPr>
          <w:rFonts w:ascii="Arial" w:hAnsi="Arial" w:cs="Arial"/>
          <w:sz w:val="22"/>
          <w:szCs w:val="22"/>
          <w:lang w:val="en-GB"/>
        </w:rPr>
      </w:pPr>
    </w:p>
    <w:p w14:paraId="55B05140" w14:textId="77777777" w:rsidR="00E22FF2" w:rsidRPr="00E4265B" w:rsidRDefault="00E22FF2" w:rsidP="00013504">
      <w:pPr>
        <w:pStyle w:val="1List"/>
        <w:keepNext/>
        <w:rPr>
          <w:rFonts w:ascii="Arial" w:hAnsi="Arial" w:cs="Arial"/>
          <w:sz w:val="22"/>
          <w:szCs w:val="22"/>
          <w:lang w:val="en-GB"/>
        </w:rPr>
      </w:pPr>
      <w:r w:rsidRPr="00E4265B">
        <w:rPr>
          <w:rFonts w:ascii="Arial" w:hAnsi="Arial" w:cs="Arial"/>
          <w:b/>
          <w:bCs/>
          <w:sz w:val="22"/>
          <w:szCs w:val="22"/>
          <w:lang w:val="en-GB"/>
        </w:rPr>
        <w:t>Guidance</w:t>
      </w:r>
    </w:p>
    <w:p w14:paraId="6829F8D6" w14:textId="77777777" w:rsidR="00E22FF2" w:rsidRPr="00E4265B" w:rsidRDefault="00E22FF2" w:rsidP="0089332A">
      <w:pPr>
        <w:pStyle w:val="UK12Block05"/>
        <w:rPr>
          <w:rFonts w:ascii="Arial" w:hAnsi="Arial" w:cs="Arial"/>
          <w:sz w:val="22"/>
          <w:szCs w:val="22"/>
          <w:lang w:val="en-GB"/>
        </w:rPr>
      </w:pPr>
      <w:r w:rsidRPr="00E4265B">
        <w:rPr>
          <w:rFonts w:ascii="Arial" w:hAnsi="Arial" w:cs="Arial"/>
          <w:sz w:val="22"/>
          <w:szCs w:val="22"/>
          <w:lang w:val="en-GB"/>
        </w:rPr>
        <w:t>Credit RWA for deferred settlement transactions applies even if the deferred settlement contract is not overdue.</w:t>
      </w:r>
    </w:p>
    <w:p w14:paraId="2D3C1BDC" w14:textId="77777777" w:rsidR="00E22FF2" w:rsidRPr="00E4265B" w:rsidRDefault="00E22FF2" w:rsidP="004F0272">
      <w:pPr>
        <w:pStyle w:val="UK12Title2"/>
        <w:rPr>
          <w:rFonts w:ascii="Arial" w:hAnsi="Arial" w:cs="Arial"/>
          <w:sz w:val="22"/>
          <w:szCs w:val="22"/>
        </w:rPr>
      </w:pPr>
      <w:bookmarkStart w:id="976" w:name="_Toc33622485"/>
      <w:r w:rsidRPr="00E4265B">
        <w:rPr>
          <w:rFonts w:ascii="Arial" w:hAnsi="Arial" w:cs="Arial"/>
          <w:sz w:val="22"/>
          <w:szCs w:val="22"/>
        </w:rPr>
        <w:t>A4.8 </w:t>
      </w:r>
      <w:r w:rsidRPr="00E4265B">
        <w:rPr>
          <w:rFonts w:ascii="Arial" w:hAnsi="Arial" w:cs="Arial"/>
          <w:sz w:val="22"/>
          <w:szCs w:val="22"/>
        </w:rPr>
        <w:tab/>
        <w:t xml:space="preserve">Credit RWA </w:t>
      </w:r>
      <w:r w:rsidRPr="00E4265B">
        <w:rPr>
          <w:rFonts w:ascii="Arial" w:hAnsi="Arial" w:cs="Arial"/>
          <w:sz w:val="22"/>
          <w:szCs w:val="22"/>
        </w:rPr>
        <w:noBreakHyphen/>
        <w:t xml:space="preserve"> other Trading Book transactions</w:t>
      </w:r>
      <w:bookmarkEnd w:id="976"/>
    </w:p>
    <w:p w14:paraId="760592E5" w14:textId="72843B4A" w:rsidR="00501E80" w:rsidRPr="00E4265B" w:rsidRDefault="00E22FF2" w:rsidP="003C6AAF">
      <w:pPr>
        <w:pStyle w:val="A1List"/>
        <w:rPr>
          <w:rFonts w:ascii="Arial" w:hAnsi="Arial" w:cs="Arial"/>
          <w:sz w:val="22"/>
          <w:szCs w:val="22"/>
          <w:lang w:val="en-GB"/>
        </w:rPr>
      </w:pPr>
      <w:r w:rsidRPr="00E4265B">
        <w:rPr>
          <w:rFonts w:ascii="Arial" w:hAnsi="Arial" w:cs="Arial"/>
          <w:b/>
          <w:bCs/>
          <w:sz w:val="22"/>
          <w:szCs w:val="22"/>
          <w:lang w:val="en-GB"/>
        </w:rPr>
        <w:t>A4.8.1</w:t>
      </w:r>
      <w:r w:rsidRPr="00E4265B">
        <w:rPr>
          <w:rFonts w:ascii="Arial" w:hAnsi="Arial" w:cs="Arial"/>
          <w:b/>
          <w:bCs/>
          <w:sz w:val="22"/>
          <w:szCs w:val="22"/>
          <w:lang w:val="en-GB"/>
        </w:rPr>
        <w:tab/>
      </w:r>
      <w:r w:rsidRPr="00E4265B">
        <w:rPr>
          <w:rFonts w:ascii="Arial" w:hAnsi="Arial" w:cs="Arial"/>
          <w:sz w:val="22"/>
          <w:szCs w:val="22"/>
          <w:lang w:val="en-GB"/>
        </w:rPr>
        <w:t>For Counterparty Exposures in the Trading Book not covered by Section</w:t>
      </w:r>
      <w:r w:rsidR="003C6AAF" w:rsidRPr="00E4265B">
        <w:rPr>
          <w:rFonts w:ascii="Arial" w:hAnsi="Arial" w:cs="Arial"/>
          <w:sz w:val="22"/>
          <w:szCs w:val="22"/>
          <w:lang w:val="en-GB"/>
        </w:rPr>
        <w:t> A4.6 or</w:t>
      </w:r>
      <w:r w:rsidRPr="00E4265B">
        <w:rPr>
          <w:rFonts w:ascii="Arial" w:hAnsi="Arial" w:cs="Arial"/>
          <w:sz w:val="22"/>
          <w:szCs w:val="22"/>
          <w:lang w:val="en-GB"/>
        </w:rPr>
        <w:t xml:space="preserve"> A4.7, the following formula applies:</w:t>
      </w:r>
    </w:p>
    <w:p w14:paraId="4EE16270" w14:textId="77777777" w:rsidR="00E22FF2" w:rsidRPr="00E4265B" w:rsidRDefault="00E22FF2" w:rsidP="00501E80">
      <w:pPr>
        <w:pStyle w:val="A1List"/>
        <w:jc w:val="center"/>
        <w:rPr>
          <w:rFonts w:ascii="Arial" w:hAnsi="Arial" w:cs="Arial"/>
          <w:sz w:val="22"/>
          <w:szCs w:val="22"/>
          <w:lang w:val="en-GB"/>
        </w:rPr>
      </w:pPr>
      <w:r w:rsidRPr="00E4265B">
        <w:rPr>
          <w:rFonts w:ascii="Arial" w:hAnsi="Arial" w:cs="Arial"/>
          <w:sz w:val="22"/>
          <w:szCs w:val="22"/>
          <w:lang w:val="en-GB"/>
        </w:rPr>
        <w:t>Credit RWA = E x CRW.</w:t>
      </w:r>
    </w:p>
    <w:p w14:paraId="378A3748" w14:textId="77777777" w:rsidR="00E22FF2" w:rsidRPr="00E4265B" w:rsidRDefault="00E22FF2" w:rsidP="0089332A">
      <w:pPr>
        <w:pStyle w:val="TitleL5"/>
        <w:rPr>
          <w:rFonts w:ascii="Arial" w:hAnsi="Arial" w:cs="Arial"/>
          <w:sz w:val="22"/>
          <w:szCs w:val="22"/>
          <w:lang w:val="en-GB"/>
        </w:rPr>
      </w:pPr>
      <w:r w:rsidRPr="00E4265B">
        <w:rPr>
          <w:rFonts w:ascii="Arial" w:hAnsi="Arial" w:cs="Arial"/>
          <w:sz w:val="22"/>
          <w:szCs w:val="22"/>
          <w:lang w:val="en-GB"/>
        </w:rPr>
        <w:t>Guidance</w:t>
      </w:r>
    </w:p>
    <w:p w14:paraId="4C77A1C4" w14:textId="77777777" w:rsidR="00E22FF2" w:rsidRPr="00E4265B" w:rsidRDefault="00E22FF2" w:rsidP="0089332A">
      <w:pPr>
        <w:pStyle w:val="UK12Block05"/>
        <w:rPr>
          <w:rFonts w:ascii="Arial" w:hAnsi="Arial" w:cs="Arial"/>
          <w:sz w:val="22"/>
          <w:szCs w:val="22"/>
          <w:lang w:val="en-GB"/>
        </w:rPr>
      </w:pPr>
      <w:r w:rsidRPr="00E4265B">
        <w:rPr>
          <w:rFonts w:ascii="Arial" w:hAnsi="Arial" w:cs="Arial"/>
          <w:sz w:val="22"/>
          <w:szCs w:val="22"/>
          <w:lang w:val="en-GB"/>
        </w:rPr>
        <w:t>Examples include Counterparty Exposures in relation to exchange</w:t>
      </w:r>
      <w:r w:rsidRPr="00E4265B">
        <w:rPr>
          <w:rFonts w:ascii="Arial" w:hAnsi="Arial" w:cs="Arial"/>
          <w:sz w:val="22"/>
          <w:szCs w:val="22"/>
          <w:lang w:val="en-GB"/>
        </w:rPr>
        <w:noBreakHyphen/>
        <w:t xml:space="preserve">traded Derivatives, unpaid margin requirements, Trading Book qualifying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and fees and interest.</w:t>
      </w:r>
    </w:p>
    <w:p w14:paraId="3956FD2C" w14:textId="77777777" w:rsidR="003C6AAF"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A4.8.2</w:t>
      </w:r>
      <w:r w:rsidRPr="00E4265B">
        <w:rPr>
          <w:rFonts w:ascii="Arial" w:hAnsi="Arial" w:cs="Arial"/>
          <w:b/>
          <w:bCs/>
          <w:sz w:val="22"/>
          <w:szCs w:val="22"/>
          <w:lang w:val="en-GB"/>
        </w:rPr>
        <w:tab/>
      </w:r>
      <w:r w:rsidRPr="00E4265B">
        <w:rPr>
          <w:rFonts w:ascii="Arial" w:hAnsi="Arial" w:cs="Arial"/>
          <w:sz w:val="22"/>
          <w:szCs w:val="22"/>
          <w:lang w:val="en-GB"/>
        </w:rPr>
        <w:t>Where a Counterparty has not fully paid a margin requirement on a Derivative transaction listed on an exchange or cl</w:t>
      </w:r>
      <w:r w:rsidR="003C6AAF" w:rsidRPr="00E4265B">
        <w:rPr>
          <w:rFonts w:ascii="Arial" w:hAnsi="Arial" w:cs="Arial"/>
          <w:sz w:val="22"/>
          <w:szCs w:val="22"/>
          <w:lang w:val="en-GB"/>
        </w:rPr>
        <w:t>eared through a clearing house:</w:t>
      </w:r>
    </w:p>
    <w:p w14:paraId="2485C987" w14:textId="593B44A5" w:rsidR="00E22FF2" w:rsidRPr="00E4265B" w:rsidRDefault="00E22FF2" w:rsidP="003C6AAF">
      <w:pPr>
        <w:pStyle w:val="A1List"/>
        <w:jc w:val="center"/>
        <w:rPr>
          <w:rFonts w:ascii="Arial" w:hAnsi="Arial" w:cs="Arial"/>
          <w:sz w:val="22"/>
          <w:szCs w:val="22"/>
          <w:lang w:val="en-GB"/>
        </w:rPr>
      </w:pPr>
      <w:r w:rsidRPr="00E4265B">
        <w:rPr>
          <w:rFonts w:ascii="Arial" w:hAnsi="Arial" w:cs="Arial"/>
          <w:sz w:val="22"/>
          <w:szCs w:val="22"/>
          <w:lang w:val="en-GB"/>
        </w:rPr>
        <w:t>E = the shortfall.</w:t>
      </w:r>
    </w:p>
    <w:p w14:paraId="62F71DB3" w14:textId="77777777" w:rsidR="003C6AAF"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A4.8.3</w:t>
      </w:r>
      <w:r w:rsidRPr="00E4265B">
        <w:rPr>
          <w:rFonts w:ascii="Arial" w:hAnsi="Arial" w:cs="Arial"/>
          <w:b/>
          <w:bCs/>
          <w:sz w:val="22"/>
          <w:szCs w:val="22"/>
          <w:lang w:val="en-GB"/>
        </w:rPr>
        <w:tab/>
      </w:r>
      <w:r w:rsidRPr="00E4265B">
        <w:rPr>
          <w:rFonts w:ascii="Arial" w:hAnsi="Arial" w:cs="Arial"/>
          <w:sz w:val="22"/>
          <w:szCs w:val="22"/>
          <w:lang w:val="en-GB"/>
        </w:rPr>
        <w:t xml:space="preserve">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sells or writes an Option to a Counterparty or buys an Option on behalf of a Counterparty and the Counterparty has no</w:t>
      </w:r>
      <w:r w:rsidR="003C6AAF" w:rsidRPr="00E4265B">
        <w:rPr>
          <w:rFonts w:ascii="Arial" w:hAnsi="Arial" w:cs="Arial"/>
          <w:sz w:val="22"/>
          <w:szCs w:val="22"/>
          <w:lang w:val="en-GB"/>
        </w:rPr>
        <w:t>t paid the full Option premium:</w:t>
      </w:r>
    </w:p>
    <w:p w14:paraId="3B90F40B" w14:textId="3D3B54BD" w:rsidR="00E22FF2" w:rsidRPr="00E4265B" w:rsidRDefault="00E22FF2" w:rsidP="003C6AAF">
      <w:pPr>
        <w:pStyle w:val="A1List"/>
        <w:jc w:val="center"/>
        <w:rPr>
          <w:rFonts w:ascii="Arial" w:hAnsi="Arial" w:cs="Arial"/>
          <w:sz w:val="22"/>
          <w:szCs w:val="22"/>
          <w:lang w:val="en-GB"/>
        </w:rPr>
      </w:pPr>
      <w:r w:rsidRPr="00E4265B">
        <w:rPr>
          <w:rFonts w:ascii="Arial" w:hAnsi="Arial" w:cs="Arial"/>
          <w:sz w:val="22"/>
          <w:szCs w:val="22"/>
          <w:lang w:val="en-GB"/>
        </w:rPr>
        <w:t>E = the uncovered premium on the transaction.</w:t>
      </w:r>
    </w:p>
    <w:p w14:paraId="1B6A760F" w14:textId="77777777" w:rsidR="003C6AAF"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A4.8.4</w:t>
      </w:r>
      <w:r w:rsidRPr="00E4265B">
        <w:rPr>
          <w:rFonts w:ascii="Arial" w:hAnsi="Arial" w:cs="Arial"/>
          <w:b/>
          <w:bCs/>
          <w:sz w:val="22"/>
          <w:szCs w:val="22"/>
          <w:lang w:val="en-GB"/>
        </w:rPr>
        <w:tab/>
      </w:r>
      <w:r w:rsidRPr="00E4265B">
        <w:rPr>
          <w:rFonts w:ascii="Arial" w:hAnsi="Arial" w:cs="Arial"/>
          <w:sz w:val="22"/>
          <w:szCs w:val="22"/>
          <w:lang w:val="en-GB"/>
        </w:rPr>
        <w:t xml:space="preserve">Where a Counterparty has not fully met amounts owed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arising out of losses on closed</w:t>
      </w:r>
      <w:r w:rsidRPr="00E4265B">
        <w:rPr>
          <w:rFonts w:ascii="Arial" w:hAnsi="Arial" w:cs="Arial"/>
          <w:sz w:val="22"/>
          <w:szCs w:val="22"/>
          <w:lang w:val="en-GB"/>
        </w:rPr>
        <w:noBreakHyphen/>
        <w:t>out Derivative transactions or has not fully settled amounts owed in respect of periodic or fi</w:t>
      </w:r>
      <w:r w:rsidR="003C6AAF" w:rsidRPr="00E4265B">
        <w:rPr>
          <w:rFonts w:ascii="Arial" w:hAnsi="Arial" w:cs="Arial"/>
          <w:sz w:val="22"/>
          <w:szCs w:val="22"/>
          <w:lang w:val="en-GB"/>
        </w:rPr>
        <w:t>nal settlement of transactions:</w:t>
      </w:r>
    </w:p>
    <w:p w14:paraId="42EF2615" w14:textId="5E3FEA66" w:rsidR="00E22FF2" w:rsidRPr="00E4265B" w:rsidRDefault="00E22FF2" w:rsidP="003C6AAF">
      <w:pPr>
        <w:pStyle w:val="A1List"/>
        <w:jc w:val="center"/>
        <w:rPr>
          <w:rFonts w:ascii="Arial" w:hAnsi="Arial" w:cs="Arial"/>
          <w:sz w:val="22"/>
          <w:szCs w:val="22"/>
          <w:lang w:val="en-GB"/>
        </w:rPr>
      </w:pPr>
      <w:r w:rsidRPr="00E4265B">
        <w:rPr>
          <w:rFonts w:ascii="Arial" w:hAnsi="Arial" w:cs="Arial"/>
          <w:sz w:val="22"/>
          <w:szCs w:val="22"/>
          <w:lang w:val="en-GB"/>
        </w:rPr>
        <w:t>E = the unpaid loss.</w:t>
      </w:r>
    </w:p>
    <w:p w14:paraId="6B94D688" w14:textId="77777777" w:rsidR="00E22FF2" w:rsidRPr="00E4265B" w:rsidRDefault="004B2263" w:rsidP="004B2263">
      <w:pPr>
        <w:pStyle w:val="UK12Title2"/>
        <w:rPr>
          <w:rFonts w:ascii="Arial" w:hAnsi="Arial" w:cs="Arial"/>
          <w:sz w:val="22"/>
          <w:szCs w:val="22"/>
        </w:rPr>
      </w:pPr>
      <w:bookmarkStart w:id="977" w:name="_Toc33622486"/>
      <w:r w:rsidRPr="00E4265B">
        <w:rPr>
          <w:rFonts w:ascii="Arial" w:hAnsi="Arial" w:cs="Arial"/>
          <w:sz w:val="22"/>
          <w:szCs w:val="22"/>
        </w:rPr>
        <w:t>A4.9 </w:t>
      </w:r>
      <w:r w:rsidRPr="00E4265B">
        <w:rPr>
          <w:rFonts w:ascii="Arial" w:hAnsi="Arial" w:cs="Arial"/>
          <w:sz w:val="22"/>
          <w:szCs w:val="22"/>
        </w:rPr>
        <w:tab/>
        <w:t>Exposures to c</w:t>
      </w:r>
      <w:r w:rsidR="00E22FF2" w:rsidRPr="00E4265B">
        <w:rPr>
          <w:rFonts w:ascii="Arial" w:hAnsi="Arial" w:cs="Arial"/>
          <w:sz w:val="22"/>
          <w:szCs w:val="22"/>
        </w:rPr>
        <w:t xml:space="preserve">entral </w:t>
      </w:r>
      <w:r w:rsidRPr="00E4265B">
        <w:rPr>
          <w:rFonts w:ascii="Arial" w:hAnsi="Arial" w:cs="Arial"/>
          <w:sz w:val="22"/>
          <w:szCs w:val="22"/>
        </w:rPr>
        <w:t>c</w:t>
      </w:r>
      <w:r w:rsidR="00E22FF2" w:rsidRPr="00E4265B">
        <w:rPr>
          <w:rFonts w:ascii="Arial" w:hAnsi="Arial" w:cs="Arial"/>
          <w:sz w:val="22"/>
          <w:szCs w:val="22"/>
        </w:rPr>
        <w:t>ounterparties</w:t>
      </w:r>
      <w:bookmarkEnd w:id="977"/>
    </w:p>
    <w:p w14:paraId="47F7169E" w14:textId="77777777" w:rsidR="007C1D3D" w:rsidRPr="00E4265B" w:rsidRDefault="007C1D3D" w:rsidP="007C1D3D">
      <w:pPr>
        <w:pStyle w:val="A1List"/>
        <w:rPr>
          <w:rFonts w:ascii="Arial" w:hAnsi="Arial" w:cs="Arial"/>
          <w:b/>
          <w:bCs/>
          <w:sz w:val="22"/>
          <w:szCs w:val="22"/>
          <w:lang w:val="en-GB"/>
        </w:rPr>
      </w:pPr>
      <w:r w:rsidRPr="00E4265B">
        <w:rPr>
          <w:rFonts w:ascii="Arial" w:hAnsi="Arial" w:cs="Arial"/>
          <w:b/>
          <w:bCs/>
          <w:sz w:val="22"/>
          <w:szCs w:val="22"/>
          <w:lang w:val="en-GB"/>
        </w:rPr>
        <w:t>A4.9.1</w:t>
      </w:r>
      <w:r w:rsidRPr="00E4265B">
        <w:rPr>
          <w:rFonts w:ascii="Arial" w:hAnsi="Arial" w:cs="Arial"/>
          <w:b/>
          <w:bCs/>
          <w:sz w:val="22"/>
          <w:szCs w:val="22"/>
          <w:lang w:val="en-GB"/>
        </w:rPr>
        <w:tab/>
      </w:r>
      <w:r w:rsidRPr="00E4265B">
        <w:rPr>
          <w:rFonts w:ascii="Arial" w:hAnsi="Arial" w:cs="Arial"/>
          <w:bCs/>
          <w:sz w:val="22"/>
          <w:szCs w:val="22"/>
          <w:lang w:val="en-GB"/>
        </w:rPr>
        <w:t>This Section applies to exposures arising from Derivatives, SFTs and/or long settlement transactions that are cleared by a central counterparty (CCP). Exposures arising from the settlement of cash transactions (equities, fixed income, spot FX and spot commodities) are not subject to this Section.</w:t>
      </w:r>
      <w:r w:rsidRPr="00E4265B">
        <w:rPr>
          <w:rFonts w:ascii="Arial" w:hAnsi="Arial" w:cs="Arial"/>
          <w:b/>
          <w:bCs/>
          <w:sz w:val="22"/>
          <w:szCs w:val="22"/>
          <w:lang w:val="en-GB"/>
        </w:rPr>
        <w:t xml:space="preserve"> </w:t>
      </w:r>
    </w:p>
    <w:p w14:paraId="6D2B84EF" w14:textId="77777777" w:rsidR="007C1D3D" w:rsidRPr="00E4265B" w:rsidRDefault="007C1D3D" w:rsidP="007C1D3D">
      <w:pPr>
        <w:pStyle w:val="A1List"/>
        <w:rPr>
          <w:rFonts w:ascii="Arial" w:hAnsi="Arial" w:cs="Arial"/>
          <w:b/>
          <w:bCs/>
          <w:sz w:val="22"/>
          <w:szCs w:val="22"/>
          <w:lang w:val="en-GB"/>
        </w:rPr>
      </w:pPr>
      <w:r w:rsidRPr="00E4265B">
        <w:rPr>
          <w:rFonts w:ascii="Arial" w:hAnsi="Arial" w:cs="Arial"/>
          <w:b/>
          <w:bCs/>
          <w:sz w:val="22"/>
          <w:szCs w:val="22"/>
          <w:lang w:val="en-GB"/>
        </w:rPr>
        <w:t>A4.9.2</w:t>
      </w:r>
      <w:r w:rsidRPr="00E4265B">
        <w:rPr>
          <w:rFonts w:ascii="Arial" w:hAnsi="Arial" w:cs="Arial"/>
          <w:b/>
          <w:bCs/>
          <w:sz w:val="22"/>
          <w:szCs w:val="22"/>
          <w:lang w:val="en-GB"/>
        </w:rPr>
        <w:tab/>
      </w:r>
      <w:r w:rsidRPr="00E4265B">
        <w:rPr>
          <w:rFonts w:ascii="Arial" w:hAnsi="Arial" w:cs="Arial"/>
          <w:bCs/>
          <w:sz w:val="22"/>
          <w:szCs w:val="22"/>
          <w:lang w:val="en-GB"/>
        </w:rPr>
        <w:t>Authorised Persons must:</w:t>
      </w:r>
    </w:p>
    <w:p w14:paraId="3997C75A" w14:textId="77777777" w:rsidR="007C1D3D" w:rsidRPr="00E4265B" w:rsidRDefault="007C1D3D" w:rsidP="007C1D3D">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monitor all their exposures to CCPs;</w:t>
      </w:r>
      <w:r w:rsidR="00580C58" w:rsidRPr="00E4265B">
        <w:rPr>
          <w:rFonts w:ascii="Arial" w:hAnsi="Arial" w:cs="Arial"/>
          <w:sz w:val="22"/>
          <w:szCs w:val="22"/>
          <w:lang w:val="en-GB"/>
        </w:rPr>
        <w:t xml:space="preserve"> </w:t>
      </w:r>
      <w:r w:rsidRPr="00E4265B">
        <w:rPr>
          <w:rFonts w:ascii="Arial" w:hAnsi="Arial" w:cs="Arial"/>
          <w:sz w:val="22"/>
          <w:szCs w:val="22"/>
          <w:lang w:val="en-GB"/>
        </w:rPr>
        <w:t xml:space="preserve">and must have adequate procedures for the regular reporting of information on those exposures to senior </w:t>
      </w:r>
      <w:r w:rsidRPr="00E4265B">
        <w:rPr>
          <w:rFonts w:ascii="Arial" w:hAnsi="Arial" w:cs="Arial"/>
          <w:sz w:val="22"/>
          <w:szCs w:val="22"/>
          <w:lang w:val="en-GB"/>
        </w:rPr>
        <w:lastRenderedPageBreak/>
        <w:t>management and appropriate committee or committees of the management body; and</w:t>
      </w:r>
    </w:p>
    <w:p w14:paraId="0EC78B5C" w14:textId="05E411B9" w:rsidR="007C1D3D" w:rsidRPr="00E4265B" w:rsidRDefault="007C1D3D" w:rsidP="00540B19">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assess, through appropriate scenario analysis and stress testing, whether the level of capital held by the Authorised Person against exposures to a CCP is adequate.  </w:t>
      </w:r>
    </w:p>
    <w:p w14:paraId="1839FCB9" w14:textId="77777777" w:rsidR="007C1D3D" w:rsidRPr="00E4265B" w:rsidRDefault="007C1D3D" w:rsidP="007C1D3D">
      <w:pPr>
        <w:pStyle w:val="TitleL5"/>
        <w:rPr>
          <w:rFonts w:ascii="Arial" w:hAnsi="Arial" w:cs="Arial"/>
          <w:sz w:val="22"/>
          <w:szCs w:val="22"/>
          <w:lang w:val="en-GB"/>
        </w:rPr>
      </w:pPr>
      <w:r w:rsidRPr="00E4265B">
        <w:rPr>
          <w:rFonts w:ascii="Arial" w:hAnsi="Arial" w:cs="Arial"/>
          <w:sz w:val="22"/>
          <w:szCs w:val="22"/>
          <w:lang w:val="en-GB"/>
        </w:rPr>
        <w:t>Guidance</w:t>
      </w:r>
    </w:p>
    <w:p w14:paraId="03A116CF" w14:textId="77777777" w:rsidR="007C1D3D" w:rsidRPr="00E4265B" w:rsidRDefault="007C1D3D" w:rsidP="007C1D3D">
      <w:pPr>
        <w:pStyle w:val="UK12Block05"/>
        <w:rPr>
          <w:rFonts w:ascii="Arial" w:hAnsi="Arial" w:cs="Arial"/>
          <w:sz w:val="22"/>
          <w:szCs w:val="22"/>
          <w:lang w:val="en-GB"/>
        </w:rPr>
      </w:pPr>
      <w:r w:rsidRPr="00E4265B">
        <w:rPr>
          <w:rFonts w:ascii="Arial" w:hAnsi="Arial" w:cs="Arial"/>
          <w:sz w:val="22"/>
          <w:szCs w:val="22"/>
          <w:lang w:val="en-GB"/>
        </w:rPr>
        <w:t>The assessment under Rule A4.9.2(b) must cover the inherent risks of exposures to the CCP, including potential future credit exposures, exposures from default fund contributions and, where the Authorised Person is acting as a clearing member of the CCP, exposures resulting from contractual arrangements providing for commitments to take over or replace offsetting transactions from clients of another clearing member, in case such other clearing member defaults or becomes insolvent.</w:t>
      </w:r>
    </w:p>
    <w:p w14:paraId="55F4AF42" w14:textId="77777777" w:rsidR="007C1D3D" w:rsidRPr="00E4265B" w:rsidRDefault="007C1D3D" w:rsidP="007C1D3D">
      <w:pPr>
        <w:pStyle w:val="TitleL5"/>
        <w:rPr>
          <w:rFonts w:ascii="Arial" w:hAnsi="Arial" w:cs="Arial"/>
          <w:sz w:val="22"/>
          <w:szCs w:val="22"/>
          <w:lang w:val="en-GB"/>
        </w:rPr>
      </w:pPr>
      <w:r w:rsidRPr="00E4265B">
        <w:rPr>
          <w:rFonts w:ascii="Arial" w:hAnsi="Arial" w:cs="Arial"/>
          <w:sz w:val="22"/>
          <w:szCs w:val="22"/>
          <w:lang w:val="en-GB"/>
        </w:rPr>
        <w:t>Trade Exposure of a clearing member to a qualifying central counterparty</w:t>
      </w:r>
    </w:p>
    <w:p w14:paraId="26F44953" w14:textId="198896B0" w:rsidR="007C1D3D" w:rsidRPr="00E4265B" w:rsidRDefault="007C1D3D" w:rsidP="007C1D3D">
      <w:pPr>
        <w:pStyle w:val="A1List"/>
        <w:rPr>
          <w:rFonts w:ascii="Arial" w:hAnsi="Arial" w:cs="Arial"/>
          <w:b/>
          <w:bCs/>
          <w:sz w:val="22"/>
          <w:szCs w:val="22"/>
          <w:lang w:val="en-GB"/>
        </w:rPr>
      </w:pPr>
      <w:r w:rsidRPr="00E4265B">
        <w:rPr>
          <w:rFonts w:ascii="Arial" w:hAnsi="Arial" w:cs="Arial"/>
          <w:b/>
          <w:bCs/>
          <w:sz w:val="22"/>
          <w:szCs w:val="22"/>
          <w:lang w:val="en-GB"/>
        </w:rPr>
        <w:t>A4.9.3</w:t>
      </w:r>
      <w:r w:rsidRPr="00E4265B">
        <w:rPr>
          <w:rFonts w:ascii="Arial" w:hAnsi="Arial" w:cs="Arial"/>
          <w:b/>
          <w:bCs/>
          <w:sz w:val="22"/>
          <w:szCs w:val="22"/>
          <w:lang w:val="en-GB"/>
        </w:rPr>
        <w:tab/>
      </w:r>
      <w:r w:rsidRPr="00E4265B">
        <w:rPr>
          <w:rFonts w:ascii="Arial" w:hAnsi="Arial" w:cs="Arial"/>
          <w:bCs/>
          <w:sz w:val="22"/>
          <w:szCs w:val="22"/>
          <w:lang w:val="en-GB"/>
        </w:rPr>
        <w:t xml:space="preserve">Where an Authorised Person acts as a clearing member, either for its own purposes or as an intermediary between a client and a qualifying central counterparty (QCCP), it must calculate Credit RWA in respect of its Trade Exposure to the QCCP in accordance with </w:t>
      </w:r>
      <w:r w:rsidR="00540B19" w:rsidRPr="00E4265B">
        <w:rPr>
          <w:rFonts w:ascii="Arial" w:hAnsi="Arial" w:cs="Arial"/>
          <w:bCs/>
          <w:sz w:val="22"/>
          <w:szCs w:val="22"/>
          <w:lang w:val="en-GB"/>
        </w:rPr>
        <w:t>Rule </w:t>
      </w:r>
      <w:r w:rsidRPr="00E4265B">
        <w:rPr>
          <w:rFonts w:ascii="Arial" w:hAnsi="Arial" w:cs="Arial"/>
          <w:bCs/>
          <w:sz w:val="22"/>
          <w:szCs w:val="22"/>
          <w:lang w:val="en-GB"/>
        </w:rPr>
        <w:t>A4.6.14, except that it must apply a CRW of 2%, unless Rule A4.9.4 applies.</w:t>
      </w:r>
    </w:p>
    <w:p w14:paraId="04ADC089" w14:textId="77777777" w:rsidR="007C1D3D" w:rsidRPr="00E4265B" w:rsidRDefault="007C1D3D" w:rsidP="007C1D3D">
      <w:pPr>
        <w:pStyle w:val="A1List"/>
        <w:rPr>
          <w:rFonts w:ascii="Arial" w:hAnsi="Arial" w:cs="Arial"/>
          <w:b/>
          <w:bCs/>
          <w:sz w:val="22"/>
          <w:szCs w:val="22"/>
          <w:lang w:val="en-GB"/>
        </w:rPr>
      </w:pPr>
      <w:r w:rsidRPr="00E4265B">
        <w:rPr>
          <w:rFonts w:ascii="Arial" w:hAnsi="Arial" w:cs="Arial"/>
          <w:b/>
          <w:bCs/>
          <w:sz w:val="22"/>
          <w:szCs w:val="22"/>
          <w:lang w:val="en-GB"/>
        </w:rPr>
        <w:t>A4.9.4</w:t>
      </w:r>
      <w:r w:rsidRPr="00E4265B">
        <w:rPr>
          <w:rFonts w:ascii="Arial" w:hAnsi="Arial" w:cs="Arial"/>
          <w:b/>
          <w:bCs/>
          <w:sz w:val="22"/>
          <w:szCs w:val="22"/>
          <w:lang w:val="en-GB"/>
        </w:rPr>
        <w:tab/>
      </w:r>
      <w:r w:rsidRPr="00E4265B">
        <w:rPr>
          <w:rFonts w:ascii="Arial" w:hAnsi="Arial" w:cs="Arial"/>
          <w:bCs/>
          <w:sz w:val="22"/>
          <w:szCs w:val="22"/>
          <w:lang w:val="en-GB"/>
        </w:rPr>
        <w:t>Where an Authorised Person is acting as an intermediary between a client and a QCCP and the terms of the QCCP-related transaction stipulate that the Authorised Person is not obligated to reimburse the client for any losses suffered due to changes in the value of that transaction in the event that the QCCP defaults, it may apply a CRW of 0% when calculating Credit RWA in respect of its Trade Exposure to the QCCP.</w:t>
      </w:r>
    </w:p>
    <w:p w14:paraId="18BFF0E8" w14:textId="77777777" w:rsidR="007C1D3D" w:rsidRPr="00E4265B" w:rsidRDefault="007C1D3D" w:rsidP="007C1D3D">
      <w:pPr>
        <w:pStyle w:val="TitleL5"/>
        <w:rPr>
          <w:rFonts w:ascii="Arial" w:hAnsi="Arial" w:cs="Arial"/>
          <w:sz w:val="22"/>
          <w:szCs w:val="22"/>
          <w:lang w:val="en-GB"/>
        </w:rPr>
      </w:pPr>
      <w:r w:rsidRPr="00E4265B">
        <w:rPr>
          <w:rFonts w:ascii="Arial" w:hAnsi="Arial" w:cs="Arial"/>
          <w:sz w:val="22"/>
          <w:szCs w:val="22"/>
          <w:lang w:val="en-GB"/>
        </w:rPr>
        <w:t>Trade Exposure of a clearing member to a Non-QCCP</w:t>
      </w:r>
    </w:p>
    <w:p w14:paraId="1689C369" w14:textId="2809A56C" w:rsidR="007C1D3D" w:rsidRPr="00E4265B" w:rsidRDefault="007C1D3D" w:rsidP="007C1D3D">
      <w:pPr>
        <w:pStyle w:val="A1List"/>
        <w:rPr>
          <w:rFonts w:ascii="Arial" w:hAnsi="Arial" w:cs="Arial"/>
          <w:b/>
          <w:bCs/>
          <w:sz w:val="22"/>
          <w:szCs w:val="22"/>
          <w:lang w:val="en-GB"/>
        </w:rPr>
      </w:pPr>
      <w:r w:rsidRPr="00E4265B">
        <w:rPr>
          <w:rFonts w:ascii="Arial" w:hAnsi="Arial" w:cs="Arial"/>
          <w:b/>
          <w:bCs/>
          <w:sz w:val="22"/>
          <w:szCs w:val="22"/>
          <w:lang w:val="en-GB"/>
        </w:rPr>
        <w:t>A4.9.5</w:t>
      </w:r>
      <w:r w:rsidRPr="00E4265B">
        <w:rPr>
          <w:rFonts w:ascii="Arial" w:hAnsi="Arial" w:cs="Arial"/>
          <w:b/>
          <w:bCs/>
          <w:sz w:val="22"/>
          <w:szCs w:val="22"/>
          <w:lang w:val="en-GB"/>
        </w:rPr>
        <w:tab/>
      </w:r>
      <w:r w:rsidRPr="00E4265B">
        <w:rPr>
          <w:rFonts w:ascii="Arial" w:hAnsi="Arial" w:cs="Arial"/>
          <w:bCs/>
          <w:sz w:val="22"/>
          <w:szCs w:val="22"/>
          <w:lang w:val="en-GB"/>
        </w:rPr>
        <w:t xml:space="preserve">Where an Authorised Person acts as a clearing member, either for its own purposes or as an intermediary between a client and a Non-QCCP, it must calculate Credit RWA in respect of its Trade Exposure to the Non-QCCP in accordance with </w:t>
      </w:r>
      <w:r w:rsidR="00540B19" w:rsidRPr="00E4265B">
        <w:rPr>
          <w:rFonts w:ascii="Arial" w:hAnsi="Arial" w:cs="Arial"/>
          <w:bCs/>
          <w:sz w:val="22"/>
          <w:szCs w:val="22"/>
          <w:lang w:val="en-GB"/>
        </w:rPr>
        <w:t>Rule </w:t>
      </w:r>
      <w:r w:rsidRPr="00E4265B">
        <w:rPr>
          <w:rFonts w:ascii="Arial" w:hAnsi="Arial" w:cs="Arial"/>
          <w:bCs/>
          <w:sz w:val="22"/>
          <w:szCs w:val="22"/>
          <w:lang w:val="en-GB"/>
        </w:rPr>
        <w:t>A4.6.14 and apply an appropriate CRW for the corporate asset class of the Non-QCCP as set out in Rule 4.12.13.</w:t>
      </w:r>
    </w:p>
    <w:p w14:paraId="3E1A3F6D" w14:textId="77777777" w:rsidR="007C1D3D" w:rsidRPr="00E4265B" w:rsidRDefault="007C1D3D" w:rsidP="007C1D3D">
      <w:pPr>
        <w:pStyle w:val="TitleL5"/>
        <w:rPr>
          <w:rFonts w:ascii="Arial" w:hAnsi="Arial" w:cs="Arial"/>
          <w:sz w:val="22"/>
          <w:szCs w:val="22"/>
          <w:lang w:val="en-GB"/>
        </w:rPr>
      </w:pPr>
      <w:r w:rsidRPr="00E4265B">
        <w:rPr>
          <w:rFonts w:ascii="Arial" w:hAnsi="Arial" w:cs="Arial"/>
          <w:sz w:val="22"/>
          <w:szCs w:val="22"/>
          <w:lang w:val="en-GB"/>
        </w:rPr>
        <w:t>Trade Exposure of a clearing member to a client</w:t>
      </w:r>
    </w:p>
    <w:p w14:paraId="10001FDA" w14:textId="5CEDAE87" w:rsidR="007C1D3D" w:rsidRPr="00E4265B" w:rsidRDefault="007C1D3D" w:rsidP="003C6AAF">
      <w:pPr>
        <w:pStyle w:val="A1List"/>
        <w:rPr>
          <w:rFonts w:ascii="Arial" w:hAnsi="Arial" w:cs="Arial"/>
          <w:b/>
          <w:bCs/>
          <w:sz w:val="22"/>
          <w:szCs w:val="22"/>
          <w:lang w:val="en-GB"/>
        </w:rPr>
      </w:pPr>
      <w:r w:rsidRPr="00E4265B">
        <w:rPr>
          <w:rFonts w:ascii="Arial" w:hAnsi="Arial" w:cs="Arial"/>
          <w:b/>
          <w:bCs/>
          <w:sz w:val="22"/>
          <w:szCs w:val="22"/>
          <w:lang w:val="en-GB"/>
        </w:rPr>
        <w:t>A4.9.6</w:t>
      </w:r>
      <w:r w:rsidRPr="00E4265B">
        <w:rPr>
          <w:rFonts w:ascii="Arial" w:hAnsi="Arial" w:cs="Arial"/>
          <w:b/>
          <w:bCs/>
          <w:sz w:val="22"/>
          <w:szCs w:val="22"/>
          <w:lang w:val="en-GB"/>
        </w:rPr>
        <w:tab/>
      </w:r>
      <w:r w:rsidRPr="00E4265B">
        <w:rPr>
          <w:rFonts w:ascii="Arial" w:hAnsi="Arial" w:cs="Arial"/>
          <w:bCs/>
          <w:sz w:val="22"/>
          <w:szCs w:val="22"/>
          <w:lang w:val="en-GB"/>
        </w:rPr>
        <w:t xml:space="preserve">Where an Authorised Person acts as a clearing member, and in that capacity, acts as an intermediary between a client and a CCP, it must calculate Credit RWA in respect of its Trade Exposure to the client in accordance with </w:t>
      </w:r>
      <w:r w:rsidR="003C6AAF" w:rsidRPr="00E4265B">
        <w:rPr>
          <w:rFonts w:ascii="Arial" w:hAnsi="Arial" w:cs="Arial"/>
          <w:bCs/>
          <w:sz w:val="22"/>
          <w:szCs w:val="22"/>
          <w:lang w:val="en-GB"/>
        </w:rPr>
        <w:t>Rule </w:t>
      </w:r>
      <w:r w:rsidRPr="00E4265B">
        <w:rPr>
          <w:rFonts w:ascii="Arial" w:hAnsi="Arial" w:cs="Arial"/>
          <w:bCs/>
          <w:sz w:val="22"/>
          <w:szCs w:val="22"/>
          <w:lang w:val="en-GB"/>
        </w:rPr>
        <w:t>A4.</w:t>
      </w:r>
      <w:r w:rsidR="00E96CD2" w:rsidRPr="00E4265B">
        <w:rPr>
          <w:rFonts w:ascii="Arial" w:hAnsi="Arial" w:cs="Arial"/>
          <w:bCs/>
          <w:sz w:val="22"/>
          <w:szCs w:val="22"/>
          <w:lang w:val="en-GB"/>
        </w:rPr>
        <w:t>6.</w:t>
      </w:r>
      <w:r w:rsidRPr="00E4265B">
        <w:rPr>
          <w:rFonts w:ascii="Arial" w:hAnsi="Arial" w:cs="Arial"/>
          <w:bCs/>
          <w:sz w:val="22"/>
          <w:szCs w:val="22"/>
          <w:lang w:val="en-GB"/>
        </w:rPr>
        <w:t>1</w:t>
      </w:r>
      <w:r w:rsidR="00E96CD2" w:rsidRPr="00E4265B">
        <w:rPr>
          <w:rFonts w:ascii="Arial" w:hAnsi="Arial" w:cs="Arial"/>
          <w:bCs/>
          <w:sz w:val="22"/>
          <w:szCs w:val="22"/>
          <w:lang w:val="en-GB"/>
        </w:rPr>
        <w:t>4,</w:t>
      </w:r>
      <w:r w:rsidRPr="00E4265B">
        <w:rPr>
          <w:rFonts w:ascii="Arial" w:hAnsi="Arial" w:cs="Arial"/>
          <w:bCs/>
          <w:sz w:val="22"/>
          <w:szCs w:val="22"/>
          <w:lang w:val="en-GB"/>
        </w:rPr>
        <w:t xml:space="preserve"> together with A</w:t>
      </w:r>
      <w:r w:rsidR="00E96CD2" w:rsidRPr="00E4265B">
        <w:rPr>
          <w:rFonts w:ascii="Arial" w:hAnsi="Arial" w:cs="Arial"/>
          <w:bCs/>
          <w:sz w:val="22"/>
          <w:szCs w:val="22"/>
          <w:lang w:val="en-GB"/>
        </w:rPr>
        <w:t>pp</w:t>
      </w:r>
      <w:r w:rsidRPr="00E4265B">
        <w:rPr>
          <w:rFonts w:ascii="Arial" w:hAnsi="Arial" w:cs="Arial"/>
          <w:bCs/>
          <w:sz w:val="22"/>
          <w:szCs w:val="22"/>
          <w:lang w:val="en-GB"/>
        </w:rPr>
        <w:t xml:space="preserve">5 and relevant provisions of </w:t>
      </w:r>
      <w:r w:rsidR="003C6AAF" w:rsidRPr="00E4265B">
        <w:rPr>
          <w:rFonts w:ascii="Arial" w:hAnsi="Arial" w:cs="Arial"/>
          <w:bCs/>
          <w:sz w:val="22"/>
          <w:szCs w:val="22"/>
          <w:lang w:val="en-GB"/>
        </w:rPr>
        <w:t>Section </w:t>
      </w:r>
      <w:r w:rsidRPr="00E4265B">
        <w:rPr>
          <w:rFonts w:ascii="Arial" w:hAnsi="Arial" w:cs="Arial"/>
          <w:bCs/>
          <w:sz w:val="22"/>
          <w:szCs w:val="22"/>
          <w:lang w:val="en-GB"/>
        </w:rPr>
        <w:t>4.13 in respect of any Collateral posted by the client, if applicable.</w:t>
      </w:r>
    </w:p>
    <w:p w14:paraId="6FD2AD35" w14:textId="77777777" w:rsidR="007C1D3D" w:rsidRPr="00E4265B" w:rsidRDefault="007C1D3D" w:rsidP="007C1D3D">
      <w:pPr>
        <w:pStyle w:val="TitleL5"/>
        <w:rPr>
          <w:rFonts w:ascii="Arial" w:hAnsi="Arial" w:cs="Arial"/>
          <w:sz w:val="22"/>
          <w:szCs w:val="22"/>
          <w:lang w:val="en-GB"/>
        </w:rPr>
      </w:pPr>
      <w:r w:rsidRPr="00E4265B">
        <w:rPr>
          <w:rFonts w:ascii="Arial" w:hAnsi="Arial" w:cs="Arial"/>
          <w:sz w:val="22"/>
          <w:szCs w:val="22"/>
          <w:lang w:val="en-GB"/>
        </w:rPr>
        <w:t>Trade Exposure of a client to a clearing member</w:t>
      </w:r>
    </w:p>
    <w:p w14:paraId="004BC13F" w14:textId="77777777" w:rsidR="007C1D3D" w:rsidRPr="00E4265B" w:rsidRDefault="007C1D3D" w:rsidP="007C1D3D">
      <w:pPr>
        <w:pStyle w:val="A1List"/>
        <w:rPr>
          <w:rFonts w:ascii="Arial" w:hAnsi="Arial" w:cs="Arial"/>
          <w:b/>
          <w:bCs/>
          <w:sz w:val="22"/>
          <w:szCs w:val="22"/>
          <w:lang w:val="en-GB"/>
        </w:rPr>
      </w:pPr>
      <w:r w:rsidRPr="00E4265B">
        <w:rPr>
          <w:rFonts w:ascii="Arial" w:hAnsi="Arial" w:cs="Arial"/>
          <w:b/>
          <w:bCs/>
          <w:sz w:val="22"/>
          <w:szCs w:val="22"/>
          <w:lang w:val="en-GB"/>
        </w:rPr>
        <w:t>A4.9.7</w:t>
      </w:r>
      <w:r w:rsidRPr="00E4265B">
        <w:rPr>
          <w:rFonts w:ascii="Arial" w:hAnsi="Arial" w:cs="Arial"/>
          <w:b/>
          <w:bCs/>
          <w:sz w:val="22"/>
          <w:szCs w:val="22"/>
          <w:lang w:val="en-GB"/>
        </w:rPr>
        <w:tab/>
      </w:r>
      <w:r w:rsidRPr="00E4265B">
        <w:rPr>
          <w:rFonts w:ascii="Arial" w:hAnsi="Arial" w:cs="Arial"/>
          <w:bCs/>
          <w:sz w:val="22"/>
          <w:szCs w:val="22"/>
          <w:lang w:val="en-GB"/>
        </w:rPr>
        <w:t xml:space="preserve">Where an Authorised Person is a client of a clearing member, and enters into a transaction with the clearing member acting as an intermediary between the Authorised Person and a CCP, it must calculate Credit RWA in respect of its Trade Exposure to the clearing member as if it were a Trade Exposure to a QCCP provided all the conditions in Rule A4.9.8 are satisfied.  </w:t>
      </w:r>
    </w:p>
    <w:p w14:paraId="75412C14" w14:textId="77777777" w:rsidR="007C1D3D" w:rsidRPr="00E4265B" w:rsidRDefault="007C1D3D" w:rsidP="007C1D3D">
      <w:pPr>
        <w:pStyle w:val="A1List"/>
        <w:rPr>
          <w:rFonts w:ascii="Arial" w:hAnsi="Arial" w:cs="Arial"/>
          <w:b/>
          <w:bCs/>
          <w:sz w:val="22"/>
          <w:szCs w:val="22"/>
          <w:lang w:val="en-GB"/>
        </w:rPr>
      </w:pPr>
      <w:r w:rsidRPr="00E4265B">
        <w:rPr>
          <w:rFonts w:ascii="Arial" w:hAnsi="Arial" w:cs="Arial"/>
          <w:b/>
          <w:bCs/>
          <w:sz w:val="22"/>
          <w:szCs w:val="22"/>
          <w:lang w:val="en-GB"/>
        </w:rPr>
        <w:lastRenderedPageBreak/>
        <w:t>A4.9.8</w:t>
      </w:r>
      <w:r w:rsidRPr="00E4265B">
        <w:rPr>
          <w:rFonts w:ascii="Arial" w:hAnsi="Arial" w:cs="Arial"/>
          <w:b/>
          <w:bCs/>
          <w:sz w:val="22"/>
          <w:szCs w:val="22"/>
          <w:lang w:val="en-GB"/>
        </w:rPr>
        <w:tab/>
      </w:r>
      <w:r w:rsidRPr="00E4265B">
        <w:rPr>
          <w:rFonts w:ascii="Arial" w:hAnsi="Arial" w:cs="Arial"/>
          <w:bCs/>
          <w:sz w:val="22"/>
          <w:szCs w:val="22"/>
          <w:lang w:val="en-GB"/>
        </w:rPr>
        <w:t>For the purposes of Rule A4.9.7 above, the following conditions must be met:</w:t>
      </w:r>
    </w:p>
    <w:p w14:paraId="6045032F" w14:textId="77777777" w:rsidR="007C1D3D" w:rsidRPr="00E4265B" w:rsidRDefault="007C1D3D" w:rsidP="007C1D3D">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clearing member's offsetting transaction with a QCCP is identified by the QCCP as a client transaction and collateral to support it is held by the QCCP and/or the clearing member, as applicable, under arrangements that would prevent any losses to the Authorised Person due to:  (i) the default or insolvency of the clearing member, (ii) the default or insolvency of the clearing member's other clients; and (iii) the joint default or insolvency of the clearing member and any of its other clients;</w:t>
      </w:r>
    </w:p>
    <w:p w14:paraId="52981D55" w14:textId="77777777" w:rsidR="007C1D3D" w:rsidRPr="00E4265B" w:rsidRDefault="007C1D3D" w:rsidP="007C1D3D">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Authorised Person has conducted sufficient legal review  (and undertaken such further review as necessary to ensure continuing enforceability) that concludes that, in the event of legal challenge, the relevant courts and administrative authorities would find that the Authorised Person would bear no losses on account of the insolvency of its clearing member or of any of its clearing member's clients under the relevant laws of the relevant jurisdiction(s); and</w:t>
      </w:r>
    </w:p>
    <w:p w14:paraId="30AA1800" w14:textId="77777777" w:rsidR="007C1D3D" w:rsidRPr="00E4265B" w:rsidRDefault="007C1D3D" w:rsidP="007C1D3D">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laws, regulations, rules, contractual or administrative arrangements applicable to or binding the Authorised Person or the QCCP facilitate the transfer of the Authorised Person's position relating to that contract and transaction and of the corresponding collateral to another clearing member within the applicable margin period of risk in the event of default or insolvency of the original clearing member. In such a circumstance, the Authorised Person's position and the collateral must be transferred at market value unless the client requests to close out the position at market value.</w:t>
      </w:r>
    </w:p>
    <w:p w14:paraId="086794D7" w14:textId="77777777" w:rsidR="007C1D3D" w:rsidRPr="00E4265B" w:rsidRDefault="007C1D3D" w:rsidP="007C1D3D">
      <w:pPr>
        <w:pStyle w:val="A1List"/>
        <w:rPr>
          <w:rFonts w:ascii="Arial" w:hAnsi="Arial" w:cs="Arial"/>
          <w:b/>
          <w:bCs/>
          <w:sz w:val="22"/>
          <w:szCs w:val="22"/>
          <w:lang w:val="en-GB"/>
        </w:rPr>
      </w:pPr>
      <w:r w:rsidRPr="00E4265B">
        <w:rPr>
          <w:rFonts w:ascii="Arial" w:hAnsi="Arial" w:cs="Arial"/>
          <w:b/>
          <w:bCs/>
          <w:sz w:val="22"/>
          <w:szCs w:val="22"/>
          <w:lang w:val="en-GB"/>
        </w:rPr>
        <w:t>A4.9.9</w:t>
      </w:r>
      <w:r w:rsidRPr="00E4265B">
        <w:rPr>
          <w:rFonts w:ascii="Arial" w:hAnsi="Arial" w:cs="Arial"/>
          <w:b/>
          <w:bCs/>
          <w:sz w:val="22"/>
          <w:szCs w:val="22"/>
          <w:lang w:val="en-GB"/>
        </w:rPr>
        <w:tab/>
      </w:r>
      <w:r w:rsidRPr="00E4265B">
        <w:rPr>
          <w:rFonts w:ascii="Arial" w:hAnsi="Arial" w:cs="Arial"/>
          <w:bCs/>
          <w:sz w:val="22"/>
          <w:szCs w:val="22"/>
          <w:lang w:val="en-GB"/>
        </w:rPr>
        <w:t xml:space="preserve">Where an Authorised Person is a client of the clearing member and the conditions set out in Rule A4.9.8 are not satisfied, the Authorised Person must capitalise its exposure to the clearing member as a bilateral OTC transaction in accordance with A4.6.14. </w:t>
      </w:r>
    </w:p>
    <w:p w14:paraId="08C5B19C" w14:textId="254D49C3" w:rsidR="007C1D3D" w:rsidRPr="00E4265B" w:rsidRDefault="007C1D3D" w:rsidP="00E96CD2">
      <w:pPr>
        <w:pStyle w:val="A1List"/>
        <w:rPr>
          <w:rFonts w:ascii="Arial" w:hAnsi="Arial" w:cs="Arial"/>
          <w:b/>
          <w:bCs/>
          <w:sz w:val="22"/>
          <w:szCs w:val="22"/>
          <w:lang w:val="en-GB"/>
        </w:rPr>
      </w:pPr>
      <w:r w:rsidRPr="00E4265B">
        <w:rPr>
          <w:rFonts w:ascii="Arial" w:hAnsi="Arial" w:cs="Arial"/>
          <w:b/>
          <w:bCs/>
          <w:sz w:val="22"/>
          <w:szCs w:val="22"/>
          <w:lang w:val="en-GB"/>
        </w:rPr>
        <w:t>A4.9.10</w:t>
      </w:r>
      <w:r w:rsidRPr="00E4265B">
        <w:rPr>
          <w:rFonts w:ascii="Arial" w:hAnsi="Arial" w:cs="Arial"/>
          <w:b/>
          <w:bCs/>
          <w:sz w:val="22"/>
          <w:szCs w:val="22"/>
          <w:lang w:val="en-GB"/>
        </w:rPr>
        <w:tab/>
      </w:r>
      <w:r w:rsidRPr="00E4265B">
        <w:rPr>
          <w:rFonts w:ascii="Arial" w:hAnsi="Arial" w:cs="Arial"/>
          <w:bCs/>
          <w:sz w:val="22"/>
          <w:szCs w:val="22"/>
          <w:lang w:val="en-GB"/>
        </w:rPr>
        <w:t xml:space="preserve">Without prejudice to Rule A4.9.9, where an Authorised Person that is a client is not protected from losses where the clearing member and another client of the clearing member jointly default, but all the other conditions set out in Rule A4.9.8 are met, it must calculate Credit RWA in respect of its exposure to the clearing member in accordance with </w:t>
      </w:r>
      <w:r w:rsidR="003C6AAF" w:rsidRPr="00E4265B">
        <w:rPr>
          <w:rFonts w:ascii="Arial" w:hAnsi="Arial" w:cs="Arial"/>
          <w:bCs/>
          <w:sz w:val="22"/>
          <w:szCs w:val="22"/>
          <w:lang w:val="en-GB"/>
        </w:rPr>
        <w:t>Rule </w:t>
      </w:r>
      <w:r w:rsidRPr="00E4265B">
        <w:rPr>
          <w:rFonts w:ascii="Arial" w:hAnsi="Arial" w:cs="Arial"/>
          <w:bCs/>
          <w:sz w:val="22"/>
          <w:szCs w:val="22"/>
          <w:lang w:val="en-GB"/>
        </w:rPr>
        <w:t>A4.6.14, except that it must apply a CRW of 4%.</w:t>
      </w:r>
    </w:p>
    <w:p w14:paraId="233B5550" w14:textId="77777777" w:rsidR="007C1D3D" w:rsidRPr="00E4265B" w:rsidRDefault="007C1D3D" w:rsidP="007C1D3D">
      <w:pPr>
        <w:pStyle w:val="TitleL5"/>
        <w:rPr>
          <w:rFonts w:ascii="Arial" w:hAnsi="Arial" w:cs="Arial"/>
          <w:sz w:val="22"/>
          <w:szCs w:val="22"/>
          <w:lang w:val="en-GB"/>
        </w:rPr>
      </w:pPr>
      <w:r w:rsidRPr="00E4265B">
        <w:rPr>
          <w:rFonts w:ascii="Arial" w:hAnsi="Arial" w:cs="Arial"/>
          <w:sz w:val="22"/>
          <w:szCs w:val="22"/>
          <w:lang w:val="en-GB"/>
        </w:rPr>
        <w:t>Trade Exposures in an indirect clearing arrangement</w:t>
      </w:r>
    </w:p>
    <w:p w14:paraId="364494E9" w14:textId="6A552AA0" w:rsidR="007C1D3D" w:rsidRPr="00E4265B" w:rsidRDefault="007C1D3D" w:rsidP="00E96CD2">
      <w:pPr>
        <w:pStyle w:val="A1List"/>
        <w:rPr>
          <w:rFonts w:ascii="Arial" w:hAnsi="Arial" w:cs="Arial"/>
          <w:b/>
          <w:bCs/>
          <w:sz w:val="22"/>
          <w:szCs w:val="22"/>
          <w:lang w:val="en-GB"/>
        </w:rPr>
      </w:pPr>
      <w:r w:rsidRPr="00E4265B">
        <w:rPr>
          <w:rFonts w:ascii="Arial" w:hAnsi="Arial" w:cs="Arial"/>
          <w:b/>
          <w:bCs/>
          <w:sz w:val="22"/>
          <w:szCs w:val="22"/>
          <w:lang w:val="en-GB"/>
        </w:rPr>
        <w:t>A4.9.11</w:t>
      </w:r>
      <w:r w:rsidRPr="00E4265B">
        <w:rPr>
          <w:rFonts w:ascii="Arial" w:hAnsi="Arial" w:cs="Arial"/>
          <w:b/>
          <w:bCs/>
          <w:sz w:val="22"/>
          <w:szCs w:val="22"/>
          <w:lang w:val="en-GB"/>
        </w:rPr>
        <w:tab/>
      </w:r>
      <w:r w:rsidRPr="00E4265B">
        <w:rPr>
          <w:rFonts w:ascii="Arial" w:hAnsi="Arial" w:cs="Arial"/>
          <w:bCs/>
          <w:sz w:val="22"/>
          <w:szCs w:val="22"/>
          <w:lang w:val="en-GB"/>
        </w:rPr>
        <w:t xml:space="preserve">Where an Authorised Person that is a client accesses the services of a CCP through indirect clearing arrangements (where, for example it is a client of a clearing member's client), it may calculate Credit RWA in respect of its exposure to its intermediary in accordance with Rules A4.9.7 </w:t>
      </w:r>
      <w:r w:rsidR="00E96CD2" w:rsidRPr="00E4265B">
        <w:rPr>
          <w:rFonts w:ascii="Arial" w:hAnsi="Arial" w:cs="Arial"/>
          <w:bCs/>
          <w:sz w:val="22"/>
          <w:szCs w:val="22"/>
          <w:lang w:val="en-GB"/>
        </w:rPr>
        <w:t>and</w:t>
      </w:r>
      <w:r w:rsidRPr="00E4265B">
        <w:rPr>
          <w:rFonts w:ascii="Arial" w:hAnsi="Arial" w:cs="Arial"/>
          <w:bCs/>
          <w:sz w:val="22"/>
          <w:szCs w:val="22"/>
          <w:lang w:val="en-GB"/>
        </w:rPr>
        <w:t xml:space="preserve"> A4.9.8, provided that the conditions set out in Rule A4.9.8 are satisfied at every level of the chain of intermediaries.</w:t>
      </w:r>
    </w:p>
    <w:p w14:paraId="001186FD" w14:textId="77777777" w:rsidR="007C1D3D" w:rsidRPr="00E4265B" w:rsidRDefault="007C1D3D" w:rsidP="007C1D3D">
      <w:pPr>
        <w:pStyle w:val="TitleL5"/>
        <w:rPr>
          <w:rFonts w:ascii="Arial" w:hAnsi="Arial" w:cs="Arial"/>
          <w:sz w:val="22"/>
          <w:szCs w:val="22"/>
          <w:lang w:val="en-GB"/>
        </w:rPr>
      </w:pPr>
      <w:r w:rsidRPr="00E4265B">
        <w:rPr>
          <w:rFonts w:ascii="Arial" w:hAnsi="Arial" w:cs="Arial"/>
          <w:sz w:val="22"/>
          <w:szCs w:val="22"/>
          <w:lang w:val="en-GB"/>
        </w:rPr>
        <w:t xml:space="preserve">Treatment of posted collateral </w:t>
      </w:r>
    </w:p>
    <w:p w14:paraId="3B74514E" w14:textId="77777777" w:rsidR="007C1D3D" w:rsidRPr="00E4265B" w:rsidRDefault="007C1D3D" w:rsidP="007C1D3D">
      <w:pPr>
        <w:pStyle w:val="A1List"/>
        <w:rPr>
          <w:rFonts w:ascii="Arial" w:hAnsi="Arial" w:cs="Arial"/>
          <w:b/>
          <w:bCs/>
          <w:sz w:val="22"/>
          <w:szCs w:val="22"/>
          <w:lang w:val="en-GB"/>
        </w:rPr>
      </w:pPr>
      <w:r w:rsidRPr="00E4265B">
        <w:rPr>
          <w:rFonts w:ascii="Arial" w:hAnsi="Arial" w:cs="Arial"/>
          <w:b/>
          <w:bCs/>
          <w:sz w:val="22"/>
          <w:szCs w:val="22"/>
          <w:lang w:val="en-GB"/>
        </w:rPr>
        <w:t>A4.9.12</w:t>
      </w:r>
      <w:r w:rsidRPr="00E4265B">
        <w:rPr>
          <w:rFonts w:ascii="Arial" w:hAnsi="Arial" w:cs="Arial"/>
          <w:b/>
          <w:bCs/>
          <w:sz w:val="22"/>
          <w:szCs w:val="22"/>
          <w:lang w:val="en-GB"/>
        </w:rPr>
        <w:tab/>
      </w:r>
      <w:r w:rsidRPr="00E4265B">
        <w:rPr>
          <w:rFonts w:ascii="Arial" w:hAnsi="Arial" w:cs="Arial"/>
          <w:bCs/>
          <w:sz w:val="22"/>
          <w:szCs w:val="22"/>
          <w:lang w:val="en-GB"/>
        </w:rPr>
        <w:t>Any collateral posted pursuant to transactions covered by Rules A4.9.3 to A4.9.11 must, from the perspective of the Authorised Person posting such collateral, receive the CRWs that otherwise apply to such assets or collateral, regardless of the fact that such collateral has been posted as collateral as part of a clearing arrangement.</w:t>
      </w:r>
    </w:p>
    <w:p w14:paraId="785FFC6B" w14:textId="77777777" w:rsidR="007C1D3D" w:rsidRPr="00E4265B" w:rsidRDefault="007C1D3D" w:rsidP="007C1D3D">
      <w:pPr>
        <w:pStyle w:val="A1List"/>
        <w:rPr>
          <w:rFonts w:ascii="Arial" w:hAnsi="Arial" w:cs="Arial"/>
          <w:b/>
          <w:bCs/>
          <w:sz w:val="22"/>
          <w:szCs w:val="22"/>
          <w:lang w:val="en-GB"/>
        </w:rPr>
      </w:pPr>
      <w:r w:rsidRPr="00E4265B">
        <w:rPr>
          <w:rFonts w:ascii="Arial" w:hAnsi="Arial" w:cs="Arial"/>
          <w:b/>
          <w:bCs/>
          <w:sz w:val="22"/>
          <w:szCs w:val="22"/>
          <w:lang w:val="en-GB"/>
        </w:rPr>
        <w:lastRenderedPageBreak/>
        <w:t>A4.9.13</w:t>
      </w:r>
      <w:r w:rsidRPr="00E4265B">
        <w:rPr>
          <w:rFonts w:ascii="Arial" w:hAnsi="Arial" w:cs="Arial"/>
          <w:b/>
          <w:bCs/>
          <w:sz w:val="22"/>
          <w:szCs w:val="22"/>
          <w:lang w:val="en-GB"/>
        </w:rPr>
        <w:tab/>
      </w:r>
      <w:r w:rsidRPr="00E4265B">
        <w:rPr>
          <w:rFonts w:ascii="Arial" w:hAnsi="Arial" w:cs="Arial"/>
          <w:bCs/>
          <w:sz w:val="22"/>
          <w:szCs w:val="22"/>
          <w:lang w:val="en-GB"/>
        </w:rPr>
        <w:t>Where collateral of a clearing member or client is posted with a QCCP or a clearing member, the Authorised Person posting such collateral must also recognise credit risk arising as a result of the collateral being exposed to risk of loss based on the creditworthiness of the entity holding such collateral according to the following Rules:</w:t>
      </w:r>
    </w:p>
    <w:p w14:paraId="15638F9B" w14:textId="265F878D" w:rsidR="007C1D3D" w:rsidRPr="00E4265B" w:rsidRDefault="007C1D3D" w:rsidP="00950CC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Where the entity holding such collateral is the QCCP, a CRW of 2% applies to collateral posted in relation to Trade Exposures. The relevant CRW of the QCCP will apply to collateral posted for other purposes. Where the Authorised Person uses the SA-CCR to calculate exposures, collateral posted which is not held in a bankruptcy remote manner must be accounted for in the NICA term in accordance with </w:t>
      </w:r>
      <w:r w:rsidR="00E96CD2" w:rsidRPr="00E4265B">
        <w:rPr>
          <w:rFonts w:ascii="Arial" w:hAnsi="Arial" w:cs="Arial"/>
          <w:sz w:val="22"/>
          <w:szCs w:val="22"/>
          <w:lang w:val="en-GB"/>
        </w:rPr>
        <w:t>Rule </w:t>
      </w:r>
      <w:r w:rsidRPr="00E4265B">
        <w:rPr>
          <w:rFonts w:ascii="Arial" w:hAnsi="Arial" w:cs="Arial"/>
          <w:sz w:val="22"/>
          <w:szCs w:val="22"/>
          <w:lang w:val="en-GB"/>
        </w:rPr>
        <w:t xml:space="preserve">A4.6.14. Where the Authorised Person uses an IMM Model in accordance with </w:t>
      </w:r>
      <w:r w:rsidR="00E96CD2" w:rsidRPr="00E4265B">
        <w:rPr>
          <w:rFonts w:ascii="Arial" w:hAnsi="Arial" w:cs="Arial"/>
          <w:sz w:val="22"/>
          <w:szCs w:val="22"/>
          <w:lang w:val="en-GB"/>
        </w:rPr>
        <w:t>Rule </w:t>
      </w:r>
      <w:r w:rsidRPr="00E4265B">
        <w:rPr>
          <w:rFonts w:ascii="Arial" w:hAnsi="Arial" w:cs="Arial"/>
          <w:sz w:val="22"/>
          <w:szCs w:val="22"/>
          <w:lang w:val="en-GB"/>
        </w:rPr>
        <w:t xml:space="preserve">A4.6.14, the alpha multiplier must be applied to the exposure on posted collateral.  </w:t>
      </w:r>
    </w:p>
    <w:p w14:paraId="2788F52B" w14:textId="77777777" w:rsidR="007C1D3D" w:rsidRPr="00E4265B" w:rsidRDefault="007C1D3D" w:rsidP="00950CC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All collateral posted by the clearing member (including cash, securities, other pledged assets and excess initial or variation margin) that is held by a custodian and is bankruptcy remote from the QCCP, is not subject to a capital requirement for Counterparty Credit Risk exposure to such bankruptcy remote custodian (i.e. the related CRW is 0%).</w:t>
      </w:r>
    </w:p>
    <w:p w14:paraId="4C322D84" w14:textId="62578718" w:rsidR="007C1D3D" w:rsidRPr="00E4265B" w:rsidRDefault="007C1D3D" w:rsidP="00950CC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Collateral posted by a client, that is held by a custodian, and is bankruptcy remote from the QCCP, the clearing member and other clients, is not subject to a capital requirement for Counterparty Credit Risk.  If the collateral is held at the QCCP on a client's behalf and is not held on a bankruptcy remote basis, a 2% risk-weight must apply to the collateral if the conditions in Rule A4.9.9 are met; </w:t>
      </w:r>
      <w:r w:rsidR="00E96CD2" w:rsidRPr="00E4265B">
        <w:rPr>
          <w:rFonts w:ascii="Arial" w:hAnsi="Arial" w:cs="Arial"/>
          <w:sz w:val="22"/>
          <w:szCs w:val="22"/>
          <w:lang w:val="en-GB"/>
        </w:rPr>
        <w:t>or 4% if the conditions in Rule </w:t>
      </w:r>
      <w:r w:rsidRPr="00E4265B">
        <w:rPr>
          <w:rFonts w:ascii="Arial" w:hAnsi="Arial" w:cs="Arial"/>
          <w:sz w:val="22"/>
          <w:szCs w:val="22"/>
          <w:lang w:val="en-GB"/>
        </w:rPr>
        <w:t>A4.9.10 are met.</w:t>
      </w:r>
    </w:p>
    <w:p w14:paraId="2D3524A6" w14:textId="77777777" w:rsidR="006F1948" w:rsidRPr="00E4265B" w:rsidRDefault="006F1948" w:rsidP="006F1948">
      <w:pPr>
        <w:pStyle w:val="TitleL5"/>
        <w:rPr>
          <w:rFonts w:ascii="Arial" w:hAnsi="Arial" w:cs="Arial"/>
          <w:sz w:val="22"/>
          <w:szCs w:val="22"/>
          <w:lang w:val="en-GB"/>
        </w:rPr>
      </w:pPr>
      <w:r w:rsidRPr="00E4265B">
        <w:rPr>
          <w:rFonts w:ascii="Arial" w:hAnsi="Arial" w:cs="Arial"/>
          <w:sz w:val="22"/>
          <w:szCs w:val="22"/>
          <w:lang w:val="en-GB"/>
        </w:rPr>
        <w:t>Guidance</w:t>
      </w:r>
    </w:p>
    <w:p w14:paraId="3C08F1F4" w14:textId="77777777" w:rsidR="00974E9E" w:rsidRPr="00E4265B" w:rsidRDefault="007C1D3D" w:rsidP="00950CC3">
      <w:pPr>
        <w:pStyle w:val="UK12Block05"/>
        <w:rPr>
          <w:rFonts w:ascii="Arial" w:hAnsi="Arial" w:cs="Arial"/>
          <w:sz w:val="22"/>
          <w:szCs w:val="22"/>
          <w:lang w:val="en-GB"/>
        </w:rPr>
      </w:pPr>
      <w:r w:rsidRPr="00E4265B">
        <w:rPr>
          <w:rFonts w:ascii="Arial" w:hAnsi="Arial" w:cs="Arial"/>
          <w:sz w:val="22"/>
          <w:szCs w:val="22"/>
          <w:lang w:val="en-GB"/>
        </w:rPr>
        <w:t>The treatments set out in Rule A4.9.13 are summarised in the table below</w:t>
      </w:r>
      <w:r w:rsidR="00950CC3" w:rsidRPr="00E4265B">
        <w:rPr>
          <w:rFonts w:ascii="Arial" w:hAnsi="Arial" w:cs="Arial"/>
          <w:sz w:val="22"/>
          <w:szCs w:val="22"/>
          <w:lang w:val="en-GB"/>
        </w:rPr>
        <w:t>.</w:t>
      </w:r>
    </w:p>
    <w:tbl>
      <w:tblPr>
        <w:tblStyle w:val="TableGrid"/>
        <w:tblW w:w="8010" w:type="dxa"/>
        <w:tblInd w:w="1098" w:type="dxa"/>
        <w:tblLook w:val="04A0" w:firstRow="1" w:lastRow="0" w:firstColumn="1" w:lastColumn="0" w:noHBand="0" w:noVBand="1"/>
      </w:tblPr>
      <w:tblGrid>
        <w:gridCol w:w="1838"/>
        <w:gridCol w:w="1764"/>
        <w:gridCol w:w="1427"/>
        <w:gridCol w:w="1488"/>
        <w:gridCol w:w="1493"/>
      </w:tblGrid>
      <w:tr w:rsidR="00950CC3" w:rsidRPr="00E4265B" w14:paraId="2BB05FFB" w14:textId="77777777" w:rsidTr="003C6AAF">
        <w:tc>
          <w:tcPr>
            <w:tcW w:w="3690" w:type="dxa"/>
            <w:gridSpan w:val="2"/>
            <w:tcBorders>
              <w:bottom w:val="dotted" w:sz="4" w:space="0" w:color="auto"/>
            </w:tcBorders>
            <w:shd w:val="clear" w:color="auto" w:fill="D9D9D9" w:themeFill="background1" w:themeFillShade="D9"/>
            <w:vAlign w:val="center"/>
          </w:tcPr>
          <w:p w14:paraId="3E36DEAE" w14:textId="77777777" w:rsidR="00950CC3" w:rsidRPr="00E4265B" w:rsidRDefault="00950CC3" w:rsidP="00950CC3">
            <w:pPr>
              <w:pStyle w:val="UK12Block05"/>
              <w:spacing w:after="120"/>
              <w:ind w:left="0"/>
              <w:jc w:val="center"/>
              <w:rPr>
                <w:rFonts w:ascii="Arial" w:hAnsi="Arial" w:cs="Arial"/>
                <w:b/>
                <w:sz w:val="22"/>
                <w:szCs w:val="22"/>
                <w:lang w:val="en-GB"/>
              </w:rPr>
            </w:pPr>
            <w:r w:rsidRPr="00E4265B">
              <w:rPr>
                <w:rFonts w:ascii="Arial" w:hAnsi="Arial" w:cs="Arial"/>
                <w:b/>
                <w:sz w:val="22"/>
                <w:szCs w:val="22"/>
                <w:lang w:val="en-GB"/>
              </w:rPr>
              <w:t>Collateral</w:t>
            </w:r>
          </w:p>
        </w:tc>
        <w:tc>
          <w:tcPr>
            <w:tcW w:w="1319" w:type="dxa"/>
            <w:vMerge w:val="restart"/>
            <w:shd w:val="clear" w:color="auto" w:fill="D9D9D9" w:themeFill="background1" w:themeFillShade="D9"/>
            <w:vAlign w:val="center"/>
          </w:tcPr>
          <w:p w14:paraId="5A098629" w14:textId="77777777" w:rsidR="00950CC3" w:rsidRPr="00E4265B" w:rsidRDefault="00950CC3" w:rsidP="00950CC3">
            <w:pPr>
              <w:pStyle w:val="UK12Block05"/>
              <w:spacing w:after="120"/>
              <w:ind w:left="0"/>
              <w:jc w:val="center"/>
              <w:rPr>
                <w:rFonts w:ascii="Arial" w:hAnsi="Arial" w:cs="Arial"/>
                <w:b/>
                <w:sz w:val="22"/>
                <w:szCs w:val="22"/>
                <w:lang w:val="en-GB"/>
              </w:rPr>
            </w:pPr>
            <w:r w:rsidRPr="00E4265B">
              <w:rPr>
                <w:rFonts w:ascii="Arial" w:hAnsi="Arial" w:cs="Arial"/>
                <w:b/>
                <w:sz w:val="22"/>
                <w:szCs w:val="22"/>
                <w:lang w:val="en-GB"/>
              </w:rPr>
              <w:t>Bankruptcy remote</w:t>
            </w:r>
          </w:p>
        </w:tc>
        <w:tc>
          <w:tcPr>
            <w:tcW w:w="1471" w:type="dxa"/>
            <w:vMerge w:val="restart"/>
            <w:shd w:val="clear" w:color="auto" w:fill="D9D9D9" w:themeFill="background1" w:themeFillShade="D9"/>
            <w:vAlign w:val="center"/>
          </w:tcPr>
          <w:p w14:paraId="3A6CC1A4" w14:textId="77777777" w:rsidR="00950CC3" w:rsidRPr="00E4265B" w:rsidRDefault="00950CC3" w:rsidP="00950CC3">
            <w:pPr>
              <w:pStyle w:val="UK12Block05"/>
              <w:spacing w:after="120"/>
              <w:ind w:left="0"/>
              <w:jc w:val="center"/>
              <w:rPr>
                <w:rFonts w:ascii="Arial" w:hAnsi="Arial" w:cs="Arial"/>
                <w:b/>
                <w:sz w:val="22"/>
                <w:szCs w:val="22"/>
                <w:lang w:val="en-GB"/>
              </w:rPr>
            </w:pPr>
            <w:r w:rsidRPr="00E4265B">
              <w:rPr>
                <w:rFonts w:ascii="Arial" w:hAnsi="Arial" w:cs="Arial"/>
                <w:b/>
                <w:sz w:val="22"/>
                <w:szCs w:val="22"/>
                <w:lang w:val="en-GB"/>
              </w:rPr>
              <w:t>Conditions</w:t>
            </w:r>
          </w:p>
        </w:tc>
        <w:tc>
          <w:tcPr>
            <w:tcW w:w="1530" w:type="dxa"/>
            <w:vMerge w:val="restart"/>
            <w:shd w:val="clear" w:color="auto" w:fill="D9D9D9" w:themeFill="background1" w:themeFillShade="D9"/>
            <w:vAlign w:val="center"/>
          </w:tcPr>
          <w:p w14:paraId="794D75E2" w14:textId="77777777" w:rsidR="00950CC3" w:rsidRPr="00E4265B" w:rsidRDefault="00950CC3" w:rsidP="00950CC3">
            <w:pPr>
              <w:pStyle w:val="UK12Block05"/>
              <w:spacing w:after="120"/>
              <w:ind w:left="0"/>
              <w:jc w:val="center"/>
              <w:rPr>
                <w:rFonts w:ascii="Arial" w:hAnsi="Arial" w:cs="Arial"/>
                <w:b/>
                <w:sz w:val="22"/>
                <w:szCs w:val="22"/>
                <w:lang w:val="en-GB"/>
              </w:rPr>
            </w:pPr>
            <w:r w:rsidRPr="00E4265B">
              <w:rPr>
                <w:rFonts w:ascii="Arial" w:hAnsi="Arial" w:cs="Arial"/>
                <w:b/>
                <w:sz w:val="22"/>
                <w:szCs w:val="22"/>
                <w:lang w:val="en-GB"/>
              </w:rPr>
              <w:t>Risk weight</w:t>
            </w:r>
          </w:p>
        </w:tc>
      </w:tr>
      <w:tr w:rsidR="00950CC3" w:rsidRPr="00E4265B" w14:paraId="3CBC7841" w14:textId="77777777" w:rsidTr="003C6AAF">
        <w:tc>
          <w:tcPr>
            <w:tcW w:w="1890" w:type="dxa"/>
            <w:tcBorders>
              <w:top w:val="dotted" w:sz="4" w:space="0" w:color="auto"/>
            </w:tcBorders>
            <w:shd w:val="clear" w:color="auto" w:fill="D9D9D9" w:themeFill="background1" w:themeFillShade="D9"/>
            <w:vAlign w:val="center"/>
          </w:tcPr>
          <w:p w14:paraId="285EE3D8" w14:textId="50585B96" w:rsidR="00950CC3" w:rsidRPr="00E4265B" w:rsidRDefault="00D94632" w:rsidP="00950CC3">
            <w:pPr>
              <w:pStyle w:val="UK12Block05"/>
              <w:spacing w:after="120"/>
              <w:ind w:left="0"/>
              <w:jc w:val="center"/>
              <w:rPr>
                <w:rFonts w:ascii="Arial" w:hAnsi="Arial" w:cs="Arial"/>
                <w:b/>
                <w:sz w:val="22"/>
                <w:szCs w:val="22"/>
                <w:lang w:val="en-GB"/>
              </w:rPr>
            </w:pPr>
            <w:r w:rsidRPr="00E4265B">
              <w:rPr>
                <w:rFonts w:ascii="Arial" w:hAnsi="Arial" w:cs="Arial"/>
                <w:b/>
                <w:sz w:val="22"/>
                <w:szCs w:val="22"/>
                <w:lang w:val="en-GB"/>
              </w:rPr>
              <w:t>p</w:t>
            </w:r>
            <w:r w:rsidR="00950CC3" w:rsidRPr="00E4265B">
              <w:rPr>
                <w:rFonts w:ascii="Arial" w:hAnsi="Arial" w:cs="Arial"/>
                <w:b/>
                <w:sz w:val="22"/>
                <w:szCs w:val="22"/>
                <w:lang w:val="en-GB"/>
              </w:rPr>
              <w:t>osted by</w:t>
            </w:r>
          </w:p>
        </w:tc>
        <w:tc>
          <w:tcPr>
            <w:tcW w:w="1800" w:type="dxa"/>
            <w:tcBorders>
              <w:top w:val="dotted" w:sz="4" w:space="0" w:color="auto"/>
            </w:tcBorders>
            <w:shd w:val="clear" w:color="auto" w:fill="D9D9D9" w:themeFill="background1" w:themeFillShade="D9"/>
            <w:vAlign w:val="center"/>
          </w:tcPr>
          <w:p w14:paraId="5B57B021" w14:textId="4762C0AC" w:rsidR="00950CC3" w:rsidRPr="00E4265B" w:rsidRDefault="003C6AAF" w:rsidP="00950CC3">
            <w:pPr>
              <w:pStyle w:val="UK12Block05"/>
              <w:spacing w:after="120"/>
              <w:ind w:left="0"/>
              <w:jc w:val="center"/>
              <w:rPr>
                <w:rFonts w:ascii="Arial" w:hAnsi="Arial" w:cs="Arial"/>
                <w:b/>
                <w:sz w:val="22"/>
                <w:szCs w:val="22"/>
                <w:lang w:val="en-GB"/>
              </w:rPr>
            </w:pPr>
            <w:r w:rsidRPr="00E4265B">
              <w:rPr>
                <w:rFonts w:ascii="Arial" w:hAnsi="Arial" w:cs="Arial"/>
                <w:b/>
                <w:sz w:val="22"/>
                <w:szCs w:val="22"/>
                <w:lang w:val="en-GB"/>
              </w:rPr>
              <w:t>h</w:t>
            </w:r>
            <w:r w:rsidR="00950CC3" w:rsidRPr="00E4265B">
              <w:rPr>
                <w:rFonts w:ascii="Arial" w:hAnsi="Arial" w:cs="Arial"/>
                <w:b/>
                <w:sz w:val="22"/>
                <w:szCs w:val="22"/>
                <w:lang w:val="en-GB"/>
              </w:rPr>
              <w:t>eld by</w:t>
            </w:r>
          </w:p>
        </w:tc>
        <w:tc>
          <w:tcPr>
            <w:tcW w:w="1319" w:type="dxa"/>
            <w:vMerge/>
            <w:shd w:val="clear" w:color="auto" w:fill="D9D9D9" w:themeFill="background1" w:themeFillShade="D9"/>
            <w:vAlign w:val="center"/>
          </w:tcPr>
          <w:p w14:paraId="4E0CD9F3" w14:textId="77777777" w:rsidR="00950CC3" w:rsidRPr="00E4265B" w:rsidRDefault="00950CC3" w:rsidP="00950CC3">
            <w:pPr>
              <w:pStyle w:val="UK12Block05"/>
              <w:spacing w:after="120"/>
              <w:ind w:left="0"/>
              <w:jc w:val="center"/>
              <w:rPr>
                <w:rFonts w:ascii="Arial" w:hAnsi="Arial" w:cs="Arial"/>
                <w:b/>
                <w:sz w:val="22"/>
                <w:szCs w:val="22"/>
                <w:lang w:val="en-GB"/>
              </w:rPr>
            </w:pPr>
          </w:p>
        </w:tc>
        <w:tc>
          <w:tcPr>
            <w:tcW w:w="1471" w:type="dxa"/>
            <w:vMerge/>
            <w:shd w:val="clear" w:color="auto" w:fill="D9D9D9" w:themeFill="background1" w:themeFillShade="D9"/>
            <w:vAlign w:val="center"/>
          </w:tcPr>
          <w:p w14:paraId="5E1211B2" w14:textId="77777777" w:rsidR="00950CC3" w:rsidRPr="00E4265B" w:rsidRDefault="00950CC3" w:rsidP="00950CC3">
            <w:pPr>
              <w:pStyle w:val="UK12Block05"/>
              <w:spacing w:after="120"/>
              <w:ind w:left="0"/>
              <w:jc w:val="center"/>
              <w:rPr>
                <w:rFonts w:ascii="Arial" w:hAnsi="Arial" w:cs="Arial"/>
                <w:b/>
                <w:sz w:val="22"/>
                <w:szCs w:val="22"/>
                <w:lang w:val="en-GB"/>
              </w:rPr>
            </w:pPr>
          </w:p>
        </w:tc>
        <w:tc>
          <w:tcPr>
            <w:tcW w:w="1530" w:type="dxa"/>
            <w:vMerge/>
            <w:shd w:val="clear" w:color="auto" w:fill="D9D9D9" w:themeFill="background1" w:themeFillShade="D9"/>
            <w:vAlign w:val="center"/>
          </w:tcPr>
          <w:p w14:paraId="763DD25F" w14:textId="77777777" w:rsidR="00950CC3" w:rsidRPr="00E4265B" w:rsidRDefault="00950CC3" w:rsidP="00950CC3">
            <w:pPr>
              <w:pStyle w:val="UK12Block05"/>
              <w:spacing w:after="120"/>
              <w:ind w:left="0"/>
              <w:jc w:val="center"/>
              <w:rPr>
                <w:rFonts w:ascii="Arial" w:hAnsi="Arial" w:cs="Arial"/>
                <w:b/>
                <w:sz w:val="22"/>
                <w:szCs w:val="22"/>
                <w:lang w:val="en-GB"/>
              </w:rPr>
            </w:pPr>
          </w:p>
        </w:tc>
      </w:tr>
      <w:tr w:rsidR="00950CC3" w:rsidRPr="00E4265B" w14:paraId="5EEB8831" w14:textId="77777777" w:rsidTr="003C6AAF">
        <w:tc>
          <w:tcPr>
            <w:tcW w:w="1890" w:type="dxa"/>
            <w:vAlign w:val="center"/>
          </w:tcPr>
          <w:p w14:paraId="255E2544" w14:textId="77777777" w:rsidR="00950CC3" w:rsidRPr="00E4265B" w:rsidRDefault="00950CC3"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Clearing member</w:t>
            </w:r>
          </w:p>
        </w:tc>
        <w:tc>
          <w:tcPr>
            <w:tcW w:w="1800" w:type="dxa"/>
            <w:vAlign w:val="center"/>
          </w:tcPr>
          <w:p w14:paraId="27C85867" w14:textId="77777777" w:rsidR="00950CC3" w:rsidRPr="00E4265B" w:rsidRDefault="00950CC3"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QCCP</w:t>
            </w:r>
          </w:p>
        </w:tc>
        <w:tc>
          <w:tcPr>
            <w:tcW w:w="1319" w:type="dxa"/>
            <w:vAlign w:val="center"/>
          </w:tcPr>
          <w:p w14:paraId="4BF431D2" w14:textId="77777777" w:rsidR="00950CC3" w:rsidRPr="00E4265B" w:rsidRDefault="00950CC3"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No</w:t>
            </w:r>
          </w:p>
        </w:tc>
        <w:tc>
          <w:tcPr>
            <w:tcW w:w="1471" w:type="dxa"/>
            <w:shd w:val="clear" w:color="auto" w:fill="F2F2F2" w:themeFill="background1" w:themeFillShade="F2"/>
            <w:vAlign w:val="center"/>
          </w:tcPr>
          <w:p w14:paraId="72282D49" w14:textId="77777777" w:rsidR="00950CC3" w:rsidRPr="00E4265B" w:rsidRDefault="00950CC3" w:rsidP="00950CC3">
            <w:pPr>
              <w:pStyle w:val="UK12Block05"/>
              <w:spacing w:after="120"/>
              <w:ind w:left="0"/>
              <w:rPr>
                <w:rFonts w:ascii="Arial" w:hAnsi="Arial" w:cs="Arial"/>
                <w:sz w:val="22"/>
                <w:szCs w:val="22"/>
                <w:highlight w:val="lightGray"/>
                <w:lang w:val="en-GB"/>
              </w:rPr>
            </w:pPr>
          </w:p>
        </w:tc>
        <w:tc>
          <w:tcPr>
            <w:tcW w:w="1530" w:type="dxa"/>
            <w:vAlign w:val="center"/>
          </w:tcPr>
          <w:p w14:paraId="0A5E4E39" w14:textId="77777777" w:rsidR="00950CC3" w:rsidRPr="00E4265B" w:rsidRDefault="00950CC3" w:rsidP="006F1948">
            <w:pPr>
              <w:pStyle w:val="UK12Block05"/>
              <w:spacing w:after="120"/>
              <w:ind w:left="0" w:right="72"/>
              <w:jc w:val="right"/>
              <w:rPr>
                <w:rFonts w:ascii="Arial" w:hAnsi="Arial" w:cs="Arial"/>
                <w:sz w:val="22"/>
                <w:szCs w:val="22"/>
                <w:lang w:val="en-GB"/>
              </w:rPr>
            </w:pPr>
            <w:r w:rsidRPr="00E4265B">
              <w:rPr>
                <w:rFonts w:ascii="Arial" w:hAnsi="Arial" w:cs="Arial"/>
                <w:sz w:val="22"/>
                <w:szCs w:val="22"/>
                <w:lang w:val="en-GB"/>
              </w:rPr>
              <w:t>2%</w:t>
            </w:r>
          </w:p>
        </w:tc>
      </w:tr>
      <w:tr w:rsidR="00950CC3" w:rsidRPr="00E4265B" w14:paraId="5CAD981F" w14:textId="77777777" w:rsidTr="003C6AAF">
        <w:tc>
          <w:tcPr>
            <w:tcW w:w="1890" w:type="dxa"/>
            <w:vAlign w:val="center"/>
          </w:tcPr>
          <w:p w14:paraId="0CD4B571" w14:textId="77777777" w:rsidR="00950CC3" w:rsidRPr="00E4265B" w:rsidRDefault="00950CC3"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Client</w:t>
            </w:r>
          </w:p>
        </w:tc>
        <w:tc>
          <w:tcPr>
            <w:tcW w:w="1800" w:type="dxa"/>
            <w:vAlign w:val="center"/>
          </w:tcPr>
          <w:p w14:paraId="57416A45" w14:textId="77777777" w:rsidR="00950CC3" w:rsidRPr="00E4265B" w:rsidRDefault="00950CC3"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Clearing member</w:t>
            </w:r>
          </w:p>
        </w:tc>
        <w:tc>
          <w:tcPr>
            <w:tcW w:w="1319" w:type="dxa"/>
            <w:vAlign w:val="center"/>
          </w:tcPr>
          <w:p w14:paraId="0396B814" w14:textId="77777777" w:rsidR="00950CC3" w:rsidRPr="00E4265B" w:rsidRDefault="00950CC3"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No</w:t>
            </w:r>
          </w:p>
        </w:tc>
        <w:tc>
          <w:tcPr>
            <w:tcW w:w="1471" w:type="dxa"/>
            <w:shd w:val="clear" w:color="auto" w:fill="F2F2F2" w:themeFill="background1" w:themeFillShade="F2"/>
            <w:vAlign w:val="center"/>
          </w:tcPr>
          <w:p w14:paraId="48209708" w14:textId="77777777" w:rsidR="00950CC3" w:rsidRPr="00E4265B" w:rsidRDefault="00950CC3" w:rsidP="00950CC3">
            <w:pPr>
              <w:pStyle w:val="UK12Block05"/>
              <w:spacing w:after="120"/>
              <w:ind w:left="0"/>
              <w:rPr>
                <w:rFonts w:ascii="Arial" w:hAnsi="Arial" w:cs="Arial"/>
                <w:sz w:val="22"/>
                <w:szCs w:val="22"/>
                <w:highlight w:val="lightGray"/>
                <w:lang w:val="en-GB"/>
              </w:rPr>
            </w:pPr>
          </w:p>
        </w:tc>
        <w:tc>
          <w:tcPr>
            <w:tcW w:w="1530" w:type="dxa"/>
            <w:vAlign w:val="center"/>
          </w:tcPr>
          <w:p w14:paraId="254ED77D" w14:textId="77777777" w:rsidR="00950CC3" w:rsidRPr="00E4265B" w:rsidRDefault="00950CC3"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CRW of QCCP</w:t>
            </w:r>
          </w:p>
        </w:tc>
      </w:tr>
      <w:tr w:rsidR="00950CC3" w:rsidRPr="00E4265B" w14:paraId="19266CB5" w14:textId="77777777" w:rsidTr="003C6AAF">
        <w:tc>
          <w:tcPr>
            <w:tcW w:w="1890" w:type="dxa"/>
            <w:vAlign w:val="center"/>
          </w:tcPr>
          <w:p w14:paraId="0AB1C291" w14:textId="77777777" w:rsidR="00950CC3" w:rsidRPr="00E4265B" w:rsidRDefault="00950CC3"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Clearing member</w:t>
            </w:r>
          </w:p>
        </w:tc>
        <w:tc>
          <w:tcPr>
            <w:tcW w:w="1800" w:type="dxa"/>
            <w:vAlign w:val="center"/>
          </w:tcPr>
          <w:p w14:paraId="6081FE54" w14:textId="77777777" w:rsidR="00950CC3" w:rsidRPr="00E4265B" w:rsidRDefault="00950CC3"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Custodian</w:t>
            </w:r>
          </w:p>
        </w:tc>
        <w:tc>
          <w:tcPr>
            <w:tcW w:w="1319" w:type="dxa"/>
            <w:vAlign w:val="center"/>
          </w:tcPr>
          <w:p w14:paraId="7606CB8E" w14:textId="77777777" w:rsidR="00950CC3" w:rsidRPr="00E4265B" w:rsidRDefault="00950CC3"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Yes</w:t>
            </w:r>
          </w:p>
        </w:tc>
        <w:tc>
          <w:tcPr>
            <w:tcW w:w="1471" w:type="dxa"/>
            <w:shd w:val="clear" w:color="auto" w:fill="F2F2F2" w:themeFill="background1" w:themeFillShade="F2"/>
            <w:vAlign w:val="center"/>
          </w:tcPr>
          <w:p w14:paraId="7DBC0E21" w14:textId="77777777" w:rsidR="00950CC3" w:rsidRPr="00E4265B" w:rsidRDefault="00950CC3" w:rsidP="00950CC3">
            <w:pPr>
              <w:pStyle w:val="UK12Block05"/>
              <w:spacing w:after="120"/>
              <w:ind w:left="0"/>
              <w:rPr>
                <w:rFonts w:ascii="Arial" w:hAnsi="Arial" w:cs="Arial"/>
                <w:sz w:val="22"/>
                <w:szCs w:val="22"/>
                <w:highlight w:val="lightGray"/>
                <w:lang w:val="en-GB"/>
              </w:rPr>
            </w:pPr>
          </w:p>
        </w:tc>
        <w:tc>
          <w:tcPr>
            <w:tcW w:w="1530" w:type="dxa"/>
            <w:vAlign w:val="center"/>
          </w:tcPr>
          <w:p w14:paraId="3276F875" w14:textId="77777777" w:rsidR="00950CC3" w:rsidRPr="00E4265B" w:rsidRDefault="00950CC3" w:rsidP="006F1948">
            <w:pPr>
              <w:pStyle w:val="UK12Block05"/>
              <w:spacing w:after="120"/>
              <w:ind w:left="0" w:right="72"/>
              <w:jc w:val="right"/>
              <w:rPr>
                <w:rFonts w:ascii="Arial" w:hAnsi="Arial" w:cs="Arial"/>
                <w:sz w:val="22"/>
                <w:szCs w:val="22"/>
                <w:lang w:val="en-GB"/>
              </w:rPr>
            </w:pPr>
            <w:r w:rsidRPr="00E4265B">
              <w:rPr>
                <w:rFonts w:ascii="Arial" w:hAnsi="Arial" w:cs="Arial"/>
                <w:sz w:val="22"/>
                <w:szCs w:val="22"/>
                <w:lang w:val="en-GB"/>
              </w:rPr>
              <w:t>0%</w:t>
            </w:r>
          </w:p>
        </w:tc>
      </w:tr>
      <w:tr w:rsidR="00540B19" w:rsidRPr="00E4265B" w14:paraId="164045F0" w14:textId="77777777" w:rsidTr="003C6AAF">
        <w:tc>
          <w:tcPr>
            <w:tcW w:w="1890" w:type="dxa"/>
            <w:vMerge w:val="restart"/>
            <w:vAlign w:val="center"/>
          </w:tcPr>
          <w:p w14:paraId="72252B2D" w14:textId="77777777" w:rsidR="00540B19" w:rsidRPr="00E4265B" w:rsidRDefault="00540B19"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Client</w:t>
            </w:r>
          </w:p>
        </w:tc>
        <w:tc>
          <w:tcPr>
            <w:tcW w:w="1800" w:type="dxa"/>
            <w:vAlign w:val="center"/>
          </w:tcPr>
          <w:p w14:paraId="16F64BDF" w14:textId="77777777" w:rsidR="00540B19" w:rsidRPr="00E4265B" w:rsidRDefault="00540B19"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Custodian</w:t>
            </w:r>
          </w:p>
        </w:tc>
        <w:tc>
          <w:tcPr>
            <w:tcW w:w="1319" w:type="dxa"/>
            <w:vAlign w:val="center"/>
          </w:tcPr>
          <w:p w14:paraId="01C95A7F" w14:textId="77777777" w:rsidR="00540B19" w:rsidRPr="00E4265B" w:rsidRDefault="00540B19"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Yes</w:t>
            </w:r>
          </w:p>
        </w:tc>
        <w:tc>
          <w:tcPr>
            <w:tcW w:w="1471" w:type="dxa"/>
            <w:shd w:val="clear" w:color="auto" w:fill="F2F2F2" w:themeFill="background1" w:themeFillShade="F2"/>
            <w:vAlign w:val="center"/>
          </w:tcPr>
          <w:p w14:paraId="24A15B42" w14:textId="77777777" w:rsidR="00540B19" w:rsidRPr="00E4265B" w:rsidRDefault="00540B19" w:rsidP="00950CC3">
            <w:pPr>
              <w:pStyle w:val="UK12Block05"/>
              <w:spacing w:after="120"/>
              <w:ind w:left="0"/>
              <w:rPr>
                <w:rFonts w:ascii="Arial" w:hAnsi="Arial" w:cs="Arial"/>
                <w:sz w:val="22"/>
                <w:szCs w:val="22"/>
                <w:highlight w:val="lightGray"/>
                <w:lang w:val="en-GB"/>
              </w:rPr>
            </w:pPr>
          </w:p>
        </w:tc>
        <w:tc>
          <w:tcPr>
            <w:tcW w:w="1530" w:type="dxa"/>
            <w:vAlign w:val="center"/>
          </w:tcPr>
          <w:p w14:paraId="5D36B165" w14:textId="77777777" w:rsidR="00540B19" w:rsidRPr="00E4265B" w:rsidRDefault="00540B19" w:rsidP="006F1948">
            <w:pPr>
              <w:pStyle w:val="UK12Block05"/>
              <w:spacing w:after="120"/>
              <w:ind w:left="0" w:right="72"/>
              <w:jc w:val="right"/>
              <w:rPr>
                <w:rFonts w:ascii="Arial" w:hAnsi="Arial" w:cs="Arial"/>
                <w:sz w:val="22"/>
                <w:szCs w:val="22"/>
                <w:lang w:val="en-GB"/>
              </w:rPr>
            </w:pPr>
            <w:r w:rsidRPr="00E4265B">
              <w:rPr>
                <w:rFonts w:ascii="Arial" w:hAnsi="Arial" w:cs="Arial"/>
                <w:sz w:val="22"/>
                <w:szCs w:val="22"/>
                <w:lang w:val="en-GB"/>
              </w:rPr>
              <w:t>0%</w:t>
            </w:r>
          </w:p>
        </w:tc>
      </w:tr>
      <w:tr w:rsidR="00540B19" w:rsidRPr="00E4265B" w14:paraId="139CAF1E" w14:textId="77777777" w:rsidTr="003C6AAF">
        <w:tc>
          <w:tcPr>
            <w:tcW w:w="1890" w:type="dxa"/>
            <w:vMerge/>
            <w:vAlign w:val="center"/>
          </w:tcPr>
          <w:p w14:paraId="3AC7BE49" w14:textId="77777777" w:rsidR="00540B19" w:rsidRPr="00E4265B" w:rsidRDefault="00540B19" w:rsidP="00950CC3">
            <w:pPr>
              <w:pStyle w:val="UK12Block05"/>
              <w:spacing w:after="120"/>
              <w:ind w:left="0"/>
              <w:rPr>
                <w:rFonts w:ascii="Arial" w:hAnsi="Arial" w:cs="Arial"/>
                <w:sz w:val="22"/>
                <w:szCs w:val="22"/>
                <w:lang w:val="en-GB"/>
              </w:rPr>
            </w:pPr>
          </w:p>
        </w:tc>
        <w:tc>
          <w:tcPr>
            <w:tcW w:w="1800" w:type="dxa"/>
            <w:vAlign w:val="center"/>
          </w:tcPr>
          <w:p w14:paraId="1BDBD5E8" w14:textId="77777777" w:rsidR="00540B19" w:rsidRPr="00E4265B" w:rsidRDefault="00540B19"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QCCP</w:t>
            </w:r>
          </w:p>
        </w:tc>
        <w:tc>
          <w:tcPr>
            <w:tcW w:w="1319" w:type="dxa"/>
            <w:vAlign w:val="center"/>
          </w:tcPr>
          <w:p w14:paraId="5BA9E186" w14:textId="77777777" w:rsidR="00540B19" w:rsidRPr="00E4265B" w:rsidRDefault="00540B19"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Yes</w:t>
            </w:r>
          </w:p>
        </w:tc>
        <w:tc>
          <w:tcPr>
            <w:tcW w:w="1471" w:type="dxa"/>
            <w:vAlign w:val="center"/>
          </w:tcPr>
          <w:p w14:paraId="1F3DAD05" w14:textId="1CDE20E4" w:rsidR="00540B19" w:rsidRPr="00E4265B" w:rsidRDefault="00E96CD2"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Rule </w:t>
            </w:r>
            <w:r w:rsidR="00540B19" w:rsidRPr="00E4265B">
              <w:rPr>
                <w:rFonts w:ascii="Arial" w:hAnsi="Arial" w:cs="Arial"/>
                <w:sz w:val="22"/>
                <w:szCs w:val="22"/>
                <w:lang w:val="en-GB"/>
              </w:rPr>
              <w:t>A4.9.8</w:t>
            </w:r>
          </w:p>
        </w:tc>
        <w:tc>
          <w:tcPr>
            <w:tcW w:w="1530" w:type="dxa"/>
            <w:vAlign w:val="center"/>
          </w:tcPr>
          <w:p w14:paraId="1C235C67" w14:textId="77777777" w:rsidR="00540B19" w:rsidRPr="00E4265B" w:rsidRDefault="00540B19" w:rsidP="006F1948">
            <w:pPr>
              <w:pStyle w:val="UK12Block05"/>
              <w:spacing w:after="120"/>
              <w:ind w:left="0" w:right="72"/>
              <w:jc w:val="right"/>
              <w:rPr>
                <w:rFonts w:ascii="Arial" w:hAnsi="Arial" w:cs="Arial"/>
                <w:sz w:val="22"/>
                <w:szCs w:val="22"/>
                <w:lang w:val="en-GB"/>
              </w:rPr>
            </w:pPr>
            <w:r w:rsidRPr="00E4265B">
              <w:rPr>
                <w:rFonts w:ascii="Arial" w:hAnsi="Arial" w:cs="Arial"/>
                <w:sz w:val="22"/>
                <w:szCs w:val="22"/>
                <w:lang w:val="en-GB"/>
              </w:rPr>
              <w:t>2%</w:t>
            </w:r>
          </w:p>
        </w:tc>
      </w:tr>
      <w:tr w:rsidR="00540B19" w:rsidRPr="00E4265B" w14:paraId="43571F3A" w14:textId="77777777" w:rsidTr="003C6AAF">
        <w:tc>
          <w:tcPr>
            <w:tcW w:w="1890" w:type="dxa"/>
            <w:vMerge/>
            <w:vAlign w:val="center"/>
          </w:tcPr>
          <w:p w14:paraId="7CF6C140" w14:textId="77777777" w:rsidR="00540B19" w:rsidRPr="00E4265B" w:rsidRDefault="00540B19" w:rsidP="00950CC3">
            <w:pPr>
              <w:pStyle w:val="UK12Block05"/>
              <w:spacing w:after="120"/>
              <w:ind w:left="0"/>
              <w:rPr>
                <w:rFonts w:ascii="Arial" w:hAnsi="Arial" w:cs="Arial"/>
                <w:sz w:val="22"/>
                <w:szCs w:val="22"/>
                <w:lang w:val="en-GB"/>
              </w:rPr>
            </w:pPr>
          </w:p>
        </w:tc>
        <w:tc>
          <w:tcPr>
            <w:tcW w:w="1800" w:type="dxa"/>
            <w:vAlign w:val="center"/>
          </w:tcPr>
          <w:p w14:paraId="2160ACA9" w14:textId="77777777" w:rsidR="00540B19" w:rsidRPr="00E4265B" w:rsidRDefault="00540B19"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QCCP</w:t>
            </w:r>
          </w:p>
        </w:tc>
        <w:tc>
          <w:tcPr>
            <w:tcW w:w="1319" w:type="dxa"/>
            <w:vAlign w:val="center"/>
          </w:tcPr>
          <w:p w14:paraId="14CCA557" w14:textId="77777777" w:rsidR="00540B19" w:rsidRPr="00E4265B" w:rsidRDefault="00540B19"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No</w:t>
            </w:r>
          </w:p>
        </w:tc>
        <w:tc>
          <w:tcPr>
            <w:tcW w:w="1471" w:type="dxa"/>
            <w:vAlign w:val="center"/>
          </w:tcPr>
          <w:p w14:paraId="09EFBB33" w14:textId="77FC576D" w:rsidR="00540B19" w:rsidRPr="00E4265B" w:rsidRDefault="00E96CD2" w:rsidP="00950CC3">
            <w:pPr>
              <w:pStyle w:val="UK12Block05"/>
              <w:spacing w:after="120"/>
              <w:ind w:left="0"/>
              <w:rPr>
                <w:rFonts w:ascii="Arial" w:hAnsi="Arial" w:cs="Arial"/>
                <w:sz w:val="22"/>
                <w:szCs w:val="22"/>
                <w:lang w:val="en-GB"/>
              </w:rPr>
            </w:pPr>
            <w:r w:rsidRPr="00E4265B">
              <w:rPr>
                <w:rFonts w:ascii="Arial" w:hAnsi="Arial" w:cs="Arial"/>
                <w:sz w:val="22"/>
                <w:szCs w:val="22"/>
                <w:lang w:val="en-GB"/>
              </w:rPr>
              <w:t>Rule </w:t>
            </w:r>
            <w:r w:rsidR="00540B19" w:rsidRPr="00E4265B">
              <w:rPr>
                <w:rFonts w:ascii="Arial" w:hAnsi="Arial" w:cs="Arial"/>
                <w:sz w:val="22"/>
                <w:szCs w:val="22"/>
                <w:lang w:val="en-GB"/>
              </w:rPr>
              <w:t>A4.9.10</w:t>
            </w:r>
          </w:p>
        </w:tc>
        <w:tc>
          <w:tcPr>
            <w:tcW w:w="1530" w:type="dxa"/>
            <w:vAlign w:val="center"/>
          </w:tcPr>
          <w:p w14:paraId="4CED36AB" w14:textId="77777777" w:rsidR="00540B19" w:rsidRPr="00E4265B" w:rsidRDefault="00540B19" w:rsidP="006F1948">
            <w:pPr>
              <w:pStyle w:val="UK12Block05"/>
              <w:spacing w:after="120"/>
              <w:ind w:left="0" w:right="72"/>
              <w:jc w:val="right"/>
              <w:rPr>
                <w:rFonts w:ascii="Arial" w:hAnsi="Arial" w:cs="Arial"/>
                <w:sz w:val="22"/>
                <w:szCs w:val="22"/>
                <w:lang w:val="en-GB"/>
              </w:rPr>
            </w:pPr>
            <w:r w:rsidRPr="00E4265B">
              <w:rPr>
                <w:rFonts w:ascii="Arial" w:hAnsi="Arial" w:cs="Arial"/>
                <w:sz w:val="22"/>
                <w:szCs w:val="22"/>
                <w:lang w:val="en-GB"/>
              </w:rPr>
              <w:t>4%</w:t>
            </w:r>
          </w:p>
        </w:tc>
      </w:tr>
    </w:tbl>
    <w:p w14:paraId="0055DD80" w14:textId="77777777" w:rsidR="00950CC3" w:rsidRPr="00E4265B" w:rsidRDefault="00950CC3" w:rsidP="00067165">
      <w:pPr>
        <w:pStyle w:val="A1List"/>
        <w:rPr>
          <w:rFonts w:ascii="Arial" w:hAnsi="Arial" w:cs="Arial"/>
          <w:b/>
          <w:bCs/>
          <w:sz w:val="22"/>
          <w:szCs w:val="22"/>
          <w:lang w:val="en-GB"/>
        </w:rPr>
      </w:pPr>
    </w:p>
    <w:p w14:paraId="791F1A6A" w14:textId="77777777" w:rsidR="00950CC3" w:rsidRPr="00E4265B" w:rsidRDefault="00950CC3" w:rsidP="00950CC3">
      <w:pPr>
        <w:pStyle w:val="TitleL5"/>
        <w:rPr>
          <w:rFonts w:ascii="Arial" w:hAnsi="Arial" w:cs="Arial"/>
          <w:sz w:val="22"/>
          <w:szCs w:val="22"/>
          <w:lang w:val="en-GB"/>
        </w:rPr>
      </w:pPr>
      <w:r w:rsidRPr="00E4265B">
        <w:rPr>
          <w:rFonts w:ascii="Arial" w:hAnsi="Arial" w:cs="Arial"/>
          <w:sz w:val="22"/>
          <w:szCs w:val="22"/>
          <w:lang w:val="en-GB"/>
        </w:rPr>
        <w:t>Calculation of Credit RWA in relation to prefunded contributions to the default fund of a QCCP</w:t>
      </w:r>
    </w:p>
    <w:p w14:paraId="39454713" w14:textId="77777777" w:rsidR="00950CC3" w:rsidRPr="00E4265B" w:rsidRDefault="00950CC3" w:rsidP="00950CC3">
      <w:pPr>
        <w:pStyle w:val="A1List"/>
        <w:rPr>
          <w:rFonts w:ascii="Arial" w:hAnsi="Arial" w:cs="Arial"/>
          <w:b/>
          <w:bCs/>
          <w:sz w:val="22"/>
          <w:szCs w:val="22"/>
          <w:lang w:val="en-GB"/>
        </w:rPr>
      </w:pPr>
      <w:r w:rsidRPr="00E4265B">
        <w:rPr>
          <w:rFonts w:ascii="Arial" w:hAnsi="Arial" w:cs="Arial"/>
          <w:b/>
          <w:bCs/>
          <w:sz w:val="22"/>
          <w:szCs w:val="22"/>
          <w:lang w:val="en-GB"/>
        </w:rPr>
        <w:t>A4.9.14</w:t>
      </w:r>
      <w:r w:rsidRPr="00E4265B">
        <w:rPr>
          <w:rFonts w:ascii="Arial" w:hAnsi="Arial" w:cs="Arial"/>
          <w:b/>
          <w:bCs/>
          <w:sz w:val="22"/>
          <w:szCs w:val="22"/>
          <w:lang w:val="en-GB"/>
        </w:rPr>
        <w:tab/>
      </w:r>
      <w:r w:rsidRPr="00E4265B">
        <w:rPr>
          <w:rFonts w:ascii="Arial" w:hAnsi="Arial" w:cs="Arial"/>
          <w:bCs/>
          <w:sz w:val="22"/>
          <w:szCs w:val="22"/>
          <w:lang w:val="en-GB"/>
        </w:rPr>
        <w:t>An Authorised Person acting as a clearing member must apply the following treatment to its exposures arising from its contributions to a default fund maintained by a QCCP:</w:t>
      </w:r>
    </w:p>
    <w:p w14:paraId="31C481CA" w14:textId="4F345219" w:rsidR="00950CC3" w:rsidRPr="00E4265B" w:rsidRDefault="00950CC3" w:rsidP="00950CC3">
      <w:pPr>
        <w:pStyle w:val="1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t>it must calculate the Credit RWA for its prefunded contributions to the default fund of a QCCP in accordance wit</w:t>
      </w:r>
      <w:r w:rsidR="00E96CD2" w:rsidRPr="00E4265B">
        <w:rPr>
          <w:rFonts w:ascii="Arial" w:hAnsi="Arial" w:cs="Arial"/>
          <w:sz w:val="22"/>
          <w:szCs w:val="22"/>
          <w:lang w:val="en-GB"/>
        </w:rPr>
        <w:t>h the approach set out in Rules </w:t>
      </w:r>
      <w:r w:rsidRPr="00E4265B">
        <w:rPr>
          <w:rFonts w:ascii="Arial" w:hAnsi="Arial" w:cs="Arial"/>
          <w:sz w:val="22"/>
          <w:szCs w:val="22"/>
          <w:lang w:val="en-GB"/>
        </w:rPr>
        <w:t>A4.9.15 to A4.9.17; or</w:t>
      </w:r>
    </w:p>
    <w:p w14:paraId="5AB3ECB6" w14:textId="77777777" w:rsidR="00950CC3" w:rsidRPr="00E4265B" w:rsidRDefault="00950CC3" w:rsidP="00950CC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it must calculate the Credit RWA for its contributions to the default fund of a Non-QCCP in accordance with the approach set out in Rule A4.9.18.</w:t>
      </w:r>
    </w:p>
    <w:p w14:paraId="438CE326" w14:textId="77777777" w:rsidR="00950CC3" w:rsidRPr="00E4265B" w:rsidRDefault="00950CC3" w:rsidP="00950CC3">
      <w:pPr>
        <w:pStyle w:val="TitleL5"/>
        <w:rPr>
          <w:rFonts w:ascii="Arial" w:hAnsi="Arial" w:cs="Arial"/>
          <w:sz w:val="22"/>
          <w:szCs w:val="22"/>
          <w:lang w:val="en-GB"/>
        </w:rPr>
      </w:pPr>
      <w:r w:rsidRPr="00E4265B">
        <w:rPr>
          <w:rFonts w:ascii="Arial" w:hAnsi="Arial" w:cs="Arial"/>
          <w:sz w:val="22"/>
          <w:szCs w:val="22"/>
          <w:lang w:val="en-GB"/>
        </w:rPr>
        <w:t>Prefunded contributions to the default fund of a QCCP</w:t>
      </w:r>
    </w:p>
    <w:p w14:paraId="0EF30B44" w14:textId="6845A84C" w:rsidR="00950CC3" w:rsidRPr="00E4265B" w:rsidRDefault="00950CC3" w:rsidP="00950CC3">
      <w:pPr>
        <w:pStyle w:val="A1List"/>
        <w:rPr>
          <w:rFonts w:ascii="Arial" w:hAnsi="Arial" w:cs="Arial"/>
          <w:b/>
          <w:bCs/>
          <w:sz w:val="22"/>
          <w:szCs w:val="22"/>
          <w:lang w:val="en-GB"/>
        </w:rPr>
      </w:pPr>
      <w:r w:rsidRPr="00E4265B">
        <w:rPr>
          <w:rFonts w:ascii="Arial" w:hAnsi="Arial" w:cs="Arial"/>
          <w:b/>
          <w:bCs/>
          <w:sz w:val="22"/>
          <w:szCs w:val="22"/>
          <w:lang w:val="en-GB"/>
        </w:rPr>
        <w:t>A4.9.15</w:t>
      </w:r>
      <w:r w:rsidRPr="00E4265B">
        <w:rPr>
          <w:rFonts w:ascii="Arial" w:hAnsi="Arial" w:cs="Arial"/>
          <w:b/>
          <w:bCs/>
          <w:sz w:val="22"/>
          <w:szCs w:val="22"/>
          <w:lang w:val="en-GB"/>
        </w:rPr>
        <w:tab/>
      </w:r>
      <w:r w:rsidRPr="00E4265B">
        <w:rPr>
          <w:rFonts w:ascii="Arial" w:hAnsi="Arial" w:cs="Arial"/>
          <w:bCs/>
          <w:sz w:val="22"/>
          <w:szCs w:val="22"/>
          <w:lang w:val="en-GB"/>
        </w:rPr>
        <w:t>An Authorised Person acting as a clearing member must calculate its Credit RWA for its prefunded contributions to the default fund of a QCCP in accordance with the step</w:t>
      </w:r>
      <w:r w:rsidR="00E96CD2" w:rsidRPr="00E4265B">
        <w:rPr>
          <w:rFonts w:ascii="Arial" w:hAnsi="Arial" w:cs="Arial"/>
          <w:bCs/>
          <w:sz w:val="22"/>
          <w:szCs w:val="22"/>
          <w:lang w:val="en-GB"/>
        </w:rPr>
        <w:t xml:space="preserve">s set out in Rules A4.9.16 and </w:t>
      </w:r>
      <w:r w:rsidRPr="00E4265B">
        <w:rPr>
          <w:rFonts w:ascii="Arial" w:hAnsi="Arial" w:cs="Arial"/>
          <w:bCs/>
          <w:sz w:val="22"/>
          <w:szCs w:val="22"/>
          <w:lang w:val="en-GB"/>
        </w:rPr>
        <w:t>A4.9.17 below.</w:t>
      </w:r>
    </w:p>
    <w:p w14:paraId="1D03D6BE" w14:textId="77777777" w:rsidR="00950CC3" w:rsidRPr="00E4265B" w:rsidRDefault="00950CC3" w:rsidP="00950CC3">
      <w:pPr>
        <w:pStyle w:val="A1List"/>
        <w:rPr>
          <w:rFonts w:ascii="Arial" w:hAnsi="Arial" w:cs="Arial"/>
          <w:bCs/>
          <w:sz w:val="22"/>
          <w:szCs w:val="22"/>
          <w:lang w:val="en-GB"/>
        </w:rPr>
      </w:pPr>
      <w:r w:rsidRPr="00E4265B">
        <w:rPr>
          <w:rFonts w:ascii="Arial" w:hAnsi="Arial" w:cs="Arial"/>
          <w:b/>
          <w:bCs/>
          <w:sz w:val="22"/>
          <w:szCs w:val="22"/>
          <w:lang w:val="en-GB"/>
        </w:rPr>
        <w:t>A4.9.16</w:t>
      </w:r>
      <w:r w:rsidRPr="00E4265B">
        <w:rPr>
          <w:rFonts w:ascii="Arial" w:hAnsi="Arial" w:cs="Arial"/>
          <w:b/>
          <w:bCs/>
          <w:sz w:val="22"/>
          <w:szCs w:val="22"/>
          <w:lang w:val="en-GB"/>
        </w:rPr>
        <w:tab/>
      </w:r>
      <w:r w:rsidRPr="00E4265B">
        <w:rPr>
          <w:rFonts w:ascii="Arial" w:hAnsi="Arial" w:cs="Arial"/>
          <w:bCs/>
          <w:sz w:val="22"/>
          <w:szCs w:val="22"/>
          <w:lang w:val="en-GB"/>
        </w:rPr>
        <w:t>An Authorised Person must first calculate the hypothetical capital requirement of the QCCP (</w:t>
      </w:r>
      <w:r w:rsidRPr="00E4265B">
        <w:rPr>
          <w:rFonts w:ascii="Arial" w:hAnsi="Arial" w:cs="Arial"/>
          <w:bCs/>
          <w:i/>
          <w:iCs/>
          <w:sz w:val="22"/>
          <w:szCs w:val="22"/>
          <w:lang w:val="en-GB"/>
        </w:rPr>
        <w:t>K</w:t>
      </w:r>
      <w:r w:rsidRPr="00E4265B">
        <w:rPr>
          <w:rFonts w:ascii="Arial" w:hAnsi="Arial" w:cs="Arial"/>
          <w:bCs/>
          <w:i/>
          <w:iCs/>
          <w:sz w:val="22"/>
          <w:szCs w:val="22"/>
          <w:vertAlign w:val="subscript"/>
          <w:lang w:val="en-GB"/>
        </w:rPr>
        <w:t>CCP</w:t>
      </w:r>
      <w:r w:rsidRPr="00E4265B">
        <w:rPr>
          <w:rFonts w:ascii="Arial" w:hAnsi="Arial" w:cs="Arial"/>
          <w:bCs/>
          <w:sz w:val="22"/>
          <w:szCs w:val="22"/>
          <w:lang w:val="en-GB"/>
        </w:rPr>
        <w:t>) due to its counterparty credit risk exposures to all of its clearing members and their clients in accordance with the following formula:</w:t>
      </w:r>
    </w:p>
    <w:p w14:paraId="375202DA" w14:textId="77777777" w:rsidR="00950CC3" w:rsidRPr="00E4265B" w:rsidRDefault="00B275AE" w:rsidP="00950CC3">
      <w:pPr>
        <w:pStyle w:val="A1List"/>
        <w:rPr>
          <w:rFonts w:ascii="Arial" w:hAnsi="Arial" w:cs="Arial"/>
          <w:b/>
          <w:bCs/>
          <w:sz w:val="22"/>
          <w:szCs w:val="22"/>
          <w:lang w:val="en-GB"/>
        </w:rPr>
      </w:pPr>
      <m:oMathPara>
        <m:oMath>
          <m:sSub>
            <m:sSubPr>
              <m:ctrlPr>
                <w:rPr>
                  <w:rFonts w:ascii="Cambria Math" w:hAnsi="Cambria Math" w:cs="Arial"/>
                  <w:bCs/>
                  <w:i/>
                  <w:sz w:val="22"/>
                  <w:szCs w:val="22"/>
                  <w:lang w:val="en-GB"/>
                </w:rPr>
              </m:ctrlPr>
            </m:sSubPr>
            <m:e>
              <m:r>
                <w:rPr>
                  <w:rFonts w:ascii="Cambria Math" w:hAnsi="Cambria Math" w:cs="Arial"/>
                  <w:sz w:val="22"/>
                  <w:szCs w:val="22"/>
                  <w:lang w:val="en-GB"/>
                </w:rPr>
                <m:t>K</m:t>
              </m:r>
            </m:e>
            <m:sub>
              <m:r>
                <w:rPr>
                  <w:rFonts w:ascii="Cambria Math" w:hAnsi="Cambria Math" w:cs="Arial"/>
                  <w:sz w:val="22"/>
                  <w:szCs w:val="22"/>
                  <w:lang w:val="en-GB"/>
                </w:rPr>
                <m:t>CCP</m:t>
              </m:r>
            </m:sub>
          </m:sSub>
          <m:r>
            <m:rPr>
              <m:sty m:val="bi"/>
            </m:rPr>
            <w:rPr>
              <w:rFonts w:ascii="Cambria Math" w:hAnsi="Cambria Math" w:cs="Arial"/>
              <w:sz w:val="22"/>
              <w:szCs w:val="22"/>
              <w:lang w:val="en-GB"/>
            </w:rPr>
            <m:t>=</m:t>
          </m:r>
          <m:nary>
            <m:naryPr>
              <m:chr m:val="∑"/>
              <m:limLoc m:val="undOvr"/>
              <m:supHide m:val="1"/>
              <m:ctrlPr>
                <w:rPr>
                  <w:rFonts w:ascii="Cambria Math" w:eastAsiaTheme="minorEastAsia" w:hAnsi="Cambria Math" w:cs="Arial"/>
                  <w:b/>
                  <w:bCs/>
                  <w:i/>
                  <w:sz w:val="22"/>
                  <w:szCs w:val="22"/>
                  <w:lang w:val="en-GB"/>
                </w:rPr>
              </m:ctrlPr>
            </m:naryPr>
            <m:sub>
              <m:r>
                <w:rPr>
                  <w:rFonts w:ascii="Cambria Math" w:eastAsiaTheme="minorEastAsia" w:hAnsi="Cambria Math" w:cs="Arial"/>
                  <w:sz w:val="22"/>
                  <w:szCs w:val="22"/>
                  <w:lang w:val="en-GB"/>
                </w:rPr>
                <m:t>C</m:t>
              </m:r>
              <m:sSub>
                <m:sSubPr>
                  <m:ctrlPr>
                    <w:rPr>
                      <w:rFonts w:ascii="Cambria Math" w:eastAsiaTheme="minorEastAsia" w:hAnsi="Cambria Math" w:cs="Arial"/>
                      <w:bCs/>
                      <w:i/>
                      <w:sz w:val="22"/>
                      <w:szCs w:val="22"/>
                      <w:lang w:val="en-GB"/>
                    </w:rPr>
                  </m:ctrlPr>
                </m:sSubPr>
                <m:e>
                  <m:r>
                    <w:rPr>
                      <w:rFonts w:ascii="Cambria Math" w:eastAsiaTheme="minorEastAsia" w:hAnsi="Cambria Math" w:cs="Arial"/>
                      <w:sz w:val="22"/>
                      <w:szCs w:val="22"/>
                      <w:lang w:val="en-GB"/>
                    </w:rPr>
                    <m:t>M</m:t>
                  </m:r>
                </m:e>
                <m:sub>
                  <m:r>
                    <w:rPr>
                      <w:rFonts w:ascii="Cambria Math" w:eastAsiaTheme="minorEastAsia" w:hAnsi="Cambria Math" w:cs="Arial"/>
                      <w:sz w:val="22"/>
                      <w:szCs w:val="22"/>
                      <w:lang w:val="en-GB"/>
                    </w:rPr>
                    <m:t>i</m:t>
                  </m:r>
                </m:sub>
              </m:sSub>
            </m:sub>
            <m:sup/>
            <m:e>
              <m:r>
                <w:rPr>
                  <w:rFonts w:ascii="Cambria Math" w:eastAsiaTheme="minorEastAsia" w:hAnsi="Cambria Math" w:cs="Arial"/>
                  <w:sz w:val="22"/>
                  <w:szCs w:val="22"/>
                  <w:lang w:val="en-GB"/>
                </w:rPr>
                <m:t>EA</m:t>
              </m:r>
              <m:sSub>
                <m:sSubPr>
                  <m:ctrlPr>
                    <w:rPr>
                      <w:rFonts w:ascii="Cambria Math" w:eastAsiaTheme="minorEastAsia" w:hAnsi="Cambria Math" w:cs="Arial"/>
                      <w:bCs/>
                      <w:i/>
                      <w:sz w:val="22"/>
                      <w:szCs w:val="22"/>
                      <w:lang w:val="en-GB"/>
                    </w:rPr>
                  </m:ctrlPr>
                </m:sSubPr>
                <m:e>
                  <m:r>
                    <w:rPr>
                      <w:rFonts w:ascii="Cambria Math" w:eastAsiaTheme="minorEastAsia" w:hAnsi="Cambria Math" w:cs="Arial"/>
                      <w:sz w:val="22"/>
                      <w:szCs w:val="22"/>
                      <w:lang w:val="en-GB"/>
                    </w:rPr>
                    <m:t>D</m:t>
                  </m:r>
                </m:e>
                <m:sub>
                  <m:r>
                    <w:rPr>
                      <w:rFonts w:ascii="Cambria Math" w:eastAsiaTheme="minorEastAsia" w:hAnsi="Cambria Math" w:cs="Arial"/>
                      <w:sz w:val="22"/>
                      <w:szCs w:val="22"/>
                      <w:lang w:val="en-GB"/>
                    </w:rPr>
                    <m:t>i</m:t>
                  </m:r>
                </m:sub>
              </m:sSub>
              <m:r>
                <w:rPr>
                  <w:rFonts w:ascii="Cambria Math" w:eastAsiaTheme="minorEastAsia" w:hAnsi="Cambria Math" w:cs="Arial"/>
                  <w:sz w:val="22"/>
                  <w:szCs w:val="22"/>
                  <w:lang w:val="en-GB"/>
                </w:rPr>
                <m:t>-</m:t>
              </m:r>
              <m:r>
                <w:rPr>
                  <w:rFonts w:ascii="Cambria Math" w:eastAsiaTheme="minorEastAsia" w:hAnsi="Cambria Math" w:cs="Arial"/>
                  <w:sz w:val="22"/>
                  <w:szCs w:val="22"/>
                  <w:lang w:val="en-GB"/>
                </w:rPr>
                <m:t>RW</m:t>
              </m:r>
              <m:r>
                <w:rPr>
                  <w:rFonts w:ascii="Cambria Math" w:eastAsiaTheme="minorEastAsia" w:hAnsi="Cambria Math" w:cs="Arial"/>
                  <w:sz w:val="22"/>
                  <w:szCs w:val="22"/>
                  <w:lang w:val="en-GB"/>
                </w:rPr>
                <m:t>-</m:t>
              </m:r>
              <m:r>
                <w:rPr>
                  <w:rFonts w:ascii="Cambria Math" w:eastAsiaTheme="minorEastAsia" w:hAnsi="Cambria Math" w:cs="Arial"/>
                  <w:sz w:val="22"/>
                  <w:szCs w:val="22"/>
                  <w:lang w:val="en-GB"/>
                </w:rPr>
                <m:t>capital</m:t>
              </m:r>
              <m:r>
                <w:rPr>
                  <w:rFonts w:ascii="Cambria Math" w:eastAsiaTheme="minorEastAsia" w:hAnsi="Cambria Math" w:cs="Arial"/>
                  <w:sz w:val="22"/>
                  <w:szCs w:val="22"/>
                  <w:lang w:val="en-GB"/>
                </w:rPr>
                <m:t xml:space="preserve"> </m:t>
              </m:r>
              <m:r>
                <w:rPr>
                  <w:rFonts w:ascii="Cambria Math" w:eastAsiaTheme="minorEastAsia" w:hAnsi="Cambria Math" w:cs="Arial"/>
                  <w:sz w:val="22"/>
                  <w:szCs w:val="22"/>
                  <w:lang w:val="en-GB"/>
                </w:rPr>
                <m:t>ratio</m:t>
              </m:r>
            </m:e>
          </m:nary>
        </m:oMath>
      </m:oMathPara>
    </w:p>
    <w:p w14:paraId="342A99D7" w14:textId="77777777" w:rsidR="00950CC3" w:rsidRPr="00E4265B" w:rsidRDefault="00950CC3" w:rsidP="00950CC3">
      <w:pPr>
        <w:pStyle w:val="UK12Block05"/>
        <w:rPr>
          <w:rFonts w:ascii="Arial" w:hAnsi="Arial" w:cs="Arial"/>
          <w:sz w:val="22"/>
          <w:szCs w:val="22"/>
          <w:lang w:val="en-GB"/>
        </w:rPr>
      </w:pPr>
      <w:r w:rsidRPr="00E4265B">
        <w:rPr>
          <w:rFonts w:ascii="Arial" w:hAnsi="Arial" w:cs="Arial"/>
          <w:sz w:val="22"/>
          <w:szCs w:val="22"/>
          <w:lang w:val="en-GB"/>
        </w:rPr>
        <w:t>where:</w:t>
      </w:r>
    </w:p>
    <w:p w14:paraId="615CA1FF" w14:textId="77777777" w:rsidR="00950CC3" w:rsidRPr="00E4265B" w:rsidRDefault="00950CC3" w:rsidP="00950CC3">
      <w:pPr>
        <w:pStyle w:val="UK12Block05"/>
        <w:rPr>
          <w:rFonts w:ascii="Arial" w:hAnsi="Arial" w:cs="Arial"/>
          <w:sz w:val="22"/>
          <w:szCs w:val="22"/>
          <w:lang w:val="en-GB"/>
        </w:rPr>
      </w:pPr>
      <w:r w:rsidRPr="00E4265B">
        <w:rPr>
          <w:rFonts w:ascii="Arial" w:hAnsi="Arial" w:cs="Arial"/>
          <w:i/>
          <w:sz w:val="22"/>
          <w:szCs w:val="22"/>
          <w:lang w:val="en-GB"/>
        </w:rPr>
        <w:t>RW</w:t>
      </w:r>
      <w:r w:rsidRPr="00E4265B">
        <w:rPr>
          <w:rFonts w:ascii="Arial" w:hAnsi="Arial" w:cs="Arial"/>
          <w:sz w:val="22"/>
          <w:szCs w:val="22"/>
          <w:lang w:val="en-GB"/>
        </w:rPr>
        <w:tab/>
        <w:t>= a risk weight of 20%;</w:t>
      </w:r>
    </w:p>
    <w:p w14:paraId="39BFAC1F" w14:textId="77777777" w:rsidR="00950CC3" w:rsidRPr="00E4265B" w:rsidRDefault="00950CC3" w:rsidP="00950CC3">
      <w:pPr>
        <w:pStyle w:val="UK12Block05"/>
        <w:rPr>
          <w:rFonts w:ascii="Arial" w:hAnsi="Arial" w:cs="Arial"/>
          <w:sz w:val="22"/>
          <w:szCs w:val="22"/>
          <w:lang w:val="en-GB"/>
        </w:rPr>
      </w:pPr>
      <w:r w:rsidRPr="00E4265B">
        <w:rPr>
          <w:rFonts w:ascii="Arial" w:hAnsi="Arial" w:cs="Arial"/>
          <w:i/>
          <w:sz w:val="22"/>
          <w:szCs w:val="22"/>
          <w:lang w:val="en-GB"/>
        </w:rPr>
        <w:t>Capital ratio</w:t>
      </w:r>
      <w:r w:rsidRPr="00E4265B">
        <w:rPr>
          <w:rFonts w:ascii="Arial" w:hAnsi="Arial" w:cs="Arial"/>
          <w:sz w:val="22"/>
          <w:szCs w:val="22"/>
          <w:lang w:val="en-GB"/>
        </w:rPr>
        <w:tab/>
        <w:t>= 10%;</w:t>
      </w:r>
    </w:p>
    <w:p w14:paraId="093AFE1A" w14:textId="77777777" w:rsidR="00950CC3" w:rsidRPr="00E4265B" w:rsidRDefault="00950CC3" w:rsidP="00950CC3">
      <w:pPr>
        <w:pStyle w:val="UK12Block05"/>
        <w:rPr>
          <w:rFonts w:ascii="Arial" w:hAnsi="Arial" w:cs="Arial"/>
          <w:sz w:val="22"/>
          <w:szCs w:val="22"/>
          <w:lang w:val="en-GB"/>
        </w:rPr>
      </w:pPr>
      <w:r w:rsidRPr="00E4265B">
        <w:rPr>
          <w:rFonts w:ascii="Arial" w:hAnsi="Arial" w:cs="Arial"/>
          <w:i/>
          <w:sz w:val="22"/>
          <w:szCs w:val="22"/>
          <w:lang w:val="en-GB"/>
        </w:rPr>
        <w:t>EAD</w:t>
      </w:r>
      <w:r w:rsidRPr="00E4265B">
        <w:rPr>
          <w:rFonts w:ascii="Arial" w:hAnsi="Arial" w:cs="Arial"/>
          <w:i/>
          <w:sz w:val="22"/>
          <w:szCs w:val="22"/>
          <w:vertAlign w:val="subscript"/>
          <w:lang w:val="en-GB"/>
        </w:rPr>
        <w:t>i</w:t>
      </w:r>
      <w:r w:rsidRPr="00E4265B">
        <w:rPr>
          <w:rFonts w:ascii="Arial" w:hAnsi="Arial" w:cs="Arial"/>
          <w:sz w:val="22"/>
          <w:szCs w:val="22"/>
          <w:lang w:val="en-GB"/>
        </w:rPr>
        <w:tab/>
        <w:t xml:space="preserve">= the exposure amount of the QCCP to clearing member </w:t>
      </w:r>
      <w:r w:rsidRPr="00E4265B">
        <w:rPr>
          <w:rFonts w:ascii="Arial" w:hAnsi="Arial" w:cs="Arial"/>
          <w:i/>
          <w:iCs/>
          <w:sz w:val="22"/>
          <w:szCs w:val="22"/>
          <w:lang w:val="en-GB"/>
        </w:rPr>
        <w:t>i</w:t>
      </w:r>
      <w:r w:rsidRPr="00E4265B">
        <w:rPr>
          <w:rFonts w:ascii="Arial" w:hAnsi="Arial" w:cs="Arial"/>
          <w:sz w:val="22"/>
          <w:szCs w:val="22"/>
          <w:lang w:val="en-GB"/>
        </w:rPr>
        <w:t xml:space="preserve">, including both the clearing member's own transactions and client transactions guaranteed by the clearing member, and all values of collateral held by the QCCP held over all clearing member accounts (including the clearing member's prefunded default fund contribution) against these transactions, relating to the valuation at the end of the regulatory reporting date before the margin called on the final margin call of that day is exchanged. </w:t>
      </w:r>
    </w:p>
    <w:p w14:paraId="3732E0F2" w14:textId="77777777" w:rsidR="00950CC3" w:rsidRPr="00E4265B" w:rsidRDefault="00950CC3" w:rsidP="00950CC3">
      <w:pPr>
        <w:pStyle w:val="TitleL5"/>
        <w:rPr>
          <w:rFonts w:ascii="Arial" w:hAnsi="Arial" w:cs="Arial"/>
          <w:sz w:val="22"/>
          <w:szCs w:val="22"/>
          <w:lang w:val="en-GB"/>
        </w:rPr>
      </w:pPr>
      <w:r w:rsidRPr="00E4265B">
        <w:rPr>
          <w:rFonts w:ascii="Arial" w:hAnsi="Arial" w:cs="Arial"/>
          <w:sz w:val="22"/>
          <w:szCs w:val="22"/>
          <w:lang w:val="en-GB"/>
        </w:rPr>
        <w:t>Guidance</w:t>
      </w:r>
    </w:p>
    <w:p w14:paraId="35EC71EA" w14:textId="4D951E2F" w:rsidR="00950CC3" w:rsidRPr="00E4265B" w:rsidRDefault="001715EA" w:rsidP="009F3B2E">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r>
      <w:r w:rsidR="00950CC3" w:rsidRPr="00E4265B">
        <w:rPr>
          <w:rFonts w:ascii="Arial" w:hAnsi="Arial" w:cs="Arial"/>
          <w:sz w:val="22"/>
          <w:szCs w:val="22"/>
          <w:lang w:val="en-GB"/>
        </w:rPr>
        <w:t xml:space="preserve">Where clearing members provide client clearing services, and client transactions and collateral are held in separate sub-accounts to the clearing member's proprietary business, each such client sub-account should enter the sum separately, i.e. the member </w:t>
      </w:r>
      <w:r w:rsidR="00950CC3" w:rsidRPr="00E4265B">
        <w:rPr>
          <w:rFonts w:ascii="Arial" w:hAnsi="Arial" w:cs="Arial"/>
          <w:i/>
          <w:iCs/>
          <w:sz w:val="22"/>
          <w:szCs w:val="22"/>
          <w:lang w:val="en-GB"/>
        </w:rPr>
        <w:t>EAD</w:t>
      </w:r>
      <w:r w:rsidR="00950CC3" w:rsidRPr="00E4265B">
        <w:rPr>
          <w:rFonts w:ascii="Arial" w:hAnsi="Arial" w:cs="Arial"/>
          <w:sz w:val="22"/>
          <w:szCs w:val="22"/>
          <w:lang w:val="en-GB"/>
        </w:rPr>
        <w:t xml:space="preserve"> in the formula above is then the sum of the client sub-account EADs and any house sub-account EAD. This will ensure that client collateral cannot be used to offset the exposures </w:t>
      </w:r>
      <w:r w:rsidR="009F3B2E" w:rsidRPr="00E4265B">
        <w:rPr>
          <w:rFonts w:ascii="Arial" w:hAnsi="Arial" w:cs="Arial"/>
          <w:sz w:val="22"/>
          <w:szCs w:val="22"/>
          <w:lang w:val="en-GB"/>
        </w:rPr>
        <w:t xml:space="preserve">of the QCCP </w:t>
      </w:r>
      <w:r w:rsidR="00950CC3" w:rsidRPr="00E4265B">
        <w:rPr>
          <w:rFonts w:ascii="Arial" w:hAnsi="Arial" w:cs="Arial"/>
          <w:sz w:val="22"/>
          <w:szCs w:val="22"/>
          <w:lang w:val="en-GB"/>
        </w:rPr>
        <w:t xml:space="preserve">to clearing members' proprietary activity in the calculation of </w:t>
      </w:r>
      <w:r w:rsidR="00950CC3" w:rsidRPr="00E4265B">
        <w:rPr>
          <w:rFonts w:ascii="Arial" w:hAnsi="Arial" w:cs="Arial"/>
          <w:i/>
          <w:iCs/>
          <w:sz w:val="22"/>
          <w:szCs w:val="22"/>
          <w:lang w:val="en-GB"/>
        </w:rPr>
        <w:t>K</w:t>
      </w:r>
      <w:r w:rsidR="00950CC3" w:rsidRPr="00E4265B">
        <w:rPr>
          <w:rFonts w:ascii="Arial" w:hAnsi="Arial" w:cs="Arial"/>
          <w:i/>
          <w:iCs/>
          <w:sz w:val="22"/>
          <w:szCs w:val="22"/>
          <w:vertAlign w:val="subscript"/>
          <w:lang w:val="en-GB"/>
        </w:rPr>
        <w:t>CCP</w:t>
      </w:r>
      <w:r w:rsidR="00950CC3" w:rsidRPr="00E4265B">
        <w:rPr>
          <w:rFonts w:ascii="Arial" w:hAnsi="Arial" w:cs="Arial"/>
          <w:sz w:val="22"/>
          <w:szCs w:val="22"/>
          <w:lang w:val="en-GB"/>
        </w:rPr>
        <w:t xml:space="preserve">. If any of these sub-accounts contains both derivatives and SFTs, the EAD of that sub-account is the sum of the derivative EAD and the SFT EAD. </w:t>
      </w:r>
    </w:p>
    <w:p w14:paraId="4ADAFB38" w14:textId="77777777" w:rsidR="00950CC3" w:rsidRPr="00E4265B" w:rsidRDefault="001715EA" w:rsidP="001715EA">
      <w:pPr>
        <w:pStyle w:val="1List"/>
        <w:rPr>
          <w:rFonts w:ascii="Arial" w:hAnsi="Arial" w:cs="Arial"/>
          <w:sz w:val="22"/>
          <w:szCs w:val="22"/>
          <w:lang w:val="en-GB"/>
        </w:rPr>
      </w:pPr>
      <w:r w:rsidRPr="00E4265B">
        <w:rPr>
          <w:rFonts w:ascii="Arial" w:hAnsi="Arial" w:cs="Arial"/>
          <w:sz w:val="22"/>
          <w:szCs w:val="22"/>
          <w:lang w:val="en-GB"/>
        </w:rPr>
        <w:tab/>
      </w:r>
      <w:r w:rsidR="00950CC3" w:rsidRPr="00E4265B">
        <w:rPr>
          <w:rFonts w:ascii="Arial" w:hAnsi="Arial" w:cs="Arial"/>
          <w:sz w:val="22"/>
          <w:szCs w:val="22"/>
          <w:lang w:val="en-GB"/>
        </w:rPr>
        <w:t>If the default fund contributions of the member (</w:t>
      </w:r>
      <w:r w:rsidR="00950CC3" w:rsidRPr="00E4265B">
        <w:rPr>
          <w:rFonts w:ascii="Arial" w:hAnsi="Arial" w:cs="Arial"/>
          <w:i/>
          <w:iCs/>
          <w:sz w:val="22"/>
          <w:szCs w:val="22"/>
          <w:lang w:val="en-GB"/>
        </w:rPr>
        <w:t>DF</w:t>
      </w:r>
      <w:r w:rsidR="00950CC3" w:rsidRPr="00E4265B">
        <w:rPr>
          <w:rFonts w:ascii="Arial" w:hAnsi="Arial" w:cs="Arial"/>
          <w:i/>
          <w:iCs/>
          <w:sz w:val="22"/>
          <w:szCs w:val="22"/>
          <w:vertAlign w:val="subscript"/>
          <w:lang w:val="en-GB"/>
        </w:rPr>
        <w:t>i</w:t>
      </w:r>
      <w:r w:rsidR="00950CC3" w:rsidRPr="00E4265B">
        <w:rPr>
          <w:rFonts w:ascii="Arial" w:hAnsi="Arial" w:cs="Arial"/>
          <w:sz w:val="22"/>
          <w:szCs w:val="22"/>
          <w:lang w:val="en-GB"/>
        </w:rPr>
        <w:t xml:space="preserve">) are not split with regard to client and house sub-accounts, they must be allocated per sub-account according to the respective fraction the initial margin of that sub-account has in relation to the total initial margin posted by or for the account of the clearing member.   </w:t>
      </w:r>
    </w:p>
    <w:p w14:paraId="4DE46BAF" w14:textId="15764141" w:rsidR="00950CC3" w:rsidRPr="00E4265B" w:rsidRDefault="00950CC3" w:rsidP="009F3B2E">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For derivatives, </w:t>
      </w:r>
      <w:r w:rsidRPr="00E4265B">
        <w:rPr>
          <w:rFonts w:ascii="Arial" w:hAnsi="Arial" w:cs="Arial"/>
          <w:i/>
          <w:sz w:val="22"/>
          <w:szCs w:val="22"/>
          <w:lang w:val="en-GB"/>
        </w:rPr>
        <w:t>EAD</w:t>
      </w:r>
      <w:r w:rsidRPr="00E4265B">
        <w:rPr>
          <w:rFonts w:ascii="Arial" w:hAnsi="Arial" w:cs="Arial"/>
          <w:sz w:val="22"/>
          <w:szCs w:val="22"/>
          <w:vertAlign w:val="subscript"/>
          <w:lang w:val="en-GB"/>
        </w:rPr>
        <w:t>i</w:t>
      </w:r>
      <w:r w:rsidRPr="00E4265B">
        <w:rPr>
          <w:rFonts w:ascii="Arial" w:hAnsi="Arial" w:cs="Arial"/>
          <w:sz w:val="22"/>
          <w:szCs w:val="22"/>
          <w:lang w:val="en-GB"/>
        </w:rPr>
        <w:t xml:space="preserve"> is calculated as the bilateral trade exposure the QCCP has against clearing member </w:t>
      </w:r>
      <w:r w:rsidRPr="00E4265B">
        <w:rPr>
          <w:rFonts w:ascii="Arial" w:hAnsi="Arial" w:cs="Arial"/>
          <w:i/>
          <w:sz w:val="22"/>
          <w:szCs w:val="22"/>
          <w:lang w:val="en-GB"/>
        </w:rPr>
        <w:t>i</w:t>
      </w:r>
      <w:r w:rsidRPr="00E4265B">
        <w:rPr>
          <w:rFonts w:ascii="Arial" w:hAnsi="Arial" w:cs="Arial"/>
          <w:sz w:val="22"/>
          <w:szCs w:val="22"/>
          <w:lang w:val="en-GB"/>
        </w:rPr>
        <w:t xml:space="preserve"> using the approach in</w:t>
      </w:r>
      <w:r w:rsidR="00EF29A4" w:rsidRPr="00E4265B">
        <w:rPr>
          <w:rFonts w:ascii="Arial" w:hAnsi="Arial" w:cs="Arial"/>
          <w:sz w:val="22"/>
          <w:szCs w:val="22"/>
          <w:lang w:val="en-GB"/>
        </w:rPr>
        <w:t xml:space="preserve"> Rule</w:t>
      </w:r>
      <w:r w:rsidRPr="00E4265B">
        <w:rPr>
          <w:rFonts w:ascii="Arial" w:hAnsi="Arial" w:cs="Arial"/>
          <w:sz w:val="22"/>
          <w:szCs w:val="22"/>
          <w:lang w:val="en-GB"/>
        </w:rPr>
        <w:t xml:space="preserve"> A4.6.14.  All collateral held by a QCCP to which that QCCP has a legal claim in the event of default of a member or client, including default fund contributions </w:t>
      </w:r>
      <w:r w:rsidRPr="00E4265B">
        <w:rPr>
          <w:rFonts w:ascii="Arial" w:hAnsi="Arial" w:cs="Arial"/>
          <w:sz w:val="22"/>
          <w:szCs w:val="22"/>
          <w:lang w:val="en-GB"/>
        </w:rPr>
        <w:lastRenderedPageBreak/>
        <w:t>of that member (</w:t>
      </w:r>
      <w:r w:rsidRPr="00E4265B">
        <w:rPr>
          <w:rFonts w:ascii="Arial" w:hAnsi="Arial" w:cs="Arial"/>
          <w:i/>
          <w:iCs/>
          <w:sz w:val="22"/>
          <w:szCs w:val="22"/>
          <w:lang w:val="en-GB"/>
        </w:rPr>
        <w:t>DF</w:t>
      </w:r>
      <w:r w:rsidRPr="00E4265B">
        <w:rPr>
          <w:rFonts w:ascii="Arial" w:hAnsi="Arial" w:cs="Arial"/>
          <w:i/>
          <w:iCs/>
          <w:sz w:val="22"/>
          <w:szCs w:val="22"/>
          <w:vertAlign w:val="subscript"/>
          <w:lang w:val="en-GB"/>
        </w:rPr>
        <w:t>i</w:t>
      </w:r>
      <w:r w:rsidRPr="00E4265B">
        <w:rPr>
          <w:rFonts w:ascii="Arial" w:hAnsi="Arial" w:cs="Arial"/>
          <w:sz w:val="22"/>
          <w:szCs w:val="22"/>
          <w:lang w:val="en-GB"/>
        </w:rPr>
        <w:t xml:space="preserve">), is used to offset the exposure </w:t>
      </w:r>
      <w:r w:rsidR="009F3B2E" w:rsidRPr="00E4265B">
        <w:rPr>
          <w:rFonts w:ascii="Arial" w:hAnsi="Arial" w:cs="Arial"/>
          <w:sz w:val="22"/>
          <w:szCs w:val="22"/>
          <w:lang w:val="en-GB"/>
        </w:rPr>
        <w:t xml:space="preserve">of the QCCP </w:t>
      </w:r>
      <w:r w:rsidRPr="00E4265B">
        <w:rPr>
          <w:rFonts w:ascii="Arial" w:hAnsi="Arial" w:cs="Arial"/>
          <w:sz w:val="22"/>
          <w:szCs w:val="22"/>
          <w:lang w:val="en-GB"/>
        </w:rPr>
        <w:t>to that member or client, through inclusion in the potential future exposure multiplier in accordance with</w:t>
      </w:r>
      <w:r w:rsidR="00EF29A4" w:rsidRPr="00E4265B">
        <w:rPr>
          <w:rFonts w:ascii="Arial" w:hAnsi="Arial" w:cs="Arial"/>
          <w:sz w:val="22"/>
          <w:szCs w:val="22"/>
          <w:lang w:val="en-GB"/>
        </w:rPr>
        <w:t xml:space="preserve"> Rule</w:t>
      </w:r>
      <w:r w:rsidRPr="00E4265B">
        <w:rPr>
          <w:rFonts w:ascii="Arial" w:hAnsi="Arial" w:cs="Arial"/>
          <w:sz w:val="22"/>
          <w:szCs w:val="22"/>
          <w:lang w:val="en-GB"/>
        </w:rPr>
        <w:t xml:space="preserve"> A4.6.14.</w:t>
      </w:r>
    </w:p>
    <w:p w14:paraId="4F03F855" w14:textId="77777777" w:rsidR="00950CC3" w:rsidRPr="00E4265B" w:rsidRDefault="00950CC3" w:rsidP="001715EA">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For SFTs, </w:t>
      </w:r>
      <w:r w:rsidRPr="00E4265B">
        <w:rPr>
          <w:rFonts w:ascii="Arial" w:hAnsi="Arial" w:cs="Arial"/>
          <w:i/>
          <w:iCs/>
          <w:sz w:val="22"/>
          <w:szCs w:val="22"/>
          <w:lang w:val="en-GB"/>
        </w:rPr>
        <w:t>EAD</w:t>
      </w:r>
      <w:r w:rsidRPr="00E4265B">
        <w:rPr>
          <w:rFonts w:ascii="Arial" w:hAnsi="Arial" w:cs="Arial"/>
          <w:sz w:val="22"/>
          <w:szCs w:val="22"/>
          <w:lang w:val="en-GB"/>
        </w:rPr>
        <w:t xml:space="preserve"> is equal to max(</w:t>
      </w:r>
      <w:r w:rsidRPr="00E4265B">
        <w:rPr>
          <w:rFonts w:ascii="Arial" w:hAnsi="Arial" w:cs="Arial"/>
          <w:i/>
          <w:iCs/>
          <w:sz w:val="22"/>
          <w:szCs w:val="22"/>
          <w:lang w:val="en-GB"/>
        </w:rPr>
        <w:t>EBRM</w:t>
      </w:r>
      <w:r w:rsidRPr="00E4265B">
        <w:rPr>
          <w:rFonts w:ascii="Arial" w:hAnsi="Arial" w:cs="Arial"/>
          <w:i/>
          <w:iCs/>
          <w:sz w:val="22"/>
          <w:szCs w:val="22"/>
          <w:vertAlign w:val="subscript"/>
          <w:lang w:val="en-GB"/>
        </w:rPr>
        <w:t>i</w:t>
      </w:r>
      <w:r w:rsidRPr="00E4265B">
        <w:rPr>
          <w:rFonts w:ascii="Arial" w:hAnsi="Arial" w:cs="Arial"/>
          <w:i/>
          <w:iCs/>
          <w:sz w:val="22"/>
          <w:szCs w:val="22"/>
          <w:lang w:val="en-GB"/>
        </w:rPr>
        <w:t xml:space="preserve"> – IM</w:t>
      </w:r>
      <w:r w:rsidRPr="00E4265B">
        <w:rPr>
          <w:rFonts w:ascii="Arial" w:hAnsi="Arial" w:cs="Arial"/>
          <w:i/>
          <w:iCs/>
          <w:sz w:val="22"/>
          <w:szCs w:val="22"/>
          <w:vertAlign w:val="subscript"/>
          <w:lang w:val="en-GB"/>
        </w:rPr>
        <w:t>i</w:t>
      </w:r>
      <w:r w:rsidRPr="00E4265B">
        <w:rPr>
          <w:rFonts w:ascii="Arial" w:hAnsi="Arial" w:cs="Arial"/>
          <w:i/>
          <w:iCs/>
          <w:sz w:val="22"/>
          <w:szCs w:val="22"/>
          <w:lang w:val="en-GB"/>
        </w:rPr>
        <w:t xml:space="preserve"> – DF</w:t>
      </w:r>
      <w:r w:rsidRPr="00E4265B">
        <w:rPr>
          <w:rFonts w:ascii="Arial" w:hAnsi="Arial" w:cs="Arial"/>
          <w:i/>
          <w:iCs/>
          <w:sz w:val="22"/>
          <w:szCs w:val="22"/>
          <w:vertAlign w:val="subscript"/>
          <w:lang w:val="en-GB"/>
        </w:rPr>
        <w:t>i</w:t>
      </w:r>
      <w:r w:rsidRPr="00E4265B">
        <w:rPr>
          <w:rFonts w:ascii="Arial" w:hAnsi="Arial" w:cs="Arial"/>
          <w:sz w:val="22"/>
          <w:szCs w:val="22"/>
          <w:lang w:val="en-GB"/>
        </w:rPr>
        <w:t>; 0), where:</w:t>
      </w:r>
    </w:p>
    <w:p w14:paraId="665AB3F6" w14:textId="77777777" w:rsidR="00950CC3" w:rsidRPr="00E4265B" w:rsidRDefault="00950CC3" w:rsidP="001715EA">
      <w:pPr>
        <w:pStyle w:val="aList"/>
        <w:rPr>
          <w:rFonts w:ascii="Arial" w:hAnsi="Arial" w:cs="Arial"/>
          <w:sz w:val="22"/>
          <w:szCs w:val="22"/>
          <w:lang w:val="en-GB"/>
        </w:rPr>
      </w:pPr>
      <w:r w:rsidRPr="00E4265B">
        <w:rPr>
          <w:rFonts w:ascii="Arial" w:hAnsi="Arial" w:cs="Arial"/>
          <w:sz w:val="22"/>
          <w:szCs w:val="22"/>
          <w:lang w:val="en-GB"/>
        </w:rPr>
        <w:t>a</w:t>
      </w:r>
      <w:r w:rsidR="002303FA" w:rsidRPr="00E4265B">
        <w:rPr>
          <w:rFonts w:ascii="Arial" w:hAnsi="Arial" w:cs="Arial"/>
          <w:sz w:val="22"/>
          <w:szCs w:val="22"/>
          <w:lang w:val="en-GB"/>
        </w:rPr>
        <w:t>.</w:t>
      </w:r>
      <w:r w:rsidRPr="00E4265B">
        <w:rPr>
          <w:rFonts w:ascii="Arial" w:hAnsi="Arial" w:cs="Arial"/>
          <w:sz w:val="22"/>
          <w:szCs w:val="22"/>
          <w:lang w:val="en-GB"/>
        </w:rPr>
        <w:tab/>
      </w:r>
      <w:r w:rsidRPr="00E4265B">
        <w:rPr>
          <w:rFonts w:ascii="Arial" w:hAnsi="Arial" w:cs="Arial"/>
          <w:i/>
          <w:iCs/>
          <w:sz w:val="22"/>
          <w:szCs w:val="22"/>
          <w:lang w:val="en-GB"/>
        </w:rPr>
        <w:t>EBRM</w:t>
      </w:r>
      <w:r w:rsidRPr="00E4265B">
        <w:rPr>
          <w:rFonts w:ascii="Arial" w:hAnsi="Arial" w:cs="Arial"/>
          <w:i/>
          <w:iCs/>
          <w:sz w:val="22"/>
          <w:szCs w:val="22"/>
          <w:vertAlign w:val="subscript"/>
          <w:lang w:val="en-GB"/>
        </w:rPr>
        <w:t>i</w:t>
      </w:r>
      <w:r w:rsidRPr="00E4265B">
        <w:rPr>
          <w:rFonts w:ascii="Arial" w:hAnsi="Arial" w:cs="Arial"/>
          <w:sz w:val="22"/>
          <w:szCs w:val="22"/>
          <w:lang w:val="en-GB"/>
        </w:rPr>
        <w:t xml:space="preserve"> denotes the exposure value to clearing member </w:t>
      </w:r>
      <w:r w:rsidRPr="00E4265B">
        <w:rPr>
          <w:rFonts w:ascii="Arial" w:hAnsi="Arial" w:cs="Arial"/>
          <w:i/>
          <w:iCs/>
          <w:sz w:val="22"/>
          <w:szCs w:val="22"/>
          <w:lang w:val="en-GB"/>
        </w:rPr>
        <w:t>i</w:t>
      </w:r>
      <w:r w:rsidRPr="00E4265B">
        <w:rPr>
          <w:rFonts w:ascii="Arial" w:hAnsi="Arial" w:cs="Arial"/>
          <w:sz w:val="22"/>
          <w:szCs w:val="22"/>
          <w:lang w:val="en-GB"/>
        </w:rPr>
        <w:t xml:space="preserve"> before risk mitigation.  For the purposes of this calculation, variation margin that has been exchanged (before the margin called on the final margin call of that day) enters into the mark-to-market value of the transactions;</w:t>
      </w:r>
    </w:p>
    <w:p w14:paraId="40B6D177" w14:textId="77777777" w:rsidR="00950CC3" w:rsidRPr="00E4265B" w:rsidRDefault="00950CC3" w:rsidP="001715EA">
      <w:pPr>
        <w:pStyle w:val="aList"/>
        <w:rPr>
          <w:rFonts w:ascii="Arial" w:hAnsi="Arial" w:cs="Arial"/>
          <w:sz w:val="22"/>
          <w:szCs w:val="22"/>
          <w:lang w:val="en-GB"/>
        </w:rPr>
      </w:pPr>
      <w:r w:rsidRPr="00E4265B">
        <w:rPr>
          <w:rFonts w:ascii="Arial" w:hAnsi="Arial" w:cs="Arial"/>
          <w:sz w:val="22"/>
          <w:szCs w:val="22"/>
          <w:lang w:val="en-GB"/>
        </w:rPr>
        <w:t>b</w:t>
      </w:r>
      <w:r w:rsidR="002303FA" w:rsidRPr="00E4265B">
        <w:rPr>
          <w:rFonts w:ascii="Arial" w:hAnsi="Arial" w:cs="Arial"/>
          <w:sz w:val="22"/>
          <w:szCs w:val="22"/>
          <w:lang w:val="en-GB"/>
        </w:rPr>
        <w:t>.</w:t>
      </w:r>
      <w:r w:rsidRPr="00E4265B">
        <w:rPr>
          <w:rFonts w:ascii="Arial" w:hAnsi="Arial" w:cs="Arial"/>
          <w:sz w:val="22"/>
          <w:szCs w:val="22"/>
          <w:lang w:val="en-GB"/>
        </w:rPr>
        <w:tab/>
      </w:r>
      <w:r w:rsidRPr="00E4265B">
        <w:rPr>
          <w:rFonts w:ascii="Arial" w:hAnsi="Arial" w:cs="Arial"/>
          <w:i/>
          <w:iCs/>
          <w:sz w:val="22"/>
          <w:szCs w:val="22"/>
          <w:lang w:val="en-GB"/>
        </w:rPr>
        <w:t>IM</w:t>
      </w:r>
      <w:r w:rsidRPr="00E4265B">
        <w:rPr>
          <w:rFonts w:ascii="Arial" w:hAnsi="Arial" w:cs="Arial"/>
          <w:i/>
          <w:iCs/>
          <w:sz w:val="22"/>
          <w:szCs w:val="22"/>
          <w:vertAlign w:val="subscript"/>
          <w:lang w:val="en-GB"/>
        </w:rPr>
        <w:t>i</w:t>
      </w:r>
      <w:r w:rsidRPr="00E4265B">
        <w:rPr>
          <w:rFonts w:ascii="Arial" w:hAnsi="Arial" w:cs="Arial"/>
          <w:i/>
          <w:iCs/>
          <w:sz w:val="22"/>
          <w:szCs w:val="22"/>
          <w:lang w:val="en-GB"/>
        </w:rPr>
        <w:t xml:space="preserve"> </w:t>
      </w:r>
      <w:r w:rsidRPr="00E4265B">
        <w:rPr>
          <w:rFonts w:ascii="Arial" w:hAnsi="Arial" w:cs="Arial"/>
          <w:sz w:val="22"/>
          <w:szCs w:val="22"/>
          <w:lang w:val="en-GB"/>
        </w:rPr>
        <w:t xml:space="preserve">is the initial margin collateral posted by clearing member </w:t>
      </w:r>
      <w:r w:rsidRPr="00E4265B">
        <w:rPr>
          <w:rFonts w:ascii="Arial" w:hAnsi="Arial" w:cs="Arial"/>
          <w:i/>
          <w:iCs/>
          <w:sz w:val="22"/>
          <w:szCs w:val="22"/>
          <w:lang w:val="en-GB"/>
        </w:rPr>
        <w:t>i</w:t>
      </w:r>
      <w:r w:rsidRPr="00E4265B">
        <w:rPr>
          <w:rFonts w:ascii="Arial" w:hAnsi="Arial" w:cs="Arial"/>
          <w:sz w:val="22"/>
          <w:szCs w:val="22"/>
          <w:lang w:val="en-GB"/>
        </w:rPr>
        <w:t xml:space="preserve"> with the QCCP;</w:t>
      </w:r>
    </w:p>
    <w:p w14:paraId="408E87B0" w14:textId="77777777" w:rsidR="00950CC3" w:rsidRPr="00E4265B" w:rsidRDefault="00950CC3" w:rsidP="001715EA">
      <w:pPr>
        <w:pStyle w:val="aList"/>
        <w:rPr>
          <w:rFonts w:ascii="Arial" w:hAnsi="Arial" w:cs="Arial"/>
          <w:sz w:val="22"/>
          <w:szCs w:val="22"/>
          <w:lang w:val="en-GB"/>
        </w:rPr>
      </w:pPr>
      <w:r w:rsidRPr="00E4265B">
        <w:rPr>
          <w:rFonts w:ascii="Arial" w:hAnsi="Arial" w:cs="Arial"/>
          <w:sz w:val="22"/>
          <w:szCs w:val="22"/>
          <w:lang w:val="en-GB"/>
        </w:rPr>
        <w:t>c</w:t>
      </w:r>
      <w:r w:rsidR="002303FA" w:rsidRPr="00E4265B">
        <w:rPr>
          <w:rFonts w:ascii="Arial" w:hAnsi="Arial" w:cs="Arial"/>
          <w:sz w:val="22"/>
          <w:szCs w:val="22"/>
          <w:lang w:val="en-GB"/>
        </w:rPr>
        <w:t>.</w:t>
      </w:r>
      <w:r w:rsidRPr="00E4265B">
        <w:rPr>
          <w:rFonts w:ascii="Arial" w:hAnsi="Arial" w:cs="Arial"/>
          <w:sz w:val="22"/>
          <w:szCs w:val="22"/>
          <w:lang w:val="en-GB"/>
        </w:rPr>
        <w:tab/>
      </w:r>
      <w:r w:rsidRPr="00E4265B">
        <w:rPr>
          <w:rFonts w:ascii="Arial" w:hAnsi="Arial" w:cs="Arial"/>
          <w:i/>
          <w:iCs/>
          <w:sz w:val="22"/>
          <w:szCs w:val="22"/>
          <w:lang w:val="en-GB"/>
        </w:rPr>
        <w:t>DF</w:t>
      </w:r>
      <w:r w:rsidRPr="00E4265B">
        <w:rPr>
          <w:rFonts w:ascii="Arial" w:hAnsi="Arial" w:cs="Arial"/>
          <w:i/>
          <w:iCs/>
          <w:sz w:val="22"/>
          <w:szCs w:val="22"/>
          <w:vertAlign w:val="subscript"/>
          <w:lang w:val="en-GB"/>
        </w:rPr>
        <w:t>i</w:t>
      </w:r>
      <w:r w:rsidRPr="00E4265B">
        <w:rPr>
          <w:rFonts w:ascii="Arial" w:hAnsi="Arial" w:cs="Arial"/>
          <w:sz w:val="22"/>
          <w:szCs w:val="22"/>
          <w:lang w:val="en-GB"/>
        </w:rPr>
        <w:t xml:space="preserve"> is the prefunded default fund contribution by clearing member </w:t>
      </w:r>
      <w:r w:rsidRPr="00E4265B">
        <w:rPr>
          <w:rFonts w:ascii="Arial" w:hAnsi="Arial" w:cs="Arial"/>
          <w:i/>
          <w:iCs/>
          <w:sz w:val="22"/>
          <w:szCs w:val="22"/>
          <w:lang w:val="en-GB"/>
        </w:rPr>
        <w:t>i</w:t>
      </w:r>
      <w:r w:rsidRPr="00E4265B">
        <w:rPr>
          <w:rFonts w:ascii="Arial" w:hAnsi="Arial" w:cs="Arial"/>
          <w:sz w:val="22"/>
          <w:szCs w:val="22"/>
          <w:lang w:val="en-GB"/>
        </w:rPr>
        <w:t xml:space="preserve"> that will be applied upon such clearing member's default, either along with or immediately following such member's initial margin, to reduce the QCCP loss.</w:t>
      </w:r>
    </w:p>
    <w:p w14:paraId="36F85363" w14:textId="77777777" w:rsidR="00950CC3" w:rsidRPr="00E4265B" w:rsidRDefault="00950CC3" w:rsidP="00950CC3">
      <w:pPr>
        <w:pStyle w:val="A1List"/>
        <w:rPr>
          <w:rFonts w:ascii="Arial" w:hAnsi="Arial" w:cs="Arial"/>
          <w:b/>
          <w:bCs/>
          <w:sz w:val="22"/>
          <w:szCs w:val="22"/>
          <w:lang w:val="en-GB"/>
        </w:rPr>
      </w:pPr>
      <w:r w:rsidRPr="00E4265B">
        <w:rPr>
          <w:rFonts w:ascii="Arial" w:hAnsi="Arial" w:cs="Arial"/>
          <w:b/>
          <w:bCs/>
          <w:sz w:val="22"/>
          <w:szCs w:val="22"/>
          <w:lang w:val="en-GB"/>
        </w:rPr>
        <w:t>A4.9.17</w:t>
      </w:r>
      <w:r w:rsidRPr="00E4265B">
        <w:rPr>
          <w:rFonts w:ascii="Arial" w:hAnsi="Arial" w:cs="Arial"/>
          <w:b/>
          <w:bCs/>
          <w:sz w:val="22"/>
          <w:szCs w:val="22"/>
          <w:lang w:val="en-GB"/>
        </w:rPr>
        <w:tab/>
      </w:r>
      <w:r w:rsidRPr="00E4265B">
        <w:rPr>
          <w:rFonts w:ascii="Arial" w:hAnsi="Arial" w:cs="Arial"/>
          <w:bCs/>
          <w:sz w:val="22"/>
          <w:szCs w:val="22"/>
          <w:lang w:val="en-GB"/>
        </w:rPr>
        <w:t>An Authorised Person must next calculate the capital requirement for each clearing member in accordance with the following formula:</w:t>
      </w:r>
    </w:p>
    <w:p w14:paraId="6FA3DEBE" w14:textId="77777777" w:rsidR="002303FA" w:rsidRPr="00E4265B" w:rsidRDefault="00B275AE" w:rsidP="002303FA">
      <w:pPr>
        <w:pStyle w:val="BlockText125"/>
        <w:ind w:left="1440"/>
        <w:rPr>
          <w:rFonts w:ascii="Arial" w:hAnsi="Arial" w:cs="Arial"/>
          <w:szCs w:val="22"/>
          <w:lang w:val="en-GB"/>
        </w:rPr>
      </w:pPr>
      <m:oMathPara>
        <m:oMath>
          <m:sSub>
            <m:sSubPr>
              <m:ctrlPr>
                <w:rPr>
                  <w:rFonts w:ascii="Cambria Math" w:eastAsiaTheme="majorEastAsia" w:hAnsi="Cambria Math" w:cs="Arial"/>
                  <w:bCs/>
                  <w:szCs w:val="22"/>
                  <w:lang w:val="en-GB"/>
                </w:rPr>
              </m:ctrlPr>
            </m:sSubPr>
            <m:e>
              <m:r>
                <w:rPr>
                  <w:rFonts w:ascii="Cambria Math" w:hAnsi="Cambria Math" w:cs="Arial"/>
                  <w:szCs w:val="22"/>
                  <w:lang w:val="en-GB"/>
                </w:rPr>
                <m:t>K</m:t>
              </m:r>
            </m:e>
            <m:sub>
              <m:sSub>
                <m:sSubPr>
                  <m:ctrlPr>
                    <w:rPr>
                      <w:rFonts w:ascii="Cambria Math" w:eastAsiaTheme="majorEastAsia" w:hAnsi="Cambria Math" w:cs="Arial"/>
                      <w:bCs/>
                      <w:szCs w:val="22"/>
                      <w:lang w:val="en-GB"/>
                    </w:rPr>
                  </m:ctrlPr>
                </m:sSubPr>
                <m:e>
                  <m:r>
                    <w:rPr>
                      <w:rFonts w:ascii="Cambria Math" w:hAnsi="Cambria Math" w:cs="Arial"/>
                      <w:szCs w:val="22"/>
                      <w:lang w:val="en-GB"/>
                    </w:rPr>
                    <m:t>CM</m:t>
                  </m:r>
                </m:e>
                <m:sub>
                  <m:r>
                    <w:rPr>
                      <w:rFonts w:ascii="Cambria Math" w:hAnsi="Cambria Math" w:cs="Arial"/>
                      <w:szCs w:val="22"/>
                      <w:lang w:val="en-GB"/>
                    </w:rPr>
                    <m:t>i</m:t>
                  </m:r>
                </m:sub>
              </m:sSub>
            </m:sub>
          </m:sSub>
          <m:r>
            <m:rPr>
              <m:sty m:val="p"/>
            </m:rPr>
            <w:rPr>
              <w:rFonts w:ascii="Cambria Math" w:hAnsi="Cambria Math" w:cs="Arial"/>
              <w:szCs w:val="22"/>
              <w:lang w:val="en-GB"/>
            </w:rPr>
            <m:t xml:space="preserve">=max </m:t>
          </m:r>
          <m:d>
            <m:dPr>
              <m:ctrlPr>
                <w:rPr>
                  <w:rFonts w:ascii="Cambria Math" w:eastAsiaTheme="majorEastAsia" w:hAnsi="Cambria Math" w:cs="Arial"/>
                  <w:bCs/>
                  <w:szCs w:val="22"/>
                  <w:lang w:val="en-GB"/>
                </w:rPr>
              </m:ctrlPr>
            </m:dPr>
            <m:e>
              <m:sSub>
                <m:sSubPr>
                  <m:ctrlPr>
                    <w:rPr>
                      <w:rFonts w:ascii="Cambria Math" w:eastAsiaTheme="majorEastAsia" w:hAnsi="Cambria Math" w:cs="Arial"/>
                      <w:bCs/>
                      <w:szCs w:val="22"/>
                      <w:lang w:val="en-GB"/>
                    </w:rPr>
                  </m:ctrlPr>
                </m:sSubPr>
                <m:e>
                  <m:r>
                    <w:rPr>
                      <w:rFonts w:ascii="Cambria Math" w:hAnsi="Cambria Math" w:cs="Arial"/>
                      <w:szCs w:val="22"/>
                      <w:lang w:val="en-GB"/>
                    </w:rPr>
                    <m:t>K</m:t>
                  </m:r>
                </m:e>
                <m:sub>
                  <m:r>
                    <w:rPr>
                      <w:rFonts w:ascii="Cambria Math" w:hAnsi="Cambria Math" w:cs="Arial"/>
                      <w:szCs w:val="22"/>
                      <w:lang w:val="en-GB"/>
                    </w:rPr>
                    <m:t>CCP</m:t>
                  </m:r>
                </m:sub>
              </m:sSub>
              <m:r>
                <m:rPr>
                  <m:sty m:val="p"/>
                </m:rPr>
                <w:rPr>
                  <w:rFonts w:ascii="Cambria Math" w:hAnsi="Cambria Math" w:cs="Arial"/>
                  <w:szCs w:val="22"/>
                  <w:lang w:val="en-GB"/>
                </w:rPr>
                <m:t xml:space="preserve"> ∙ </m:t>
              </m:r>
              <m:d>
                <m:dPr>
                  <m:ctrlPr>
                    <w:rPr>
                      <w:rFonts w:ascii="Cambria Math" w:eastAsiaTheme="majorEastAsia" w:hAnsi="Cambria Math" w:cs="Arial"/>
                      <w:szCs w:val="22"/>
                      <w:lang w:val="en-GB"/>
                    </w:rPr>
                  </m:ctrlPr>
                </m:dPr>
                <m:e>
                  <m:f>
                    <m:fPr>
                      <m:ctrlPr>
                        <w:rPr>
                          <w:rFonts w:ascii="Cambria Math" w:eastAsiaTheme="majorEastAsia" w:hAnsi="Cambria Math" w:cs="Arial"/>
                          <w:szCs w:val="22"/>
                          <w:lang w:val="en-GB"/>
                        </w:rPr>
                      </m:ctrlPr>
                    </m:fPr>
                    <m:num>
                      <m:sSubSup>
                        <m:sSubSupPr>
                          <m:ctrlPr>
                            <w:rPr>
                              <w:rFonts w:ascii="Cambria Math" w:eastAsiaTheme="majorEastAsia" w:hAnsi="Cambria Math" w:cs="Arial"/>
                              <w:szCs w:val="22"/>
                              <w:lang w:val="en-GB"/>
                            </w:rPr>
                          </m:ctrlPr>
                        </m:sSubSupPr>
                        <m:e>
                          <m:r>
                            <w:rPr>
                              <w:rFonts w:ascii="Cambria Math" w:hAnsi="Cambria Math" w:cs="Arial"/>
                              <w:szCs w:val="22"/>
                              <w:lang w:val="en-GB"/>
                            </w:rPr>
                            <m:t>DF</m:t>
                          </m:r>
                        </m:e>
                        <m:sub>
                          <m:r>
                            <w:rPr>
                              <w:rFonts w:ascii="Cambria Math" w:hAnsi="Cambria Math" w:cs="Arial"/>
                              <w:szCs w:val="22"/>
                              <w:lang w:val="en-GB"/>
                            </w:rPr>
                            <m:t>i</m:t>
                          </m:r>
                        </m:sub>
                        <m:sup>
                          <m:r>
                            <w:rPr>
                              <w:rFonts w:ascii="Cambria Math" w:hAnsi="Cambria Math" w:cs="Arial"/>
                              <w:szCs w:val="22"/>
                              <w:lang w:val="en-GB"/>
                            </w:rPr>
                            <m:t>pref</m:t>
                          </m:r>
                        </m:sup>
                      </m:sSubSup>
                    </m:num>
                    <m:den>
                      <m:sSub>
                        <m:sSubPr>
                          <m:ctrlPr>
                            <w:rPr>
                              <w:rFonts w:ascii="Cambria Math" w:eastAsiaTheme="majorEastAsia" w:hAnsi="Cambria Math" w:cs="Arial"/>
                              <w:szCs w:val="22"/>
                              <w:lang w:val="en-GB"/>
                            </w:rPr>
                          </m:ctrlPr>
                        </m:sSubPr>
                        <m:e>
                          <m:r>
                            <w:rPr>
                              <w:rFonts w:ascii="Cambria Math" w:hAnsi="Cambria Math" w:cs="Arial"/>
                              <w:szCs w:val="22"/>
                              <w:lang w:val="en-GB"/>
                            </w:rPr>
                            <m:t>DF</m:t>
                          </m:r>
                        </m:e>
                        <m:sub>
                          <m:r>
                            <w:rPr>
                              <w:rFonts w:ascii="Cambria Math" w:hAnsi="Cambria Math" w:cs="Arial"/>
                              <w:szCs w:val="22"/>
                              <w:lang w:val="en-GB"/>
                            </w:rPr>
                            <m:t>CCP</m:t>
                          </m:r>
                        </m:sub>
                      </m:sSub>
                      <m:r>
                        <m:rPr>
                          <m:sty m:val="p"/>
                        </m:rPr>
                        <w:rPr>
                          <w:rFonts w:ascii="Cambria Math" w:hAnsi="Cambria Math" w:cs="Arial"/>
                          <w:szCs w:val="22"/>
                          <w:lang w:val="en-GB"/>
                        </w:rPr>
                        <m:t xml:space="preserve">+ </m:t>
                      </m:r>
                      <m:sSubSup>
                        <m:sSubSupPr>
                          <m:ctrlPr>
                            <w:rPr>
                              <w:rFonts w:ascii="Cambria Math" w:eastAsiaTheme="majorEastAsia" w:hAnsi="Cambria Math" w:cs="Arial"/>
                              <w:szCs w:val="22"/>
                              <w:lang w:val="en-GB"/>
                            </w:rPr>
                          </m:ctrlPr>
                        </m:sSubSupPr>
                        <m:e>
                          <m:r>
                            <w:rPr>
                              <w:rFonts w:ascii="Cambria Math" w:hAnsi="Cambria Math" w:cs="Arial"/>
                              <w:szCs w:val="22"/>
                              <w:lang w:val="en-GB"/>
                            </w:rPr>
                            <m:t>DF</m:t>
                          </m:r>
                        </m:e>
                        <m:sub>
                          <m:r>
                            <w:rPr>
                              <w:rFonts w:ascii="Cambria Math" w:hAnsi="Cambria Math" w:cs="Arial"/>
                              <w:szCs w:val="22"/>
                              <w:lang w:val="en-GB"/>
                            </w:rPr>
                            <m:t>CM</m:t>
                          </m:r>
                        </m:sub>
                        <m:sup>
                          <m:r>
                            <w:rPr>
                              <w:rFonts w:ascii="Cambria Math" w:hAnsi="Cambria Math" w:cs="Arial"/>
                              <w:szCs w:val="22"/>
                              <w:lang w:val="en-GB"/>
                            </w:rPr>
                            <m:t>pref</m:t>
                          </m:r>
                        </m:sup>
                      </m:sSubSup>
                    </m:den>
                  </m:f>
                </m:e>
              </m:d>
              <m:r>
                <m:rPr>
                  <m:sty m:val="p"/>
                </m:rPr>
                <w:rPr>
                  <w:rFonts w:ascii="Cambria Math" w:hAnsi="Cambria Math" w:cs="Arial"/>
                  <w:szCs w:val="22"/>
                  <w:lang w:val="en-GB"/>
                </w:rPr>
                <m:t xml:space="preserve">;10%*2%* </m:t>
              </m:r>
              <m:sSubSup>
                <m:sSubSupPr>
                  <m:ctrlPr>
                    <w:rPr>
                      <w:rFonts w:ascii="Cambria Math" w:eastAsiaTheme="majorEastAsia" w:hAnsi="Cambria Math" w:cs="Arial"/>
                      <w:szCs w:val="22"/>
                      <w:lang w:val="en-GB"/>
                    </w:rPr>
                  </m:ctrlPr>
                </m:sSubSupPr>
                <m:e>
                  <m:r>
                    <w:rPr>
                      <w:rFonts w:ascii="Cambria Math" w:hAnsi="Cambria Math" w:cs="Arial"/>
                      <w:szCs w:val="22"/>
                      <w:lang w:val="en-GB"/>
                    </w:rPr>
                    <m:t>DF</m:t>
                  </m:r>
                </m:e>
                <m:sub>
                  <m:r>
                    <w:rPr>
                      <w:rFonts w:ascii="Cambria Math" w:hAnsi="Cambria Math" w:cs="Arial"/>
                      <w:szCs w:val="22"/>
                      <w:lang w:val="en-GB"/>
                    </w:rPr>
                    <m:t>i</m:t>
                  </m:r>
                </m:sub>
                <m:sup>
                  <m:r>
                    <w:rPr>
                      <w:rFonts w:ascii="Cambria Math" w:hAnsi="Cambria Math" w:cs="Arial"/>
                      <w:szCs w:val="22"/>
                      <w:lang w:val="en-GB"/>
                    </w:rPr>
                    <m:t>pref</m:t>
                  </m:r>
                </m:sup>
              </m:sSubSup>
            </m:e>
          </m:d>
        </m:oMath>
      </m:oMathPara>
    </w:p>
    <w:p w14:paraId="7CA520CC" w14:textId="77777777" w:rsidR="002303FA" w:rsidRPr="00E4265B" w:rsidRDefault="002303FA" w:rsidP="002303FA">
      <w:pPr>
        <w:pStyle w:val="UK12Block05"/>
        <w:rPr>
          <w:rFonts w:ascii="Arial" w:hAnsi="Arial" w:cs="Arial"/>
          <w:sz w:val="22"/>
          <w:szCs w:val="22"/>
          <w:lang w:val="en-GB"/>
        </w:rPr>
      </w:pPr>
      <w:r w:rsidRPr="00E4265B">
        <w:rPr>
          <w:rFonts w:ascii="Arial" w:hAnsi="Arial" w:cs="Arial"/>
          <w:sz w:val="22"/>
          <w:szCs w:val="22"/>
          <w:lang w:val="en-GB"/>
        </w:rPr>
        <w:t>where:</w:t>
      </w:r>
    </w:p>
    <w:p w14:paraId="65E82306" w14:textId="53B7E02F" w:rsidR="002303FA" w:rsidRPr="00E4265B" w:rsidRDefault="002303FA" w:rsidP="009F3B2E">
      <w:pPr>
        <w:pStyle w:val="UK12Block05"/>
        <w:rPr>
          <w:rFonts w:ascii="Arial" w:hAnsi="Arial" w:cs="Arial"/>
          <w:sz w:val="22"/>
          <w:szCs w:val="22"/>
          <w:lang w:val="en-GB"/>
        </w:rPr>
      </w:pPr>
      <w:r w:rsidRPr="00E4265B">
        <w:rPr>
          <w:rFonts w:ascii="Arial" w:hAnsi="Arial" w:cs="Arial"/>
          <w:i/>
          <w:iCs/>
          <w:sz w:val="22"/>
          <w:szCs w:val="22"/>
          <w:lang w:val="en-GB"/>
        </w:rPr>
        <w:t>K</w:t>
      </w:r>
      <w:r w:rsidRPr="00E4265B">
        <w:rPr>
          <w:rFonts w:ascii="Arial" w:hAnsi="Arial" w:cs="Arial"/>
          <w:i/>
          <w:iCs/>
          <w:sz w:val="22"/>
          <w:szCs w:val="22"/>
          <w:vertAlign w:val="subscript"/>
          <w:lang w:val="en-GB"/>
        </w:rPr>
        <w:t>CMi</w:t>
      </w:r>
      <w:r w:rsidRPr="00E4265B">
        <w:rPr>
          <w:rFonts w:ascii="Arial" w:hAnsi="Arial" w:cs="Arial"/>
          <w:sz w:val="22"/>
          <w:szCs w:val="22"/>
          <w:lang w:val="en-GB"/>
        </w:rPr>
        <w:t xml:space="preserve"> = the capital requirement on the default fund contribution of clearing member </w:t>
      </w:r>
      <w:r w:rsidRPr="00E4265B">
        <w:rPr>
          <w:rFonts w:ascii="Arial" w:hAnsi="Arial" w:cs="Arial"/>
          <w:i/>
          <w:iCs/>
          <w:sz w:val="22"/>
          <w:szCs w:val="22"/>
          <w:lang w:val="en-GB"/>
        </w:rPr>
        <w:t>i</w:t>
      </w:r>
      <w:r w:rsidRPr="00E4265B">
        <w:rPr>
          <w:rFonts w:ascii="Arial" w:hAnsi="Arial" w:cs="Arial"/>
          <w:sz w:val="22"/>
          <w:szCs w:val="22"/>
          <w:lang w:val="en-GB"/>
        </w:rPr>
        <w:t>;</w:t>
      </w:r>
    </w:p>
    <w:p w14:paraId="15949332" w14:textId="77777777" w:rsidR="002303FA" w:rsidRPr="00E4265B" w:rsidRDefault="002303FA" w:rsidP="002303FA">
      <w:pPr>
        <w:pStyle w:val="UK12Block05"/>
        <w:rPr>
          <w:rFonts w:ascii="Arial" w:hAnsi="Arial" w:cs="Arial"/>
          <w:sz w:val="22"/>
          <w:szCs w:val="22"/>
          <w:lang w:val="en-GB"/>
        </w:rPr>
      </w:pPr>
      <w:r w:rsidRPr="00E4265B">
        <w:rPr>
          <w:rFonts w:ascii="Arial" w:hAnsi="Arial" w:cs="Arial"/>
          <w:i/>
          <w:iCs/>
          <w:sz w:val="22"/>
          <w:szCs w:val="22"/>
          <w:lang w:val="en-GB"/>
        </w:rPr>
        <w:t>DF</w:t>
      </w:r>
      <w:r w:rsidRPr="00E4265B">
        <w:rPr>
          <w:rFonts w:ascii="Arial" w:hAnsi="Arial" w:cs="Arial"/>
          <w:i/>
          <w:iCs/>
          <w:sz w:val="22"/>
          <w:szCs w:val="22"/>
          <w:vertAlign w:val="superscript"/>
          <w:lang w:val="en-GB"/>
        </w:rPr>
        <w:t>pref</w:t>
      </w:r>
      <w:r w:rsidRPr="00E4265B">
        <w:rPr>
          <w:rFonts w:ascii="Arial" w:hAnsi="Arial" w:cs="Arial"/>
          <w:i/>
          <w:iCs/>
          <w:sz w:val="22"/>
          <w:szCs w:val="22"/>
          <w:vertAlign w:val="subscript"/>
          <w:lang w:val="en-GB"/>
        </w:rPr>
        <w:t>CM</w:t>
      </w:r>
      <w:r w:rsidRPr="00E4265B">
        <w:rPr>
          <w:rFonts w:ascii="Arial" w:hAnsi="Arial" w:cs="Arial"/>
          <w:sz w:val="22"/>
          <w:szCs w:val="22"/>
          <w:vertAlign w:val="subscript"/>
          <w:lang w:val="en-GB"/>
        </w:rPr>
        <w:t xml:space="preserve"> </w:t>
      </w:r>
      <w:r w:rsidRPr="00E4265B">
        <w:rPr>
          <w:rFonts w:ascii="Arial" w:hAnsi="Arial" w:cs="Arial"/>
          <w:sz w:val="22"/>
          <w:szCs w:val="22"/>
          <w:lang w:val="en-GB"/>
        </w:rPr>
        <w:t>= the total prefunded default fund contributions from clearing members;</w:t>
      </w:r>
    </w:p>
    <w:p w14:paraId="7FDF9BDC" w14:textId="61195ED9" w:rsidR="002303FA" w:rsidRPr="00E4265B" w:rsidRDefault="002303FA" w:rsidP="009F3B2E">
      <w:pPr>
        <w:pStyle w:val="UK12Block05"/>
        <w:rPr>
          <w:rFonts w:ascii="Arial" w:hAnsi="Arial" w:cs="Arial"/>
          <w:sz w:val="22"/>
          <w:szCs w:val="22"/>
          <w:lang w:val="en-GB"/>
        </w:rPr>
      </w:pPr>
      <w:r w:rsidRPr="00E4265B">
        <w:rPr>
          <w:rFonts w:ascii="Arial" w:hAnsi="Arial" w:cs="Arial"/>
          <w:i/>
          <w:iCs/>
          <w:sz w:val="22"/>
          <w:szCs w:val="22"/>
          <w:lang w:val="en-GB"/>
        </w:rPr>
        <w:t>DF</w:t>
      </w:r>
      <w:r w:rsidRPr="00E4265B">
        <w:rPr>
          <w:rFonts w:ascii="Arial" w:hAnsi="Arial" w:cs="Arial"/>
          <w:i/>
          <w:iCs/>
          <w:sz w:val="22"/>
          <w:szCs w:val="22"/>
          <w:vertAlign w:val="subscript"/>
          <w:lang w:val="en-GB"/>
        </w:rPr>
        <w:t>CCP</w:t>
      </w:r>
      <w:r w:rsidRPr="00E4265B">
        <w:rPr>
          <w:rFonts w:ascii="Arial" w:hAnsi="Arial" w:cs="Arial"/>
          <w:sz w:val="22"/>
          <w:szCs w:val="22"/>
          <w:lang w:val="en-GB"/>
        </w:rPr>
        <w:t xml:space="preserve"> = the prefunded own resources </w:t>
      </w:r>
      <w:r w:rsidR="009F3B2E" w:rsidRPr="00E4265B">
        <w:rPr>
          <w:rFonts w:ascii="Arial" w:hAnsi="Arial" w:cs="Arial"/>
          <w:sz w:val="22"/>
          <w:szCs w:val="22"/>
          <w:lang w:val="en-GB"/>
        </w:rPr>
        <w:t xml:space="preserve">of the CCP </w:t>
      </w:r>
      <w:r w:rsidRPr="00E4265B">
        <w:rPr>
          <w:rFonts w:ascii="Arial" w:hAnsi="Arial" w:cs="Arial"/>
          <w:sz w:val="22"/>
          <w:szCs w:val="22"/>
          <w:lang w:val="en-GB"/>
        </w:rPr>
        <w:t>(e.g. contributed capital, retained earnings, etc.), which are contributed to the default waterfall, where these are junior or pari passu to prefunded member contributions; and</w:t>
      </w:r>
    </w:p>
    <w:p w14:paraId="406B37B0" w14:textId="316CB2ED" w:rsidR="002303FA" w:rsidRPr="00E4265B" w:rsidRDefault="002303FA" w:rsidP="009F3B2E">
      <w:pPr>
        <w:pStyle w:val="UK12Block05"/>
        <w:rPr>
          <w:rFonts w:ascii="Arial" w:hAnsi="Arial" w:cs="Arial"/>
          <w:sz w:val="22"/>
          <w:szCs w:val="22"/>
          <w:lang w:val="en-GB"/>
        </w:rPr>
      </w:pPr>
      <w:r w:rsidRPr="00E4265B">
        <w:rPr>
          <w:rFonts w:ascii="Arial" w:hAnsi="Arial" w:cs="Arial"/>
          <w:i/>
          <w:iCs/>
          <w:sz w:val="22"/>
          <w:szCs w:val="22"/>
          <w:lang w:val="en-GB"/>
        </w:rPr>
        <w:t>DF</w:t>
      </w:r>
      <w:r w:rsidRPr="00E4265B">
        <w:rPr>
          <w:rFonts w:ascii="Arial" w:hAnsi="Arial" w:cs="Arial"/>
          <w:i/>
          <w:iCs/>
          <w:sz w:val="22"/>
          <w:szCs w:val="22"/>
          <w:vertAlign w:val="superscript"/>
          <w:lang w:val="en-GB"/>
        </w:rPr>
        <w:t>pref</w:t>
      </w:r>
      <w:r w:rsidRPr="00E4265B">
        <w:rPr>
          <w:rFonts w:ascii="Arial" w:hAnsi="Arial" w:cs="Arial"/>
          <w:i/>
          <w:iCs/>
          <w:sz w:val="22"/>
          <w:szCs w:val="22"/>
          <w:vertAlign w:val="subscript"/>
          <w:lang w:val="en-GB"/>
        </w:rPr>
        <w:t>i</w:t>
      </w:r>
      <w:r w:rsidRPr="00E4265B">
        <w:rPr>
          <w:rFonts w:ascii="Arial" w:hAnsi="Arial" w:cs="Arial"/>
          <w:sz w:val="22"/>
          <w:szCs w:val="22"/>
          <w:lang w:val="en-GB"/>
        </w:rPr>
        <w:t xml:space="preserve"> = the prefunded default fund contributions provided by clearing member </w:t>
      </w:r>
      <w:r w:rsidRPr="00E4265B">
        <w:rPr>
          <w:rFonts w:ascii="Arial" w:hAnsi="Arial" w:cs="Arial"/>
          <w:i/>
          <w:iCs/>
          <w:sz w:val="22"/>
          <w:szCs w:val="22"/>
          <w:lang w:val="en-GB"/>
        </w:rPr>
        <w:t>i</w:t>
      </w:r>
      <w:r w:rsidRPr="00E4265B">
        <w:rPr>
          <w:rFonts w:ascii="Arial" w:hAnsi="Arial" w:cs="Arial"/>
          <w:sz w:val="22"/>
          <w:szCs w:val="22"/>
          <w:lang w:val="en-GB"/>
        </w:rPr>
        <w:t>.</w:t>
      </w:r>
    </w:p>
    <w:p w14:paraId="6C444303" w14:textId="77777777" w:rsidR="002303FA" w:rsidRPr="00E4265B" w:rsidRDefault="002303FA" w:rsidP="002303FA">
      <w:pPr>
        <w:pStyle w:val="TitleL5"/>
        <w:rPr>
          <w:rFonts w:ascii="Arial" w:hAnsi="Arial" w:cs="Arial"/>
          <w:sz w:val="22"/>
          <w:szCs w:val="22"/>
          <w:lang w:val="en-GB"/>
        </w:rPr>
      </w:pPr>
      <w:r w:rsidRPr="00E4265B">
        <w:rPr>
          <w:rFonts w:ascii="Arial" w:hAnsi="Arial" w:cs="Arial"/>
          <w:sz w:val="22"/>
          <w:szCs w:val="22"/>
          <w:lang w:val="en-GB"/>
        </w:rPr>
        <w:t>Guidance</w:t>
      </w:r>
    </w:p>
    <w:p w14:paraId="11CBAF65" w14:textId="321902C5" w:rsidR="002303FA" w:rsidRPr="00E4265B" w:rsidRDefault="002303FA" w:rsidP="009F3B2E">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If the Regulator is not provided with a calculation of </w:t>
      </w:r>
      <w:r w:rsidRPr="00E4265B">
        <w:rPr>
          <w:rFonts w:ascii="Arial" w:hAnsi="Arial" w:cs="Arial"/>
          <w:i/>
          <w:iCs/>
          <w:sz w:val="22"/>
          <w:szCs w:val="22"/>
          <w:lang w:val="en-GB"/>
        </w:rPr>
        <w:t>K</w:t>
      </w:r>
      <w:r w:rsidRPr="00E4265B">
        <w:rPr>
          <w:rFonts w:ascii="Arial" w:hAnsi="Arial" w:cs="Arial"/>
          <w:i/>
          <w:iCs/>
          <w:sz w:val="22"/>
          <w:szCs w:val="22"/>
          <w:vertAlign w:val="subscript"/>
          <w:lang w:val="en-GB"/>
        </w:rPr>
        <w:t>CCP</w:t>
      </w:r>
      <w:r w:rsidRPr="00E4265B">
        <w:rPr>
          <w:rFonts w:ascii="Arial" w:hAnsi="Arial" w:cs="Arial"/>
          <w:sz w:val="22"/>
          <w:szCs w:val="22"/>
          <w:lang w:val="en-GB"/>
        </w:rPr>
        <w:t xml:space="preserve">, </w:t>
      </w:r>
      <w:r w:rsidRPr="00E4265B">
        <w:rPr>
          <w:rFonts w:ascii="Arial" w:hAnsi="Arial" w:cs="Arial"/>
          <w:i/>
          <w:iCs/>
          <w:sz w:val="22"/>
          <w:szCs w:val="22"/>
          <w:lang w:val="en-GB"/>
        </w:rPr>
        <w:t>DF</w:t>
      </w:r>
      <w:r w:rsidRPr="00E4265B">
        <w:rPr>
          <w:rFonts w:ascii="Arial" w:hAnsi="Arial" w:cs="Arial"/>
          <w:i/>
          <w:iCs/>
          <w:sz w:val="22"/>
          <w:szCs w:val="22"/>
          <w:vertAlign w:val="superscript"/>
          <w:lang w:val="en-GB"/>
        </w:rPr>
        <w:t>pref</w:t>
      </w:r>
      <w:r w:rsidR="009F3B2E" w:rsidRPr="00E4265B">
        <w:rPr>
          <w:rFonts w:ascii="Arial" w:hAnsi="Arial" w:cs="Arial"/>
          <w:i/>
          <w:iCs/>
          <w:sz w:val="22"/>
          <w:szCs w:val="22"/>
          <w:vertAlign w:val="subscript"/>
          <w:lang w:val="en-GB"/>
        </w:rPr>
        <w:t>CM</w:t>
      </w:r>
      <w:r w:rsidRPr="00E4265B">
        <w:rPr>
          <w:rFonts w:ascii="Arial" w:hAnsi="Arial" w:cs="Arial"/>
          <w:sz w:val="22"/>
          <w:szCs w:val="22"/>
          <w:lang w:val="en-GB"/>
        </w:rPr>
        <w:t xml:space="preserve"> and </w:t>
      </w:r>
      <w:r w:rsidRPr="00E4265B">
        <w:rPr>
          <w:rFonts w:ascii="Arial" w:hAnsi="Arial" w:cs="Arial"/>
          <w:i/>
          <w:iCs/>
          <w:sz w:val="22"/>
          <w:szCs w:val="22"/>
          <w:lang w:val="en-GB"/>
        </w:rPr>
        <w:t>DF</w:t>
      </w:r>
      <w:r w:rsidRPr="00E4265B">
        <w:rPr>
          <w:rFonts w:ascii="Arial" w:hAnsi="Arial" w:cs="Arial"/>
          <w:i/>
          <w:iCs/>
          <w:sz w:val="22"/>
          <w:szCs w:val="22"/>
          <w:vertAlign w:val="subscript"/>
          <w:lang w:val="en-GB"/>
        </w:rPr>
        <w:t>CCP</w:t>
      </w:r>
      <w:r w:rsidRPr="00E4265B">
        <w:rPr>
          <w:rFonts w:ascii="Arial" w:hAnsi="Arial" w:cs="Arial"/>
          <w:sz w:val="22"/>
          <w:szCs w:val="22"/>
          <w:lang w:val="en-GB"/>
        </w:rPr>
        <w:t xml:space="preserve"> or if the Regulator is not able to confirm those calculations, the treatment set out in </w:t>
      </w:r>
      <w:r w:rsidR="00EF29A4" w:rsidRPr="00E4265B">
        <w:rPr>
          <w:rFonts w:ascii="Arial" w:hAnsi="Arial" w:cs="Arial"/>
          <w:sz w:val="22"/>
          <w:szCs w:val="22"/>
          <w:lang w:val="en-GB"/>
        </w:rPr>
        <w:t xml:space="preserve">Rule </w:t>
      </w:r>
      <w:r w:rsidRPr="00E4265B">
        <w:rPr>
          <w:rFonts w:ascii="Arial" w:hAnsi="Arial" w:cs="Arial"/>
          <w:sz w:val="22"/>
          <w:szCs w:val="22"/>
          <w:lang w:val="en-GB"/>
        </w:rPr>
        <w:t>A4.9.18 shall apply to the calculation made by the relevant Authorised Person to the default fund of a QCCP.</w:t>
      </w:r>
    </w:p>
    <w:p w14:paraId="4E147F58" w14:textId="048BFCC9" w:rsidR="002303FA" w:rsidRPr="00E4265B" w:rsidRDefault="002303FA" w:rsidP="009F3B2E">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r>
      <w:r w:rsidRPr="00E4265B">
        <w:rPr>
          <w:rFonts w:ascii="Arial" w:hAnsi="Arial" w:cs="Arial"/>
          <w:i/>
          <w:iCs/>
          <w:sz w:val="22"/>
          <w:szCs w:val="22"/>
          <w:lang w:val="en-GB"/>
        </w:rPr>
        <w:t>K</w:t>
      </w:r>
      <w:r w:rsidRPr="00E4265B">
        <w:rPr>
          <w:rFonts w:ascii="Arial" w:hAnsi="Arial" w:cs="Arial"/>
          <w:i/>
          <w:iCs/>
          <w:sz w:val="22"/>
          <w:szCs w:val="22"/>
          <w:vertAlign w:val="subscript"/>
          <w:lang w:val="en-GB"/>
        </w:rPr>
        <w:t>CCP</w:t>
      </w:r>
      <w:r w:rsidRPr="00E4265B">
        <w:rPr>
          <w:rFonts w:ascii="Arial" w:hAnsi="Arial" w:cs="Arial"/>
          <w:sz w:val="22"/>
          <w:szCs w:val="22"/>
          <w:lang w:val="en-GB"/>
        </w:rPr>
        <w:t xml:space="preserve"> should be calculated on a quarterly basis at a minimum, although the Regulator may require more frequent calculations in case of material changes (such as the QCCP clearing a new product).  If the Authorised Person or Regulator performed the calculations, it should make available to any other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acts as a clearing member sufficient aggregate information about the composition of the exposures </w:t>
      </w:r>
      <w:r w:rsidR="009F3B2E" w:rsidRPr="00E4265B">
        <w:rPr>
          <w:rFonts w:ascii="Arial" w:hAnsi="Arial" w:cs="Arial"/>
          <w:sz w:val="22"/>
          <w:szCs w:val="22"/>
          <w:lang w:val="en-GB"/>
        </w:rPr>
        <w:t xml:space="preserve">of the QCCP </w:t>
      </w:r>
      <w:r w:rsidRPr="00E4265B">
        <w:rPr>
          <w:rFonts w:ascii="Arial" w:hAnsi="Arial" w:cs="Arial"/>
          <w:sz w:val="22"/>
          <w:szCs w:val="22"/>
          <w:lang w:val="en-GB"/>
        </w:rPr>
        <w:t xml:space="preserve">to clearing members and information provided to the Authorised Person for the purposes of the calculation of </w:t>
      </w:r>
      <w:r w:rsidRPr="00E4265B">
        <w:rPr>
          <w:rFonts w:ascii="Arial" w:hAnsi="Arial" w:cs="Arial"/>
          <w:i/>
          <w:iCs/>
          <w:sz w:val="22"/>
          <w:szCs w:val="22"/>
          <w:lang w:val="en-GB"/>
        </w:rPr>
        <w:t>K</w:t>
      </w:r>
      <w:r w:rsidRPr="00E4265B">
        <w:rPr>
          <w:rFonts w:ascii="Arial" w:hAnsi="Arial" w:cs="Arial"/>
          <w:i/>
          <w:iCs/>
          <w:sz w:val="22"/>
          <w:szCs w:val="22"/>
          <w:vertAlign w:val="subscript"/>
          <w:lang w:val="en-GB"/>
        </w:rPr>
        <w:t>CCP</w:t>
      </w:r>
      <w:r w:rsidRPr="00E4265B">
        <w:rPr>
          <w:rFonts w:ascii="Arial" w:hAnsi="Arial" w:cs="Arial"/>
          <w:sz w:val="22"/>
          <w:szCs w:val="22"/>
          <w:lang w:val="en-GB"/>
        </w:rPr>
        <w:t xml:space="preserve">, </w:t>
      </w:r>
      <w:r w:rsidRPr="00E4265B">
        <w:rPr>
          <w:rFonts w:ascii="Arial" w:hAnsi="Arial" w:cs="Arial"/>
          <w:i/>
          <w:iCs/>
          <w:sz w:val="22"/>
          <w:szCs w:val="22"/>
          <w:lang w:val="en-GB"/>
        </w:rPr>
        <w:t>DF</w:t>
      </w:r>
      <w:r w:rsidRPr="00E4265B">
        <w:rPr>
          <w:rFonts w:ascii="Arial" w:hAnsi="Arial" w:cs="Arial"/>
          <w:i/>
          <w:iCs/>
          <w:sz w:val="22"/>
          <w:szCs w:val="22"/>
          <w:vertAlign w:val="superscript"/>
          <w:lang w:val="en-GB"/>
        </w:rPr>
        <w:t>pref</w:t>
      </w:r>
      <w:r w:rsidR="009F3B2E" w:rsidRPr="00E4265B">
        <w:rPr>
          <w:rFonts w:ascii="Arial" w:hAnsi="Arial" w:cs="Arial"/>
          <w:i/>
          <w:iCs/>
          <w:sz w:val="22"/>
          <w:szCs w:val="22"/>
          <w:vertAlign w:val="subscript"/>
          <w:lang w:val="en-GB"/>
        </w:rPr>
        <w:t>CM</w:t>
      </w:r>
      <w:r w:rsidRPr="00E4265B">
        <w:rPr>
          <w:rFonts w:ascii="Arial" w:hAnsi="Arial" w:cs="Arial"/>
          <w:sz w:val="22"/>
          <w:szCs w:val="22"/>
          <w:lang w:val="en-GB"/>
        </w:rPr>
        <w:t xml:space="preserve"> and </w:t>
      </w:r>
      <w:r w:rsidRPr="00E4265B">
        <w:rPr>
          <w:rFonts w:ascii="Arial" w:hAnsi="Arial" w:cs="Arial"/>
          <w:i/>
          <w:iCs/>
          <w:sz w:val="22"/>
          <w:szCs w:val="22"/>
          <w:lang w:val="en-GB"/>
        </w:rPr>
        <w:t>DF</w:t>
      </w:r>
      <w:r w:rsidRPr="00E4265B">
        <w:rPr>
          <w:rFonts w:ascii="Arial" w:hAnsi="Arial" w:cs="Arial"/>
          <w:i/>
          <w:iCs/>
          <w:sz w:val="22"/>
          <w:szCs w:val="22"/>
          <w:vertAlign w:val="subscript"/>
          <w:lang w:val="en-GB"/>
        </w:rPr>
        <w:t>CCP</w:t>
      </w:r>
      <w:r w:rsidRPr="00E4265B">
        <w:rPr>
          <w:rFonts w:ascii="Arial" w:hAnsi="Arial" w:cs="Arial"/>
          <w:sz w:val="22"/>
          <w:szCs w:val="22"/>
          <w:lang w:val="en-GB"/>
        </w:rPr>
        <w:t>.</w:t>
      </w:r>
    </w:p>
    <w:p w14:paraId="03664204" w14:textId="77777777" w:rsidR="002303FA" w:rsidRPr="00E4265B" w:rsidRDefault="002303FA" w:rsidP="002303FA">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Such information should be provided a least on a quarterly basis.  </w:t>
      </w:r>
      <w:r w:rsidRPr="00E4265B">
        <w:rPr>
          <w:rFonts w:ascii="Arial" w:hAnsi="Arial" w:cs="Arial"/>
          <w:i/>
          <w:iCs/>
          <w:sz w:val="22"/>
          <w:szCs w:val="22"/>
          <w:lang w:val="en-GB"/>
        </w:rPr>
        <w:t>K</w:t>
      </w:r>
      <w:r w:rsidRPr="00E4265B">
        <w:rPr>
          <w:rFonts w:ascii="Arial" w:hAnsi="Arial" w:cs="Arial"/>
          <w:i/>
          <w:iCs/>
          <w:sz w:val="22"/>
          <w:szCs w:val="22"/>
          <w:vertAlign w:val="subscript"/>
          <w:lang w:val="en-GB"/>
        </w:rPr>
        <w:t>CCP</w:t>
      </w:r>
      <w:r w:rsidRPr="00E4265B">
        <w:rPr>
          <w:rFonts w:ascii="Arial" w:hAnsi="Arial" w:cs="Arial"/>
          <w:sz w:val="22"/>
          <w:szCs w:val="22"/>
          <w:lang w:val="en-GB"/>
        </w:rPr>
        <w:t xml:space="preserve"> and </w:t>
      </w:r>
      <w:r w:rsidRPr="00E4265B">
        <w:rPr>
          <w:rFonts w:ascii="Arial" w:hAnsi="Arial" w:cs="Arial"/>
          <w:i/>
          <w:iCs/>
          <w:sz w:val="22"/>
          <w:szCs w:val="22"/>
          <w:lang w:val="en-GB"/>
        </w:rPr>
        <w:t>K</w:t>
      </w:r>
      <w:r w:rsidRPr="00E4265B">
        <w:rPr>
          <w:rFonts w:ascii="Arial" w:hAnsi="Arial" w:cs="Arial"/>
          <w:i/>
          <w:iCs/>
          <w:sz w:val="22"/>
          <w:szCs w:val="22"/>
          <w:vertAlign w:val="subscript"/>
          <w:lang w:val="en-GB"/>
        </w:rPr>
        <w:t>CMi</w:t>
      </w:r>
      <w:r w:rsidRPr="00E4265B">
        <w:rPr>
          <w:rFonts w:ascii="Arial" w:hAnsi="Arial" w:cs="Arial"/>
          <w:sz w:val="22"/>
          <w:szCs w:val="22"/>
          <w:lang w:val="en-GB"/>
        </w:rPr>
        <w:t xml:space="preserve"> should be recalculated at least quarterly, and should also be </w:t>
      </w:r>
      <w:r w:rsidRPr="00E4265B">
        <w:rPr>
          <w:rFonts w:ascii="Arial" w:hAnsi="Arial" w:cs="Arial"/>
          <w:sz w:val="22"/>
          <w:szCs w:val="22"/>
          <w:lang w:val="en-GB"/>
        </w:rPr>
        <w:lastRenderedPageBreak/>
        <w:t>recalculated when there are material changes to the number or exposure of cleared transactions or material changes to the financial resources of the QCCP.</w:t>
      </w:r>
    </w:p>
    <w:p w14:paraId="04FF4E47" w14:textId="77777777" w:rsidR="002303FA" w:rsidRPr="00E4265B" w:rsidRDefault="002303FA" w:rsidP="002303FA">
      <w:pPr>
        <w:pStyle w:val="TitleL5"/>
        <w:rPr>
          <w:rFonts w:ascii="Arial" w:hAnsi="Arial" w:cs="Arial"/>
          <w:sz w:val="22"/>
          <w:szCs w:val="22"/>
          <w:lang w:val="en-GB"/>
        </w:rPr>
      </w:pPr>
      <w:r w:rsidRPr="00E4265B">
        <w:rPr>
          <w:rFonts w:ascii="Arial" w:hAnsi="Arial" w:cs="Arial"/>
          <w:sz w:val="22"/>
          <w:szCs w:val="22"/>
          <w:lang w:val="en-GB"/>
        </w:rPr>
        <w:t>Prefunded and unfunded contributions to the default fund of a Non-QCCP</w:t>
      </w:r>
    </w:p>
    <w:p w14:paraId="516A9D75" w14:textId="77777777" w:rsidR="002303FA" w:rsidRPr="00E4265B" w:rsidRDefault="002303FA" w:rsidP="002303FA">
      <w:pPr>
        <w:pStyle w:val="A1List"/>
        <w:rPr>
          <w:rFonts w:ascii="Arial" w:hAnsi="Arial" w:cs="Arial"/>
          <w:b/>
          <w:bCs/>
          <w:sz w:val="22"/>
          <w:szCs w:val="22"/>
          <w:lang w:val="en-GB"/>
        </w:rPr>
      </w:pPr>
      <w:r w:rsidRPr="00E4265B">
        <w:rPr>
          <w:rFonts w:ascii="Arial" w:hAnsi="Arial" w:cs="Arial"/>
          <w:b/>
          <w:bCs/>
          <w:sz w:val="22"/>
          <w:szCs w:val="22"/>
          <w:lang w:val="en-GB"/>
        </w:rPr>
        <w:t>A4.9.18</w:t>
      </w:r>
      <w:r w:rsidRPr="00E4265B">
        <w:rPr>
          <w:rFonts w:ascii="Arial" w:hAnsi="Arial" w:cs="Arial"/>
          <w:b/>
          <w:bCs/>
          <w:sz w:val="22"/>
          <w:szCs w:val="22"/>
          <w:lang w:val="en-GB"/>
        </w:rPr>
        <w:tab/>
      </w:r>
      <w:r w:rsidRPr="00E4265B">
        <w:rPr>
          <w:rFonts w:ascii="Arial" w:hAnsi="Arial" w:cs="Arial"/>
          <w:bCs/>
          <w:sz w:val="22"/>
          <w:szCs w:val="22"/>
          <w:lang w:val="en-GB"/>
        </w:rPr>
        <w:t>An Authorised Person must calculate Credit RWA for the exposures arising from its contributions to the default fund of a Non-QCCP in accordance with the following formula:</w:t>
      </w:r>
    </w:p>
    <w:p w14:paraId="02277D08" w14:textId="77777777" w:rsidR="002303FA" w:rsidRPr="00E4265B" w:rsidRDefault="00EF29A4" w:rsidP="002303FA">
      <w:pPr>
        <w:pStyle w:val="UK12Block05"/>
        <w:jc w:val="center"/>
        <w:rPr>
          <w:rFonts w:ascii="Arial" w:hAnsi="Arial" w:cs="Arial"/>
          <w:sz w:val="22"/>
          <w:szCs w:val="22"/>
          <w:lang w:val="en-GB"/>
        </w:rPr>
      </w:pPr>
      <w:r w:rsidRPr="00E4265B">
        <w:rPr>
          <w:rFonts w:ascii="Arial" w:hAnsi="Arial" w:cs="Arial"/>
          <w:sz w:val="22"/>
          <w:szCs w:val="22"/>
          <w:lang w:val="en-GB"/>
        </w:rPr>
        <w:t>Credit RWA = (DF + UC) × 1</w:t>
      </w:r>
      <w:r w:rsidR="002303FA" w:rsidRPr="00E4265B">
        <w:rPr>
          <w:rFonts w:ascii="Arial" w:hAnsi="Arial" w:cs="Arial"/>
          <w:sz w:val="22"/>
          <w:szCs w:val="22"/>
          <w:lang w:val="en-GB"/>
        </w:rPr>
        <w:t>0</w:t>
      </w:r>
    </w:p>
    <w:p w14:paraId="3FF4421F" w14:textId="77777777" w:rsidR="002303FA" w:rsidRPr="00E4265B" w:rsidRDefault="002303FA" w:rsidP="002303FA">
      <w:pPr>
        <w:pStyle w:val="UK12Block05"/>
        <w:rPr>
          <w:rFonts w:ascii="Arial" w:hAnsi="Arial" w:cs="Arial"/>
          <w:sz w:val="22"/>
          <w:szCs w:val="22"/>
          <w:lang w:val="en-GB"/>
        </w:rPr>
      </w:pPr>
      <w:r w:rsidRPr="00E4265B">
        <w:rPr>
          <w:rFonts w:ascii="Arial" w:hAnsi="Arial" w:cs="Arial"/>
          <w:sz w:val="22"/>
          <w:szCs w:val="22"/>
          <w:lang w:val="en-GB"/>
        </w:rPr>
        <w:t>where:</w:t>
      </w:r>
    </w:p>
    <w:p w14:paraId="18996B2B" w14:textId="77777777" w:rsidR="002303FA" w:rsidRPr="00E4265B" w:rsidRDefault="002303FA" w:rsidP="002303FA">
      <w:pPr>
        <w:pStyle w:val="UK12Block05"/>
        <w:rPr>
          <w:rFonts w:ascii="Arial" w:hAnsi="Arial" w:cs="Arial"/>
          <w:sz w:val="22"/>
          <w:szCs w:val="22"/>
          <w:lang w:val="en-GB"/>
        </w:rPr>
      </w:pPr>
      <w:r w:rsidRPr="00E4265B">
        <w:rPr>
          <w:rFonts w:ascii="Arial" w:hAnsi="Arial" w:cs="Arial"/>
          <w:sz w:val="22"/>
          <w:szCs w:val="22"/>
          <w:lang w:val="en-GB"/>
        </w:rPr>
        <w:t>DF = the total prefunded default fund contributions provided by the Authorised Person; and</w:t>
      </w:r>
    </w:p>
    <w:p w14:paraId="50B11B2D" w14:textId="77777777" w:rsidR="002303FA" w:rsidRPr="00E4265B" w:rsidRDefault="002303FA" w:rsidP="002303FA">
      <w:pPr>
        <w:pStyle w:val="UK12Block05"/>
        <w:rPr>
          <w:rFonts w:ascii="Arial" w:hAnsi="Arial" w:cs="Arial"/>
          <w:sz w:val="22"/>
          <w:szCs w:val="22"/>
          <w:lang w:val="en-GB"/>
        </w:rPr>
      </w:pPr>
      <w:r w:rsidRPr="00E4265B">
        <w:rPr>
          <w:rFonts w:ascii="Arial" w:hAnsi="Arial" w:cs="Arial"/>
          <w:sz w:val="22"/>
          <w:szCs w:val="22"/>
          <w:lang w:val="en-GB"/>
        </w:rPr>
        <w:t>UC = the total unfunded default fund contributions which the Non-QCCP may require the Authorised Person to provide.</w:t>
      </w:r>
    </w:p>
    <w:p w14:paraId="356C5CEC" w14:textId="77777777" w:rsidR="002303FA" w:rsidRPr="00E4265B" w:rsidRDefault="002303FA" w:rsidP="002303FA">
      <w:pPr>
        <w:pStyle w:val="UK12Block05"/>
        <w:rPr>
          <w:rFonts w:ascii="Arial" w:hAnsi="Arial" w:cs="Arial"/>
          <w:sz w:val="22"/>
          <w:szCs w:val="22"/>
          <w:lang w:val="en-GB"/>
        </w:rPr>
      </w:pPr>
      <w:r w:rsidRPr="00E4265B">
        <w:rPr>
          <w:rFonts w:ascii="Arial" w:hAnsi="Arial" w:cs="Arial"/>
          <w:sz w:val="22"/>
          <w:szCs w:val="22"/>
          <w:lang w:val="en-GB"/>
        </w:rPr>
        <w:t>The Regulator may determine whether an Authorised Person's unfunded contribution to the default fund should be factored into the imposition of an Individual Capital Requirement under Rule 10.6.</w:t>
      </w:r>
    </w:p>
    <w:p w14:paraId="19359FD4" w14:textId="77777777" w:rsidR="002303FA" w:rsidRPr="00E4265B" w:rsidRDefault="002303FA" w:rsidP="002303FA">
      <w:pPr>
        <w:pStyle w:val="TitleL5"/>
        <w:rPr>
          <w:rFonts w:ascii="Arial" w:hAnsi="Arial" w:cs="Arial"/>
          <w:sz w:val="22"/>
          <w:szCs w:val="22"/>
          <w:lang w:val="en-GB"/>
        </w:rPr>
      </w:pPr>
      <w:r w:rsidRPr="00E4265B">
        <w:rPr>
          <w:rFonts w:ascii="Arial" w:hAnsi="Arial" w:cs="Arial"/>
          <w:sz w:val="22"/>
          <w:szCs w:val="22"/>
          <w:lang w:val="en-GB"/>
        </w:rPr>
        <w:t>Cap on total Credit RWA with regard to QCCPs</w:t>
      </w:r>
    </w:p>
    <w:p w14:paraId="3941568B" w14:textId="77777777" w:rsidR="002303FA" w:rsidRPr="00E4265B" w:rsidRDefault="002303FA" w:rsidP="002303FA">
      <w:pPr>
        <w:pStyle w:val="A1List"/>
        <w:rPr>
          <w:rFonts w:ascii="Arial" w:hAnsi="Arial" w:cs="Arial"/>
          <w:b/>
          <w:bCs/>
          <w:sz w:val="22"/>
          <w:szCs w:val="22"/>
          <w:lang w:val="en-GB"/>
        </w:rPr>
      </w:pPr>
      <w:r w:rsidRPr="00E4265B">
        <w:rPr>
          <w:rFonts w:ascii="Arial" w:hAnsi="Arial" w:cs="Arial"/>
          <w:b/>
          <w:bCs/>
          <w:sz w:val="22"/>
          <w:szCs w:val="22"/>
          <w:lang w:val="en-GB"/>
        </w:rPr>
        <w:t>A4.9.19</w:t>
      </w:r>
      <w:r w:rsidRPr="00E4265B">
        <w:rPr>
          <w:rFonts w:ascii="Arial" w:hAnsi="Arial" w:cs="Arial"/>
          <w:b/>
          <w:bCs/>
          <w:sz w:val="22"/>
          <w:szCs w:val="22"/>
          <w:lang w:val="en-GB"/>
        </w:rPr>
        <w:tab/>
      </w:r>
      <w:r w:rsidRPr="00E4265B">
        <w:rPr>
          <w:rFonts w:ascii="Arial" w:hAnsi="Arial" w:cs="Arial"/>
          <w:bCs/>
          <w:sz w:val="22"/>
          <w:szCs w:val="22"/>
          <w:lang w:val="en-GB"/>
        </w:rPr>
        <w:t>An Authorised Person's total Credit RWA for Trade Exposures to a QCCP and default fund exposures to a QCCP must be limited to the total Credit RWA that would apply if the exposures were to a Non-QCCP.</w:t>
      </w:r>
    </w:p>
    <w:p w14:paraId="1AA1D3C3" w14:textId="77777777" w:rsidR="00E22FF2" w:rsidRPr="00E4265B" w:rsidRDefault="00E22FF2" w:rsidP="004F0272">
      <w:pPr>
        <w:pStyle w:val="UK12Title2"/>
        <w:rPr>
          <w:rFonts w:ascii="Arial" w:hAnsi="Arial" w:cs="Arial"/>
          <w:sz w:val="22"/>
          <w:szCs w:val="22"/>
        </w:rPr>
      </w:pPr>
      <w:bookmarkStart w:id="978" w:name="_Toc33622487"/>
      <w:r w:rsidRPr="00E4265B">
        <w:rPr>
          <w:rFonts w:ascii="Arial" w:hAnsi="Arial" w:cs="Arial"/>
          <w:sz w:val="22"/>
          <w:szCs w:val="22"/>
        </w:rPr>
        <w:t>A4.10</w:t>
      </w:r>
      <w:r w:rsidRPr="00E4265B">
        <w:rPr>
          <w:rFonts w:ascii="Arial" w:hAnsi="Arial" w:cs="Arial"/>
          <w:sz w:val="22"/>
          <w:szCs w:val="22"/>
        </w:rPr>
        <w:tab/>
        <w:t>Securitisation</w:t>
      </w:r>
      <w:bookmarkEnd w:id="978"/>
    </w:p>
    <w:p w14:paraId="4D459B55" w14:textId="71D78EE5"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A4.10.1</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is an Originator or a Sponsor of a Traditional Securitisation may exclude securitised Exposures from the calculation of Credit RWA amounts only if all of the following conditions have been complied with:</w:t>
      </w:r>
    </w:p>
    <w:p w14:paraId="0264EE4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except as provided in (g), (i) and (k), significant Credit Risk associated with the securitised Exposures has been transferred from the Originator to third parties;</w:t>
      </w:r>
    </w:p>
    <w:p w14:paraId="751546C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does not maintain effective or indirect control over the underlying Exposures;</w:t>
      </w:r>
    </w:p>
    <w:p w14:paraId="4C48E9E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the assets are legally isolated from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order to ensure the assets are beyond the reach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the event of bankruptcy or receivership;</w:t>
      </w:r>
    </w:p>
    <w:p w14:paraId="24414650"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issued are not the obligations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7733424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are issued pursuant to the securitisation by an SPE and the holders of the beneficial interests in that entity have the right to pledge or exchange them without restriction;</w:t>
      </w:r>
    </w:p>
    <w:p w14:paraId="0482881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where a securitisation includes a Clean</w:t>
      </w:r>
      <w:r w:rsidRPr="00E4265B">
        <w:rPr>
          <w:rFonts w:ascii="Arial" w:hAnsi="Arial" w:cs="Arial"/>
          <w:sz w:val="22"/>
          <w:szCs w:val="22"/>
          <w:lang w:val="en-GB"/>
        </w:rPr>
        <w:noBreakHyphen/>
        <w:t>Up Call, Clean</w:t>
      </w:r>
      <w:r w:rsidRPr="00E4265B">
        <w:rPr>
          <w:rFonts w:ascii="Arial" w:hAnsi="Arial" w:cs="Arial"/>
          <w:sz w:val="22"/>
          <w:szCs w:val="22"/>
          <w:lang w:val="en-GB"/>
        </w:rPr>
        <w:noBreakHyphen/>
        <w:t>Up Calls must satisfy the conditions set out in Rule A4.10.3.</w:t>
      </w:r>
    </w:p>
    <w:p w14:paraId="1EACB726"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the documentation of the securitisation does not contain any clauses that:</w:t>
      </w:r>
    </w:p>
    <w:p w14:paraId="62FAF4E2" w14:textId="77777777" w:rsidR="00E22FF2" w:rsidRPr="00E4265B" w:rsidRDefault="00E22FF2" w:rsidP="00BB37BC">
      <w:pPr>
        <w:pStyle w:val="aList"/>
        <w:rPr>
          <w:rFonts w:ascii="Arial" w:hAnsi="Arial" w:cs="Arial"/>
          <w:sz w:val="22"/>
          <w:szCs w:val="22"/>
          <w:lang w:val="en-GB"/>
        </w:rPr>
      </w:pPr>
      <w:r w:rsidRPr="00E4265B">
        <w:rPr>
          <w:rFonts w:ascii="Arial" w:hAnsi="Arial" w:cs="Arial"/>
          <w:sz w:val="22"/>
          <w:szCs w:val="22"/>
          <w:lang w:val="en-GB"/>
        </w:rPr>
        <w:lastRenderedPageBreak/>
        <w:t>(i)</w:t>
      </w:r>
      <w:r w:rsidRPr="00E4265B">
        <w:rPr>
          <w:rFonts w:ascii="Arial" w:hAnsi="Arial" w:cs="Arial"/>
          <w:sz w:val="22"/>
          <w:szCs w:val="22"/>
          <w:lang w:val="en-GB"/>
        </w:rPr>
        <w:tab/>
        <w:t xml:space="preserve">require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systematically to alter the underlying Exposures such that the pool's weighted average credit quality is improved unless this is achieved by selling Exposures to independent and unaffiliated third parties which are not Connected to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Related Persons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accordance with Rule 4.4.6 at market prices;</w:t>
      </w:r>
    </w:p>
    <w:p w14:paraId="50917843" w14:textId="77777777" w:rsidR="00E22FF2" w:rsidRPr="00E4265B" w:rsidRDefault="00E22FF2" w:rsidP="00BB37BC">
      <w:pPr>
        <w:pStyle w:val="aList"/>
        <w:rPr>
          <w:rFonts w:ascii="Arial" w:hAnsi="Arial" w:cs="Arial"/>
          <w:sz w:val="22"/>
          <w:szCs w:val="22"/>
          <w:lang w:val="en-GB"/>
        </w:rPr>
      </w:pPr>
      <w:r w:rsidRPr="00E4265B">
        <w:rPr>
          <w:rFonts w:ascii="Arial" w:hAnsi="Arial" w:cs="Arial"/>
          <w:sz w:val="22"/>
          <w:szCs w:val="22"/>
          <w:lang w:val="en-GB"/>
        </w:rPr>
        <w:t>(ii) </w:t>
      </w:r>
      <w:r w:rsidRPr="00E4265B">
        <w:rPr>
          <w:rFonts w:ascii="Arial" w:hAnsi="Arial" w:cs="Arial"/>
          <w:sz w:val="22"/>
          <w:szCs w:val="22"/>
          <w:lang w:val="en-GB"/>
        </w:rPr>
        <w:tab/>
        <w:t xml:space="preserve">allow for increases in a retained First Loss Position or Credit Enhancement provided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after the securitisation's inception;</w:t>
      </w:r>
    </w:p>
    <w:p w14:paraId="77BF8D56" w14:textId="77777777" w:rsidR="00E22FF2" w:rsidRPr="00E4265B" w:rsidRDefault="00E22FF2" w:rsidP="00BB37BC">
      <w:pPr>
        <w:pStyle w:val="aList"/>
        <w:rPr>
          <w:rFonts w:ascii="Arial" w:hAnsi="Arial" w:cs="Arial"/>
          <w:sz w:val="22"/>
          <w:szCs w:val="22"/>
          <w:lang w:val="en-GB"/>
        </w:rPr>
      </w:pPr>
      <w:r w:rsidRPr="00E4265B">
        <w:rPr>
          <w:rFonts w:ascii="Arial" w:hAnsi="Arial" w:cs="Arial"/>
          <w:sz w:val="22"/>
          <w:szCs w:val="22"/>
          <w:lang w:val="en-GB"/>
        </w:rPr>
        <w:t>(iii) </w:t>
      </w:r>
      <w:r w:rsidRPr="00E4265B">
        <w:rPr>
          <w:rFonts w:ascii="Arial" w:hAnsi="Arial" w:cs="Arial"/>
          <w:sz w:val="22"/>
          <w:szCs w:val="22"/>
          <w:lang w:val="en-GB"/>
        </w:rPr>
        <w:tab/>
        <w:t>other than step</w:t>
      </w:r>
      <w:r w:rsidRPr="00E4265B">
        <w:rPr>
          <w:rFonts w:ascii="Arial" w:hAnsi="Arial" w:cs="Arial"/>
          <w:sz w:val="22"/>
          <w:szCs w:val="22"/>
          <w:lang w:val="en-GB"/>
        </w:rPr>
        <w:noBreakHyphen/>
        <w:t xml:space="preserve">up features incorporated in relation to the underlying Exposures of the securitisation, increase the yield payable to parties other than the </w:t>
      </w:r>
      <w:r w:rsidR="000D1A90" w:rsidRPr="00E4265B">
        <w:rPr>
          <w:rFonts w:ascii="Arial" w:hAnsi="Arial" w:cs="Arial"/>
          <w:sz w:val="22"/>
          <w:szCs w:val="22"/>
          <w:lang w:val="en-GB"/>
        </w:rPr>
        <w:t>Authorised Person</w:t>
      </w:r>
      <w:r w:rsidRPr="00E4265B">
        <w:rPr>
          <w:rFonts w:ascii="Arial" w:hAnsi="Arial" w:cs="Arial"/>
          <w:sz w:val="22"/>
          <w:szCs w:val="22"/>
          <w:lang w:val="en-GB"/>
        </w:rPr>
        <w:t>, such as investors and third</w:t>
      </w:r>
      <w:r w:rsidRPr="00E4265B">
        <w:rPr>
          <w:rFonts w:ascii="Arial" w:hAnsi="Arial" w:cs="Arial"/>
          <w:sz w:val="22"/>
          <w:szCs w:val="22"/>
          <w:lang w:val="en-GB"/>
        </w:rPr>
        <w:noBreakHyphen/>
        <w:t>party providers of Credit Enhancements, in response to deterioration in the credit quality of the underlying Exposures in the pool; or</w:t>
      </w:r>
    </w:p>
    <w:p w14:paraId="0A9E04C5" w14:textId="77777777" w:rsidR="00E22FF2" w:rsidRPr="00E4265B" w:rsidRDefault="00E22FF2" w:rsidP="00BB37BC">
      <w:pPr>
        <w:pStyle w:val="aList"/>
        <w:rPr>
          <w:rFonts w:ascii="Arial" w:hAnsi="Arial" w:cs="Arial"/>
          <w:sz w:val="22"/>
          <w:szCs w:val="22"/>
          <w:lang w:val="en-GB"/>
        </w:rPr>
      </w:pPr>
      <w:r w:rsidRPr="00E4265B">
        <w:rPr>
          <w:rFonts w:ascii="Arial" w:hAnsi="Arial" w:cs="Arial"/>
          <w:sz w:val="22"/>
          <w:szCs w:val="22"/>
          <w:lang w:val="en-GB"/>
        </w:rPr>
        <w:t>(iv) </w:t>
      </w:r>
      <w:r w:rsidRPr="00E4265B">
        <w:rPr>
          <w:rFonts w:ascii="Arial" w:hAnsi="Arial" w:cs="Arial"/>
          <w:sz w:val="22"/>
          <w:szCs w:val="22"/>
          <w:lang w:val="en-GB"/>
        </w:rPr>
        <w:tab/>
        <w:t>other than Clean</w:t>
      </w:r>
      <w:r w:rsidRPr="00E4265B">
        <w:rPr>
          <w:rFonts w:ascii="Arial" w:hAnsi="Arial" w:cs="Arial"/>
          <w:sz w:val="22"/>
          <w:szCs w:val="22"/>
          <w:lang w:val="en-GB"/>
        </w:rPr>
        <w:noBreakHyphen/>
        <w:t xml:space="preserve">Up Calls, oblige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repurchase any of the underlying Exposures, at any time, except where that obligation arises from the exercise of a representation or warranty given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give a representation or warranty solely in respect of the nature or existing state of facts of any underlying Exposure, that is capable of being verified, at the time of its transfer.</w:t>
      </w:r>
    </w:p>
    <w:p w14:paraId="6B29BC0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(h)</w:t>
      </w:r>
      <w:r w:rsidRPr="00E4265B">
        <w:rPr>
          <w:rFonts w:ascii="Arial" w:hAnsi="Arial" w:cs="Arial"/>
          <w:sz w:val="22"/>
          <w:szCs w:val="22"/>
          <w:lang w:val="en-GB"/>
        </w:rPr>
        <w:tab/>
        <w:t>the transfer of the underlying Exposures or the transfer of risk through sub</w:t>
      </w:r>
      <w:r w:rsidRPr="00E4265B">
        <w:rPr>
          <w:rFonts w:ascii="Arial" w:hAnsi="Arial" w:cs="Arial"/>
          <w:sz w:val="22"/>
          <w:szCs w:val="22"/>
          <w:lang w:val="en-GB"/>
        </w:rPr>
        <w:noBreakHyphen/>
        <w:t>participation does not contravene the terms and conditions of any underlying agreement in respect of the underlying Exposures and where applicable, all the necessary consents for the transfer or sub</w:t>
      </w:r>
      <w:r w:rsidRPr="00E4265B">
        <w:rPr>
          <w:rFonts w:ascii="Arial" w:hAnsi="Arial" w:cs="Arial"/>
          <w:sz w:val="22"/>
          <w:szCs w:val="22"/>
          <w:lang w:val="en-GB"/>
        </w:rPr>
        <w:noBreakHyphen/>
        <w:t>participation have been obtained;</w:t>
      </w:r>
    </w:p>
    <w:p w14:paraId="3B1F36C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documentation of the securitisation specifies that, if cash flows relating to the underlying Exposures are rescheduled or renegotiated, the SPE to which the Exposures have been transferred and not the </w:t>
      </w:r>
      <w:r w:rsidR="000D1A90" w:rsidRPr="00E4265B">
        <w:rPr>
          <w:rFonts w:ascii="Arial" w:hAnsi="Arial" w:cs="Arial"/>
          <w:sz w:val="22"/>
          <w:szCs w:val="22"/>
          <w:lang w:val="en-GB"/>
        </w:rPr>
        <w:t>Authorised Person</w:t>
      </w:r>
      <w:r w:rsidRPr="00E4265B">
        <w:rPr>
          <w:rFonts w:ascii="Arial" w:hAnsi="Arial" w:cs="Arial"/>
          <w:sz w:val="22"/>
          <w:szCs w:val="22"/>
          <w:lang w:val="en-GB"/>
        </w:rPr>
        <w:t>, would be subject to the rescheduled or renegotiated terms;</w:t>
      </w:r>
    </w:p>
    <w:p w14:paraId="378643C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(j)</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receives a fixed amount of consideration for the underlying Exposures;</w:t>
      </w:r>
    </w:p>
    <w:p w14:paraId="34E39D1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(k)</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holds not more than 20% of the aggregate original amount of all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issued by the SPE, except where such holdings comprise entirely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that have a Credit Quality Grade of 1 as set out in Rules in Sections 4.11 and 4.12, and all transactions with the SPE are conducted at arm's length and on market terms and conditions;</w:t>
      </w:r>
    </w:p>
    <w:p w14:paraId="1B0F1743"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(l)</w:t>
      </w:r>
      <w:r w:rsidRPr="00E4265B">
        <w:rPr>
          <w:rFonts w:ascii="Arial" w:hAnsi="Arial" w:cs="Arial"/>
          <w:sz w:val="22"/>
          <w:szCs w:val="22"/>
          <w:lang w:val="en-GB"/>
        </w:rPr>
        <w:tab/>
        <w:t xml:space="preserve">where the assets relate to the Islamic Financial Business of an </w:t>
      </w:r>
      <w:r w:rsidR="000D1A90" w:rsidRPr="00E4265B">
        <w:rPr>
          <w:rFonts w:ascii="Arial" w:hAnsi="Arial" w:cs="Arial"/>
          <w:sz w:val="22"/>
          <w:szCs w:val="22"/>
          <w:lang w:val="en-GB"/>
        </w:rPr>
        <w:t>Authorised Person</w:t>
      </w:r>
      <w:r w:rsidRPr="00E4265B">
        <w:rPr>
          <w:rFonts w:ascii="Arial" w:hAnsi="Arial" w:cs="Arial"/>
          <w:sz w:val="22"/>
          <w:szCs w:val="22"/>
          <w:lang w:val="en-GB"/>
        </w:rPr>
        <w:t>, a written confirmation from the appointed Shari'a Supervisory Board that the securitisation complies with Shari'a; and</w:t>
      </w:r>
    </w:p>
    <w:p w14:paraId="2CFC21E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(m)</w:t>
      </w:r>
      <w:r w:rsidRPr="00E4265B">
        <w:rPr>
          <w:rFonts w:ascii="Arial" w:hAnsi="Arial" w:cs="Arial"/>
          <w:sz w:val="22"/>
          <w:szCs w:val="22"/>
          <w:lang w:val="en-GB"/>
        </w:rPr>
        <w:tab/>
        <w:t>each of the points (a) to (l) must be evidenced and confirmed by a legal opinion from a qualified legal counsel.</w:t>
      </w:r>
    </w:p>
    <w:p w14:paraId="5FACABF3" w14:textId="77777777" w:rsidR="00E22FF2" w:rsidRPr="00E4265B" w:rsidRDefault="00E22FF2" w:rsidP="00BB37BC">
      <w:pPr>
        <w:pStyle w:val="TitleL5"/>
        <w:rPr>
          <w:rFonts w:ascii="Arial" w:hAnsi="Arial" w:cs="Arial"/>
          <w:sz w:val="22"/>
          <w:szCs w:val="22"/>
          <w:lang w:val="en-GB"/>
        </w:rPr>
      </w:pPr>
      <w:r w:rsidRPr="00E4265B">
        <w:rPr>
          <w:rFonts w:ascii="Arial" w:hAnsi="Arial" w:cs="Arial"/>
          <w:sz w:val="22"/>
          <w:szCs w:val="22"/>
          <w:lang w:val="en-GB"/>
        </w:rPr>
        <w:t>Guidance</w:t>
      </w:r>
    </w:p>
    <w:p w14:paraId="7E4D62B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deemed to have effective control over the transferred Exposures if:</w:t>
      </w:r>
    </w:p>
    <w:p w14:paraId="79D1E837" w14:textId="502694E2" w:rsidR="00E22FF2" w:rsidRPr="00E4265B" w:rsidRDefault="00E22FF2" w:rsidP="00D94632">
      <w:pPr>
        <w:pStyle w:val="a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r>
      <w:r w:rsidR="00D94632" w:rsidRPr="00E4265B">
        <w:rPr>
          <w:rFonts w:ascii="Arial" w:hAnsi="Arial" w:cs="Arial"/>
          <w:sz w:val="22"/>
          <w:szCs w:val="22"/>
          <w:lang w:val="en-GB"/>
        </w:rPr>
        <w:t>it</w:t>
      </w:r>
      <w:r w:rsidRPr="00E4265B">
        <w:rPr>
          <w:rFonts w:ascii="Arial" w:hAnsi="Arial" w:cs="Arial"/>
          <w:sz w:val="22"/>
          <w:szCs w:val="22"/>
          <w:lang w:val="en-GB"/>
        </w:rPr>
        <w:t xml:space="preserve"> is able to repurchase from the transferee the previously transferred Exposures in order to realise their benefits; or</w:t>
      </w:r>
    </w:p>
    <w:p w14:paraId="04C6740E" w14:textId="61012750" w:rsidR="00E22FF2" w:rsidRPr="00E4265B" w:rsidRDefault="00E22FF2" w:rsidP="00D94632">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r>
      <w:r w:rsidR="00D94632" w:rsidRPr="00E4265B">
        <w:rPr>
          <w:rFonts w:ascii="Arial" w:hAnsi="Arial" w:cs="Arial"/>
          <w:sz w:val="22"/>
          <w:szCs w:val="22"/>
          <w:lang w:val="en-GB"/>
        </w:rPr>
        <w:t>it</w:t>
      </w:r>
      <w:r w:rsidRPr="00E4265B">
        <w:rPr>
          <w:rFonts w:ascii="Arial" w:hAnsi="Arial" w:cs="Arial"/>
          <w:sz w:val="22"/>
          <w:szCs w:val="22"/>
          <w:lang w:val="en-GB"/>
        </w:rPr>
        <w:t xml:space="preserve"> is obligated to retain the risk of the transferred Exposures.</w:t>
      </w:r>
    </w:p>
    <w:p w14:paraId="4C5EEA1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In this regard,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acting as a Servicer in respect of the transferred Exposures will not necessarily constitute effective control of the Exposures.</w:t>
      </w:r>
    </w:p>
    <w:p w14:paraId="7048611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In respect of Rule A4.10.1(j), the amount of consideration received in the form of a fixed amount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in the SPE would generally be regarded as meeting this requirement if the transaction is conducted at arm's length and on market terms and conditions. Also, this requirement does not preclude excess cash from being channelled to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after all claims connected with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issued by the SPE have been paid out.</w:t>
      </w:r>
    </w:p>
    <w:p w14:paraId="23C22B57" w14:textId="7786D4F5"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A4.10.2</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is an Originator or a Sponsor of a Synthetic Securitisation may recognise the credit protection obtained through the Synthetic Securitisation in its calculation of Credit RWA amounts only if all of the following conditions have been complied with:</w:t>
      </w:r>
    </w:p>
    <w:p w14:paraId="6B057D0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significant Credit Risk associated with the underlying Exposures has been transferred from the Originator to third parties;</w:t>
      </w:r>
    </w:p>
    <w:p w14:paraId="4C9B2A66"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instrument used to transfer the underlying Credit Risks must not contain terms or conditions that limit in any way the amount of Credit Risk transferred, including, but not limited to, clauses that:</w:t>
      </w:r>
    </w:p>
    <w:p w14:paraId="77B65A67" w14:textId="77777777" w:rsidR="00E22FF2" w:rsidRPr="00E4265B" w:rsidRDefault="00E22FF2" w:rsidP="00BB37BC">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materially limit the credit protection or Credit Risk transference (e.g. significant materiality thresholds below which credit protection is deemed not to be triggered even if a credit event occurs or those that allow for the termination of the protection due to deterioration in the credit quality of the underlying Exposures);</w:t>
      </w:r>
    </w:p>
    <w:p w14:paraId="29B708F8" w14:textId="77777777" w:rsidR="00E22FF2" w:rsidRPr="00E4265B" w:rsidRDefault="00E22FF2" w:rsidP="00BB37BC">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require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alter the underlying Exposures to improve the weighted average credit quality of the pool;</w:t>
      </w:r>
    </w:p>
    <w:p w14:paraId="6DDFED21" w14:textId="77777777" w:rsidR="00E22FF2" w:rsidRPr="00E4265B" w:rsidRDefault="00E22FF2" w:rsidP="00BB37BC">
      <w:pPr>
        <w:pStyle w:val="a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increase the cost of credit protection to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response to deterioration in the credit quality of the underlying Exposures;</w:t>
      </w:r>
    </w:p>
    <w:p w14:paraId="4298FF6D" w14:textId="77777777" w:rsidR="00E22FF2" w:rsidRPr="00E4265B" w:rsidRDefault="00E22FF2" w:rsidP="00BB37BC">
      <w:pPr>
        <w:pStyle w:val="aList"/>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 xml:space="preserve">increase the yield payable to parties other than the </w:t>
      </w:r>
      <w:r w:rsidR="000D1A90" w:rsidRPr="00E4265B">
        <w:rPr>
          <w:rFonts w:ascii="Arial" w:hAnsi="Arial" w:cs="Arial"/>
          <w:sz w:val="22"/>
          <w:szCs w:val="22"/>
          <w:lang w:val="en-GB"/>
        </w:rPr>
        <w:t>Authorised Person</w:t>
      </w:r>
      <w:r w:rsidRPr="00E4265B">
        <w:rPr>
          <w:rFonts w:ascii="Arial" w:hAnsi="Arial" w:cs="Arial"/>
          <w:sz w:val="22"/>
          <w:szCs w:val="22"/>
          <w:lang w:val="en-GB"/>
        </w:rPr>
        <w:t>, such as investors and third</w:t>
      </w:r>
      <w:r w:rsidRPr="00E4265B">
        <w:rPr>
          <w:rFonts w:ascii="Arial" w:hAnsi="Arial" w:cs="Arial"/>
          <w:sz w:val="22"/>
          <w:szCs w:val="22"/>
          <w:lang w:val="en-GB"/>
        </w:rPr>
        <w:noBreakHyphen/>
        <w:t>party providers of Credit Enhancements, in response to a deterioration in the credit quality of the underlying Exposures; or</w:t>
      </w:r>
    </w:p>
    <w:p w14:paraId="028BDCEE" w14:textId="77777777" w:rsidR="00E22FF2" w:rsidRPr="00E4265B" w:rsidRDefault="00E22FF2" w:rsidP="00BB37BC">
      <w:pPr>
        <w:pStyle w:val="aList"/>
        <w:rPr>
          <w:rFonts w:ascii="Arial" w:hAnsi="Arial" w:cs="Arial"/>
          <w:sz w:val="22"/>
          <w:szCs w:val="22"/>
          <w:lang w:val="en-GB"/>
        </w:rPr>
      </w:pPr>
      <w:r w:rsidRPr="00E4265B">
        <w:rPr>
          <w:rFonts w:ascii="Arial" w:hAnsi="Arial" w:cs="Arial"/>
          <w:sz w:val="22"/>
          <w:szCs w:val="22"/>
          <w:lang w:val="en-GB"/>
        </w:rPr>
        <w:t>(v)</w:t>
      </w:r>
      <w:r w:rsidRPr="00E4265B">
        <w:rPr>
          <w:rFonts w:ascii="Arial" w:hAnsi="Arial" w:cs="Arial"/>
          <w:sz w:val="22"/>
          <w:szCs w:val="22"/>
          <w:lang w:val="en-GB"/>
        </w:rPr>
        <w:tab/>
        <w:t>provide for increases in a retained First Loss Position or Credit Enhancement provided by the originating bank after the transaction's inception.</w:t>
      </w:r>
    </w:p>
    <w:p w14:paraId="4AA7524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provide an external legal opinion from a qualified legal counsel that confirms each of the points (i</w:t>
      </w:r>
      <w:r w:rsidRPr="00E4265B">
        <w:rPr>
          <w:rFonts w:ascii="Arial" w:hAnsi="Arial" w:cs="Arial"/>
          <w:sz w:val="22"/>
          <w:szCs w:val="22"/>
          <w:lang w:val="en-GB"/>
        </w:rPr>
        <w:noBreakHyphen/>
        <w:t>v) and the enforceability of the contracts in all relevant jurisdictions;</w:t>
      </w:r>
    </w:p>
    <w:p w14:paraId="100B5F8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(d)</w:t>
      </w:r>
      <w:r w:rsidRPr="00E4265B">
        <w:rPr>
          <w:rFonts w:ascii="Arial" w:hAnsi="Arial" w:cs="Arial"/>
          <w:sz w:val="22"/>
          <w:szCs w:val="22"/>
          <w:lang w:val="en-GB"/>
        </w:rPr>
        <w:tab/>
        <w:t xml:space="preserve">where the assets relate to the Islamic Financial Business of an </w:t>
      </w:r>
      <w:r w:rsidR="000D1A90" w:rsidRPr="00E4265B">
        <w:rPr>
          <w:rFonts w:ascii="Arial" w:hAnsi="Arial" w:cs="Arial"/>
          <w:sz w:val="22"/>
          <w:szCs w:val="22"/>
          <w:lang w:val="en-GB"/>
        </w:rPr>
        <w:t>Authorised Person</w:t>
      </w:r>
      <w:r w:rsidRPr="00E4265B">
        <w:rPr>
          <w:rFonts w:ascii="Arial" w:hAnsi="Arial" w:cs="Arial"/>
          <w:sz w:val="22"/>
          <w:szCs w:val="22"/>
          <w:lang w:val="en-GB"/>
        </w:rPr>
        <w:t>, a written confirmation from the appointed Shari'a Supervisory Board that the securitisation complies with Shari'a;</w:t>
      </w:r>
    </w:p>
    <w:p w14:paraId="1F5BCB2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where the securitisation includes a Clean</w:t>
      </w:r>
      <w:r w:rsidRPr="00E4265B">
        <w:rPr>
          <w:rFonts w:ascii="Arial" w:hAnsi="Arial" w:cs="Arial"/>
          <w:sz w:val="22"/>
          <w:szCs w:val="22"/>
          <w:lang w:val="en-GB"/>
        </w:rPr>
        <w:noBreakHyphen/>
        <w:t>Up Call it must meet the requirements of Rule A4.10.3;</w:t>
      </w:r>
    </w:p>
    <w:p w14:paraId="1F8E6C1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in the case where the risks associated with the underlying Exposures are transferred to an SPE:</w:t>
      </w:r>
    </w:p>
    <w:p w14:paraId="35D59A07" w14:textId="77777777" w:rsidR="00E22FF2" w:rsidRPr="00E4265B" w:rsidRDefault="00E22FF2" w:rsidP="00BB37BC">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issued by the SPE are not obligations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5E82D90E" w14:textId="77777777" w:rsidR="00E22FF2" w:rsidRPr="00E4265B" w:rsidRDefault="00E22FF2" w:rsidP="00BB37BC">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the holders of the beneficial interests in that SPE have the right to pledge or exchange their interests without restriction; and</w:t>
      </w:r>
    </w:p>
    <w:p w14:paraId="5CCDD81C" w14:textId="77777777" w:rsidR="00E22FF2" w:rsidRPr="00E4265B" w:rsidRDefault="00E22FF2" w:rsidP="00BB37BC">
      <w:pPr>
        <w:pStyle w:val="a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holds not more than 20% of the aggregate original amount of all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issued by the SPE, except where such holdings consist entirely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that have a Credit Quality Grade of 1 in accordance with Rules in Sections 4.11 and 4.12, and all transactions with the SPE are conducted at arm's length and on market terms and conditions;</w:t>
      </w:r>
    </w:p>
    <w:p w14:paraId="5FE884D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on an on</w:t>
      </w:r>
      <w:r w:rsidRPr="00E4265B">
        <w:rPr>
          <w:rFonts w:ascii="Arial" w:hAnsi="Arial" w:cs="Arial"/>
          <w:sz w:val="22"/>
          <w:szCs w:val="22"/>
          <w:lang w:val="en-GB"/>
        </w:rPr>
        <w:noBreakHyphen/>
        <w:t>going basis, a comprehensive understanding of the risk characteristics of its individual securiti</w:t>
      </w:r>
      <w:r w:rsidR="00260D26" w:rsidRPr="00E4265B">
        <w:rPr>
          <w:rFonts w:ascii="Arial" w:hAnsi="Arial" w:cs="Arial"/>
          <w:sz w:val="22"/>
          <w:szCs w:val="22"/>
          <w:lang w:val="en-GB"/>
        </w:rPr>
        <w:t>s</w:t>
      </w:r>
      <w:r w:rsidRPr="00E4265B">
        <w:rPr>
          <w:rFonts w:ascii="Arial" w:hAnsi="Arial" w:cs="Arial"/>
          <w:sz w:val="22"/>
          <w:szCs w:val="22"/>
          <w:lang w:val="en-GB"/>
        </w:rPr>
        <w:t>ation Exposures, whether on or off</w:t>
      </w:r>
      <w:r w:rsidRPr="00E4265B">
        <w:rPr>
          <w:rFonts w:ascii="Arial" w:hAnsi="Arial" w:cs="Arial"/>
          <w:sz w:val="22"/>
          <w:szCs w:val="22"/>
          <w:lang w:val="en-GB"/>
        </w:rPr>
        <w:noBreakHyphen/>
        <w:t>balance sheet, as well as the risk characteristics of the pools underlying its securitisation Exposures;</w:t>
      </w:r>
    </w:p>
    <w:p w14:paraId="763CD756"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(h)</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able to access performance information on the underlying Exposures on an on</w:t>
      </w:r>
      <w:r w:rsidRPr="00E4265B">
        <w:rPr>
          <w:rFonts w:ascii="Arial" w:hAnsi="Arial" w:cs="Arial"/>
          <w:sz w:val="22"/>
          <w:szCs w:val="22"/>
          <w:lang w:val="en-GB"/>
        </w:rPr>
        <w:noBreakHyphen/>
        <w:t>going basis in a timely manner. Such information may include, as appropriate, Exposure type, percentage of loans 30, 60 and 90 days past due, default rates, prepayment rates, loans in foreclosure, property type, occupancy, average credit score or other measures of creditworthiness, average loan</w:t>
      </w:r>
      <w:r w:rsidRPr="00E4265B">
        <w:rPr>
          <w:rFonts w:ascii="Arial" w:hAnsi="Arial" w:cs="Arial"/>
          <w:sz w:val="22"/>
          <w:szCs w:val="22"/>
          <w:lang w:val="en-GB"/>
        </w:rPr>
        <w:noBreakHyphen/>
        <w:t>to</w:t>
      </w:r>
      <w:r w:rsidRPr="00E4265B">
        <w:rPr>
          <w:rFonts w:ascii="Arial" w:hAnsi="Arial" w:cs="Arial"/>
          <w:sz w:val="22"/>
          <w:szCs w:val="22"/>
          <w:lang w:val="en-GB"/>
        </w:rPr>
        <w:noBreakHyphen/>
        <w:t>value ratio, and industry and geographic diversification. For Re</w:t>
      </w:r>
      <w:r w:rsidRPr="00E4265B">
        <w:rPr>
          <w:rFonts w:ascii="Arial" w:hAnsi="Arial" w:cs="Arial"/>
          <w:sz w:val="22"/>
          <w:szCs w:val="22"/>
          <w:lang w:val="en-GB"/>
        </w:rPr>
        <w:noBreakHyphen/>
        <w:t xml:space="preserve">securitisations,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information not only on the underlying securitisation tranches, such as the Issuers' names and credit quality, but also on the characteristics and performance of the pools underlying the securitisation tranches; and</w:t>
      </w:r>
    </w:p>
    <w:p w14:paraId="171DF70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a thorough understanding of all structural features of a securitisation transaction that would materially impact the performance of the transaction, such as the contractual waterfall and waterfall</w:t>
      </w:r>
      <w:r w:rsidRPr="00E4265B">
        <w:rPr>
          <w:rFonts w:ascii="Arial" w:hAnsi="Arial" w:cs="Arial"/>
          <w:sz w:val="22"/>
          <w:szCs w:val="22"/>
          <w:lang w:val="en-GB"/>
        </w:rPr>
        <w:noBreakHyphen/>
        <w:t>related triggers, Credit Enhancements, liquidity enhancements, market value triggers, and deal</w:t>
      </w:r>
      <w:r w:rsidRPr="00E4265B">
        <w:rPr>
          <w:rFonts w:ascii="Arial" w:hAnsi="Arial" w:cs="Arial"/>
          <w:sz w:val="22"/>
          <w:szCs w:val="22"/>
          <w:lang w:val="en-GB"/>
        </w:rPr>
        <w:noBreakHyphen/>
        <w:t>specific definitions of default.</w:t>
      </w:r>
    </w:p>
    <w:p w14:paraId="739A99E3"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Guidance</w:t>
      </w:r>
    </w:p>
    <w:p w14:paraId="0D0E8B36" w14:textId="77777777" w:rsidR="00E22FF2" w:rsidRPr="00E4265B" w:rsidRDefault="00E22FF2" w:rsidP="00E921AE">
      <w:pPr>
        <w:pStyle w:val="UK12Block05"/>
        <w:rPr>
          <w:rFonts w:ascii="Arial" w:hAnsi="Arial" w:cs="Arial"/>
          <w:sz w:val="22"/>
          <w:szCs w:val="22"/>
          <w:lang w:val="en-GB"/>
        </w:rPr>
      </w:pPr>
      <w:r w:rsidRPr="00E4265B">
        <w:rPr>
          <w:rFonts w:ascii="Arial" w:hAnsi="Arial" w:cs="Arial"/>
          <w:sz w:val="22"/>
          <w:szCs w:val="22"/>
          <w:lang w:val="en-GB"/>
        </w:rPr>
        <w:t>In relation to Rules A4.10.1 and A4.10.2, significant Credit Risk will be considered to have been transferred by the Originator of a securitisation if:</w:t>
      </w:r>
    </w:p>
    <w:p w14:paraId="01FF3FE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RWA amounts of the mezzanine securitisation positions held by the Originator in the securitisation do not exceed 50% of the RWA amounts of all mezzanine securitisation positions existing in this securitisation; and</w:t>
      </w:r>
    </w:p>
    <w:p w14:paraId="38435DF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 xml:space="preserve">b. </w:t>
      </w:r>
      <w:r w:rsidRPr="00E4265B">
        <w:rPr>
          <w:rFonts w:ascii="Arial" w:hAnsi="Arial" w:cs="Arial"/>
          <w:sz w:val="22"/>
          <w:szCs w:val="22"/>
          <w:lang w:val="en-GB"/>
        </w:rPr>
        <w:tab/>
        <w:t>where there are no mezzanine securitisation positions in a given securitisation and the Originator can demonstrate that the Exposure value of the securitisation positions that would be subject to deduction</w:t>
      </w:r>
      <w:r w:rsidR="00EF29A4" w:rsidRPr="00E4265B">
        <w:rPr>
          <w:rFonts w:ascii="Arial" w:hAnsi="Arial" w:cs="Arial"/>
          <w:sz w:val="22"/>
          <w:szCs w:val="22"/>
          <w:lang w:val="en-GB"/>
        </w:rPr>
        <w:t xml:space="preserve"> from Capital Resources or a 100</w:t>
      </w:r>
      <w:r w:rsidRPr="00E4265B">
        <w:rPr>
          <w:rFonts w:ascii="Arial" w:hAnsi="Arial" w:cs="Arial"/>
          <w:sz w:val="22"/>
          <w:szCs w:val="22"/>
          <w:lang w:val="en-GB"/>
        </w:rPr>
        <w:t xml:space="preserve">0% risk weight exceeds a reasonable estimate of the expected loss on the securitised </w:t>
      </w:r>
      <w:r w:rsidR="005F3B3B" w:rsidRPr="00E4265B">
        <w:rPr>
          <w:rFonts w:ascii="Arial" w:hAnsi="Arial" w:cs="Arial"/>
          <w:sz w:val="22"/>
          <w:szCs w:val="22"/>
          <w:lang w:val="en-GB"/>
        </w:rPr>
        <w:t>Exposure</w:t>
      </w:r>
      <w:r w:rsidRPr="00E4265B">
        <w:rPr>
          <w:rFonts w:ascii="Arial" w:hAnsi="Arial" w:cs="Arial"/>
          <w:sz w:val="22"/>
          <w:szCs w:val="22"/>
          <w:lang w:val="en-GB"/>
        </w:rPr>
        <w:t>s by a substantial margin, the Originator does not hold more than 20% of the Exposures values of the securitisation positions that would be subject to deduction</w:t>
      </w:r>
      <w:r w:rsidR="00EF29A4" w:rsidRPr="00E4265B">
        <w:rPr>
          <w:rFonts w:ascii="Arial" w:hAnsi="Arial" w:cs="Arial"/>
          <w:sz w:val="22"/>
          <w:szCs w:val="22"/>
          <w:lang w:val="en-GB"/>
        </w:rPr>
        <w:t xml:space="preserve"> from Capital Resources or a 100</w:t>
      </w:r>
      <w:r w:rsidRPr="00E4265B">
        <w:rPr>
          <w:rFonts w:ascii="Arial" w:hAnsi="Arial" w:cs="Arial"/>
          <w:sz w:val="22"/>
          <w:szCs w:val="22"/>
          <w:lang w:val="en-GB"/>
        </w:rPr>
        <w:t>0% risk weight.</w:t>
      </w:r>
    </w:p>
    <w:p w14:paraId="0B793098"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Operational requirements for the treatment of Clean</w:t>
      </w:r>
      <w:r w:rsidRPr="00E4265B">
        <w:rPr>
          <w:rFonts w:ascii="Arial" w:hAnsi="Arial" w:cs="Arial"/>
          <w:sz w:val="22"/>
          <w:szCs w:val="22"/>
          <w:lang w:val="en-GB"/>
        </w:rPr>
        <w:noBreakHyphen/>
        <w:t>Up Calls</w:t>
      </w:r>
    </w:p>
    <w:p w14:paraId="4349E97F" w14:textId="6C4736A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A4.10.3</w:t>
      </w:r>
      <w:r w:rsidRPr="00E4265B">
        <w:rPr>
          <w:rFonts w:ascii="Arial" w:hAnsi="Arial" w:cs="Arial"/>
          <w:b/>
          <w:bCs/>
          <w:sz w:val="22"/>
          <w:szCs w:val="22"/>
          <w:lang w:val="en-GB"/>
        </w:rPr>
        <w:tab/>
      </w:r>
      <w:r w:rsidRPr="00E4265B">
        <w:rPr>
          <w:rFonts w:ascii="Arial" w:hAnsi="Arial" w:cs="Arial"/>
          <w:sz w:val="22"/>
          <w:szCs w:val="22"/>
          <w:lang w:val="en-GB"/>
        </w:rPr>
        <w:t>Where a Clean</w:t>
      </w:r>
      <w:r w:rsidRPr="00E4265B">
        <w:rPr>
          <w:rFonts w:ascii="Arial" w:hAnsi="Arial" w:cs="Arial"/>
          <w:sz w:val="22"/>
          <w:szCs w:val="22"/>
          <w:lang w:val="en-GB"/>
        </w:rPr>
        <w:noBreakHyphen/>
        <w:t xml:space="preserve">Up Call is included within a securitisation, the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has the ability to exercise the Clean</w:t>
      </w:r>
      <w:r w:rsidRPr="00E4265B">
        <w:rPr>
          <w:rFonts w:ascii="Arial" w:hAnsi="Arial" w:cs="Arial"/>
          <w:sz w:val="22"/>
          <w:szCs w:val="22"/>
          <w:lang w:val="en-GB"/>
        </w:rPr>
        <w:noBreakHyphen/>
        <w:t>Up Call must ensure that:</w:t>
      </w:r>
    </w:p>
    <w:p w14:paraId="058F826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exercise of the Clean</w:t>
      </w:r>
      <w:r w:rsidRPr="00E4265B">
        <w:rPr>
          <w:rFonts w:ascii="Arial" w:hAnsi="Arial" w:cs="Arial"/>
          <w:sz w:val="22"/>
          <w:szCs w:val="22"/>
          <w:lang w:val="en-GB"/>
        </w:rPr>
        <w:noBreakHyphen/>
        <w:t>Up Call must not be mandatory, in form or substance;</w:t>
      </w:r>
    </w:p>
    <w:p w14:paraId="6D8A9E6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Clean</w:t>
      </w:r>
      <w:r w:rsidRPr="00E4265B">
        <w:rPr>
          <w:rFonts w:ascii="Arial" w:hAnsi="Arial" w:cs="Arial"/>
          <w:sz w:val="22"/>
          <w:szCs w:val="22"/>
          <w:lang w:val="en-GB"/>
        </w:rPr>
        <w:noBreakHyphen/>
        <w:t>Up Call must not be structured to avoid allocating losses to Credit Enhancements, or positions held by investors or in any way structured to provide Credit Enhancement; and</w:t>
      </w:r>
    </w:p>
    <w:p w14:paraId="79EADDD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Clean</w:t>
      </w:r>
      <w:r w:rsidRPr="00E4265B">
        <w:rPr>
          <w:rFonts w:ascii="Arial" w:hAnsi="Arial" w:cs="Arial"/>
          <w:sz w:val="22"/>
          <w:szCs w:val="22"/>
          <w:lang w:val="en-GB"/>
        </w:rPr>
        <w:noBreakHyphen/>
        <w:t xml:space="preserve">Up Call must only be exercisable when 10% or less of the original underlying Exposures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issued in that securitisation remains, or in the case of a Synthetic Securitisation, when 10% or less of the original reference portfolio value remains.</w:t>
      </w:r>
    </w:p>
    <w:p w14:paraId="424D121D"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A4.10.4</w:t>
      </w:r>
      <w:r w:rsidRPr="00E4265B">
        <w:rPr>
          <w:rFonts w:ascii="Arial" w:hAnsi="Arial" w:cs="Arial"/>
          <w:b/>
          <w:bCs/>
          <w:sz w:val="22"/>
          <w:szCs w:val="22"/>
          <w:lang w:val="en-GB"/>
        </w:rPr>
        <w:tab/>
      </w:r>
      <w:r w:rsidRPr="00E4265B">
        <w:rPr>
          <w:rFonts w:ascii="Arial" w:hAnsi="Arial" w:cs="Arial"/>
          <w:sz w:val="22"/>
          <w:szCs w:val="22"/>
          <w:lang w:val="en-GB"/>
        </w:rPr>
        <w:t xml:space="preserve">Where the conditions listed in Rule A4.10.3 are not met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hold capital against the Exposures as follows:</w:t>
      </w:r>
    </w:p>
    <w:p w14:paraId="21BCC55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for a Traditional Securitisation the underlying Exposures must be treated as if they had not been securitised;</w:t>
      </w:r>
    </w:p>
    <w:p w14:paraId="61EC710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r>
      <w:r w:rsidR="000D1A90" w:rsidRPr="00E4265B">
        <w:rPr>
          <w:rFonts w:ascii="Arial" w:hAnsi="Arial" w:cs="Arial"/>
          <w:sz w:val="22"/>
          <w:szCs w:val="22"/>
          <w:lang w:val="en-GB"/>
        </w:rPr>
        <w:t>Authorised Person</w:t>
      </w:r>
      <w:r w:rsidRPr="00E4265B">
        <w:rPr>
          <w:rFonts w:ascii="Arial" w:hAnsi="Arial" w:cs="Arial"/>
          <w:sz w:val="22"/>
          <w:szCs w:val="22"/>
          <w:lang w:val="en-GB"/>
        </w:rPr>
        <w:t>s must not include any gain</w:t>
      </w:r>
      <w:r w:rsidRPr="00E4265B">
        <w:rPr>
          <w:rFonts w:ascii="Arial" w:hAnsi="Arial" w:cs="Arial"/>
          <w:sz w:val="22"/>
          <w:szCs w:val="22"/>
          <w:lang w:val="en-GB"/>
        </w:rPr>
        <w:noBreakHyphen/>
        <w:t>on</w:t>
      </w:r>
      <w:r w:rsidRPr="00E4265B">
        <w:rPr>
          <w:rFonts w:ascii="Arial" w:hAnsi="Arial" w:cs="Arial"/>
          <w:sz w:val="22"/>
          <w:szCs w:val="22"/>
          <w:lang w:val="en-GB"/>
        </w:rPr>
        <w:noBreakHyphen/>
        <w:t>sale in any element or component of their Capital Resources;</w:t>
      </w:r>
    </w:p>
    <w:p w14:paraId="46B8F72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for Synthetic Securitisations,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hold capital against the entire amount of securitised Exposures; and</w:t>
      </w:r>
    </w:p>
    <w:p w14:paraId="40ED81C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where a Synthetic Securitisation incorporates a call that is not a Clean</w:t>
      </w:r>
      <w:r w:rsidRPr="00E4265B">
        <w:rPr>
          <w:rFonts w:ascii="Arial" w:hAnsi="Arial" w:cs="Arial"/>
          <w:sz w:val="22"/>
          <w:szCs w:val="22"/>
          <w:lang w:val="en-GB"/>
        </w:rPr>
        <w:noBreakHyphen/>
        <w:t xml:space="preserve">Up Call,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treat the transaction in accordance with the relevant CRM techniques in Section 4.13.</w:t>
      </w:r>
    </w:p>
    <w:p w14:paraId="7299AD59"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A4.10.5</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treat a currency mismatch or a </w:t>
      </w:r>
      <w:r w:rsidR="005D344E" w:rsidRPr="00E4265B">
        <w:rPr>
          <w:rFonts w:ascii="Arial" w:hAnsi="Arial" w:cs="Arial"/>
          <w:sz w:val="22"/>
          <w:szCs w:val="22"/>
          <w:lang w:val="en-GB"/>
        </w:rPr>
        <w:t>Maturity Mismatch</w:t>
      </w:r>
      <w:r w:rsidRPr="00E4265B">
        <w:rPr>
          <w:rFonts w:ascii="Arial" w:hAnsi="Arial" w:cs="Arial"/>
          <w:sz w:val="22"/>
          <w:szCs w:val="22"/>
          <w:lang w:val="en-GB"/>
        </w:rPr>
        <w:t xml:space="preserve"> between the underlying Exposure being hedged and the CRM obtained through the Synthetic Securitisation in accordance with Rules in Sections 4.13 and A4.3.</w:t>
      </w:r>
    </w:p>
    <w:p w14:paraId="0C9C36A8" w14:textId="00AE4698" w:rsidR="00E22FF2" w:rsidRPr="00E4265B" w:rsidRDefault="00E22FF2" w:rsidP="008C2221">
      <w:pPr>
        <w:pStyle w:val="UK12Title2"/>
        <w:rPr>
          <w:rFonts w:ascii="Arial" w:hAnsi="Arial" w:cs="Arial"/>
          <w:sz w:val="22"/>
          <w:szCs w:val="22"/>
        </w:rPr>
      </w:pPr>
      <w:bookmarkStart w:id="979" w:name="_Toc33622488"/>
      <w:r w:rsidRPr="00E4265B">
        <w:rPr>
          <w:rFonts w:ascii="Arial" w:hAnsi="Arial" w:cs="Arial"/>
          <w:sz w:val="22"/>
          <w:szCs w:val="22"/>
        </w:rPr>
        <w:t>A4.11</w:t>
      </w:r>
      <w:r w:rsidRPr="00E4265B">
        <w:rPr>
          <w:rFonts w:ascii="Arial" w:hAnsi="Arial" w:cs="Arial"/>
          <w:sz w:val="22"/>
          <w:szCs w:val="22"/>
        </w:rPr>
        <w:tab/>
      </w:r>
      <w:r w:rsidR="008C2221" w:rsidRPr="00E4265B">
        <w:rPr>
          <w:rFonts w:ascii="Arial" w:hAnsi="Arial" w:cs="Arial"/>
          <w:sz w:val="22"/>
          <w:szCs w:val="22"/>
        </w:rPr>
        <w:t>Large Exposures</w:t>
      </w:r>
      <w:bookmarkEnd w:id="979"/>
    </w:p>
    <w:p w14:paraId="5FE9804E" w14:textId="77777777" w:rsidR="00E22FF2" w:rsidRPr="00E4265B" w:rsidRDefault="00E22FF2" w:rsidP="008C2221">
      <w:pPr>
        <w:pStyle w:val="TitleL5"/>
        <w:ind w:firstLine="57"/>
        <w:rPr>
          <w:rFonts w:ascii="Arial" w:hAnsi="Arial" w:cs="Arial"/>
          <w:sz w:val="22"/>
          <w:szCs w:val="22"/>
          <w:lang w:val="en-GB"/>
        </w:rPr>
      </w:pPr>
      <w:r w:rsidRPr="00E4265B">
        <w:rPr>
          <w:rFonts w:ascii="Arial" w:hAnsi="Arial" w:cs="Arial"/>
          <w:sz w:val="22"/>
          <w:szCs w:val="22"/>
          <w:lang w:val="en-GB"/>
        </w:rPr>
        <w:t>Exempt Exposures</w:t>
      </w:r>
    </w:p>
    <w:p w14:paraId="1BEC0FCC" w14:textId="14C93A21" w:rsidR="00E22FF2" w:rsidRPr="00E4265B" w:rsidRDefault="00E22FF2" w:rsidP="008C2221">
      <w:pPr>
        <w:pStyle w:val="A1List"/>
        <w:rPr>
          <w:rFonts w:ascii="Arial" w:hAnsi="Arial" w:cs="Arial"/>
          <w:sz w:val="22"/>
          <w:szCs w:val="22"/>
          <w:lang w:val="en-GB"/>
        </w:rPr>
      </w:pPr>
      <w:r w:rsidRPr="00E4265B">
        <w:rPr>
          <w:rFonts w:ascii="Arial" w:hAnsi="Arial" w:cs="Arial"/>
          <w:b/>
          <w:bCs/>
          <w:sz w:val="22"/>
          <w:szCs w:val="22"/>
          <w:lang w:val="en-GB"/>
        </w:rPr>
        <w:t>A4.11.1</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treat the following Exposures as exempt from the </w:t>
      </w:r>
      <w:r w:rsidR="008C2221" w:rsidRPr="00E4265B">
        <w:rPr>
          <w:rFonts w:ascii="Arial" w:hAnsi="Arial" w:cs="Arial"/>
          <w:sz w:val="22"/>
          <w:szCs w:val="22"/>
          <w:lang w:val="en-GB"/>
        </w:rPr>
        <w:t>Large Exposures</w:t>
      </w:r>
      <w:r w:rsidRPr="00E4265B">
        <w:rPr>
          <w:rFonts w:ascii="Arial" w:hAnsi="Arial" w:cs="Arial"/>
          <w:sz w:val="22"/>
          <w:szCs w:val="22"/>
          <w:lang w:val="en-GB"/>
        </w:rPr>
        <w:t xml:space="preserve"> limits in Chapter 4 if they are to Counterparties not Connected to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4A26C852" w14:textId="2545BA6E"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asset items or Exposures constituting claims on central governments and </w:t>
      </w:r>
      <w:r w:rsidR="00030214" w:rsidRPr="00E4265B">
        <w:rPr>
          <w:rFonts w:ascii="Arial" w:hAnsi="Arial" w:cs="Arial"/>
          <w:sz w:val="22"/>
          <w:szCs w:val="22"/>
          <w:lang w:val="en-GB"/>
        </w:rPr>
        <w:t>central bank</w:t>
      </w:r>
      <w:r w:rsidRPr="00E4265B">
        <w:rPr>
          <w:rFonts w:ascii="Arial" w:hAnsi="Arial" w:cs="Arial"/>
          <w:sz w:val="22"/>
          <w:szCs w:val="22"/>
          <w:lang w:val="en-GB"/>
        </w:rPr>
        <w:t>s which receive a Credit Quality Grade rating 1 or 2 in accordance with Rule 4.12.4;</w:t>
      </w:r>
    </w:p>
    <w:p w14:paraId="4CDFC90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(b)</w:t>
      </w:r>
      <w:r w:rsidRPr="00E4265B">
        <w:rPr>
          <w:rFonts w:ascii="Arial" w:hAnsi="Arial" w:cs="Arial"/>
          <w:sz w:val="22"/>
          <w:szCs w:val="22"/>
          <w:lang w:val="en-GB"/>
        </w:rPr>
        <w:tab/>
        <w:t>asset items or Exposures constituting claims on international organisations and multi</w:t>
      </w:r>
      <w:r w:rsidRPr="00E4265B">
        <w:rPr>
          <w:rFonts w:ascii="Arial" w:hAnsi="Arial" w:cs="Arial"/>
          <w:sz w:val="22"/>
          <w:szCs w:val="22"/>
          <w:lang w:val="en-GB"/>
        </w:rPr>
        <w:noBreakHyphen/>
        <w:t>lateral development banks (MDBs) which receive a 0% (Credit Quality Grade rating of 1) risk weight as set out at Rule 4.12.7;</w:t>
      </w:r>
    </w:p>
    <w:p w14:paraId="402F15B0"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asset items or Exposures carrying the explicit guarantees of either (a) or (b) where the claims on the entity providing the guarantee would receive a 0% weighting (Credit Quality Grade rating of 1);</w:t>
      </w:r>
    </w:p>
    <w:p w14:paraId="695FD11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Exposures for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Collateral in the form of cash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xml:space="preserve"> or certificates of </w:t>
      </w:r>
      <w:r w:rsidR="006C764B" w:rsidRPr="00E4265B">
        <w:rPr>
          <w:rFonts w:ascii="Arial" w:hAnsi="Arial" w:cs="Arial"/>
          <w:sz w:val="22"/>
          <w:szCs w:val="22"/>
          <w:lang w:val="en-GB"/>
        </w:rPr>
        <w:t>Deposit</w:t>
      </w:r>
      <w:r w:rsidRPr="00E4265B">
        <w:rPr>
          <w:rFonts w:ascii="Arial" w:hAnsi="Arial" w:cs="Arial"/>
          <w:sz w:val="22"/>
          <w:szCs w:val="22"/>
          <w:lang w:val="en-GB"/>
        </w:rPr>
        <w:t xml:space="preserve">, including certificates of </w:t>
      </w:r>
      <w:r w:rsidR="006C764B" w:rsidRPr="00E4265B">
        <w:rPr>
          <w:rFonts w:ascii="Arial" w:hAnsi="Arial" w:cs="Arial"/>
          <w:sz w:val="22"/>
          <w:szCs w:val="22"/>
          <w:lang w:val="en-GB"/>
        </w:rPr>
        <w:t>Deposit</w:t>
      </w:r>
      <w:r w:rsidRPr="00E4265B">
        <w:rPr>
          <w:rFonts w:ascii="Arial" w:hAnsi="Arial" w:cs="Arial"/>
          <w:sz w:val="22"/>
          <w:szCs w:val="22"/>
          <w:lang w:val="en-GB"/>
        </w:rPr>
        <w:t xml:space="preserve"> issued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held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held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Parent Financial Institution or a Subsidiary of the </w:t>
      </w:r>
      <w:r w:rsidR="000D1A90" w:rsidRPr="00E4265B">
        <w:rPr>
          <w:rFonts w:ascii="Arial" w:hAnsi="Arial" w:cs="Arial"/>
          <w:sz w:val="22"/>
          <w:szCs w:val="22"/>
          <w:lang w:val="en-GB"/>
        </w:rPr>
        <w:t>Authorised Person</w:t>
      </w:r>
      <w:r w:rsidRPr="00E4265B">
        <w:rPr>
          <w:rFonts w:ascii="Arial" w:hAnsi="Arial" w:cs="Arial"/>
          <w:sz w:val="22"/>
          <w:szCs w:val="22"/>
          <w:lang w:val="en-GB"/>
        </w:rPr>
        <w:t>, but only if:</w:t>
      </w:r>
    </w:p>
    <w:p w14:paraId="1BE606A6" w14:textId="77777777" w:rsidR="00E22FF2" w:rsidRPr="00E4265B" w:rsidRDefault="00E22FF2" w:rsidP="00E921AE">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its Parent Financial Institution or the Subsidiary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concerned are subject to consolidated supervision; and</w:t>
      </w:r>
    </w:p>
    <w:p w14:paraId="6299E239" w14:textId="77777777" w:rsidR="00E22FF2" w:rsidRPr="00E4265B" w:rsidRDefault="00E22FF2" w:rsidP="00E921AE">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the enforceability requirements in Section 4.13 (CRM) are met;</w:t>
      </w:r>
    </w:p>
    <w:p w14:paraId="44888F5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Exposures arising from undrawn credit facilities that are classified as low risk off balance sheet items and provided that an agreement has been concluded with the </w:t>
      </w:r>
      <w:r w:rsidR="00C47DD1" w:rsidRPr="00E4265B">
        <w:rPr>
          <w:rFonts w:ascii="Arial" w:hAnsi="Arial" w:cs="Arial"/>
          <w:sz w:val="22"/>
          <w:szCs w:val="22"/>
          <w:lang w:val="en-GB"/>
        </w:rPr>
        <w:t>C</w:t>
      </w:r>
      <w:r w:rsidRPr="00E4265B">
        <w:rPr>
          <w:rFonts w:ascii="Arial" w:hAnsi="Arial" w:cs="Arial"/>
          <w:sz w:val="22"/>
          <w:szCs w:val="22"/>
          <w:lang w:val="en-GB"/>
        </w:rPr>
        <w:t>lient or group of Connected clients under which the facility can only be drawn only if it has been ascertained that it will not cause the limit as set out in Rule 4.15.5 to be exceeded;</w:t>
      </w:r>
    </w:p>
    <w:p w14:paraId="45EF7590"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Exposures secured by mortgages on residential property and leasing transactions under which the lessor retains full ownership of the residential property leased for as long as the lessee has not exercised his option to purchase, in all cases up to 50% of the value of the residential property concerned; and</w:t>
      </w:r>
    </w:p>
    <w:p w14:paraId="0E7DEC4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 xml:space="preserve">material holdings in Financial Institutions and other Exposures which have been deducted from an </w:t>
      </w:r>
      <w:r w:rsidR="000D1A90" w:rsidRPr="00E4265B">
        <w:rPr>
          <w:rFonts w:ascii="Arial" w:hAnsi="Arial" w:cs="Arial"/>
          <w:sz w:val="22"/>
          <w:szCs w:val="22"/>
          <w:lang w:val="en-GB"/>
        </w:rPr>
        <w:t>Authorised Person</w:t>
      </w:r>
      <w:r w:rsidRPr="00E4265B">
        <w:rPr>
          <w:rFonts w:ascii="Arial" w:hAnsi="Arial" w:cs="Arial"/>
          <w:sz w:val="22"/>
          <w:szCs w:val="22"/>
          <w:lang w:val="en-GB"/>
        </w:rPr>
        <w:t>'s Capital Resources as required in Chapter 3.</w:t>
      </w:r>
    </w:p>
    <w:p w14:paraId="0FDF41C2"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Guidance</w:t>
      </w:r>
    </w:p>
    <w:p w14:paraId="02EA65A7" w14:textId="6C0E722A" w:rsidR="00E22FF2" w:rsidRPr="00E4265B" w:rsidRDefault="00E22FF2" w:rsidP="00D94632">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In order to be applicable under (c) the guarantees </w:t>
      </w:r>
      <w:r w:rsidR="00D94632" w:rsidRPr="00E4265B">
        <w:rPr>
          <w:rFonts w:ascii="Arial" w:hAnsi="Arial" w:cs="Arial"/>
          <w:sz w:val="22"/>
          <w:szCs w:val="22"/>
          <w:lang w:val="en-GB"/>
        </w:rPr>
        <w:t>must</w:t>
      </w:r>
      <w:r w:rsidRPr="00E4265B">
        <w:rPr>
          <w:rFonts w:ascii="Arial" w:hAnsi="Arial" w:cs="Arial"/>
          <w:sz w:val="22"/>
          <w:szCs w:val="22"/>
          <w:lang w:val="en-GB"/>
        </w:rPr>
        <w:t xml:space="preserve"> meet the requirements of Section 4.13.9 in relation to CRM.</w:t>
      </w:r>
    </w:p>
    <w:p w14:paraId="754A77A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can only treat Exposures as collateralised provided the conditions of Rules 4.13.5 to 4.13.8 (relating to CRM) are met. Item (d) also includes cash received under a CLN issued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loans and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xml:space="preserve"> of a Counterparty to or with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which are subject to an on balance sheet Netting agreement recognised under Section 4.13 (CRM).</w:t>
      </w:r>
    </w:p>
    <w:p w14:paraId="44DD4685"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The Regulator may consider a waiver for other sovereign Exposures where there is a local regulatory requirement to hold assets with a national regulatory authority. </w:t>
      </w:r>
      <w:r w:rsidR="000D1A90" w:rsidRPr="00E4265B">
        <w:rPr>
          <w:rFonts w:ascii="Arial" w:hAnsi="Arial" w:cs="Arial"/>
          <w:sz w:val="22"/>
          <w:szCs w:val="22"/>
          <w:lang w:val="en-GB"/>
        </w:rPr>
        <w:t>Authorised Person</w:t>
      </w:r>
      <w:r w:rsidRPr="00E4265B">
        <w:rPr>
          <w:rFonts w:ascii="Arial" w:hAnsi="Arial" w:cs="Arial"/>
          <w:sz w:val="22"/>
          <w:szCs w:val="22"/>
          <w:lang w:val="en-GB"/>
        </w:rPr>
        <w:t>s will be required to apply for a waiver of the Large Exposure requirements in this regard and will be considered by the Regulator on a case by case basis.</w:t>
      </w:r>
    </w:p>
    <w:p w14:paraId="77E728AA"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A4.11.2</w:t>
      </w:r>
      <w:r w:rsidRPr="00E4265B">
        <w:rPr>
          <w:rFonts w:ascii="Arial" w:hAnsi="Arial" w:cs="Arial"/>
          <w:b/>
          <w:bCs/>
          <w:sz w:val="22"/>
          <w:szCs w:val="22"/>
          <w:lang w:val="en-GB"/>
        </w:rPr>
        <w:tab/>
      </w:r>
      <w:r w:rsidRPr="00E4265B">
        <w:rPr>
          <w:rFonts w:ascii="Arial" w:hAnsi="Arial" w:cs="Arial"/>
          <w:sz w:val="22"/>
          <w:szCs w:val="22"/>
          <w:lang w:val="en-GB"/>
        </w:rPr>
        <w:t xml:space="preserve">Where Exposures to a </w:t>
      </w:r>
      <w:r w:rsidR="00C47DD1" w:rsidRPr="00E4265B">
        <w:rPr>
          <w:rFonts w:ascii="Arial" w:hAnsi="Arial" w:cs="Arial"/>
          <w:sz w:val="22"/>
          <w:szCs w:val="22"/>
          <w:lang w:val="en-GB"/>
        </w:rPr>
        <w:t>C</w:t>
      </w:r>
      <w:r w:rsidRPr="00E4265B">
        <w:rPr>
          <w:rFonts w:ascii="Arial" w:hAnsi="Arial" w:cs="Arial"/>
          <w:sz w:val="22"/>
          <w:szCs w:val="22"/>
          <w:lang w:val="en-GB"/>
        </w:rPr>
        <w:t xml:space="preserve">lient are guaranteed by a third party, or secured by Collateral issued by a third party,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w:t>
      </w:r>
    </w:p>
    <w:p w14:paraId="7A10057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t xml:space="preserve">provided the Collateral meets the requirements of Section 4.13 (CRM), and would be assigned a lower risk weight under Section 4.12, treat that portion of the Exposure which is secured by Collateral as an Exposure to the third party.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treat the portion secured by Collateral as having being incurred to the third party providing the Collateral rather than to the Client for the purposes of considering the limits as set out at Rule 4.15.5; or</w:t>
      </w:r>
    </w:p>
    <w:p w14:paraId="53AF261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provided the guarantee meets the requirements of Section 4.13 (CRM), and would be assigned a lower risk weight under Section 4.12, treat that portion of the Exposure which is guaranteed as an Exposure to the third party.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treat the portion guaranteed as having being incurred to the third party rather than to the Client for the purposes of considering the limits as set out at Rule 4.15.5. When considering the guarantee there must not be any </w:t>
      </w:r>
      <w:r w:rsidR="005D344E" w:rsidRPr="00E4265B">
        <w:rPr>
          <w:rFonts w:ascii="Arial" w:hAnsi="Arial" w:cs="Arial"/>
          <w:sz w:val="22"/>
          <w:szCs w:val="22"/>
          <w:lang w:val="en-GB"/>
        </w:rPr>
        <w:t>Maturity Mismatch</w:t>
      </w:r>
      <w:r w:rsidRPr="00E4265B">
        <w:rPr>
          <w:rFonts w:ascii="Arial" w:hAnsi="Arial" w:cs="Arial"/>
          <w:sz w:val="22"/>
          <w:szCs w:val="22"/>
          <w:lang w:val="en-GB"/>
        </w:rPr>
        <w:t xml:space="preserve"> between the guarantee and the underlying Exposure.</w:t>
      </w:r>
    </w:p>
    <w:p w14:paraId="0155E5B4" w14:textId="60E9F814" w:rsidR="00E22FF2" w:rsidRPr="00E4265B" w:rsidRDefault="00E22FF2" w:rsidP="00E23AA7">
      <w:pPr>
        <w:pStyle w:val="A1List"/>
        <w:rPr>
          <w:rFonts w:ascii="Arial" w:hAnsi="Arial" w:cs="Arial"/>
          <w:sz w:val="22"/>
          <w:szCs w:val="22"/>
          <w:lang w:val="en-GB"/>
        </w:rPr>
      </w:pPr>
      <w:r w:rsidRPr="00E4265B">
        <w:rPr>
          <w:rFonts w:ascii="Arial" w:hAnsi="Arial" w:cs="Arial"/>
          <w:b/>
          <w:bCs/>
          <w:sz w:val="22"/>
          <w:szCs w:val="22"/>
          <w:lang w:val="en-GB"/>
        </w:rPr>
        <w:t>A4.11.3</w:t>
      </w:r>
      <w:r w:rsidRPr="00E4265B">
        <w:rPr>
          <w:rFonts w:ascii="Arial" w:hAnsi="Arial" w:cs="Arial"/>
          <w:b/>
          <w:bCs/>
          <w:sz w:val="22"/>
          <w:szCs w:val="22"/>
          <w:lang w:val="en-GB"/>
        </w:rPr>
        <w:tab/>
      </w:r>
      <w:r w:rsidRPr="00E4265B">
        <w:rPr>
          <w:rFonts w:ascii="Arial" w:hAnsi="Arial" w:cs="Arial"/>
          <w:sz w:val="22"/>
          <w:szCs w:val="22"/>
          <w:lang w:val="en-GB"/>
        </w:rPr>
        <w:t xml:space="preserve">If an Exposure is partially guaranteed by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Parent Financial Institution, and would be assigned a lower risk weight under Section 4.12, only that part of the Exposure subject to the guarantee is exempt from the </w:t>
      </w:r>
      <w:r w:rsidR="00E23AA7" w:rsidRPr="00E4265B">
        <w:rPr>
          <w:rFonts w:ascii="Arial" w:hAnsi="Arial" w:cs="Arial"/>
          <w:sz w:val="22"/>
          <w:szCs w:val="22"/>
          <w:lang w:val="en-GB"/>
        </w:rPr>
        <w:t>Large Exposure limit</w:t>
      </w:r>
      <w:r w:rsidRPr="00E4265B">
        <w:rPr>
          <w:rFonts w:ascii="Arial" w:hAnsi="Arial" w:cs="Arial"/>
          <w:sz w:val="22"/>
          <w:szCs w:val="22"/>
          <w:lang w:val="en-GB"/>
        </w:rPr>
        <w:t xml:space="preserve"> in Rule 4.15.5. When considering the treatment of this Rule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also consider the exemptions permitted under Rule 4.15.18 relating to parental guarantees.</w:t>
      </w:r>
    </w:p>
    <w:p w14:paraId="5759E296"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Identification of Counterparties</w:t>
      </w:r>
    </w:p>
    <w:p w14:paraId="2E56772D" w14:textId="77777777" w:rsidR="00E22FF2" w:rsidRPr="00E4265B" w:rsidRDefault="00E22FF2" w:rsidP="00E921AE">
      <w:pPr>
        <w:pStyle w:val="A1List"/>
        <w:rPr>
          <w:rFonts w:ascii="Arial" w:hAnsi="Arial" w:cs="Arial"/>
          <w:sz w:val="22"/>
          <w:szCs w:val="22"/>
          <w:lang w:val="en-GB"/>
        </w:rPr>
      </w:pPr>
      <w:r w:rsidRPr="00E4265B">
        <w:rPr>
          <w:rFonts w:ascii="Arial" w:hAnsi="Arial" w:cs="Arial"/>
          <w:b/>
          <w:bCs/>
          <w:sz w:val="22"/>
          <w:szCs w:val="22"/>
          <w:lang w:val="en-GB"/>
        </w:rPr>
        <w:t>A4.11.4</w:t>
      </w:r>
      <w:r w:rsidRPr="00E4265B">
        <w:rPr>
          <w:rFonts w:ascii="Arial" w:hAnsi="Arial" w:cs="Arial"/>
          <w:b/>
          <w:bCs/>
          <w:sz w:val="22"/>
          <w:szCs w:val="22"/>
          <w:lang w:val="en-GB"/>
        </w:rPr>
        <w:tab/>
      </w:r>
      <w:r w:rsidRPr="00E4265B">
        <w:rPr>
          <w:rFonts w:ascii="Arial" w:hAnsi="Arial" w:cs="Arial"/>
          <w:sz w:val="22"/>
          <w:szCs w:val="22"/>
          <w:lang w:val="en-GB"/>
        </w:rPr>
        <w:t xml:space="preserve">When calculating the Exposures of an </w:t>
      </w:r>
      <w:r w:rsidR="000D1A90" w:rsidRPr="00E4265B">
        <w:rPr>
          <w:rFonts w:ascii="Arial" w:hAnsi="Arial" w:cs="Arial"/>
          <w:sz w:val="22"/>
          <w:szCs w:val="22"/>
          <w:lang w:val="en-GB"/>
        </w:rPr>
        <w:t>Authorised Person</w:t>
      </w:r>
      <w:r w:rsidRPr="00E4265B">
        <w:rPr>
          <w:rFonts w:ascii="Arial" w:hAnsi="Arial" w:cs="Arial"/>
          <w:sz w:val="22"/>
          <w:szCs w:val="22"/>
          <w:lang w:val="en-GB"/>
        </w:rPr>
        <w:t>, the firm must include Trading Book Exposures and Non</w:t>
      </w:r>
      <w:r w:rsidRPr="00E4265B">
        <w:rPr>
          <w:rFonts w:ascii="Arial" w:hAnsi="Arial" w:cs="Arial"/>
          <w:sz w:val="22"/>
          <w:szCs w:val="22"/>
          <w:lang w:val="en-GB"/>
        </w:rPr>
        <w:noBreakHyphen/>
        <w:t>Trading Book Exposures to:</w:t>
      </w:r>
    </w:p>
    <w:p w14:paraId="4626C0C1" w14:textId="77777777" w:rsidR="00E22FF2" w:rsidRPr="00E4265B" w:rsidRDefault="00E22FF2" w:rsidP="00E921AE">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 single Counterparty;</w:t>
      </w:r>
    </w:p>
    <w:p w14:paraId="57BD89E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group of Closely Related Counterparties;</w:t>
      </w:r>
    </w:p>
    <w:p w14:paraId="1D610C76" w14:textId="013EB0F8"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Connected Counterparties; and</w:t>
      </w:r>
      <w:r w:rsidR="00D94632" w:rsidRPr="00E4265B">
        <w:rPr>
          <w:rFonts w:ascii="Arial" w:hAnsi="Arial" w:cs="Arial"/>
          <w:sz w:val="22"/>
          <w:szCs w:val="22"/>
          <w:lang w:val="en-GB"/>
        </w:rPr>
        <w:t xml:space="preserve"> </w:t>
      </w:r>
    </w:p>
    <w:p w14:paraId="2F27C9A9" w14:textId="7A1744D4" w:rsidR="00E22FF2" w:rsidRPr="00E4265B" w:rsidRDefault="00E23AA7"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t</w:t>
      </w:r>
      <w:r w:rsidR="00E22FF2" w:rsidRPr="00E4265B">
        <w:rPr>
          <w:rFonts w:ascii="Arial" w:hAnsi="Arial" w:cs="Arial"/>
          <w:sz w:val="22"/>
          <w:szCs w:val="22"/>
          <w:lang w:val="en-GB"/>
        </w:rPr>
        <w:t>ransactions, schemes or Funds.</w:t>
      </w:r>
    </w:p>
    <w:p w14:paraId="2470141D" w14:textId="77777777" w:rsidR="00E22FF2" w:rsidRPr="00E4265B" w:rsidRDefault="00E22FF2" w:rsidP="00E921AE">
      <w:pPr>
        <w:pStyle w:val="TitleL5"/>
        <w:rPr>
          <w:rFonts w:ascii="Arial" w:hAnsi="Arial" w:cs="Arial"/>
          <w:sz w:val="22"/>
          <w:szCs w:val="22"/>
          <w:lang w:val="en-GB"/>
        </w:rPr>
      </w:pPr>
      <w:r w:rsidRPr="00E4265B">
        <w:rPr>
          <w:rFonts w:ascii="Arial" w:hAnsi="Arial" w:cs="Arial"/>
          <w:sz w:val="22"/>
          <w:szCs w:val="22"/>
          <w:lang w:val="en-GB"/>
        </w:rPr>
        <w:t>Guidance</w:t>
      </w:r>
    </w:p>
    <w:p w14:paraId="7AC06D7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An individual Counterparty is a natural or legal </w:t>
      </w:r>
      <w:r w:rsidR="00FB0EF8" w:rsidRPr="00E4265B">
        <w:rPr>
          <w:rFonts w:ascii="Arial" w:hAnsi="Arial" w:cs="Arial"/>
          <w:sz w:val="22"/>
          <w:szCs w:val="22"/>
          <w:lang w:val="en-GB"/>
        </w:rPr>
        <w:t>Person</w:t>
      </w:r>
      <w:r w:rsidRPr="00E4265B">
        <w:rPr>
          <w:rFonts w:ascii="Arial" w:hAnsi="Arial" w:cs="Arial"/>
          <w:sz w:val="22"/>
          <w:szCs w:val="22"/>
          <w:lang w:val="en-GB"/>
        </w:rPr>
        <w:t>, which include governments, local authorities, public sector enterprises (PSEs), trusts, corporations, unincorporated businesses and non</w:t>
      </w:r>
      <w:r w:rsidRPr="00E4265B">
        <w:rPr>
          <w:rFonts w:ascii="Arial" w:hAnsi="Arial" w:cs="Arial"/>
          <w:sz w:val="22"/>
          <w:szCs w:val="22"/>
          <w:lang w:val="en-GB"/>
        </w:rPr>
        <w:noBreakHyphen/>
        <w:t>profit</w:t>
      </w:r>
      <w:r w:rsidRPr="00E4265B">
        <w:rPr>
          <w:rFonts w:ascii="Arial" w:hAnsi="Arial" w:cs="Arial"/>
          <w:sz w:val="22"/>
          <w:szCs w:val="22"/>
          <w:lang w:val="en-GB"/>
        </w:rPr>
        <w:noBreakHyphen/>
        <w:t>making bodies.</w:t>
      </w:r>
    </w:p>
    <w:p w14:paraId="433401F0"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Examples of a Counterparty include:</w:t>
      </w:r>
    </w:p>
    <w:p w14:paraId="3D3B2556" w14:textId="77777777" w:rsidR="00E22FF2" w:rsidRPr="00E4265B" w:rsidRDefault="00E22FF2" w:rsidP="00E921AE">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customer or borrower;</w:t>
      </w:r>
    </w:p>
    <w:p w14:paraId="21142338" w14:textId="77777777" w:rsidR="00E22FF2" w:rsidRPr="00E4265B" w:rsidRDefault="00E22FF2" w:rsidP="00E921AE">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where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providing a guarantee, the </w:t>
      </w:r>
      <w:r w:rsidR="00FB0EF8" w:rsidRPr="00E4265B">
        <w:rPr>
          <w:rFonts w:ascii="Arial" w:hAnsi="Arial" w:cs="Arial"/>
          <w:sz w:val="22"/>
          <w:szCs w:val="22"/>
          <w:lang w:val="en-GB"/>
        </w:rPr>
        <w:t>Person</w:t>
      </w:r>
      <w:r w:rsidRPr="00E4265B">
        <w:rPr>
          <w:rFonts w:ascii="Arial" w:hAnsi="Arial" w:cs="Arial"/>
          <w:sz w:val="22"/>
          <w:szCs w:val="22"/>
          <w:lang w:val="en-GB"/>
        </w:rPr>
        <w:t xml:space="preserve"> guaranteed;</w:t>
      </w:r>
    </w:p>
    <w:p w14:paraId="1C97E00E" w14:textId="77777777" w:rsidR="00E22FF2" w:rsidRPr="00E4265B" w:rsidRDefault="00E22FF2" w:rsidP="00E921AE">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for a Derivatives contract, the </w:t>
      </w:r>
      <w:r w:rsidR="00FB0EF8" w:rsidRPr="00E4265B">
        <w:rPr>
          <w:rFonts w:ascii="Arial" w:hAnsi="Arial" w:cs="Arial"/>
          <w:sz w:val="22"/>
          <w:szCs w:val="22"/>
          <w:lang w:val="en-GB"/>
        </w:rPr>
        <w:t>Person</w:t>
      </w:r>
      <w:r w:rsidRPr="00E4265B">
        <w:rPr>
          <w:rFonts w:ascii="Arial" w:hAnsi="Arial" w:cs="Arial"/>
          <w:sz w:val="22"/>
          <w:szCs w:val="22"/>
          <w:lang w:val="en-GB"/>
        </w:rPr>
        <w:t xml:space="preserve"> with whom the contract was made;</w:t>
      </w:r>
    </w:p>
    <w:p w14:paraId="097B4238" w14:textId="77777777" w:rsidR="00E22FF2" w:rsidRPr="00E4265B" w:rsidRDefault="00E22FF2" w:rsidP="00E921AE">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for most exchange</w:t>
      </w:r>
      <w:r w:rsidRPr="00E4265B">
        <w:rPr>
          <w:rFonts w:ascii="Arial" w:hAnsi="Arial" w:cs="Arial"/>
          <w:sz w:val="22"/>
          <w:szCs w:val="22"/>
          <w:lang w:val="en-GB"/>
        </w:rPr>
        <w:noBreakHyphen/>
        <w:t>traded contracts involving a central clearing mechanism, that central clearing mechanism; and</w:t>
      </w:r>
    </w:p>
    <w:p w14:paraId="58A81C9C" w14:textId="77777777" w:rsidR="00E22FF2" w:rsidRPr="00E4265B" w:rsidRDefault="00E22FF2" w:rsidP="00E921AE">
      <w:pPr>
        <w:pStyle w:val="aList"/>
        <w:rPr>
          <w:rFonts w:ascii="Arial" w:hAnsi="Arial" w:cs="Arial"/>
          <w:sz w:val="22"/>
          <w:szCs w:val="22"/>
          <w:lang w:val="en-GB"/>
        </w:rPr>
      </w:pPr>
      <w:r w:rsidRPr="00E4265B">
        <w:rPr>
          <w:rFonts w:ascii="Arial" w:hAnsi="Arial" w:cs="Arial"/>
          <w:sz w:val="22"/>
          <w:szCs w:val="22"/>
          <w:lang w:val="en-GB"/>
        </w:rPr>
        <w:lastRenderedPageBreak/>
        <w:t>e.</w:t>
      </w:r>
      <w:r w:rsidRPr="00E4265B">
        <w:rPr>
          <w:rFonts w:ascii="Arial" w:hAnsi="Arial" w:cs="Arial"/>
          <w:sz w:val="22"/>
          <w:szCs w:val="22"/>
          <w:lang w:val="en-GB"/>
        </w:rPr>
        <w:tab/>
        <w:t xml:space="preserve">where a bill held by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been accepted by another Financial Institution, the acceptor.</w:t>
      </w:r>
    </w:p>
    <w:p w14:paraId="445E6457"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Group of Closely Related Counterparties</w:t>
      </w:r>
    </w:p>
    <w:p w14:paraId="743C2502" w14:textId="6967B968" w:rsidR="00E22FF2" w:rsidRPr="00E4265B" w:rsidRDefault="00E22FF2" w:rsidP="00E23AA7">
      <w:pPr>
        <w:pStyle w:val="List2TabStops"/>
        <w:rPr>
          <w:rFonts w:ascii="Arial" w:hAnsi="Arial" w:cs="Arial"/>
          <w:sz w:val="22"/>
          <w:szCs w:val="22"/>
          <w:lang w:val="en-GB"/>
        </w:rPr>
      </w:pPr>
      <w:r w:rsidRPr="00E4265B">
        <w:rPr>
          <w:rFonts w:ascii="Arial" w:hAnsi="Arial" w:cs="Arial"/>
          <w:b/>
          <w:bCs/>
          <w:sz w:val="22"/>
          <w:szCs w:val="22"/>
          <w:lang w:val="en-GB"/>
        </w:rPr>
        <w:t>A4.11.5</w:t>
      </w:r>
      <w:r w:rsidRPr="00E4265B">
        <w:rPr>
          <w:rFonts w:ascii="Arial" w:hAnsi="Arial" w:cs="Arial"/>
          <w:b/>
          <w:bCs/>
          <w:sz w:val="22"/>
          <w:szCs w:val="22"/>
          <w:lang w:val="en-GB"/>
        </w:rPr>
        <w:tab/>
      </w:r>
      <w:r w:rsidRPr="00E4265B">
        <w:rPr>
          <w:rFonts w:ascii="Arial" w:hAnsi="Arial" w:cs="Arial"/>
          <w:sz w:val="22"/>
          <w:szCs w:val="22"/>
          <w:lang w:val="en-GB"/>
        </w:rPr>
        <w:t>(1)</w:t>
      </w:r>
      <w:r w:rsidRPr="00E4265B">
        <w:rPr>
          <w:rFonts w:ascii="Arial" w:hAnsi="Arial" w:cs="Arial"/>
          <w:sz w:val="22"/>
          <w:szCs w:val="22"/>
          <w:lang w:val="en-GB"/>
        </w:rPr>
        <w:tab/>
        <w:t xml:space="preserve">For </w:t>
      </w:r>
      <w:r w:rsidR="00E23AA7" w:rsidRPr="00E4265B">
        <w:rPr>
          <w:rFonts w:ascii="Arial" w:hAnsi="Arial" w:cs="Arial"/>
          <w:sz w:val="22"/>
          <w:szCs w:val="22"/>
          <w:lang w:val="en-GB"/>
        </w:rPr>
        <w:t>Large Exposures</w:t>
      </w:r>
      <w:r w:rsidRPr="00E4265B">
        <w:rPr>
          <w:rFonts w:ascii="Arial" w:hAnsi="Arial" w:cs="Arial"/>
          <w:sz w:val="22"/>
          <w:szCs w:val="22"/>
          <w:lang w:val="en-GB"/>
        </w:rPr>
        <w:t xml:space="preserve"> purposes, Persons are Closely Related if:</w:t>
      </w:r>
    </w:p>
    <w:p w14:paraId="4264C1E6" w14:textId="77777777" w:rsidR="00E22FF2" w:rsidRPr="00E4265B" w:rsidRDefault="00E22FF2" w:rsidP="00035ECA">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insolvency or default of one of them is likely to be associated with the insolvency or default of the others;</w:t>
      </w:r>
    </w:p>
    <w:p w14:paraId="2E6F7E48" w14:textId="77777777" w:rsidR="00E22FF2" w:rsidRPr="00E4265B" w:rsidRDefault="00E22FF2" w:rsidP="00035ECA">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it would be prudent when assessing the financial condition or creditworthiness of one to consider that of the others; or</w:t>
      </w:r>
    </w:p>
    <w:p w14:paraId="064C4EF3" w14:textId="77777777" w:rsidR="00E22FF2" w:rsidRPr="00E4265B" w:rsidRDefault="00E22FF2" w:rsidP="00035ECA">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there is, or is likely to be, a close relationship between the financial performance of those Persons.</w:t>
      </w:r>
    </w:p>
    <w:p w14:paraId="387D7BF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Persons who are Closely Related to each other are also Connected with each other.</w:t>
      </w:r>
    </w:p>
    <w:p w14:paraId="410AB68F" w14:textId="77777777" w:rsidR="00E22FF2" w:rsidRPr="00E4265B" w:rsidRDefault="00E22FF2" w:rsidP="00035ECA">
      <w:pPr>
        <w:pStyle w:val="List2TabStops"/>
        <w:rPr>
          <w:rFonts w:ascii="Arial" w:hAnsi="Arial" w:cs="Arial"/>
          <w:sz w:val="22"/>
          <w:szCs w:val="22"/>
          <w:lang w:val="en-GB"/>
        </w:rPr>
      </w:pPr>
      <w:r w:rsidRPr="00E4265B">
        <w:rPr>
          <w:rFonts w:ascii="Arial" w:hAnsi="Arial" w:cs="Arial"/>
          <w:b/>
          <w:bCs/>
          <w:sz w:val="22"/>
          <w:szCs w:val="22"/>
          <w:lang w:val="en-GB"/>
        </w:rPr>
        <w:t>A4.11.6</w:t>
      </w:r>
      <w:r w:rsidRPr="00E4265B">
        <w:rPr>
          <w:rFonts w:ascii="Arial" w:hAnsi="Arial" w:cs="Arial"/>
          <w:b/>
          <w:bCs/>
          <w:sz w:val="22"/>
          <w:szCs w:val="22"/>
          <w:lang w:val="en-GB"/>
        </w:rPr>
        <w:tab/>
      </w:r>
      <w:r w:rsidRPr="00E4265B">
        <w:rPr>
          <w:rFonts w:ascii="Arial" w:hAnsi="Arial" w:cs="Arial"/>
          <w:sz w:val="22"/>
          <w:szCs w:val="22"/>
          <w:lang w:val="en-GB"/>
        </w:rPr>
        <w:t>(1)</w:t>
      </w:r>
      <w:r w:rsidRPr="00E4265B">
        <w:rPr>
          <w:rFonts w:ascii="Arial" w:hAnsi="Arial" w:cs="Arial"/>
          <w:sz w:val="22"/>
          <w:szCs w:val="22"/>
          <w:lang w:val="en-GB"/>
        </w:rPr>
        <w:tab/>
        <w:t xml:space="preserve">A single group of Closely Related Counterparties means, in relation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all the Persons to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an Exposure and which are Closely Related to each other.</w:t>
      </w:r>
    </w:p>
    <w:p w14:paraId="530A6C6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treat two or more Persons as falling within a group of Closely Related Counterparties if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Exposures to them all and any loss to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on any of the Exposures to one is likely to be associated with a loss to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with respect to at least one Exposure to each of the others.</w:t>
      </w:r>
    </w:p>
    <w:p w14:paraId="51ECBCAC"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Guidance</w:t>
      </w:r>
    </w:p>
    <w:p w14:paraId="020F00DC" w14:textId="77777777" w:rsidR="00E22FF2" w:rsidRPr="00E4265B" w:rsidRDefault="00E22FF2" w:rsidP="00035ECA">
      <w:pPr>
        <w:pStyle w:val="UK12Block05"/>
        <w:rPr>
          <w:rFonts w:ascii="Arial" w:hAnsi="Arial" w:cs="Arial"/>
          <w:sz w:val="22"/>
          <w:szCs w:val="22"/>
          <w:lang w:val="en-GB"/>
        </w:rPr>
      </w:pPr>
      <w:r w:rsidRPr="00E4265B">
        <w:rPr>
          <w:rFonts w:ascii="Arial" w:hAnsi="Arial" w:cs="Arial"/>
          <w:sz w:val="22"/>
          <w:szCs w:val="22"/>
          <w:lang w:val="en-GB"/>
        </w:rPr>
        <w:t>Two or more Counterparties between whom there is no relationship of control as described in Rules A4.11.5 and A4.11.6 will be regarded as constituting a single risk if they are so interconnected that, if one of them were to experience financial problems, in particular funding or repayment difficulties, the other or all of the others would also be likely to encounter funding or repayment difficulties.</w:t>
      </w:r>
    </w:p>
    <w:p w14:paraId="14A09A64"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Connected Counterparties</w:t>
      </w:r>
    </w:p>
    <w:p w14:paraId="704FB715" w14:textId="0B7C875D" w:rsidR="00E22FF2" w:rsidRPr="00E4265B" w:rsidRDefault="00E22FF2" w:rsidP="00E23AA7">
      <w:pPr>
        <w:pStyle w:val="A1List"/>
        <w:rPr>
          <w:rFonts w:ascii="Arial" w:hAnsi="Arial" w:cs="Arial"/>
          <w:sz w:val="22"/>
          <w:szCs w:val="22"/>
          <w:lang w:val="en-GB"/>
        </w:rPr>
      </w:pPr>
      <w:r w:rsidRPr="00E4265B">
        <w:rPr>
          <w:rFonts w:ascii="Arial" w:hAnsi="Arial" w:cs="Arial"/>
          <w:b/>
          <w:bCs/>
          <w:sz w:val="22"/>
          <w:szCs w:val="22"/>
          <w:lang w:val="en-GB"/>
        </w:rPr>
        <w:t>A4.11.7</w:t>
      </w:r>
      <w:r w:rsidRPr="00E4265B">
        <w:rPr>
          <w:rFonts w:ascii="Arial" w:hAnsi="Arial" w:cs="Arial"/>
          <w:b/>
          <w:bCs/>
          <w:sz w:val="22"/>
          <w:szCs w:val="22"/>
          <w:lang w:val="en-GB"/>
        </w:rPr>
        <w:tab/>
      </w:r>
      <w:r w:rsidRPr="00E4265B">
        <w:rPr>
          <w:rFonts w:ascii="Arial" w:hAnsi="Arial" w:cs="Arial"/>
          <w:sz w:val="22"/>
          <w:szCs w:val="22"/>
          <w:lang w:val="en-GB"/>
        </w:rPr>
        <w:t xml:space="preserve">For </w:t>
      </w:r>
      <w:r w:rsidR="00E23AA7" w:rsidRPr="00E4265B">
        <w:rPr>
          <w:rFonts w:ascii="Arial" w:hAnsi="Arial" w:cs="Arial"/>
          <w:sz w:val="22"/>
          <w:szCs w:val="22"/>
          <w:lang w:val="en-GB"/>
        </w:rPr>
        <w:t>Large Exposures</w:t>
      </w:r>
      <w:r w:rsidRPr="00E4265B">
        <w:rPr>
          <w:rFonts w:ascii="Arial" w:hAnsi="Arial" w:cs="Arial"/>
          <w:sz w:val="22"/>
          <w:szCs w:val="22"/>
          <w:lang w:val="en-GB"/>
        </w:rPr>
        <w:t xml:space="preserve"> purposes, and in relation to a Person, a Connected Counterparty means another Person to whom the first Person has an Exposure and who fulfils one of the following conditions:</w:t>
      </w:r>
    </w:p>
    <w:p w14:paraId="3D2F9FC8" w14:textId="0EC51F24"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007D16A4" w:rsidRPr="00E4265B">
        <w:rPr>
          <w:rFonts w:ascii="Arial" w:hAnsi="Arial" w:cs="Arial"/>
          <w:sz w:val="22"/>
          <w:szCs w:val="22"/>
          <w:lang w:val="en-GB"/>
        </w:rPr>
        <w:tab/>
        <w:t>it</w:t>
      </w:r>
      <w:r w:rsidRPr="00E4265B">
        <w:rPr>
          <w:rFonts w:ascii="Arial" w:hAnsi="Arial" w:cs="Arial"/>
          <w:sz w:val="22"/>
          <w:szCs w:val="22"/>
          <w:lang w:val="en-GB"/>
        </w:rPr>
        <w:t xml:space="preserve"> is Connected to the first Person;</w:t>
      </w:r>
    </w:p>
    <w:p w14:paraId="67119EEF" w14:textId="63CD32A9"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007D16A4" w:rsidRPr="00E4265B">
        <w:rPr>
          <w:rFonts w:ascii="Arial" w:hAnsi="Arial" w:cs="Arial"/>
          <w:sz w:val="22"/>
          <w:szCs w:val="22"/>
          <w:lang w:val="en-GB"/>
        </w:rPr>
        <w:tab/>
        <w:t>it</w:t>
      </w:r>
      <w:r w:rsidRPr="00E4265B">
        <w:rPr>
          <w:rFonts w:ascii="Arial" w:hAnsi="Arial" w:cs="Arial"/>
          <w:sz w:val="22"/>
          <w:szCs w:val="22"/>
          <w:lang w:val="en-GB"/>
        </w:rPr>
        <w:t xml:space="preserve"> is an Associate of the first Person;</w:t>
      </w:r>
    </w:p>
    <w:p w14:paraId="2A0B2A8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same Persons significantly influence the Governing Body of each of them; or</w:t>
      </w:r>
    </w:p>
    <w:p w14:paraId="096ACED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one of those Persons has an Exposure to the other that was not incurred for the clear commercial advantage of both of them and which is not on arm's length terms.</w:t>
      </w:r>
    </w:p>
    <w:p w14:paraId="618CD8A1"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735F74DF" w14:textId="77777777" w:rsidR="00E22FF2" w:rsidRPr="00E4265B" w:rsidRDefault="00E22FF2" w:rsidP="00035ECA">
      <w:pPr>
        <w:pStyle w:val="UK12Block05"/>
        <w:rPr>
          <w:rFonts w:ascii="Arial" w:hAnsi="Arial" w:cs="Arial"/>
          <w:sz w:val="22"/>
          <w:szCs w:val="22"/>
          <w:lang w:val="en-GB"/>
        </w:rPr>
      </w:pPr>
      <w:r w:rsidRPr="00E4265B">
        <w:rPr>
          <w:rFonts w:ascii="Arial" w:hAnsi="Arial" w:cs="Arial"/>
          <w:sz w:val="22"/>
          <w:szCs w:val="22"/>
          <w:lang w:val="en-GB"/>
        </w:rPr>
        <w:t>A group of Connected Counterparties would be considered to be such where the entities share the same ultimate owner even though they may not be formally structured as a Group.</w:t>
      </w:r>
    </w:p>
    <w:p w14:paraId="30138DCB"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Exposures to transactions, schemes or Funds</w:t>
      </w:r>
    </w:p>
    <w:p w14:paraId="7933651B"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A4.11.8</w:t>
      </w:r>
      <w:r w:rsidRPr="00E4265B">
        <w:rPr>
          <w:rFonts w:ascii="Arial" w:hAnsi="Arial" w:cs="Arial"/>
          <w:b/>
          <w:bCs/>
          <w:sz w:val="22"/>
          <w:szCs w:val="22"/>
          <w:lang w:val="en-GB"/>
        </w:rPr>
        <w:tab/>
      </w:r>
      <w:r w:rsidRPr="00E4265B">
        <w:rPr>
          <w:rFonts w:ascii="Arial" w:hAnsi="Arial" w:cs="Arial"/>
          <w:sz w:val="22"/>
          <w:szCs w:val="22"/>
          <w:lang w:val="en-GB"/>
        </w:rPr>
        <w:t xml:space="preserve">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an Exposure to a transaction, scheme, Fund, or other Exposure to a pool of underlying Exposures,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assess the Exposure to determine whether the Exposure is a group of Closely Related Counterparties in its economic substance.</w:t>
      </w:r>
    </w:p>
    <w:p w14:paraId="43BABE23"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Guidance</w:t>
      </w:r>
    </w:p>
    <w:p w14:paraId="6E1D0BF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When considering this Rule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the following factors:</w:t>
      </w:r>
    </w:p>
    <w:p w14:paraId="6B611F54" w14:textId="77777777" w:rsidR="00E22FF2" w:rsidRPr="00E4265B" w:rsidRDefault="00E22FF2" w:rsidP="00035ECA">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structure, independence and control of the transaction, including governance arrangements;</w:t>
      </w:r>
    </w:p>
    <w:p w14:paraId="07FBCBA3" w14:textId="77777777" w:rsidR="00E22FF2" w:rsidRPr="00E4265B" w:rsidRDefault="00E22FF2" w:rsidP="00035ECA">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inter relatedness of the underlying Exposures;</w:t>
      </w:r>
    </w:p>
    <w:p w14:paraId="61BFD1E7" w14:textId="77777777" w:rsidR="00E22FF2" w:rsidRPr="00E4265B" w:rsidRDefault="00E22FF2" w:rsidP="00035ECA">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beneficial owners of the underlying Exposures and whether they could be deemed Connected or Closely Related; and</w:t>
      </w:r>
    </w:p>
    <w:p w14:paraId="16E472C5" w14:textId="77777777" w:rsidR="00E22FF2" w:rsidRPr="00E4265B" w:rsidRDefault="00E22FF2" w:rsidP="00035ECA">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whether the transactions are conducted on an arm's length basis.</w:t>
      </w:r>
    </w:p>
    <w:p w14:paraId="5513BFF7" w14:textId="5ED02513" w:rsidR="00E22FF2" w:rsidRPr="00E4265B" w:rsidRDefault="00E22FF2" w:rsidP="00E23AA7">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look through the structure to determine whether there are any Counterparties or Exposures that </w:t>
      </w:r>
      <w:r w:rsidR="00E23AA7" w:rsidRPr="00E4265B">
        <w:rPr>
          <w:rFonts w:ascii="Arial" w:hAnsi="Arial" w:cs="Arial"/>
          <w:sz w:val="22"/>
          <w:szCs w:val="22"/>
          <w:lang w:val="en-GB"/>
        </w:rPr>
        <w:t>might give rise to risks arising from</w:t>
      </w:r>
      <w:r w:rsidRPr="00E4265B">
        <w:rPr>
          <w:rFonts w:ascii="Arial" w:hAnsi="Arial" w:cs="Arial"/>
          <w:sz w:val="22"/>
          <w:szCs w:val="22"/>
          <w:lang w:val="en-GB"/>
        </w:rPr>
        <w:t xml:space="preserve"> a </w:t>
      </w:r>
      <w:r w:rsidR="00E23AA7" w:rsidRPr="00E4265B">
        <w:rPr>
          <w:rFonts w:ascii="Arial" w:hAnsi="Arial" w:cs="Arial"/>
          <w:sz w:val="22"/>
          <w:szCs w:val="22"/>
          <w:lang w:val="en-GB"/>
        </w:rPr>
        <w:t>Large Exposure</w:t>
      </w:r>
      <w:r w:rsidRPr="00E4265B">
        <w:rPr>
          <w:rFonts w:ascii="Arial" w:hAnsi="Arial" w:cs="Arial"/>
          <w:sz w:val="22"/>
          <w:szCs w:val="22"/>
          <w:lang w:val="en-GB"/>
        </w:rPr>
        <w:t>.</w:t>
      </w:r>
    </w:p>
    <w:p w14:paraId="71B83CBF"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Connected Counterparty exemptions</w:t>
      </w:r>
    </w:p>
    <w:p w14:paraId="43FF594E" w14:textId="74621533" w:rsidR="00E22FF2" w:rsidRPr="00E4265B" w:rsidRDefault="00E22FF2" w:rsidP="00E23AA7">
      <w:pPr>
        <w:pStyle w:val="A1List"/>
        <w:rPr>
          <w:rFonts w:ascii="Arial" w:hAnsi="Arial" w:cs="Arial"/>
          <w:sz w:val="22"/>
          <w:szCs w:val="22"/>
          <w:lang w:val="en-GB"/>
        </w:rPr>
      </w:pPr>
      <w:r w:rsidRPr="00E4265B">
        <w:rPr>
          <w:rFonts w:ascii="Arial" w:hAnsi="Arial" w:cs="Arial"/>
          <w:b/>
          <w:bCs/>
          <w:sz w:val="22"/>
          <w:szCs w:val="22"/>
          <w:lang w:val="en-GB"/>
        </w:rPr>
        <w:t>A4.11.9</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treat as exempt from the </w:t>
      </w:r>
      <w:r w:rsidR="00E23AA7" w:rsidRPr="00E4265B">
        <w:rPr>
          <w:rFonts w:ascii="Arial" w:hAnsi="Arial" w:cs="Arial"/>
          <w:sz w:val="22"/>
          <w:szCs w:val="22"/>
          <w:lang w:val="en-GB"/>
        </w:rPr>
        <w:t>Large Exposure</w:t>
      </w:r>
      <w:r w:rsidRPr="00E4265B">
        <w:rPr>
          <w:rFonts w:ascii="Arial" w:hAnsi="Arial" w:cs="Arial"/>
          <w:sz w:val="22"/>
          <w:szCs w:val="22"/>
          <w:lang w:val="en-GB"/>
        </w:rPr>
        <w:t xml:space="preserve"> limits in Chapter 4 an Exposure to a Counterparty or Counterparties Connected to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if all of the following conditions are met:</w:t>
      </w:r>
    </w:p>
    <w:p w14:paraId="3611F129" w14:textId="12E26F20" w:rsidR="00E22FF2" w:rsidRPr="00E4265B" w:rsidRDefault="00E22FF2" w:rsidP="00E23AA7">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given the Regulator written notice one month in advance of its intention to use the exemption and explained how it will ensure that it will still meet the </w:t>
      </w:r>
      <w:r w:rsidR="00E23AA7" w:rsidRPr="00E4265B">
        <w:rPr>
          <w:rFonts w:ascii="Arial" w:hAnsi="Arial" w:cs="Arial"/>
          <w:sz w:val="22"/>
          <w:szCs w:val="22"/>
          <w:lang w:val="en-GB"/>
        </w:rPr>
        <w:t>Large Exposure</w:t>
      </w:r>
      <w:r w:rsidRPr="00E4265B">
        <w:rPr>
          <w:rFonts w:ascii="Arial" w:hAnsi="Arial" w:cs="Arial"/>
          <w:sz w:val="22"/>
          <w:szCs w:val="22"/>
          <w:lang w:val="en-GB"/>
        </w:rPr>
        <w:t xml:space="preserve"> limits on a continuing basis when using the exemption;</w:t>
      </w:r>
    </w:p>
    <w:p w14:paraId="695D73FB" w14:textId="3B5F0C70" w:rsidR="00E22FF2" w:rsidRPr="00E4265B" w:rsidRDefault="00E22FF2" w:rsidP="00E23AA7">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total amount of the Exposures that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treating as exempt under this Rule does not exceed 50%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w:t>
      </w:r>
      <w:r w:rsidR="00E23AA7" w:rsidRPr="00E4265B">
        <w:rPr>
          <w:rFonts w:ascii="Arial" w:hAnsi="Arial" w:cs="Arial"/>
          <w:sz w:val="22"/>
          <w:szCs w:val="22"/>
          <w:lang w:val="en-GB"/>
        </w:rPr>
        <w:t>Tier 1</w:t>
      </w:r>
      <w:r w:rsidRPr="00E4265B">
        <w:rPr>
          <w:rFonts w:ascii="Arial" w:hAnsi="Arial" w:cs="Arial"/>
          <w:sz w:val="22"/>
          <w:szCs w:val="22"/>
          <w:lang w:val="en-GB"/>
        </w:rPr>
        <w:t>;</w:t>
      </w:r>
    </w:p>
    <w:p w14:paraId="413745F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makes and retains a record that identifies each Exposure it has treated in this way;</w:t>
      </w:r>
    </w:p>
    <w:p w14:paraId="0083F026"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subject to consolidated supervision;</w:t>
      </w:r>
    </w:p>
    <w:p w14:paraId="60A085F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the Counterparty is:</w:t>
      </w:r>
    </w:p>
    <w:p w14:paraId="09415737" w14:textId="7DE06E5F" w:rsidR="00E22FF2" w:rsidRPr="00E4265B" w:rsidRDefault="00E22FF2" w:rsidP="00035ECA">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is the subject of consolidated supervision; or</w:t>
      </w:r>
    </w:p>
    <w:p w14:paraId="2ABB942D" w14:textId="77777777" w:rsidR="00E22FF2" w:rsidRPr="00E4265B" w:rsidRDefault="00E22FF2" w:rsidP="00B40809">
      <w:pPr>
        <w:pStyle w:val="aList"/>
        <w:rPr>
          <w:rFonts w:ascii="Arial" w:hAnsi="Arial" w:cs="Arial"/>
          <w:sz w:val="22"/>
          <w:szCs w:val="22"/>
          <w:lang w:val="en-GB"/>
        </w:rPr>
      </w:pPr>
      <w:r w:rsidRPr="00E4265B">
        <w:rPr>
          <w:rFonts w:ascii="Arial" w:hAnsi="Arial" w:cs="Arial"/>
          <w:sz w:val="22"/>
          <w:szCs w:val="22"/>
          <w:lang w:val="en-GB"/>
        </w:rPr>
        <w:lastRenderedPageBreak/>
        <w:t>(ii)</w:t>
      </w:r>
      <w:r w:rsidRPr="00E4265B">
        <w:rPr>
          <w:rFonts w:ascii="Arial" w:hAnsi="Arial" w:cs="Arial"/>
          <w:sz w:val="22"/>
          <w:szCs w:val="22"/>
          <w:lang w:val="en-GB"/>
        </w:rPr>
        <w:tab/>
        <w:t xml:space="preserve">a member of the </w:t>
      </w:r>
      <w:r w:rsidR="000D1A90" w:rsidRPr="00E4265B">
        <w:rPr>
          <w:rFonts w:ascii="Arial" w:hAnsi="Arial" w:cs="Arial"/>
          <w:sz w:val="22"/>
          <w:szCs w:val="22"/>
          <w:lang w:val="en-GB"/>
        </w:rPr>
        <w:t>Authorised Person</w:t>
      </w:r>
      <w:r w:rsidRPr="00E4265B">
        <w:rPr>
          <w:rFonts w:ascii="Arial" w:hAnsi="Arial" w:cs="Arial"/>
          <w:sz w:val="22"/>
          <w:szCs w:val="22"/>
          <w:lang w:val="en-GB"/>
        </w:rPr>
        <w:t>'s Group which is the subject of consolidated supervision to the satisfaction of the Regulator; and</w:t>
      </w:r>
    </w:p>
    <w:p w14:paraId="793048DA"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(f) </w:t>
      </w:r>
      <w:r w:rsidRPr="00E4265B">
        <w:rPr>
          <w:rFonts w:ascii="Arial" w:hAnsi="Arial" w:cs="Arial"/>
          <w:sz w:val="22"/>
          <w:szCs w:val="22"/>
          <w:lang w:val="en-GB"/>
        </w:rPr>
        <w:tab/>
        <w:t>the Exposure satisfies one or more of conditions (i) to (iii):</w:t>
      </w:r>
    </w:p>
    <w:p w14:paraId="4C67D07A" w14:textId="77777777" w:rsidR="00E22FF2" w:rsidRPr="00E4265B" w:rsidRDefault="00E22FF2" w:rsidP="00035ECA">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it is a loan made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with a maturity of one year or less in the course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carrying on a treasury role for other members of its Group;</w:t>
      </w:r>
    </w:p>
    <w:p w14:paraId="45B5A6C5" w14:textId="77777777" w:rsidR="00E22FF2" w:rsidRPr="00E4265B" w:rsidRDefault="00E22FF2" w:rsidP="00035ECA">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it is a loan to the Parent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made in the course of a business carried on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of lending to its </w:t>
      </w:r>
      <w:r w:rsidR="00BC49E0" w:rsidRPr="00E4265B">
        <w:rPr>
          <w:rFonts w:ascii="Arial" w:hAnsi="Arial" w:cs="Arial"/>
          <w:sz w:val="22"/>
          <w:szCs w:val="22"/>
          <w:lang w:val="en-GB"/>
        </w:rPr>
        <w:t>P</w:t>
      </w:r>
      <w:r w:rsidRPr="00E4265B">
        <w:rPr>
          <w:rFonts w:ascii="Arial" w:hAnsi="Arial" w:cs="Arial"/>
          <w:sz w:val="22"/>
          <w:szCs w:val="22"/>
          <w:lang w:val="en-GB"/>
        </w:rPr>
        <w:t xml:space="preserve">arent cash that is surplus to the needs of the </w:t>
      </w:r>
      <w:r w:rsidR="000D1A90" w:rsidRPr="00E4265B">
        <w:rPr>
          <w:rFonts w:ascii="Arial" w:hAnsi="Arial" w:cs="Arial"/>
          <w:sz w:val="22"/>
          <w:szCs w:val="22"/>
          <w:lang w:val="en-GB"/>
        </w:rPr>
        <w:t>Authorised Person</w:t>
      </w:r>
      <w:r w:rsidRPr="00E4265B">
        <w:rPr>
          <w:rFonts w:ascii="Arial" w:hAnsi="Arial" w:cs="Arial"/>
          <w:sz w:val="22"/>
          <w:szCs w:val="22"/>
          <w:lang w:val="en-GB"/>
        </w:rPr>
        <w:t>, provided that the amount of that surplus fluctuates regularly; or</w:t>
      </w:r>
    </w:p>
    <w:p w14:paraId="64CBB439" w14:textId="77777777" w:rsidR="00E22FF2" w:rsidRPr="00E4265B" w:rsidRDefault="00E22FF2" w:rsidP="00035ECA">
      <w:pPr>
        <w:pStyle w:val="a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it arises from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a Counterparty Connected to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operating a central risk management function for Exposures arising from Derivatives contracts.</w:t>
      </w:r>
    </w:p>
    <w:p w14:paraId="75CDD4AE"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Measuring Exposure to Counterparties and Issuers</w:t>
      </w:r>
    </w:p>
    <w:p w14:paraId="74651F94" w14:textId="77777777" w:rsidR="00E22FF2" w:rsidRPr="00E4265B" w:rsidRDefault="00E22FF2" w:rsidP="00932C01">
      <w:pPr>
        <w:pStyle w:val="A1List"/>
        <w:rPr>
          <w:rFonts w:ascii="Arial" w:hAnsi="Arial" w:cs="Arial"/>
          <w:sz w:val="22"/>
          <w:szCs w:val="22"/>
          <w:lang w:val="en-GB"/>
        </w:rPr>
      </w:pPr>
      <w:r w:rsidRPr="00E4265B">
        <w:rPr>
          <w:rFonts w:ascii="Arial" w:hAnsi="Arial" w:cs="Arial"/>
          <w:b/>
          <w:bCs/>
          <w:sz w:val="22"/>
          <w:szCs w:val="22"/>
          <w:lang w:val="en-GB"/>
        </w:rPr>
        <w:t>A4.11.10</w:t>
      </w:r>
      <w:r w:rsidRPr="00E4265B">
        <w:rPr>
          <w:rFonts w:ascii="Arial" w:hAnsi="Arial" w:cs="Arial"/>
          <w:b/>
          <w:bCs/>
          <w:sz w:val="22"/>
          <w:szCs w:val="22"/>
          <w:lang w:val="en-GB"/>
        </w:rPr>
        <w:tab/>
      </w:r>
      <w:r w:rsidRPr="00E4265B">
        <w:rPr>
          <w:rFonts w:ascii="Arial" w:hAnsi="Arial" w:cs="Arial"/>
          <w:sz w:val="22"/>
          <w:szCs w:val="22"/>
          <w:lang w:val="en-GB"/>
        </w:rPr>
        <w:t>Rules A4.11.12 to A4.11.28 apply to both Non</w:t>
      </w:r>
      <w:r w:rsidRPr="00E4265B">
        <w:rPr>
          <w:rFonts w:ascii="Arial" w:hAnsi="Arial" w:cs="Arial"/>
          <w:sz w:val="22"/>
          <w:szCs w:val="22"/>
          <w:lang w:val="en-GB"/>
        </w:rPr>
        <w:noBreakHyphen/>
        <w:t>Trading Book and Trading Book Exposures.</w:t>
      </w:r>
    </w:p>
    <w:p w14:paraId="66796115"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A4.11.11</w:t>
      </w:r>
      <w:r w:rsidRPr="00E4265B">
        <w:rPr>
          <w:rFonts w:ascii="Arial" w:hAnsi="Arial" w:cs="Arial"/>
          <w:b/>
          <w:bCs/>
          <w:sz w:val="22"/>
          <w:szCs w:val="22"/>
          <w:lang w:val="en-GB"/>
        </w:rPr>
        <w:tab/>
      </w:r>
      <w:r w:rsidRPr="00E4265B">
        <w:rPr>
          <w:rFonts w:ascii="Arial" w:hAnsi="Arial" w:cs="Arial"/>
          <w:sz w:val="22"/>
          <w:szCs w:val="22"/>
          <w:lang w:val="en-GB"/>
        </w:rPr>
        <w:t xml:space="preserve">When calculating an Exposure,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include accrued interest and dividends due.</w:t>
      </w:r>
    </w:p>
    <w:p w14:paraId="598E4742"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A4.11.12</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not offset Non</w:t>
      </w:r>
      <w:r w:rsidRPr="00E4265B">
        <w:rPr>
          <w:rFonts w:ascii="Arial" w:hAnsi="Arial" w:cs="Arial"/>
          <w:sz w:val="22"/>
          <w:szCs w:val="22"/>
          <w:lang w:val="en-GB"/>
        </w:rPr>
        <w:noBreakHyphen/>
        <w:t>Trading Book and Trading Book Exposures.</w:t>
      </w:r>
    </w:p>
    <w:p w14:paraId="425086A5" w14:textId="455CBAA1" w:rsidR="00E22FF2" w:rsidRPr="00E4265B" w:rsidRDefault="00E22FF2" w:rsidP="00E23AA7">
      <w:pPr>
        <w:pStyle w:val="A1List"/>
        <w:rPr>
          <w:rFonts w:ascii="Arial" w:hAnsi="Arial" w:cs="Arial"/>
          <w:sz w:val="22"/>
          <w:szCs w:val="22"/>
          <w:lang w:val="en-GB"/>
        </w:rPr>
      </w:pPr>
      <w:r w:rsidRPr="00E4265B">
        <w:rPr>
          <w:rFonts w:ascii="Arial" w:hAnsi="Arial" w:cs="Arial"/>
          <w:b/>
          <w:bCs/>
          <w:sz w:val="22"/>
          <w:szCs w:val="22"/>
          <w:lang w:val="en-GB"/>
        </w:rPr>
        <w:t>A4.11.13</w:t>
      </w:r>
      <w:r w:rsidRPr="00E4265B">
        <w:rPr>
          <w:rFonts w:ascii="Arial" w:hAnsi="Arial" w:cs="Arial"/>
          <w:b/>
          <w:bCs/>
          <w:sz w:val="22"/>
          <w:szCs w:val="22"/>
          <w:lang w:val="en-GB"/>
        </w:rPr>
        <w:tab/>
      </w:r>
      <w:r w:rsidRPr="00E4265B">
        <w:rPr>
          <w:rFonts w:ascii="Arial" w:hAnsi="Arial" w:cs="Arial"/>
          <w:sz w:val="22"/>
          <w:szCs w:val="22"/>
          <w:lang w:val="en-GB"/>
        </w:rPr>
        <w:t xml:space="preserve">A net short position is not an Exposure for the purposes of </w:t>
      </w:r>
      <w:r w:rsidR="00E23AA7" w:rsidRPr="00E4265B">
        <w:rPr>
          <w:rFonts w:ascii="Arial" w:hAnsi="Arial" w:cs="Arial"/>
          <w:sz w:val="22"/>
          <w:szCs w:val="22"/>
          <w:lang w:val="en-GB"/>
        </w:rPr>
        <w:t>Large Exposures</w:t>
      </w:r>
      <w:r w:rsidRPr="00E4265B">
        <w:rPr>
          <w:rFonts w:ascii="Arial" w:hAnsi="Arial" w:cs="Arial"/>
          <w:sz w:val="22"/>
          <w:szCs w:val="22"/>
          <w:lang w:val="en-GB"/>
        </w:rPr>
        <w:t>.</w:t>
      </w:r>
    </w:p>
    <w:p w14:paraId="264A2F5A"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A4.11.14</w:t>
      </w:r>
      <w:r w:rsidRPr="00E4265B">
        <w:rPr>
          <w:rFonts w:ascii="Arial" w:hAnsi="Arial" w:cs="Arial"/>
          <w:b/>
          <w:bCs/>
          <w:sz w:val="22"/>
          <w:szCs w:val="22"/>
          <w:lang w:val="en-GB"/>
        </w:rPr>
        <w:tab/>
      </w:r>
      <w:r w:rsidRPr="00E4265B">
        <w:rPr>
          <w:rFonts w:ascii="Arial" w:hAnsi="Arial" w:cs="Arial"/>
          <w:sz w:val="22"/>
          <w:szCs w:val="22"/>
          <w:lang w:val="en-GB"/>
        </w:rPr>
        <w:t xml:space="preserve">The value of an </w:t>
      </w:r>
      <w:r w:rsidR="000D1A90" w:rsidRPr="00E4265B">
        <w:rPr>
          <w:rFonts w:ascii="Arial" w:hAnsi="Arial" w:cs="Arial"/>
          <w:sz w:val="22"/>
          <w:szCs w:val="22"/>
          <w:lang w:val="en-GB"/>
        </w:rPr>
        <w:t>Authorised Person</w:t>
      </w:r>
      <w:r w:rsidRPr="00E4265B">
        <w:rPr>
          <w:rFonts w:ascii="Arial" w:hAnsi="Arial" w:cs="Arial"/>
          <w:sz w:val="22"/>
          <w:szCs w:val="22"/>
          <w:lang w:val="en-GB"/>
        </w:rPr>
        <w:t>'s Exposure to a Counterparty, whether in its Non</w:t>
      </w:r>
      <w:r w:rsidRPr="00E4265B">
        <w:rPr>
          <w:rFonts w:ascii="Arial" w:hAnsi="Arial" w:cs="Arial"/>
          <w:sz w:val="22"/>
          <w:szCs w:val="22"/>
          <w:lang w:val="en-GB"/>
        </w:rPr>
        <w:noBreakHyphen/>
        <w:t>Trading Book or its Trading Book, is the amount at risk calculated in accordance with Chapter 4.</w:t>
      </w:r>
    </w:p>
    <w:p w14:paraId="07074725"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Exposures to Issuers</w:t>
      </w:r>
    </w:p>
    <w:p w14:paraId="3D4119CD"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A4.11.15</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the value of an Exposure to the Issuer of a </w:t>
      </w:r>
      <w:r w:rsidR="00877CEA" w:rsidRPr="00E4265B">
        <w:rPr>
          <w:rFonts w:ascii="Arial" w:hAnsi="Arial" w:cs="Arial"/>
          <w:sz w:val="22"/>
          <w:szCs w:val="22"/>
          <w:lang w:val="en-GB"/>
        </w:rPr>
        <w:t>Security</w:t>
      </w:r>
      <w:r w:rsidRPr="00E4265B">
        <w:rPr>
          <w:rFonts w:ascii="Arial" w:hAnsi="Arial" w:cs="Arial"/>
          <w:sz w:val="22"/>
          <w:szCs w:val="22"/>
          <w:lang w:val="en-GB"/>
        </w:rPr>
        <w:t xml:space="preserve"> which is held in the </w:t>
      </w:r>
      <w:r w:rsidR="000D1A90" w:rsidRPr="00E4265B">
        <w:rPr>
          <w:rFonts w:ascii="Arial" w:hAnsi="Arial" w:cs="Arial"/>
          <w:sz w:val="22"/>
          <w:szCs w:val="22"/>
          <w:lang w:val="en-GB"/>
        </w:rPr>
        <w:t>Authorised Person</w:t>
      </w:r>
      <w:r w:rsidRPr="00E4265B">
        <w:rPr>
          <w:rFonts w:ascii="Arial" w:hAnsi="Arial" w:cs="Arial"/>
          <w:sz w:val="22"/>
          <w:szCs w:val="22"/>
          <w:lang w:val="en-GB"/>
        </w:rPr>
        <w:t>'s Non</w:t>
      </w:r>
      <w:r w:rsidRPr="00E4265B">
        <w:rPr>
          <w:rFonts w:ascii="Arial" w:hAnsi="Arial" w:cs="Arial"/>
          <w:sz w:val="22"/>
          <w:szCs w:val="22"/>
          <w:lang w:val="en-GB"/>
        </w:rPr>
        <w:noBreakHyphen/>
        <w:t>Trading Book as the sum of the excess, where positive, of the book value of all long positions over all short positions (the net long position), for each identical instrument issued by that Issuer.</w:t>
      </w:r>
    </w:p>
    <w:p w14:paraId="0587B2A1"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A4.11.16</w:t>
      </w:r>
      <w:r w:rsidRPr="00E4265B">
        <w:rPr>
          <w:rFonts w:ascii="Arial" w:hAnsi="Arial" w:cs="Arial"/>
          <w:b/>
          <w:bCs/>
          <w:sz w:val="22"/>
          <w:szCs w:val="22"/>
          <w:lang w:val="en-GB"/>
        </w:rPr>
        <w:tab/>
      </w:r>
      <w:r w:rsidRPr="00E4265B">
        <w:rPr>
          <w:rFonts w:ascii="Arial" w:hAnsi="Arial" w:cs="Arial"/>
          <w:sz w:val="22"/>
          <w:szCs w:val="22"/>
          <w:lang w:val="en-GB"/>
        </w:rPr>
        <w:t>For the purposes of Rule A4.11.15, short positions in one </w:t>
      </w:r>
      <w:r w:rsidR="00877CEA" w:rsidRPr="00E4265B">
        <w:rPr>
          <w:rFonts w:ascii="Arial" w:hAnsi="Arial" w:cs="Arial"/>
          <w:sz w:val="22"/>
          <w:szCs w:val="22"/>
          <w:lang w:val="en-GB"/>
        </w:rPr>
        <w:t>Security</w:t>
      </w:r>
      <w:r w:rsidRPr="00E4265B">
        <w:rPr>
          <w:rFonts w:ascii="Arial" w:hAnsi="Arial" w:cs="Arial"/>
          <w:sz w:val="22"/>
          <w:szCs w:val="22"/>
          <w:lang w:val="en-GB"/>
        </w:rPr>
        <w:t xml:space="preserve"> may be used to offset long positions in a non</w:t>
      </w:r>
      <w:r w:rsidRPr="00E4265B">
        <w:rPr>
          <w:rFonts w:ascii="Arial" w:hAnsi="Arial" w:cs="Arial"/>
          <w:sz w:val="22"/>
          <w:szCs w:val="22"/>
          <w:lang w:val="en-GB"/>
        </w:rPr>
        <w:noBreakHyphen/>
        <w:t xml:space="preserve">identical </w:t>
      </w:r>
      <w:r w:rsidR="00877CEA" w:rsidRPr="00E4265B">
        <w:rPr>
          <w:rFonts w:ascii="Arial" w:hAnsi="Arial" w:cs="Arial"/>
          <w:sz w:val="22"/>
          <w:szCs w:val="22"/>
          <w:lang w:val="en-GB"/>
        </w:rPr>
        <w:t>Security</w:t>
      </w:r>
      <w:r w:rsidRPr="00E4265B">
        <w:rPr>
          <w:rFonts w:ascii="Arial" w:hAnsi="Arial" w:cs="Arial"/>
          <w:sz w:val="22"/>
          <w:szCs w:val="22"/>
          <w:lang w:val="en-GB"/>
        </w:rPr>
        <w:t xml:space="preserve"> issued by the same Issuer if:</w:t>
      </w:r>
    </w:p>
    <w:p w14:paraId="41DC863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both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are denominated in the same currency; and</w:t>
      </w:r>
    </w:p>
    <w:p w14:paraId="4415702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where both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are:</w:t>
      </w:r>
    </w:p>
    <w:p w14:paraId="057D4EC9" w14:textId="77777777" w:rsidR="00E22FF2" w:rsidRPr="00E4265B" w:rsidRDefault="00E22FF2" w:rsidP="00932C01">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fixed rate or index</w:t>
      </w:r>
      <w:r w:rsidRPr="00E4265B">
        <w:rPr>
          <w:rFonts w:ascii="Arial" w:hAnsi="Arial" w:cs="Arial"/>
          <w:sz w:val="22"/>
          <w:szCs w:val="22"/>
          <w:lang w:val="en-GB"/>
        </w:rPr>
        <w:noBreakHyphen/>
        <w:t>linked, and are within the same residual maturity time band; or</w:t>
      </w:r>
    </w:p>
    <w:p w14:paraId="33441FBB" w14:textId="77777777" w:rsidR="00E22FF2" w:rsidRPr="00E4265B" w:rsidRDefault="00E22FF2" w:rsidP="00932C01">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floating rate.</w:t>
      </w:r>
    </w:p>
    <w:p w14:paraId="578210F0"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A4.11.17</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the value of an Exposure to the Issuer of a </w:t>
      </w:r>
      <w:r w:rsidR="00877CEA" w:rsidRPr="00E4265B">
        <w:rPr>
          <w:rFonts w:ascii="Arial" w:hAnsi="Arial" w:cs="Arial"/>
          <w:sz w:val="22"/>
          <w:szCs w:val="22"/>
          <w:lang w:val="en-GB"/>
        </w:rPr>
        <w:t>Security</w:t>
      </w:r>
      <w:r w:rsidRPr="00E4265B">
        <w:rPr>
          <w:rFonts w:ascii="Arial" w:hAnsi="Arial" w:cs="Arial"/>
          <w:sz w:val="22"/>
          <w:szCs w:val="22"/>
          <w:lang w:val="en-GB"/>
        </w:rPr>
        <w:t xml:space="preserve"> that is held in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Trading Book by calculating the </w:t>
      </w:r>
      <w:r w:rsidRPr="00E4265B">
        <w:rPr>
          <w:rFonts w:ascii="Arial" w:hAnsi="Arial" w:cs="Arial"/>
          <w:sz w:val="22"/>
          <w:szCs w:val="22"/>
          <w:lang w:val="en-GB"/>
        </w:rPr>
        <w:lastRenderedPageBreak/>
        <w:t xml:space="preserve">excess of the current market value of all long positions over all short positions in all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issued by that Issuer.</w:t>
      </w:r>
    </w:p>
    <w:p w14:paraId="33D0B662"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A4.11.18</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not offset an Exposure to one Issuer against an Exposure to another even where the Issuers are in a group of Closely Related Counterparties.</w:t>
      </w:r>
    </w:p>
    <w:p w14:paraId="68F1965B"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A4.11.19</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include as a long position a commitment by it to buy:</w:t>
      </w:r>
    </w:p>
    <w:p w14:paraId="17220936" w14:textId="77777777" w:rsidR="00E22FF2" w:rsidRPr="00E4265B" w:rsidRDefault="00E22FF2" w:rsidP="00932C01">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 debt </w:t>
      </w:r>
      <w:r w:rsidR="00877CEA" w:rsidRPr="00E4265B">
        <w:rPr>
          <w:rFonts w:ascii="Arial" w:hAnsi="Arial" w:cs="Arial"/>
          <w:sz w:val="22"/>
          <w:szCs w:val="22"/>
          <w:lang w:val="en-GB"/>
        </w:rPr>
        <w:t>Security</w:t>
      </w:r>
      <w:r w:rsidRPr="00E4265B">
        <w:rPr>
          <w:rFonts w:ascii="Arial" w:hAnsi="Arial" w:cs="Arial"/>
          <w:sz w:val="22"/>
          <w:szCs w:val="22"/>
          <w:lang w:val="en-GB"/>
        </w:rPr>
        <w:t xml:space="preserve"> or an equity at a future date; and</w:t>
      </w:r>
    </w:p>
    <w:p w14:paraId="0FC8228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under a note issuance facility, at the request of the Issuer, a </w:t>
      </w:r>
      <w:r w:rsidR="00877CEA" w:rsidRPr="00E4265B">
        <w:rPr>
          <w:rFonts w:ascii="Arial" w:hAnsi="Arial" w:cs="Arial"/>
          <w:sz w:val="22"/>
          <w:szCs w:val="22"/>
          <w:lang w:val="en-GB"/>
        </w:rPr>
        <w:t>Security</w:t>
      </w:r>
      <w:r w:rsidRPr="00E4265B">
        <w:rPr>
          <w:rFonts w:ascii="Arial" w:hAnsi="Arial" w:cs="Arial"/>
          <w:sz w:val="22"/>
          <w:szCs w:val="22"/>
          <w:lang w:val="en-GB"/>
        </w:rPr>
        <w:t xml:space="preserve"> that is unsold on the issue date.</w:t>
      </w:r>
    </w:p>
    <w:p w14:paraId="0BE15A94" w14:textId="77777777" w:rsidR="00E22FF2" w:rsidRPr="00E4265B" w:rsidRDefault="00E22FF2" w:rsidP="00932C01">
      <w:pPr>
        <w:pStyle w:val="A1List"/>
        <w:rPr>
          <w:rFonts w:ascii="Arial" w:hAnsi="Arial" w:cs="Arial"/>
          <w:sz w:val="22"/>
          <w:szCs w:val="22"/>
          <w:lang w:val="en-GB"/>
        </w:rPr>
      </w:pPr>
      <w:r w:rsidRPr="00E4265B">
        <w:rPr>
          <w:rFonts w:ascii="Arial" w:hAnsi="Arial" w:cs="Arial"/>
          <w:b/>
          <w:bCs/>
          <w:sz w:val="22"/>
          <w:szCs w:val="22"/>
          <w:lang w:val="en-GB"/>
        </w:rPr>
        <w:t>A4.11.20</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include as a short position a commitment by it to sell a debt </w:t>
      </w:r>
      <w:r w:rsidR="00877CEA" w:rsidRPr="00E4265B">
        <w:rPr>
          <w:rFonts w:ascii="Arial" w:hAnsi="Arial" w:cs="Arial"/>
          <w:sz w:val="22"/>
          <w:szCs w:val="22"/>
          <w:lang w:val="en-GB"/>
        </w:rPr>
        <w:t>Security</w:t>
      </w:r>
      <w:r w:rsidRPr="00E4265B">
        <w:rPr>
          <w:rFonts w:ascii="Arial" w:hAnsi="Arial" w:cs="Arial"/>
          <w:sz w:val="22"/>
          <w:szCs w:val="22"/>
          <w:lang w:val="en-GB"/>
        </w:rPr>
        <w:t xml:space="preserve"> or equity at a future date.</w:t>
      </w:r>
    </w:p>
    <w:p w14:paraId="5F5CA8D2"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A4.11.21</w:t>
      </w:r>
      <w:r w:rsidRPr="00E4265B">
        <w:rPr>
          <w:rFonts w:ascii="Arial" w:hAnsi="Arial" w:cs="Arial"/>
          <w:b/>
          <w:bCs/>
          <w:sz w:val="22"/>
          <w:szCs w:val="22"/>
          <w:lang w:val="en-GB"/>
        </w:rPr>
        <w:tab/>
      </w:r>
      <w:r w:rsidRPr="00E4265B">
        <w:rPr>
          <w:rFonts w:ascii="Arial" w:hAnsi="Arial" w:cs="Arial"/>
          <w:sz w:val="22"/>
          <w:szCs w:val="22"/>
          <w:lang w:val="en-GB"/>
        </w:rPr>
        <w:t>Where the equity leg of an equity swap is based on the change in value of an individual equity, it is treated as an Exposure to the Issuer of the equity.</w:t>
      </w:r>
    </w:p>
    <w:p w14:paraId="00C55DF4"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Guidance</w:t>
      </w:r>
    </w:p>
    <w:p w14:paraId="2EB20F11" w14:textId="77777777" w:rsidR="00E22FF2" w:rsidRPr="00E4265B" w:rsidRDefault="00E22FF2" w:rsidP="0001742B">
      <w:pPr>
        <w:pStyle w:val="UK12Block05"/>
        <w:rPr>
          <w:rFonts w:ascii="Arial" w:hAnsi="Arial" w:cs="Arial"/>
          <w:sz w:val="22"/>
          <w:szCs w:val="22"/>
          <w:lang w:val="en-GB"/>
        </w:rPr>
      </w:pPr>
      <w:r w:rsidRPr="00E4265B">
        <w:rPr>
          <w:rFonts w:ascii="Arial" w:hAnsi="Arial" w:cs="Arial"/>
          <w:sz w:val="22"/>
          <w:szCs w:val="22"/>
          <w:lang w:val="en-GB"/>
        </w:rPr>
        <w:t>An interest rate leg of an equity swap, or interest rate or currency swap does not generate an Exposure to an Issuer.</w:t>
      </w:r>
    </w:p>
    <w:p w14:paraId="7FF8C635"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A4.11.22</w:t>
      </w:r>
      <w:r w:rsidRPr="00E4265B">
        <w:rPr>
          <w:rFonts w:ascii="Arial" w:hAnsi="Arial" w:cs="Arial"/>
          <w:b/>
          <w:bCs/>
          <w:sz w:val="22"/>
          <w:szCs w:val="22"/>
          <w:lang w:val="en-GB"/>
        </w:rPr>
        <w:tab/>
      </w:r>
      <w:r w:rsidRPr="00E4265B">
        <w:rPr>
          <w:rFonts w:ascii="Arial" w:hAnsi="Arial" w:cs="Arial"/>
          <w:sz w:val="22"/>
          <w:szCs w:val="22"/>
          <w:lang w:val="en-GB"/>
        </w:rPr>
        <w:t xml:space="preserve">When determining its Exposure to an Issuer arising from an Option,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value the notional principal of an Option as the amount of principal underlying the Option.</w:t>
      </w:r>
    </w:p>
    <w:p w14:paraId="05D8CC17"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A4.11.23</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treat:</w:t>
      </w:r>
    </w:p>
    <w:p w14:paraId="691A4EB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 written put Option as a long position in the underlying instrument valued at the strike price;</w:t>
      </w:r>
    </w:p>
    <w:p w14:paraId="314AC3C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 written call Option as a short position in the underlying instrument valued at the strike price;</w:t>
      </w:r>
    </w:p>
    <w:p w14:paraId="1C46A34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a purchased put Option as a short position in the underlying instrument valued at the strike price; and</w:t>
      </w:r>
    </w:p>
    <w:p w14:paraId="5CF3CFA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a purchased call Option as a long position in the underlying instrument equal to the book value of the Option.</w:t>
      </w:r>
    </w:p>
    <w:p w14:paraId="10717410" w14:textId="247BEAF5" w:rsidR="00E22FF2" w:rsidRPr="00E4265B" w:rsidRDefault="00E22FF2" w:rsidP="00E23AA7">
      <w:pPr>
        <w:pStyle w:val="A1List"/>
        <w:rPr>
          <w:rFonts w:ascii="Arial" w:hAnsi="Arial" w:cs="Arial"/>
          <w:sz w:val="22"/>
          <w:szCs w:val="22"/>
          <w:lang w:val="en-GB"/>
        </w:rPr>
      </w:pPr>
      <w:r w:rsidRPr="00E4265B">
        <w:rPr>
          <w:rFonts w:ascii="Arial" w:hAnsi="Arial" w:cs="Arial"/>
          <w:b/>
          <w:bCs/>
          <w:sz w:val="22"/>
          <w:szCs w:val="22"/>
          <w:lang w:val="en-GB"/>
        </w:rPr>
        <w:t>A4.11.24</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for the purposes of </w:t>
      </w:r>
      <w:r w:rsidR="00E23AA7" w:rsidRPr="00E4265B">
        <w:rPr>
          <w:rFonts w:ascii="Arial" w:hAnsi="Arial" w:cs="Arial"/>
          <w:sz w:val="22"/>
          <w:szCs w:val="22"/>
          <w:lang w:val="en-GB"/>
        </w:rPr>
        <w:t>Large Exposures</w:t>
      </w:r>
      <w:r w:rsidRPr="00E4265B">
        <w:rPr>
          <w:rFonts w:ascii="Arial" w:hAnsi="Arial" w:cs="Arial"/>
          <w:sz w:val="22"/>
          <w:szCs w:val="22"/>
          <w:lang w:val="en-GB"/>
        </w:rPr>
        <w:t xml:space="preserve">, treat an Exposure to an Issuer arising from an index or basket of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or a non</w:t>
      </w:r>
      <w:r w:rsidRPr="00E4265B">
        <w:rPr>
          <w:rFonts w:ascii="Arial" w:hAnsi="Arial" w:cs="Arial"/>
          <w:sz w:val="22"/>
          <w:szCs w:val="22"/>
          <w:lang w:val="en-GB"/>
        </w:rPr>
        <w:noBreakHyphen/>
        <w:t>broad</w:t>
      </w:r>
      <w:r w:rsidRPr="00E4265B">
        <w:rPr>
          <w:rFonts w:ascii="Arial" w:hAnsi="Arial" w:cs="Arial"/>
          <w:sz w:val="22"/>
          <w:szCs w:val="22"/>
          <w:lang w:val="en-GB"/>
        </w:rPr>
        <w:noBreakHyphen/>
        <w:t>based equity index or basket, as a series of Exposures to the Issuers of the underlying instruments or equities in accordance with the procedures in Chapter 4.</w:t>
      </w:r>
    </w:p>
    <w:p w14:paraId="6B7E471A"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Guidance</w:t>
      </w:r>
    </w:p>
    <w:p w14:paraId="667AA09C" w14:textId="6734E5D9" w:rsidR="00E22FF2" w:rsidRPr="00E4265B" w:rsidRDefault="00E22FF2" w:rsidP="006F1948">
      <w:pPr>
        <w:pStyle w:val="UK12Block05"/>
        <w:rPr>
          <w:rFonts w:ascii="Arial" w:hAnsi="Arial" w:cs="Arial"/>
          <w:sz w:val="22"/>
          <w:szCs w:val="22"/>
          <w:lang w:val="en-GB"/>
        </w:rPr>
      </w:pPr>
      <w:r w:rsidRPr="00E4265B">
        <w:rPr>
          <w:rFonts w:ascii="Arial" w:hAnsi="Arial" w:cs="Arial"/>
          <w:sz w:val="22"/>
          <w:szCs w:val="22"/>
          <w:lang w:val="en-GB"/>
        </w:rPr>
        <w:t>Broadly</w:t>
      </w:r>
      <w:r w:rsidR="006F1948" w:rsidRPr="00E4265B">
        <w:rPr>
          <w:rFonts w:ascii="Arial" w:hAnsi="Arial" w:cs="Arial"/>
          <w:sz w:val="22"/>
          <w:szCs w:val="22"/>
          <w:lang w:val="en-GB"/>
        </w:rPr>
        <w:t>-</w:t>
      </w:r>
      <w:r w:rsidRPr="00E4265B">
        <w:rPr>
          <w:rFonts w:ascii="Arial" w:hAnsi="Arial" w:cs="Arial"/>
          <w:sz w:val="22"/>
          <w:szCs w:val="22"/>
          <w:lang w:val="en-GB"/>
        </w:rPr>
        <w:t>based equity indices should not be broken down into their constituent stocks. A position related to a broadly based equity index does not generate an Exposure to any Issuer.</w:t>
      </w:r>
    </w:p>
    <w:p w14:paraId="09707DBB" w14:textId="192A8AAC"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A4.11.25</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receives cash on a repurchase agreement must treat the cash as if it is on its balance sheet and in accordance with Sections 4.9 and 4.13. Any Collateral received against repurchase agreements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and </w:t>
      </w:r>
      <w:r w:rsidRPr="00E4265B">
        <w:rPr>
          <w:rFonts w:ascii="Arial" w:hAnsi="Arial" w:cs="Arial"/>
          <w:sz w:val="22"/>
          <w:szCs w:val="22"/>
          <w:lang w:val="en-GB"/>
        </w:rPr>
        <w:lastRenderedPageBreak/>
        <w:t>commodities borrowing must also be treated as a balance sheet item under Sections 4.9 and 4.13.</w:t>
      </w:r>
    </w:p>
    <w:p w14:paraId="3B94287B"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A4.11.26</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treat a reverse repurchase agreement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and commodities lending in its Non</w:t>
      </w:r>
      <w:r w:rsidRPr="00E4265B">
        <w:rPr>
          <w:rFonts w:ascii="Arial" w:hAnsi="Arial" w:cs="Arial"/>
          <w:sz w:val="22"/>
          <w:szCs w:val="22"/>
          <w:lang w:val="en-GB"/>
        </w:rPr>
        <w:noBreakHyphen/>
        <w:t xml:space="preserve">Trading Book as a collateralised loan and the Collateral it holds as an asset, provided that the Collateral is eligible financial Collateral as defined in Rule 4.13.5. If the Collateral is not such an eligible financial Collateral,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treat the transaction as an unsecured loan to the Counterparty.</w:t>
      </w:r>
    </w:p>
    <w:p w14:paraId="3DE1BD57"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A4.11.27</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with repurchase agreements and reverse repurchase agreements in its Trading Book has an Exposure to:</w:t>
      </w:r>
    </w:p>
    <w:p w14:paraId="18299776"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Issuer of the </w:t>
      </w:r>
      <w:r w:rsidR="00877CEA" w:rsidRPr="00E4265B">
        <w:rPr>
          <w:rFonts w:ascii="Arial" w:hAnsi="Arial" w:cs="Arial"/>
          <w:sz w:val="22"/>
          <w:szCs w:val="22"/>
          <w:lang w:val="en-GB"/>
        </w:rPr>
        <w:t>Security</w:t>
      </w:r>
      <w:r w:rsidRPr="00E4265B">
        <w:rPr>
          <w:rFonts w:ascii="Arial" w:hAnsi="Arial" w:cs="Arial"/>
          <w:sz w:val="22"/>
          <w:szCs w:val="22"/>
          <w:lang w:val="en-GB"/>
        </w:rPr>
        <w:t xml:space="preserve"> it has sold in a repurchase agreement; and</w:t>
      </w:r>
    </w:p>
    <w:p w14:paraId="0EA4501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Counterparty where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or cash given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exceed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or cash it receives (i.e. there is a net margin given by the </w:t>
      </w:r>
      <w:r w:rsidR="000D1A90" w:rsidRPr="00E4265B">
        <w:rPr>
          <w:rFonts w:ascii="Arial" w:hAnsi="Arial" w:cs="Arial"/>
          <w:sz w:val="22"/>
          <w:szCs w:val="22"/>
          <w:lang w:val="en-GB"/>
        </w:rPr>
        <w:t>Authorised Person</w:t>
      </w:r>
      <w:r w:rsidRPr="00E4265B">
        <w:rPr>
          <w:rFonts w:ascii="Arial" w:hAnsi="Arial" w:cs="Arial"/>
          <w:sz w:val="22"/>
          <w:szCs w:val="22"/>
          <w:lang w:val="en-GB"/>
        </w:rPr>
        <w:t>) in a repurchase agreement or reverse repurchase agreement.</w:t>
      </w:r>
    </w:p>
    <w:p w14:paraId="50A0CA4F" w14:textId="5CD5F67A" w:rsidR="00E22FF2" w:rsidRPr="00E4265B" w:rsidRDefault="00E22FF2" w:rsidP="00BA2690">
      <w:pPr>
        <w:pStyle w:val="A1List"/>
        <w:rPr>
          <w:rFonts w:ascii="Arial" w:hAnsi="Arial" w:cs="Arial"/>
          <w:sz w:val="22"/>
          <w:szCs w:val="22"/>
          <w:lang w:val="en-GB"/>
        </w:rPr>
      </w:pPr>
      <w:r w:rsidRPr="00E4265B">
        <w:rPr>
          <w:rFonts w:ascii="Arial" w:hAnsi="Arial" w:cs="Arial"/>
          <w:b/>
          <w:bCs/>
          <w:sz w:val="22"/>
          <w:szCs w:val="22"/>
          <w:lang w:val="en-GB"/>
        </w:rPr>
        <w:t>A4.11.28</w:t>
      </w:r>
      <w:r w:rsidR="00BA2690"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in accordance with Section 5.10 an Exposure to the Issuer arising from the Underwriting or 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 xml:space="preserve"> of a new Issue of </w:t>
      </w:r>
      <w:r w:rsidR="00877CEA" w:rsidRPr="00E4265B">
        <w:rPr>
          <w:rFonts w:ascii="Arial" w:hAnsi="Arial" w:cs="Arial"/>
          <w:sz w:val="22"/>
          <w:szCs w:val="22"/>
          <w:lang w:val="en-GB"/>
        </w:rPr>
        <w:t>Securities</w:t>
      </w:r>
      <w:r w:rsidRPr="00E4265B">
        <w:rPr>
          <w:rFonts w:ascii="Arial" w:hAnsi="Arial" w:cs="Arial"/>
          <w:sz w:val="22"/>
          <w:szCs w:val="22"/>
          <w:lang w:val="en-GB"/>
        </w:rPr>
        <w:t>.</w:t>
      </w:r>
    </w:p>
    <w:p w14:paraId="437E17A2" w14:textId="77777777" w:rsidR="00E22FF2" w:rsidRPr="00E4265B" w:rsidRDefault="00E22FF2" w:rsidP="004F0272">
      <w:pPr>
        <w:pStyle w:val="UK12Title2"/>
        <w:rPr>
          <w:rFonts w:ascii="Arial" w:hAnsi="Arial" w:cs="Arial"/>
          <w:sz w:val="22"/>
          <w:szCs w:val="22"/>
        </w:rPr>
      </w:pPr>
      <w:bookmarkStart w:id="980" w:name="_Toc33622489"/>
      <w:r w:rsidRPr="00E4265B">
        <w:rPr>
          <w:rFonts w:ascii="Arial" w:hAnsi="Arial" w:cs="Arial"/>
          <w:sz w:val="22"/>
          <w:szCs w:val="22"/>
        </w:rPr>
        <w:t>A4.12</w:t>
      </w:r>
      <w:r w:rsidRPr="00E4265B">
        <w:rPr>
          <w:rFonts w:ascii="Arial" w:hAnsi="Arial" w:cs="Arial"/>
          <w:sz w:val="22"/>
          <w:szCs w:val="22"/>
        </w:rPr>
        <w:tab/>
        <w:t>The Simplified Approach for Category 2 and 3A firms</w:t>
      </w:r>
      <w:bookmarkEnd w:id="980"/>
    </w:p>
    <w:p w14:paraId="575D8102"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A4.12.1</w:t>
      </w:r>
      <w:r w:rsidRPr="00E4265B">
        <w:rPr>
          <w:rFonts w:ascii="Arial" w:hAnsi="Arial" w:cs="Arial"/>
          <w:b/>
          <w:bCs/>
          <w:sz w:val="22"/>
          <w:szCs w:val="22"/>
          <w:lang w:val="en-GB"/>
        </w:rPr>
        <w:tab/>
      </w:r>
      <w:r w:rsidRPr="00E4265B">
        <w:rPr>
          <w:rFonts w:ascii="Arial" w:hAnsi="Arial" w:cs="Arial"/>
          <w:sz w:val="22"/>
          <w:szCs w:val="22"/>
          <w:lang w:val="en-GB"/>
        </w:rPr>
        <w:t xml:space="preserve">This Section applies only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Category 2 or 3A for the purposes of Section 4.7.</w:t>
      </w:r>
    </w:p>
    <w:p w14:paraId="392B1DCB"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A4.12.2</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that applies the Simplified Approach must comply with the requirements of Chapter 4 with the variations as prescribed below:</w:t>
      </w:r>
    </w:p>
    <w:p w14:paraId="4622B615"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Risk Weights</w:t>
      </w:r>
    </w:p>
    <w:p w14:paraId="3CB02C74" w14:textId="4FDF1F0C"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 xml:space="preserve">Central government and </w:t>
      </w:r>
      <w:r w:rsidR="00030214" w:rsidRPr="00E4265B">
        <w:rPr>
          <w:rFonts w:ascii="Arial" w:hAnsi="Arial" w:cs="Arial"/>
          <w:sz w:val="22"/>
          <w:szCs w:val="22"/>
          <w:lang w:val="en-GB"/>
        </w:rPr>
        <w:t>central bank</w:t>
      </w:r>
      <w:r w:rsidRPr="00E4265B">
        <w:rPr>
          <w:rFonts w:ascii="Arial" w:hAnsi="Arial" w:cs="Arial"/>
          <w:sz w:val="22"/>
          <w:szCs w:val="22"/>
          <w:lang w:val="en-GB"/>
        </w:rPr>
        <w:t xml:space="preserve"> asset class</w:t>
      </w:r>
    </w:p>
    <w:p w14:paraId="4DA63C66"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A4.12.3</w:t>
      </w:r>
      <w:r w:rsidRPr="00E4265B">
        <w:rPr>
          <w:rFonts w:ascii="Arial" w:hAnsi="Arial" w:cs="Arial"/>
          <w:b/>
          <w:bCs/>
          <w:sz w:val="22"/>
          <w:szCs w:val="22"/>
          <w:lang w:val="en-GB"/>
        </w:rPr>
        <w:tab/>
      </w:r>
      <w:r w:rsidRPr="00E4265B">
        <w:rPr>
          <w:rFonts w:ascii="Arial" w:hAnsi="Arial" w:cs="Arial"/>
          <w:sz w:val="22"/>
          <w:szCs w:val="22"/>
          <w:lang w:val="en-GB"/>
        </w:rPr>
        <w:t>Under the Simplified Approach, Rules 4.12.4 to 4.12.5 are replaced by Rules A4.12.4 to A4.12.6.</w:t>
      </w:r>
    </w:p>
    <w:p w14:paraId="7D680239" w14:textId="2BF228A7" w:rsidR="00E22FF2" w:rsidRPr="00E4265B" w:rsidRDefault="00E22FF2" w:rsidP="00D94632">
      <w:pPr>
        <w:pStyle w:val="A1List"/>
        <w:rPr>
          <w:rFonts w:ascii="Arial" w:hAnsi="Arial" w:cs="Arial"/>
          <w:sz w:val="22"/>
          <w:szCs w:val="22"/>
          <w:lang w:val="en-GB"/>
        </w:rPr>
      </w:pPr>
      <w:r w:rsidRPr="00E4265B">
        <w:rPr>
          <w:rFonts w:ascii="Arial" w:hAnsi="Arial" w:cs="Arial"/>
          <w:b/>
          <w:bCs/>
          <w:sz w:val="22"/>
          <w:szCs w:val="22"/>
          <w:lang w:val="en-GB"/>
        </w:rPr>
        <w:t>A4.12.4</w:t>
      </w:r>
      <w:r w:rsidRPr="00E4265B">
        <w:rPr>
          <w:rFonts w:ascii="Arial" w:hAnsi="Arial" w:cs="Arial"/>
          <w:b/>
          <w:bCs/>
          <w:sz w:val="22"/>
          <w:szCs w:val="22"/>
          <w:lang w:val="en-GB"/>
        </w:rPr>
        <w:tab/>
      </w:r>
      <w:r w:rsidRPr="00E4265B">
        <w:rPr>
          <w:rFonts w:ascii="Arial" w:hAnsi="Arial" w:cs="Arial"/>
          <w:sz w:val="22"/>
          <w:szCs w:val="22"/>
          <w:lang w:val="en-GB"/>
        </w:rPr>
        <w:t xml:space="preserve">Subject to Rules A4.12.5 and A4.12.6,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risk</w:t>
      </w:r>
      <w:r w:rsidRPr="00E4265B">
        <w:rPr>
          <w:rFonts w:ascii="Arial" w:hAnsi="Arial" w:cs="Arial"/>
          <w:sz w:val="22"/>
          <w:szCs w:val="22"/>
          <w:lang w:val="en-GB"/>
        </w:rPr>
        <w:noBreakHyphen/>
        <w:t xml:space="preserve">weight any CR Exposure </w:t>
      </w:r>
      <w:r w:rsidR="00D94632" w:rsidRPr="00E4265B">
        <w:rPr>
          <w:rFonts w:ascii="Arial" w:hAnsi="Arial" w:cs="Arial"/>
          <w:sz w:val="22"/>
          <w:szCs w:val="22"/>
          <w:lang w:val="en-GB"/>
        </w:rPr>
        <w:t>in</w:t>
      </w:r>
      <w:r w:rsidRPr="00E4265B">
        <w:rPr>
          <w:rFonts w:ascii="Arial" w:hAnsi="Arial" w:cs="Arial"/>
          <w:sz w:val="22"/>
          <w:szCs w:val="22"/>
          <w:lang w:val="en-GB"/>
        </w:rPr>
        <w:t xml:space="preserve"> the central government and </w:t>
      </w:r>
      <w:r w:rsidR="00030214" w:rsidRPr="00E4265B">
        <w:rPr>
          <w:rFonts w:ascii="Arial" w:hAnsi="Arial" w:cs="Arial"/>
          <w:sz w:val="22"/>
          <w:szCs w:val="22"/>
          <w:lang w:val="en-GB"/>
        </w:rPr>
        <w:t>central bank</w:t>
      </w:r>
      <w:r w:rsidRPr="00E4265B">
        <w:rPr>
          <w:rFonts w:ascii="Arial" w:hAnsi="Arial" w:cs="Arial"/>
          <w:sz w:val="22"/>
          <w:szCs w:val="22"/>
          <w:lang w:val="en-GB"/>
        </w:rPr>
        <w:t xml:space="preserve"> asset class on the basis of the consensus country risk </w:t>
      </w:r>
      <w:r w:rsidR="00EF29A4" w:rsidRPr="00E4265B">
        <w:rPr>
          <w:rFonts w:ascii="Arial" w:hAnsi="Arial" w:cs="Arial"/>
          <w:sz w:val="22"/>
          <w:szCs w:val="22"/>
          <w:lang w:val="en-GB"/>
        </w:rPr>
        <w:t>classifications</w:t>
      </w:r>
      <w:r w:rsidRPr="00E4265B">
        <w:rPr>
          <w:rFonts w:ascii="Arial" w:hAnsi="Arial" w:cs="Arial"/>
          <w:sz w:val="22"/>
          <w:szCs w:val="22"/>
          <w:lang w:val="en-GB"/>
        </w:rPr>
        <w:t xml:space="preserve"> of export credit agencies (referred to in this Section as "ECA") participating in the OECD's "Arrangement on Officially Supported Export Credits" and in accordance with the table below.</w:t>
      </w:r>
    </w:p>
    <w:p w14:paraId="1A2A3780" w14:textId="32F80C82" w:rsidR="00E22FF2" w:rsidRPr="00E4265B" w:rsidRDefault="00E22FF2" w:rsidP="009F5821">
      <w:pPr>
        <w:pStyle w:val="UK12Block05"/>
        <w:spacing w:after="0"/>
        <w:rPr>
          <w:rFonts w:ascii="Arial" w:hAnsi="Arial" w:cs="Arial"/>
          <w:sz w:val="22"/>
          <w:szCs w:val="22"/>
          <w:lang w:val="en-GB"/>
        </w:rPr>
      </w:pPr>
      <w:r w:rsidRPr="00E4265B">
        <w:rPr>
          <w:rFonts w:ascii="Arial" w:hAnsi="Arial" w:cs="Arial"/>
          <w:sz w:val="22"/>
          <w:szCs w:val="22"/>
          <w:lang w:val="en-GB"/>
        </w:rPr>
        <w:t xml:space="preserve">Risk weights for the central government and </w:t>
      </w:r>
      <w:r w:rsidR="00030214" w:rsidRPr="00E4265B">
        <w:rPr>
          <w:rFonts w:ascii="Arial" w:hAnsi="Arial" w:cs="Arial"/>
          <w:sz w:val="22"/>
          <w:szCs w:val="22"/>
          <w:lang w:val="en-GB"/>
        </w:rPr>
        <w:t>central bank</w:t>
      </w:r>
      <w:r w:rsidRPr="00E4265B">
        <w:rPr>
          <w:rFonts w:ascii="Arial" w:hAnsi="Arial" w:cs="Arial"/>
          <w:sz w:val="22"/>
          <w:szCs w:val="22"/>
          <w:lang w:val="en-GB"/>
        </w:rPr>
        <w:t xml:space="preserve"> asset class</w:t>
      </w:r>
    </w:p>
    <w:p w14:paraId="79DC9FE4" w14:textId="77777777" w:rsidR="006F1948" w:rsidRPr="00E4265B" w:rsidRDefault="006F1948" w:rsidP="009F5821">
      <w:pPr>
        <w:pStyle w:val="UK12Block05"/>
        <w:spacing w:after="0"/>
        <w:rPr>
          <w:rFonts w:ascii="Arial" w:hAnsi="Arial" w:cs="Arial"/>
          <w:sz w:val="22"/>
          <w:szCs w:val="22"/>
          <w:lang w:val="en-GB"/>
        </w:rPr>
      </w:pPr>
    </w:p>
    <w:tbl>
      <w:tblPr>
        <w:tblStyle w:val="TableGrid"/>
        <w:tblW w:w="4406" w:type="pct"/>
        <w:tblInd w:w="1098" w:type="dxa"/>
        <w:tblLook w:val="04A0" w:firstRow="1" w:lastRow="0" w:firstColumn="1" w:lastColumn="0" w:noHBand="0" w:noVBand="1"/>
      </w:tblPr>
      <w:tblGrid>
        <w:gridCol w:w="2108"/>
        <w:gridCol w:w="1168"/>
        <w:gridCol w:w="1168"/>
        <w:gridCol w:w="1168"/>
        <w:gridCol w:w="1168"/>
        <w:gridCol w:w="1166"/>
      </w:tblGrid>
      <w:tr w:rsidR="00E22FF2" w:rsidRPr="00E4265B" w14:paraId="5782227D" w14:textId="77777777" w:rsidTr="006F1948">
        <w:trPr>
          <w:trHeight w:val="322"/>
        </w:trPr>
        <w:tc>
          <w:tcPr>
            <w:tcW w:w="1326" w:type="pct"/>
            <w:shd w:val="clear" w:color="auto" w:fill="D9D9D9" w:themeFill="background1" w:themeFillShade="D9"/>
            <w:vAlign w:val="bottom"/>
          </w:tcPr>
          <w:p w14:paraId="609FE777" w14:textId="77777777" w:rsidR="00E22FF2" w:rsidRPr="00E4265B" w:rsidRDefault="00EF29A4" w:rsidP="009F5821">
            <w:pPr>
              <w:rPr>
                <w:rFonts w:ascii="Arial" w:hAnsi="Arial" w:cs="Arial"/>
                <w:sz w:val="22"/>
                <w:szCs w:val="22"/>
                <w:lang w:val="en-GB"/>
              </w:rPr>
            </w:pPr>
            <w:r w:rsidRPr="00E4265B">
              <w:rPr>
                <w:rFonts w:ascii="Arial" w:hAnsi="Arial" w:cs="Arial"/>
                <w:sz w:val="22"/>
                <w:szCs w:val="22"/>
                <w:lang w:val="en-GB"/>
              </w:rPr>
              <w:t>Country risk classification</w:t>
            </w:r>
          </w:p>
        </w:tc>
        <w:tc>
          <w:tcPr>
            <w:tcW w:w="735" w:type="pct"/>
            <w:vAlign w:val="center"/>
          </w:tcPr>
          <w:p w14:paraId="717FA262" w14:textId="77777777" w:rsidR="00E22FF2" w:rsidRPr="00E4265B" w:rsidRDefault="00EF29A4" w:rsidP="006F1948">
            <w:pPr>
              <w:jc w:val="center"/>
              <w:rPr>
                <w:rFonts w:ascii="Arial" w:hAnsi="Arial" w:cs="Arial"/>
                <w:sz w:val="22"/>
                <w:szCs w:val="22"/>
                <w:lang w:val="en-GB"/>
              </w:rPr>
            </w:pPr>
            <w:r w:rsidRPr="00E4265B">
              <w:rPr>
                <w:rFonts w:ascii="Arial" w:hAnsi="Arial" w:cs="Arial"/>
                <w:sz w:val="22"/>
                <w:szCs w:val="22"/>
                <w:lang w:val="en-GB"/>
              </w:rPr>
              <w:t xml:space="preserve">0 or </w:t>
            </w:r>
            <w:r w:rsidR="00E22FF2" w:rsidRPr="00E4265B">
              <w:rPr>
                <w:rFonts w:ascii="Arial" w:hAnsi="Arial" w:cs="Arial"/>
                <w:sz w:val="22"/>
                <w:szCs w:val="22"/>
                <w:lang w:val="en-GB"/>
              </w:rPr>
              <w:t>1</w:t>
            </w:r>
          </w:p>
        </w:tc>
        <w:tc>
          <w:tcPr>
            <w:tcW w:w="735" w:type="pct"/>
            <w:vAlign w:val="center"/>
          </w:tcPr>
          <w:p w14:paraId="488587DB" w14:textId="77777777" w:rsidR="00E22FF2" w:rsidRPr="00E4265B" w:rsidRDefault="00E22FF2" w:rsidP="006F1948">
            <w:pPr>
              <w:jc w:val="center"/>
              <w:rPr>
                <w:rFonts w:ascii="Arial" w:hAnsi="Arial" w:cs="Arial"/>
                <w:sz w:val="22"/>
                <w:szCs w:val="22"/>
                <w:lang w:val="en-GB"/>
              </w:rPr>
            </w:pPr>
            <w:r w:rsidRPr="00E4265B">
              <w:rPr>
                <w:rFonts w:ascii="Arial" w:hAnsi="Arial" w:cs="Arial"/>
                <w:sz w:val="22"/>
                <w:szCs w:val="22"/>
                <w:lang w:val="en-GB"/>
              </w:rPr>
              <w:t>2</w:t>
            </w:r>
          </w:p>
        </w:tc>
        <w:tc>
          <w:tcPr>
            <w:tcW w:w="735" w:type="pct"/>
            <w:vAlign w:val="center"/>
          </w:tcPr>
          <w:p w14:paraId="45B9B8F2" w14:textId="77777777" w:rsidR="00E22FF2" w:rsidRPr="00E4265B" w:rsidRDefault="00E22FF2" w:rsidP="006F1948">
            <w:pPr>
              <w:jc w:val="center"/>
              <w:rPr>
                <w:rFonts w:ascii="Arial" w:hAnsi="Arial" w:cs="Arial"/>
                <w:sz w:val="22"/>
                <w:szCs w:val="22"/>
                <w:lang w:val="en-GB"/>
              </w:rPr>
            </w:pPr>
            <w:r w:rsidRPr="00E4265B">
              <w:rPr>
                <w:rFonts w:ascii="Arial" w:hAnsi="Arial" w:cs="Arial"/>
                <w:sz w:val="22"/>
                <w:szCs w:val="22"/>
                <w:lang w:val="en-GB"/>
              </w:rPr>
              <w:t>3</w:t>
            </w:r>
          </w:p>
        </w:tc>
        <w:tc>
          <w:tcPr>
            <w:tcW w:w="735" w:type="pct"/>
            <w:vAlign w:val="center"/>
          </w:tcPr>
          <w:p w14:paraId="00F8F455" w14:textId="77777777" w:rsidR="00E22FF2" w:rsidRPr="00E4265B" w:rsidRDefault="00E22FF2" w:rsidP="006F1948">
            <w:pPr>
              <w:jc w:val="center"/>
              <w:rPr>
                <w:rFonts w:ascii="Arial" w:hAnsi="Arial" w:cs="Arial"/>
                <w:sz w:val="22"/>
                <w:szCs w:val="22"/>
                <w:lang w:val="en-GB"/>
              </w:rPr>
            </w:pPr>
            <w:r w:rsidRPr="00E4265B">
              <w:rPr>
                <w:rFonts w:ascii="Arial" w:hAnsi="Arial" w:cs="Arial"/>
                <w:sz w:val="22"/>
                <w:szCs w:val="22"/>
                <w:lang w:val="en-GB"/>
              </w:rPr>
              <w:t>4 </w:t>
            </w:r>
            <w:r w:rsidR="00EF29A4" w:rsidRPr="00E4265B">
              <w:rPr>
                <w:rFonts w:ascii="Arial" w:hAnsi="Arial" w:cs="Arial"/>
                <w:sz w:val="22"/>
                <w:szCs w:val="22"/>
                <w:lang w:val="en-GB"/>
              </w:rPr>
              <w:t>to</w:t>
            </w:r>
            <w:r w:rsidRPr="00E4265B">
              <w:rPr>
                <w:rFonts w:ascii="Arial" w:hAnsi="Arial" w:cs="Arial"/>
                <w:sz w:val="22"/>
                <w:szCs w:val="22"/>
                <w:lang w:val="en-GB"/>
              </w:rPr>
              <w:t xml:space="preserve"> 6</w:t>
            </w:r>
          </w:p>
        </w:tc>
        <w:tc>
          <w:tcPr>
            <w:tcW w:w="735" w:type="pct"/>
            <w:vAlign w:val="center"/>
          </w:tcPr>
          <w:p w14:paraId="69C2213D" w14:textId="77777777" w:rsidR="00E22FF2" w:rsidRPr="00E4265B" w:rsidRDefault="00E22FF2" w:rsidP="006F1948">
            <w:pPr>
              <w:jc w:val="center"/>
              <w:rPr>
                <w:rFonts w:ascii="Arial" w:hAnsi="Arial" w:cs="Arial"/>
                <w:sz w:val="22"/>
                <w:szCs w:val="22"/>
                <w:lang w:val="en-GB"/>
              </w:rPr>
            </w:pPr>
            <w:r w:rsidRPr="00E4265B">
              <w:rPr>
                <w:rFonts w:ascii="Arial" w:hAnsi="Arial" w:cs="Arial"/>
                <w:sz w:val="22"/>
                <w:szCs w:val="22"/>
                <w:lang w:val="en-GB"/>
              </w:rPr>
              <w:t>7</w:t>
            </w:r>
          </w:p>
        </w:tc>
      </w:tr>
      <w:tr w:rsidR="00E22FF2" w:rsidRPr="00E4265B" w14:paraId="38BA9697" w14:textId="77777777" w:rsidTr="009F5821">
        <w:trPr>
          <w:trHeight w:val="338"/>
        </w:trPr>
        <w:tc>
          <w:tcPr>
            <w:tcW w:w="1326" w:type="pct"/>
            <w:shd w:val="clear" w:color="auto" w:fill="D9D9D9" w:themeFill="background1" w:themeFillShade="D9"/>
            <w:vAlign w:val="bottom"/>
          </w:tcPr>
          <w:p w14:paraId="3671E7FB" w14:textId="77777777" w:rsidR="00E22FF2" w:rsidRPr="00E4265B" w:rsidRDefault="00E22FF2" w:rsidP="009F5821">
            <w:pPr>
              <w:rPr>
                <w:rFonts w:ascii="Arial" w:hAnsi="Arial" w:cs="Arial"/>
                <w:sz w:val="22"/>
                <w:szCs w:val="22"/>
                <w:lang w:val="en-GB"/>
              </w:rPr>
            </w:pPr>
            <w:r w:rsidRPr="00E4265B">
              <w:rPr>
                <w:rFonts w:ascii="Arial" w:hAnsi="Arial" w:cs="Arial"/>
                <w:sz w:val="22"/>
                <w:szCs w:val="22"/>
                <w:lang w:val="en-GB"/>
              </w:rPr>
              <w:t>Risk Weights</w:t>
            </w:r>
          </w:p>
        </w:tc>
        <w:tc>
          <w:tcPr>
            <w:tcW w:w="735" w:type="pct"/>
            <w:vAlign w:val="bottom"/>
          </w:tcPr>
          <w:p w14:paraId="4ADD6877" w14:textId="77777777" w:rsidR="00E22FF2" w:rsidRPr="00E4265B" w:rsidRDefault="00E22FF2" w:rsidP="006F1948">
            <w:pPr>
              <w:jc w:val="center"/>
              <w:rPr>
                <w:rFonts w:ascii="Arial" w:hAnsi="Arial" w:cs="Arial"/>
                <w:sz w:val="22"/>
                <w:szCs w:val="22"/>
                <w:lang w:val="en-GB"/>
              </w:rPr>
            </w:pPr>
            <w:r w:rsidRPr="00E4265B">
              <w:rPr>
                <w:rFonts w:ascii="Arial" w:hAnsi="Arial" w:cs="Arial"/>
                <w:sz w:val="22"/>
                <w:szCs w:val="22"/>
                <w:lang w:val="en-GB"/>
              </w:rPr>
              <w:t>0%</w:t>
            </w:r>
          </w:p>
        </w:tc>
        <w:tc>
          <w:tcPr>
            <w:tcW w:w="735" w:type="pct"/>
            <w:vAlign w:val="bottom"/>
          </w:tcPr>
          <w:p w14:paraId="2AFD86BB" w14:textId="77777777" w:rsidR="00E22FF2" w:rsidRPr="00E4265B" w:rsidRDefault="00E22FF2" w:rsidP="006F1948">
            <w:pPr>
              <w:jc w:val="center"/>
              <w:rPr>
                <w:rFonts w:ascii="Arial" w:hAnsi="Arial" w:cs="Arial"/>
                <w:sz w:val="22"/>
                <w:szCs w:val="22"/>
                <w:lang w:val="en-GB"/>
              </w:rPr>
            </w:pPr>
            <w:r w:rsidRPr="00E4265B">
              <w:rPr>
                <w:rFonts w:ascii="Arial" w:hAnsi="Arial" w:cs="Arial"/>
                <w:sz w:val="22"/>
                <w:szCs w:val="22"/>
                <w:lang w:val="en-GB"/>
              </w:rPr>
              <w:t>20%</w:t>
            </w:r>
          </w:p>
        </w:tc>
        <w:tc>
          <w:tcPr>
            <w:tcW w:w="735" w:type="pct"/>
            <w:vAlign w:val="bottom"/>
          </w:tcPr>
          <w:p w14:paraId="5B26842E" w14:textId="77777777" w:rsidR="00E22FF2" w:rsidRPr="00E4265B" w:rsidRDefault="00E22FF2" w:rsidP="006F1948">
            <w:pPr>
              <w:jc w:val="center"/>
              <w:rPr>
                <w:rFonts w:ascii="Arial" w:hAnsi="Arial" w:cs="Arial"/>
                <w:sz w:val="22"/>
                <w:szCs w:val="22"/>
                <w:lang w:val="en-GB"/>
              </w:rPr>
            </w:pPr>
            <w:r w:rsidRPr="00E4265B">
              <w:rPr>
                <w:rFonts w:ascii="Arial" w:hAnsi="Arial" w:cs="Arial"/>
                <w:sz w:val="22"/>
                <w:szCs w:val="22"/>
                <w:lang w:val="en-GB"/>
              </w:rPr>
              <w:t>50%</w:t>
            </w:r>
          </w:p>
        </w:tc>
        <w:tc>
          <w:tcPr>
            <w:tcW w:w="735" w:type="pct"/>
            <w:vAlign w:val="bottom"/>
          </w:tcPr>
          <w:p w14:paraId="6FA9C727" w14:textId="77777777" w:rsidR="00E22FF2" w:rsidRPr="00E4265B" w:rsidRDefault="00E22FF2" w:rsidP="006F1948">
            <w:pPr>
              <w:jc w:val="center"/>
              <w:rPr>
                <w:rFonts w:ascii="Arial" w:hAnsi="Arial" w:cs="Arial"/>
                <w:sz w:val="22"/>
                <w:szCs w:val="22"/>
                <w:lang w:val="en-GB"/>
              </w:rPr>
            </w:pPr>
            <w:r w:rsidRPr="00E4265B">
              <w:rPr>
                <w:rFonts w:ascii="Arial" w:hAnsi="Arial" w:cs="Arial"/>
                <w:sz w:val="22"/>
                <w:szCs w:val="22"/>
                <w:lang w:val="en-GB"/>
              </w:rPr>
              <w:t>100%</w:t>
            </w:r>
          </w:p>
        </w:tc>
        <w:tc>
          <w:tcPr>
            <w:tcW w:w="735" w:type="pct"/>
            <w:vAlign w:val="bottom"/>
          </w:tcPr>
          <w:p w14:paraId="5F4A1954" w14:textId="77777777" w:rsidR="00E22FF2" w:rsidRPr="00E4265B" w:rsidRDefault="00E22FF2" w:rsidP="006F1948">
            <w:pPr>
              <w:jc w:val="center"/>
              <w:rPr>
                <w:rFonts w:ascii="Arial" w:hAnsi="Arial" w:cs="Arial"/>
                <w:sz w:val="22"/>
                <w:szCs w:val="22"/>
                <w:lang w:val="en-GB"/>
              </w:rPr>
            </w:pPr>
            <w:r w:rsidRPr="00E4265B">
              <w:rPr>
                <w:rFonts w:ascii="Arial" w:hAnsi="Arial" w:cs="Arial"/>
                <w:sz w:val="22"/>
                <w:szCs w:val="22"/>
                <w:lang w:val="en-GB"/>
              </w:rPr>
              <w:t>150%</w:t>
            </w:r>
          </w:p>
        </w:tc>
      </w:tr>
    </w:tbl>
    <w:p w14:paraId="692FE7FC" w14:textId="77777777" w:rsidR="00E22FF2" w:rsidRPr="00E4265B" w:rsidRDefault="00E22FF2" w:rsidP="00221430">
      <w:pPr>
        <w:rPr>
          <w:rFonts w:ascii="Arial" w:hAnsi="Arial" w:cs="Arial"/>
          <w:sz w:val="22"/>
          <w:szCs w:val="22"/>
          <w:lang w:val="en-GB"/>
        </w:rPr>
      </w:pPr>
    </w:p>
    <w:p w14:paraId="6DE3932C"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Guidance</w:t>
      </w:r>
    </w:p>
    <w:p w14:paraId="4E91FD03" w14:textId="1E3DE819" w:rsidR="00E22FF2" w:rsidRPr="00E4265B" w:rsidRDefault="009B33EA" w:rsidP="009F5821">
      <w:pPr>
        <w:pStyle w:val="UK12Block05"/>
        <w:rPr>
          <w:rFonts w:ascii="Arial" w:hAnsi="Arial" w:cs="Arial"/>
          <w:sz w:val="22"/>
          <w:szCs w:val="22"/>
          <w:lang w:val="en-GB"/>
        </w:rPr>
      </w:pPr>
      <w:r w:rsidRPr="00E4265B">
        <w:rPr>
          <w:rFonts w:ascii="Arial" w:hAnsi="Arial" w:cs="Arial"/>
          <w:sz w:val="22"/>
          <w:szCs w:val="22"/>
          <w:lang w:val="en-GB"/>
        </w:rPr>
        <w:t xml:space="preserve">The consensus country risk classification for the purpose of the "Arrangement on Officially Supported Export Credits" is published by the OECD.  At the time of the making of these Rules, the classification was available on the website of </w:t>
      </w:r>
      <w:r w:rsidR="00BB2715" w:rsidRPr="00E4265B">
        <w:rPr>
          <w:rFonts w:ascii="Arial" w:hAnsi="Arial" w:cs="Arial"/>
          <w:sz w:val="22"/>
          <w:szCs w:val="22"/>
          <w:lang w:val="en-GB"/>
        </w:rPr>
        <w:t xml:space="preserve">the </w:t>
      </w:r>
      <w:r w:rsidRPr="00E4265B">
        <w:rPr>
          <w:rFonts w:ascii="Arial" w:hAnsi="Arial" w:cs="Arial"/>
          <w:sz w:val="22"/>
          <w:szCs w:val="22"/>
          <w:lang w:val="en-GB"/>
        </w:rPr>
        <w:t xml:space="preserve">OECD </w:t>
      </w:r>
      <w:r w:rsidRPr="00E4265B">
        <w:rPr>
          <w:rFonts w:ascii="Arial" w:hAnsi="Arial" w:cs="Arial"/>
          <w:sz w:val="22"/>
          <w:szCs w:val="22"/>
          <w:lang w:val="en-GB"/>
        </w:rPr>
        <w:lastRenderedPageBreak/>
        <w:t>on the Export Credit Arr</w:t>
      </w:r>
      <w:r w:rsidR="00EF29A4" w:rsidRPr="00E4265B">
        <w:rPr>
          <w:rFonts w:ascii="Arial" w:hAnsi="Arial" w:cs="Arial"/>
          <w:sz w:val="22"/>
          <w:szCs w:val="22"/>
          <w:lang w:val="en-GB"/>
        </w:rPr>
        <w:t>angement web-page of the Trade</w:t>
      </w:r>
      <w:r w:rsidRPr="00E4265B">
        <w:rPr>
          <w:rFonts w:ascii="Arial" w:hAnsi="Arial" w:cs="Arial"/>
          <w:sz w:val="22"/>
          <w:szCs w:val="22"/>
          <w:lang w:val="en-GB"/>
        </w:rPr>
        <w:t xml:space="preserve"> and Agriculture </w:t>
      </w:r>
      <w:r w:rsidR="00EF29A4" w:rsidRPr="00E4265B">
        <w:rPr>
          <w:rFonts w:ascii="Arial" w:hAnsi="Arial" w:cs="Arial"/>
          <w:sz w:val="22"/>
          <w:szCs w:val="22"/>
          <w:lang w:val="en-GB"/>
        </w:rPr>
        <w:t>Di</w:t>
      </w:r>
      <w:r w:rsidRPr="00E4265B">
        <w:rPr>
          <w:rFonts w:ascii="Arial" w:hAnsi="Arial" w:cs="Arial"/>
          <w:sz w:val="22"/>
          <w:szCs w:val="22"/>
          <w:lang w:val="en-GB"/>
        </w:rPr>
        <w:t>rectorate (http://www.oecd.org/t</w:t>
      </w:r>
      <w:r w:rsidR="00EF29A4" w:rsidRPr="00E4265B">
        <w:rPr>
          <w:rFonts w:ascii="Arial" w:hAnsi="Arial" w:cs="Arial"/>
          <w:sz w:val="22"/>
          <w:szCs w:val="22"/>
          <w:lang w:val="en-GB"/>
        </w:rPr>
        <w:t>r</w:t>
      </w:r>
      <w:r w:rsidRPr="00E4265B">
        <w:rPr>
          <w:rFonts w:ascii="Arial" w:hAnsi="Arial" w:cs="Arial"/>
          <w:sz w:val="22"/>
          <w:szCs w:val="22"/>
          <w:lang w:val="en-GB"/>
        </w:rPr>
        <w:t>ad</w:t>
      </w:r>
      <w:r w:rsidR="00EF29A4" w:rsidRPr="00E4265B">
        <w:rPr>
          <w:rFonts w:ascii="Arial" w:hAnsi="Arial" w:cs="Arial"/>
          <w:sz w:val="22"/>
          <w:szCs w:val="22"/>
          <w:lang w:val="en-GB"/>
        </w:rPr>
        <w:t>e</w:t>
      </w:r>
      <w:r w:rsidRPr="00E4265B">
        <w:rPr>
          <w:rFonts w:ascii="Arial" w:hAnsi="Arial" w:cs="Arial"/>
          <w:sz w:val="22"/>
          <w:szCs w:val="22"/>
          <w:lang w:val="en-GB"/>
        </w:rPr>
        <w:t>/xcred/</w:t>
      </w:r>
      <w:r w:rsidR="00EF29A4" w:rsidRPr="00E4265B">
        <w:rPr>
          <w:rFonts w:ascii="Arial" w:hAnsi="Arial" w:cs="Arial"/>
          <w:sz w:val="22"/>
          <w:szCs w:val="22"/>
          <w:lang w:val="en-GB"/>
        </w:rPr>
        <w:t>cre-crc-current-english.pdf</w:t>
      </w:r>
      <w:r w:rsidRPr="00E4265B">
        <w:rPr>
          <w:rFonts w:ascii="Arial" w:hAnsi="Arial" w:cs="Arial"/>
          <w:sz w:val="22"/>
          <w:szCs w:val="22"/>
          <w:lang w:val="en-GB"/>
        </w:rPr>
        <w:t>).</w:t>
      </w:r>
    </w:p>
    <w:p w14:paraId="51A44A02" w14:textId="5D121EF3"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A4.12.5</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apply a 0% risk weight to any CR Exposure to any central government or any </w:t>
      </w:r>
      <w:r w:rsidR="00030214" w:rsidRPr="00E4265B">
        <w:rPr>
          <w:rFonts w:ascii="Arial" w:hAnsi="Arial" w:cs="Arial"/>
          <w:sz w:val="22"/>
          <w:szCs w:val="22"/>
          <w:lang w:val="en-GB"/>
        </w:rPr>
        <w:t>central bank</w:t>
      </w:r>
      <w:r w:rsidRPr="00E4265B">
        <w:rPr>
          <w:rFonts w:ascii="Arial" w:hAnsi="Arial" w:cs="Arial"/>
          <w:sz w:val="22"/>
          <w:szCs w:val="22"/>
          <w:lang w:val="en-GB"/>
        </w:rPr>
        <w:t xml:space="preserve"> of a GCC member country, which is denominated in the domestic currency, and funded in the domestic currency of that GCC member country.</w:t>
      </w:r>
    </w:p>
    <w:p w14:paraId="26B81A7A" w14:textId="220F8B55"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A4.12.6</w:t>
      </w:r>
      <w:r w:rsidRPr="00E4265B">
        <w:rPr>
          <w:rFonts w:ascii="Arial" w:hAnsi="Arial" w:cs="Arial"/>
          <w:b/>
          <w:bCs/>
          <w:sz w:val="22"/>
          <w:szCs w:val="22"/>
          <w:lang w:val="en-GB"/>
        </w:rPr>
        <w:tab/>
      </w:r>
      <w:r w:rsidRPr="00E4265B">
        <w:rPr>
          <w:rFonts w:ascii="Arial" w:hAnsi="Arial" w:cs="Arial"/>
          <w:sz w:val="22"/>
          <w:szCs w:val="22"/>
          <w:lang w:val="en-GB"/>
        </w:rPr>
        <w:t xml:space="preserve">For any CR Exposure to any other central government or </w:t>
      </w:r>
      <w:r w:rsidR="00030214" w:rsidRPr="00E4265B">
        <w:rPr>
          <w:rFonts w:ascii="Arial" w:hAnsi="Arial" w:cs="Arial"/>
          <w:sz w:val="22"/>
          <w:szCs w:val="22"/>
          <w:lang w:val="en-GB"/>
        </w:rPr>
        <w:t>central bank</w:t>
      </w:r>
      <w:r w:rsidRPr="00E4265B">
        <w:rPr>
          <w:rFonts w:ascii="Arial" w:hAnsi="Arial" w:cs="Arial"/>
          <w:sz w:val="22"/>
          <w:szCs w:val="22"/>
          <w:lang w:val="en-GB"/>
        </w:rPr>
        <w:t xml:space="preserve"> which is denominated and funded in the local currency of that jurisdiction,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apply such risk weights as may be specified by the banking regulator of that jurisdiction.</w:t>
      </w:r>
    </w:p>
    <w:p w14:paraId="7FDC756F"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Bank asset class</w:t>
      </w:r>
    </w:p>
    <w:p w14:paraId="47922F97" w14:textId="77777777" w:rsidR="00E22FF2" w:rsidRPr="00E4265B" w:rsidRDefault="00E22FF2" w:rsidP="009F5821">
      <w:pPr>
        <w:pStyle w:val="A1List"/>
        <w:rPr>
          <w:rFonts w:ascii="Arial" w:hAnsi="Arial" w:cs="Arial"/>
          <w:sz w:val="22"/>
          <w:szCs w:val="22"/>
          <w:lang w:val="en-GB"/>
        </w:rPr>
      </w:pPr>
      <w:r w:rsidRPr="00E4265B">
        <w:rPr>
          <w:rFonts w:ascii="Arial" w:hAnsi="Arial" w:cs="Arial"/>
          <w:b/>
          <w:bCs/>
          <w:sz w:val="22"/>
          <w:szCs w:val="22"/>
          <w:lang w:val="en-GB"/>
        </w:rPr>
        <w:t>A4.12.7</w:t>
      </w:r>
      <w:r w:rsidRPr="00E4265B">
        <w:rPr>
          <w:rFonts w:ascii="Arial" w:hAnsi="Arial" w:cs="Arial"/>
          <w:b/>
          <w:bCs/>
          <w:sz w:val="22"/>
          <w:szCs w:val="22"/>
          <w:lang w:val="en-GB"/>
        </w:rPr>
        <w:tab/>
      </w:r>
      <w:r w:rsidRPr="00E4265B">
        <w:rPr>
          <w:rFonts w:ascii="Arial" w:hAnsi="Arial" w:cs="Arial"/>
          <w:sz w:val="22"/>
          <w:szCs w:val="22"/>
          <w:lang w:val="en-GB"/>
        </w:rPr>
        <w:t>Under the Simplified Approach, Rules 4.12.10 to 4.12.12 are replaced by the following Rule A4.12.8.</w:t>
      </w:r>
    </w:p>
    <w:p w14:paraId="4E388EE5"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A4.12.8</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risk</w:t>
      </w:r>
      <w:r w:rsidRPr="00E4265B">
        <w:rPr>
          <w:rFonts w:ascii="Arial" w:hAnsi="Arial" w:cs="Arial"/>
          <w:sz w:val="22"/>
          <w:szCs w:val="22"/>
          <w:lang w:val="en-GB"/>
        </w:rPr>
        <w:noBreakHyphen/>
        <w:t>weight any CR Exposure in the bank asset class on the basis of the c</w:t>
      </w:r>
      <w:r w:rsidR="00EF29A4" w:rsidRPr="00E4265B">
        <w:rPr>
          <w:rFonts w:ascii="Arial" w:hAnsi="Arial" w:cs="Arial"/>
          <w:sz w:val="22"/>
          <w:szCs w:val="22"/>
          <w:lang w:val="en-GB"/>
        </w:rPr>
        <w:t>onsensus ECA country risk classifications</w:t>
      </w:r>
      <w:r w:rsidRPr="00E4265B">
        <w:rPr>
          <w:rFonts w:ascii="Arial" w:hAnsi="Arial" w:cs="Arial"/>
          <w:sz w:val="22"/>
          <w:szCs w:val="22"/>
          <w:lang w:val="en-GB"/>
        </w:rPr>
        <w:t xml:space="preserve"> as referred to in A4.12.4 for the jurisdictions in which they are incorporated, in accordance with the following table:</w:t>
      </w:r>
    </w:p>
    <w:p w14:paraId="6ACEB544" w14:textId="7E35CC56" w:rsidR="00E22FF2" w:rsidRPr="00E4265B" w:rsidRDefault="00E22FF2" w:rsidP="00A534DD">
      <w:pPr>
        <w:pStyle w:val="UK12Block05"/>
        <w:spacing w:after="0"/>
        <w:rPr>
          <w:rFonts w:ascii="Arial" w:hAnsi="Arial" w:cs="Arial"/>
          <w:sz w:val="22"/>
          <w:szCs w:val="22"/>
          <w:lang w:val="en-GB"/>
        </w:rPr>
      </w:pPr>
      <w:r w:rsidRPr="00E4265B">
        <w:rPr>
          <w:rFonts w:ascii="Arial" w:hAnsi="Arial" w:cs="Arial"/>
          <w:sz w:val="22"/>
          <w:szCs w:val="22"/>
          <w:lang w:val="en-GB"/>
        </w:rPr>
        <w:t>R</w:t>
      </w:r>
      <w:r w:rsidR="00A534DD" w:rsidRPr="00E4265B">
        <w:rPr>
          <w:rFonts w:ascii="Arial" w:hAnsi="Arial" w:cs="Arial"/>
          <w:sz w:val="22"/>
          <w:szCs w:val="22"/>
          <w:lang w:val="en-GB"/>
        </w:rPr>
        <w:t>isk weights</w:t>
      </w:r>
      <w:r w:rsidRPr="00E4265B">
        <w:rPr>
          <w:rFonts w:ascii="Arial" w:hAnsi="Arial" w:cs="Arial"/>
          <w:sz w:val="22"/>
          <w:szCs w:val="22"/>
          <w:lang w:val="en-GB"/>
        </w:rPr>
        <w:t xml:space="preserve"> for the bank asset class</w:t>
      </w:r>
    </w:p>
    <w:p w14:paraId="1FEEEABC" w14:textId="77777777" w:rsidR="006F1948" w:rsidRPr="00E4265B" w:rsidRDefault="006F1948" w:rsidP="00221430">
      <w:pPr>
        <w:pStyle w:val="UK12Block05"/>
        <w:spacing w:after="0"/>
        <w:rPr>
          <w:rFonts w:ascii="Arial" w:hAnsi="Arial" w:cs="Arial"/>
          <w:sz w:val="22"/>
          <w:szCs w:val="22"/>
          <w:lang w:val="en-GB"/>
        </w:rPr>
      </w:pPr>
    </w:p>
    <w:tbl>
      <w:tblPr>
        <w:tblStyle w:val="TableGrid"/>
        <w:tblW w:w="4406" w:type="pct"/>
        <w:tblInd w:w="1098" w:type="dxa"/>
        <w:tblLook w:val="04A0" w:firstRow="1" w:lastRow="0" w:firstColumn="1" w:lastColumn="0" w:noHBand="0" w:noVBand="1"/>
      </w:tblPr>
      <w:tblGrid>
        <w:gridCol w:w="2110"/>
        <w:gridCol w:w="1166"/>
        <w:gridCol w:w="1168"/>
        <w:gridCol w:w="1168"/>
        <w:gridCol w:w="1168"/>
        <w:gridCol w:w="1166"/>
      </w:tblGrid>
      <w:tr w:rsidR="00E22FF2" w:rsidRPr="00E4265B" w14:paraId="7640B11D" w14:textId="77777777" w:rsidTr="006F1948">
        <w:trPr>
          <w:trHeight w:val="315"/>
        </w:trPr>
        <w:tc>
          <w:tcPr>
            <w:tcW w:w="1327" w:type="pct"/>
            <w:shd w:val="clear" w:color="auto" w:fill="D9D9D9" w:themeFill="background1" w:themeFillShade="D9"/>
          </w:tcPr>
          <w:p w14:paraId="170CD5E3" w14:textId="77777777" w:rsidR="00E22FF2" w:rsidRPr="00E4265B" w:rsidRDefault="00EF29A4" w:rsidP="00221430">
            <w:pPr>
              <w:rPr>
                <w:rFonts w:ascii="Arial" w:hAnsi="Arial" w:cs="Arial"/>
                <w:sz w:val="22"/>
                <w:szCs w:val="22"/>
                <w:lang w:val="en-GB"/>
              </w:rPr>
            </w:pPr>
            <w:r w:rsidRPr="00E4265B">
              <w:rPr>
                <w:rFonts w:ascii="Arial" w:hAnsi="Arial" w:cs="Arial"/>
                <w:sz w:val="22"/>
                <w:szCs w:val="22"/>
                <w:lang w:val="en-GB"/>
              </w:rPr>
              <w:t>Country risk classification</w:t>
            </w:r>
          </w:p>
        </w:tc>
        <w:tc>
          <w:tcPr>
            <w:tcW w:w="734" w:type="pct"/>
            <w:vAlign w:val="center"/>
          </w:tcPr>
          <w:p w14:paraId="62761365" w14:textId="77777777" w:rsidR="00E22FF2" w:rsidRPr="00E4265B" w:rsidRDefault="00EF29A4" w:rsidP="006F1948">
            <w:pPr>
              <w:jc w:val="center"/>
              <w:rPr>
                <w:rFonts w:ascii="Arial" w:hAnsi="Arial" w:cs="Arial"/>
                <w:sz w:val="22"/>
                <w:szCs w:val="22"/>
                <w:lang w:val="en-GB"/>
              </w:rPr>
            </w:pPr>
            <w:r w:rsidRPr="00E4265B">
              <w:rPr>
                <w:rFonts w:ascii="Arial" w:hAnsi="Arial" w:cs="Arial"/>
                <w:sz w:val="22"/>
                <w:szCs w:val="22"/>
                <w:lang w:val="en-GB"/>
              </w:rPr>
              <w:t xml:space="preserve">0 or </w:t>
            </w:r>
            <w:r w:rsidR="00E22FF2" w:rsidRPr="00E4265B">
              <w:rPr>
                <w:rFonts w:ascii="Arial" w:hAnsi="Arial" w:cs="Arial"/>
                <w:sz w:val="22"/>
                <w:szCs w:val="22"/>
                <w:lang w:val="en-GB"/>
              </w:rPr>
              <w:t>1</w:t>
            </w:r>
          </w:p>
        </w:tc>
        <w:tc>
          <w:tcPr>
            <w:tcW w:w="735" w:type="pct"/>
            <w:vAlign w:val="center"/>
          </w:tcPr>
          <w:p w14:paraId="66D2F0CA" w14:textId="77777777" w:rsidR="00E22FF2" w:rsidRPr="00E4265B" w:rsidRDefault="00E22FF2" w:rsidP="006F1948">
            <w:pPr>
              <w:jc w:val="center"/>
              <w:rPr>
                <w:rFonts w:ascii="Arial" w:hAnsi="Arial" w:cs="Arial"/>
                <w:sz w:val="22"/>
                <w:szCs w:val="22"/>
                <w:lang w:val="en-GB"/>
              </w:rPr>
            </w:pPr>
            <w:r w:rsidRPr="00E4265B">
              <w:rPr>
                <w:rFonts w:ascii="Arial" w:hAnsi="Arial" w:cs="Arial"/>
                <w:sz w:val="22"/>
                <w:szCs w:val="22"/>
                <w:lang w:val="en-GB"/>
              </w:rPr>
              <w:t>2</w:t>
            </w:r>
          </w:p>
        </w:tc>
        <w:tc>
          <w:tcPr>
            <w:tcW w:w="735" w:type="pct"/>
            <w:vAlign w:val="center"/>
          </w:tcPr>
          <w:p w14:paraId="456C7330" w14:textId="77777777" w:rsidR="00E22FF2" w:rsidRPr="00E4265B" w:rsidRDefault="00E22FF2" w:rsidP="006F1948">
            <w:pPr>
              <w:jc w:val="center"/>
              <w:rPr>
                <w:rFonts w:ascii="Arial" w:hAnsi="Arial" w:cs="Arial"/>
                <w:sz w:val="22"/>
                <w:szCs w:val="22"/>
                <w:lang w:val="en-GB"/>
              </w:rPr>
            </w:pPr>
            <w:r w:rsidRPr="00E4265B">
              <w:rPr>
                <w:rFonts w:ascii="Arial" w:hAnsi="Arial" w:cs="Arial"/>
                <w:sz w:val="22"/>
                <w:szCs w:val="22"/>
                <w:lang w:val="en-GB"/>
              </w:rPr>
              <w:t>3</w:t>
            </w:r>
          </w:p>
        </w:tc>
        <w:tc>
          <w:tcPr>
            <w:tcW w:w="735" w:type="pct"/>
            <w:vAlign w:val="center"/>
          </w:tcPr>
          <w:p w14:paraId="6C8BD14D" w14:textId="77777777" w:rsidR="00E22FF2" w:rsidRPr="00E4265B" w:rsidRDefault="00E22FF2" w:rsidP="006F1948">
            <w:pPr>
              <w:jc w:val="center"/>
              <w:rPr>
                <w:rFonts w:ascii="Arial" w:hAnsi="Arial" w:cs="Arial"/>
                <w:sz w:val="22"/>
                <w:szCs w:val="22"/>
                <w:lang w:val="en-GB"/>
              </w:rPr>
            </w:pPr>
            <w:r w:rsidRPr="00E4265B">
              <w:rPr>
                <w:rFonts w:ascii="Arial" w:hAnsi="Arial" w:cs="Arial"/>
                <w:sz w:val="22"/>
                <w:szCs w:val="22"/>
                <w:lang w:val="en-GB"/>
              </w:rPr>
              <w:t>4 </w:t>
            </w:r>
            <w:r w:rsidR="00EF29A4" w:rsidRPr="00E4265B">
              <w:rPr>
                <w:rFonts w:ascii="Arial" w:hAnsi="Arial" w:cs="Arial"/>
                <w:sz w:val="22"/>
                <w:szCs w:val="22"/>
                <w:lang w:val="en-GB"/>
              </w:rPr>
              <w:t>to</w:t>
            </w:r>
            <w:r w:rsidRPr="00E4265B">
              <w:rPr>
                <w:rFonts w:ascii="Arial" w:hAnsi="Arial" w:cs="Arial"/>
                <w:sz w:val="22"/>
                <w:szCs w:val="22"/>
                <w:lang w:val="en-GB"/>
              </w:rPr>
              <w:t xml:space="preserve"> 6</w:t>
            </w:r>
          </w:p>
        </w:tc>
        <w:tc>
          <w:tcPr>
            <w:tcW w:w="735" w:type="pct"/>
            <w:vAlign w:val="center"/>
          </w:tcPr>
          <w:p w14:paraId="4AE96125" w14:textId="77777777" w:rsidR="00E22FF2" w:rsidRPr="00E4265B" w:rsidRDefault="00E22FF2" w:rsidP="006F1948">
            <w:pPr>
              <w:jc w:val="center"/>
              <w:rPr>
                <w:rFonts w:ascii="Arial" w:hAnsi="Arial" w:cs="Arial"/>
                <w:sz w:val="22"/>
                <w:szCs w:val="22"/>
                <w:lang w:val="en-GB"/>
              </w:rPr>
            </w:pPr>
            <w:r w:rsidRPr="00E4265B">
              <w:rPr>
                <w:rFonts w:ascii="Arial" w:hAnsi="Arial" w:cs="Arial"/>
                <w:sz w:val="22"/>
                <w:szCs w:val="22"/>
                <w:lang w:val="en-GB"/>
              </w:rPr>
              <w:t>7</w:t>
            </w:r>
          </w:p>
        </w:tc>
      </w:tr>
      <w:tr w:rsidR="00E22FF2" w:rsidRPr="00E4265B" w14:paraId="39717416" w14:textId="77777777" w:rsidTr="00221430">
        <w:tc>
          <w:tcPr>
            <w:tcW w:w="1327" w:type="pct"/>
            <w:shd w:val="clear" w:color="auto" w:fill="D9D9D9" w:themeFill="background1" w:themeFillShade="D9"/>
          </w:tcPr>
          <w:p w14:paraId="2AD79C39" w14:textId="77777777" w:rsidR="00E22FF2" w:rsidRPr="00E4265B" w:rsidRDefault="00E22FF2" w:rsidP="00221430">
            <w:pPr>
              <w:rPr>
                <w:rFonts w:ascii="Arial" w:hAnsi="Arial" w:cs="Arial"/>
                <w:sz w:val="22"/>
                <w:szCs w:val="22"/>
                <w:lang w:val="en-GB"/>
              </w:rPr>
            </w:pPr>
            <w:r w:rsidRPr="00E4265B">
              <w:rPr>
                <w:rFonts w:ascii="Arial" w:hAnsi="Arial" w:cs="Arial"/>
                <w:sz w:val="22"/>
                <w:szCs w:val="22"/>
                <w:lang w:val="en-GB"/>
              </w:rPr>
              <w:t>Risk Weights</w:t>
            </w:r>
          </w:p>
        </w:tc>
        <w:tc>
          <w:tcPr>
            <w:tcW w:w="734" w:type="pct"/>
          </w:tcPr>
          <w:p w14:paraId="2C9105C2" w14:textId="403C14B8" w:rsidR="00E22FF2" w:rsidRPr="00E4265B" w:rsidRDefault="00193631" w:rsidP="006F1948">
            <w:pPr>
              <w:jc w:val="center"/>
              <w:rPr>
                <w:rFonts w:ascii="Arial" w:hAnsi="Arial" w:cs="Arial"/>
                <w:sz w:val="22"/>
                <w:szCs w:val="22"/>
                <w:lang w:val="en-GB"/>
              </w:rPr>
            </w:pPr>
            <w:r w:rsidRPr="00E4265B">
              <w:rPr>
                <w:rFonts w:ascii="Arial" w:hAnsi="Arial" w:cs="Arial"/>
                <w:sz w:val="22"/>
                <w:szCs w:val="22"/>
                <w:lang w:val="en-GB"/>
              </w:rPr>
              <w:t>2</w:t>
            </w:r>
            <w:r w:rsidR="00E22FF2" w:rsidRPr="00E4265B">
              <w:rPr>
                <w:rFonts w:ascii="Arial" w:hAnsi="Arial" w:cs="Arial"/>
                <w:sz w:val="22"/>
                <w:szCs w:val="22"/>
                <w:lang w:val="en-GB"/>
              </w:rPr>
              <w:t>0%</w:t>
            </w:r>
          </w:p>
        </w:tc>
        <w:tc>
          <w:tcPr>
            <w:tcW w:w="735" w:type="pct"/>
          </w:tcPr>
          <w:p w14:paraId="5296AF27" w14:textId="2D442CF7" w:rsidR="00E22FF2" w:rsidRPr="00E4265B" w:rsidRDefault="00193631" w:rsidP="006F1948">
            <w:pPr>
              <w:jc w:val="center"/>
              <w:rPr>
                <w:rFonts w:ascii="Arial" w:hAnsi="Arial" w:cs="Arial"/>
                <w:sz w:val="22"/>
                <w:szCs w:val="22"/>
                <w:lang w:val="en-GB"/>
              </w:rPr>
            </w:pPr>
            <w:r w:rsidRPr="00E4265B">
              <w:rPr>
                <w:rFonts w:ascii="Arial" w:hAnsi="Arial" w:cs="Arial"/>
                <w:sz w:val="22"/>
                <w:szCs w:val="22"/>
                <w:lang w:val="en-GB"/>
              </w:rPr>
              <w:t>5</w:t>
            </w:r>
            <w:r w:rsidR="00E22FF2" w:rsidRPr="00E4265B">
              <w:rPr>
                <w:rFonts w:ascii="Arial" w:hAnsi="Arial" w:cs="Arial"/>
                <w:sz w:val="22"/>
                <w:szCs w:val="22"/>
                <w:lang w:val="en-GB"/>
              </w:rPr>
              <w:t>0%</w:t>
            </w:r>
          </w:p>
        </w:tc>
        <w:tc>
          <w:tcPr>
            <w:tcW w:w="735" w:type="pct"/>
          </w:tcPr>
          <w:p w14:paraId="79CA5689" w14:textId="07AAB505" w:rsidR="00E22FF2" w:rsidRPr="00E4265B" w:rsidRDefault="00193631" w:rsidP="006F1948">
            <w:pPr>
              <w:jc w:val="center"/>
              <w:rPr>
                <w:rFonts w:ascii="Arial" w:hAnsi="Arial" w:cs="Arial"/>
                <w:sz w:val="22"/>
                <w:szCs w:val="22"/>
                <w:lang w:val="en-GB"/>
              </w:rPr>
            </w:pPr>
            <w:r w:rsidRPr="00E4265B">
              <w:rPr>
                <w:rFonts w:ascii="Arial" w:hAnsi="Arial" w:cs="Arial"/>
                <w:sz w:val="22"/>
                <w:szCs w:val="22"/>
                <w:lang w:val="en-GB"/>
              </w:rPr>
              <w:t>10</w:t>
            </w:r>
            <w:r w:rsidR="00E22FF2" w:rsidRPr="00E4265B">
              <w:rPr>
                <w:rFonts w:ascii="Arial" w:hAnsi="Arial" w:cs="Arial"/>
                <w:sz w:val="22"/>
                <w:szCs w:val="22"/>
                <w:lang w:val="en-GB"/>
              </w:rPr>
              <w:t>0%</w:t>
            </w:r>
          </w:p>
        </w:tc>
        <w:tc>
          <w:tcPr>
            <w:tcW w:w="735" w:type="pct"/>
          </w:tcPr>
          <w:p w14:paraId="6266D122" w14:textId="77777777" w:rsidR="00E22FF2" w:rsidRPr="00E4265B" w:rsidRDefault="00E22FF2" w:rsidP="006F1948">
            <w:pPr>
              <w:jc w:val="center"/>
              <w:rPr>
                <w:rFonts w:ascii="Arial" w:hAnsi="Arial" w:cs="Arial"/>
                <w:sz w:val="22"/>
                <w:szCs w:val="22"/>
                <w:lang w:val="en-GB"/>
              </w:rPr>
            </w:pPr>
            <w:r w:rsidRPr="00E4265B">
              <w:rPr>
                <w:rFonts w:ascii="Arial" w:hAnsi="Arial" w:cs="Arial"/>
                <w:sz w:val="22"/>
                <w:szCs w:val="22"/>
                <w:lang w:val="en-GB"/>
              </w:rPr>
              <w:t>100%</w:t>
            </w:r>
          </w:p>
        </w:tc>
        <w:tc>
          <w:tcPr>
            <w:tcW w:w="735" w:type="pct"/>
          </w:tcPr>
          <w:p w14:paraId="1D71FFDD" w14:textId="77777777" w:rsidR="00E22FF2" w:rsidRPr="00E4265B" w:rsidRDefault="00E22FF2" w:rsidP="006F1948">
            <w:pPr>
              <w:jc w:val="center"/>
              <w:rPr>
                <w:rFonts w:ascii="Arial" w:hAnsi="Arial" w:cs="Arial"/>
                <w:sz w:val="22"/>
                <w:szCs w:val="22"/>
                <w:lang w:val="en-GB"/>
              </w:rPr>
            </w:pPr>
            <w:r w:rsidRPr="00E4265B">
              <w:rPr>
                <w:rFonts w:ascii="Arial" w:hAnsi="Arial" w:cs="Arial"/>
                <w:sz w:val="22"/>
                <w:szCs w:val="22"/>
                <w:lang w:val="en-GB"/>
              </w:rPr>
              <w:t>150%</w:t>
            </w:r>
          </w:p>
        </w:tc>
      </w:tr>
    </w:tbl>
    <w:p w14:paraId="507F4FAD" w14:textId="77777777" w:rsidR="00E22FF2" w:rsidRPr="00E4265B" w:rsidRDefault="00E22FF2" w:rsidP="00221430">
      <w:pPr>
        <w:rPr>
          <w:rFonts w:ascii="Arial" w:hAnsi="Arial" w:cs="Arial"/>
          <w:sz w:val="22"/>
          <w:szCs w:val="22"/>
          <w:lang w:val="en-GB"/>
        </w:rPr>
      </w:pPr>
    </w:p>
    <w:p w14:paraId="3F2077F7"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Corporate asset class</w:t>
      </w:r>
    </w:p>
    <w:p w14:paraId="5BA70995" w14:textId="77777777" w:rsidR="00E22FF2" w:rsidRPr="00E4265B" w:rsidRDefault="00E22FF2" w:rsidP="005720BF">
      <w:pPr>
        <w:pStyle w:val="A1List"/>
        <w:rPr>
          <w:rFonts w:ascii="Arial" w:hAnsi="Arial" w:cs="Arial"/>
          <w:sz w:val="22"/>
          <w:szCs w:val="22"/>
          <w:lang w:val="en-GB"/>
        </w:rPr>
      </w:pPr>
      <w:r w:rsidRPr="00E4265B">
        <w:rPr>
          <w:rFonts w:ascii="Arial" w:hAnsi="Arial" w:cs="Arial"/>
          <w:b/>
          <w:bCs/>
          <w:sz w:val="22"/>
          <w:szCs w:val="22"/>
          <w:lang w:val="en-GB"/>
        </w:rPr>
        <w:t>A4.12.9</w:t>
      </w:r>
      <w:r w:rsidRPr="00E4265B">
        <w:rPr>
          <w:rFonts w:ascii="Arial" w:hAnsi="Arial" w:cs="Arial"/>
          <w:b/>
          <w:bCs/>
          <w:sz w:val="22"/>
          <w:szCs w:val="22"/>
          <w:lang w:val="en-GB"/>
        </w:rPr>
        <w:tab/>
      </w:r>
      <w:r w:rsidRPr="00E4265B">
        <w:rPr>
          <w:rFonts w:ascii="Arial" w:hAnsi="Arial" w:cs="Arial"/>
          <w:sz w:val="22"/>
          <w:szCs w:val="22"/>
          <w:lang w:val="en-GB"/>
        </w:rPr>
        <w:t>Under the Simplified Approach, Rules 4.12.13 to 4.12.15 are replaced by the following Rule A4.12.10.</w:t>
      </w:r>
    </w:p>
    <w:p w14:paraId="32278494"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A4.12.10</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apply a 100% risk weight to any CR Exposure in the corporate asset class.</w:t>
      </w:r>
    </w:p>
    <w:p w14:paraId="3115E760"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 xml:space="preserve">Credit Risk mitigation </w:t>
      </w:r>
      <w:r w:rsidRPr="00E4265B">
        <w:rPr>
          <w:rFonts w:ascii="Arial" w:hAnsi="Arial" w:cs="Arial"/>
          <w:sz w:val="22"/>
          <w:szCs w:val="22"/>
          <w:lang w:val="en-GB"/>
        </w:rPr>
        <w:noBreakHyphen/>
        <w:t xml:space="preserve"> Collateral</w:t>
      </w:r>
    </w:p>
    <w:p w14:paraId="305A1DE6" w14:textId="77777777" w:rsidR="00E22FF2" w:rsidRPr="00E4265B" w:rsidRDefault="00E22FF2" w:rsidP="00221430">
      <w:pPr>
        <w:pStyle w:val="A1List"/>
        <w:rPr>
          <w:rFonts w:ascii="Arial" w:hAnsi="Arial" w:cs="Arial"/>
          <w:sz w:val="22"/>
          <w:szCs w:val="22"/>
          <w:lang w:val="en-GB"/>
        </w:rPr>
      </w:pPr>
      <w:r w:rsidRPr="00E4265B">
        <w:rPr>
          <w:rFonts w:ascii="Arial" w:hAnsi="Arial" w:cs="Arial"/>
          <w:b/>
          <w:bCs/>
          <w:sz w:val="22"/>
          <w:szCs w:val="22"/>
          <w:lang w:val="en-GB"/>
        </w:rPr>
        <w:t>A4.12.11</w:t>
      </w:r>
      <w:r w:rsidRPr="00E4265B">
        <w:rPr>
          <w:rFonts w:ascii="Arial" w:hAnsi="Arial" w:cs="Arial"/>
          <w:b/>
          <w:bCs/>
          <w:sz w:val="22"/>
          <w:szCs w:val="22"/>
          <w:lang w:val="en-GB"/>
        </w:rPr>
        <w:tab/>
      </w:r>
      <w:r w:rsidRPr="00E4265B">
        <w:rPr>
          <w:rFonts w:ascii="Arial" w:hAnsi="Arial" w:cs="Arial"/>
          <w:sz w:val="22"/>
          <w:szCs w:val="22"/>
          <w:lang w:val="en-GB"/>
        </w:rPr>
        <w:t>Under the Simplified Approach, Rules 4.13.5 to 4.13.7 are replaced by the following Rules A4.12.12 to A4.12.14.</w:t>
      </w:r>
    </w:p>
    <w:p w14:paraId="0C39DA19"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A4.12.12</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only use the financial Collateral Simplified Approach (FCSA) in its treatment of recognised Collateral for the purposes of calculating the Credit RWA for its Exposures booked in its Non</w:t>
      </w:r>
      <w:r w:rsidRPr="00E4265B">
        <w:rPr>
          <w:rFonts w:ascii="Arial" w:hAnsi="Arial" w:cs="Arial"/>
          <w:sz w:val="22"/>
          <w:szCs w:val="22"/>
          <w:lang w:val="en-GB"/>
        </w:rPr>
        <w:noBreakHyphen/>
        <w:t>Trading Book.</w:t>
      </w:r>
    </w:p>
    <w:p w14:paraId="2270A6E2" w14:textId="77777777" w:rsidR="00E22FF2" w:rsidRPr="00E4265B" w:rsidRDefault="00E22FF2" w:rsidP="009B33EA">
      <w:pPr>
        <w:pStyle w:val="A1List"/>
        <w:tabs>
          <w:tab w:val="left" w:pos="1800"/>
        </w:tabs>
        <w:ind w:left="1800" w:hanging="1800"/>
        <w:rPr>
          <w:rFonts w:ascii="Arial" w:hAnsi="Arial" w:cs="Arial"/>
          <w:sz w:val="22"/>
          <w:szCs w:val="22"/>
          <w:lang w:val="en-GB"/>
        </w:rPr>
      </w:pPr>
      <w:r w:rsidRPr="00E4265B">
        <w:rPr>
          <w:rFonts w:ascii="Arial" w:hAnsi="Arial" w:cs="Arial"/>
          <w:b/>
          <w:bCs/>
          <w:sz w:val="22"/>
          <w:szCs w:val="22"/>
          <w:lang w:val="en-GB"/>
        </w:rPr>
        <w:t>A4.12.13</w:t>
      </w:r>
      <w:r w:rsidRPr="00E4265B">
        <w:rPr>
          <w:rFonts w:ascii="Arial" w:hAnsi="Arial" w:cs="Arial"/>
          <w:b/>
          <w:bCs/>
          <w:sz w:val="22"/>
          <w:szCs w:val="22"/>
          <w:lang w:val="en-GB"/>
        </w:rPr>
        <w:tab/>
      </w:r>
      <w:r w:rsidRPr="00E4265B">
        <w:rPr>
          <w:rFonts w:ascii="Arial" w:hAnsi="Arial" w:cs="Arial"/>
          <w:sz w:val="22"/>
          <w:szCs w:val="22"/>
          <w:lang w:val="en-GB"/>
        </w:rPr>
        <w:t>(1) </w:t>
      </w:r>
      <w:r w:rsidRPr="00E4265B">
        <w:rPr>
          <w:rFonts w:ascii="Arial" w:hAnsi="Arial" w:cs="Arial"/>
          <w:sz w:val="22"/>
          <w:szCs w:val="22"/>
          <w:lang w:val="en-GB"/>
        </w:rPr>
        <w:tab/>
        <w:t xml:space="preserve">For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using the FCSA, eligible financial Collateral comprises: </w:t>
      </w:r>
    </w:p>
    <w:p w14:paraId="56BEEF9C" w14:textId="77777777" w:rsidR="00E22FF2" w:rsidRPr="00E4265B" w:rsidRDefault="00E22FF2" w:rsidP="00221430">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cash (as well as certificates of </w:t>
      </w:r>
      <w:r w:rsidR="006C764B" w:rsidRPr="00E4265B">
        <w:rPr>
          <w:rFonts w:ascii="Arial" w:hAnsi="Arial" w:cs="Arial"/>
          <w:sz w:val="22"/>
          <w:szCs w:val="22"/>
          <w:lang w:val="en-GB"/>
        </w:rPr>
        <w:t>Deposit</w:t>
      </w:r>
      <w:r w:rsidRPr="00E4265B">
        <w:rPr>
          <w:rFonts w:ascii="Arial" w:hAnsi="Arial" w:cs="Arial"/>
          <w:sz w:val="22"/>
          <w:szCs w:val="22"/>
          <w:lang w:val="en-GB"/>
        </w:rPr>
        <w:t xml:space="preserve"> or other similar instruments issued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on </w:t>
      </w:r>
      <w:r w:rsidR="006C764B" w:rsidRPr="00E4265B">
        <w:rPr>
          <w:rFonts w:ascii="Arial" w:hAnsi="Arial" w:cs="Arial"/>
          <w:sz w:val="22"/>
          <w:szCs w:val="22"/>
          <w:lang w:val="en-GB"/>
        </w:rPr>
        <w:t>Deposit</w:t>
      </w:r>
      <w:r w:rsidRPr="00E4265B">
        <w:rPr>
          <w:rFonts w:ascii="Arial" w:hAnsi="Arial" w:cs="Arial"/>
          <w:sz w:val="22"/>
          <w:szCs w:val="22"/>
          <w:lang w:val="en-GB"/>
        </w:rPr>
        <w:t xml:space="preserve"> with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75FB26C2" w14:textId="77777777" w:rsidR="00E22FF2" w:rsidRPr="00E4265B" w:rsidRDefault="00E22FF2" w:rsidP="00221430">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gold;</w:t>
      </w:r>
    </w:p>
    <w:p w14:paraId="3F0AE0AE" w14:textId="26A3098B" w:rsidR="00E22FF2" w:rsidRPr="00E4265B" w:rsidRDefault="00E22FF2" w:rsidP="00221430">
      <w:pPr>
        <w:pStyle w:val="aList"/>
        <w:rPr>
          <w:rFonts w:ascii="Arial" w:hAnsi="Arial" w:cs="Arial"/>
          <w:sz w:val="22"/>
          <w:szCs w:val="22"/>
          <w:lang w:val="en-GB"/>
        </w:rPr>
      </w:pPr>
      <w:r w:rsidRPr="00E4265B">
        <w:rPr>
          <w:rFonts w:ascii="Arial" w:hAnsi="Arial" w:cs="Arial"/>
          <w:sz w:val="22"/>
          <w:szCs w:val="22"/>
          <w:lang w:val="en-GB"/>
        </w:rPr>
        <w:lastRenderedPageBreak/>
        <w:t>(c)</w:t>
      </w:r>
      <w:r w:rsidRPr="00E4265B">
        <w:rPr>
          <w:rFonts w:ascii="Arial" w:hAnsi="Arial" w:cs="Arial"/>
          <w:sz w:val="22"/>
          <w:szCs w:val="22"/>
          <w:lang w:val="en-GB"/>
        </w:rPr>
        <w:tab/>
        <w:t xml:space="preserve">any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issued by sovereigns (including a central government or </w:t>
      </w:r>
      <w:r w:rsidR="00030214" w:rsidRPr="00E4265B">
        <w:rPr>
          <w:rFonts w:ascii="Arial" w:hAnsi="Arial" w:cs="Arial"/>
          <w:sz w:val="22"/>
          <w:szCs w:val="22"/>
          <w:lang w:val="en-GB"/>
        </w:rPr>
        <w:t>central bank</w:t>
      </w:r>
      <w:r w:rsidRPr="00E4265B">
        <w:rPr>
          <w:rFonts w:ascii="Arial" w:hAnsi="Arial" w:cs="Arial"/>
          <w:sz w:val="22"/>
          <w:szCs w:val="22"/>
          <w:lang w:val="en-GB"/>
        </w:rPr>
        <w:t>) of a jurisdiction that th</w:t>
      </w:r>
      <w:r w:rsidR="00EF29A4" w:rsidRPr="00E4265B">
        <w:rPr>
          <w:rFonts w:ascii="Arial" w:hAnsi="Arial" w:cs="Arial"/>
          <w:sz w:val="22"/>
          <w:szCs w:val="22"/>
          <w:lang w:val="en-GB"/>
        </w:rPr>
        <w:t>at has an ECA country risk classification</w:t>
      </w:r>
      <w:r w:rsidRPr="00E4265B">
        <w:rPr>
          <w:rFonts w:ascii="Arial" w:hAnsi="Arial" w:cs="Arial"/>
          <w:sz w:val="22"/>
          <w:szCs w:val="22"/>
          <w:lang w:val="en-GB"/>
        </w:rPr>
        <w:t xml:space="preserve"> of 4 or better; and</w:t>
      </w:r>
    </w:p>
    <w:p w14:paraId="1F5A44F6" w14:textId="77777777" w:rsidR="00E22FF2" w:rsidRPr="00E4265B" w:rsidRDefault="00E22FF2" w:rsidP="00221430">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any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issued by a PSE that is treated as a sovereign and is of a jurisdiction that has an ECA country risk </w:t>
      </w:r>
      <w:r w:rsidR="00EF29A4" w:rsidRPr="00E4265B">
        <w:rPr>
          <w:rFonts w:ascii="Arial" w:hAnsi="Arial" w:cs="Arial"/>
          <w:sz w:val="22"/>
          <w:szCs w:val="22"/>
          <w:lang w:val="en-GB"/>
        </w:rPr>
        <w:t>classification</w:t>
      </w:r>
      <w:r w:rsidRPr="00E4265B">
        <w:rPr>
          <w:rFonts w:ascii="Arial" w:hAnsi="Arial" w:cs="Arial"/>
          <w:sz w:val="22"/>
          <w:szCs w:val="22"/>
          <w:lang w:val="en-GB"/>
        </w:rPr>
        <w:t xml:space="preserve"> of 4 or better.</w:t>
      </w:r>
    </w:p>
    <w:p w14:paraId="65144B5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Cash</w:t>
      </w:r>
      <w:r w:rsidRPr="00E4265B">
        <w:rPr>
          <w:rFonts w:ascii="Arial" w:hAnsi="Arial" w:cs="Arial"/>
          <w:sz w:val="22"/>
          <w:szCs w:val="22"/>
          <w:lang w:val="en-GB"/>
        </w:rPr>
        <w:noBreakHyphen/>
        <w:t xml:space="preserve">funded CLNs issued by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against Exposures in the Non</w:t>
      </w:r>
      <w:r w:rsidRPr="00E4265B">
        <w:rPr>
          <w:rFonts w:ascii="Arial" w:hAnsi="Arial" w:cs="Arial"/>
          <w:sz w:val="22"/>
          <w:szCs w:val="22"/>
          <w:lang w:val="en-GB"/>
        </w:rPr>
        <w:noBreakHyphen/>
        <w:t>Trading Book which fulfil the criteria for eligible Credit Derivatives must be treated as cash collateralised transactions.</w:t>
      </w:r>
    </w:p>
    <w:p w14:paraId="569BF8E3"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Cash, mentioned in (1)(a) includes cash on </w:t>
      </w:r>
      <w:r w:rsidR="006C764B" w:rsidRPr="00E4265B">
        <w:rPr>
          <w:rFonts w:ascii="Arial" w:hAnsi="Arial" w:cs="Arial"/>
          <w:sz w:val="22"/>
          <w:szCs w:val="22"/>
          <w:lang w:val="en-GB"/>
        </w:rPr>
        <w:t>Deposit</w:t>
      </w:r>
      <w:r w:rsidRPr="00E4265B">
        <w:rPr>
          <w:rFonts w:ascii="Arial" w:hAnsi="Arial" w:cs="Arial"/>
          <w:sz w:val="22"/>
          <w:szCs w:val="22"/>
          <w:lang w:val="en-GB"/>
        </w:rPr>
        <w:t xml:space="preserve">, certificates of </w:t>
      </w:r>
      <w:r w:rsidR="006C764B" w:rsidRPr="00E4265B">
        <w:rPr>
          <w:rFonts w:ascii="Arial" w:hAnsi="Arial" w:cs="Arial"/>
          <w:sz w:val="22"/>
          <w:szCs w:val="22"/>
          <w:lang w:val="en-GB"/>
        </w:rPr>
        <w:t>Deposit</w:t>
      </w:r>
      <w:r w:rsidRPr="00E4265B">
        <w:rPr>
          <w:rFonts w:ascii="Arial" w:hAnsi="Arial" w:cs="Arial"/>
          <w:sz w:val="22"/>
          <w:szCs w:val="22"/>
          <w:lang w:val="en-GB"/>
        </w:rPr>
        <w:t xml:space="preserve"> or other similar instruments issued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that are held as Collateral at a third</w:t>
      </w:r>
      <w:r w:rsidRPr="00E4265B">
        <w:rPr>
          <w:rFonts w:ascii="Arial" w:hAnsi="Arial" w:cs="Arial"/>
          <w:sz w:val="22"/>
          <w:szCs w:val="22"/>
          <w:lang w:val="en-GB"/>
        </w:rPr>
        <w:noBreakHyphen/>
        <w:t>party bank in a non</w:t>
      </w:r>
      <w:r w:rsidRPr="00E4265B">
        <w:rPr>
          <w:rFonts w:ascii="Arial" w:hAnsi="Arial" w:cs="Arial"/>
          <w:sz w:val="22"/>
          <w:szCs w:val="22"/>
          <w:lang w:val="en-GB"/>
        </w:rPr>
        <w:noBreakHyphen/>
        <w:t xml:space="preserve">custodial arrangement and that are pledged or assigned to the </w:t>
      </w:r>
      <w:r w:rsidR="000D1A90" w:rsidRPr="00E4265B">
        <w:rPr>
          <w:rFonts w:ascii="Arial" w:hAnsi="Arial" w:cs="Arial"/>
          <w:sz w:val="22"/>
          <w:szCs w:val="22"/>
          <w:lang w:val="en-GB"/>
        </w:rPr>
        <w:t>Authorised Person</w:t>
      </w:r>
      <w:r w:rsidRPr="00E4265B">
        <w:rPr>
          <w:rFonts w:ascii="Arial" w:hAnsi="Arial" w:cs="Arial"/>
          <w:sz w:val="22"/>
          <w:szCs w:val="22"/>
          <w:lang w:val="en-GB"/>
        </w:rPr>
        <w:t>. This is subject to the pledge or assignment being unconditional and irrevocable. Under the FCSA, the risk weight to be applied to the Exposure covered by such Collateral must be the risk weight of the third</w:t>
      </w:r>
      <w:r w:rsidRPr="00E4265B">
        <w:rPr>
          <w:rFonts w:ascii="Arial" w:hAnsi="Arial" w:cs="Arial"/>
          <w:sz w:val="22"/>
          <w:szCs w:val="22"/>
          <w:lang w:val="en-GB"/>
        </w:rPr>
        <w:noBreakHyphen/>
        <w:t>party bank.</w:t>
      </w:r>
    </w:p>
    <w:p w14:paraId="38A80EF5"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A4.12.14</w:t>
      </w:r>
      <w:r w:rsidRPr="00E4265B">
        <w:rPr>
          <w:rFonts w:ascii="Arial" w:hAnsi="Arial" w:cs="Arial"/>
          <w:b/>
          <w:bCs/>
          <w:sz w:val="22"/>
          <w:szCs w:val="22"/>
          <w:lang w:val="en-GB"/>
        </w:rPr>
        <w:tab/>
      </w:r>
      <w:r w:rsidRPr="00E4265B">
        <w:rPr>
          <w:rFonts w:ascii="Arial" w:hAnsi="Arial" w:cs="Arial"/>
          <w:sz w:val="22"/>
          <w:szCs w:val="22"/>
          <w:lang w:val="en-GB"/>
        </w:rPr>
        <w:t xml:space="preserve">In the case of any Counterparty Risk Exposures in Rules A4.12.12 and A4.12.13, arising from an SFT which is included in the Trading Book, eligible financial Collateral includes all instruments which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include in its Trading Book.</w:t>
      </w:r>
    </w:p>
    <w:p w14:paraId="22529576" w14:textId="77777777" w:rsidR="00E22FF2" w:rsidRPr="00E4265B" w:rsidRDefault="00E22FF2" w:rsidP="00E866B0">
      <w:pPr>
        <w:pStyle w:val="TitleL5"/>
        <w:rPr>
          <w:rFonts w:ascii="Arial" w:hAnsi="Arial" w:cs="Arial"/>
          <w:sz w:val="22"/>
          <w:szCs w:val="22"/>
          <w:lang w:val="en-GB"/>
        </w:rPr>
      </w:pPr>
      <w:r w:rsidRPr="00E4265B">
        <w:rPr>
          <w:rFonts w:ascii="Arial" w:hAnsi="Arial" w:cs="Arial"/>
          <w:sz w:val="22"/>
          <w:szCs w:val="22"/>
          <w:lang w:val="en-GB"/>
        </w:rPr>
        <w:t xml:space="preserve">Credit Risk mitigation </w:t>
      </w:r>
      <w:r w:rsidRPr="00E4265B">
        <w:rPr>
          <w:rFonts w:ascii="Arial" w:hAnsi="Arial" w:cs="Arial"/>
          <w:sz w:val="22"/>
          <w:szCs w:val="22"/>
          <w:lang w:val="en-GB"/>
        </w:rPr>
        <w:noBreakHyphen/>
        <w:t xml:space="preserve"> Guarantees</w:t>
      </w:r>
    </w:p>
    <w:p w14:paraId="553C9C25" w14:textId="77777777" w:rsidR="00E22FF2" w:rsidRPr="00E4265B" w:rsidRDefault="00E22FF2" w:rsidP="00221430">
      <w:pPr>
        <w:pStyle w:val="A1List"/>
        <w:rPr>
          <w:rFonts w:ascii="Arial" w:hAnsi="Arial" w:cs="Arial"/>
          <w:sz w:val="22"/>
          <w:szCs w:val="22"/>
          <w:lang w:val="en-GB"/>
        </w:rPr>
      </w:pPr>
      <w:r w:rsidRPr="00E4265B">
        <w:rPr>
          <w:rFonts w:ascii="Arial" w:hAnsi="Arial" w:cs="Arial"/>
          <w:b/>
          <w:bCs/>
          <w:sz w:val="22"/>
          <w:szCs w:val="22"/>
          <w:lang w:val="en-GB"/>
        </w:rPr>
        <w:t>A4.12.15</w:t>
      </w:r>
      <w:r w:rsidRPr="00E4265B">
        <w:rPr>
          <w:rFonts w:ascii="Arial" w:hAnsi="Arial" w:cs="Arial"/>
          <w:b/>
          <w:bCs/>
          <w:sz w:val="22"/>
          <w:szCs w:val="22"/>
          <w:lang w:val="en-GB"/>
        </w:rPr>
        <w:tab/>
      </w:r>
      <w:r w:rsidRPr="00E4265B">
        <w:rPr>
          <w:rFonts w:ascii="Arial" w:hAnsi="Arial" w:cs="Arial"/>
          <w:sz w:val="22"/>
          <w:szCs w:val="22"/>
          <w:lang w:val="en-GB"/>
        </w:rPr>
        <w:t>Under the Simplified Approach, Rules 4.13.9 and 4.13.10 are replaced by the following Rules A4.12.16 to A4.12.19.</w:t>
      </w:r>
    </w:p>
    <w:p w14:paraId="113F0DD6"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A4.12.16</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recognise guarantees provided by the following eligible guarantors:</w:t>
      </w:r>
    </w:p>
    <w:p w14:paraId="3B028EC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Bank for International Settlements, the International Monetary Fund, the European Central Bank, and the European Commission;</w:t>
      </w:r>
    </w:p>
    <w:p w14:paraId="6C2C3F6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MDBs referred to in Rule 4.12.8;</w:t>
      </w:r>
    </w:p>
    <w:p w14:paraId="788A68A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PSEs; and</w:t>
      </w:r>
    </w:p>
    <w:p w14:paraId="70DEAFA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other entities eligible for a CRW of 20% or better and with a lower risk weight than the Counterparty.</w:t>
      </w:r>
    </w:p>
    <w:p w14:paraId="2A058EC8"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A4.12.17</w:t>
      </w:r>
      <w:r w:rsidRPr="00E4265B">
        <w:rPr>
          <w:rFonts w:ascii="Arial" w:hAnsi="Arial" w:cs="Arial"/>
          <w:b/>
          <w:bCs/>
          <w:sz w:val="22"/>
          <w:szCs w:val="22"/>
          <w:lang w:val="en-GB"/>
        </w:rPr>
        <w:tab/>
      </w:r>
      <w:r w:rsidRPr="00E4265B">
        <w:rPr>
          <w:rFonts w:ascii="Arial" w:hAnsi="Arial" w:cs="Arial"/>
          <w:sz w:val="22"/>
          <w:szCs w:val="22"/>
          <w:lang w:val="en-GB"/>
        </w:rPr>
        <w:t xml:space="preserve">For the purpose of calculating the risk weight of a guaranteed Exposure,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assign the guaranteed portion the risk weight of the eligible guarantors. The uncovered portion of the Exposure must be assigned the risk weight of the underlying Counterparty.</w:t>
      </w:r>
    </w:p>
    <w:p w14:paraId="324364E6" w14:textId="5DE59D8A"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A4.12.18</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can apply a 0% risk weight to any portions of Exposures guaranteed by central governments or </w:t>
      </w:r>
      <w:r w:rsidR="00030214" w:rsidRPr="00E4265B">
        <w:rPr>
          <w:rFonts w:ascii="Arial" w:hAnsi="Arial" w:cs="Arial"/>
          <w:sz w:val="22"/>
          <w:szCs w:val="22"/>
          <w:lang w:val="en-GB"/>
        </w:rPr>
        <w:t>central bank</w:t>
      </w:r>
      <w:r w:rsidRPr="00E4265B">
        <w:rPr>
          <w:rFonts w:ascii="Arial" w:hAnsi="Arial" w:cs="Arial"/>
          <w:sz w:val="22"/>
          <w:szCs w:val="22"/>
          <w:lang w:val="en-GB"/>
        </w:rPr>
        <w:t>s of a GCC member country where the guarantee is denominated in the domestic currency of that country, and the Exposure is funded in that same domestic currency.</w:t>
      </w:r>
    </w:p>
    <w:p w14:paraId="7A91B464" w14:textId="29B54F28" w:rsidR="005677DE" w:rsidRPr="00E4265B" w:rsidRDefault="00E22FF2" w:rsidP="006F104C">
      <w:pPr>
        <w:pStyle w:val="A1List"/>
        <w:rPr>
          <w:rFonts w:ascii="Arial" w:hAnsi="Arial" w:cs="Arial"/>
          <w:sz w:val="22"/>
          <w:szCs w:val="22"/>
          <w:lang w:val="en-GB"/>
        </w:rPr>
      </w:pPr>
      <w:r w:rsidRPr="00E4265B">
        <w:rPr>
          <w:rFonts w:ascii="Arial" w:hAnsi="Arial" w:cs="Arial"/>
          <w:b/>
          <w:bCs/>
          <w:sz w:val="22"/>
          <w:szCs w:val="22"/>
          <w:lang w:val="en-GB"/>
        </w:rPr>
        <w:t>A4.12.19</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treat any materiality thresholds on payments below which no payment will be made in the event of loss as retained First Loss Positions and must deduct the full amount from its Capital Resources.</w:t>
      </w:r>
      <w:r w:rsidR="005677DE" w:rsidRPr="00E4265B">
        <w:rPr>
          <w:rFonts w:ascii="Arial" w:hAnsi="Arial" w:cs="Arial"/>
          <w:sz w:val="22"/>
          <w:szCs w:val="22"/>
          <w:lang w:val="en-GB"/>
        </w:rPr>
        <w:br w:type="page"/>
      </w:r>
    </w:p>
    <w:p w14:paraId="557480D6" w14:textId="77777777" w:rsidR="009B33EA" w:rsidRPr="00E4265B" w:rsidRDefault="009B33EA" w:rsidP="009B33EA">
      <w:pPr>
        <w:pStyle w:val="UK12Title"/>
        <w:keepNext/>
        <w:rPr>
          <w:rFonts w:ascii="Arial" w:hAnsi="Arial" w:cs="Arial"/>
          <w:sz w:val="22"/>
          <w:szCs w:val="22"/>
          <w:lang w:val="en-GB"/>
        </w:rPr>
      </w:pPr>
      <w:bookmarkStart w:id="981" w:name="_Toc33622490"/>
      <w:bookmarkStart w:id="982" w:name="_Toc404624444"/>
      <w:r w:rsidRPr="00E4265B">
        <w:rPr>
          <w:rFonts w:ascii="Arial" w:hAnsi="Arial" w:cs="Arial"/>
          <w:sz w:val="22"/>
          <w:szCs w:val="22"/>
          <w:lang w:val="en-GB"/>
        </w:rPr>
        <w:lastRenderedPageBreak/>
        <w:t>APP5</w:t>
      </w:r>
      <w:r w:rsidRPr="00E4265B">
        <w:rPr>
          <w:rFonts w:ascii="Arial" w:hAnsi="Arial" w:cs="Arial"/>
          <w:sz w:val="22"/>
          <w:szCs w:val="22"/>
          <w:lang w:val="en-GB"/>
        </w:rPr>
        <w:tab/>
        <w:t>CREDIT VALUATION ADJUSTMENT (CVA) RISK</w:t>
      </w:r>
      <w:bookmarkEnd w:id="981"/>
    </w:p>
    <w:p w14:paraId="717F7458" w14:textId="77777777" w:rsidR="009B33EA" w:rsidRPr="00E4265B" w:rsidRDefault="009B33EA" w:rsidP="00CF1A48">
      <w:pPr>
        <w:pStyle w:val="UK12Title2"/>
        <w:tabs>
          <w:tab w:val="clear" w:pos="994"/>
          <w:tab w:val="left" w:pos="720"/>
        </w:tabs>
        <w:ind w:left="720" w:hanging="720"/>
        <w:rPr>
          <w:rFonts w:ascii="Arial" w:hAnsi="Arial" w:cs="Arial"/>
          <w:sz w:val="22"/>
          <w:szCs w:val="22"/>
        </w:rPr>
      </w:pPr>
      <w:bookmarkStart w:id="983" w:name="_Toc33622491"/>
      <w:r w:rsidRPr="00E4265B">
        <w:rPr>
          <w:rFonts w:ascii="Arial" w:hAnsi="Arial" w:cs="Arial"/>
          <w:sz w:val="22"/>
          <w:szCs w:val="22"/>
        </w:rPr>
        <w:t>A5.1</w:t>
      </w:r>
      <w:r w:rsidRPr="00E4265B">
        <w:rPr>
          <w:rFonts w:ascii="Arial" w:hAnsi="Arial" w:cs="Arial"/>
          <w:sz w:val="22"/>
          <w:szCs w:val="22"/>
        </w:rPr>
        <w:tab/>
        <w:t>Meaning of Credit Valuation Adjustment</w:t>
      </w:r>
      <w:bookmarkEnd w:id="983"/>
    </w:p>
    <w:p w14:paraId="419F55AB" w14:textId="77777777" w:rsidR="009B33EA" w:rsidRPr="00E4265B" w:rsidRDefault="009B33EA" w:rsidP="009B33EA">
      <w:pPr>
        <w:pStyle w:val="UK12Block05"/>
        <w:spacing w:after="0"/>
        <w:ind w:left="720"/>
        <w:rPr>
          <w:rFonts w:ascii="Arial" w:hAnsi="Arial" w:cs="Arial"/>
          <w:sz w:val="22"/>
          <w:szCs w:val="22"/>
          <w:lang w:val="en-GB"/>
        </w:rPr>
      </w:pPr>
      <w:r w:rsidRPr="00E4265B">
        <w:rPr>
          <w:rFonts w:ascii="Arial" w:hAnsi="Arial" w:cs="Arial"/>
          <w:sz w:val="22"/>
          <w:szCs w:val="22"/>
          <w:lang w:val="en-GB"/>
        </w:rPr>
        <w:t>For the purposes of this Appendix, "Credit Valuation Adjustment" or "CVA" means an adjustment to the fair value of the portfolio of transactions with a counterparty.  The adjustment reflects the current market value of the Credit Risk of the counterparty to the Authorised Person, but does not reflect the current market value of the credit risk of the Authorised Person to the counterparty.</w:t>
      </w:r>
    </w:p>
    <w:p w14:paraId="18A66B26" w14:textId="77777777" w:rsidR="009B33EA" w:rsidRPr="00E4265B" w:rsidRDefault="009B33EA" w:rsidP="009B33EA">
      <w:pPr>
        <w:pStyle w:val="UK12Block05"/>
        <w:spacing w:after="0"/>
        <w:ind w:left="720"/>
        <w:rPr>
          <w:rFonts w:ascii="Arial" w:hAnsi="Arial" w:cs="Arial"/>
          <w:sz w:val="22"/>
          <w:szCs w:val="22"/>
          <w:lang w:val="en-GB"/>
        </w:rPr>
      </w:pPr>
    </w:p>
    <w:p w14:paraId="4369451B" w14:textId="77777777" w:rsidR="009B33EA" w:rsidRPr="00E4265B" w:rsidRDefault="009B33EA" w:rsidP="00CF1A48">
      <w:pPr>
        <w:pStyle w:val="UK12Title2"/>
        <w:tabs>
          <w:tab w:val="clear" w:pos="994"/>
          <w:tab w:val="left" w:pos="720"/>
        </w:tabs>
        <w:ind w:left="720" w:hanging="720"/>
        <w:rPr>
          <w:rFonts w:ascii="Arial" w:hAnsi="Arial" w:cs="Arial"/>
          <w:sz w:val="22"/>
          <w:szCs w:val="22"/>
        </w:rPr>
      </w:pPr>
      <w:bookmarkStart w:id="984" w:name="_Toc33622492"/>
      <w:r w:rsidRPr="00E4265B">
        <w:rPr>
          <w:rFonts w:ascii="Arial" w:hAnsi="Arial" w:cs="Arial"/>
          <w:sz w:val="22"/>
          <w:szCs w:val="22"/>
        </w:rPr>
        <w:t>A5.2</w:t>
      </w:r>
      <w:r w:rsidRPr="00E4265B">
        <w:rPr>
          <w:rFonts w:ascii="Arial" w:hAnsi="Arial" w:cs="Arial"/>
          <w:sz w:val="22"/>
          <w:szCs w:val="22"/>
        </w:rPr>
        <w:tab/>
        <w:t>Scope</w:t>
      </w:r>
      <w:bookmarkEnd w:id="984"/>
    </w:p>
    <w:p w14:paraId="388CEE68" w14:textId="061C0C16" w:rsidR="009B33EA" w:rsidRPr="00E4265B" w:rsidRDefault="009B33EA" w:rsidP="00BB2715">
      <w:pPr>
        <w:pStyle w:val="A1List"/>
        <w:tabs>
          <w:tab w:val="clear" w:pos="990"/>
          <w:tab w:val="left" w:pos="993"/>
          <w:tab w:val="left" w:pos="1843"/>
        </w:tabs>
        <w:ind w:left="1843" w:hanging="1843"/>
        <w:rPr>
          <w:rFonts w:ascii="Arial" w:hAnsi="Arial" w:cs="Arial"/>
          <w:sz w:val="22"/>
          <w:szCs w:val="22"/>
          <w:lang w:val="en-GB"/>
        </w:rPr>
      </w:pPr>
      <w:r w:rsidRPr="00E4265B">
        <w:rPr>
          <w:rFonts w:ascii="Arial" w:hAnsi="Arial" w:cs="Arial"/>
          <w:b/>
          <w:sz w:val="22"/>
          <w:szCs w:val="22"/>
          <w:lang w:val="en-GB"/>
        </w:rPr>
        <w:t>A5.2.1</w:t>
      </w:r>
      <w:r w:rsidRPr="00E4265B">
        <w:rPr>
          <w:rFonts w:ascii="Arial" w:hAnsi="Arial" w:cs="Arial"/>
          <w:sz w:val="22"/>
          <w:szCs w:val="22"/>
          <w:lang w:val="en-GB"/>
        </w:rPr>
        <w:tab/>
      </w:r>
      <w:r w:rsidR="00BB2715" w:rsidRPr="00E4265B">
        <w:rPr>
          <w:rFonts w:ascii="Arial" w:hAnsi="Arial" w:cs="Arial"/>
          <w:sz w:val="22"/>
          <w:szCs w:val="22"/>
          <w:lang w:val="en-GB"/>
        </w:rPr>
        <w:t>(1)</w:t>
      </w:r>
      <w:r w:rsidR="00BB2715" w:rsidRPr="00E4265B">
        <w:rPr>
          <w:rFonts w:ascii="Arial" w:hAnsi="Arial" w:cs="Arial"/>
          <w:sz w:val="22"/>
          <w:szCs w:val="22"/>
          <w:lang w:val="en-GB"/>
        </w:rPr>
        <w:tab/>
        <w:t>Subject to (2), a</w:t>
      </w:r>
      <w:r w:rsidRPr="00E4265B">
        <w:rPr>
          <w:rFonts w:ascii="Arial" w:hAnsi="Arial" w:cs="Arial"/>
          <w:sz w:val="22"/>
          <w:szCs w:val="22"/>
          <w:lang w:val="en-GB"/>
        </w:rPr>
        <w:t>n Authorised Person must calculate its capital requirement for CVA risk in accordance with this Appendix for all OTC Derivative Contracts in respect of all of its business activities, other than Credit Derivatives recognised to reduce risk-weighted exposure amounts for Credit Risk.</w:t>
      </w:r>
    </w:p>
    <w:p w14:paraId="41C5CA5F" w14:textId="77777777" w:rsidR="00BB2715" w:rsidRPr="00E4265B" w:rsidRDefault="00BB2715" w:rsidP="00BB2715">
      <w:pPr>
        <w:pStyle w:val="A1List"/>
        <w:tabs>
          <w:tab w:val="clear" w:pos="990"/>
          <w:tab w:val="left" w:pos="1843"/>
        </w:tabs>
        <w:ind w:left="1843" w:hanging="850"/>
        <w:rPr>
          <w:rFonts w:ascii="Arial" w:hAnsi="Arial" w:cs="Arial"/>
          <w:sz w:val="22"/>
          <w:szCs w:val="22"/>
          <w:u w:val="single"/>
          <w:lang w:val="en-GB"/>
        </w:rPr>
      </w:pPr>
      <w:r w:rsidRPr="00E4265B">
        <w:rPr>
          <w:rFonts w:ascii="Arial" w:hAnsi="Arial" w:cs="Arial"/>
          <w:bCs/>
          <w:sz w:val="22"/>
          <w:szCs w:val="22"/>
          <w:lang w:val="en-GB"/>
        </w:rPr>
        <w:t>(2)</w:t>
      </w:r>
      <w:r w:rsidRPr="00E4265B">
        <w:rPr>
          <w:rFonts w:ascii="Arial" w:hAnsi="Arial" w:cs="Arial"/>
          <w:b/>
          <w:sz w:val="22"/>
          <w:szCs w:val="22"/>
          <w:lang w:val="en-GB"/>
        </w:rPr>
        <w:tab/>
      </w:r>
      <w:r w:rsidRPr="00E4265B">
        <w:rPr>
          <w:rFonts w:ascii="Arial" w:hAnsi="Arial" w:cs="Arial"/>
          <w:sz w:val="22"/>
          <w:szCs w:val="22"/>
          <w:lang w:val="en-GB"/>
        </w:rPr>
        <w:t>Subject to the written approval of the Regulator, an Authorised Person whose aggregate notional amount of OTC Derivatives is less than or equal to US $100 billion may choose to set its capital requirement for CVA risk as equal to 100% of its capital requirement for Counterparty Credit Risk, where this treatment must be applied to the entire portfolio of the Authorised Person and CVA hedges are not recognised.</w:t>
      </w:r>
    </w:p>
    <w:p w14:paraId="5BF169BD" w14:textId="77777777" w:rsidR="00BB2715" w:rsidRPr="00E4265B" w:rsidRDefault="00BB2715" w:rsidP="00BB2715">
      <w:pPr>
        <w:pStyle w:val="TitleL5"/>
        <w:rPr>
          <w:rFonts w:ascii="Arial" w:hAnsi="Arial" w:cs="Arial"/>
          <w:sz w:val="22"/>
          <w:szCs w:val="22"/>
          <w:lang w:val="en-GB"/>
        </w:rPr>
      </w:pPr>
      <w:r w:rsidRPr="00E4265B">
        <w:rPr>
          <w:rFonts w:ascii="Arial" w:hAnsi="Arial" w:cs="Arial"/>
          <w:sz w:val="22"/>
          <w:szCs w:val="22"/>
          <w:lang w:val="en-GB"/>
        </w:rPr>
        <w:t>Guidance</w:t>
      </w:r>
    </w:p>
    <w:p w14:paraId="57725F96" w14:textId="7F202343" w:rsidR="00BB2715" w:rsidRPr="00E4265B" w:rsidRDefault="00BB2715" w:rsidP="0028396B">
      <w:pPr>
        <w:pStyle w:val="A1List"/>
        <w:ind w:left="992" w:firstLine="0"/>
        <w:rPr>
          <w:rFonts w:ascii="Arial" w:hAnsi="Arial" w:cs="Arial"/>
          <w:sz w:val="22"/>
          <w:szCs w:val="22"/>
          <w:lang w:val="en-GB"/>
        </w:rPr>
      </w:pPr>
      <w:r w:rsidRPr="00E4265B">
        <w:rPr>
          <w:rFonts w:ascii="Arial" w:hAnsi="Arial" w:cs="Arial"/>
          <w:sz w:val="22"/>
          <w:szCs w:val="22"/>
          <w:lang w:val="en-GB"/>
        </w:rPr>
        <w:t xml:space="preserve">The Regulator may remove this option if it determines that the CVA risk resulting from the derivative positions of the Authorised Person contributes </w:t>
      </w:r>
      <w:r w:rsidR="0028396B" w:rsidRPr="00E4265B">
        <w:rPr>
          <w:rFonts w:ascii="Arial" w:hAnsi="Arial" w:cs="Arial"/>
          <w:sz w:val="22"/>
          <w:szCs w:val="22"/>
          <w:lang w:val="en-GB"/>
        </w:rPr>
        <w:t xml:space="preserve">materially </w:t>
      </w:r>
      <w:r w:rsidRPr="00E4265B">
        <w:rPr>
          <w:rFonts w:ascii="Arial" w:hAnsi="Arial" w:cs="Arial"/>
          <w:sz w:val="22"/>
          <w:szCs w:val="22"/>
          <w:lang w:val="en-GB"/>
        </w:rPr>
        <w:t>to the overall risk profile of the Authorised Person.</w:t>
      </w:r>
    </w:p>
    <w:p w14:paraId="11A2DE35" w14:textId="77777777" w:rsidR="009B33EA" w:rsidRPr="00E4265B" w:rsidRDefault="009B33EA" w:rsidP="00CF1A48">
      <w:pPr>
        <w:pStyle w:val="A1List"/>
        <w:rPr>
          <w:rFonts w:ascii="Arial" w:hAnsi="Arial" w:cs="Arial"/>
          <w:sz w:val="22"/>
          <w:szCs w:val="22"/>
          <w:lang w:val="en-GB"/>
        </w:rPr>
      </w:pPr>
      <w:r w:rsidRPr="00E4265B">
        <w:rPr>
          <w:rFonts w:ascii="Arial" w:hAnsi="Arial" w:cs="Arial"/>
          <w:b/>
          <w:sz w:val="22"/>
          <w:szCs w:val="22"/>
          <w:lang w:val="en-GB"/>
        </w:rPr>
        <w:t>A5.2.2</w:t>
      </w:r>
      <w:r w:rsidRPr="00E4265B">
        <w:rPr>
          <w:rFonts w:ascii="Arial" w:hAnsi="Arial" w:cs="Arial"/>
          <w:sz w:val="22"/>
          <w:szCs w:val="22"/>
          <w:lang w:val="en-GB"/>
        </w:rPr>
        <w:tab/>
        <w:t xml:space="preserve">An Authorised Person must include Securities Financing Transactions in the calculation of the capital requirement required by Rule A5.2.1 if the Authorised Person considers  the CVA risk exposures arising from those transactions are material. The Authorised Person should assess the materiality of CVA risk exposures arising from SFTs in the course of its Internal Risk Assessment Process, as set out in A11.1.  </w:t>
      </w:r>
    </w:p>
    <w:p w14:paraId="3033433D" w14:textId="77777777" w:rsidR="009B33EA" w:rsidRPr="00E4265B" w:rsidRDefault="009B33EA" w:rsidP="00CF1A48">
      <w:pPr>
        <w:pStyle w:val="A1List"/>
        <w:rPr>
          <w:rFonts w:ascii="Arial" w:hAnsi="Arial" w:cs="Arial"/>
          <w:sz w:val="22"/>
          <w:szCs w:val="22"/>
          <w:lang w:val="en-GB"/>
        </w:rPr>
      </w:pPr>
      <w:r w:rsidRPr="00E4265B">
        <w:rPr>
          <w:rFonts w:ascii="Arial" w:hAnsi="Arial" w:cs="Arial"/>
          <w:b/>
          <w:sz w:val="22"/>
          <w:szCs w:val="22"/>
          <w:lang w:val="en-GB"/>
        </w:rPr>
        <w:t>A5.2.3</w:t>
      </w:r>
      <w:r w:rsidRPr="00E4265B">
        <w:rPr>
          <w:rFonts w:ascii="Arial" w:hAnsi="Arial" w:cs="Arial"/>
          <w:sz w:val="22"/>
          <w:szCs w:val="22"/>
          <w:lang w:val="en-GB"/>
        </w:rPr>
        <w:tab/>
        <w:t xml:space="preserve">Transactions with a QCCP and a client's transactions with a clearing member, when the clearing member is acting as an intermediary between the client and a QCCP and the transactions give rise to a trade exposure of the clearing member to the QCCP, are excluded from the capital requirements for CVA risk. </w:t>
      </w:r>
    </w:p>
    <w:p w14:paraId="39A7468A" w14:textId="77777777" w:rsidR="009B33EA" w:rsidRPr="00E4265B" w:rsidRDefault="009B33EA" w:rsidP="00CF1A48">
      <w:pPr>
        <w:pStyle w:val="UK12Title2"/>
        <w:tabs>
          <w:tab w:val="clear" w:pos="994"/>
          <w:tab w:val="left" w:pos="720"/>
        </w:tabs>
        <w:ind w:left="720" w:hanging="720"/>
        <w:rPr>
          <w:rFonts w:ascii="Arial" w:hAnsi="Arial" w:cs="Arial"/>
          <w:sz w:val="22"/>
          <w:szCs w:val="22"/>
        </w:rPr>
      </w:pPr>
      <w:bookmarkStart w:id="985" w:name="_Toc33622493"/>
      <w:r w:rsidRPr="00E4265B">
        <w:rPr>
          <w:rFonts w:ascii="Arial" w:hAnsi="Arial" w:cs="Arial"/>
          <w:sz w:val="22"/>
          <w:szCs w:val="22"/>
        </w:rPr>
        <w:t>A5.3</w:t>
      </w:r>
      <w:r w:rsidRPr="00E4265B">
        <w:rPr>
          <w:rFonts w:ascii="Arial" w:hAnsi="Arial" w:cs="Arial"/>
          <w:sz w:val="22"/>
          <w:szCs w:val="22"/>
        </w:rPr>
        <w:tab/>
        <w:t>Calculation of CVA capital requirement</w:t>
      </w:r>
      <w:bookmarkEnd w:id="985"/>
    </w:p>
    <w:p w14:paraId="6149EBA1" w14:textId="77777777" w:rsidR="009B33EA" w:rsidRPr="00E4265B" w:rsidRDefault="009B33EA" w:rsidP="00CF1A48">
      <w:pPr>
        <w:pStyle w:val="A1List"/>
        <w:rPr>
          <w:rFonts w:ascii="Arial" w:hAnsi="Arial" w:cs="Arial"/>
          <w:sz w:val="22"/>
          <w:szCs w:val="22"/>
          <w:lang w:val="en-GB"/>
        </w:rPr>
      </w:pPr>
      <w:r w:rsidRPr="00E4265B">
        <w:rPr>
          <w:rFonts w:ascii="Arial" w:hAnsi="Arial" w:cs="Arial"/>
          <w:b/>
          <w:sz w:val="22"/>
          <w:szCs w:val="22"/>
          <w:lang w:val="en-GB"/>
        </w:rPr>
        <w:t>A5.3.1</w:t>
      </w:r>
      <w:r w:rsidRPr="00E4265B">
        <w:rPr>
          <w:rFonts w:ascii="Arial" w:hAnsi="Arial" w:cs="Arial"/>
          <w:sz w:val="22"/>
          <w:szCs w:val="22"/>
          <w:lang w:val="en-GB"/>
        </w:rPr>
        <w:tab/>
        <w:t>An Authorised Person must calculate a portfolio capital requirement for CVA risk for each counterparty in accordance with the following formula, taking into account CVA hedges that are eligible in accordance with Section A5.4:</w:t>
      </w:r>
    </w:p>
    <w:p w14:paraId="6BE174F9" w14:textId="77777777" w:rsidR="009B33EA" w:rsidRPr="00E4265B" w:rsidRDefault="009B33EA" w:rsidP="00001A6C">
      <w:pPr>
        <w:pStyle w:val="BlockText125"/>
        <w:ind w:left="-360" w:right="-333"/>
        <w:rPr>
          <w:rFonts w:ascii="Arial" w:eastAsia="Times New Roman" w:hAnsi="Arial" w:cs="Arial"/>
          <w:szCs w:val="22"/>
          <w:lang w:val="en-GB"/>
        </w:rPr>
      </w:pPr>
      <m:oMathPara>
        <m:oMath>
          <m:r>
            <w:rPr>
              <w:rFonts w:ascii="Cambria Math" w:hAnsi="Cambria Math" w:cs="Arial"/>
              <w:szCs w:val="22"/>
              <w:lang w:val="en-GB"/>
            </w:rPr>
            <m:t>K</m:t>
          </m:r>
          <m:r>
            <m:rPr>
              <m:sty m:val="p"/>
            </m:rPr>
            <w:rPr>
              <w:rFonts w:ascii="Cambria Math" w:hAnsi="Cambria Math" w:cs="Arial"/>
              <w:szCs w:val="22"/>
              <w:lang w:val="en-GB"/>
            </w:rPr>
            <m:t>=2.33∙</m:t>
          </m:r>
          <m:rad>
            <m:radPr>
              <m:degHide m:val="1"/>
              <m:ctrlPr>
                <w:rPr>
                  <w:rFonts w:ascii="Cambria Math" w:hAnsi="Cambria Math" w:cs="Arial"/>
                  <w:szCs w:val="22"/>
                  <w:lang w:val="en-GB"/>
                </w:rPr>
              </m:ctrlPr>
            </m:radPr>
            <m:deg/>
            <m:e>
              <m:r>
                <w:rPr>
                  <w:rFonts w:ascii="Cambria Math" w:hAnsi="Cambria Math" w:cs="Arial"/>
                  <w:szCs w:val="22"/>
                  <w:lang w:val="en-GB"/>
                </w:rPr>
                <m:t>h</m:t>
              </m:r>
            </m:e>
          </m:rad>
          <m:r>
            <m:rPr>
              <m:sty m:val="p"/>
            </m:rPr>
            <w:rPr>
              <w:rFonts w:ascii="Cambria Math" w:hAnsi="Cambria Math" w:cs="Arial"/>
              <w:szCs w:val="22"/>
              <w:lang w:val="en-GB"/>
            </w:rPr>
            <m:t>∙</m:t>
          </m:r>
          <m:rad>
            <m:radPr>
              <m:degHide m:val="1"/>
              <m:ctrlPr>
                <w:rPr>
                  <w:rFonts w:ascii="Cambria Math" w:hAnsi="Cambria Math" w:cs="Arial"/>
                  <w:szCs w:val="22"/>
                  <w:lang w:val="en-GB"/>
                </w:rPr>
              </m:ctrlPr>
            </m:radPr>
            <m:deg/>
            <m:e>
              <m:sSup>
                <m:sSupPr>
                  <m:ctrlPr>
                    <w:rPr>
                      <w:rFonts w:ascii="Cambria Math" w:hAnsi="Cambria Math" w:cs="Arial"/>
                      <w:szCs w:val="22"/>
                      <w:lang w:val="en-GB"/>
                    </w:rPr>
                  </m:ctrlPr>
                </m:sSupPr>
                <m:e>
                  <m:d>
                    <m:dPr>
                      <m:ctrlPr>
                        <w:rPr>
                          <w:rFonts w:ascii="Cambria Math" w:hAnsi="Cambria Math" w:cs="Arial"/>
                          <w:szCs w:val="22"/>
                          <w:lang w:val="en-GB"/>
                        </w:rPr>
                      </m:ctrlPr>
                    </m:dPr>
                    <m:e>
                      <m:nary>
                        <m:naryPr>
                          <m:chr m:val="∑"/>
                          <m:limLoc m:val="undOvr"/>
                          <m:supHide m:val="1"/>
                          <m:ctrlPr>
                            <w:rPr>
                              <w:rFonts w:ascii="Cambria Math" w:hAnsi="Cambria Math" w:cs="Arial"/>
                              <w:szCs w:val="22"/>
                              <w:lang w:val="en-GB"/>
                            </w:rPr>
                          </m:ctrlPr>
                        </m:naryPr>
                        <m:sub>
                          <m:r>
                            <w:rPr>
                              <w:rFonts w:ascii="Cambria Math" w:hAnsi="Cambria Math" w:cs="Arial"/>
                              <w:szCs w:val="22"/>
                              <w:lang w:val="en-GB"/>
                            </w:rPr>
                            <m:t>i</m:t>
                          </m:r>
                        </m:sub>
                        <m:sup/>
                        <m:e>
                          <m:r>
                            <m:rPr>
                              <m:sty m:val="p"/>
                            </m:rPr>
                            <w:rPr>
                              <w:rFonts w:ascii="Cambria Math" w:hAnsi="Cambria Math" w:cs="Arial"/>
                              <w:szCs w:val="22"/>
                              <w:lang w:val="en-GB"/>
                            </w:rPr>
                            <m:t>0.5∙</m:t>
                          </m:r>
                          <m:sSub>
                            <m:sSubPr>
                              <m:ctrlPr>
                                <w:rPr>
                                  <w:rFonts w:ascii="Cambria Math" w:hAnsi="Cambria Math" w:cs="Arial"/>
                                  <w:szCs w:val="22"/>
                                  <w:lang w:val="en-GB"/>
                                </w:rPr>
                              </m:ctrlPr>
                            </m:sSubPr>
                            <m:e>
                              <m:r>
                                <w:rPr>
                                  <w:rFonts w:ascii="Cambria Math" w:hAnsi="Cambria Math" w:cs="Arial"/>
                                  <w:szCs w:val="22"/>
                                  <w:lang w:val="en-GB"/>
                                </w:rPr>
                                <m:t>w</m:t>
                              </m:r>
                            </m:e>
                            <m:sub>
                              <m:r>
                                <w:rPr>
                                  <w:rFonts w:ascii="Cambria Math" w:hAnsi="Cambria Math" w:cs="Arial"/>
                                  <w:szCs w:val="22"/>
                                  <w:lang w:val="en-GB"/>
                                </w:rPr>
                                <m:t>i</m:t>
                              </m:r>
                            </m:sub>
                          </m:sSub>
                        </m:e>
                      </m:nary>
                      <m:r>
                        <m:rPr>
                          <m:sty m:val="p"/>
                        </m:rPr>
                        <w:rPr>
                          <w:rFonts w:ascii="Cambria Math" w:hAnsi="Cambria Math" w:cs="Arial"/>
                          <w:szCs w:val="22"/>
                          <w:lang w:val="en-GB"/>
                        </w:rPr>
                        <m:t>∙</m:t>
                      </m:r>
                      <m:d>
                        <m:dPr>
                          <m:ctrlPr>
                            <w:rPr>
                              <w:rFonts w:ascii="Cambria Math" w:hAnsi="Cambria Math" w:cs="Arial"/>
                              <w:szCs w:val="22"/>
                              <w:lang w:val="en-GB"/>
                            </w:rPr>
                          </m:ctrlPr>
                        </m:dPr>
                        <m:e>
                          <m:m>
                            <m:mPr>
                              <m:mcs>
                                <m:mc>
                                  <m:mcPr>
                                    <m:count m:val="1"/>
                                    <m:mcJc m:val="center"/>
                                  </m:mcPr>
                                </m:mc>
                              </m:mcs>
                              <m:ctrlPr>
                                <w:rPr>
                                  <w:rFonts w:ascii="Cambria Math" w:hAnsi="Cambria Math" w:cs="Arial"/>
                                  <w:szCs w:val="22"/>
                                  <w:lang w:val="en-GB"/>
                                </w:rPr>
                              </m:ctrlPr>
                            </m:mPr>
                            <m:mr>
                              <m:e/>
                            </m:mr>
                            <m:mr>
                              <m:e>
                                <m:sSub>
                                  <m:sSubPr>
                                    <m:ctrlPr>
                                      <w:rPr>
                                        <w:rFonts w:ascii="Cambria Math" w:hAnsi="Cambria Math" w:cs="Arial"/>
                                        <w:szCs w:val="22"/>
                                        <w:lang w:val="en-GB"/>
                                      </w:rPr>
                                    </m:ctrlPr>
                                  </m:sSubPr>
                                  <m:e>
                                    <m:r>
                                      <w:rPr>
                                        <w:rFonts w:ascii="Cambria Math" w:hAnsi="Cambria Math" w:cs="Arial"/>
                                        <w:szCs w:val="22"/>
                                        <w:lang w:val="en-GB"/>
                                      </w:rPr>
                                      <m:t>M</m:t>
                                    </m:r>
                                  </m:e>
                                  <m:sub>
                                    <m:r>
                                      <w:rPr>
                                        <w:rFonts w:ascii="Cambria Math" w:hAnsi="Cambria Math" w:cs="Arial"/>
                                        <w:szCs w:val="22"/>
                                        <w:lang w:val="en-GB"/>
                                      </w:rPr>
                                      <m:t>i</m:t>
                                    </m:r>
                                  </m:sub>
                                </m:sSub>
                                <m:r>
                                  <m:rPr>
                                    <m:sty m:val="p"/>
                                  </m:rPr>
                                  <w:rPr>
                                    <w:rFonts w:ascii="Cambria Math" w:hAnsi="Cambria Math" w:cs="Arial"/>
                                    <w:szCs w:val="22"/>
                                    <w:lang w:val="en-GB"/>
                                  </w:rPr>
                                  <m:t>∙</m:t>
                                </m:r>
                                <m:sSubSup>
                                  <m:sSubSupPr>
                                    <m:ctrlPr>
                                      <w:rPr>
                                        <w:rFonts w:ascii="Cambria Math" w:hAnsi="Cambria Math" w:cs="Arial"/>
                                        <w:szCs w:val="22"/>
                                        <w:lang w:val="en-GB"/>
                                      </w:rPr>
                                    </m:ctrlPr>
                                  </m:sSubSupPr>
                                  <m:e>
                                    <m:r>
                                      <w:rPr>
                                        <w:rFonts w:ascii="Cambria Math" w:hAnsi="Cambria Math" w:cs="Arial"/>
                                        <w:szCs w:val="22"/>
                                        <w:lang w:val="en-GB"/>
                                      </w:rPr>
                                      <m:t>EAD</m:t>
                                    </m:r>
                                  </m:e>
                                  <m:sub>
                                    <m:r>
                                      <w:rPr>
                                        <w:rFonts w:ascii="Cambria Math" w:hAnsi="Cambria Math" w:cs="Arial"/>
                                        <w:szCs w:val="22"/>
                                        <w:lang w:val="en-GB"/>
                                      </w:rPr>
                                      <m:t xml:space="preserve"> i</m:t>
                                    </m:r>
                                  </m:sub>
                                  <m:sup>
                                    <m:r>
                                      <w:rPr>
                                        <w:rFonts w:ascii="Cambria Math" w:hAnsi="Cambria Math" w:cs="Arial"/>
                                        <w:szCs w:val="22"/>
                                        <w:lang w:val="en-GB"/>
                                      </w:rPr>
                                      <m:t>total</m:t>
                                    </m:r>
                                  </m:sup>
                                </m:sSubSup>
                                <m:r>
                                  <m:rPr>
                                    <m:sty m:val="p"/>
                                  </m:rPr>
                                  <w:rPr>
                                    <w:rFonts w:ascii="Cambria Math" w:hAnsi="Cambria Math" w:cs="Arial"/>
                                    <w:szCs w:val="22"/>
                                    <w:lang w:val="en-GB"/>
                                  </w:rPr>
                                  <m:t>-</m:t>
                                </m:r>
                                <m:sSubSup>
                                  <m:sSubSupPr>
                                    <m:ctrlPr>
                                      <w:rPr>
                                        <w:rFonts w:ascii="Cambria Math" w:hAnsi="Cambria Math" w:cs="Arial"/>
                                        <w:szCs w:val="22"/>
                                        <w:lang w:val="en-GB"/>
                                      </w:rPr>
                                    </m:ctrlPr>
                                  </m:sSubSupPr>
                                  <m:e>
                                    <m:r>
                                      <w:rPr>
                                        <w:rFonts w:ascii="Cambria Math" w:hAnsi="Cambria Math" w:cs="Arial"/>
                                        <w:szCs w:val="22"/>
                                        <w:lang w:val="en-GB"/>
                                      </w:rPr>
                                      <m:t>M</m:t>
                                    </m:r>
                                  </m:e>
                                  <m:sub>
                                    <m:r>
                                      <w:rPr>
                                        <w:rFonts w:ascii="Cambria Math" w:hAnsi="Cambria Math" w:cs="Arial"/>
                                        <w:szCs w:val="22"/>
                                        <w:lang w:val="en-GB"/>
                                      </w:rPr>
                                      <m:t>i</m:t>
                                    </m:r>
                                  </m:sub>
                                  <m:sup>
                                    <m:r>
                                      <w:rPr>
                                        <w:rFonts w:ascii="Cambria Math" w:hAnsi="Cambria Math" w:cs="Arial"/>
                                        <w:szCs w:val="22"/>
                                        <w:lang w:val="en-GB"/>
                                      </w:rPr>
                                      <m:t>hedge</m:t>
                                    </m:r>
                                  </m:sup>
                                </m:sSubSup>
                                <m:sSub>
                                  <m:sSubPr>
                                    <m:ctrlPr>
                                      <w:rPr>
                                        <w:rFonts w:ascii="Cambria Math" w:hAnsi="Cambria Math" w:cs="Arial"/>
                                        <w:szCs w:val="22"/>
                                        <w:lang w:val="en-GB"/>
                                      </w:rPr>
                                    </m:ctrlPr>
                                  </m:sSubPr>
                                  <m:e>
                                    <m:r>
                                      <w:rPr>
                                        <w:rFonts w:ascii="Cambria Math" w:hAnsi="Cambria Math" w:cs="Arial"/>
                                        <w:szCs w:val="22"/>
                                        <w:lang w:val="en-GB"/>
                                      </w:rPr>
                                      <m:t>B</m:t>
                                    </m:r>
                                  </m:e>
                                  <m:sub>
                                    <m:r>
                                      <w:rPr>
                                        <w:rFonts w:ascii="Cambria Math" w:hAnsi="Cambria Math" w:cs="Arial"/>
                                        <w:szCs w:val="22"/>
                                        <w:lang w:val="en-GB"/>
                                      </w:rPr>
                                      <m:t>i</m:t>
                                    </m:r>
                                  </m:sub>
                                </m:sSub>
                              </m:e>
                            </m:mr>
                            <m:mr>
                              <m:e/>
                            </m:mr>
                          </m:m>
                        </m:e>
                      </m:d>
                      <m:r>
                        <m:rPr>
                          <m:sty m:val="p"/>
                        </m:rPr>
                        <w:rPr>
                          <w:rFonts w:ascii="Cambria Math" w:hAnsi="Cambria Math" w:cs="Arial"/>
                          <w:szCs w:val="22"/>
                          <w:lang w:val="en-GB"/>
                        </w:rPr>
                        <m:t>-</m:t>
                      </m:r>
                      <m:nary>
                        <m:naryPr>
                          <m:chr m:val="∑"/>
                          <m:limLoc m:val="undOvr"/>
                          <m:supHide m:val="1"/>
                          <m:ctrlPr>
                            <w:rPr>
                              <w:rFonts w:ascii="Cambria Math" w:hAnsi="Cambria Math" w:cs="Arial"/>
                              <w:szCs w:val="22"/>
                              <w:lang w:val="en-GB"/>
                            </w:rPr>
                          </m:ctrlPr>
                        </m:naryPr>
                        <m:sub>
                          <m:r>
                            <w:rPr>
                              <w:rFonts w:ascii="Cambria Math" w:hAnsi="Cambria Math" w:cs="Arial"/>
                              <w:szCs w:val="22"/>
                              <w:lang w:val="en-GB"/>
                            </w:rPr>
                            <m:t>ind</m:t>
                          </m:r>
                        </m:sub>
                        <m:sup/>
                        <m:e>
                          <m:sSub>
                            <m:sSubPr>
                              <m:ctrlPr>
                                <w:rPr>
                                  <w:rFonts w:ascii="Cambria Math" w:hAnsi="Cambria Math" w:cs="Arial"/>
                                  <w:szCs w:val="22"/>
                                  <w:lang w:val="en-GB"/>
                                </w:rPr>
                              </m:ctrlPr>
                            </m:sSubPr>
                            <m:e>
                              <m:r>
                                <w:rPr>
                                  <w:rFonts w:ascii="Cambria Math" w:hAnsi="Cambria Math" w:cs="Arial"/>
                                  <w:szCs w:val="22"/>
                                  <w:lang w:val="en-GB"/>
                                </w:rPr>
                                <m:t>W</m:t>
                              </m:r>
                            </m:e>
                            <m:sub>
                              <m:r>
                                <w:rPr>
                                  <w:rFonts w:ascii="Cambria Math" w:hAnsi="Cambria Math" w:cs="Arial"/>
                                  <w:szCs w:val="22"/>
                                  <w:lang w:val="en-GB"/>
                                </w:rPr>
                                <m:t>ind</m:t>
                              </m:r>
                            </m:sub>
                          </m:sSub>
                          <m:r>
                            <m:rPr>
                              <m:sty m:val="p"/>
                            </m:rPr>
                            <w:rPr>
                              <w:rFonts w:ascii="Cambria Math" w:hAnsi="Cambria Math" w:cs="Arial"/>
                              <w:szCs w:val="22"/>
                              <w:lang w:val="en-GB"/>
                            </w:rPr>
                            <m:t xml:space="preserve">∙ </m:t>
                          </m:r>
                        </m:e>
                      </m:nary>
                      <m:sSub>
                        <m:sSubPr>
                          <m:ctrlPr>
                            <w:rPr>
                              <w:rFonts w:ascii="Cambria Math" w:hAnsi="Cambria Math" w:cs="Arial"/>
                              <w:szCs w:val="22"/>
                              <w:lang w:val="en-GB"/>
                            </w:rPr>
                          </m:ctrlPr>
                        </m:sSubPr>
                        <m:e>
                          <m:r>
                            <w:rPr>
                              <w:rFonts w:ascii="Cambria Math" w:hAnsi="Cambria Math" w:cs="Arial"/>
                              <w:szCs w:val="22"/>
                              <w:lang w:val="en-GB"/>
                            </w:rPr>
                            <m:t>M</m:t>
                          </m:r>
                        </m:e>
                        <m:sub>
                          <m:r>
                            <w:rPr>
                              <w:rFonts w:ascii="Cambria Math" w:hAnsi="Cambria Math" w:cs="Arial"/>
                              <w:szCs w:val="22"/>
                              <w:lang w:val="en-GB"/>
                            </w:rPr>
                            <m:t>ind</m:t>
                          </m:r>
                        </m:sub>
                      </m:sSub>
                      <m:r>
                        <m:rPr>
                          <m:sty m:val="p"/>
                        </m:rPr>
                        <w:rPr>
                          <w:rFonts w:ascii="Cambria Math" w:hAnsi="Cambria Math" w:cs="Arial"/>
                          <w:szCs w:val="22"/>
                          <w:lang w:val="en-GB"/>
                        </w:rPr>
                        <m:t>∙</m:t>
                      </m:r>
                      <m:sSub>
                        <m:sSubPr>
                          <m:ctrlPr>
                            <w:rPr>
                              <w:rFonts w:ascii="Cambria Math" w:hAnsi="Cambria Math" w:cs="Arial"/>
                              <w:szCs w:val="22"/>
                              <w:lang w:val="en-GB"/>
                            </w:rPr>
                          </m:ctrlPr>
                        </m:sSubPr>
                        <m:e>
                          <m:r>
                            <w:rPr>
                              <w:rFonts w:ascii="Cambria Math" w:hAnsi="Cambria Math" w:cs="Arial"/>
                              <w:szCs w:val="22"/>
                              <w:lang w:val="en-GB"/>
                            </w:rPr>
                            <m:t>B</m:t>
                          </m:r>
                        </m:e>
                        <m:sub>
                          <m:r>
                            <w:rPr>
                              <w:rFonts w:ascii="Cambria Math" w:hAnsi="Cambria Math" w:cs="Arial"/>
                              <w:szCs w:val="22"/>
                              <w:lang w:val="en-GB"/>
                            </w:rPr>
                            <m:t>ind</m:t>
                          </m:r>
                        </m:sub>
                      </m:sSub>
                    </m:e>
                  </m:d>
                </m:e>
                <m:sup>
                  <m:r>
                    <m:rPr>
                      <m:sty m:val="p"/>
                    </m:rPr>
                    <w:rPr>
                      <w:rFonts w:ascii="Cambria Math" w:hAnsi="Cambria Math" w:cs="Arial"/>
                      <w:szCs w:val="22"/>
                      <w:lang w:val="en-GB"/>
                    </w:rPr>
                    <m:t>2</m:t>
                  </m:r>
                </m:sup>
              </m:sSup>
              <m:r>
                <m:rPr>
                  <m:sty m:val="p"/>
                </m:rPr>
                <w:rPr>
                  <w:rFonts w:ascii="Cambria Math" w:hAnsi="Cambria Math" w:cs="Arial"/>
                  <w:szCs w:val="22"/>
                  <w:lang w:val="en-GB"/>
                </w:rPr>
                <m:t>+</m:t>
              </m:r>
              <m:sSup>
                <m:sSupPr>
                  <m:ctrlPr>
                    <w:rPr>
                      <w:rFonts w:ascii="Cambria Math" w:hAnsi="Cambria Math" w:cs="Arial"/>
                      <w:szCs w:val="22"/>
                      <w:lang w:val="en-GB"/>
                    </w:rPr>
                  </m:ctrlPr>
                </m:sSupPr>
                <m:e>
                  <m:nary>
                    <m:naryPr>
                      <m:chr m:val="∑"/>
                      <m:limLoc m:val="undOvr"/>
                      <m:supHide m:val="1"/>
                      <m:ctrlPr>
                        <w:rPr>
                          <w:rFonts w:ascii="Cambria Math" w:hAnsi="Cambria Math" w:cs="Arial"/>
                          <w:szCs w:val="22"/>
                          <w:lang w:val="en-GB"/>
                        </w:rPr>
                      </m:ctrlPr>
                    </m:naryPr>
                    <m:sub>
                      <m:r>
                        <w:rPr>
                          <w:rFonts w:ascii="Cambria Math" w:hAnsi="Cambria Math" w:cs="Arial"/>
                          <w:szCs w:val="22"/>
                          <w:lang w:val="en-GB"/>
                        </w:rPr>
                        <m:t>i</m:t>
                      </m:r>
                    </m:sub>
                    <m:sup/>
                    <m:e>
                      <m:r>
                        <m:rPr>
                          <m:sty m:val="p"/>
                        </m:rPr>
                        <w:rPr>
                          <w:rFonts w:ascii="Cambria Math" w:hAnsi="Cambria Math" w:cs="Arial"/>
                          <w:szCs w:val="22"/>
                          <w:lang w:val="en-GB"/>
                        </w:rPr>
                        <m:t>0.75∙</m:t>
                      </m:r>
                      <m:sSubSup>
                        <m:sSubSupPr>
                          <m:ctrlPr>
                            <w:rPr>
                              <w:rFonts w:ascii="Cambria Math" w:hAnsi="Cambria Math" w:cs="Arial"/>
                              <w:szCs w:val="22"/>
                              <w:lang w:val="en-GB"/>
                            </w:rPr>
                          </m:ctrlPr>
                        </m:sSubSupPr>
                        <m:e>
                          <m:r>
                            <w:rPr>
                              <w:rFonts w:ascii="Cambria Math" w:hAnsi="Cambria Math" w:cs="Arial"/>
                              <w:szCs w:val="22"/>
                              <w:lang w:val="en-GB"/>
                            </w:rPr>
                            <m:t>w</m:t>
                          </m:r>
                        </m:e>
                        <m:sub>
                          <m:r>
                            <w:rPr>
                              <w:rFonts w:ascii="Cambria Math" w:hAnsi="Cambria Math" w:cs="Arial"/>
                              <w:szCs w:val="22"/>
                              <w:lang w:val="en-GB"/>
                            </w:rPr>
                            <m:t>i</m:t>
                          </m:r>
                        </m:sub>
                        <m:sup>
                          <m:r>
                            <m:rPr>
                              <m:sty m:val="p"/>
                            </m:rPr>
                            <w:rPr>
                              <w:rFonts w:ascii="Cambria Math" w:hAnsi="Cambria Math" w:cs="Arial"/>
                              <w:szCs w:val="22"/>
                              <w:lang w:val="en-GB"/>
                            </w:rPr>
                            <m:t>2</m:t>
                          </m:r>
                        </m:sup>
                      </m:sSubSup>
                      <m:r>
                        <m:rPr>
                          <m:sty m:val="p"/>
                        </m:rPr>
                        <w:rPr>
                          <w:rFonts w:ascii="Cambria Math" w:hAnsi="Cambria Math" w:cs="Arial"/>
                          <w:szCs w:val="22"/>
                          <w:lang w:val="en-GB"/>
                        </w:rPr>
                        <m:t xml:space="preserve"> </m:t>
                      </m:r>
                    </m:e>
                  </m:nary>
                  <m:r>
                    <m:rPr>
                      <m:sty m:val="p"/>
                    </m:rPr>
                    <w:rPr>
                      <w:rFonts w:ascii="Cambria Math" w:hAnsi="Cambria Math" w:cs="Arial"/>
                      <w:szCs w:val="22"/>
                      <w:lang w:val="en-GB"/>
                    </w:rPr>
                    <m:t>∙</m:t>
                  </m:r>
                  <m:d>
                    <m:dPr>
                      <m:ctrlPr>
                        <w:rPr>
                          <w:rFonts w:ascii="Cambria Math" w:hAnsi="Cambria Math" w:cs="Arial"/>
                          <w:szCs w:val="22"/>
                          <w:lang w:val="en-GB"/>
                        </w:rPr>
                      </m:ctrlPr>
                    </m:dPr>
                    <m:e>
                      <m:sSub>
                        <m:sSubPr>
                          <m:ctrlPr>
                            <w:rPr>
                              <w:rFonts w:ascii="Cambria Math" w:hAnsi="Cambria Math" w:cs="Arial"/>
                              <w:szCs w:val="22"/>
                              <w:lang w:val="en-GB"/>
                            </w:rPr>
                          </m:ctrlPr>
                        </m:sSubPr>
                        <m:e>
                          <m:r>
                            <w:rPr>
                              <w:rFonts w:ascii="Cambria Math" w:hAnsi="Cambria Math" w:cs="Arial"/>
                              <w:szCs w:val="22"/>
                              <w:lang w:val="en-GB"/>
                            </w:rPr>
                            <m:t>M</m:t>
                          </m:r>
                        </m:e>
                        <m:sub>
                          <m:r>
                            <w:rPr>
                              <w:rFonts w:ascii="Cambria Math" w:hAnsi="Cambria Math" w:cs="Arial"/>
                              <w:szCs w:val="22"/>
                              <w:lang w:val="en-GB"/>
                            </w:rPr>
                            <m:t>i</m:t>
                          </m:r>
                        </m:sub>
                      </m:sSub>
                      <m:r>
                        <m:rPr>
                          <m:sty m:val="p"/>
                        </m:rPr>
                        <w:rPr>
                          <w:rFonts w:ascii="Cambria Math" w:hAnsi="Cambria Math" w:cs="Arial"/>
                          <w:szCs w:val="22"/>
                          <w:lang w:val="en-GB"/>
                        </w:rPr>
                        <m:t>∙</m:t>
                      </m:r>
                      <m:sSubSup>
                        <m:sSubSupPr>
                          <m:ctrlPr>
                            <w:rPr>
                              <w:rFonts w:ascii="Cambria Math" w:hAnsi="Cambria Math" w:cs="Arial"/>
                              <w:szCs w:val="22"/>
                              <w:lang w:val="en-GB"/>
                            </w:rPr>
                          </m:ctrlPr>
                        </m:sSubSupPr>
                        <m:e>
                          <m:r>
                            <w:rPr>
                              <w:rFonts w:ascii="Cambria Math" w:hAnsi="Cambria Math" w:cs="Arial"/>
                              <w:szCs w:val="22"/>
                              <w:lang w:val="en-GB"/>
                            </w:rPr>
                            <m:t>EAD</m:t>
                          </m:r>
                        </m:e>
                        <m:sub>
                          <m:r>
                            <w:rPr>
                              <w:rFonts w:ascii="Cambria Math" w:hAnsi="Cambria Math" w:cs="Arial"/>
                              <w:szCs w:val="22"/>
                              <w:lang w:val="en-GB"/>
                            </w:rPr>
                            <m:t>i</m:t>
                          </m:r>
                        </m:sub>
                        <m:sup>
                          <m:r>
                            <w:rPr>
                              <w:rFonts w:ascii="Cambria Math" w:hAnsi="Cambria Math" w:cs="Arial"/>
                              <w:szCs w:val="22"/>
                              <w:lang w:val="en-GB"/>
                            </w:rPr>
                            <m:t>total</m:t>
                          </m:r>
                        </m:sup>
                      </m:sSubSup>
                      <m:r>
                        <m:rPr>
                          <m:sty m:val="p"/>
                        </m:rPr>
                        <w:rPr>
                          <w:rFonts w:ascii="Cambria Math" w:hAnsi="Cambria Math" w:cs="Arial"/>
                          <w:szCs w:val="22"/>
                          <w:lang w:val="en-GB"/>
                        </w:rPr>
                        <m:t>-</m:t>
                      </m:r>
                      <m:sSubSup>
                        <m:sSubSupPr>
                          <m:ctrlPr>
                            <w:rPr>
                              <w:rFonts w:ascii="Cambria Math" w:hAnsi="Cambria Math" w:cs="Arial"/>
                              <w:szCs w:val="22"/>
                              <w:lang w:val="en-GB"/>
                            </w:rPr>
                          </m:ctrlPr>
                        </m:sSubSupPr>
                        <m:e>
                          <m:r>
                            <w:rPr>
                              <w:rFonts w:ascii="Cambria Math" w:hAnsi="Cambria Math" w:cs="Arial"/>
                              <w:szCs w:val="22"/>
                              <w:lang w:val="en-GB"/>
                            </w:rPr>
                            <m:t>M</m:t>
                          </m:r>
                        </m:e>
                        <m:sub>
                          <m:r>
                            <w:rPr>
                              <w:rFonts w:ascii="Cambria Math" w:hAnsi="Cambria Math" w:cs="Arial"/>
                              <w:szCs w:val="22"/>
                              <w:lang w:val="en-GB"/>
                            </w:rPr>
                            <m:t>i</m:t>
                          </m:r>
                        </m:sub>
                        <m:sup>
                          <m:r>
                            <w:rPr>
                              <w:rFonts w:ascii="Cambria Math" w:hAnsi="Cambria Math" w:cs="Arial"/>
                              <w:szCs w:val="22"/>
                              <w:lang w:val="en-GB"/>
                            </w:rPr>
                            <m:t>hedge</m:t>
                          </m:r>
                        </m:sup>
                      </m:sSubSup>
                      <m:sSub>
                        <m:sSubPr>
                          <m:ctrlPr>
                            <w:rPr>
                              <w:rFonts w:ascii="Cambria Math" w:hAnsi="Cambria Math" w:cs="Arial"/>
                              <w:szCs w:val="22"/>
                              <w:lang w:val="en-GB"/>
                            </w:rPr>
                          </m:ctrlPr>
                        </m:sSubPr>
                        <m:e>
                          <m:r>
                            <w:rPr>
                              <w:rFonts w:ascii="Cambria Math" w:hAnsi="Cambria Math" w:cs="Arial"/>
                              <w:szCs w:val="22"/>
                              <w:lang w:val="en-GB"/>
                            </w:rPr>
                            <m:t>B</m:t>
                          </m:r>
                        </m:e>
                        <m:sub>
                          <m:r>
                            <w:rPr>
                              <w:rFonts w:ascii="Cambria Math" w:hAnsi="Cambria Math" w:cs="Arial"/>
                              <w:szCs w:val="22"/>
                              <w:lang w:val="en-GB"/>
                            </w:rPr>
                            <m:t>i</m:t>
                          </m:r>
                        </m:sub>
                      </m:sSub>
                    </m:e>
                  </m:d>
                </m:e>
                <m:sup>
                  <m:r>
                    <m:rPr>
                      <m:sty m:val="p"/>
                    </m:rPr>
                    <w:rPr>
                      <w:rFonts w:ascii="Cambria Math" w:hAnsi="Cambria Math" w:cs="Arial"/>
                      <w:szCs w:val="22"/>
                      <w:lang w:val="en-GB"/>
                    </w:rPr>
                    <m:t>2</m:t>
                  </m:r>
                </m:sup>
              </m:sSup>
            </m:e>
          </m:rad>
        </m:oMath>
      </m:oMathPara>
    </w:p>
    <w:p w14:paraId="43516D77" w14:textId="77777777" w:rsidR="00215916" w:rsidRPr="00E4265B" w:rsidRDefault="00215916" w:rsidP="009B33EA">
      <w:pPr>
        <w:pStyle w:val="UK12Block05"/>
        <w:rPr>
          <w:rFonts w:ascii="Arial" w:hAnsi="Arial" w:cs="Arial"/>
          <w:sz w:val="22"/>
          <w:szCs w:val="22"/>
          <w:lang w:val="en-GB"/>
        </w:rPr>
      </w:pPr>
    </w:p>
    <w:p w14:paraId="25E1558F" w14:textId="77777777" w:rsidR="009B33EA" w:rsidRPr="00E4265B" w:rsidRDefault="009B33EA" w:rsidP="009B33EA">
      <w:pPr>
        <w:pStyle w:val="UK12Block05"/>
        <w:rPr>
          <w:rFonts w:ascii="Arial" w:hAnsi="Arial" w:cs="Arial"/>
          <w:sz w:val="22"/>
          <w:szCs w:val="22"/>
          <w:lang w:val="en-GB"/>
        </w:rPr>
      </w:pPr>
      <w:r w:rsidRPr="00E4265B">
        <w:rPr>
          <w:rFonts w:ascii="Arial" w:hAnsi="Arial" w:cs="Arial"/>
          <w:sz w:val="22"/>
          <w:szCs w:val="22"/>
          <w:lang w:val="en-GB"/>
        </w:rPr>
        <w:t>where:</w:t>
      </w:r>
    </w:p>
    <w:p w14:paraId="509C14EE" w14:textId="77777777" w:rsidR="009B33EA" w:rsidRPr="00E4265B" w:rsidRDefault="009B33EA" w:rsidP="00025819">
      <w:pPr>
        <w:pStyle w:val="UK12Block05"/>
        <w:tabs>
          <w:tab w:val="left" w:pos="2160"/>
        </w:tabs>
        <w:rPr>
          <w:rFonts w:ascii="Arial" w:hAnsi="Arial" w:cs="Arial"/>
          <w:sz w:val="22"/>
          <w:szCs w:val="22"/>
          <w:lang w:val="en-GB"/>
        </w:rPr>
      </w:pPr>
      <w:r w:rsidRPr="00E4265B">
        <w:rPr>
          <w:rFonts w:ascii="Arial" w:hAnsi="Arial" w:cs="Arial"/>
          <w:i/>
          <w:sz w:val="22"/>
          <w:szCs w:val="22"/>
          <w:lang w:val="en-GB"/>
        </w:rPr>
        <w:t>h</w:t>
      </w:r>
      <w:r w:rsidRPr="00E4265B">
        <w:rPr>
          <w:rFonts w:ascii="Arial" w:hAnsi="Arial" w:cs="Arial"/>
          <w:sz w:val="22"/>
          <w:szCs w:val="22"/>
          <w:lang w:val="en-GB"/>
        </w:rPr>
        <w:t xml:space="preserve"> </w:t>
      </w:r>
      <w:r w:rsidR="00656D8D" w:rsidRPr="00E4265B">
        <w:rPr>
          <w:rFonts w:ascii="Arial" w:hAnsi="Arial" w:cs="Arial"/>
          <w:sz w:val="22"/>
          <w:szCs w:val="22"/>
          <w:lang w:val="en-GB"/>
        </w:rPr>
        <w:tab/>
      </w:r>
      <w:r w:rsidRPr="00E4265B">
        <w:rPr>
          <w:rFonts w:ascii="Arial" w:hAnsi="Arial" w:cs="Arial"/>
          <w:sz w:val="22"/>
          <w:szCs w:val="22"/>
          <w:lang w:val="en-GB"/>
        </w:rPr>
        <w:t>= the one-year risk horizon (in units of a year); h=1;</w:t>
      </w:r>
    </w:p>
    <w:p w14:paraId="0EDBE154" w14:textId="77777777" w:rsidR="009B33EA" w:rsidRPr="00E4265B" w:rsidRDefault="009B33EA" w:rsidP="00025819">
      <w:pPr>
        <w:pStyle w:val="UK12Block05"/>
        <w:tabs>
          <w:tab w:val="left" w:pos="2160"/>
        </w:tabs>
        <w:rPr>
          <w:rFonts w:ascii="Arial" w:hAnsi="Arial" w:cs="Arial"/>
          <w:sz w:val="22"/>
          <w:szCs w:val="22"/>
          <w:lang w:val="en-GB"/>
        </w:rPr>
      </w:pPr>
      <w:r w:rsidRPr="00E4265B">
        <w:rPr>
          <w:rFonts w:ascii="Arial" w:hAnsi="Arial" w:cs="Arial"/>
          <w:i/>
          <w:sz w:val="22"/>
          <w:szCs w:val="22"/>
          <w:lang w:val="en-GB"/>
        </w:rPr>
        <w:t>w</w:t>
      </w:r>
      <w:r w:rsidRPr="00E4265B">
        <w:rPr>
          <w:rFonts w:ascii="Arial" w:hAnsi="Arial" w:cs="Arial"/>
          <w:i/>
          <w:sz w:val="22"/>
          <w:szCs w:val="22"/>
          <w:vertAlign w:val="subscript"/>
          <w:lang w:val="en-GB"/>
        </w:rPr>
        <w:t>i</w:t>
      </w:r>
      <w:r w:rsidRPr="00E4265B">
        <w:rPr>
          <w:rFonts w:ascii="Arial" w:hAnsi="Arial" w:cs="Arial"/>
          <w:sz w:val="22"/>
          <w:szCs w:val="22"/>
          <w:lang w:val="en-GB"/>
        </w:rPr>
        <w:tab/>
        <w:t xml:space="preserve">= the weight applicable to counterparty </w:t>
      </w:r>
      <w:r w:rsidRPr="00E4265B">
        <w:rPr>
          <w:rFonts w:ascii="Arial" w:hAnsi="Arial" w:cs="Arial"/>
          <w:i/>
          <w:sz w:val="22"/>
          <w:szCs w:val="22"/>
          <w:lang w:val="en-GB"/>
        </w:rPr>
        <w:t>i</w:t>
      </w:r>
      <w:r w:rsidRPr="00E4265B">
        <w:rPr>
          <w:rFonts w:ascii="Arial" w:hAnsi="Arial" w:cs="Arial"/>
          <w:sz w:val="22"/>
          <w:szCs w:val="22"/>
          <w:lang w:val="en-GB"/>
        </w:rPr>
        <w:t>.</w:t>
      </w:r>
    </w:p>
    <w:p w14:paraId="24601874" w14:textId="77777777" w:rsidR="009B33EA" w:rsidRPr="00E4265B" w:rsidRDefault="009B33EA" w:rsidP="00025819">
      <w:pPr>
        <w:pStyle w:val="UK12Block15"/>
        <w:ind w:left="2160"/>
        <w:rPr>
          <w:rFonts w:ascii="Arial" w:hAnsi="Arial" w:cs="Arial"/>
          <w:sz w:val="22"/>
          <w:szCs w:val="22"/>
          <w:lang w:val="en-GB"/>
        </w:rPr>
      </w:pPr>
      <w:r w:rsidRPr="00E4265B">
        <w:rPr>
          <w:rFonts w:ascii="Arial" w:hAnsi="Arial" w:cs="Arial"/>
          <w:sz w:val="22"/>
          <w:szCs w:val="22"/>
          <w:lang w:val="en-GB"/>
        </w:rPr>
        <w:t xml:space="preserve">Counterparty </w:t>
      </w:r>
      <w:r w:rsidRPr="00E4265B">
        <w:rPr>
          <w:rFonts w:ascii="Arial" w:hAnsi="Arial" w:cs="Arial"/>
          <w:i/>
          <w:sz w:val="22"/>
          <w:szCs w:val="22"/>
          <w:lang w:val="en-GB"/>
        </w:rPr>
        <w:t>i</w:t>
      </w:r>
      <w:r w:rsidRPr="00E4265B">
        <w:rPr>
          <w:rFonts w:ascii="Arial" w:hAnsi="Arial" w:cs="Arial"/>
          <w:sz w:val="22"/>
          <w:szCs w:val="22"/>
          <w:lang w:val="en-GB"/>
        </w:rPr>
        <w:t xml:space="preserve"> must be mapped to one of the six weights </w:t>
      </w:r>
      <w:r w:rsidRPr="00E4265B">
        <w:rPr>
          <w:rFonts w:ascii="Arial" w:hAnsi="Arial" w:cs="Arial"/>
          <w:i/>
          <w:iCs/>
          <w:sz w:val="22"/>
          <w:szCs w:val="22"/>
          <w:lang w:val="en-GB"/>
        </w:rPr>
        <w:t>w</w:t>
      </w:r>
      <w:r w:rsidRPr="00E4265B">
        <w:rPr>
          <w:rFonts w:ascii="Arial" w:hAnsi="Arial" w:cs="Arial"/>
          <w:i/>
          <w:iCs/>
          <w:sz w:val="22"/>
          <w:szCs w:val="22"/>
          <w:vertAlign w:val="subscript"/>
          <w:lang w:val="en-GB"/>
        </w:rPr>
        <w:t>i</w:t>
      </w:r>
      <w:r w:rsidRPr="00E4265B">
        <w:rPr>
          <w:rFonts w:ascii="Arial" w:hAnsi="Arial" w:cs="Arial"/>
          <w:sz w:val="22"/>
          <w:szCs w:val="22"/>
          <w:lang w:val="en-GB"/>
        </w:rPr>
        <w:t xml:space="preserve"> based on the Credit Quality Grade determined from an external credit assessment by a nominated ECAI, as set out in Table 1.  For a counterparty for which a credit assessment by a nominated ECAI is not available, an Authorised Person must assign w</w:t>
      </w:r>
      <w:r w:rsidRPr="00E4265B">
        <w:rPr>
          <w:rFonts w:ascii="Arial" w:hAnsi="Arial" w:cs="Arial"/>
          <w:sz w:val="22"/>
          <w:szCs w:val="22"/>
          <w:vertAlign w:val="subscript"/>
          <w:lang w:val="en-GB"/>
        </w:rPr>
        <w:t>i</w:t>
      </w:r>
      <w:r w:rsidRPr="00E4265B">
        <w:rPr>
          <w:rFonts w:ascii="Arial" w:hAnsi="Arial" w:cs="Arial"/>
          <w:sz w:val="22"/>
          <w:szCs w:val="22"/>
          <w:lang w:val="en-GB"/>
        </w:rPr>
        <w:t>=1.0% to this counterparty;</w:t>
      </w:r>
    </w:p>
    <w:tbl>
      <w:tblPr>
        <w:tblStyle w:val="TableGrid"/>
        <w:tblW w:w="0" w:type="auto"/>
        <w:tblInd w:w="2235" w:type="dxa"/>
        <w:tblLook w:val="04A0" w:firstRow="1" w:lastRow="0" w:firstColumn="1" w:lastColumn="0" w:noHBand="0" w:noVBand="1"/>
      </w:tblPr>
      <w:tblGrid>
        <w:gridCol w:w="3429"/>
        <w:gridCol w:w="3353"/>
      </w:tblGrid>
      <w:tr w:rsidR="00193631" w:rsidRPr="00E4265B" w14:paraId="49718AC0" w14:textId="77777777" w:rsidTr="00193631">
        <w:trPr>
          <w:tblHeader/>
        </w:trPr>
        <w:tc>
          <w:tcPr>
            <w:tcW w:w="3543" w:type="dxa"/>
            <w:shd w:val="clear" w:color="auto" w:fill="D9D9D9" w:themeFill="background1" w:themeFillShade="D9"/>
          </w:tcPr>
          <w:p w14:paraId="326F374C" w14:textId="77777777" w:rsidR="00193631" w:rsidRPr="00E4265B" w:rsidRDefault="00193631" w:rsidP="006A3399">
            <w:pPr>
              <w:spacing w:before="60" w:after="60"/>
              <w:jc w:val="center"/>
              <w:rPr>
                <w:rFonts w:ascii="Arial" w:hAnsi="Arial" w:cs="Arial"/>
                <w:b/>
                <w:bCs/>
                <w:sz w:val="22"/>
                <w:szCs w:val="22"/>
                <w:lang w:val="en-GB"/>
              </w:rPr>
            </w:pPr>
            <w:r w:rsidRPr="00E4265B">
              <w:rPr>
                <w:rFonts w:ascii="Arial" w:hAnsi="Arial" w:cs="Arial"/>
                <w:b/>
                <w:bCs/>
                <w:sz w:val="22"/>
                <w:szCs w:val="22"/>
                <w:lang w:val="en-GB"/>
              </w:rPr>
              <w:t>Credit Quality Grade</w:t>
            </w:r>
          </w:p>
        </w:tc>
        <w:tc>
          <w:tcPr>
            <w:tcW w:w="3465" w:type="dxa"/>
            <w:shd w:val="clear" w:color="auto" w:fill="D9D9D9" w:themeFill="background1" w:themeFillShade="D9"/>
          </w:tcPr>
          <w:p w14:paraId="6FA93560" w14:textId="77777777" w:rsidR="00193631" w:rsidRPr="00E4265B" w:rsidRDefault="00193631" w:rsidP="006A3399">
            <w:pPr>
              <w:spacing w:before="60" w:after="60"/>
              <w:jc w:val="center"/>
              <w:rPr>
                <w:rFonts w:ascii="Arial" w:hAnsi="Arial" w:cs="Arial"/>
                <w:b/>
                <w:bCs/>
                <w:sz w:val="22"/>
                <w:szCs w:val="22"/>
                <w:lang w:val="en-GB"/>
              </w:rPr>
            </w:pPr>
            <w:r w:rsidRPr="00E4265B">
              <w:rPr>
                <w:rFonts w:ascii="Arial" w:hAnsi="Arial" w:cs="Arial"/>
                <w:b/>
                <w:bCs/>
                <w:sz w:val="22"/>
                <w:szCs w:val="22"/>
                <w:lang w:val="en-GB"/>
              </w:rPr>
              <w:t xml:space="preserve">Weight </w:t>
            </w:r>
            <w:r w:rsidRPr="00E4265B">
              <w:rPr>
                <w:rFonts w:ascii="Arial" w:hAnsi="Arial" w:cs="Arial"/>
                <w:b/>
                <w:bCs/>
                <w:i/>
                <w:iCs/>
                <w:sz w:val="22"/>
                <w:szCs w:val="22"/>
                <w:lang w:val="en-GB"/>
              </w:rPr>
              <w:t>w</w:t>
            </w:r>
            <w:r w:rsidRPr="00E4265B">
              <w:rPr>
                <w:rFonts w:ascii="Arial" w:hAnsi="Arial" w:cs="Arial"/>
                <w:b/>
                <w:bCs/>
                <w:i/>
                <w:iCs/>
                <w:sz w:val="22"/>
                <w:szCs w:val="22"/>
                <w:vertAlign w:val="subscript"/>
                <w:lang w:val="en-GB"/>
              </w:rPr>
              <w:t>i</w:t>
            </w:r>
          </w:p>
        </w:tc>
      </w:tr>
      <w:tr w:rsidR="00193631" w:rsidRPr="00E4265B" w14:paraId="4D959559" w14:textId="77777777" w:rsidTr="00193631">
        <w:tc>
          <w:tcPr>
            <w:tcW w:w="3543" w:type="dxa"/>
          </w:tcPr>
          <w:p w14:paraId="23E4D0BA" w14:textId="77777777" w:rsidR="00193631" w:rsidRPr="00E4265B" w:rsidRDefault="00193631" w:rsidP="006A3399">
            <w:pPr>
              <w:spacing w:before="60" w:after="60"/>
              <w:jc w:val="center"/>
              <w:rPr>
                <w:rFonts w:ascii="Arial" w:hAnsi="Arial" w:cs="Arial"/>
                <w:sz w:val="22"/>
                <w:szCs w:val="22"/>
                <w:lang w:val="en-GB"/>
              </w:rPr>
            </w:pPr>
            <w:r w:rsidRPr="00E4265B">
              <w:rPr>
                <w:rFonts w:ascii="Arial" w:hAnsi="Arial" w:cs="Arial"/>
                <w:sz w:val="22"/>
                <w:szCs w:val="22"/>
                <w:lang w:val="en-GB"/>
              </w:rPr>
              <w:t>1</w:t>
            </w:r>
          </w:p>
        </w:tc>
        <w:tc>
          <w:tcPr>
            <w:tcW w:w="3465" w:type="dxa"/>
          </w:tcPr>
          <w:p w14:paraId="1C283568" w14:textId="77777777" w:rsidR="00193631" w:rsidRPr="00E4265B" w:rsidRDefault="00193631" w:rsidP="006A3399">
            <w:pPr>
              <w:spacing w:before="60" w:after="60"/>
              <w:jc w:val="center"/>
              <w:rPr>
                <w:rFonts w:ascii="Arial" w:hAnsi="Arial" w:cs="Arial"/>
                <w:sz w:val="22"/>
                <w:szCs w:val="22"/>
                <w:lang w:val="en-GB"/>
              </w:rPr>
            </w:pPr>
            <w:r w:rsidRPr="00E4265B">
              <w:rPr>
                <w:rFonts w:ascii="Arial" w:hAnsi="Arial" w:cs="Arial"/>
                <w:sz w:val="22"/>
                <w:szCs w:val="22"/>
                <w:lang w:val="en-GB"/>
              </w:rPr>
              <w:t>0.7%</w:t>
            </w:r>
          </w:p>
        </w:tc>
      </w:tr>
      <w:tr w:rsidR="00193631" w:rsidRPr="00E4265B" w14:paraId="22A0DCFA" w14:textId="77777777" w:rsidTr="00193631">
        <w:tc>
          <w:tcPr>
            <w:tcW w:w="3543" w:type="dxa"/>
          </w:tcPr>
          <w:p w14:paraId="7E8F4481" w14:textId="77777777" w:rsidR="00193631" w:rsidRPr="00E4265B" w:rsidRDefault="00193631" w:rsidP="006A3399">
            <w:pPr>
              <w:spacing w:before="60" w:after="60"/>
              <w:jc w:val="center"/>
              <w:rPr>
                <w:rFonts w:ascii="Arial" w:hAnsi="Arial" w:cs="Arial"/>
                <w:sz w:val="22"/>
                <w:szCs w:val="22"/>
                <w:lang w:val="en-GB"/>
              </w:rPr>
            </w:pPr>
            <w:r w:rsidRPr="00E4265B">
              <w:rPr>
                <w:rFonts w:ascii="Arial" w:hAnsi="Arial" w:cs="Arial"/>
                <w:sz w:val="22"/>
                <w:szCs w:val="22"/>
                <w:lang w:val="en-GB"/>
              </w:rPr>
              <w:t>2</w:t>
            </w:r>
          </w:p>
        </w:tc>
        <w:tc>
          <w:tcPr>
            <w:tcW w:w="3465" w:type="dxa"/>
          </w:tcPr>
          <w:p w14:paraId="59440C83" w14:textId="77777777" w:rsidR="00193631" w:rsidRPr="00E4265B" w:rsidRDefault="00193631" w:rsidP="006A3399">
            <w:pPr>
              <w:spacing w:before="60" w:after="60"/>
              <w:jc w:val="center"/>
              <w:rPr>
                <w:rFonts w:ascii="Arial" w:hAnsi="Arial" w:cs="Arial"/>
                <w:sz w:val="22"/>
                <w:szCs w:val="22"/>
                <w:lang w:val="en-GB"/>
              </w:rPr>
            </w:pPr>
            <w:r w:rsidRPr="00E4265B">
              <w:rPr>
                <w:rFonts w:ascii="Arial" w:hAnsi="Arial" w:cs="Arial"/>
                <w:sz w:val="22"/>
                <w:szCs w:val="22"/>
                <w:lang w:val="en-GB"/>
              </w:rPr>
              <w:t>0.8%</w:t>
            </w:r>
          </w:p>
        </w:tc>
      </w:tr>
      <w:tr w:rsidR="00193631" w:rsidRPr="00E4265B" w14:paraId="57588FC1" w14:textId="77777777" w:rsidTr="00193631">
        <w:tc>
          <w:tcPr>
            <w:tcW w:w="3543" w:type="dxa"/>
          </w:tcPr>
          <w:p w14:paraId="104A1F11" w14:textId="77777777" w:rsidR="00193631" w:rsidRPr="00E4265B" w:rsidRDefault="00193631" w:rsidP="006A3399">
            <w:pPr>
              <w:spacing w:before="60" w:after="60"/>
              <w:jc w:val="center"/>
              <w:rPr>
                <w:rFonts w:ascii="Arial" w:hAnsi="Arial" w:cs="Arial"/>
                <w:sz w:val="22"/>
                <w:szCs w:val="22"/>
                <w:lang w:val="en-GB"/>
              </w:rPr>
            </w:pPr>
            <w:r w:rsidRPr="00E4265B">
              <w:rPr>
                <w:rFonts w:ascii="Arial" w:hAnsi="Arial" w:cs="Arial"/>
                <w:sz w:val="22"/>
                <w:szCs w:val="22"/>
                <w:lang w:val="en-GB"/>
              </w:rPr>
              <w:t>3</w:t>
            </w:r>
          </w:p>
        </w:tc>
        <w:tc>
          <w:tcPr>
            <w:tcW w:w="3465" w:type="dxa"/>
          </w:tcPr>
          <w:p w14:paraId="06968427" w14:textId="77777777" w:rsidR="00193631" w:rsidRPr="00E4265B" w:rsidRDefault="00193631" w:rsidP="006A3399">
            <w:pPr>
              <w:spacing w:before="60" w:after="60"/>
              <w:jc w:val="center"/>
              <w:rPr>
                <w:rFonts w:ascii="Arial" w:hAnsi="Arial" w:cs="Arial"/>
                <w:sz w:val="22"/>
                <w:szCs w:val="22"/>
                <w:lang w:val="en-GB"/>
              </w:rPr>
            </w:pPr>
            <w:r w:rsidRPr="00E4265B">
              <w:rPr>
                <w:rFonts w:ascii="Arial" w:hAnsi="Arial" w:cs="Arial"/>
                <w:sz w:val="22"/>
                <w:szCs w:val="22"/>
                <w:lang w:val="en-GB"/>
              </w:rPr>
              <w:t>1.0%</w:t>
            </w:r>
          </w:p>
        </w:tc>
      </w:tr>
      <w:tr w:rsidR="00193631" w:rsidRPr="00E4265B" w14:paraId="64B6FD6A" w14:textId="77777777" w:rsidTr="00193631">
        <w:tc>
          <w:tcPr>
            <w:tcW w:w="3543" w:type="dxa"/>
          </w:tcPr>
          <w:p w14:paraId="7B8FB2CE" w14:textId="77777777" w:rsidR="00193631" w:rsidRPr="00E4265B" w:rsidRDefault="00193631" w:rsidP="006A3399">
            <w:pPr>
              <w:spacing w:before="60" w:after="60"/>
              <w:jc w:val="center"/>
              <w:rPr>
                <w:rFonts w:ascii="Arial" w:hAnsi="Arial" w:cs="Arial"/>
                <w:sz w:val="22"/>
                <w:szCs w:val="22"/>
                <w:lang w:val="en-GB"/>
              </w:rPr>
            </w:pPr>
            <w:r w:rsidRPr="00E4265B">
              <w:rPr>
                <w:rFonts w:ascii="Arial" w:hAnsi="Arial" w:cs="Arial"/>
                <w:sz w:val="22"/>
                <w:szCs w:val="22"/>
                <w:lang w:val="en-GB"/>
              </w:rPr>
              <w:t>4</w:t>
            </w:r>
          </w:p>
        </w:tc>
        <w:tc>
          <w:tcPr>
            <w:tcW w:w="3465" w:type="dxa"/>
          </w:tcPr>
          <w:p w14:paraId="52CB84EB" w14:textId="77777777" w:rsidR="00193631" w:rsidRPr="00E4265B" w:rsidRDefault="00193631" w:rsidP="006A3399">
            <w:pPr>
              <w:spacing w:before="60" w:after="60"/>
              <w:jc w:val="center"/>
              <w:rPr>
                <w:rFonts w:ascii="Arial" w:hAnsi="Arial" w:cs="Arial"/>
                <w:sz w:val="22"/>
                <w:szCs w:val="22"/>
                <w:lang w:val="en-GB"/>
              </w:rPr>
            </w:pPr>
            <w:r w:rsidRPr="00E4265B">
              <w:rPr>
                <w:rFonts w:ascii="Arial" w:hAnsi="Arial" w:cs="Arial"/>
                <w:sz w:val="22"/>
                <w:szCs w:val="22"/>
                <w:lang w:val="en-GB"/>
              </w:rPr>
              <w:t>2.0%</w:t>
            </w:r>
          </w:p>
        </w:tc>
      </w:tr>
      <w:tr w:rsidR="00193631" w:rsidRPr="00E4265B" w14:paraId="4653F091" w14:textId="77777777" w:rsidTr="00193631">
        <w:tc>
          <w:tcPr>
            <w:tcW w:w="3543" w:type="dxa"/>
          </w:tcPr>
          <w:p w14:paraId="5B24C7BD" w14:textId="77777777" w:rsidR="00193631" w:rsidRPr="00E4265B" w:rsidRDefault="00193631" w:rsidP="006A3399">
            <w:pPr>
              <w:spacing w:before="60" w:after="60"/>
              <w:jc w:val="center"/>
              <w:rPr>
                <w:rFonts w:ascii="Arial" w:hAnsi="Arial" w:cs="Arial"/>
                <w:sz w:val="22"/>
                <w:szCs w:val="22"/>
                <w:lang w:val="en-GB"/>
              </w:rPr>
            </w:pPr>
            <w:r w:rsidRPr="00E4265B">
              <w:rPr>
                <w:rFonts w:ascii="Arial" w:hAnsi="Arial" w:cs="Arial"/>
                <w:sz w:val="22"/>
                <w:szCs w:val="22"/>
                <w:lang w:val="en-GB"/>
              </w:rPr>
              <w:t>5</w:t>
            </w:r>
          </w:p>
        </w:tc>
        <w:tc>
          <w:tcPr>
            <w:tcW w:w="3465" w:type="dxa"/>
          </w:tcPr>
          <w:p w14:paraId="2D0F7DA5" w14:textId="77777777" w:rsidR="00193631" w:rsidRPr="00E4265B" w:rsidRDefault="00193631" w:rsidP="006A3399">
            <w:pPr>
              <w:spacing w:before="60" w:after="60"/>
              <w:jc w:val="center"/>
              <w:rPr>
                <w:rFonts w:ascii="Arial" w:hAnsi="Arial" w:cs="Arial"/>
                <w:sz w:val="22"/>
                <w:szCs w:val="22"/>
                <w:lang w:val="en-GB"/>
              </w:rPr>
            </w:pPr>
            <w:r w:rsidRPr="00E4265B">
              <w:rPr>
                <w:rFonts w:ascii="Arial" w:hAnsi="Arial" w:cs="Arial"/>
                <w:sz w:val="22"/>
                <w:szCs w:val="22"/>
                <w:lang w:val="en-GB"/>
              </w:rPr>
              <w:t>3.0%</w:t>
            </w:r>
          </w:p>
        </w:tc>
      </w:tr>
      <w:tr w:rsidR="00193631" w:rsidRPr="00E4265B" w14:paraId="728E5A74" w14:textId="77777777" w:rsidTr="00193631">
        <w:tc>
          <w:tcPr>
            <w:tcW w:w="3543" w:type="dxa"/>
          </w:tcPr>
          <w:p w14:paraId="1D40CB69" w14:textId="77777777" w:rsidR="00193631" w:rsidRPr="00E4265B" w:rsidRDefault="00193631" w:rsidP="006A3399">
            <w:pPr>
              <w:spacing w:before="60" w:after="60"/>
              <w:jc w:val="center"/>
              <w:rPr>
                <w:rFonts w:ascii="Arial" w:hAnsi="Arial" w:cs="Arial"/>
                <w:sz w:val="22"/>
                <w:szCs w:val="22"/>
                <w:lang w:val="en-GB"/>
              </w:rPr>
            </w:pPr>
            <w:r w:rsidRPr="00E4265B">
              <w:rPr>
                <w:rFonts w:ascii="Arial" w:hAnsi="Arial" w:cs="Arial"/>
                <w:sz w:val="22"/>
                <w:szCs w:val="22"/>
                <w:lang w:val="en-GB"/>
              </w:rPr>
              <w:t>6</w:t>
            </w:r>
          </w:p>
        </w:tc>
        <w:tc>
          <w:tcPr>
            <w:tcW w:w="3465" w:type="dxa"/>
          </w:tcPr>
          <w:p w14:paraId="59C841BA" w14:textId="77777777" w:rsidR="00193631" w:rsidRPr="00E4265B" w:rsidRDefault="00193631" w:rsidP="006A3399">
            <w:pPr>
              <w:spacing w:before="60" w:after="60"/>
              <w:jc w:val="center"/>
              <w:rPr>
                <w:rFonts w:ascii="Arial" w:hAnsi="Arial" w:cs="Arial"/>
                <w:sz w:val="22"/>
                <w:szCs w:val="22"/>
                <w:lang w:val="en-GB"/>
              </w:rPr>
            </w:pPr>
            <w:r w:rsidRPr="00E4265B">
              <w:rPr>
                <w:rFonts w:ascii="Arial" w:hAnsi="Arial" w:cs="Arial"/>
                <w:sz w:val="22"/>
                <w:szCs w:val="22"/>
                <w:lang w:val="en-GB"/>
              </w:rPr>
              <w:t>10.0%</w:t>
            </w:r>
          </w:p>
        </w:tc>
      </w:tr>
    </w:tbl>
    <w:p w14:paraId="1579B78B" w14:textId="77777777" w:rsidR="00193631" w:rsidRPr="00E4265B" w:rsidRDefault="00193631" w:rsidP="00025819">
      <w:pPr>
        <w:pStyle w:val="UK12Block15"/>
        <w:ind w:left="2160"/>
        <w:rPr>
          <w:rFonts w:ascii="Arial" w:hAnsi="Arial" w:cs="Arial"/>
          <w:sz w:val="22"/>
          <w:szCs w:val="22"/>
          <w:lang w:val="en-GB"/>
        </w:rPr>
      </w:pPr>
    </w:p>
    <w:p w14:paraId="1596D1D1" w14:textId="77777777" w:rsidR="009B33EA" w:rsidRPr="00E4265B" w:rsidRDefault="00B275AE" w:rsidP="00025819">
      <w:pPr>
        <w:pStyle w:val="UK12Block05"/>
        <w:ind w:left="2160" w:hanging="1224"/>
        <w:rPr>
          <w:rFonts w:ascii="Arial" w:hAnsi="Arial" w:cs="Arial"/>
          <w:sz w:val="22"/>
          <w:szCs w:val="22"/>
          <w:lang w:val="en-GB"/>
        </w:rPr>
      </w:pPr>
      <m:oMath>
        <m:sSubSup>
          <m:sSubSupPr>
            <m:alnScr m:val="1"/>
            <m:ctrlPr>
              <w:rPr>
                <w:rFonts w:ascii="Cambria Math" w:hAnsi="Cambria Math" w:cs="Arial"/>
                <w:i/>
                <w:sz w:val="22"/>
                <w:szCs w:val="22"/>
                <w:lang w:val="en-GB"/>
              </w:rPr>
            </m:ctrlPr>
          </m:sSubSupPr>
          <m:e>
            <m:r>
              <w:rPr>
                <w:rFonts w:ascii="Cambria Math" w:hAnsi="Cambria Math" w:cs="Arial"/>
                <w:sz w:val="22"/>
                <w:szCs w:val="22"/>
                <w:lang w:val="en-GB"/>
              </w:rPr>
              <m:t>EAD</m:t>
            </m:r>
          </m:e>
          <m:sub>
            <m:r>
              <w:rPr>
                <w:rFonts w:ascii="Cambria Math" w:hAnsi="Cambria Math" w:cs="Arial"/>
                <w:sz w:val="22"/>
                <w:szCs w:val="22"/>
                <w:lang w:val="en-GB"/>
              </w:rPr>
              <m:t>i</m:t>
            </m:r>
          </m:sub>
          <m:sup>
            <m:r>
              <w:rPr>
                <w:rFonts w:ascii="Cambria Math" w:hAnsi="Cambria Math" w:cs="Arial"/>
                <w:sz w:val="22"/>
                <w:szCs w:val="22"/>
                <w:lang w:val="en-GB"/>
              </w:rPr>
              <m:t>total</m:t>
            </m:r>
          </m:sup>
        </m:sSubSup>
      </m:oMath>
      <w:r w:rsidR="00025819" w:rsidRPr="00E4265B">
        <w:rPr>
          <w:rFonts w:ascii="Arial" w:hAnsi="Arial" w:cs="Arial"/>
          <w:sz w:val="22"/>
          <w:szCs w:val="22"/>
          <w:lang w:val="en-GB"/>
        </w:rPr>
        <w:tab/>
      </w:r>
      <w:r w:rsidR="009B33EA" w:rsidRPr="00E4265B">
        <w:rPr>
          <w:rFonts w:ascii="Arial" w:hAnsi="Arial" w:cs="Arial"/>
          <w:sz w:val="22"/>
          <w:szCs w:val="22"/>
          <w:lang w:val="en-GB"/>
        </w:rPr>
        <w:t xml:space="preserve">= the total Counterparty Risk exposure value of counterparty </w:t>
      </w:r>
      <w:r w:rsidR="009B33EA" w:rsidRPr="00E4265B">
        <w:rPr>
          <w:rFonts w:ascii="Arial" w:hAnsi="Arial" w:cs="Arial"/>
          <w:i/>
          <w:sz w:val="22"/>
          <w:szCs w:val="22"/>
          <w:lang w:val="en-GB"/>
        </w:rPr>
        <w:t>i</w:t>
      </w:r>
      <w:r w:rsidR="009B33EA" w:rsidRPr="00E4265B">
        <w:rPr>
          <w:rFonts w:ascii="Arial" w:hAnsi="Arial" w:cs="Arial"/>
          <w:sz w:val="22"/>
          <w:szCs w:val="22"/>
          <w:lang w:val="en-GB"/>
        </w:rPr>
        <w:t xml:space="preserve"> (summed across its netting sets) including the effect of collateral as applicable to the calculation of the capital requirements for Counterparty Risk for that counterparty.  The exposure must be discounted by applying the following factor:</w:t>
      </w:r>
    </w:p>
    <w:p w14:paraId="55FBF0D4" w14:textId="77777777" w:rsidR="00C93186" w:rsidRPr="00E4265B" w:rsidRDefault="00B275AE" w:rsidP="00C93186">
      <w:pPr>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1-</m:t>
              </m:r>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m:t>
                  </m:r>
                  <m:r>
                    <w:rPr>
                      <w:rFonts w:ascii="Cambria Math" w:hAnsi="Cambria Math" w:cs="Arial"/>
                      <w:sz w:val="22"/>
                      <w:szCs w:val="22"/>
                      <w:lang w:val="en-GB"/>
                    </w:rPr>
                    <m:t>0.05*</m:t>
                  </m:r>
                  <m:sSub>
                    <m:sSubPr>
                      <m:ctrlPr>
                        <w:rPr>
                          <w:rFonts w:ascii="Cambria Math" w:hAnsi="Cambria Math" w:cs="Arial"/>
                          <w:i/>
                          <w:sz w:val="22"/>
                          <w:szCs w:val="22"/>
                          <w:lang w:val="en-GB"/>
                        </w:rPr>
                      </m:ctrlPr>
                    </m:sSubPr>
                    <m:e>
                      <m:r>
                        <w:rPr>
                          <w:rFonts w:ascii="Cambria Math" w:hAnsi="Cambria Math" w:cs="Arial"/>
                          <w:sz w:val="22"/>
                          <w:szCs w:val="22"/>
                          <w:lang w:val="en-GB"/>
                        </w:rPr>
                        <m:t>M</m:t>
                      </m:r>
                    </m:e>
                    <m:sub>
                      <m:r>
                        <w:rPr>
                          <w:rFonts w:ascii="Cambria Math" w:hAnsi="Cambria Math" w:cs="Arial"/>
                          <w:sz w:val="22"/>
                          <w:szCs w:val="22"/>
                          <w:lang w:val="en-GB"/>
                        </w:rPr>
                        <m:t>i</m:t>
                      </m:r>
                    </m:sub>
                  </m:sSub>
                </m:sup>
              </m:sSup>
            </m:num>
            <m:den>
              <m:r>
                <w:rPr>
                  <w:rFonts w:ascii="Cambria Math" w:hAnsi="Cambria Math" w:cs="Arial"/>
                  <w:sz w:val="22"/>
                  <w:szCs w:val="22"/>
                  <w:lang w:val="en-GB"/>
                </w:rPr>
                <m:t xml:space="preserve">0.05* </m:t>
              </m:r>
              <m:sSubSup>
                <m:sSubSupPr>
                  <m:ctrlPr>
                    <w:rPr>
                      <w:rFonts w:ascii="Cambria Math" w:hAnsi="Cambria Math" w:cs="Arial"/>
                      <w:i/>
                      <w:sz w:val="22"/>
                      <w:szCs w:val="22"/>
                      <w:lang w:val="en-GB"/>
                    </w:rPr>
                  </m:ctrlPr>
                </m:sSubSupPr>
                <m:e>
                  <m:r>
                    <w:rPr>
                      <w:rFonts w:ascii="Cambria Math" w:hAnsi="Cambria Math" w:cs="Arial"/>
                      <w:sz w:val="22"/>
                      <w:szCs w:val="22"/>
                      <w:lang w:val="en-GB"/>
                    </w:rPr>
                    <m:t>M</m:t>
                  </m:r>
                </m:e>
                <m:sub>
                  <m:r>
                    <w:rPr>
                      <w:rFonts w:ascii="Cambria Math" w:hAnsi="Cambria Math" w:cs="Arial"/>
                      <w:sz w:val="22"/>
                      <w:szCs w:val="22"/>
                      <w:lang w:val="en-GB"/>
                    </w:rPr>
                    <m:t>i</m:t>
                  </m:r>
                </m:sub>
                <m:sup>
                  <m:r>
                    <w:rPr>
                      <w:rFonts w:ascii="Cambria Math" w:hAnsi="Cambria Math" w:cs="Arial"/>
                      <w:sz w:val="22"/>
                      <w:szCs w:val="22"/>
                      <w:lang w:val="en-GB"/>
                    </w:rPr>
                    <m:t>h</m:t>
                  </m:r>
                  <m:r>
                    <w:rPr>
                      <w:rFonts w:ascii="Cambria Math" w:hAnsi="Cambria Math" w:cs="Arial"/>
                      <w:sz w:val="22"/>
                      <w:szCs w:val="22"/>
                      <w:lang w:val="en-GB"/>
                    </w:rPr>
                    <m:t>edge</m:t>
                  </m:r>
                </m:sup>
              </m:sSubSup>
            </m:den>
          </m:f>
        </m:oMath>
      </m:oMathPara>
    </w:p>
    <w:p w14:paraId="3D52CDCE" w14:textId="77777777" w:rsidR="009B33EA" w:rsidRPr="00E4265B" w:rsidRDefault="00C93186" w:rsidP="00025819">
      <w:pPr>
        <w:pStyle w:val="UK12Block05"/>
        <w:ind w:left="2160" w:hanging="1224"/>
        <w:rPr>
          <w:rFonts w:ascii="Arial" w:hAnsi="Arial" w:cs="Arial"/>
          <w:sz w:val="22"/>
          <w:szCs w:val="22"/>
          <w:lang w:val="en-GB"/>
        </w:rPr>
      </w:pPr>
      <w:r w:rsidRPr="00E4265B">
        <w:rPr>
          <w:rFonts w:ascii="Arial" w:hAnsi="Arial" w:cs="Arial"/>
          <w:i/>
          <w:sz w:val="22"/>
          <w:szCs w:val="22"/>
          <w:lang w:val="en-GB"/>
        </w:rPr>
        <w:t>B</w:t>
      </w:r>
      <w:r w:rsidRPr="00E4265B">
        <w:rPr>
          <w:rFonts w:ascii="Arial" w:hAnsi="Arial" w:cs="Arial"/>
          <w:i/>
          <w:sz w:val="22"/>
          <w:szCs w:val="22"/>
          <w:vertAlign w:val="subscript"/>
          <w:lang w:val="en-GB"/>
        </w:rPr>
        <w:t>i</w:t>
      </w:r>
      <w:r w:rsidR="00025819" w:rsidRPr="00E4265B">
        <w:rPr>
          <w:rFonts w:ascii="Arial" w:hAnsi="Arial" w:cs="Arial"/>
          <w:sz w:val="22"/>
          <w:szCs w:val="22"/>
          <w:vertAlign w:val="subscript"/>
          <w:lang w:val="en-GB"/>
        </w:rPr>
        <w:tab/>
      </w:r>
      <w:r w:rsidRPr="00E4265B">
        <w:rPr>
          <w:rFonts w:ascii="Arial" w:hAnsi="Arial" w:cs="Arial"/>
          <w:sz w:val="22"/>
          <w:szCs w:val="22"/>
          <w:lang w:val="en-GB"/>
        </w:rPr>
        <w:t xml:space="preserve">= the notional of purchased single name credit default swap hedges (summed if more than one position) referencing counterparty </w:t>
      </w:r>
      <w:r w:rsidRPr="00E4265B">
        <w:rPr>
          <w:rFonts w:ascii="Arial" w:hAnsi="Arial" w:cs="Arial"/>
          <w:i/>
          <w:sz w:val="22"/>
          <w:szCs w:val="22"/>
          <w:lang w:val="en-GB"/>
        </w:rPr>
        <w:t>i</w:t>
      </w:r>
      <w:r w:rsidRPr="00E4265B">
        <w:rPr>
          <w:rFonts w:ascii="Arial" w:hAnsi="Arial" w:cs="Arial"/>
          <w:sz w:val="22"/>
          <w:szCs w:val="22"/>
          <w:lang w:val="en-GB"/>
        </w:rPr>
        <w:t xml:space="preserve"> and used to hedge CVA risk.  That notional amount must be discounted by applying the following factor:</w:t>
      </w:r>
    </w:p>
    <w:p w14:paraId="2CAE3B0B" w14:textId="77777777" w:rsidR="00C93186" w:rsidRPr="00E4265B" w:rsidRDefault="00B275AE" w:rsidP="00C93186">
      <w:pPr>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1-</m:t>
              </m:r>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m:t>
                  </m:r>
                  <m:r>
                    <w:rPr>
                      <w:rFonts w:ascii="Cambria Math" w:hAnsi="Cambria Math" w:cs="Arial"/>
                      <w:sz w:val="22"/>
                      <w:szCs w:val="22"/>
                      <w:lang w:val="en-GB"/>
                    </w:rPr>
                    <m:t>0.05*</m:t>
                  </m:r>
                  <m:sSubSup>
                    <m:sSubSupPr>
                      <m:ctrlPr>
                        <w:rPr>
                          <w:rFonts w:ascii="Cambria Math" w:hAnsi="Cambria Math" w:cs="Arial"/>
                          <w:i/>
                          <w:sz w:val="22"/>
                          <w:szCs w:val="22"/>
                          <w:lang w:val="en-GB"/>
                        </w:rPr>
                      </m:ctrlPr>
                    </m:sSubSupPr>
                    <m:e>
                      <m:r>
                        <w:rPr>
                          <w:rFonts w:ascii="Cambria Math" w:hAnsi="Cambria Math" w:cs="Arial"/>
                          <w:sz w:val="22"/>
                          <w:szCs w:val="22"/>
                          <w:lang w:val="en-GB"/>
                        </w:rPr>
                        <m:t>M</m:t>
                      </m:r>
                    </m:e>
                    <m:sub>
                      <m:r>
                        <w:rPr>
                          <w:rFonts w:ascii="Cambria Math" w:hAnsi="Cambria Math" w:cs="Arial"/>
                          <w:sz w:val="22"/>
                          <w:szCs w:val="22"/>
                          <w:lang w:val="en-GB"/>
                        </w:rPr>
                        <m:t>i</m:t>
                      </m:r>
                    </m:sub>
                    <m:sup>
                      <m:r>
                        <w:rPr>
                          <w:rFonts w:ascii="Cambria Math" w:hAnsi="Cambria Math" w:cs="Arial"/>
                          <w:sz w:val="22"/>
                          <w:szCs w:val="22"/>
                          <w:lang w:val="en-GB"/>
                        </w:rPr>
                        <m:t>h</m:t>
                      </m:r>
                      <m:r>
                        <w:rPr>
                          <w:rFonts w:ascii="Cambria Math" w:hAnsi="Cambria Math" w:cs="Arial"/>
                          <w:sz w:val="22"/>
                          <w:szCs w:val="22"/>
                          <w:lang w:val="en-GB"/>
                        </w:rPr>
                        <m:t>edge</m:t>
                      </m:r>
                    </m:sup>
                  </m:sSubSup>
                </m:sup>
              </m:sSup>
            </m:num>
            <m:den>
              <m:r>
                <w:rPr>
                  <w:rFonts w:ascii="Cambria Math" w:hAnsi="Cambria Math" w:cs="Arial"/>
                  <w:sz w:val="22"/>
                  <w:szCs w:val="22"/>
                  <w:lang w:val="en-GB"/>
                </w:rPr>
                <m:t>0.05*</m:t>
              </m:r>
              <m:sSubSup>
                <m:sSubSupPr>
                  <m:ctrlPr>
                    <w:rPr>
                      <w:rFonts w:ascii="Cambria Math" w:hAnsi="Cambria Math" w:cs="Arial"/>
                      <w:i/>
                      <w:sz w:val="22"/>
                      <w:szCs w:val="22"/>
                      <w:lang w:val="en-GB"/>
                    </w:rPr>
                  </m:ctrlPr>
                </m:sSubSupPr>
                <m:e>
                  <m:r>
                    <w:rPr>
                      <w:rFonts w:ascii="Cambria Math" w:hAnsi="Cambria Math" w:cs="Arial"/>
                      <w:sz w:val="22"/>
                      <w:szCs w:val="22"/>
                      <w:lang w:val="en-GB"/>
                    </w:rPr>
                    <m:t>M</m:t>
                  </m:r>
                </m:e>
                <m:sub>
                  <m:r>
                    <w:rPr>
                      <w:rFonts w:ascii="Cambria Math" w:hAnsi="Cambria Math" w:cs="Arial"/>
                      <w:sz w:val="22"/>
                      <w:szCs w:val="22"/>
                      <w:lang w:val="en-GB"/>
                    </w:rPr>
                    <m:t>i</m:t>
                  </m:r>
                </m:sub>
                <m:sup>
                  <m:r>
                    <w:rPr>
                      <w:rFonts w:ascii="Cambria Math" w:hAnsi="Cambria Math" w:cs="Arial"/>
                      <w:sz w:val="22"/>
                      <w:szCs w:val="22"/>
                      <w:lang w:val="en-GB"/>
                    </w:rPr>
                    <m:t>h</m:t>
                  </m:r>
                  <m:r>
                    <w:rPr>
                      <w:rFonts w:ascii="Cambria Math" w:hAnsi="Cambria Math" w:cs="Arial"/>
                      <w:sz w:val="22"/>
                      <w:szCs w:val="22"/>
                      <w:lang w:val="en-GB"/>
                    </w:rPr>
                    <m:t>edge</m:t>
                  </m:r>
                </m:sup>
              </m:sSubSup>
            </m:den>
          </m:f>
        </m:oMath>
      </m:oMathPara>
    </w:p>
    <w:p w14:paraId="331BDB5B" w14:textId="77777777" w:rsidR="00C93186" w:rsidRPr="00E4265B" w:rsidRDefault="00C93186" w:rsidP="00025819">
      <w:pPr>
        <w:pStyle w:val="UK12Block05"/>
        <w:ind w:left="2160" w:hanging="1224"/>
        <w:rPr>
          <w:rFonts w:ascii="Arial" w:hAnsi="Arial" w:cs="Arial"/>
          <w:sz w:val="22"/>
          <w:szCs w:val="22"/>
          <w:lang w:val="en-GB"/>
        </w:rPr>
      </w:pPr>
      <w:r w:rsidRPr="00E4265B">
        <w:rPr>
          <w:rFonts w:ascii="Arial" w:hAnsi="Arial" w:cs="Arial"/>
          <w:i/>
          <w:sz w:val="22"/>
          <w:szCs w:val="22"/>
          <w:lang w:val="en-GB"/>
        </w:rPr>
        <w:t>B</w:t>
      </w:r>
      <w:r w:rsidRPr="00E4265B">
        <w:rPr>
          <w:rFonts w:ascii="Arial" w:hAnsi="Arial" w:cs="Arial"/>
          <w:i/>
          <w:sz w:val="22"/>
          <w:szCs w:val="22"/>
          <w:vertAlign w:val="subscript"/>
          <w:lang w:val="en-GB"/>
        </w:rPr>
        <w:t>ind</w:t>
      </w:r>
      <w:r w:rsidRPr="00E4265B">
        <w:rPr>
          <w:rFonts w:ascii="Arial" w:hAnsi="Arial" w:cs="Arial"/>
          <w:i/>
          <w:sz w:val="22"/>
          <w:szCs w:val="22"/>
          <w:lang w:val="en-GB"/>
        </w:rPr>
        <w:t xml:space="preserve"> </w:t>
      </w:r>
      <w:r w:rsidR="00025819" w:rsidRPr="00E4265B">
        <w:rPr>
          <w:rFonts w:ascii="Arial" w:hAnsi="Arial" w:cs="Arial"/>
          <w:i/>
          <w:sz w:val="22"/>
          <w:szCs w:val="22"/>
          <w:lang w:val="en-GB"/>
        </w:rPr>
        <w:tab/>
      </w:r>
      <w:r w:rsidRPr="00E4265B">
        <w:rPr>
          <w:rFonts w:ascii="Arial" w:hAnsi="Arial" w:cs="Arial"/>
          <w:sz w:val="22"/>
          <w:szCs w:val="22"/>
          <w:lang w:val="en-GB"/>
        </w:rPr>
        <w:t>= the full notional of one or more index credit default swap of purchased protection used to hedge CVA risk.  That notional amount must be discounted by applying the following factor:</w:t>
      </w:r>
    </w:p>
    <w:p w14:paraId="4EBAFB0A" w14:textId="77777777" w:rsidR="00C93186" w:rsidRPr="00E4265B" w:rsidRDefault="00B275AE" w:rsidP="00C93186">
      <w:pPr>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1-</m:t>
              </m:r>
              <m:sSup>
                <m:sSupPr>
                  <m:ctrlPr>
                    <w:rPr>
                      <w:rFonts w:ascii="Cambria Math" w:hAnsi="Cambria Math" w:cs="Arial"/>
                      <w:i/>
                      <w:sz w:val="22"/>
                      <w:szCs w:val="22"/>
                      <w:lang w:val="en-GB"/>
                    </w:rPr>
                  </m:ctrlPr>
                </m:sSupPr>
                <m:e>
                  <m:r>
                    <w:rPr>
                      <w:rFonts w:ascii="Cambria Math" w:hAnsi="Cambria Math" w:cs="Arial"/>
                      <w:sz w:val="22"/>
                      <w:szCs w:val="22"/>
                      <w:lang w:val="en-GB"/>
                    </w:rPr>
                    <m:t>e</m:t>
                  </m:r>
                </m:e>
                <m:sup>
                  <m:r>
                    <w:rPr>
                      <w:rFonts w:ascii="Cambria Math" w:hAnsi="Cambria Math" w:cs="Arial"/>
                      <w:sz w:val="22"/>
                      <w:szCs w:val="22"/>
                      <w:lang w:val="en-GB"/>
                    </w:rPr>
                    <m:t>-</m:t>
                  </m:r>
                  <m:r>
                    <w:rPr>
                      <w:rFonts w:ascii="Cambria Math" w:hAnsi="Cambria Math" w:cs="Arial"/>
                      <w:sz w:val="22"/>
                      <w:szCs w:val="22"/>
                      <w:lang w:val="en-GB"/>
                    </w:rPr>
                    <m:t>0.05*</m:t>
                  </m:r>
                  <m:sSub>
                    <m:sSubPr>
                      <m:ctrlPr>
                        <w:rPr>
                          <w:rFonts w:ascii="Cambria Math" w:hAnsi="Cambria Math" w:cs="Arial"/>
                          <w:i/>
                          <w:sz w:val="22"/>
                          <w:szCs w:val="22"/>
                          <w:lang w:val="en-GB"/>
                        </w:rPr>
                      </m:ctrlPr>
                    </m:sSubPr>
                    <m:e>
                      <m:r>
                        <w:rPr>
                          <w:rFonts w:ascii="Cambria Math" w:hAnsi="Cambria Math" w:cs="Arial"/>
                          <w:sz w:val="22"/>
                          <w:szCs w:val="22"/>
                          <w:lang w:val="en-GB"/>
                        </w:rPr>
                        <m:t>M</m:t>
                      </m:r>
                    </m:e>
                    <m:sub>
                      <m:r>
                        <w:rPr>
                          <w:rFonts w:ascii="Cambria Math" w:hAnsi="Cambria Math" w:cs="Arial"/>
                          <w:sz w:val="22"/>
                          <w:szCs w:val="22"/>
                          <w:lang w:val="en-GB"/>
                        </w:rPr>
                        <m:t>ind</m:t>
                      </m:r>
                    </m:sub>
                  </m:sSub>
                </m:sup>
              </m:sSup>
            </m:num>
            <m:den>
              <m:r>
                <w:rPr>
                  <w:rFonts w:ascii="Cambria Math" w:hAnsi="Cambria Math" w:cs="Arial"/>
                  <w:sz w:val="22"/>
                  <w:szCs w:val="22"/>
                  <w:lang w:val="en-GB"/>
                </w:rPr>
                <m:t>0.05*</m:t>
              </m:r>
              <m:sSub>
                <m:sSubPr>
                  <m:ctrlPr>
                    <w:rPr>
                      <w:rFonts w:ascii="Cambria Math" w:hAnsi="Cambria Math" w:cs="Arial"/>
                      <w:i/>
                      <w:sz w:val="22"/>
                      <w:szCs w:val="22"/>
                      <w:lang w:val="en-GB"/>
                    </w:rPr>
                  </m:ctrlPr>
                </m:sSubPr>
                <m:e>
                  <m:r>
                    <w:rPr>
                      <w:rFonts w:ascii="Cambria Math" w:hAnsi="Cambria Math" w:cs="Arial"/>
                      <w:sz w:val="22"/>
                      <w:szCs w:val="22"/>
                      <w:lang w:val="en-GB"/>
                    </w:rPr>
                    <m:t>M</m:t>
                  </m:r>
                </m:e>
                <m:sub>
                  <m:r>
                    <w:rPr>
                      <w:rFonts w:ascii="Cambria Math" w:hAnsi="Cambria Math" w:cs="Arial"/>
                      <w:sz w:val="22"/>
                      <w:szCs w:val="22"/>
                      <w:lang w:val="en-GB"/>
                    </w:rPr>
                    <m:t>ind</m:t>
                  </m:r>
                </m:sub>
              </m:sSub>
            </m:den>
          </m:f>
        </m:oMath>
      </m:oMathPara>
    </w:p>
    <w:p w14:paraId="763D8552" w14:textId="77777777" w:rsidR="00C93186" w:rsidRPr="00E4265B" w:rsidRDefault="00C93186" w:rsidP="00025819">
      <w:pPr>
        <w:pStyle w:val="UK12Block05"/>
        <w:ind w:left="2160" w:hanging="1224"/>
        <w:rPr>
          <w:rFonts w:ascii="Arial" w:hAnsi="Arial" w:cs="Arial"/>
          <w:sz w:val="22"/>
          <w:szCs w:val="22"/>
          <w:lang w:val="en-GB"/>
        </w:rPr>
      </w:pPr>
      <w:r w:rsidRPr="00E4265B">
        <w:rPr>
          <w:rFonts w:ascii="Arial" w:hAnsi="Arial" w:cs="Arial"/>
          <w:i/>
          <w:sz w:val="22"/>
          <w:szCs w:val="22"/>
          <w:lang w:val="en-GB"/>
        </w:rPr>
        <w:t>W</w:t>
      </w:r>
      <w:r w:rsidRPr="00E4265B">
        <w:rPr>
          <w:rFonts w:ascii="Arial" w:hAnsi="Arial" w:cs="Arial"/>
          <w:i/>
          <w:sz w:val="22"/>
          <w:szCs w:val="22"/>
          <w:vertAlign w:val="subscript"/>
          <w:lang w:val="en-GB"/>
        </w:rPr>
        <w:t>ind</w:t>
      </w:r>
      <w:r w:rsidRPr="00E4265B">
        <w:rPr>
          <w:rFonts w:ascii="Arial" w:hAnsi="Arial" w:cs="Arial"/>
          <w:sz w:val="22"/>
          <w:szCs w:val="22"/>
          <w:lang w:val="en-GB"/>
        </w:rPr>
        <w:t xml:space="preserve"> </w:t>
      </w:r>
      <w:r w:rsidR="00025819" w:rsidRPr="00E4265B">
        <w:rPr>
          <w:rFonts w:ascii="Arial" w:hAnsi="Arial" w:cs="Arial"/>
          <w:sz w:val="22"/>
          <w:szCs w:val="22"/>
          <w:lang w:val="en-GB"/>
        </w:rPr>
        <w:tab/>
      </w:r>
      <w:r w:rsidRPr="00E4265B">
        <w:rPr>
          <w:rFonts w:ascii="Arial" w:hAnsi="Arial" w:cs="Arial"/>
          <w:sz w:val="22"/>
          <w:szCs w:val="22"/>
          <w:lang w:val="en-GB"/>
        </w:rPr>
        <w:t xml:space="preserve">= the weight applicable to index hedges.  An Authorised Person must determine </w:t>
      </w:r>
      <w:r w:rsidRPr="00E4265B">
        <w:rPr>
          <w:rFonts w:ascii="Arial" w:hAnsi="Arial" w:cs="Arial"/>
          <w:i/>
          <w:iCs/>
          <w:sz w:val="22"/>
          <w:szCs w:val="22"/>
          <w:lang w:val="en-GB"/>
        </w:rPr>
        <w:t>W</w:t>
      </w:r>
      <w:r w:rsidRPr="00E4265B">
        <w:rPr>
          <w:rFonts w:ascii="Arial" w:hAnsi="Arial" w:cs="Arial"/>
          <w:i/>
          <w:iCs/>
          <w:sz w:val="22"/>
          <w:szCs w:val="22"/>
          <w:vertAlign w:val="subscript"/>
          <w:lang w:val="en-GB"/>
        </w:rPr>
        <w:t>ind</w:t>
      </w:r>
      <w:r w:rsidRPr="00E4265B">
        <w:rPr>
          <w:rFonts w:ascii="Arial" w:hAnsi="Arial" w:cs="Arial"/>
          <w:sz w:val="22"/>
          <w:szCs w:val="22"/>
          <w:lang w:val="en-GB"/>
        </w:rPr>
        <w:t xml:space="preserve"> by calculating a weighted average of </w:t>
      </w:r>
      <w:r w:rsidRPr="00E4265B">
        <w:rPr>
          <w:rFonts w:ascii="Arial" w:hAnsi="Arial" w:cs="Arial"/>
          <w:i/>
          <w:iCs/>
          <w:sz w:val="22"/>
          <w:szCs w:val="22"/>
          <w:lang w:val="en-GB"/>
        </w:rPr>
        <w:t>w</w:t>
      </w:r>
      <w:r w:rsidRPr="00E4265B">
        <w:rPr>
          <w:rFonts w:ascii="Arial" w:hAnsi="Arial" w:cs="Arial"/>
          <w:i/>
          <w:iCs/>
          <w:sz w:val="22"/>
          <w:szCs w:val="22"/>
          <w:vertAlign w:val="subscript"/>
          <w:lang w:val="en-GB"/>
        </w:rPr>
        <w:t>i</w:t>
      </w:r>
      <w:r w:rsidRPr="00E4265B">
        <w:rPr>
          <w:rFonts w:ascii="Arial" w:hAnsi="Arial" w:cs="Arial"/>
          <w:sz w:val="22"/>
          <w:szCs w:val="22"/>
          <w:lang w:val="en-GB"/>
        </w:rPr>
        <w:t xml:space="preserve"> that are applicable to the individual constituents of the index;</w:t>
      </w:r>
    </w:p>
    <w:p w14:paraId="3130A110" w14:textId="1417DC95" w:rsidR="00C93186" w:rsidRPr="00E4265B" w:rsidRDefault="00C93186" w:rsidP="009F3B2E">
      <w:pPr>
        <w:pStyle w:val="UK12Block05"/>
        <w:ind w:left="2160" w:hanging="1224"/>
        <w:rPr>
          <w:rFonts w:ascii="Arial" w:hAnsi="Arial" w:cs="Arial"/>
          <w:sz w:val="22"/>
          <w:szCs w:val="22"/>
          <w:lang w:val="en-GB"/>
        </w:rPr>
      </w:pPr>
      <w:r w:rsidRPr="00E4265B">
        <w:rPr>
          <w:rFonts w:ascii="Arial" w:hAnsi="Arial" w:cs="Arial"/>
          <w:i/>
          <w:sz w:val="22"/>
          <w:szCs w:val="22"/>
          <w:lang w:val="en-GB"/>
        </w:rPr>
        <w:lastRenderedPageBreak/>
        <w:t>M</w:t>
      </w:r>
      <w:r w:rsidRPr="00E4265B">
        <w:rPr>
          <w:rFonts w:ascii="Arial" w:hAnsi="Arial" w:cs="Arial"/>
          <w:i/>
          <w:sz w:val="22"/>
          <w:szCs w:val="22"/>
          <w:vertAlign w:val="subscript"/>
          <w:lang w:val="en-GB"/>
        </w:rPr>
        <w:t>i</w:t>
      </w:r>
      <w:r w:rsidRPr="00E4265B">
        <w:rPr>
          <w:rFonts w:ascii="Arial" w:hAnsi="Arial" w:cs="Arial"/>
          <w:sz w:val="22"/>
          <w:szCs w:val="22"/>
          <w:lang w:val="en-GB"/>
        </w:rPr>
        <w:t xml:space="preserve"> </w:t>
      </w:r>
      <w:r w:rsidR="00025819" w:rsidRPr="00E4265B">
        <w:rPr>
          <w:rFonts w:ascii="Arial" w:hAnsi="Arial" w:cs="Arial"/>
          <w:sz w:val="22"/>
          <w:szCs w:val="22"/>
          <w:lang w:val="en-GB"/>
        </w:rPr>
        <w:tab/>
      </w:r>
      <w:r w:rsidRPr="00E4265B">
        <w:rPr>
          <w:rFonts w:ascii="Arial" w:hAnsi="Arial" w:cs="Arial"/>
          <w:sz w:val="22"/>
          <w:szCs w:val="22"/>
          <w:lang w:val="en-GB"/>
        </w:rPr>
        <w:t xml:space="preserve">= the effective maturity of the transactions with counterparty </w:t>
      </w:r>
      <w:r w:rsidRPr="00E4265B">
        <w:rPr>
          <w:rFonts w:ascii="Arial" w:hAnsi="Arial" w:cs="Arial"/>
          <w:i/>
          <w:sz w:val="22"/>
          <w:szCs w:val="22"/>
          <w:lang w:val="en-GB"/>
        </w:rPr>
        <w:t>i</w:t>
      </w:r>
      <w:r w:rsidRPr="00E4265B">
        <w:rPr>
          <w:rFonts w:ascii="Arial" w:hAnsi="Arial" w:cs="Arial"/>
          <w:sz w:val="22"/>
          <w:szCs w:val="22"/>
          <w:lang w:val="en-GB"/>
        </w:rPr>
        <w:t xml:space="preserve">.  </w:t>
      </w:r>
      <w:r w:rsidRPr="00E4265B">
        <w:rPr>
          <w:rFonts w:ascii="Arial" w:hAnsi="Arial" w:cs="Arial"/>
          <w:i/>
          <w:iCs/>
          <w:sz w:val="22"/>
          <w:szCs w:val="22"/>
          <w:lang w:val="en-GB"/>
        </w:rPr>
        <w:t>M</w:t>
      </w:r>
      <w:r w:rsidRPr="00E4265B">
        <w:rPr>
          <w:rFonts w:ascii="Arial" w:hAnsi="Arial" w:cs="Arial"/>
          <w:i/>
          <w:iCs/>
          <w:sz w:val="22"/>
          <w:szCs w:val="22"/>
          <w:vertAlign w:val="subscript"/>
          <w:lang w:val="en-GB"/>
        </w:rPr>
        <w:t>i</w:t>
      </w:r>
      <w:r w:rsidRPr="00E4265B">
        <w:rPr>
          <w:rFonts w:ascii="Arial" w:hAnsi="Arial" w:cs="Arial"/>
          <w:sz w:val="22"/>
          <w:szCs w:val="22"/>
          <w:lang w:val="en-GB"/>
        </w:rPr>
        <w:t xml:space="preserve"> must be calculated as the notional weighted average maturity of the </w:t>
      </w:r>
      <w:r w:rsidR="009F3B2E" w:rsidRPr="00E4265B">
        <w:rPr>
          <w:rFonts w:ascii="Arial" w:hAnsi="Arial" w:cs="Arial"/>
          <w:sz w:val="22"/>
          <w:szCs w:val="22"/>
          <w:lang w:val="en-GB"/>
        </w:rPr>
        <w:t xml:space="preserve">transactions with counterparty </w:t>
      </w:r>
      <w:r w:rsidRPr="00E4265B">
        <w:rPr>
          <w:rFonts w:ascii="Arial" w:hAnsi="Arial" w:cs="Arial"/>
          <w:i/>
          <w:iCs/>
          <w:sz w:val="22"/>
          <w:szCs w:val="22"/>
          <w:lang w:val="en-GB"/>
        </w:rPr>
        <w:t>i</w:t>
      </w:r>
      <w:r w:rsidRPr="00E4265B">
        <w:rPr>
          <w:rFonts w:ascii="Arial" w:hAnsi="Arial" w:cs="Arial"/>
          <w:sz w:val="22"/>
          <w:szCs w:val="22"/>
          <w:lang w:val="en-GB"/>
        </w:rPr>
        <w:t>;</w:t>
      </w:r>
    </w:p>
    <w:p w14:paraId="319FA979" w14:textId="061F7152" w:rsidR="00C93186" w:rsidRPr="00E4265B" w:rsidRDefault="00B275AE" w:rsidP="004975FF">
      <w:pPr>
        <w:pStyle w:val="UK12Block05"/>
        <w:ind w:left="2160" w:hanging="1224"/>
        <w:rPr>
          <w:rFonts w:ascii="Arial" w:hAnsi="Arial" w:cs="Arial"/>
          <w:sz w:val="22"/>
          <w:szCs w:val="22"/>
          <w:lang w:val="en-GB"/>
        </w:rPr>
      </w:pPr>
      <m:oMath>
        <m:sSubSup>
          <m:sSubSupPr>
            <m:ctrlPr>
              <w:rPr>
                <w:rFonts w:ascii="Cambria Math" w:hAnsi="Cambria Math" w:cs="Arial"/>
                <w:i/>
                <w:sz w:val="22"/>
                <w:szCs w:val="22"/>
                <w:lang w:val="en-GB"/>
              </w:rPr>
            </m:ctrlPr>
          </m:sSubSupPr>
          <m:e>
            <m:r>
              <w:rPr>
                <w:rFonts w:ascii="Cambria Math" w:hAnsi="Cambria Math" w:cs="Arial"/>
                <w:sz w:val="22"/>
                <w:szCs w:val="22"/>
                <w:lang w:val="en-GB"/>
              </w:rPr>
              <m:t>M</m:t>
            </m:r>
          </m:e>
          <m:sub>
            <m:r>
              <w:rPr>
                <w:rFonts w:ascii="Cambria Math" w:hAnsi="Cambria Math" w:cs="Arial"/>
                <w:sz w:val="22"/>
                <w:szCs w:val="22"/>
                <w:lang w:val="en-GB"/>
              </w:rPr>
              <m:t>i</m:t>
            </m:r>
          </m:sub>
          <m:sup>
            <m:r>
              <w:rPr>
                <w:rFonts w:ascii="Cambria Math" w:hAnsi="Cambria Math" w:cs="Arial"/>
                <w:sz w:val="22"/>
                <w:szCs w:val="22"/>
                <w:lang w:val="en-GB"/>
              </w:rPr>
              <m:t>h</m:t>
            </m:r>
            <m:r>
              <w:rPr>
                <w:rFonts w:ascii="Cambria Math" w:hAnsi="Cambria Math" w:cs="Arial"/>
                <w:sz w:val="22"/>
                <w:szCs w:val="22"/>
                <w:lang w:val="en-GB"/>
              </w:rPr>
              <m:t>edge</m:t>
            </m:r>
          </m:sup>
        </m:sSubSup>
      </m:oMath>
      <w:r w:rsidR="00C93186" w:rsidRPr="00E4265B">
        <w:rPr>
          <w:rFonts w:ascii="Arial" w:hAnsi="Arial" w:cs="Arial"/>
          <w:sz w:val="22"/>
          <w:szCs w:val="22"/>
          <w:vertAlign w:val="superscript"/>
          <w:lang w:val="en-GB"/>
        </w:rPr>
        <w:t xml:space="preserve"> </w:t>
      </w:r>
      <w:r w:rsidR="00025819" w:rsidRPr="00E4265B">
        <w:rPr>
          <w:rFonts w:ascii="Arial" w:hAnsi="Arial" w:cs="Arial"/>
          <w:sz w:val="22"/>
          <w:szCs w:val="22"/>
          <w:vertAlign w:val="superscript"/>
          <w:lang w:val="en-GB"/>
        </w:rPr>
        <w:tab/>
      </w:r>
      <w:r w:rsidR="00C93186" w:rsidRPr="00E4265B">
        <w:rPr>
          <w:rFonts w:ascii="Arial" w:hAnsi="Arial" w:cs="Arial"/>
          <w:sz w:val="22"/>
          <w:szCs w:val="22"/>
          <w:lang w:val="en-GB"/>
        </w:rPr>
        <w:t xml:space="preserve">= the maturity of the hedge instrument with notional </w:t>
      </w:r>
      <w:r w:rsidR="00C93186" w:rsidRPr="00E4265B">
        <w:rPr>
          <w:rFonts w:ascii="Arial" w:hAnsi="Arial" w:cs="Arial"/>
          <w:i/>
          <w:iCs/>
          <w:sz w:val="22"/>
          <w:szCs w:val="22"/>
          <w:lang w:val="en-GB"/>
        </w:rPr>
        <w:t>B</w:t>
      </w:r>
      <w:r w:rsidR="00C93186" w:rsidRPr="00E4265B">
        <w:rPr>
          <w:rFonts w:ascii="Arial" w:hAnsi="Arial" w:cs="Arial"/>
          <w:i/>
          <w:iCs/>
          <w:sz w:val="22"/>
          <w:szCs w:val="22"/>
          <w:vertAlign w:val="subscript"/>
          <w:lang w:val="en-GB"/>
        </w:rPr>
        <w:t>i</w:t>
      </w:r>
      <w:r w:rsidR="00C93186" w:rsidRPr="00E4265B">
        <w:rPr>
          <w:rFonts w:ascii="Arial" w:hAnsi="Arial" w:cs="Arial"/>
          <w:sz w:val="22"/>
          <w:szCs w:val="22"/>
          <w:lang w:val="en-GB"/>
        </w:rPr>
        <w:t xml:space="preserve"> (the quantities </w:t>
      </w:r>
      <w:r w:rsidR="004975FF" w:rsidRPr="00E4265B">
        <w:rPr>
          <w:rFonts w:ascii="Arial" w:hAnsi="Arial" w:cs="Arial"/>
          <w:sz w:val="22"/>
          <w:szCs w:val="22"/>
          <w:lang w:val="en-GB"/>
        </w:rPr>
        <w:t>[</w:t>
      </w:r>
      <w:r w:rsidR="00C93186" w:rsidRPr="00E4265B">
        <w:rPr>
          <w:rFonts w:ascii="Arial" w:hAnsi="Arial" w:cs="Arial"/>
          <w:i/>
          <w:iCs/>
          <w:sz w:val="22"/>
          <w:szCs w:val="22"/>
          <w:lang w:val="en-GB"/>
        </w:rPr>
        <w:t>M</w:t>
      </w:r>
      <w:r w:rsidR="00C93186" w:rsidRPr="00E4265B">
        <w:rPr>
          <w:rFonts w:ascii="Arial" w:hAnsi="Arial" w:cs="Arial"/>
          <w:i/>
          <w:iCs/>
          <w:sz w:val="22"/>
          <w:szCs w:val="22"/>
          <w:vertAlign w:val="superscript"/>
          <w:lang w:val="en-GB"/>
        </w:rPr>
        <w:t>hedge</w:t>
      </w:r>
      <w:r w:rsidR="009F3B2E" w:rsidRPr="00E4265B">
        <w:rPr>
          <w:rFonts w:ascii="Arial" w:hAnsi="Arial" w:cs="Arial"/>
          <w:i/>
          <w:iCs/>
          <w:sz w:val="22"/>
          <w:szCs w:val="22"/>
          <w:vertAlign w:val="subscript"/>
          <w:lang w:val="en-GB"/>
        </w:rPr>
        <w:t>i</w:t>
      </w:r>
      <w:r w:rsidR="00C93186" w:rsidRPr="00E4265B">
        <w:rPr>
          <w:rFonts w:ascii="Arial" w:hAnsi="Arial" w:cs="Arial"/>
          <w:i/>
          <w:iCs/>
          <w:sz w:val="22"/>
          <w:szCs w:val="22"/>
          <w:lang w:val="en-GB"/>
        </w:rPr>
        <w:t xml:space="preserve"> B</w:t>
      </w:r>
      <w:r w:rsidR="00C93186" w:rsidRPr="00E4265B">
        <w:rPr>
          <w:rFonts w:ascii="Arial" w:hAnsi="Arial" w:cs="Arial"/>
          <w:i/>
          <w:iCs/>
          <w:sz w:val="22"/>
          <w:szCs w:val="22"/>
          <w:vertAlign w:val="subscript"/>
          <w:lang w:val="en-GB"/>
        </w:rPr>
        <w:t>i</w:t>
      </w:r>
      <w:r w:rsidR="004975FF" w:rsidRPr="00E4265B">
        <w:rPr>
          <w:rFonts w:ascii="Arial" w:hAnsi="Arial" w:cs="Arial"/>
          <w:sz w:val="22"/>
          <w:szCs w:val="22"/>
          <w:lang w:val="en-GB"/>
        </w:rPr>
        <w:t>]</w:t>
      </w:r>
      <w:r w:rsidR="00A176CF" w:rsidRPr="00E4265B">
        <w:rPr>
          <w:rFonts w:ascii="Arial" w:hAnsi="Arial" w:cs="Arial"/>
          <w:sz w:val="22"/>
          <w:szCs w:val="22"/>
          <w:lang w:val="en-GB"/>
        </w:rPr>
        <w:t xml:space="preserve"> </w:t>
      </w:r>
      <w:r w:rsidR="00C93186" w:rsidRPr="00E4265B">
        <w:rPr>
          <w:rFonts w:ascii="Arial" w:hAnsi="Arial" w:cs="Arial"/>
          <w:sz w:val="22"/>
          <w:szCs w:val="22"/>
          <w:lang w:val="en-GB"/>
        </w:rPr>
        <w:t>are to be summed if the</w:t>
      </w:r>
      <w:r w:rsidR="004975FF" w:rsidRPr="00E4265B">
        <w:rPr>
          <w:rFonts w:ascii="Arial" w:hAnsi="Arial" w:cs="Arial"/>
          <w:sz w:val="22"/>
          <w:szCs w:val="22"/>
          <w:lang w:val="en-GB"/>
        </w:rPr>
        <w:t>r</w:t>
      </w:r>
      <w:r w:rsidR="00C93186" w:rsidRPr="00E4265B">
        <w:rPr>
          <w:rFonts w:ascii="Arial" w:hAnsi="Arial" w:cs="Arial"/>
          <w:sz w:val="22"/>
          <w:szCs w:val="22"/>
          <w:lang w:val="en-GB"/>
        </w:rPr>
        <w:t>e are several positions); and</w:t>
      </w:r>
    </w:p>
    <w:p w14:paraId="55354572" w14:textId="07B33832" w:rsidR="00C93186" w:rsidRPr="00E4265B" w:rsidRDefault="00C93186" w:rsidP="009F3B2E">
      <w:pPr>
        <w:pStyle w:val="UK12Block05"/>
        <w:ind w:left="2160" w:hanging="1224"/>
        <w:rPr>
          <w:rFonts w:ascii="Arial" w:hAnsi="Arial" w:cs="Arial"/>
          <w:sz w:val="22"/>
          <w:szCs w:val="22"/>
          <w:lang w:val="en-GB"/>
        </w:rPr>
      </w:pPr>
      <w:r w:rsidRPr="00E4265B">
        <w:rPr>
          <w:rFonts w:ascii="Arial" w:hAnsi="Arial" w:cs="Arial"/>
          <w:i/>
          <w:sz w:val="22"/>
          <w:szCs w:val="22"/>
          <w:lang w:val="en-GB"/>
        </w:rPr>
        <w:t>M</w:t>
      </w:r>
      <w:r w:rsidRPr="00E4265B">
        <w:rPr>
          <w:rFonts w:ascii="Arial" w:hAnsi="Arial" w:cs="Arial"/>
          <w:i/>
          <w:sz w:val="22"/>
          <w:szCs w:val="22"/>
          <w:vertAlign w:val="subscript"/>
          <w:lang w:val="en-GB"/>
        </w:rPr>
        <w:t>ind</w:t>
      </w:r>
      <w:r w:rsidRPr="00E4265B">
        <w:rPr>
          <w:rFonts w:ascii="Arial" w:hAnsi="Arial" w:cs="Arial"/>
          <w:sz w:val="22"/>
          <w:szCs w:val="22"/>
          <w:lang w:val="en-GB"/>
        </w:rPr>
        <w:t xml:space="preserve"> </w:t>
      </w:r>
      <w:r w:rsidR="00025819" w:rsidRPr="00E4265B">
        <w:rPr>
          <w:rFonts w:ascii="Arial" w:hAnsi="Arial" w:cs="Arial"/>
          <w:sz w:val="22"/>
          <w:szCs w:val="22"/>
          <w:lang w:val="en-GB"/>
        </w:rPr>
        <w:tab/>
      </w:r>
      <w:r w:rsidRPr="00E4265B">
        <w:rPr>
          <w:rFonts w:ascii="Arial" w:hAnsi="Arial" w:cs="Arial"/>
          <w:sz w:val="22"/>
          <w:szCs w:val="22"/>
          <w:lang w:val="en-GB"/>
        </w:rPr>
        <w:t xml:space="preserve">= the maturity of the index hedge.  In the case of more than one index hedge position </w:t>
      </w:r>
      <w:r w:rsidRPr="00E4265B">
        <w:rPr>
          <w:rFonts w:ascii="Arial" w:hAnsi="Arial" w:cs="Arial"/>
          <w:i/>
          <w:iCs/>
          <w:sz w:val="22"/>
          <w:szCs w:val="22"/>
          <w:lang w:val="en-GB"/>
        </w:rPr>
        <w:t>M</w:t>
      </w:r>
      <w:r w:rsidRPr="00E4265B">
        <w:rPr>
          <w:rFonts w:ascii="Arial" w:hAnsi="Arial" w:cs="Arial"/>
          <w:i/>
          <w:iCs/>
          <w:sz w:val="22"/>
          <w:szCs w:val="22"/>
          <w:vertAlign w:val="subscript"/>
          <w:lang w:val="en-GB"/>
        </w:rPr>
        <w:t>ind</w:t>
      </w:r>
      <w:r w:rsidRPr="00E4265B">
        <w:rPr>
          <w:rFonts w:ascii="Arial" w:hAnsi="Arial" w:cs="Arial"/>
          <w:sz w:val="22"/>
          <w:szCs w:val="22"/>
          <w:lang w:val="en-GB"/>
        </w:rPr>
        <w:t xml:space="preserve"> is the notional-weighted maturity.</w:t>
      </w:r>
    </w:p>
    <w:p w14:paraId="77B612FB" w14:textId="77777777" w:rsidR="00C93186" w:rsidRPr="00E4265B" w:rsidRDefault="00C93186" w:rsidP="00CF1A48">
      <w:pPr>
        <w:pStyle w:val="A1List"/>
        <w:rPr>
          <w:rFonts w:ascii="Arial" w:hAnsi="Arial" w:cs="Arial"/>
          <w:sz w:val="22"/>
          <w:szCs w:val="22"/>
          <w:lang w:val="en-GB"/>
        </w:rPr>
      </w:pPr>
      <w:r w:rsidRPr="00E4265B">
        <w:rPr>
          <w:rFonts w:ascii="Arial" w:hAnsi="Arial" w:cs="Arial"/>
          <w:b/>
          <w:sz w:val="22"/>
          <w:szCs w:val="22"/>
          <w:lang w:val="en-GB"/>
        </w:rPr>
        <w:t>A5.3.2</w:t>
      </w:r>
      <w:r w:rsidRPr="00E4265B">
        <w:rPr>
          <w:rFonts w:ascii="Arial" w:hAnsi="Arial" w:cs="Arial"/>
          <w:sz w:val="22"/>
          <w:szCs w:val="22"/>
          <w:lang w:val="en-GB"/>
        </w:rPr>
        <w:tab/>
        <w:t>Where a counterparty is included in an index on which a credit default swap used for hedging Counterparty Risk is based, the Authorised Person may subtract the notional amount attributable to that counterparty in accordance with its reference entity weight from the index credit default swap notional amount and treat it as a single name hedge (</w:t>
      </w:r>
      <w:r w:rsidRPr="00E4265B">
        <w:rPr>
          <w:rFonts w:ascii="Arial" w:hAnsi="Arial" w:cs="Arial"/>
          <w:i/>
          <w:iCs/>
          <w:sz w:val="22"/>
          <w:szCs w:val="22"/>
          <w:lang w:val="en-GB"/>
        </w:rPr>
        <w:t>B</w:t>
      </w:r>
      <w:r w:rsidRPr="00E4265B">
        <w:rPr>
          <w:rFonts w:ascii="Arial" w:hAnsi="Arial" w:cs="Arial"/>
          <w:i/>
          <w:iCs/>
          <w:sz w:val="22"/>
          <w:szCs w:val="22"/>
          <w:vertAlign w:val="subscript"/>
          <w:lang w:val="en-GB"/>
        </w:rPr>
        <w:t>i</w:t>
      </w:r>
      <w:r w:rsidRPr="00E4265B">
        <w:rPr>
          <w:rFonts w:ascii="Arial" w:hAnsi="Arial" w:cs="Arial"/>
          <w:sz w:val="22"/>
          <w:szCs w:val="22"/>
          <w:lang w:val="en-GB"/>
        </w:rPr>
        <w:t>) of the individual counterparty with maturity based on the maturity of the index.</w:t>
      </w:r>
    </w:p>
    <w:p w14:paraId="13D6A95A" w14:textId="77777777" w:rsidR="00C93186" w:rsidRPr="00E4265B" w:rsidRDefault="00C93186" w:rsidP="00CF1A48">
      <w:pPr>
        <w:pStyle w:val="UK12Title2"/>
        <w:tabs>
          <w:tab w:val="clear" w:pos="994"/>
          <w:tab w:val="left" w:pos="720"/>
        </w:tabs>
        <w:ind w:left="720" w:hanging="720"/>
        <w:rPr>
          <w:rFonts w:ascii="Arial" w:hAnsi="Arial" w:cs="Arial"/>
          <w:sz w:val="22"/>
          <w:szCs w:val="22"/>
        </w:rPr>
      </w:pPr>
      <w:bookmarkStart w:id="986" w:name="_Toc33622494"/>
      <w:r w:rsidRPr="00E4265B">
        <w:rPr>
          <w:rFonts w:ascii="Arial" w:hAnsi="Arial" w:cs="Arial"/>
          <w:sz w:val="22"/>
          <w:szCs w:val="22"/>
        </w:rPr>
        <w:t>A5.4</w:t>
      </w:r>
      <w:r w:rsidRPr="00E4265B">
        <w:rPr>
          <w:rFonts w:ascii="Arial" w:hAnsi="Arial" w:cs="Arial"/>
          <w:sz w:val="22"/>
          <w:szCs w:val="22"/>
        </w:rPr>
        <w:tab/>
        <w:t>Eligible hedges</w:t>
      </w:r>
      <w:bookmarkEnd w:id="986"/>
    </w:p>
    <w:p w14:paraId="2D2B9758" w14:textId="3AB4B352" w:rsidR="00C93186" w:rsidRPr="00E4265B" w:rsidRDefault="00C93186" w:rsidP="00A176CF">
      <w:pPr>
        <w:pStyle w:val="A1List"/>
        <w:rPr>
          <w:rFonts w:ascii="Arial" w:hAnsi="Arial" w:cs="Arial"/>
          <w:sz w:val="22"/>
          <w:szCs w:val="22"/>
          <w:lang w:val="en-GB"/>
        </w:rPr>
      </w:pPr>
      <w:r w:rsidRPr="00E4265B">
        <w:rPr>
          <w:rFonts w:ascii="Arial" w:hAnsi="Arial" w:cs="Arial"/>
          <w:b/>
          <w:sz w:val="22"/>
          <w:szCs w:val="22"/>
          <w:lang w:val="en-GB"/>
        </w:rPr>
        <w:t>A5.4.1</w:t>
      </w:r>
      <w:r w:rsidR="007D16A4" w:rsidRPr="00E4265B">
        <w:rPr>
          <w:rFonts w:ascii="Arial" w:hAnsi="Arial" w:cs="Arial"/>
          <w:sz w:val="22"/>
          <w:szCs w:val="22"/>
          <w:lang w:val="en-GB"/>
        </w:rPr>
        <w:tab/>
      </w:r>
      <w:r w:rsidR="00A176CF" w:rsidRPr="00E4265B">
        <w:rPr>
          <w:rFonts w:ascii="Arial" w:hAnsi="Arial" w:cs="Arial"/>
          <w:sz w:val="22"/>
          <w:szCs w:val="22"/>
          <w:lang w:val="en-GB"/>
        </w:rPr>
        <w:t>H</w:t>
      </w:r>
      <w:r w:rsidR="00040BF7" w:rsidRPr="00E4265B">
        <w:rPr>
          <w:rFonts w:ascii="Arial" w:hAnsi="Arial" w:cs="Arial"/>
          <w:sz w:val="22"/>
          <w:szCs w:val="22"/>
          <w:lang w:val="en-GB"/>
        </w:rPr>
        <w:t>edge</w:t>
      </w:r>
      <w:r w:rsidRPr="00E4265B">
        <w:rPr>
          <w:rFonts w:ascii="Arial" w:hAnsi="Arial" w:cs="Arial"/>
          <w:sz w:val="22"/>
          <w:szCs w:val="22"/>
          <w:lang w:val="en-GB"/>
        </w:rPr>
        <w:t xml:space="preserve">s must be "Eligible Hedges" for the purposes of the calculation of capital requirements for CVA risk in accordance with </w:t>
      </w:r>
      <w:r w:rsidR="00A176CF" w:rsidRPr="00E4265B">
        <w:rPr>
          <w:rFonts w:ascii="Arial" w:hAnsi="Arial" w:cs="Arial"/>
          <w:sz w:val="22"/>
          <w:szCs w:val="22"/>
          <w:lang w:val="en-GB"/>
        </w:rPr>
        <w:t>Section</w:t>
      </w:r>
      <w:r w:rsidRPr="00E4265B">
        <w:rPr>
          <w:rFonts w:ascii="Arial" w:hAnsi="Arial" w:cs="Arial"/>
          <w:sz w:val="22"/>
          <w:szCs w:val="22"/>
          <w:lang w:val="en-GB"/>
        </w:rPr>
        <w:t xml:space="preserve"> A5.3 only where they are used for the purpose of mitigating CVA risk and managed as such, and single-name credit default swaps or other equivalent hedging instruments referencing the counterparty directly.</w:t>
      </w:r>
    </w:p>
    <w:p w14:paraId="1FFC2741" w14:textId="70D10A11" w:rsidR="00C93186" w:rsidRPr="00E4265B" w:rsidRDefault="00C93186" w:rsidP="0088622A">
      <w:pPr>
        <w:pStyle w:val="A1List"/>
        <w:rPr>
          <w:rFonts w:ascii="Arial" w:hAnsi="Arial" w:cs="Arial"/>
          <w:sz w:val="22"/>
          <w:szCs w:val="22"/>
          <w:lang w:val="en-GB"/>
        </w:rPr>
      </w:pPr>
      <w:r w:rsidRPr="00E4265B">
        <w:rPr>
          <w:rFonts w:ascii="Arial" w:hAnsi="Arial" w:cs="Arial"/>
          <w:b/>
          <w:sz w:val="22"/>
          <w:szCs w:val="22"/>
          <w:lang w:val="en-GB"/>
        </w:rPr>
        <w:t>A5.4.</w:t>
      </w:r>
      <w:r w:rsidR="0088622A" w:rsidRPr="00E4265B">
        <w:rPr>
          <w:rFonts w:ascii="Arial" w:hAnsi="Arial" w:cs="Arial"/>
          <w:b/>
          <w:sz w:val="22"/>
          <w:szCs w:val="22"/>
          <w:lang w:val="en-GB"/>
        </w:rPr>
        <w:t>2</w:t>
      </w:r>
      <w:r w:rsidRPr="00E4265B">
        <w:rPr>
          <w:rFonts w:ascii="Arial" w:hAnsi="Arial" w:cs="Arial"/>
          <w:sz w:val="22"/>
          <w:szCs w:val="22"/>
          <w:lang w:val="en-GB"/>
        </w:rPr>
        <w:tab/>
        <w:t xml:space="preserve">An Authorised Person must not reflect other types of Counterparty Risk hedges in the calculation of the capital requirements for CVA risk.  In particular, tranched or </w:t>
      </w:r>
      <w:r w:rsidRPr="00E4265B">
        <w:rPr>
          <w:rFonts w:ascii="Arial" w:hAnsi="Arial" w:cs="Arial"/>
          <w:i/>
          <w:iCs/>
          <w:sz w:val="22"/>
          <w:szCs w:val="22"/>
          <w:lang w:val="en-GB"/>
        </w:rPr>
        <w:t>n</w:t>
      </w:r>
      <w:r w:rsidRPr="00E4265B">
        <w:rPr>
          <w:rFonts w:ascii="Arial" w:hAnsi="Arial" w:cs="Arial"/>
          <w:sz w:val="22"/>
          <w:szCs w:val="22"/>
          <w:lang w:val="en-GB"/>
        </w:rPr>
        <w:t>th-to-default credit default swaps and credit linked notes are not Eligible Hedges for the purposes of the calculation of the capital requirements for CVA risk.</w:t>
      </w:r>
    </w:p>
    <w:p w14:paraId="277A9B7E" w14:textId="7CBCC697" w:rsidR="00C93186" w:rsidRPr="00E4265B" w:rsidRDefault="00C93186" w:rsidP="00592544">
      <w:pPr>
        <w:pStyle w:val="A1List"/>
        <w:rPr>
          <w:rFonts w:ascii="Arial" w:hAnsi="Arial" w:cs="Arial"/>
          <w:sz w:val="22"/>
          <w:szCs w:val="22"/>
          <w:lang w:val="en-GB"/>
        </w:rPr>
      </w:pPr>
      <w:r w:rsidRPr="00E4265B">
        <w:rPr>
          <w:rFonts w:ascii="Arial" w:hAnsi="Arial" w:cs="Arial"/>
          <w:b/>
          <w:sz w:val="22"/>
          <w:szCs w:val="22"/>
          <w:lang w:val="en-GB"/>
        </w:rPr>
        <w:t>A5.4.</w:t>
      </w:r>
      <w:r w:rsidR="0088622A" w:rsidRPr="00E4265B">
        <w:rPr>
          <w:rFonts w:ascii="Arial" w:hAnsi="Arial" w:cs="Arial"/>
          <w:b/>
          <w:sz w:val="22"/>
          <w:szCs w:val="22"/>
          <w:lang w:val="en-GB"/>
        </w:rPr>
        <w:t>3</w:t>
      </w:r>
      <w:r w:rsidRPr="00E4265B">
        <w:rPr>
          <w:rFonts w:ascii="Arial" w:hAnsi="Arial" w:cs="Arial"/>
          <w:sz w:val="22"/>
          <w:szCs w:val="22"/>
          <w:lang w:val="en-GB"/>
        </w:rPr>
        <w:tab/>
        <w:t xml:space="preserve">Eligible Hedges that are included in the calculation of the capital requirements for CVA risk must not be included in the calculation of the capital requirements for </w:t>
      </w:r>
      <w:r w:rsidR="00592544" w:rsidRPr="00E4265B">
        <w:rPr>
          <w:rFonts w:ascii="Arial" w:hAnsi="Arial" w:cs="Arial"/>
          <w:sz w:val="22"/>
          <w:szCs w:val="22"/>
          <w:lang w:val="en-GB"/>
        </w:rPr>
        <w:t>S</w:t>
      </w:r>
      <w:r w:rsidRPr="00E4265B">
        <w:rPr>
          <w:rFonts w:ascii="Arial" w:hAnsi="Arial" w:cs="Arial"/>
          <w:sz w:val="22"/>
          <w:szCs w:val="22"/>
          <w:lang w:val="en-GB"/>
        </w:rPr>
        <w:t xml:space="preserve">pecific </w:t>
      </w:r>
      <w:r w:rsidR="00592544" w:rsidRPr="00E4265B">
        <w:rPr>
          <w:rFonts w:ascii="Arial" w:hAnsi="Arial" w:cs="Arial"/>
          <w:sz w:val="22"/>
          <w:szCs w:val="22"/>
          <w:lang w:val="en-GB"/>
        </w:rPr>
        <w:t>R</w:t>
      </w:r>
      <w:r w:rsidRPr="00E4265B">
        <w:rPr>
          <w:rFonts w:ascii="Arial" w:hAnsi="Arial" w:cs="Arial"/>
          <w:sz w:val="22"/>
          <w:szCs w:val="22"/>
          <w:lang w:val="en-GB"/>
        </w:rPr>
        <w:t>isk as set out in App</w:t>
      </w:r>
      <w:r w:rsidR="00592544" w:rsidRPr="00E4265B">
        <w:rPr>
          <w:rFonts w:ascii="Arial" w:hAnsi="Arial" w:cs="Arial"/>
          <w:sz w:val="22"/>
          <w:szCs w:val="22"/>
          <w:lang w:val="en-GB"/>
        </w:rPr>
        <w:t>6</w:t>
      </w:r>
      <w:r w:rsidRPr="00E4265B">
        <w:rPr>
          <w:rFonts w:ascii="Arial" w:hAnsi="Arial" w:cs="Arial"/>
          <w:sz w:val="22"/>
          <w:szCs w:val="22"/>
          <w:lang w:val="en-GB"/>
        </w:rPr>
        <w:t xml:space="preserve"> or treated as credit risk mitigation other than for the Counterparty Risk of the same portfolio of transaction.</w:t>
      </w:r>
    </w:p>
    <w:p w14:paraId="25ABF110" w14:textId="77777777" w:rsidR="00C93186" w:rsidRPr="00E4265B" w:rsidRDefault="00C93186">
      <w:pPr>
        <w:rPr>
          <w:rFonts w:ascii="Arial" w:eastAsia="Times New Roman" w:hAnsi="Arial" w:cs="Arial"/>
          <w:b/>
          <w:kern w:val="28"/>
          <w:sz w:val="22"/>
          <w:szCs w:val="22"/>
          <w:lang w:val="en-GB"/>
        </w:rPr>
      </w:pPr>
      <w:r w:rsidRPr="00E4265B">
        <w:rPr>
          <w:rFonts w:ascii="Arial" w:hAnsi="Arial" w:cs="Arial"/>
          <w:sz w:val="22"/>
          <w:szCs w:val="22"/>
          <w:lang w:val="en-GB"/>
        </w:rPr>
        <w:br w:type="page"/>
      </w:r>
    </w:p>
    <w:p w14:paraId="504BC6CE" w14:textId="31A60F56" w:rsidR="00E22FF2" w:rsidRPr="00E4265B" w:rsidRDefault="00E22FF2" w:rsidP="00013504">
      <w:pPr>
        <w:pStyle w:val="UK12Title"/>
        <w:keepNext/>
        <w:rPr>
          <w:rFonts w:ascii="Arial" w:hAnsi="Arial" w:cs="Arial"/>
          <w:sz w:val="22"/>
          <w:szCs w:val="22"/>
          <w:lang w:val="en-GB"/>
        </w:rPr>
      </w:pPr>
      <w:bookmarkStart w:id="987" w:name="_Toc33622495"/>
      <w:r w:rsidRPr="00E4265B">
        <w:rPr>
          <w:rFonts w:ascii="Arial" w:hAnsi="Arial" w:cs="Arial"/>
          <w:sz w:val="22"/>
          <w:szCs w:val="22"/>
          <w:lang w:val="en-GB"/>
        </w:rPr>
        <w:lastRenderedPageBreak/>
        <w:t>APP</w:t>
      </w:r>
      <w:r w:rsidR="00C93186" w:rsidRPr="00E4265B">
        <w:rPr>
          <w:rFonts w:ascii="Arial" w:hAnsi="Arial" w:cs="Arial"/>
          <w:sz w:val="22"/>
          <w:szCs w:val="22"/>
          <w:lang w:val="en-GB"/>
        </w:rPr>
        <w:t>6</w:t>
      </w:r>
      <w:r w:rsidR="00592544" w:rsidRPr="00E4265B">
        <w:rPr>
          <w:rFonts w:ascii="Arial" w:hAnsi="Arial" w:cs="Arial"/>
          <w:sz w:val="22"/>
          <w:szCs w:val="22"/>
          <w:lang w:val="en-GB"/>
        </w:rPr>
        <w:tab/>
      </w:r>
      <w:r w:rsidRPr="00E4265B">
        <w:rPr>
          <w:rFonts w:ascii="Arial" w:hAnsi="Arial" w:cs="Arial"/>
          <w:sz w:val="22"/>
          <w:szCs w:val="22"/>
          <w:lang w:val="en-GB"/>
        </w:rPr>
        <w:t>MARKET RISK</w:t>
      </w:r>
      <w:bookmarkEnd w:id="982"/>
      <w:bookmarkEnd w:id="987"/>
    </w:p>
    <w:p w14:paraId="0616BE6E" w14:textId="77777777" w:rsidR="00E22FF2" w:rsidRPr="00E4265B" w:rsidRDefault="00E22FF2" w:rsidP="004F0272">
      <w:pPr>
        <w:pStyle w:val="UK12Title2"/>
        <w:rPr>
          <w:rFonts w:ascii="Arial" w:hAnsi="Arial" w:cs="Arial"/>
          <w:sz w:val="22"/>
          <w:szCs w:val="22"/>
        </w:rPr>
      </w:pPr>
      <w:bookmarkStart w:id="988" w:name="_Toc33622496"/>
      <w:r w:rsidRPr="00E4265B">
        <w:rPr>
          <w:rFonts w:ascii="Arial" w:hAnsi="Arial" w:cs="Arial"/>
          <w:sz w:val="22"/>
          <w:szCs w:val="22"/>
        </w:rPr>
        <w:t>A</w:t>
      </w:r>
      <w:r w:rsidR="00C93186" w:rsidRPr="00E4265B">
        <w:rPr>
          <w:rFonts w:ascii="Arial" w:hAnsi="Arial" w:cs="Arial"/>
          <w:sz w:val="22"/>
          <w:szCs w:val="22"/>
        </w:rPr>
        <w:t>6</w:t>
      </w:r>
      <w:r w:rsidRPr="00E4265B">
        <w:rPr>
          <w:rFonts w:ascii="Arial" w:hAnsi="Arial" w:cs="Arial"/>
          <w:sz w:val="22"/>
          <w:szCs w:val="22"/>
        </w:rPr>
        <w:t>.1</w:t>
      </w:r>
      <w:r w:rsidRPr="00E4265B">
        <w:rPr>
          <w:rFonts w:ascii="Arial" w:hAnsi="Arial" w:cs="Arial"/>
          <w:sz w:val="22"/>
          <w:szCs w:val="22"/>
        </w:rPr>
        <w:tab/>
        <w:t>Market Risk systems and controls</w:t>
      </w:r>
      <w:bookmarkEnd w:id="988"/>
    </w:p>
    <w:p w14:paraId="31944386" w14:textId="77777777" w:rsidR="00E22FF2" w:rsidRPr="00E4265B" w:rsidRDefault="00E22FF2" w:rsidP="00C95695">
      <w:pPr>
        <w:pStyle w:val="TitleL5"/>
        <w:rPr>
          <w:rFonts w:ascii="Arial" w:hAnsi="Arial" w:cs="Arial"/>
          <w:sz w:val="22"/>
          <w:szCs w:val="22"/>
          <w:lang w:val="en-GB"/>
        </w:rPr>
      </w:pPr>
      <w:r w:rsidRPr="00E4265B">
        <w:rPr>
          <w:rFonts w:ascii="Arial" w:hAnsi="Arial" w:cs="Arial"/>
          <w:sz w:val="22"/>
          <w:szCs w:val="22"/>
          <w:lang w:val="en-GB"/>
        </w:rPr>
        <w:t>Guidance</w:t>
      </w:r>
    </w:p>
    <w:p w14:paraId="1FEF430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In accordance with Section 5.2,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required to have a Market Risk policy. The Market Risk policy should address all aspects of Market Risk whether arising from assets, liabilities or the mismatch between assets and liabilities and whether off or on</w:t>
      </w:r>
      <w:r w:rsidRPr="00E4265B">
        <w:rPr>
          <w:rFonts w:ascii="Arial" w:hAnsi="Arial" w:cs="Arial"/>
          <w:sz w:val="22"/>
          <w:szCs w:val="22"/>
          <w:lang w:val="en-GB"/>
        </w:rPr>
        <w:noBreakHyphen/>
        <w:t>balance sheet. Such a policy would be expected to include the following information:</w:t>
      </w:r>
    </w:p>
    <w:p w14:paraId="38EBF542"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how, with particular reference to its activities,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defines and measures Market Risk;</w:t>
      </w:r>
    </w:p>
    <w:p w14:paraId="4F2CACE8" w14:textId="327D3B81"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b</w:t>
      </w:r>
      <w:r w:rsidR="005677DE" w:rsidRPr="00E4265B">
        <w:rPr>
          <w:rFonts w:ascii="Arial" w:hAnsi="Arial" w:cs="Arial"/>
          <w:sz w:val="22"/>
          <w:szCs w:val="22"/>
          <w:lang w:val="en-GB"/>
        </w:rPr>
        <w:t>.</w:t>
      </w:r>
      <w:r w:rsidR="005677DE" w:rsidRPr="00E4265B">
        <w:rPr>
          <w:rFonts w:ascii="Arial" w:hAnsi="Arial" w:cs="Arial"/>
          <w:sz w:val="22"/>
          <w:szCs w:val="22"/>
          <w:lang w:val="en-GB"/>
        </w:rPr>
        <w:tab/>
      </w:r>
      <w:r w:rsidRPr="00E4265B">
        <w:rPr>
          <w:rFonts w:ascii="Arial" w:hAnsi="Arial" w:cs="Arial"/>
          <w:sz w:val="22"/>
          <w:szCs w:val="22"/>
          <w:lang w:val="en-GB"/>
        </w:rPr>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's investment or trading strategy distinguishing, as applicable, between its Trading and Non</w:t>
      </w:r>
      <w:r w:rsidRPr="00E4265B">
        <w:rPr>
          <w:rFonts w:ascii="Arial" w:hAnsi="Arial" w:cs="Arial"/>
          <w:sz w:val="22"/>
          <w:szCs w:val="22"/>
          <w:lang w:val="en-GB"/>
        </w:rPr>
        <w:noBreakHyphen/>
        <w:t>Trading Books;</w:t>
      </w:r>
    </w:p>
    <w:p w14:paraId="7FF22881"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detailed limit structure for Market Risk which should:</w:t>
      </w:r>
    </w:p>
    <w:p w14:paraId="0808D01B" w14:textId="77777777" w:rsidR="00E22FF2" w:rsidRPr="00E4265B" w:rsidRDefault="00E22FF2" w:rsidP="00C17185">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address all key risk factors;</w:t>
      </w:r>
    </w:p>
    <w:p w14:paraId="55245D5F" w14:textId="77777777" w:rsidR="00E22FF2" w:rsidRPr="00E4265B" w:rsidRDefault="00E22FF2" w:rsidP="00C17185">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be commensurate with the volume and complexity of activity; and</w:t>
      </w:r>
    </w:p>
    <w:p w14:paraId="6F1EDCE0" w14:textId="77777777" w:rsidR="00E22FF2" w:rsidRPr="00E4265B" w:rsidRDefault="00E22FF2" w:rsidP="00C17185">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be consistent with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strategy, historical performance, and the overall level of earnings or capital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willing to risk;</w:t>
      </w:r>
    </w:p>
    <w:p w14:paraId="0E0C75A3"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procedures for:</w:t>
      </w:r>
    </w:p>
    <w:p w14:paraId="0F09B639" w14:textId="58C008E2" w:rsidR="00E22FF2" w:rsidRPr="00E4265B" w:rsidRDefault="00E22FF2" w:rsidP="00C17185">
      <w:pPr>
        <w:pStyle w:val="iList"/>
        <w:rPr>
          <w:rFonts w:ascii="Arial" w:hAnsi="Arial" w:cs="Arial"/>
          <w:sz w:val="22"/>
          <w:szCs w:val="22"/>
          <w:lang w:val="en-GB"/>
        </w:rPr>
      </w:pPr>
      <w:r w:rsidRPr="00E4265B">
        <w:rPr>
          <w:rFonts w:ascii="Arial" w:hAnsi="Arial" w:cs="Arial"/>
          <w:sz w:val="22"/>
          <w:szCs w:val="22"/>
          <w:lang w:val="en-GB"/>
        </w:rPr>
        <w:t>i</w:t>
      </w:r>
      <w:r w:rsidR="005677DE" w:rsidRPr="00E4265B">
        <w:rPr>
          <w:rFonts w:ascii="Arial" w:hAnsi="Arial" w:cs="Arial"/>
          <w:sz w:val="22"/>
          <w:szCs w:val="22"/>
          <w:lang w:val="en-GB"/>
        </w:rPr>
        <w:t>.</w:t>
      </w:r>
      <w:r w:rsidR="005677DE" w:rsidRPr="00E4265B">
        <w:rPr>
          <w:rFonts w:ascii="Arial" w:hAnsi="Arial" w:cs="Arial"/>
          <w:sz w:val="22"/>
          <w:szCs w:val="22"/>
          <w:lang w:val="en-GB"/>
        </w:rPr>
        <w:tab/>
      </w:r>
      <w:r w:rsidRPr="00E4265B">
        <w:rPr>
          <w:rFonts w:ascii="Arial" w:hAnsi="Arial" w:cs="Arial"/>
          <w:sz w:val="22"/>
          <w:szCs w:val="22"/>
          <w:lang w:val="en-GB"/>
        </w:rPr>
        <w:t>approving new products and activities that give rise to Market Risk;</w:t>
      </w:r>
    </w:p>
    <w:p w14:paraId="02A0718B" w14:textId="58A27F78" w:rsidR="00E22FF2" w:rsidRPr="00E4265B" w:rsidRDefault="00E22FF2" w:rsidP="00C17185">
      <w:pPr>
        <w:pStyle w:val="iList"/>
        <w:rPr>
          <w:rFonts w:ascii="Arial" w:hAnsi="Arial" w:cs="Arial"/>
          <w:sz w:val="22"/>
          <w:szCs w:val="22"/>
          <w:lang w:val="en-GB"/>
        </w:rPr>
      </w:pPr>
      <w:r w:rsidRPr="00E4265B">
        <w:rPr>
          <w:rFonts w:ascii="Arial" w:hAnsi="Arial" w:cs="Arial"/>
          <w:sz w:val="22"/>
          <w:szCs w:val="22"/>
          <w:lang w:val="en-GB"/>
        </w:rPr>
        <w:t>ii</w:t>
      </w:r>
      <w:r w:rsidR="005677DE" w:rsidRPr="00E4265B">
        <w:rPr>
          <w:rFonts w:ascii="Arial" w:hAnsi="Arial" w:cs="Arial"/>
          <w:sz w:val="22"/>
          <w:szCs w:val="22"/>
          <w:lang w:val="en-GB"/>
        </w:rPr>
        <w:t>.</w:t>
      </w:r>
      <w:r w:rsidR="005677DE" w:rsidRPr="00E4265B">
        <w:rPr>
          <w:rFonts w:ascii="Arial" w:hAnsi="Arial" w:cs="Arial"/>
          <w:sz w:val="22"/>
          <w:szCs w:val="22"/>
          <w:lang w:val="en-GB"/>
        </w:rPr>
        <w:tab/>
      </w:r>
      <w:r w:rsidRPr="00E4265B">
        <w:rPr>
          <w:rFonts w:ascii="Arial" w:hAnsi="Arial" w:cs="Arial"/>
          <w:sz w:val="22"/>
          <w:szCs w:val="22"/>
          <w:lang w:val="en-GB"/>
        </w:rPr>
        <w:t>regular risk position and performance reporting;</w:t>
      </w:r>
    </w:p>
    <w:p w14:paraId="603083E3" w14:textId="5BA610B5" w:rsidR="00E22FF2" w:rsidRPr="00E4265B" w:rsidRDefault="00E22FF2" w:rsidP="00C17185">
      <w:pPr>
        <w:pStyle w:val="iList"/>
        <w:rPr>
          <w:rFonts w:ascii="Arial" w:hAnsi="Arial" w:cs="Arial"/>
          <w:sz w:val="22"/>
          <w:szCs w:val="22"/>
          <w:lang w:val="en-GB"/>
        </w:rPr>
      </w:pPr>
      <w:r w:rsidRPr="00E4265B">
        <w:rPr>
          <w:rFonts w:ascii="Arial" w:hAnsi="Arial" w:cs="Arial"/>
          <w:sz w:val="22"/>
          <w:szCs w:val="22"/>
          <w:lang w:val="en-GB"/>
        </w:rPr>
        <w:t>iii</w:t>
      </w:r>
      <w:r w:rsidR="005677DE" w:rsidRPr="00E4265B">
        <w:rPr>
          <w:rFonts w:ascii="Arial" w:hAnsi="Arial" w:cs="Arial"/>
          <w:sz w:val="22"/>
          <w:szCs w:val="22"/>
          <w:lang w:val="en-GB"/>
        </w:rPr>
        <w:t>.</w:t>
      </w:r>
      <w:r w:rsidR="005677DE" w:rsidRPr="00E4265B">
        <w:rPr>
          <w:rFonts w:ascii="Arial" w:hAnsi="Arial" w:cs="Arial"/>
          <w:sz w:val="22"/>
          <w:szCs w:val="22"/>
          <w:lang w:val="en-GB"/>
        </w:rPr>
        <w:tab/>
      </w:r>
      <w:r w:rsidRPr="00E4265B">
        <w:rPr>
          <w:rFonts w:ascii="Arial" w:hAnsi="Arial" w:cs="Arial"/>
          <w:sz w:val="22"/>
          <w:szCs w:val="22"/>
          <w:lang w:val="en-GB"/>
        </w:rPr>
        <w:t>limit exception reporting and approval; and</w:t>
      </w:r>
    </w:p>
    <w:p w14:paraId="4040839E" w14:textId="68AEC86C" w:rsidR="00E22FF2" w:rsidRPr="00E4265B" w:rsidRDefault="00E22FF2" w:rsidP="00C17185">
      <w:pPr>
        <w:pStyle w:val="iList"/>
        <w:rPr>
          <w:rFonts w:ascii="Arial" w:hAnsi="Arial" w:cs="Arial"/>
          <w:sz w:val="22"/>
          <w:szCs w:val="22"/>
          <w:lang w:val="en-GB"/>
        </w:rPr>
      </w:pPr>
      <w:r w:rsidRPr="00E4265B">
        <w:rPr>
          <w:rFonts w:ascii="Arial" w:hAnsi="Arial" w:cs="Arial"/>
          <w:sz w:val="22"/>
          <w:szCs w:val="22"/>
          <w:lang w:val="en-GB"/>
        </w:rPr>
        <w:t>iv</w:t>
      </w:r>
      <w:r w:rsidR="005677DE" w:rsidRPr="00E4265B">
        <w:rPr>
          <w:rFonts w:ascii="Arial" w:hAnsi="Arial" w:cs="Arial"/>
          <w:sz w:val="22"/>
          <w:szCs w:val="22"/>
          <w:lang w:val="en-GB"/>
        </w:rPr>
        <w:t>.</w:t>
      </w:r>
      <w:r w:rsidR="005677DE" w:rsidRPr="00E4265B">
        <w:rPr>
          <w:rFonts w:ascii="Arial" w:hAnsi="Arial" w:cs="Arial"/>
          <w:sz w:val="22"/>
          <w:szCs w:val="22"/>
          <w:lang w:val="en-GB"/>
        </w:rPr>
        <w:tab/>
      </w:r>
      <w:r w:rsidRPr="00E4265B">
        <w:rPr>
          <w:rFonts w:ascii="Arial" w:hAnsi="Arial" w:cs="Arial"/>
          <w:sz w:val="22"/>
          <w:szCs w:val="22"/>
          <w:lang w:val="en-GB"/>
        </w:rPr>
        <w:t>reporting and controlling of off</w:t>
      </w:r>
      <w:r w:rsidRPr="00E4265B">
        <w:rPr>
          <w:rFonts w:ascii="Arial" w:hAnsi="Arial" w:cs="Arial"/>
          <w:sz w:val="22"/>
          <w:szCs w:val="22"/>
          <w:lang w:val="en-GB"/>
        </w:rPr>
        <w:noBreakHyphen/>
        <w:t>market trades, if these are permitted;</w:t>
      </w:r>
    </w:p>
    <w:p w14:paraId="06062150" w14:textId="37BAED3B"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e</w:t>
      </w:r>
      <w:r w:rsidR="005677DE" w:rsidRPr="00E4265B">
        <w:rPr>
          <w:rFonts w:ascii="Arial" w:hAnsi="Arial" w:cs="Arial"/>
          <w:sz w:val="22"/>
          <w:szCs w:val="22"/>
          <w:lang w:val="en-GB"/>
        </w:rPr>
        <w:t>.</w:t>
      </w:r>
      <w:r w:rsidR="005677DE" w:rsidRPr="00E4265B">
        <w:rPr>
          <w:rFonts w:ascii="Arial" w:hAnsi="Arial" w:cs="Arial"/>
          <w:sz w:val="22"/>
          <w:szCs w:val="22"/>
          <w:lang w:val="en-GB"/>
        </w:rPr>
        <w:tab/>
      </w:r>
      <w:r w:rsidRPr="00E4265B">
        <w:rPr>
          <w:rFonts w:ascii="Arial" w:hAnsi="Arial" w:cs="Arial"/>
          <w:sz w:val="22"/>
          <w:szCs w:val="22"/>
          <w:lang w:val="en-GB"/>
        </w:rPr>
        <w:t>where internal models are used to set Capital Requirements (as provided for in Section 5.3), the methods and assumptions used in these models and how the models are tested; and</w:t>
      </w:r>
    </w:p>
    <w:p w14:paraId="3438B688" w14:textId="3C809931"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f</w:t>
      </w:r>
      <w:r w:rsidR="005677DE" w:rsidRPr="00E4265B">
        <w:rPr>
          <w:rFonts w:ascii="Arial" w:hAnsi="Arial" w:cs="Arial"/>
          <w:sz w:val="22"/>
          <w:szCs w:val="22"/>
          <w:lang w:val="en-GB"/>
        </w:rPr>
        <w:t>.</w:t>
      </w:r>
      <w:r w:rsidR="005677DE" w:rsidRPr="00E4265B">
        <w:rPr>
          <w:rFonts w:ascii="Arial" w:hAnsi="Arial" w:cs="Arial"/>
          <w:sz w:val="22"/>
          <w:szCs w:val="22"/>
          <w:lang w:val="en-GB"/>
        </w:rPr>
        <w:tab/>
      </w:r>
      <w:r w:rsidRPr="00E4265B">
        <w:rPr>
          <w:rFonts w:ascii="Arial" w:hAnsi="Arial" w:cs="Arial"/>
          <w:sz w:val="22"/>
          <w:szCs w:val="22"/>
          <w:lang w:val="en-GB"/>
        </w:rPr>
        <w:t>the allocation of responsibilities for implementing the Market Risk policy and for monitoring adherence to, and the effectiveness of, the policy.</w:t>
      </w:r>
    </w:p>
    <w:p w14:paraId="7EBF4948" w14:textId="0B57C01D"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005677DE" w:rsidRPr="00E4265B">
        <w:rPr>
          <w:rFonts w:ascii="Arial" w:hAnsi="Arial" w:cs="Arial"/>
          <w:sz w:val="22"/>
          <w:szCs w:val="22"/>
          <w:lang w:val="en-GB"/>
        </w:rPr>
        <w:t>.</w:t>
      </w:r>
      <w:r w:rsidR="005677DE"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measure its Market Risk using a robust and consistent methodology. The appropriate method of measurement will depend upon the nature of the products traded.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whether the measurement methodologies should be tested, for example, through back</w:t>
      </w:r>
      <w:r w:rsidRPr="00E4265B">
        <w:rPr>
          <w:rFonts w:ascii="Arial" w:hAnsi="Arial" w:cs="Arial"/>
          <w:sz w:val="22"/>
          <w:szCs w:val="22"/>
          <w:lang w:val="en-GB"/>
        </w:rPr>
        <w:noBreakHyphen/>
        <w:t>testing, and the frequency of such testing.</w:t>
      </w:r>
    </w:p>
    <w:p w14:paraId="0B6B531C" w14:textId="69309ACF"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3</w:t>
      </w:r>
      <w:r w:rsidR="005677DE" w:rsidRPr="00E4265B">
        <w:rPr>
          <w:rFonts w:ascii="Arial" w:hAnsi="Arial" w:cs="Arial"/>
          <w:sz w:val="22"/>
          <w:szCs w:val="22"/>
          <w:lang w:val="en-GB"/>
        </w:rPr>
        <w:t>.</w:t>
      </w:r>
      <w:r w:rsidR="005677DE"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be able to measure its Market Risk Exposure both across risk types, such as interest rate, foreign exchange and commodities, and across the entire portfolio.</w:t>
      </w:r>
    </w:p>
    <w:p w14:paraId="2F6007B4" w14:textId="61F7F8FC"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w:t>
      </w:r>
      <w:r w:rsidR="005677DE" w:rsidRPr="00E4265B">
        <w:rPr>
          <w:rFonts w:ascii="Arial" w:hAnsi="Arial" w:cs="Arial"/>
          <w:sz w:val="22"/>
          <w:szCs w:val="22"/>
          <w:lang w:val="en-GB"/>
        </w:rPr>
        <w:t>.</w:t>
      </w:r>
      <w:r w:rsidR="005677DE" w:rsidRPr="00E4265B">
        <w:rPr>
          <w:rFonts w:ascii="Arial" w:hAnsi="Arial" w:cs="Arial"/>
          <w:sz w:val="22"/>
          <w:szCs w:val="22"/>
          <w:lang w:val="en-GB"/>
        </w:rPr>
        <w:tab/>
      </w:r>
      <w:r w:rsidRPr="00E4265B">
        <w:rPr>
          <w:rFonts w:ascii="Arial" w:hAnsi="Arial" w:cs="Arial"/>
          <w:sz w:val="22"/>
          <w:szCs w:val="22"/>
          <w:lang w:val="en-GB"/>
        </w:rPr>
        <w:t xml:space="preserve">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a member of a Group, which is subject to consolidated supervision, the Group should be able to monitor Market Risk Exposures on a consolidated basis (Chapter 8).</w:t>
      </w:r>
    </w:p>
    <w:p w14:paraId="12145684" w14:textId="07F20D7B"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5</w:t>
      </w:r>
      <w:r w:rsidR="005677DE" w:rsidRPr="00E4265B">
        <w:rPr>
          <w:rFonts w:ascii="Arial" w:hAnsi="Arial" w:cs="Arial"/>
          <w:sz w:val="22"/>
          <w:szCs w:val="22"/>
          <w:lang w:val="en-GB"/>
        </w:rPr>
        <w:t>.</w:t>
      </w:r>
      <w:r w:rsidR="005677DE"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the capability to assess the impact of any new transaction on its Market Risk position on an on</w:t>
      </w:r>
      <w:r w:rsidRPr="00E4265B">
        <w:rPr>
          <w:rFonts w:ascii="Arial" w:hAnsi="Arial" w:cs="Arial"/>
          <w:sz w:val="22"/>
          <w:szCs w:val="22"/>
          <w:lang w:val="en-GB"/>
        </w:rPr>
        <w:noBreakHyphen/>
        <w:t>going basis, and should be capable of carrying out a full measurement of its positions at least daily.</w:t>
      </w:r>
    </w:p>
    <w:p w14:paraId="3147BC6D" w14:textId="3A8BF49E"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6</w:t>
      </w:r>
      <w:r w:rsidR="005677DE" w:rsidRPr="00E4265B">
        <w:rPr>
          <w:rFonts w:ascii="Arial" w:hAnsi="Arial" w:cs="Arial"/>
          <w:sz w:val="22"/>
          <w:szCs w:val="22"/>
          <w:lang w:val="en-GB"/>
        </w:rPr>
        <w:t>.</w:t>
      </w:r>
      <w:r w:rsidR="005677DE"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implement an effective system for monitoring its Market Risk. This system should be independent of those within the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are responsible for taking Market Risk.</w:t>
      </w:r>
    </w:p>
    <w:p w14:paraId="28147D76"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7.</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implement a system of management reporting which provides relevant, accurate, comprehensive, timely and reliable Market Risk reports to relevant functions within the </w:t>
      </w:r>
      <w:r w:rsidR="000D1A90" w:rsidRPr="00E4265B">
        <w:rPr>
          <w:rFonts w:ascii="Arial" w:hAnsi="Arial" w:cs="Arial"/>
          <w:sz w:val="22"/>
          <w:szCs w:val="22"/>
          <w:lang w:val="en-GB"/>
        </w:rPr>
        <w:t>Authorised Person</w:t>
      </w:r>
      <w:r w:rsidRPr="00E4265B">
        <w:rPr>
          <w:rFonts w:ascii="Arial" w:hAnsi="Arial" w:cs="Arial"/>
          <w:sz w:val="22"/>
          <w:szCs w:val="22"/>
          <w:lang w:val="en-GB"/>
        </w:rPr>
        <w:t>. These reports should:</w:t>
      </w:r>
    </w:p>
    <w:p w14:paraId="351DE5DE"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alert senior management's attention to the size of Exposures and the relationship between these Exposures and limits;</w:t>
      </w:r>
    </w:p>
    <w:p w14:paraId="570852DC"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cover exceptions to the </w:t>
      </w:r>
      <w:r w:rsidR="000D1A90" w:rsidRPr="00E4265B">
        <w:rPr>
          <w:rFonts w:ascii="Arial" w:hAnsi="Arial" w:cs="Arial"/>
          <w:sz w:val="22"/>
          <w:szCs w:val="22"/>
          <w:lang w:val="en-GB"/>
        </w:rPr>
        <w:t>Authorised Person</w:t>
      </w:r>
      <w:r w:rsidRPr="00E4265B">
        <w:rPr>
          <w:rFonts w:ascii="Arial" w:hAnsi="Arial" w:cs="Arial"/>
          <w:sz w:val="22"/>
          <w:szCs w:val="22"/>
          <w:lang w:val="en-GB"/>
        </w:rPr>
        <w:t>'s Market Risk policy;</w:t>
      </w:r>
    </w:p>
    <w:p w14:paraId="755F9A42"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present the results from stress tests undertaken; and</w:t>
      </w:r>
    </w:p>
    <w:p w14:paraId="6FADDC18"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analyse and explain any changes to the level and nature of Market Risk and any remedial action proposed or taken.</w:t>
      </w:r>
    </w:p>
    <w:p w14:paraId="7BE18A50"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8.</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procedures, including stop</w:t>
      </w:r>
      <w:r w:rsidRPr="00E4265B">
        <w:rPr>
          <w:rFonts w:ascii="Arial" w:hAnsi="Arial" w:cs="Arial"/>
          <w:sz w:val="22"/>
          <w:szCs w:val="22"/>
          <w:lang w:val="en-GB"/>
        </w:rPr>
        <w:noBreakHyphen/>
        <w:t>loss procedures, for taking appropriate action according to the information within the management reports.</w:t>
      </w:r>
    </w:p>
    <w:p w14:paraId="16841A2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9.</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ensure that there are controls and procedures for reporting any trades booked at off</w:t>
      </w:r>
      <w:r w:rsidRPr="00E4265B">
        <w:rPr>
          <w:rFonts w:ascii="Arial" w:hAnsi="Arial" w:cs="Arial"/>
          <w:sz w:val="22"/>
          <w:szCs w:val="22"/>
          <w:lang w:val="en-GB"/>
        </w:rPr>
        <w:noBreakHyphen/>
        <w:t>market rates.</w:t>
      </w:r>
    </w:p>
    <w:p w14:paraId="64ECCE3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10.</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ensure that risk monitoring is subject to a periodic independent check. Models used to determine or interpolate specific Market Risk factors should be independently reviewed or otherwise validated.</w:t>
      </w:r>
    </w:p>
    <w:p w14:paraId="6BB10C91" w14:textId="7FD985AA"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11</w:t>
      </w:r>
      <w:r w:rsidR="007E535F" w:rsidRPr="00E4265B">
        <w:rPr>
          <w:rFonts w:ascii="Arial" w:hAnsi="Arial" w:cs="Arial"/>
          <w:sz w:val="22"/>
          <w:szCs w:val="22"/>
          <w:lang w:val="en-GB"/>
        </w:rPr>
        <w:t>.</w:t>
      </w:r>
      <w:r w:rsidR="007E535F" w:rsidRPr="00E4265B">
        <w:rPr>
          <w:rFonts w:ascii="Arial" w:hAnsi="Arial" w:cs="Arial"/>
          <w:sz w:val="22"/>
          <w:szCs w:val="22"/>
          <w:lang w:val="en-GB"/>
        </w:rPr>
        <w:tab/>
      </w:r>
      <w:r w:rsidRPr="00E4265B">
        <w:rPr>
          <w:rFonts w:ascii="Arial" w:hAnsi="Arial" w:cs="Arial"/>
          <w:sz w:val="22"/>
          <w:szCs w:val="22"/>
          <w:lang w:val="en-GB"/>
        </w:rPr>
        <w:t xml:space="preserve">Particular attention should be given to the monitoring of Market Risk that does not conform to the usual Market Risk policy, or which exceeds predetermined Market Risk limits and criteria, but is sanctioned because of particular circumstances in accordance with the </w:t>
      </w:r>
      <w:r w:rsidR="000D1A90" w:rsidRPr="00E4265B">
        <w:rPr>
          <w:rFonts w:ascii="Arial" w:hAnsi="Arial" w:cs="Arial"/>
          <w:sz w:val="22"/>
          <w:szCs w:val="22"/>
          <w:lang w:val="en-GB"/>
        </w:rPr>
        <w:t>Authorised Person</w:t>
      </w:r>
      <w:r w:rsidRPr="00E4265B">
        <w:rPr>
          <w:rFonts w:ascii="Arial" w:hAnsi="Arial" w:cs="Arial"/>
          <w:sz w:val="22"/>
          <w:szCs w:val="22"/>
          <w:lang w:val="en-GB"/>
        </w:rPr>
        <w:t>'s procedures. Unauthorised exceptions to policies, procedures and limits should be reported in a timely manner to the appropriate level of management along with any remedial action proposed or taken.</w:t>
      </w:r>
    </w:p>
    <w:p w14:paraId="023C1409" w14:textId="618697D6"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12</w:t>
      </w:r>
      <w:r w:rsidR="007E535F" w:rsidRPr="00E4265B">
        <w:rPr>
          <w:rFonts w:ascii="Arial" w:hAnsi="Arial" w:cs="Arial"/>
          <w:sz w:val="22"/>
          <w:szCs w:val="22"/>
          <w:lang w:val="en-GB"/>
        </w:rPr>
        <w:t>.</w:t>
      </w:r>
      <w:r w:rsidR="007E535F" w:rsidRPr="00E4265B">
        <w:rPr>
          <w:rFonts w:ascii="Arial" w:hAnsi="Arial" w:cs="Arial"/>
          <w:sz w:val="22"/>
          <w:szCs w:val="22"/>
          <w:lang w:val="en-GB"/>
        </w:rPr>
        <w:tab/>
      </w:r>
      <w:r w:rsidRPr="00E4265B">
        <w:rPr>
          <w:rFonts w:ascii="Arial" w:hAnsi="Arial" w:cs="Arial"/>
          <w:sz w:val="22"/>
          <w:szCs w:val="22"/>
          <w:lang w:val="en-GB"/>
        </w:rPr>
        <w:t xml:space="preserve">Market Risk limits should be periodically reviewed in order to check their suitability for current market conditions and the </w:t>
      </w:r>
      <w:r w:rsidR="000D1A90" w:rsidRPr="00E4265B">
        <w:rPr>
          <w:rFonts w:ascii="Arial" w:hAnsi="Arial" w:cs="Arial"/>
          <w:sz w:val="22"/>
          <w:szCs w:val="22"/>
          <w:lang w:val="en-GB"/>
        </w:rPr>
        <w:t>Authorised Person</w:t>
      </w:r>
      <w:r w:rsidRPr="00E4265B">
        <w:rPr>
          <w:rFonts w:ascii="Arial" w:hAnsi="Arial" w:cs="Arial"/>
          <w:sz w:val="22"/>
          <w:szCs w:val="22"/>
          <w:lang w:val="en-GB"/>
        </w:rPr>
        <w:t>'s overall risk appetite.</w:t>
      </w:r>
    </w:p>
    <w:p w14:paraId="55D94C66" w14:textId="6CDCF832"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13.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use a model or some form of analytical tool to assess risk in complex instruments or across portfolios. 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wishes to use such a model to determine part of its financial resources requirement, should refer to Section 5.3.</w:t>
      </w:r>
    </w:p>
    <w:p w14:paraId="0C54C891" w14:textId="42D681C0"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14</w:t>
      </w:r>
      <w:r w:rsidR="007E535F" w:rsidRPr="00E4265B">
        <w:rPr>
          <w:rFonts w:ascii="Arial" w:hAnsi="Arial" w:cs="Arial"/>
          <w:sz w:val="22"/>
          <w:szCs w:val="22"/>
          <w:lang w:val="en-GB"/>
        </w:rPr>
        <w:t>.</w:t>
      </w:r>
      <w:r w:rsidR="007E535F"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also use stress testing to determine the potential effects of economic downturns, market events, changes in interest rates, foreign exchange or liquidity conditions.</w:t>
      </w:r>
    </w:p>
    <w:p w14:paraId="2B9F0F2F" w14:textId="3FE8C2FB"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15</w:t>
      </w:r>
      <w:r w:rsidR="007E535F" w:rsidRPr="00E4265B">
        <w:rPr>
          <w:rFonts w:ascii="Arial" w:hAnsi="Arial" w:cs="Arial"/>
          <w:sz w:val="22"/>
          <w:szCs w:val="22"/>
          <w:lang w:val="en-GB"/>
        </w:rPr>
        <w:t>.</w:t>
      </w:r>
      <w:r w:rsidR="007E535F"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set an appropriate limit structure to control its Market Risk Exposure. The degree of granularity within the limit structure, or how hierarchical it is, will depend on the nature of the products traded (for example, whether the underlying risks are linear or non</w:t>
      </w:r>
      <w:r w:rsidRPr="00E4265B">
        <w:rPr>
          <w:rFonts w:ascii="Arial" w:hAnsi="Arial" w:cs="Arial"/>
          <w:sz w:val="22"/>
          <w:szCs w:val="22"/>
          <w:lang w:val="en-GB"/>
        </w:rPr>
        <w:noBreakHyphen/>
        <w:t xml:space="preserve">linear) and the scale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overall business (for example, whether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an active market maker).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set limits on risks such as simple price or rate risk as well as on the factors, Delta, Gamma, Vega, Rho, and Theta, arising from </w:t>
      </w:r>
      <w:r w:rsidR="00BC49E0" w:rsidRPr="00E4265B">
        <w:rPr>
          <w:rFonts w:ascii="Arial" w:hAnsi="Arial" w:cs="Arial"/>
          <w:sz w:val="22"/>
          <w:szCs w:val="22"/>
          <w:lang w:val="en-GB"/>
        </w:rPr>
        <w:t>Option</w:t>
      </w:r>
      <w:r w:rsidRPr="00E4265B">
        <w:rPr>
          <w:rFonts w:ascii="Arial" w:hAnsi="Arial" w:cs="Arial"/>
          <w:sz w:val="22"/>
          <w:szCs w:val="22"/>
          <w:lang w:val="en-GB"/>
        </w:rPr>
        <w:t>s positions.</w:t>
      </w:r>
    </w:p>
    <w:p w14:paraId="101653DF" w14:textId="3DA55DBD"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16</w:t>
      </w:r>
      <w:r w:rsidR="007E535F" w:rsidRPr="00E4265B">
        <w:rPr>
          <w:rFonts w:ascii="Arial" w:hAnsi="Arial" w:cs="Arial"/>
          <w:sz w:val="22"/>
          <w:szCs w:val="22"/>
          <w:lang w:val="en-GB"/>
        </w:rPr>
        <w:t>.</w:t>
      </w:r>
      <w:r w:rsidR="007E535F" w:rsidRPr="00E4265B">
        <w:rPr>
          <w:rFonts w:ascii="Arial" w:hAnsi="Arial" w:cs="Arial"/>
          <w:sz w:val="22"/>
          <w:szCs w:val="22"/>
          <w:lang w:val="en-GB"/>
        </w:rPr>
        <w:tab/>
      </w:r>
      <w:r w:rsidRPr="00E4265B">
        <w:rPr>
          <w:rFonts w:ascii="Arial" w:hAnsi="Arial" w:cs="Arial"/>
          <w:sz w:val="22"/>
          <w:szCs w:val="22"/>
          <w:lang w:val="en-GB"/>
        </w:rPr>
        <w:t>Limits should also be imposed against net or gross positions, and in relation to maximum allowable loss ('stop</w:t>
      </w:r>
      <w:r w:rsidRPr="00E4265B">
        <w:rPr>
          <w:rFonts w:ascii="Arial" w:hAnsi="Arial" w:cs="Arial"/>
          <w:sz w:val="22"/>
          <w:szCs w:val="22"/>
          <w:lang w:val="en-GB"/>
        </w:rPr>
        <w:noBreakHyphen/>
        <w:t>loss'), value at risk, maturity gap, and illiquid or volatile markets.</w:t>
      </w:r>
    </w:p>
    <w:p w14:paraId="439C44AA" w14:textId="7591DBDE"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17</w:t>
      </w:r>
      <w:r w:rsidR="007E535F" w:rsidRPr="00E4265B">
        <w:rPr>
          <w:rFonts w:ascii="Arial" w:hAnsi="Arial" w:cs="Arial"/>
          <w:sz w:val="22"/>
          <w:szCs w:val="22"/>
          <w:lang w:val="en-GB"/>
        </w:rPr>
        <w:t>.</w:t>
      </w:r>
      <w:r w:rsidR="007E535F"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provide a process for the identification, timely reporting and subsequent action in respect of exceptions to limits.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also ensure that limit breaches and action arising from exceptions are monitored.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also consider whether it is appropriate to set intermediate thresholds that alert management when limits are approached, triggering review or other appropriate action, or both.</w:t>
      </w:r>
    </w:p>
    <w:p w14:paraId="5D02FF8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18.</w:t>
      </w:r>
      <w:r w:rsidRPr="00E4265B">
        <w:rPr>
          <w:rFonts w:ascii="Arial" w:hAnsi="Arial" w:cs="Arial"/>
          <w:sz w:val="22"/>
          <w:szCs w:val="22"/>
          <w:lang w:val="en-GB"/>
        </w:rPr>
        <w:tab/>
        <w:t xml:space="preserve">Various methods can be used to hedge Market Risk.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document the appropriate products to be used to hedge Exposure and identify individuals within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Group responsible for monitoring hedge performance.</w:t>
      </w:r>
    </w:p>
    <w:p w14:paraId="5710D838" w14:textId="39E3DF90"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19</w:t>
      </w:r>
      <w:r w:rsidR="007E535F" w:rsidRPr="00E4265B">
        <w:rPr>
          <w:rFonts w:ascii="Arial" w:hAnsi="Arial" w:cs="Arial"/>
          <w:sz w:val="22"/>
          <w:szCs w:val="22"/>
          <w:lang w:val="en-GB"/>
        </w:rPr>
        <w:t>.</w:t>
      </w:r>
      <w:r w:rsidR="007E535F"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ensure that it makes and maintains appropriate prudential records which show and explain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transactions, disclose its financial position and Exposure to Market Risk and enable it to demonstrate compliance with these rules. In particular,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data history to enable it to perform back</w:t>
      </w:r>
      <w:r w:rsidRPr="00E4265B">
        <w:rPr>
          <w:rFonts w:ascii="Arial" w:hAnsi="Arial" w:cs="Arial"/>
          <w:sz w:val="22"/>
          <w:szCs w:val="22"/>
          <w:lang w:val="en-GB"/>
        </w:rPr>
        <w:noBreakHyphen/>
        <w:t>testing of methods and assumptions used for stress and scenario testing and for value</w:t>
      </w:r>
      <w:r w:rsidRPr="00E4265B">
        <w:rPr>
          <w:rFonts w:ascii="Arial" w:hAnsi="Arial" w:cs="Arial"/>
          <w:sz w:val="22"/>
          <w:szCs w:val="22"/>
          <w:lang w:val="en-GB"/>
        </w:rPr>
        <w:noBreakHyphen/>
        <w:t>at</w:t>
      </w:r>
      <w:r w:rsidRPr="00E4265B">
        <w:rPr>
          <w:rFonts w:ascii="Arial" w:hAnsi="Arial" w:cs="Arial"/>
          <w:sz w:val="22"/>
          <w:szCs w:val="22"/>
          <w:lang w:val="en-GB"/>
        </w:rPr>
        <w:noBreakHyphen/>
        <w:t>risk models. Market Risk records should be retained for at least six years.</w:t>
      </w:r>
    </w:p>
    <w:p w14:paraId="3C43CCD0" w14:textId="77777777" w:rsidR="00E22FF2" w:rsidRPr="00E4265B" w:rsidRDefault="00E22FF2" w:rsidP="004F0272">
      <w:pPr>
        <w:pStyle w:val="UK12Title2"/>
        <w:rPr>
          <w:rFonts w:ascii="Arial" w:hAnsi="Arial" w:cs="Arial"/>
          <w:sz w:val="22"/>
          <w:szCs w:val="22"/>
        </w:rPr>
      </w:pPr>
      <w:bookmarkStart w:id="989" w:name="_Toc33622497"/>
      <w:r w:rsidRPr="00E4265B">
        <w:rPr>
          <w:rFonts w:ascii="Arial" w:hAnsi="Arial" w:cs="Arial"/>
          <w:sz w:val="22"/>
          <w:szCs w:val="22"/>
        </w:rPr>
        <w:t>A</w:t>
      </w:r>
      <w:r w:rsidR="00C93186" w:rsidRPr="00E4265B">
        <w:rPr>
          <w:rFonts w:ascii="Arial" w:hAnsi="Arial" w:cs="Arial"/>
          <w:sz w:val="22"/>
          <w:szCs w:val="22"/>
        </w:rPr>
        <w:t>6</w:t>
      </w:r>
      <w:r w:rsidRPr="00E4265B">
        <w:rPr>
          <w:rFonts w:ascii="Arial" w:hAnsi="Arial" w:cs="Arial"/>
          <w:sz w:val="22"/>
          <w:szCs w:val="22"/>
        </w:rPr>
        <w:t>.2</w:t>
      </w:r>
      <w:r w:rsidRPr="00E4265B">
        <w:rPr>
          <w:rFonts w:ascii="Arial" w:hAnsi="Arial" w:cs="Arial"/>
          <w:sz w:val="22"/>
          <w:szCs w:val="22"/>
        </w:rPr>
        <w:tab/>
        <w:t>Interest Rate Risk Capital Requirement</w:t>
      </w:r>
      <w:bookmarkEnd w:id="989"/>
    </w:p>
    <w:p w14:paraId="101513B1" w14:textId="77777777" w:rsidR="00E22FF2" w:rsidRPr="00E4265B" w:rsidRDefault="00E22FF2" w:rsidP="00C17185">
      <w:pPr>
        <w:pStyle w:val="TitleL5"/>
        <w:rPr>
          <w:rFonts w:ascii="Arial" w:hAnsi="Arial" w:cs="Arial"/>
          <w:sz w:val="22"/>
          <w:szCs w:val="22"/>
          <w:lang w:val="en-GB"/>
        </w:rPr>
      </w:pPr>
      <w:r w:rsidRPr="00E4265B">
        <w:rPr>
          <w:rFonts w:ascii="Arial" w:hAnsi="Arial" w:cs="Arial"/>
          <w:sz w:val="22"/>
          <w:szCs w:val="22"/>
          <w:lang w:val="en-GB"/>
        </w:rPr>
        <w:t>Guidance</w:t>
      </w:r>
    </w:p>
    <w:p w14:paraId="13A135C2" w14:textId="46C2E5C2" w:rsidR="00E22FF2" w:rsidRPr="00E4265B" w:rsidRDefault="00E22FF2" w:rsidP="00B44E90">
      <w:pPr>
        <w:pStyle w:val="UK12Block05"/>
        <w:rPr>
          <w:rFonts w:ascii="Arial" w:hAnsi="Arial" w:cs="Arial"/>
          <w:sz w:val="22"/>
          <w:szCs w:val="22"/>
          <w:lang w:val="en-GB"/>
        </w:rPr>
      </w:pPr>
      <w:r w:rsidRPr="00E4265B">
        <w:rPr>
          <w:rFonts w:ascii="Arial" w:hAnsi="Arial" w:cs="Arial"/>
          <w:sz w:val="22"/>
          <w:szCs w:val="22"/>
          <w:lang w:val="en-GB"/>
        </w:rPr>
        <w:t>Section A</w:t>
      </w:r>
      <w:r w:rsidR="00B44E90" w:rsidRPr="00E4265B">
        <w:rPr>
          <w:rFonts w:ascii="Arial" w:hAnsi="Arial" w:cs="Arial"/>
          <w:sz w:val="22"/>
          <w:szCs w:val="22"/>
          <w:lang w:val="en-GB"/>
        </w:rPr>
        <w:t>6</w:t>
      </w:r>
      <w:r w:rsidRPr="00E4265B">
        <w:rPr>
          <w:rFonts w:ascii="Arial" w:hAnsi="Arial" w:cs="Arial"/>
          <w:sz w:val="22"/>
          <w:szCs w:val="22"/>
          <w:lang w:val="en-GB"/>
        </w:rPr>
        <w:t>.2 presents the method for the calculation of Specific Risk and General Market Risk in respect of the Interest Rate Risk Capital Requirement as referred to in Rule 5.4.1(b).</w:t>
      </w:r>
    </w:p>
    <w:p w14:paraId="2A981FC1" w14:textId="1E1165C4"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C93186" w:rsidRPr="00E4265B">
        <w:rPr>
          <w:rFonts w:ascii="Arial" w:hAnsi="Arial" w:cs="Arial"/>
          <w:b/>
          <w:bCs/>
          <w:sz w:val="22"/>
          <w:szCs w:val="22"/>
          <w:lang w:val="en-GB"/>
        </w:rPr>
        <w:t>6</w:t>
      </w:r>
      <w:r w:rsidRPr="00E4265B">
        <w:rPr>
          <w:rFonts w:ascii="Arial" w:hAnsi="Arial" w:cs="Arial"/>
          <w:b/>
          <w:bCs/>
          <w:sz w:val="22"/>
          <w:szCs w:val="22"/>
          <w:lang w:val="en-GB"/>
        </w:rPr>
        <w:t>.2.1</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calculates its Interest Rate Risk Capital Requirement in accordance with Rule 5.4.1(b) must apply the Rules in this Section.</w:t>
      </w:r>
    </w:p>
    <w:p w14:paraId="29070582"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lastRenderedPageBreak/>
        <w:t>A</w:t>
      </w:r>
      <w:r w:rsidR="00C93186" w:rsidRPr="00E4265B">
        <w:rPr>
          <w:rFonts w:ascii="Arial" w:hAnsi="Arial" w:cs="Arial"/>
          <w:b/>
          <w:bCs/>
          <w:sz w:val="22"/>
          <w:szCs w:val="22"/>
          <w:lang w:val="en-GB"/>
        </w:rPr>
        <w:t>6</w:t>
      </w:r>
      <w:r w:rsidRPr="00E4265B">
        <w:rPr>
          <w:rFonts w:ascii="Arial" w:hAnsi="Arial" w:cs="Arial"/>
          <w:b/>
          <w:bCs/>
          <w:sz w:val="22"/>
          <w:szCs w:val="22"/>
          <w:lang w:val="en-GB"/>
        </w:rPr>
        <w:t>.2.2</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its Interest Rate Risk Capital Requirement as the sum of the two following separate charges:</w:t>
      </w:r>
    </w:p>
    <w:p w14:paraId="0D6B104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Specific Risk of each net position as calculated in accordance with Rule A</w:t>
      </w:r>
      <w:r w:rsidR="00C530BC" w:rsidRPr="00E4265B">
        <w:rPr>
          <w:rFonts w:ascii="Arial" w:hAnsi="Arial" w:cs="Arial"/>
          <w:sz w:val="22"/>
          <w:szCs w:val="22"/>
          <w:lang w:val="en-GB"/>
        </w:rPr>
        <w:t>6</w:t>
      </w:r>
      <w:r w:rsidRPr="00E4265B">
        <w:rPr>
          <w:rFonts w:ascii="Arial" w:hAnsi="Arial" w:cs="Arial"/>
          <w:sz w:val="22"/>
          <w:szCs w:val="22"/>
          <w:lang w:val="en-GB"/>
        </w:rPr>
        <w:t>.2.13; and</w:t>
      </w:r>
    </w:p>
    <w:p w14:paraId="5F5BB17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General Market Risk calculated in accordance with Rule A</w:t>
      </w:r>
      <w:r w:rsidR="00C530BC" w:rsidRPr="00E4265B">
        <w:rPr>
          <w:rFonts w:ascii="Arial" w:hAnsi="Arial" w:cs="Arial"/>
          <w:sz w:val="22"/>
          <w:szCs w:val="22"/>
          <w:lang w:val="en-GB"/>
        </w:rPr>
        <w:t>6</w:t>
      </w:r>
      <w:r w:rsidRPr="00E4265B">
        <w:rPr>
          <w:rFonts w:ascii="Arial" w:hAnsi="Arial" w:cs="Arial"/>
          <w:sz w:val="22"/>
          <w:szCs w:val="22"/>
          <w:lang w:val="en-GB"/>
        </w:rPr>
        <w:t>.2.15.</w:t>
      </w:r>
    </w:p>
    <w:p w14:paraId="5BB49F0A"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C93186" w:rsidRPr="00E4265B">
        <w:rPr>
          <w:rFonts w:ascii="Arial" w:hAnsi="Arial" w:cs="Arial"/>
          <w:b/>
          <w:bCs/>
          <w:sz w:val="22"/>
          <w:szCs w:val="22"/>
          <w:lang w:val="en-GB"/>
        </w:rPr>
        <w:t>6</w:t>
      </w:r>
      <w:r w:rsidRPr="00E4265B">
        <w:rPr>
          <w:rFonts w:ascii="Arial" w:hAnsi="Arial" w:cs="Arial"/>
          <w:b/>
          <w:bCs/>
          <w:sz w:val="22"/>
          <w:szCs w:val="22"/>
          <w:lang w:val="en-GB"/>
        </w:rPr>
        <w:t>.2.3</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its Interest Rate Risk Capital Requirement in Trading Book positions in all fixed</w:t>
      </w:r>
      <w:r w:rsidRPr="00E4265B">
        <w:rPr>
          <w:rFonts w:ascii="Arial" w:hAnsi="Arial" w:cs="Arial"/>
          <w:sz w:val="22"/>
          <w:szCs w:val="22"/>
          <w:lang w:val="en-GB"/>
        </w:rPr>
        <w:noBreakHyphen/>
        <w:t>rate and floating</w:t>
      </w:r>
      <w:r w:rsidRPr="00E4265B">
        <w:rPr>
          <w:rFonts w:ascii="Arial" w:hAnsi="Arial" w:cs="Arial"/>
          <w:sz w:val="22"/>
          <w:szCs w:val="22"/>
          <w:lang w:val="en-GB"/>
        </w:rPr>
        <w:noBreakHyphen/>
        <w:t xml:space="preserve">rate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and instruments which behave like them, including:</w:t>
      </w:r>
    </w:p>
    <w:p w14:paraId="3B4616E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non</w:t>
      </w:r>
      <w:r w:rsidRPr="00E4265B">
        <w:rPr>
          <w:rFonts w:ascii="Arial" w:hAnsi="Arial" w:cs="Arial"/>
          <w:sz w:val="22"/>
          <w:szCs w:val="22"/>
          <w:lang w:val="en-GB"/>
        </w:rPr>
        <w:noBreakHyphen/>
        <w:t>convertible preference </w:t>
      </w:r>
      <w:r w:rsidR="00202EF6" w:rsidRPr="00E4265B">
        <w:rPr>
          <w:rFonts w:ascii="Arial" w:hAnsi="Arial" w:cs="Arial"/>
          <w:sz w:val="22"/>
          <w:szCs w:val="22"/>
          <w:lang w:val="en-GB"/>
        </w:rPr>
        <w:t>Share</w:t>
      </w:r>
      <w:r w:rsidRPr="00E4265B">
        <w:rPr>
          <w:rFonts w:ascii="Arial" w:hAnsi="Arial" w:cs="Arial"/>
          <w:sz w:val="22"/>
          <w:szCs w:val="22"/>
          <w:lang w:val="en-GB"/>
        </w:rPr>
        <w:t>s;</w:t>
      </w:r>
    </w:p>
    <w:p w14:paraId="0AEA693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r>
      <w:r w:rsidR="00E911B6" w:rsidRPr="00E4265B">
        <w:rPr>
          <w:rFonts w:ascii="Arial" w:hAnsi="Arial" w:cs="Arial"/>
          <w:sz w:val="22"/>
          <w:szCs w:val="22"/>
          <w:lang w:val="en-GB"/>
        </w:rPr>
        <w:t>F</w:t>
      </w:r>
      <w:r w:rsidRPr="00E4265B">
        <w:rPr>
          <w:rFonts w:ascii="Arial" w:hAnsi="Arial" w:cs="Arial"/>
          <w:sz w:val="22"/>
          <w:szCs w:val="22"/>
          <w:lang w:val="en-GB"/>
        </w:rPr>
        <w:t>utures or forwards on a debt security or on interest rates;</w:t>
      </w:r>
    </w:p>
    <w:p w14:paraId="5DD2A0F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swaps (or contracts for differences) whose value is based on interest rates; </w:t>
      </w:r>
    </w:p>
    <w:p w14:paraId="747622F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the cash leg of a repurchase or a reverse repurchase agreement;</w:t>
      </w:r>
    </w:p>
    <w:p w14:paraId="7327FB2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forward foreign </w:t>
      </w:r>
      <w:r w:rsidR="00E911B6" w:rsidRPr="00E4265B">
        <w:rPr>
          <w:rFonts w:ascii="Arial" w:hAnsi="Arial" w:cs="Arial"/>
          <w:sz w:val="22"/>
          <w:szCs w:val="22"/>
          <w:lang w:val="en-GB"/>
        </w:rPr>
        <w:t>exchange contracts or currency F</w:t>
      </w:r>
      <w:r w:rsidRPr="00E4265B">
        <w:rPr>
          <w:rFonts w:ascii="Arial" w:hAnsi="Arial" w:cs="Arial"/>
          <w:sz w:val="22"/>
          <w:szCs w:val="22"/>
          <w:lang w:val="en-GB"/>
        </w:rPr>
        <w:t>utures;</w:t>
      </w:r>
    </w:p>
    <w:p w14:paraId="5FDBD60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interest rate legs of equity swaps;</w:t>
      </w:r>
    </w:p>
    <w:p w14:paraId="0FAE749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(g</w:t>
      </w:r>
      <w:r w:rsidR="00E911B6" w:rsidRPr="00E4265B">
        <w:rPr>
          <w:rFonts w:ascii="Arial" w:hAnsi="Arial" w:cs="Arial"/>
          <w:sz w:val="22"/>
          <w:szCs w:val="22"/>
          <w:lang w:val="en-GB"/>
        </w:rPr>
        <w:t>)</w:t>
      </w:r>
      <w:r w:rsidR="00E911B6" w:rsidRPr="00E4265B">
        <w:rPr>
          <w:rFonts w:ascii="Arial" w:hAnsi="Arial" w:cs="Arial"/>
          <w:sz w:val="22"/>
          <w:szCs w:val="22"/>
          <w:lang w:val="en-GB"/>
        </w:rPr>
        <w:tab/>
        <w:t>interest rate legs of equity F</w:t>
      </w:r>
      <w:r w:rsidRPr="00E4265B">
        <w:rPr>
          <w:rFonts w:ascii="Arial" w:hAnsi="Arial" w:cs="Arial"/>
          <w:sz w:val="22"/>
          <w:szCs w:val="22"/>
          <w:lang w:val="en-GB"/>
        </w:rPr>
        <w:t>utures or forwards; and</w:t>
      </w:r>
    </w:p>
    <w:p w14:paraId="32BB27C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(h)</w:t>
      </w:r>
      <w:r w:rsidRPr="00E4265B">
        <w:rPr>
          <w:rFonts w:ascii="Arial" w:hAnsi="Arial" w:cs="Arial"/>
          <w:sz w:val="22"/>
          <w:szCs w:val="22"/>
          <w:lang w:val="en-GB"/>
        </w:rPr>
        <w:tab/>
        <w:t xml:space="preserve">interest rate legs of equity based </w:t>
      </w:r>
      <w:r w:rsidR="00BC49E0" w:rsidRPr="00E4265B">
        <w:rPr>
          <w:rFonts w:ascii="Arial" w:hAnsi="Arial" w:cs="Arial"/>
          <w:sz w:val="22"/>
          <w:szCs w:val="22"/>
          <w:lang w:val="en-GB"/>
        </w:rPr>
        <w:t>Option</w:t>
      </w:r>
      <w:r w:rsidRPr="00E4265B">
        <w:rPr>
          <w:rFonts w:ascii="Arial" w:hAnsi="Arial" w:cs="Arial"/>
          <w:sz w:val="22"/>
          <w:szCs w:val="22"/>
          <w:lang w:val="en-GB"/>
        </w:rPr>
        <w:t>s treated under internal models in Section 5.3.</w:t>
      </w:r>
    </w:p>
    <w:p w14:paraId="50F21193" w14:textId="77777777" w:rsidR="00E22FF2" w:rsidRPr="00E4265B" w:rsidRDefault="00E22FF2" w:rsidP="00C530BC">
      <w:pPr>
        <w:pStyle w:val="1List"/>
        <w:keepNext/>
        <w:rPr>
          <w:rFonts w:ascii="Arial" w:hAnsi="Arial" w:cs="Arial"/>
          <w:sz w:val="22"/>
          <w:szCs w:val="22"/>
          <w:lang w:val="en-GB"/>
        </w:rPr>
      </w:pPr>
      <w:r w:rsidRPr="00E4265B">
        <w:rPr>
          <w:rFonts w:ascii="Arial" w:hAnsi="Arial" w:cs="Arial"/>
          <w:b/>
          <w:bCs/>
          <w:sz w:val="22"/>
          <w:szCs w:val="22"/>
          <w:lang w:val="en-GB"/>
        </w:rPr>
        <w:t>Guidance</w:t>
      </w:r>
    </w:p>
    <w:p w14:paraId="71992026" w14:textId="797D4663" w:rsidR="00E22FF2" w:rsidRPr="00E4265B" w:rsidRDefault="00E22FF2" w:rsidP="006A3399">
      <w:pPr>
        <w:pStyle w:val="UK12Block05"/>
        <w:rPr>
          <w:rFonts w:ascii="Arial" w:hAnsi="Arial" w:cs="Arial"/>
          <w:sz w:val="22"/>
          <w:szCs w:val="22"/>
          <w:lang w:val="en-GB"/>
        </w:rPr>
      </w:pPr>
      <w:r w:rsidRPr="00E4265B">
        <w:rPr>
          <w:rFonts w:ascii="Arial" w:hAnsi="Arial" w:cs="Arial"/>
          <w:sz w:val="22"/>
          <w:szCs w:val="22"/>
          <w:lang w:val="en-GB"/>
        </w:rPr>
        <w:t xml:space="preserve">Where these positions will require the derivation of notional positions before they can be included in the calculation of Specific Risk and General Market Risk requirements,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t>
      </w:r>
      <w:r w:rsidR="006A3399" w:rsidRPr="00E4265B">
        <w:rPr>
          <w:rFonts w:ascii="Arial" w:hAnsi="Arial" w:cs="Arial"/>
          <w:sz w:val="22"/>
          <w:szCs w:val="22"/>
          <w:lang w:val="en-GB"/>
        </w:rPr>
        <w:t>must</w:t>
      </w:r>
      <w:r w:rsidRPr="00E4265B">
        <w:rPr>
          <w:rFonts w:ascii="Arial" w:hAnsi="Arial" w:cs="Arial"/>
          <w:sz w:val="22"/>
          <w:szCs w:val="22"/>
          <w:lang w:val="en-GB"/>
        </w:rPr>
        <w:t xml:space="preserve"> derive the notional positions in accordance with Rules A</w:t>
      </w:r>
      <w:r w:rsidR="00C530BC" w:rsidRPr="00E4265B">
        <w:rPr>
          <w:rFonts w:ascii="Arial" w:hAnsi="Arial" w:cs="Arial"/>
          <w:sz w:val="22"/>
          <w:szCs w:val="22"/>
          <w:lang w:val="en-GB"/>
        </w:rPr>
        <w:t>6</w:t>
      </w:r>
      <w:r w:rsidRPr="00E4265B">
        <w:rPr>
          <w:rFonts w:ascii="Arial" w:hAnsi="Arial" w:cs="Arial"/>
          <w:sz w:val="22"/>
          <w:szCs w:val="22"/>
          <w:lang w:val="en-GB"/>
        </w:rPr>
        <w:t>.2.5 to A</w:t>
      </w:r>
      <w:r w:rsidR="00C530BC" w:rsidRPr="00E4265B">
        <w:rPr>
          <w:rFonts w:ascii="Arial" w:hAnsi="Arial" w:cs="Arial"/>
          <w:sz w:val="22"/>
          <w:szCs w:val="22"/>
          <w:lang w:val="en-GB"/>
        </w:rPr>
        <w:t>6</w:t>
      </w:r>
      <w:r w:rsidRPr="00E4265B">
        <w:rPr>
          <w:rFonts w:ascii="Arial" w:hAnsi="Arial" w:cs="Arial"/>
          <w:sz w:val="22"/>
          <w:szCs w:val="22"/>
          <w:lang w:val="en-GB"/>
        </w:rPr>
        <w:t>.2.12.</w:t>
      </w:r>
    </w:p>
    <w:p w14:paraId="1A73334A" w14:textId="77777777" w:rsidR="00E22FF2" w:rsidRPr="00E4265B" w:rsidRDefault="00E22FF2" w:rsidP="00C17185">
      <w:pPr>
        <w:pStyle w:val="List2TabStops"/>
        <w:rPr>
          <w:rFonts w:ascii="Arial" w:hAnsi="Arial" w:cs="Arial"/>
          <w:sz w:val="22"/>
          <w:szCs w:val="22"/>
          <w:lang w:val="en-GB"/>
        </w:rPr>
      </w:pPr>
      <w:r w:rsidRPr="00E4265B">
        <w:rPr>
          <w:rFonts w:ascii="Arial" w:hAnsi="Arial" w:cs="Arial"/>
          <w:b/>
          <w:bCs/>
          <w:sz w:val="22"/>
          <w:szCs w:val="22"/>
          <w:lang w:val="en-GB"/>
        </w:rPr>
        <w:t>A</w:t>
      </w:r>
      <w:r w:rsidR="00C530BC" w:rsidRPr="00E4265B">
        <w:rPr>
          <w:rFonts w:ascii="Arial" w:hAnsi="Arial" w:cs="Arial"/>
          <w:b/>
          <w:bCs/>
          <w:sz w:val="22"/>
          <w:szCs w:val="22"/>
          <w:lang w:val="en-GB"/>
        </w:rPr>
        <w:t>6</w:t>
      </w:r>
      <w:r w:rsidRPr="00E4265B">
        <w:rPr>
          <w:rFonts w:ascii="Arial" w:hAnsi="Arial" w:cs="Arial"/>
          <w:b/>
          <w:bCs/>
          <w:sz w:val="22"/>
          <w:szCs w:val="22"/>
          <w:lang w:val="en-GB"/>
        </w:rPr>
        <w:t>.2.4</w:t>
      </w:r>
      <w:r w:rsidRPr="00E4265B">
        <w:rPr>
          <w:rFonts w:ascii="Arial" w:hAnsi="Arial" w:cs="Arial"/>
          <w:sz w:val="22"/>
          <w:szCs w:val="22"/>
          <w:lang w:val="en-GB"/>
        </w:rPr>
        <w:tab/>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net, by value, long and short positions in the same debt instrument in its Trading Book to generate the individual net position in that instrument.</w:t>
      </w:r>
    </w:p>
    <w:p w14:paraId="50835D7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Instruments are considered to be the same for the purposes of (1) where:</w:t>
      </w:r>
    </w:p>
    <w:p w14:paraId="5AA6B324"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w:t>
      </w:r>
      <w:r w:rsidR="00B830F4" w:rsidRPr="00E4265B">
        <w:rPr>
          <w:rFonts w:ascii="Arial" w:hAnsi="Arial" w:cs="Arial"/>
          <w:sz w:val="22"/>
          <w:szCs w:val="22"/>
          <w:lang w:val="en-GB"/>
        </w:rPr>
        <w:t>Issuer</w:t>
      </w:r>
      <w:r w:rsidRPr="00E4265B">
        <w:rPr>
          <w:rFonts w:ascii="Arial" w:hAnsi="Arial" w:cs="Arial"/>
          <w:sz w:val="22"/>
          <w:szCs w:val="22"/>
          <w:lang w:val="en-GB"/>
        </w:rPr>
        <w:t xml:space="preserve"> is the same;</w:t>
      </w:r>
    </w:p>
    <w:p w14:paraId="48335C65"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instruments have equivalent standing in liquidation; and</w:t>
      </w:r>
    </w:p>
    <w:p w14:paraId="756C733E"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currency, coupon and maturity are the same.</w:t>
      </w:r>
    </w:p>
    <w:p w14:paraId="5C8E0895" w14:textId="77777777" w:rsidR="00E22FF2" w:rsidRPr="00E4265B" w:rsidRDefault="00E22FF2" w:rsidP="00C17185">
      <w:pPr>
        <w:pStyle w:val="TitleL5"/>
        <w:rPr>
          <w:rFonts w:ascii="Arial" w:hAnsi="Arial" w:cs="Arial"/>
          <w:sz w:val="22"/>
          <w:szCs w:val="22"/>
          <w:lang w:val="en-GB"/>
        </w:rPr>
      </w:pPr>
      <w:r w:rsidRPr="00E4265B">
        <w:rPr>
          <w:rFonts w:ascii="Arial" w:hAnsi="Arial" w:cs="Arial"/>
          <w:sz w:val="22"/>
          <w:szCs w:val="22"/>
          <w:lang w:val="en-GB"/>
        </w:rPr>
        <w:t xml:space="preserve">Derivation of notional positions for certain instruments (including interest rate </w:t>
      </w:r>
      <w:r w:rsidR="005F3B3B" w:rsidRPr="00E4265B">
        <w:rPr>
          <w:rFonts w:ascii="Arial" w:hAnsi="Arial" w:cs="Arial"/>
          <w:sz w:val="22"/>
          <w:szCs w:val="22"/>
          <w:lang w:val="en-GB"/>
        </w:rPr>
        <w:t>Derivative</w:t>
      </w:r>
      <w:r w:rsidRPr="00E4265B">
        <w:rPr>
          <w:rFonts w:ascii="Arial" w:hAnsi="Arial" w:cs="Arial"/>
          <w:sz w:val="22"/>
          <w:szCs w:val="22"/>
          <w:lang w:val="en-GB"/>
        </w:rPr>
        <w:t>s)</w:t>
      </w:r>
    </w:p>
    <w:p w14:paraId="4FEC2E18" w14:textId="77777777" w:rsidR="00E22FF2" w:rsidRPr="00E4265B" w:rsidRDefault="00E22FF2" w:rsidP="00C17185">
      <w:pPr>
        <w:pStyle w:val="List2TabStops"/>
        <w:rPr>
          <w:rFonts w:ascii="Arial" w:hAnsi="Arial" w:cs="Arial"/>
          <w:sz w:val="22"/>
          <w:szCs w:val="22"/>
          <w:lang w:val="en-GB"/>
        </w:rPr>
      </w:pPr>
      <w:r w:rsidRPr="00E4265B">
        <w:rPr>
          <w:rFonts w:ascii="Arial" w:hAnsi="Arial" w:cs="Arial"/>
          <w:b/>
          <w:bCs/>
          <w:sz w:val="22"/>
          <w:szCs w:val="22"/>
          <w:lang w:val="en-GB"/>
        </w:rPr>
        <w:t>A</w:t>
      </w:r>
      <w:r w:rsidR="00C530BC" w:rsidRPr="00E4265B">
        <w:rPr>
          <w:rFonts w:ascii="Arial" w:hAnsi="Arial" w:cs="Arial"/>
          <w:b/>
          <w:bCs/>
          <w:sz w:val="22"/>
          <w:szCs w:val="22"/>
          <w:lang w:val="en-GB"/>
        </w:rPr>
        <w:t>6</w:t>
      </w:r>
      <w:r w:rsidRPr="00E4265B">
        <w:rPr>
          <w:rFonts w:ascii="Arial" w:hAnsi="Arial" w:cs="Arial"/>
          <w:b/>
          <w:bCs/>
          <w:sz w:val="22"/>
          <w:szCs w:val="22"/>
          <w:lang w:val="en-GB"/>
        </w:rPr>
        <w:t>.2.5</w:t>
      </w:r>
      <w:r w:rsidRPr="00E4265B">
        <w:rPr>
          <w:rFonts w:ascii="Arial" w:hAnsi="Arial" w:cs="Arial"/>
          <w:sz w:val="22"/>
          <w:szCs w:val="22"/>
          <w:lang w:val="en-GB"/>
        </w:rPr>
        <w:tab/>
        <w:t>(1)</w:t>
      </w:r>
      <w:r w:rsidRPr="00E4265B">
        <w:rPr>
          <w:rFonts w:ascii="Arial" w:hAnsi="Arial" w:cs="Arial"/>
          <w:sz w:val="22"/>
          <w:szCs w:val="22"/>
          <w:lang w:val="en-GB"/>
        </w:rPr>
        <w:tab/>
        <w:t xml:space="preserve">The interest rate risk measurement must include all interest rate </w:t>
      </w:r>
      <w:r w:rsidR="005F3B3B" w:rsidRPr="00E4265B">
        <w:rPr>
          <w:rFonts w:ascii="Arial" w:hAnsi="Arial" w:cs="Arial"/>
          <w:sz w:val="22"/>
          <w:szCs w:val="22"/>
          <w:lang w:val="en-GB"/>
        </w:rPr>
        <w:t>Derivative</w:t>
      </w:r>
      <w:r w:rsidRPr="00E4265B">
        <w:rPr>
          <w:rFonts w:ascii="Arial" w:hAnsi="Arial" w:cs="Arial"/>
          <w:sz w:val="22"/>
          <w:szCs w:val="22"/>
          <w:lang w:val="en-GB"/>
        </w:rPr>
        <w:t>s and off</w:t>
      </w:r>
      <w:r w:rsidRPr="00E4265B">
        <w:rPr>
          <w:rFonts w:ascii="Arial" w:hAnsi="Arial" w:cs="Arial"/>
          <w:sz w:val="22"/>
          <w:szCs w:val="22"/>
          <w:lang w:val="en-GB"/>
        </w:rPr>
        <w:noBreakHyphen/>
        <w:t>balance sheet instruments in the Trading Book that react to changes in interest rates, including forward rate agreements other forward co</w:t>
      </w:r>
      <w:r w:rsidR="00E911B6" w:rsidRPr="00E4265B">
        <w:rPr>
          <w:rFonts w:ascii="Arial" w:hAnsi="Arial" w:cs="Arial"/>
          <w:sz w:val="22"/>
          <w:szCs w:val="22"/>
          <w:lang w:val="en-GB"/>
        </w:rPr>
        <w:t>ntracts, F</w:t>
      </w:r>
      <w:r w:rsidRPr="00E4265B">
        <w:rPr>
          <w:rFonts w:ascii="Arial" w:hAnsi="Arial" w:cs="Arial"/>
          <w:sz w:val="22"/>
          <w:szCs w:val="22"/>
          <w:lang w:val="en-GB"/>
        </w:rPr>
        <w:t>utures, interest rate and cross</w:t>
      </w:r>
      <w:r w:rsidRPr="00E4265B">
        <w:rPr>
          <w:rFonts w:ascii="Arial" w:hAnsi="Arial" w:cs="Arial"/>
          <w:sz w:val="22"/>
          <w:szCs w:val="22"/>
          <w:lang w:val="en-GB"/>
        </w:rPr>
        <w:noBreakHyphen/>
        <w:t>currency swaps and forward foreign exchange positions.</w:t>
      </w:r>
    </w:p>
    <w:p w14:paraId="32B13320"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(2)</w:t>
      </w:r>
      <w:r w:rsidRPr="00E4265B">
        <w:rPr>
          <w:rFonts w:ascii="Arial" w:hAnsi="Arial" w:cs="Arial"/>
          <w:sz w:val="22"/>
          <w:szCs w:val="22"/>
          <w:lang w:val="en-GB"/>
        </w:rPr>
        <w:tab/>
        <w:t>Derivatives must be converted into positions in the relevant underlying instruments and are subject to Specific and General Market Risk requirements set out in Rules A</w:t>
      </w:r>
      <w:r w:rsidR="00C530BC" w:rsidRPr="00E4265B">
        <w:rPr>
          <w:rFonts w:ascii="Arial" w:hAnsi="Arial" w:cs="Arial"/>
          <w:sz w:val="22"/>
          <w:szCs w:val="22"/>
          <w:lang w:val="en-GB"/>
        </w:rPr>
        <w:t>6</w:t>
      </w:r>
      <w:r w:rsidRPr="00E4265B">
        <w:rPr>
          <w:rFonts w:ascii="Arial" w:hAnsi="Arial" w:cs="Arial"/>
          <w:sz w:val="22"/>
          <w:szCs w:val="22"/>
          <w:lang w:val="en-GB"/>
        </w:rPr>
        <w:t>.2.13 and A</w:t>
      </w:r>
      <w:r w:rsidR="00C530BC" w:rsidRPr="00E4265B">
        <w:rPr>
          <w:rFonts w:ascii="Arial" w:hAnsi="Arial" w:cs="Arial"/>
          <w:sz w:val="22"/>
          <w:szCs w:val="22"/>
          <w:lang w:val="en-GB"/>
        </w:rPr>
        <w:t>6</w:t>
      </w:r>
      <w:r w:rsidRPr="00E4265B">
        <w:rPr>
          <w:rFonts w:ascii="Arial" w:hAnsi="Arial" w:cs="Arial"/>
          <w:sz w:val="22"/>
          <w:szCs w:val="22"/>
          <w:lang w:val="en-GB"/>
        </w:rPr>
        <w:t>.2.15. The amounts used in the calculation must be the market values of the principal amount of the underlying instrument or of the notional underlying instrument.</w:t>
      </w:r>
    </w:p>
    <w:p w14:paraId="53031563"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The manner in which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derive a notional position (in the currency concerned) for certain instruments (including interest rate </w:t>
      </w:r>
      <w:r w:rsidR="005F3B3B" w:rsidRPr="00E4265B">
        <w:rPr>
          <w:rFonts w:ascii="Arial" w:hAnsi="Arial" w:cs="Arial"/>
          <w:sz w:val="22"/>
          <w:szCs w:val="22"/>
          <w:lang w:val="en-GB"/>
        </w:rPr>
        <w:t>Derivative</w:t>
      </w:r>
      <w:r w:rsidRPr="00E4265B">
        <w:rPr>
          <w:rFonts w:ascii="Arial" w:hAnsi="Arial" w:cs="Arial"/>
          <w:sz w:val="22"/>
          <w:szCs w:val="22"/>
          <w:lang w:val="en-GB"/>
        </w:rPr>
        <w:t>s) is set out in Rules A</w:t>
      </w:r>
      <w:r w:rsidR="00C530BC" w:rsidRPr="00E4265B">
        <w:rPr>
          <w:rFonts w:ascii="Arial" w:hAnsi="Arial" w:cs="Arial"/>
          <w:sz w:val="22"/>
          <w:szCs w:val="22"/>
          <w:lang w:val="en-GB"/>
        </w:rPr>
        <w:t>6</w:t>
      </w:r>
      <w:r w:rsidRPr="00E4265B">
        <w:rPr>
          <w:rFonts w:ascii="Arial" w:hAnsi="Arial" w:cs="Arial"/>
          <w:sz w:val="22"/>
          <w:szCs w:val="22"/>
          <w:lang w:val="en-GB"/>
        </w:rPr>
        <w:t>.2.6 to A</w:t>
      </w:r>
      <w:r w:rsidR="00C530BC" w:rsidRPr="00E4265B">
        <w:rPr>
          <w:rFonts w:ascii="Arial" w:hAnsi="Arial" w:cs="Arial"/>
          <w:sz w:val="22"/>
          <w:szCs w:val="22"/>
          <w:lang w:val="en-GB"/>
        </w:rPr>
        <w:t>6</w:t>
      </w:r>
      <w:r w:rsidRPr="00E4265B">
        <w:rPr>
          <w:rFonts w:ascii="Arial" w:hAnsi="Arial" w:cs="Arial"/>
          <w:sz w:val="22"/>
          <w:szCs w:val="22"/>
          <w:lang w:val="en-GB"/>
        </w:rPr>
        <w:t>.2.12.</w:t>
      </w:r>
    </w:p>
    <w:p w14:paraId="38584ABC" w14:textId="77777777" w:rsidR="00E22FF2" w:rsidRPr="00E4265B" w:rsidRDefault="00E22FF2" w:rsidP="00C17185">
      <w:pPr>
        <w:pStyle w:val="TitleL5"/>
        <w:rPr>
          <w:rFonts w:ascii="Arial" w:hAnsi="Arial" w:cs="Arial"/>
          <w:sz w:val="22"/>
          <w:szCs w:val="22"/>
          <w:lang w:val="en-GB"/>
        </w:rPr>
      </w:pPr>
      <w:r w:rsidRPr="00E4265B">
        <w:rPr>
          <w:rFonts w:ascii="Arial" w:hAnsi="Arial" w:cs="Arial"/>
          <w:sz w:val="22"/>
          <w:szCs w:val="22"/>
          <w:lang w:val="en-GB"/>
        </w:rPr>
        <w:t>Futures on interest rates and forward rate agreements</w:t>
      </w:r>
      <w:r w:rsidR="00407037" w:rsidRPr="00E4265B">
        <w:rPr>
          <w:rFonts w:ascii="Arial" w:hAnsi="Arial" w:cs="Arial"/>
          <w:sz w:val="22"/>
          <w:szCs w:val="22"/>
          <w:lang w:val="en-GB"/>
        </w:rPr>
        <w:t xml:space="preserve"> </w:t>
      </w:r>
    </w:p>
    <w:p w14:paraId="2E37EAFC"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C530BC" w:rsidRPr="00E4265B">
        <w:rPr>
          <w:rFonts w:ascii="Arial" w:hAnsi="Arial" w:cs="Arial"/>
          <w:b/>
          <w:bCs/>
          <w:sz w:val="22"/>
          <w:szCs w:val="22"/>
          <w:lang w:val="en-GB"/>
        </w:rPr>
        <w:t>6</w:t>
      </w:r>
      <w:r w:rsidRPr="00E4265B">
        <w:rPr>
          <w:rFonts w:ascii="Arial" w:hAnsi="Arial" w:cs="Arial"/>
          <w:b/>
          <w:bCs/>
          <w:sz w:val="22"/>
          <w:szCs w:val="22"/>
          <w:lang w:val="en-GB"/>
        </w:rPr>
        <w:t>.2.6</w:t>
      </w:r>
      <w:r w:rsidRPr="00E4265B">
        <w:rPr>
          <w:rFonts w:ascii="Arial" w:hAnsi="Arial" w:cs="Arial"/>
          <w:b/>
          <w:bCs/>
          <w:sz w:val="22"/>
          <w:szCs w:val="22"/>
          <w:lang w:val="en-GB"/>
        </w:rPr>
        <w:tab/>
      </w:r>
      <w:r w:rsidR="00E911B6" w:rsidRPr="00E4265B">
        <w:rPr>
          <w:rFonts w:ascii="Arial" w:hAnsi="Arial" w:cs="Arial"/>
          <w:sz w:val="22"/>
          <w:szCs w:val="22"/>
          <w:lang w:val="en-GB"/>
        </w:rPr>
        <w:t>A F</w:t>
      </w:r>
      <w:r w:rsidRPr="00E4265B">
        <w:rPr>
          <w:rFonts w:ascii="Arial" w:hAnsi="Arial" w:cs="Arial"/>
          <w:sz w:val="22"/>
          <w:szCs w:val="22"/>
          <w:lang w:val="en-GB"/>
        </w:rPr>
        <w:t xml:space="preserve">uture on an interest rate and a forward rate agreement must be treated as two notional zero coupon government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as follows:</w:t>
      </w:r>
    </w:p>
    <w:p w14:paraId="323E937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where an </w:t>
      </w:r>
      <w:r w:rsidR="000D1A90" w:rsidRPr="00E4265B">
        <w:rPr>
          <w:rFonts w:ascii="Arial" w:hAnsi="Arial" w:cs="Arial"/>
          <w:sz w:val="22"/>
          <w:szCs w:val="22"/>
          <w:lang w:val="en-GB"/>
        </w:rPr>
        <w:t>Authorised Person</w:t>
      </w:r>
      <w:r w:rsidR="00E911B6" w:rsidRPr="00E4265B">
        <w:rPr>
          <w:rFonts w:ascii="Arial" w:hAnsi="Arial" w:cs="Arial"/>
          <w:sz w:val="22"/>
          <w:szCs w:val="22"/>
          <w:lang w:val="en-GB"/>
        </w:rPr>
        <w:t xml:space="preserve"> sells an interest rate F</w:t>
      </w:r>
      <w:r w:rsidRPr="00E4265B">
        <w:rPr>
          <w:rFonts w:ascii="Arial" w:hAnsi="Arial" w:cs="Arial"/>
          <w:sz w:val="22"/>
          <w:szCs w:val="22"/>
          <w:lang w:val="en-GB"/>
        </w:rPr>
        <w:t>uture or buys a forward rate agreement:</w:t>
      </w:r>
    </w:p>
    <w:p w14:paraId="25AC5F34"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 notional short position has a maturity equal to the time to ex</w:t>
      </w:r>
      <w:r w:rsidR="00E911B6" w:rsidRPr="00E4265B">
        <w:rPr>
          <w:rFonts w:ascii="Arial" w:hAnsi="Arial" w:cs="Arial"/>
          <w:sz w:val="22"/>
          <w:szCs w:val="22"/>
          <w:lang w:val="en-GB"/>
        </w:rPr>
        <w:t>piry of the F</w:t>
      </w:r>
      <w:r w:rsidRPr="00E4265B">
        <w:rPr>
          <w:rFonts w:ascii="Arial" w:hAnsi="Arial" w:cs="Arial"/>
          <w:sz w:val="22"/>
          <w:szCs w:val="22"/>
          <w:lang w:val="en-GB"/>
        </w:rPr>
        <w:t>uture (or the settlement date of the forward rate agreements) plus the maturity of the borrowing period; and</w:t>
      </w:r>
    </w:p>
    <w:p w14:paraId="60CD03FD"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the notional long position has a maturity equa</w:t>
      </w:r>
      <w:r w:rsidR="00E911B6" w:rsidRPr="00E4265B">
        <w:rPr>
          <w:rFonts w:ascii="Arial" w:hAnsi="Arial" w:cs="Arial"/>
          <w:sz w:val="22"/>
          <w:szCs w:val="22"/>
          <w:lang w:val="en-GB"/>
        </w:rPr>
        <w:t>l to the time to expiry of the F</w:t>
      </w:r>
      <w:r w:rsidRPr="00E4265B">
        <w:rPr>
          <w:rFonts w:ascii="Arial" w:hAnsi="Arial" w:cs="Arial"/>
          <w:sz w:val="22"/>
          <w:szCs w:val="22"/>
          <w:lang w:val="en-GB"/>
        </w:rPr>
        <w:t>uture (or the settlement date of the forward rate agreement); and</w:t>
      </w:r>
    </w:p>
    <w:p w14:paraId="341EE04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buys an interest rate </w:t>
      </w:r>
      <w:r w:rsidR="00E911B6" w:rsidRPr="00E4265B">
        <w:rPr>
          <w:rFonts w:ascii="Arial" w:hAnsi="Arial" w:cs="Arial"/>
          <w:sz w:val="22"/>
          <w:szCs w:val="22"/>
          <w:lang w:val="en-GB"/>
        </w:rPr>
        <w:t>F</w:t>
      </w:r>
      <w:r w:rsidRPr="00E4265B">
        <w:rPr>
          <w:rFonts w:ascii="Arial" w:hAnsi="Arial" w:cs="Arial"/>
          <w:sz w:val="22"/>
          <w:szCs w:val="22"/>
          <w:lang w:val="en-GB"/>
        </w:rPr>
        <w:t>uture or sells a forward rate agreement:</w:t>
      </w:r>
    </w:p>
    <w:p w14:paraId="1F8F7FDB"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 notional short position has a maturity equa</w:t>
      </w:r>
      <w:r w:rsidR="00E911B6" w:rsidRPr="00E4265B">
        <w:rPr>
          <w:rFonts w:ascii="Arial" w:hAnsi="Arial" w:cs="Arial"/>
          <w:sz w:val="22"/>
          <w:szCs w:val="22"/>
          <w:lang w:val="en-GB"/>
        </w:rPr>
        <w:t>l to the time to expiry of the F</w:t>
      </w:r>
      <w:r w:rsidRPr="00E4265B">
        <w:rPr>
          <w:rFonts w:ascii="Arial" w:hAnsi="Arial" w:cs="Arial"/>
          <w:sz w:val="22"/>
          <w:szCs w:val="22"/>
          <w:lang w:val="en-GB"/>
        </w:rPr>
        <w:t>uture (or the settlement date of the forward rate agreement); and</w:t>
      </w:r>
    </w:p>
    <w:p w14:paraId="5F28A988"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the notional long position has a maturity equa</w:t>
      </w:r>
      <w:r w:rsidR="00E911B6" w:rsidRPr="00E4265B">
        <w:rPr>
          <w:rFonts w:ascii="Arial" w:hAnsi="Arial" w:cs="Arial"/>
          <w:sz w:val="22"/>
          <w:szCs w:val="22"/>
          <w:lang w:val="en-GB"/>
        </w:rPr>
        <w:t>l to the time to expiry of the Fu</w:t>
      </w:r>
      <w:r w:rsidRPr="00E4265B">
        <w:rPr>
          <w:rFonts w:ascii="Arial" w:hAnsi="Arial" w:cs="Arial"/>
          <w:sz w:val="22"/>
          <w:szCs w:val="22"/>
          <w:lang w:val="en-GB"/>
        </w:rPr>
        <w:t xml:space="preserve">ture (or the settlement date of the forward rate agreement) plus the maturity of the </w:t>
      </w:r>
      <w:r w:rsidR="006C764B" w:rsidRPr="00E4265B">
        <w:rPr>
          <w:rFonts w:ascii="Arial" w:hAnsi="Arial" w:cs="Arial"/>
          <w:sz w:val="22"/>
          <w:szCs w:val="22"/>
          <w:lang w:val="en-GB"/>
        </w:rPr>
        <w:t>Deposit</w:t>
      </w:r>
      <w:r w:rsidRPr="00E4265B">
        <w:rPr>
          <w:rFonts w:ascii="Arial" w:hAnsi="Arial" w:cs="Arial"/>
          <w:sz w:val="22"/>
          <w:szCs w:val="22"/>
          <w:lang w:val="en-GB"/>
        </w:rPr>
        <w:t xml:space="preserve"> period.</w:t>
      </w:r>
    </w:p>
    <w:p w14:paraId="35FCB05B" w14:textId="77777777" w:rsidR="00E22FF2" w:rsidRPr="00E4265B" w:rsidRDefault="00E22FF2" w:rsidP="00C17185">
      <w:pPr>
        <w:pStyle w:val="TitleL5"/>
        <w:rPr>
          <w:rFonts w:ascii="Arial" w:hAnsi="Arial" w:cs="Arial"/>
          <w:sz w:val="22"/>
          <w:szCs w:val="22"/>
          <w:lang w:val="en-GB"/>
        </w:rPr>
      </w:pPr>
      <w:r w:rsidRPr="00E4265B">
        <w:rPr>
          <w:rFonts w:ascii="Arial" w:hAnsi="Arial" w:cs="Arial"/>
          <w:sz w:val="22"/>
          <w:szCs w:val="22"/>
          <w:lang w:val="en-GB"/>
        </w:rPr>
        <w:t>Futures and forwards on a single debt security</w:t>
      </w:r>
    </w:p>
    <w:p w14:paraId="3A0666C1" w14:textId="77777777" w:rsidR="00E22FF2" w:rsidRPr="00E4265B" w:rsidRDefault="00E22FF2" w:rsidP="00C17185">
      <w:pPr>
        <w:pStyle w:val="A1List"/>
        <w:rPr>
          <w:rFonts w:ascii="Arial" w:hAnsi="Arial" w:cs="Arial"/>
          <w:sz w:val="22"/>
          <w:szCs w:val="22"/>
          <w:lang w:val="en-GB"/>
        </w:rPr>
      </w:pPr>
      <w:r w:rsidRPr="00E4265B">
        <w:rPr>
          <w:rFonts w:ascii="Arial" w:hAnsi="Arial" w:cs="Arial"/>
          <w:b/>
          <w:bCs/>
          <w:sz w:val="22"/>
          <w:szCs w:val="22"/>
          <w:lang w:val="en-GB"/>
        </w:rPr>
        <w:t>A</w:t>
      </w:r>
      <w:r w:rsidR="00B27B2E" w:rsidRPr="00E4265B">
        <w:rPr>
          <w:rFonts w:ascii="Arial" w:hAnsi="Arial" w:cs="Arial"/>
          <w:b/>
          <w:bCs/>
          <w:sz w:val="22"/>
          <w:szCs w:val="22"/>
          <w:lang w:val="en-GB"/>
        </w:rPr>
        <w:t>6</w:t>
      </w:r>
      <w:r w:rsidRPr="00E4265B">
        <w:rPr>
          <w:rFonts w:ascii="Arial" w:hAnsi="Arial" w:cs="Arial"/>
          <w:b/>
          <w:bCs/>
          <w:sz w:val="22"/>
          <w:szCs w:val="22"/>
          <w:lang w:val="en-GB"/>
        </w:rPr>
        <w:t>.2.7</w:t>
      </w:r>
      <w:r w:rsidR="00E911B6" w:rsidRPr="00E4265B">
        <w:rPr>
          <w:rFonts w:ascii="Arial" w:hAnsi="Arial" w:cs="Arial"/>
          <w:sz w:val="22"/>
          <w:szCs w:val="22"/>
          <w:lang w:val="en-GB"/>
        </w:rPr>
        <w:tab/>
        <w:t>A F</w:t>
      </w:r>
      <w:r w:rsidRPr="00E4265B">
        <w:rPr>
          <w:rFonts w:ascii="Arial" w:hAnsi="Arial" w:cs="Arial"/>
          <w:sz w:val="22"/>
          <w:szCs w:val="22"/>
          <w:lang w:val="en-GB"/>
        </w:rPr>
        <w:t xml:space="preserve">uture and a forward on a single debt </w:t>
      </w:r>
      <w:r w:rsidR="00877CEA" w:rsidRPr="00E4265B">
        <w:rPr>
          <w:rFonts w:ascii="Arial" w:hAnsi="Arial" w:cs="Arial"/>
          <w:sz w:val="22"/>
          <w:szCs w:val="22"/>
          <w:lang w:val="en-GB"/>
        </w:rPr>
        <w:t>Security</w:t>
      </w:r>
      <w:r w:rsidRPr="00E4265B">
        <w:rPr>
          <w:rFonts w:ascii="Arial" w:hAnsi="Arial" w:cs="Arial"/>
          <w:sz w:val="22"/>
          <w:szCs w:val="22"/>
          <w:lang w:val="en-GB"/>
        </w:rPr>
        <w:t xml:space="preserve"> must be treated as a notional debt a notional zero coupon government </w:t>
      </w:r>
      <w:r w:rsidR="00877CEA" w:rsidRPr="00E4265B">
        <w:rPr>
          <w:rFonts w:ascii="Arial" w:hAnsi="Arial" w:cs="Arial"/>
          <w:sz w:val="22"/>
          <w:szCs w:val="22"/>
          <w:lang w:val="en-GB"/>
        </w:rPr>
        <w:t>Security</w:t>
      </w:r>
      <w:r w:rsidRPr="00E4265B">
        <w:rPr>
          <w:rFonts w:ascii="Arial" w:hAnsi="Arial" w:cs="Arial"/>
          <w:sz w:val="22"/>
          <w:szCs w:val="22"/>
          <w:lang w:val="en-GB"/>
        </w:rPr>
        <w:t xml:space="preserve"> as follows:</w:t>
      </w:r>
    </w:p>
    <w:p w14:paraId="22A0CFD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where an </w:t>
      </w:r>
      <w:r w:rsidR="000D1A90" w:rsidRPr="00E4265B">
        <w:rPr>
          <w:rFonts w:ascii="Arial" w:hAnsi="Arial" w:cs="Arial"/>
          <w:sz w:val="22"/>
          <w:szCs w:val="22"/>
          <w:lang w:val="en-GB"/>
        </w:rPr>
        <w:t>Authorised Person</w:t>
      </w:r>
      <w:r w:rsidR="00E911B6" w:rsidRPr="00E4265B">
        <w:rPr>
          <w:rFonts w:ascii="Arial" w:hAnsi="Arial" w:cs="Arial"/>
          <w:sz w:val="22"/>
          <w:szCs w:val="22"/>
          <w:lang w:val="en-GB"/>
        </w:rPr>
        <w:t xml:space="preserve"> has bought the F</w:t>
      </w:r>
      <w:r w:rsidRPr="00E4265B">
        <w:rPr>
          <w:rFonts w:ascii="Arial" w:hAnsi="Arial" w:cs="Arial"/>
          <w:sz w:val="22"/>
          <w:szCs w:val="22"/>
          <w:lang w:val="en-GB"/>
        </w:rPr>
        <w:t>uture or forward:</w:t>
      </w:r>
    </w:p>
    <w:p w14:paraId="0E51F06E"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a notional long position in the underlying </w:t>
      </w:r>
      <w:r w:rsidR="00877CEA" w:rsidRPr="00E4265B">
        <w:rPr>
          <w:rFonts w:ascii="Arial" w:hAnsi="Arial" w:cs="Arial"/>
          <w:sz w:val="22"/>
          <w:szCs w:val="22"/>
          <w:lang w:val="en-GB"/>
        </w:rPr>
        <w:t>Security</w:t>
      </w:r>
      <w:r w:rsidRPr="00E4265B">
        <w:rPr>
          <w:rFonts w:ascii="Arial" w:hAnsi="Arial" w:cs="Arial"/>
          <w:sz w:val="22"/>
          <w:szCs w:val="22"/>
          <w:lang w:val="en-GB"/>
        </w:rPr>
        <w:t xml:space="preserve"> with a maturity:</w:t>
      </w:r>
    </w:p>
    <w:p w14:paraId="78815B76" w14:textId="77777777" w:rsidR="00E22FF2" w:rsidRPr="00E4265B" w:rsidRDefault="00E22FF2" w:rsidP="00C17185">
      <w:pPr>
        <w:pStyle w:val="i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in the case of a fixed rate bond, equal to the underlying </w:t>
      </w:r>
      <w:r w:rsidR="00877CEA" w:rsidRPr="00E4265B">
        <w:rPr>
          <w:rFonts w:ascii="Arial" w:hAnsi="Arial" w:cs="Arial"/>
          <w:sz w:val="22"/>
          <w:szCs w:val="22"/>
          <w:lang w:val="en-GB"/>
        </w:rPr>
        <w:t>Security</w:t>
      </w:r>
      <w:r w:rsidRPr="00E4265B">
        <w:rPr>
          <w:rFonts w:ascii="Arial" w:hAnsi="Arial" w:cs="Arial"/>
          <w:sz w:val="22"/>
          <w:szCs w:val="22"/>
          <w:lang w:val="en-GB"/>
        </w:rPr>
        <w:t>; and</w:t>
      </w:r>
    </w:p>
    <w:p w14:paraId="159EC437" w14:textId="77777777" w:rsidR="00E22FF2" w:rsidRPr="00E4265B" w:rsidRDefault="00E22FF2" w:rsidP="00C17185">
      <w:pPr>
        <w:pStyle w:val="i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in the case of a floating rate bond, at the time to the next reset; and</w:t>
      </w:r>
    </w:p>
    <w:p w14:paraId="06DA3FAF"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a notional short position in a zero coupon government </w:t>
      </w:r>
      <w:r w:rsidR="00877CEA" w:rsidRPr="00E4265B">
        <w:rPr>
          <w:rFonts w:ascii="Arial" w:hAnsi="Arial" w:cs="Arial"/>
          <w:sz w:val="22"/>
          <w:szCs w:val="22"/>
          <w:lang w:val="en-GB"/>
        </w:rPr>
        <w:t>Security</w:t>
      </w:r>
      <w:r w:rsidRPr="00E4265B">
        <w:rPr>
          <w:rFonts w:ascii="Arial" w:hAnsi="Arial" w:cs="Arial"/>
          <w:sz w:val="22"/>
          <w:szCs w:val="22"/>
          <w:lang w:val="en-GB"/>
        </w:rPr>
        <w:t xml:space="preserve"> with a maturity equa</w:t>
      </w:r>
      <w:r w:rsidR="00E911B6" w:rsidRPr="00E4265B">
        <w:rPr>
          <w:rFonts w:ascii="Arial" w:hAnsi="Arial" w:cs="Arial"/>
          <w:sz w:val="22"/>
          <w:szCs w:val="22"/>
          <w:lang w:val="en-GB"/>
        </w:rPr>
        <w:t>l to the time to expiry of the F</w:t>
      </w:r>
      <w:r w:rsidRPr="00E4265B">
        <w:rPr>
          <w:rFonts w:ascii="Arial" w:hAnsi="Arial" w:cs="Arial"/>
          <w:sz w:val="22"/>
          <w:szCs w:val="22"/>
          <w:lang w:val="en-GB"/>
        </w:rPr>
        <w:t>utures contract; and</w:t>
      </w:r>
    </w:p>
    <w:p w14:paraId="7DC9DDE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where an </w:t>
      </w:r>
      <w:r w:rsidR="000D1A90" w:rsidRPr="00E4265B">
        <w:rPr>
          <w:rFonts w:ascii="Arial" w:hAnsi="Arial" w:cs="Arial"/>
          <w:sz w:val="22"/>
          <w:szCs w:val="22"/>
          <w:lang w:val="en-GB"/>
        </w:rPr>
        <w:t>Authorised Person</w:t>
      </w:r>
      <w:r w:rsidR="00E911B6" w:rsidRPr="00E4265B">
        <w:rPr>
          <w:rFonts w:ascii="Arial" w:hAnsi="Arial" w:cs="Arial"/>
          <w:sz w:val="22"/>
          <w:szCs w:val="22"/>
          <w:lang w:val="en-GB"/>
        </w:rPr>
        <w:t xml:space="preserve"> has sold the F</w:t>
      </w:r>
      <w:r w:rsidRPr="00E4265B">
        <w:rPr>
          <w:rFonts w:ascii="Arial" w:hAnsi="Arial" w:cs="Arial"/>
          <w:sz w:val="22"/>
          <w:szCs w:val="22"/>
          <w:lang w:val="en-GB"/>
        </w:rPr>
        <w:t>uture or forward:</w:t>
      </w:r>
    </w:p>
    <w:p w14:paraId="44531C78"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lastRenderedPageBreak/>
        <w:t>(i)</w:t>
      </w:r>
      <w:r w:rsidRPr="00E4265B">
        <w:rPr>
          <w:rFonts w:ascii="Arial" w:hAnsi="Arial" w:cs="Arial"/>
          <w:sz w:val="22"/>
          <w:szCs w:val="22"/>
          <w:lang w:val="en-GB"/>
        </w:rPr>
        <w:tab/>
        <w:t xml:space="preserve">a notional short position in the underlying </w:t>
      </w:r>
      <w:r w:rsidR="00877CEA" w:rsidRPr="00E4265B">
        <w:rPr>
          <w:rFonts w:ascii="Arial" w:hAnsi="Arial" w:cs="Arial"/>
          <w:sz w:val="22"/>
          <w:szCs w:val="22"/>
          <w:lang w:val="en-GB"/>
        </w:rPr>
        <w:t>Security</w:t>
      </w:r>
      <w:r w:rsidRPr="00E4265B">
        <w:rPr>
          <w:rFonts w:ascii="Arial" w:hAnsi="Arial" w:cs="Arial"/>
          <w:sz w:val="22"/>
          <w:szCs w:val="22"/>
          <w:lang w:val="en-GB"/>
        </w:rPr>
        <w:t xml:space="preserve"> with a maturity:</w:t>
      </w:r>
    </w:p>
    <w:p w14:paraId="437805EE" w14:textId="77777777" w:rsidR="00E22FF2" w:rsidRPr="00E4265B" w:rsidRDefault="00E22FF2" w:rsidP="00C17185">
      <w:pPr>
        <w:pStyle w:val="i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in the case of a fixed rate bond, equal to the underlying </w:t>
      </w:r>
      <w:r w:rsidR="00877CEA" w:rsidRPr="00E4265B">
        <w:rPr>
          <w:rFonts w:ascii="Arial" w:hAnsi="Arial" w:cs="Arial"/>
          <w:sz w:val="22"/>
          <w:szCs w:val="22"/>
          <w:lang w:val="en-GB"/>
        </w:rPr>
        <w:t>Security</w:t>
      </w:r>
      <w:r w:rsidRPr="00E4265B">
        <w:rPr>
          <w:rFonts w:ascii="Arial" w:hAnsi="Arial" w:cs="Arial"/>
          <w:sz w:val="22"/>
          <w:szCs w:val="22"/>
          <w:lang w:val="en-GB"/>
        </w:rPr>
        <w:t>; and</w:t>
      </w:r>
    </w:p>
    <w:p w14:paraId="6E88493C" w14:textId="77777777" w:rsidR="00E22FF2" w:rsidRPr="00E4265B" w:rsidRDefault="00E22FF2" w:rsidP="00C17185">
      <w:pPr>
        <w:pStyle w:val="i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in the case of a floating rate bond, at the time to the next reset; and</w:t>
      </w:r>
    </w:p>
    <w:p w14:paraId="7D6E7176"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a notional long position in a zero coupon government </w:t>
      </w:r>
      <w:r w:rsidR="00877CEA" w:rsidRPr="00E4265B">
        <w:rPr>
          <w:rFonts w:ascii="Arial" w:hAnsi="Arial" w:cs="Arial"/>
          <w:sz w:val="22"/>
          <w:szCs w:val="22"/>
          <w:lang w:val="en-GB"/>
        </w:rPr>
        <w:t>Security</w:t>
      </w:r>
      <w:r w:rsidRPr="00E4265B">
        <w:rPr>
          <w:rFonts w:ascii="Arial" w:hAnsi="Arial" w:cs="Arial"/>
          <w:sz w:val="22"/>
          <w:szCs w:val="22"/>
          <w:lang w:val="en-GB"/>
        </w:rPr>
        <w:t xml:space="preserve"> with a maturity equa</w:t>
      </w:r>
      <w:r w:rsidR="00E911B6" w:rsidRPr="00E4265B">
        <w:rPr>
          <w:rFonts w:ascii="Arial" w:hAnsi="Arial" w:cs="Arial"/>
          <w:sz w:val="22"/>
          <w:szCs w:val="22"/>
          <w:lang w:val="en-GB"/>
        </w:rPr>
        <w:t>l to the time to expiry of the F</w:t>
      </w:r>
      <w:r w:rsidRPr="00E4265B">
        <w:rPr>
          <w:rFonts w:ascii="Arial" w:hAnsi="Arial" w:cs="Arial"/>
          <w:sz w:val="22"/>
          <w:szCs w:val="22"/>
          <w:lang w:val="en-GB"/>
        </w:rPr>
        <w:t>utures contract.</w:t>
      </w:r>
    </w:p>
    <w:p w14:paraId="1103C703" w14:textId="77777777" w:rsidR="00E22FF2" w:rsidRPr="00E4265B" w:rsidRDefault="00E22FF2" w:rsidP="00C17185">
      <w:pPr>
        <w:pStyle w:val="TitleL5"/>
        <w:rPr>
          <w:rFonts w:ascii="Arial" w:hAnsi="Arial" w:cs="Arial"/>
          <w:sz w:val="22"/>
          <w:szCs w:val="22"/>
          <w:lang w:val="en-GB"/>
        </w:rPr>
      </w:pPr>
      <w:r w:rsidRPr="00E4265B">
        <w:rPr>
          <w:rFonts w:ascii="Arial" w:hAnsi="Arial" w:cs="Arial"/>
          <w:sz w:val="22"/>
          <w:szCs w:val="22"/>
          <w:lang w:val="en-GB"/>
        </w:rPr>
        <w:t xml:space="preserve">Future or forward on a basket of debt </w:t>
      </w:r>
      <w:r w:rsidR="00877CEA" w:rsidRPr="00E4265B">
        <w:rPr>
          <w:rFonts w:ascii="Arial" w:hAnsi="Arial" w:cs="Arial"/>
          <w:sz w:val="22"/>
          <w:szCs w:val="22"/>
          <w:lang w:val="en-GB"/>
        </w:rPr>
        <w:t>Securities</w:t>
      </w:r>
    </w:p>
    <w:p w14:paraId="58F67D67" w14:textId="77777777" w:rsidR="00E22FF2" w:rsidRPr="00E4265B" w:rsidRDefault="00B27B2E"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.2.8</w:t>
      </w:r>
      <w:r w:rsidR="00E22FF2" w:rsidRPr="00E4265B">
        <w:rPr>
          <w:rFonts w:ascii="Arial" w:hAnsi="Arial" w:cs="Arial"/>
          <w:b/>
          <w:bCs/>
          <w:sz w:val="22"/>
          <w:szCs w:val="22"/>
          <w:lang w:val="en-GB"/>
        </w:rPr>
        <w:tab/>
      </w:r>
      <w:r w:rsidR="00E911B6" w:rsidRPr="00E4265B">
        <w:rPr>
          <w:rFonts w:ascii="Arial" w:hAnsi="Arial" w:cs="Arial"/>
          <w:sz w:val="22"/>
          <w:szCs w:val="22"/>
          <w:lang w:val="en-GB"/>
        </w:rPr>
        <w:t>A F</w:t>
      </w:r>
      <w:r w:rsidR="00E22FF2" w:rsidRPr="00E4265B">
        <w:rPr>
          <w:rFonts w:ascii="Arial" w:hAnsi="Arial" w:cs="Arial"/>
          <w:sz w:val="22"/>
          <w:szCs w:val="22"/>
          <w:lang w:val="en-GB"/>
        </w:rPr>
        <w:t xml:space="preserve">uture and a forward on a basket of debt </w:t>
      </w:r>
      <w:r w:rsidR="00877CEA" w:rsidRPr="00E4265B">
        <w:rPr>
          <w:rFonts w:ascii="Arial" w:hAnsi="Arial" w:cs="Arial"/>
          <w:sz w:val="22"/>
          <w:szCs w:val="22"/>
          <w:lang w:val="en-GB"/>
        </w:rPr>
        <w:t>Securities</w:t>
      </w:r>
      <w:r w:rsidR="00E22FF2" w:rsidRPr="00E4265B">
        <w:rPr>
          <w:rFonts w:ascii="Arial" w:hAnsi="Arial" w:cs="Arial"/>
          <w:sz w:val="22"/>
          <w:szCs w:val="22"/>
          <w:lang w:val="en-GB"/>
        </w:rPr>
        <w:t xml:space="preserve"> must be treated as a set of notional positions in the constituent debt </w:t>
      </w:r>
      <w:r w:rsidR="00877CEA" w:rsidRPr="00E4265B">
        <w:rPr>
          <w:rFonts w:ascii="Arial" w:hAnsi="Arial" w:cs="Arial"/>
          <w:sz w:val="22"/>
          <w:szCs w:val="22"/>
          <w:lang w:val="en-GB"/>
        </w:rPr>
        <w:t>Securities</w:t>
      </w:r>
      <w:r w:rsidR="00E22FF2" w:rsidRPr="00E4265B">
        <w:rPr>
          <w:rFonts w:ascii="Arial" w:hAnsi="Arial" w:cs="Arial"/>
          <w:sz w:val="22"/>
          <w:szCs w:val="22"/>
          <w:lang w:val="en-GB"/>
        </w:rPr>
        <w:t>.</w:t>
      </w:r>
    </w:p>
    <w:p w14:paraId="0335C4EB" w14:textId="77777777" w:rsidR="00E22FF2" w:rsidRPr="00E4265B" w:rsidRDefault="00E22FF2" w:rsidP="00C17185">
      <w:pPr>
        <w:pStyle w:val="TitleL5"/>
        <w:rPr>
          <w:rFonts w:ascii="Arial" w:hAnsi="Arial" w:cs="Arial"/>
          <w:sz w:val="22"/>
          <w:szCs w:val="22"/>
          <w:lang w:val="en-GB"/>
        </w:rPr>
      </w:pPr>
      <w:r w:rsidRPr="00E4265B">
        <w:rPr>
          <w:rFonts w:ascii="Arial" w:hAnsi="Arial" w:cs="Arial"/>
          <w:sz w:val="22"/>
          <w:szCs w:val="22"/>
          <w:lang w:val="en-GB"/>
        </w:rPr>
        <w:t>Interest rate and currency swaps</w:t>
      </w:r>
    </w:p>
    <w:p w14:paraId="40D01F72" w14:textId="77777777" w:rsidR="00E22FF2" w:rsidRPr="00E4265B" w:rsidRDefault="00B27B2E" w:rsidP="00C17185">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.2.9</w:t>
      </w:r>
      <w:r w:rsidR="00E22FF2" w:rsidRPr="00E4265B">
        <w:rPr>
          <w:rFonts w:ascii="Arial" w:hAnsi="Arial" w:cs="Arial"/>
          <w:b/>
          <w:bCs/>
          <w:sz w:val="22"/>
          <w:szCs w:val="22"/>
          <w:lang w:val="en-GB"/>
        </w:rPr>
        <w:tab/>
      </w:r>
      <w:r w:rsidR="00E22FF2" w:rsidRPr="00E4265B">
        <w:rPr>
          <w:rFonts w:ascii="Arial" w:hAnsi="Arial" w:cs="Arial"/>
          <w:sz w:val="22"/>
          <w:szCs w:val="22"/>
          <w:lang w:val="en-GB"/>
        </w:rPr>
        <w:t xml:space="preserve">An interest rate and a currency swap must be treated as two notional government </w:t>
      </w:r>
      <w:r w:rsidR="00877CEA" w:rsidRPr="00E4265B">
        <w:rPr>
          <w:rFonts w:ascii="Arial" w:hAnsi="Arial" w:cs="Arial"/>
          <w:sz w:val="22"/>
          <w:szCs w:val="22"/>
          <w:lang w:val="en-GB"/>
        </w:rPr>
        <w:t>Securities</w:t>
      </w:r>
      <w:r w:rsidR="00E22FF2" w:rsidRPr="00E4265B">
        <w:rPr>
          <w:rFonts w:ascii="Arial" w:hAnsi="Arial" w:cs="Arial"/>
          <w:sz w:val="22"/>
          <w:szCs w:val="22"/>
          <w:lang w:val="en-GB"/>
        </w:rPr>
        <w:t xml:space="preserve"> as follows:</w:t>
      </w:r>
    </w:p>
    <w:p w14:paraId="0B533B7A"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where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receiving fixed rate interest and paying floating rate interest:</w:t>
      </w:r>
    </w:p>
    <w:p w14:paraId="131D6062"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a notional long position with a maturity equal to the length of the swap; and</w:t>
      </w:r>
    </w:p>
    <w:p w14:paraId="690757C1"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a notional short position with a maturity equal to the period remaining to the next interest rate reset date;</w:t>
      </w:r>
    </w:p>
    <w:p w14:paraId="59BE843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where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paying fixed rate interest and receiving floating rate interest:</w:t>
      </w:r>
    </w:p>
    <w:p w14:paraId="7CE42566"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a notional short position with a maturity equal to the length of the swap; and</w:t>
      </w:r>
    </w:p>
    <w:p w14:paraId="577BA2F4"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a notional long position with a maturity equal to the period remaining to the next interest rate reset date;</w:t>
      </w:r>
    </w:p>
    <w:p w14:paraId="3D274FD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where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receiving fixed rate interest and paying fixed rate interest:</w:t>
      </w:r>
    </w:p>
    <w:p w14:paraId="282FE0B3"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a notional long position with a maturity equal to the length of the swap; and</w:t>
      </w:r>
    </w:p>
    <w:p w14:paraId="4FCBFFD4"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a notional short position with a maturity equal to the length of the swap.</w:t>
      </w:r>
    </w:p>
    <w:p w14:paraId="602248D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where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receiving floating rate interest and paying floating rate interest:</w:t>
      </w:r>
    </w:p>
    <w:p w14:paraId="1E509435"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a notional long position with a maturity equal to the period remaining to the next interest date reset date; and</w:t>
      </w:r>
    </w:p>
    <w:p w14:paraId="145268A8" w14:textId="77777777" w:rsidR="00E22FF2" w:rsidRPr="00E4265B" w:rsidRDefault="00E22FF2" w:rsidP="00C17185">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a notional short position with a maturity equal to the period remaining to the next interest rate reset date; and</w:t>
      </w:r>
    </w:p>
    <w:p w14:paraId="3885BFB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(e)</w:t>
      </w:r>
      <w:r w:rsidRPr="00E4265B">
        <w:rPr>
          <w:rFonts w:ascii="Arial" w:hAnsi="Arial" w:cs="Arial"/>
          <w:sz w:val="22"/>
          <w:szCs w:val="22"/>
          <w:lang w:val="en-GB"/>
        </w:rPr>
        <w:tab/>
        <w:t xml:space="preserve">the two notional government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must have a coupon equal to the rate of interest payable or receivable on the leg.</w:t>
      </w:r>
    </w:p>
    <w:p w14:paraId="7E196CCE" w14:textId="77777777" w:rsidR="00E22FF2" w:rsidRPr="00E4265B" w:rsidRDefault="00E22FF2" w:rsidP="00C17185">
      <w:pPr>
        <w:pStyle w:val="TitleL5"/>
        <w:rPr>
          <w:rFonts w:ascii="Arial" w:hAnsi="Arial" w:cs="Arial"/>
          <w:sz w:val="22"/>
          <w:szCs w:val="22"/>
          <w:lang w:val="en-GB"/>
        </w:rPr>
      </w:pPr>
      <w:r w:rsidRPr="00E4265B">
        <w:rPr>
          <w:rFonts w:ascii="Arial" w:hAnsi="Arial" w:cs="Arial"/>
          <w:sz w:val="22"/>
          <w:szCs w:val="22"/>
          <w:lang w:val="en-GB"/>
        </w:rPr>
        <w:t>Guidance</w:t>
      </w:r>
    </w:p>
    <w:p w14:paraId="30700F0D" w14:textId="77777777" w:rsidR="00E22FF2" w:rsidRPr="00E4265B" w:rsidRDefault="00E22FF2" w:rsidP="00C17185">
      <w:pPr>
        <w:pStyle w:val="UK12Block05"/>
        <w:rPr>
          <w:rFonts w:ascii="Arial" w:hAnsi="Arial" w:cs="Arial"/>
          <w:sz w:val="22"/>
          <w:szCs w:val="22"/>
          <w:lang w:val="en-GB"/>
        </w:rPr>
      </w:pPr>
      <w:r w:rsidRPr="00E4265B">
        <w:rPr>
          <w:rFonts w:ascii="Arial" w:hAnsi="Arial" w:cs="Arial"/>
          <w:sz w:val="22"/>
          <w:szCs w:val="22"/>
          <w:lang w:val="en-GB"/>
        </w:rPr>
        <w:t>A currency swap is also subject to a Foreign Exchange Risk Capital Requirement (see Section 5.6).</w:t>
      </w:r>
    </w:p>
    <w:p w14:paraId="55FE3512" w14:textId="77777777" w:rsidR="00E22FF2" w:rsidRPr="00E4265B" w:rsidRDefault="00E22FF2" w:rsidP="00C17185">
      <w:pPr>
        <w:pStyle w:val="TitleL5"/>
        <w:rPr>
          <w:rFonts w:ascii="Arial" w:hAnsi="Arial" w:cs="Arial"/>
          <w:sz w:val="22"/>
          <w:szCs w:val="22"/>
          <w:lang w:val="en-GB"/>
        </w:rPr>
      </w:pPr>
      <w:r w:rsidRPr="00E4265B">
        <w:rPr>
          <w:rFonts w:ascii="Arial" w:hAnsi="Arial" w:cs="Arial"/>
          <w:sz w:val="22"/>
          <w:szCs w:val="22"/>
          <w:lang w:val="en-GB"/>
        </w:rPr>
        <w:t>Dual currency bonds</w:t>
      </w:r>
    </w:p>
    <w:p w14:paraId="1446DB18" w14:textId="77777777" w:rsidR="00E22FF2" w:rsidRPr="00E4265B" w:rsidRDefault="00B27B2E"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.2.10</w:t>
      </w:r>
      <w:r w:rsidR="00E22FF2" w:rsidRPr="00E4265B">
        <w:rPr>
          <w:rFonts w:ascii="Arial" w:hAnsi="Arial" w:cs="Arial"/>
          <w:b/>
          <w:bCs/>
          <w:sz w:val="22"/>
          <w:szCs w:val="22"/>
          <w:lang w:val="en-GB"/>
        </w:rPr>
        <w:tab/>
      </w:r>
      <w:r w:rsidR="00E22FF2" w:rsidRPr="00E4265B">
        <w:rPr>
          <w:rFonts w:ascii="Arial" w:hAnsi="Arial" w:cs="Arial"/>
          <w:sz w:val="22"/>
          <w:szCs w:val="22"/>
          <w:lang w:val="en-GB"/>
        </w:rPr>
        <w:t>A dual currency bond must be treated as two positions as follows:</w:t>
      </w:r>
    </w:p>
    <w:p w14:paraId="7D4FDC3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 debt </w:t>
      </w:r>
      <w:r w:rsidR="00877CEA" w:rsidRPr="00E4265B">
        <w:rPr>
          <w:rFonts w:ascii="Arial" w:hAnsi="Arial" w:cs="Arial"/>
          <w:sz w:val="22"/>
          <w:szCs w:val="22"/>
          <w:lang w:val="en-GB"/>
        </w:rPr>
        <w:t>Security</w:t>
      </w:r>
      <w:r w:rsidRPr="00E4265B">
        <w:rPr>
          <w:rFonts w:ascii="Arial" w:hAnsi="Arial" w:cs="Arial"/>
          <w:sz w:val="22"/>
          <w:szCs w:val="22"/>
          <w:lang w:val="en-GB"/>
        </w:rPr>
        <w:t xml:space="preserve"> denominated in the currency in which the dual currency bond is issued; and</w:t>
      </w:r>
    </w:p>
    <w:p w14:paraId="7BC11D06"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 foreign exchange forward for the purchase of the redemption currency (see Section 5.6).</w:t>
      </w:r>
    </w:p>
    <w:p w14:paraId="3A835B9A" w14:textId="77777777" w:rsidR="00E22FF2" w:rsidRPr="00E4265B" w:rsidRDefault="00E22FF2" w:rsidP="00C17185">
      <w:pPr>
        <w:pStyle w:val="TitleL5"/>
        <w:rPr>
          <w:rFonts w:ascii="Arial" w:hAnsi="Arial" w:cs="Arial"/>
          <w:sz w:val="22"/>
          <w:szCs w:val="22"/>
          <w:lang w:val="en-GB"/>
        </w:rPr>
      </w:pPr>
      <w:r w:rsidRPr="00E4265B">
        <w:rPr>
          <w:rFonts w:ascii="Arial" w:hAnsi="Arial" w:cs="Arial"/>
          <w:sz w:val="22"/>
          <w:szCs w:val="22"/>
          <w:lang w:val="en-GB"/>
        </w:rPr>
        <w:t>Cash legs of repos</w:t>
      </w:r>
    </w:p>
    <w:p w14:paraId="5C5DF67D" w14:textId="77777777" w:rsidR="00E22FF2" w:rsidRPr="00E4265B" w:rsidRDefault="00B27B2E"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.2.11</w:t>
      </w:r>
      <w:r w:rsidR="00E22FF2" w:rsidRPr="00E4265B">
        <w:rPr>
          <w:rFonts w:ascii="Arial" w:hAnsi="Arial" w:cs="Arial"/>
          <w:b/>
          <w:bCs/>
          <w:sz w:val="22"/>
          <w:szCs w:val="22"/>
          <w:lang w:val="en-GB"/>
        </w:rPr>
        <w:tab/>
      </w:r>
      <w:r w:rsidR="00E22FF2" w:rsidRPr="00E4265B">
        <w:rPr>
          <w:rFonts w:ascii="Arial" w:hAnsi="Arial" w:cs="Arial"/>
          <w:sz w:val="22"/>
          <w:szCs w:val="22"/>
          <w:lang w:val="en-GB"/>
        </w:rPr>
        <w:t xml:space="preserve">The forward cash leg of a repo must be treated as a notional short position in a government </w:t>
      </w:r>
      <w:r w:rsidR="00877CEA" w:rsidRPr="00E4265B">
        <w:rPr>
          <w:rFonts w:ascii="Arial" w:hAnsi="Arial" w:cs="Arial"/>
          <w:sz w:val="22"/>
          <w:szCs w:val="22"/>
          <w:lang w:val="en-GB"/>
        </w:rPr>
        <w:t>Security</w:t>
      </w:r>
      <w:r w:rsidR="00E22FF2" w:rsidRPr="00E4265B">
        <w:rPr>
          <w:rFonts w:ascii="Arial" w:hAnsi="Arial" w:cs="Arial"/>
          <w:sz w:val="22"/>
          <w:szCs w:val="22"/>
          <w:lang w:val="en-GB"/>
        </w:rPr>
        <w:t xml:space="preserve"> with a maturity equal to that of the repo and coupon equal to the repo rate.</w:t>
      </w:r>
    </w:p>
    <w:p w14:paraId="1BC6078F" w14:textId="77777777" w:rsidR="00E22FF2" w:rsidRPr="00E4265B" w:rsidRDefault="00E22FF2" w:rsidP="00C17185">
      <w:pPr>
        <w:pStyle w:val="TitleL5"/>
        <w:rPr>
          <w:rFonts w:ascii="Arial" w:hAnsi="Arial" w:cs="Arial"/>
          <w:sz w:val="22"/>
          <w:szCs w:val="22"/>
          <w:lang w:val="en-GB"/>
        </w:rPr>
      </w:pPr>
      <w:r w:rsidRPr="00E4265B">
        <w:rPr>
          <w:rFonts w:ascii="Arial" w:hAnsi="Arial" w:cs="Arial"/>
          <w:sz w:val="22"/>
          <w:szCs w:val="22"/>
          <w:lang w:val="en-GB"/>
        </w:rPr>
        <w:t>Guidance</w:t>
      </w:r>
    </w:p>
    <w:p w14:paraId="171CACE1" w14:textId="77777777" w:rsidR="00E22FF2" w:rsidRPr="00E4265B" w:rsidRDefault="00E22FF2" w:rsidP="00C17185">
      <w:pPr>
        <w:pStyle w:val="UK12Block05"/>
        <w:rPr>
          <w:rFonts w:ascii="Arial" w:hAnsi="Arial" w:cs="Arial"/>
          <w:sz w:val="22"/>
          <w:szCs w:val="22"/>
          <w:lang w:val="en-GB"/>
        </w:rPr>
      </w:pPr>
      <w:r w:rsidRPr="00E4265B">
        <w:rPr>
          <w:rFonts w:ascii="Arial" w:hAnsi="Arial" w:cs="Arial"/>
          <w:sz w:val="22"/>
          <w:szCs w:val="22"/>
          <w:lang w:val="en-GB"/>
        </w:rPr>
        <w:t xml:space="preserve">If a </w:t>
      </w:r>
      <w:r w:rsidR="00877CEA" w:rsidRPr="00E4265B">
        <w:rPr>
          <w:rFonts w:ascii="Arial" w:hAnsi="Arial" w:cs="Arial"/>
          <w:sz w:val="22"/>
          <w:szCs w:val="22"/>
          <w:lang w:val="en-GB"/>
        </w:rPr>
        <w:t>Security</w:t>
      </w:r>
      <w:r w:rsidRPr="00E4265B">
        <w:rPr>
          <w:rFonts w:ascii="Arial" w:hAnsi="Arial" w:cs="Arial"/>
          <w:sz w:val="22"/>
          <w:szCs w:val="22"/>
          <w:lang w:val="en-GB"/>
        </w:rPr>
        <w:t xml:space="preserve"> is subject to a repurchase agreement (but not a reverse repurchase agreement),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continues to calculate an Interest Rate Risk Capital Requirement on the </w:t>
      </w:r>
      <w:r w:rsidR="00877CEA" w:rsidRPr="00E4265B">
        <w:rPr>
          <w:rFonts w:ascii="Arial" w:hAnsi="Arial" w:cs="Arial"/>
          <w:sz w:val="22"/>
          <w:szCs w:val="22"/>
          <w:lang w:val="en-GB"/>
        </w:rPr>
        <w:t>Security</w:t>
      </w:r>
      <w:r w:rsidRPr="00E4265B">
        <w:rPr>
          <w:rFonts w:ascii="Arial" w:hAnsi="Arial" w:cs="Arial"/>
          <w:sz w:val="22"/>
          <w:szCs w:val="22"/>
          <w:lang w:val="en-GB"/>
        </w:rPr>
        <w:t xml:space="preserve"> because, although legal ownership transfers to the Counterparty, the economic benefit or loss remains with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4220E27E" w14:textId="77777777" w:rsidR="00E22FF2" w:rsidRPr="00E4265B" w:rsidRDefault="00E22FF2" w:rsidP="00C17185">
      <w:pPr>
        <w:pStyle w:val="TitleL5"/>
        <w:rPr>
          <w:rFonts w:ascii="Arial" w:hAnsi="Arial" w:cs="Arial"/>
          <w:sz w:val="22"/>
          <w:szCs w:val="22"/>
          <w:lang w:val="en-GB"/>
        </w:rPr>
      </w:pPr>
      <w:r w:rsidRPr="00E4265B">
        <w:rPr>
          <w:rFonts w:ascii="Arial" w:hAnsi="Arial" w:cs="Arial"/>
          <w:sz w:val="22"/>
          <w:szCs w:val="22"/>
          <w:lang w:val="en-GB"/>
        </w:rPr>
        <w:t>Cash legs of reverse repos</w:t>
      </w:r>
    </w:p>
    <w:p w14:paraId="029DE2CE" w14:textId="77777777" w:rsidR="00E22FF2" w:rsidRPr="00E4265B" w:rsidRDefault="00B27B2E" w:rsidP="00C17185">
      <w:pPr>
        <w:pStyle w:val="List2TabStops"/>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.2.12</w:t>
      </w:r>
      <w:r w:rsidR="00E22FF2" w:rsidRPr="00E4265B">
        <w:rPr>
          <w:rFonts w:ascii="Arial" w:hAnsi="Arial" w:cs="Arial"/>
          <w:b/>
          <w:bCs/>
          <w:sz w:val="22"/>
          <w:szCs w:val="22"/>
          <w:lang w:val="en-GB"/>
        </w:rPr>
        <w:tab/>
      </w:r>
      <w:r w:rsidR="00E22FF2" w:rsidRPr="00E4265B">
        <w:rPr>
          <w:rFonts w:ascii="Arial" w:hAnsi="Arial" w:cs="Arial"/>
          <w:sz w:val="22"/>
          <w:szCs w:val="22"/>
          <w:lang w:val="en-GB"/>
        </w:rPr>
        <w:t>(1)</w:t>
      </w:r>
      <w:r w:rsidR="00E22FF2" w:rsidRPr="00E4265B">
        <w:rPr>
          <w:rFonts w:ascii="Arial" w:hAnsi="Arial" w:cs="Arial"/>
          <w:sz w:val="22"/>
          <w:szCs w:val="22"/>
          <w:lang w:val="en-GB"/>
        </w:rPr>
        <w:tab/>
        <w:t>The forward cash leg of a reverse repo must be treated as a notional long position in a government security with a maturity equal to that of the reverse repo and coupon equal to the repo rate.</w:t>
      </w:r>
    </w:p>
    <w:p w14:paraId="7E12A2F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exclude from the interest rate maturity framework (for both Specific and General Market Risk) long and short positions (both actual and notional) in identical </w:t>
      </w:r>
      <w:r w:rsidR="005F3B3B" w:rsidRPr="00E4265B">
        <w:rPr>
          <w:rFonts w:ascii="Arial" w:hAnsi="Arial" w:cs="Arial"/>
          <w:sz w:val="22"/>
          <w:szCs w:val="22"/>
          <w:lang w:val="en-GB"/>
        </w:rPr>
        <w:t>Derivative</w:t>
      </w:r>
      <w:r w:rsidRPr="00E4265B">
        <w:rPr>
          <w:rFonts w:ascii="Arial" w:hAnsi="Arial" w:cs="Arial"/>
          <w:sz w:val="22"/>
          <w:szCs w:val="22"/>
          <w:lang w:val="en-GB"/>
        </w:rPr>
        <w:t xml:space="preserve"> instruments with exactly the same </w:t>
      </w:r>
      <w:r w:rsidR="00B830F4" w:rsidRPr="00E4265B">
        <w:rPr>
          <w:rFonts w:ascii="Arial" w:hAnsi="Arial" w:cs="Arial"/>
          <w:sz w:val="22"/>
          <w:szCs w:val="22"/>
          <w:lang w:val="en-GB"/>
        </w:rPr>
        <w:t>Issuer</w:t>
      </w:r>
      <w:r w:rsidRPr="00E4265B">
        <w:rPr>
          <w:rFonts w:ascii="Arial" w:hAnsi="Arial" w:cs="Arial"/>
          <w:sz w:val="22"/>
          <w:szCs w:val="22"/>
          <w:lang w:val="en-GB"/>
        </w:rPr>
        <w:t>, coupon, currency and maturity.</w:t>
      </w:r>
      <w:r w:rsidR="00E911B6" w:rsidRPr="00E4265B">
        <w:rPr>
          <w:rFonts w:ascii="Arial" w:hAnsi="Arial" w:cs="Arial"/>
          <w:sz w:val="22"/>
          <w:szCs w:val="22"/>
          <w:lang w:val="en-GB"/>
        </w:rPr>
        <w:t xml:space="preserve"> A fully</w:t>
      </w:r>
      <w:r w:rsidR="00E911B6" w:rsidRPr="00E4265B">
        <w:rPr>
          <w:rFonts w:ascii="Arial" w:hAnsi="Arial" w:cs="Arial"/>
          <w:sz w:val="22"/>
          <w:szCs w:val="22"/>
          <w:lang w:val="en-GB"/>
        </w:rPr>
        <w:noBreakHyphen/>
        <w:t>matched position in a F</w:t>
      </w:r>
      <w:r w:rsidRPr="00E4265B">
        <w:rPr>
          <w:rFonts w:ascii="Arial" w:hAnsi="Arial" w:cs="Arial"/>
          <w:sz w:val="22"/>
          <w:szCs w:val="22"/>
          <w:lang w:val="en-GB"/>
        </w:rPr>
        <w:t>uture or forward and its corresponding underlying instrument may also be fully offset, and thus excluded from the calculation.</w:t>
      </w:r>
    </w:p>
    <w:p w14:paraId="2C01FAE7" w14:textId="77777777" w:rsidR="00E22FF2" w:rsidRPr="00E4265B" w:rsidRDefault="00E22FF2" w:rsidP="00C17185">
      <w:pPr>
        <w:pStyle w:val="TitleL5"/>
        <w:rPr>
          <w:rFonts w:ascii="Arial" w:hAnsi="Arial" w:cs="Arial"/>
          <w:sz w:val="22"/>
          <w:szCs w:val="22"/>
          <w:lang w:val="en-GB"/>
        </w:rPr>
      </w:pPr>
      <w:r w:rsidRPr="00E4265B">
        <w:rPr>
          <w:rFonts w:ascii="Arial" w:hAnsi="Arial" w:cs="Arial"/>
          <w:sz w:val="22"/>
          <w:szCs w:val="22"/>
          <w:lang w:val="en-GB"/>
        </w:rPr>
        <w:t>Guidance</w:t>
      </w:r>
    </w:p>
    <w:p w14:paraId="63034A5B" w14:textId="77777777" w:rsidR="00E22FF2" w:rsidRPr="00E4265B" w:rsidRDefault="00E22FF2" w:rsidP="00C17185">
      <w:pPr>
        <w:pStyle w:val="UK12Block05"/>
        <w:rPr>
          <w:rFonts w:ascii="Arial" w:hAnsi="Arial" w:cs="Arial"/>
          <w:sz w:val="22"/>
          <w:szCs w:val="22"/>
          <w:lang w:val="en-GB"/>
        </w:rPr>
      </w:pPr>
      <w:r w:rsidRPr="00E4265B">
        <w:rPr>
          <w:rFonts w:ascii="Arial" w:hAnsi="Arial" w:cs="Arial"/>
          <w:sz w:val="22"/>
          <w:szCs w:val="22"/>
          <w:lang w:val="en-GB"/>
        </w:rPr>
        <w:t xml:space="preserve">If a </w:t>
      </w:r>
      <w:r w:rsidR="00877CEA" w:rsidRPr="00E4265B">
        <w:rPr>
          <w:rFonts w:ascii="Arial" w:hAnsi="Arial" w:cs="Arial"/>
          <w:sz w:val="22"/>
          <w:szCs w:val="22"/>
          <w:lang w:val="en-GB"/>
        </w:rPr>
        <w:t>Security</w:t>
      </w:r>
      <w:r w:rsidRPr="00E4265B">
        <w:rPr>
          <w:rFonts w:ascii="Arial" w:hAnsi="Arial" w:cs="Arial"/>
          <w:sz w:val="22"/>
          <w:szCs w:val="22"/>
          <w:lang w:val="en-GB"/>
        </w:rPr>
        <w:t xml:space="preserve"> is subject to a reverse repurchase agreement (but not a repurchase agreement),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does not calculate an Interest Rate Risk Capital Requirement on the </w:t>
      </w:r>
      <w:r w:rsidR="00877CEA" w:rsidRPr="00E4265B">
        <w:rPr>
          <w:rFonts w:ascii="Arial" w:hAnsi="Arial" w:cs="Arial"/>
          <w:sz w:val="22"/>
          <w:szCs w:val="22"/>
          <w:lang w:val="en-GB"/>
        </w:rPr>
        <w:t>Security</w:t>
      </w:r>
      <w:r w:rsidRPr="00E4265B">
        <w:rPr>
          <w:rFonts w:ascii="Arial" w:hAnsi="Arial" w:cs="Arial"/>
          <w:sz w:val="22"/>
          <w:szCs w:val="22"/>
          <w:lang w:val="en-GB"/>
        </w:rPr>
        <w:t xml:space="preserve"> because, although the firm obtains the legal title, the economic benefit or loss remains with the original holder.</w:t>
      </w:r>
    </w:p>
    <w:p w14:paraId="1048681E" w14:textId="77777777" w:rsidR="00E22FF2" w:rsidRPr="00E4265B" w:rsidRDefault="00E22FF2" w:rsidP="00C17185">
      <w:pPr>
        <w:pStyle w:val="TitleL5"/>
        <w:rPr>
          <w:rFonts w:ascii="Arial" w:hAnsi="Arial" w:cs="Arial"/>
          <w:sz w:val="22"/>
          <w:szCs w:val="22"/>
          <w:lang w:val="en-GB"/>
        </w:rPr>
      </w:pPr>
      <w:r w:rsidRPr="00E4265B">
        <w:rPr>
          <w:rFonts w:ascii="Arial" w:hAnsi="Arial" w:cs="Arial"/>
          <w:sz w:val="22"/>
          <w:szCs w:val="22"/>
          <w:lang w:val="en-GB"/>
        </w:rPr>
        <w:lastRenderedPageBreak/>
        <w:t>Specific Risk</w:t>
      </w:r>
    </w:p>
    <w:p w14:paraId="44CEFF52" w14:textId="77777777" w:rsidR="00E22FF2" w:rsidRPr="00E4265B" w:rsidRDefault="00E22FF2" w:rsidP="00C17185">
      <w:pPr>
        <w:pStyle w:val="TitleL5"/>
        <w:rPr>
          <w:rFonts w:ascii="Arial" w:hAnsi="Arial" w:cs="Arial"/>
          <w:sz w:val="22"/>
          <w:szCs w:val="22"/>
          <w:lang w:val="en-GB"/>
        </w:rPr>
      </w:pPr>
      <w:r w:rsidRPr="00E4265B">
        <w:rPr>
          <w:rFonts w:ascii="Arial" w:hAnsi="Arial" w:cs="Arial"/>
          <w:sz w:val="22"/>
          <w:szCs w:val="22"/>
          <w:lang w:val="en-GB"/>
        </w:rPr>
        <w:t>Guidance</w:t>
      </w:r>
    </w:p>
    <w:p w14:paraId="5425BE03" w14:textId="77777777" w:rsidR="00E22FF2" w:rsidRPr="00E4265B" w:rsidRDefault="00E22FF2" w:rsidP="00C17185">
      <w:pPr>
        <w:pStyle w:val="UK12Block05"/>
        <w:rPr>
          <w:rFonts w:ascii="Arial" w:hAnsi="Arial" w:cs="Arial"/>
          <w:sz w:val="22"/>
          <w:szCs w:val="22"/>
          <w:lang w:val="en-GB"/>
        </w:rPr>
      </w:pPr>
      <w:r w:rsidRPr="00E4265B">
        <w:rPr>
          <w:rFonts w:ascii="Arial" w:hAnsi="Arial" w:cs="Arial"/>
          <w:sz w:val="22"/>
          <w:szCs w:val="22"/>
          <w:lang w:val="en-GB"/>
        </w:rPr>
        <w:t xml:space="preserve">In respect of interest rate risk, a capital charge for Specific Risk is designed to protect against an adverse movement in the price of an individual </w:t>
      </w:r>
      <w:r w:rsidR="00877CEA" w:rsidRPr="00E4265B">
        <w:rPr>
          <w:rFonts w:ascii="Arial" w:hAnsi="Arial" w:cs="Arial"/>
          <w:sz w:val="22"/>
          <w:szCs w:val="22"/>
          <w:lang w:val="en-GB"/>
        </w:rPr>
        <w:t>Security</w:t>
      </w:r>
      <w:r w:rsidRPr="00E4265B">
        <w:rPr>
          <w:rFonts w:ascii="Arial" w:hAnsi="Arial" w:cs="Arial"/>
          <w:sz w:val="22"/>
          <w:szCs w:val="22"/>
          <w:lang w:val="en-GB"/>
        </w:rPr>
        <w:t xml:space="preserve"> owing to factors related to the individual </w:t>
      </w:r>
      <w:r w:rsidR="00B830F4" w:rsidRPr="00E4265B">
        <w:rPr>
          <w:rFonts w:ascii="Arial" w:hAnsi="Arial" w:cs="Arial"/>
          <w:sz w:val="22"/>
          <w:szCs w:val="22"/>
          <w:lang w:val="en-GB"/>
        </w:rPr>
        <w:t>Issuer</w:t>
      </w:r>
      <w:r w:rsidRPr="00E4265B">
        <w:rPr>
          <w:rFonts w:ascii="Arial" w:hAnsi="Arial" w:cs="Arial"/>
          <w:sz w:val="22"/>
          <w:szCs w:val="22"/>
          <w:lang w:val="en-GB"/>
        </w:rPr>
        <w:t>.</w:t>
      </w:r>
    </w:p>
    <w:p w14:paraId="46F74F08" w14:textId="77777777" w:rsidR="00E22FF2" w:rsidRPr="00E4265B" w:rsidRDefault="00E22FF2" w:rsidP="00C17185">
      <w:pPr>
        <w:pStyle w:val="List2TabStops"/>
        <w:rPr>
          <w:rFonts w:ascii="Arial" w:hAnsi="Arial" w:cs="Arial"/>
          <w:sz w:val="22"/>
          <w:szCs w:val="22"/>
          <w:lang w:val="en-GB"/>
        </w:rPr>
      </w:pPr>
      <w:r w:rsidRPr="00E4265B">
        <w:rPr>
          <w:rFonts w:ascii="Arial" w:hAnsi="Arial" w:cs="Arial"/>
          <w:b/>
          <w:bCs/>
          <w:sz w:val="22"/>
          <w:szCs w:val="22"/>
          <w:lang w:val="en-GB"/>
        </w:rPr>
        <w:t>A</w:t>
      </w:r>
      <w:r w:rsidR="00B27B2E" w:rsidRPr="00E4265B">
        <w:rPr>
          <w:rFonts w:ascii="Arial" w:hAnsi="Arial" w:cs="Arial"/>
          <w:b/>
          <w:bCs/>
          <w:sz w:val="22"/>
          <w:szCs w:val="22"/>
          <w:lang w:val="en-GB"/>
        </w:rPr>
        <w:t>6</w:t>
      </w:r>
      <w:r w:rsidRPr="00E4265B">
        <w:rPr>
          <w:rFonts w:ascii="Arial" w:hAnsi="Arial" w:cs="Arial"/>
          <w:b/>
          <w:bCs/>
          <w:sz w:val="22"/>
          <w:szCs w:val="22"/>
          <w:lang w:val="en-GB"/>
        </w:rPr>
        <w:t>.2.13</w:t>
      </w:r>
      <w:r w:rsidRPr="00E4265B">
        <w:rPr>
          <w:rFonts w:ascii="Arial" w:hAnsi="Arial" w:cs="Arial"/>
          <w:b/>
          <w:bCs/>
          <w:sz w:val="22"/>
          <w:szCs w:val="22"/>
          <w:lang w:val="en-GB"/>
        </w:rPr>
        <w:tab/>
      </w: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its Specific Risk as the sum of the market values of the individual net positions (whether they are long or short) multiplied by the appropriate risk percentage in (3).</w:t>
      </w:r>
    </w:p>
    <w:p w14:paraId="189FCCD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not offset between different issues.</w:t>
      </w:r>
    </w:p>
    <w:p w14:paraId="4582DD6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determine the appropriate risk percentage by reference to the following table:</w:t>
      </w:r>
    </w:p>
    <w:tbl>
      <w:tblPr>
        <w:tblStyle w:val="TableGrid"/>
        <w:tblW w:w="0" w:type="auto"/>
        <w:tblInd w:w="1008" w:type="dxa"/>
        <w:tblLook w:val="04A0" w:firstRow="1" w:lastRow="0" w:firstColumn="1" w:lastColumn="0" w:noHBand="0" w:noVBand="1"/>
      </w:tblPr>
      <w:tblGrid>
        <w:gridCol w:w="3862"/>
        <w:gridCol w:w="1100"/>
        <w:gridCol w:w="1307"/>
        <w:gridCol w:w="1740"/>
      </w:tblGrid>
      <w:tr w:rsidR="00E22FF2" w:rsidRPr="00E4265B" w14:paraId="54A24CED" w14:textId="77777777" w:rsidTr="00AB348D">
        <w:trPr>
          <w:tblHeader/>
        </w:trPr>
        <w:tc>
          <w:tcPr>
            <w:tcW w:w="0" w:type="auto"/>
            <w:shd w:val="clear" w:color="auto" w:fill="D9D9D9" w:themeFill="background1" w:themeFillShade="D9"/>
            <w:vAlign w:val="center"/>
          </w:tcPr>
          <w:p w14:paraId="48757FB4" w14:textId="77777777" w:rsidR="00E22FF2" w:rsidRPr="00E4265B" w:rsidRDefault="00E22FF2" w:rsidP="00AB348D">
            <w:pPr>
              <w:spacing w:after="240"/>
              <w:jc w:val="center"/>
              <w:rPr>
                <w:rFonts w:ascii="Arial" w:hAnsi="Arial" w:cs="Arial"/>
                <w:b/>
                <w:sz w:val="22"/>
                <w:szCs w:val="22"/>
                <w:lang w:val="en-GB"/>
              </w:rPr>
            </w:pPr>
            <w:r w:rsidRPr="00E4265B">
              <w:rPr>
                <w:rFonts w:ascii="Arial" w:hAnsi="Arial" w:cs="Arial"/>
                <w:b/>
                <w:sz w:val="22"/>
                <w:szCs w:val="22"/>
                <w:lang w:val="en-GB"/>
              </w:rPr>
              <w:t>Issuer</w:t>
            </w:r>
          </w:p>
        </w:tc>
        <w:tc>
          <w:tcPr>
            <w:tcW w:w="0" w:type="auto"/>
            <w:shd w:val="clear" w:color="auto" w:fill="D9D9D9" w:themeFill="background1" w:themeFillShade="D9"/>
            <w:vAlign w:val="center"/>
          </w:tcPr>
          <w:p w14:paraId="5EB105D0" w14:textId="1BCD289A" w:rsidR="00E22FF2" w:rsidRPr="00E4265B" w:rsidRDefault="00A534DD" w:rsidP="00AB348D">
            <w:pPr>
              <w:spacing w:after="240"/>
              <w:jc w:val="center"/>
              <w:rPr>
                <w:rFonts w:ascii="Arial" w:hAnsi="Arial" w:cs="Arial"/>
                <w:b/>
                <w:sz w:val="22"/>
                <w:szCs w:val="22"/>
                <w:lang w:val="en-GB"/>
              </w:rPr>
            </w:pPr>
            <w:r w:rsidRPr="00E4265B">
              <w:rPr>
                <w:rFonts w:ascii="Arial" w:hAnsi="Arial" w:cs="Arial"/>
                <w:b/>
                <w:sz w:val="22"/>
                <w:szCs w:val="22"/>
                <w:lang w:val="en-GB"/>
              </w:rPr>
              <w:t>Credit</w:t>
            </w:r>
            <w:r w:rsidR="007E535F" w:rsidRPr="00E4265B">
              <w:rPr>
                <w:rFonts w:ascii="Arial" w:hAnsi="Arial" w:cs="Arial"/>
                <w:b/>
                <w:sz w:val="22"/>
                <w:szCs w:val="22"/>
                <w:lang w:val="en-GB"/>
              </w:rPr>
              <w:t xml:space="preserve"> Quality </w:t>
            </w:r>
            <w:r w:rsidRPr="00E4265B">
              <w:rPr>
                <w:rFonts w:ascii="Arial" w:hAnsi="Arial" w:cs="Arial"/>
                <w:b/>
                <w:sz w:val="22"/>
                <w:szCs w:val="22"/>
                <w:lang w:val="en-GB"/>
              </w:rPr>
              <w:t>Grade</w:t>
            </w:r>
          </w:p>
        </w:tc>
        <w:tc>
          <w:tcPr>
            <w:tcW w:w="0" w:type="auto"/>
            <w:shd w:val="clear" w:color="auto" w:fill="D9D9D9" w:themeFill="background1" w:themeFillShade="D9"/>
            <w:vAlign w:val="center"/>
          </w:tcPr>
          <w:p w14:paraId="4838EC35" w14:textId="6A708653" w:rsidR="00E22FF2" w:rsidRPr="00E4265B" w:rsidRDefault="00E22FF2" w:rsidP="00AB348D">
            <w:pPr>
              <w:spacing w:after="240"/>
              <w:jc w:val="center"/>
              <w:rPr>
                <w:rFonts w:ascii="Arial" w:hAnsi="Arial" w:cs="Arial"/>
                <w:b/>
                <w:sz w:val="22"/>
                <w:szCs w:val="22"/>
                <w:lang w:val="en-GB"/>
              </w:rPr>
            </w:pPr>
            <w:r w:rsidRPr="00E4265B">
              <w:rPr>
                <w:rFonts w:ascii="Arial" w:hAnsi="Arial" w:cs="Arial"/>
                <w:b/>
                <w:sz w:val="22"/>
                <w:szCs w:val="22"/>
                <w:lang w:val="en-GB"/>
              </w:rPr>
              <w:t>Residual Term</w:t>
            </w:r>
            <w:r w:rsidR="007E535F" w:rsidRPr="00E4265B">
              <w:rPr>
                <w:rFonts w:ascii="Arial" w:hAnsi="Arial" w:cs="Arial"/>
                <w:b/>
                <w:sz w:val="22"/>
                <w:szCs w:val="22"/>
                <w:lang w:val="en-GB"/>
              </w:rPr>
              <w:t xml:space="preserve"> </w:t>
            </w:r>
            <w:r w:rsidRPr="00E4265B">
              <w:rPr>
                <w:rFonts w:ascii="Arial" w:hAnsi="Arial" w:cs="Arial"/>
                <w:b/>
                <w:sz w:val="22"/>
                <w:szCs w:val="22"/>
                <w:lang w:val="en-GB"/>
              </w:rPr>
              <w:t>to Maturity</w:t>
            </w:r>
          </w:p>
        </w:tc>
        <w:tc>
          <w:tcPr>
            <w:tcW w:w="0" w:type="auto"/>
            <w:shd w:val="clear" w:color="auto" w:fill="D9D9D9" w:themeFill="background1" w:themeFillShade="D9"/>
            <w:vAlign w:val="center"/>
          </w:tcPr>
          <w:p w14:paraId="4ACA7975" w14:textId="57930E00" w:rsidR="00E22FF2" w:rsidRPr="00E4265B" w:rsidRDefault="00E22FF2" w:rsidP="00AB348D">
            <w:pPr>
              <w:spacing w:after="240"/>
              <w:jc w:val="center"/>
              <w:rPr>
                <w:rFonts w:ascii="Arial" w:hAnsi="Arial" w:cs="Arial"/>
                <w:b/>
                <w:sz w:val="22"/>
                <w:szCs w:val="22"/>
                <w:lang w:val="en-GB"/>
              </w:rPr>
            </w:pPr>
            <w:r w:rsidRPr="00E4265B">
              <w:rPr>
                <w:rFonts w:ascii="Arial" w:hAnsi="Arial" w:cs="Arial"/>
                <w:b/>
                <w:sz w:val="22"/>
                <w:szCs w:val="22"/>
                <w:lang w:val="en-GB"/>
              </w:rPr>
              <w:t>Risk</w:t>
            </w:r>
            <w:r w:rsidR="007E535F" w:rsidRPr="00E4265B">
              <w:rPr>
                <w:rFonts w:ascii="Arial" w:hAnsi="Arial" w:cs="Arial"/>
                <w:b/>
                <w:sz w:val="22"/>
                <w:szCs w:val="22"/>
                <w:lang w:val="en-GB"/>
              </w:rPr>
              <w:t xml:space="preserve"> </w:t>
            </w:r>
            <w:r w:rsidRPr="00E4265B">
              <w:rPr>
                <w:rFonts w:ascii="Arial" w:hAnsi="Arial" w:cs="Arial"/>
                <w:b/>
                <w:sz w:val="22"/>
                <w:szCs w:val="22"/>
                <w:lang w:val="en-GB"/>
              </w:rPr>
              <w:t>Percentage</w:t>
            </w:r>
          </w:p>
        </w:tc>
      </w:tr>
      <w:tr w:rsidR="00E22FF2" w:rsidRPr="00E4265B" w14:paraId="0E231338" w14:textId="77777777" w:rsidTr="007E535F">
        <w:trPr>
          <w:trHeight w:val="869"/>
        </w:trPr>
        <w:tc>
          <w:tcPr>
            <w:tcW w:w="0" w:type="auto"/>
            <w:vMerge w:val="restart"/>
          </w:tcPr>
          <w:p w14:paraId="716E0E9D"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Sovereign Debt</w:t>
            </w:r>
          </w:p>
          <w:p w14:paraId="26339A2B" w14:textId="062F6576"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This category includes</w:t>
            </w:r>
            <w:r w:rsidR="006A3399" w:rsidRPr="00E4265B">
              <w:rPr>
                <w:rFonts w:ascii="Arial" w:hAnsi="Arial" w:cs="Arial"/>
                <w:sz w:val="22"/>
                <w:szCs w:val="22"/>
                <w:lang w:val="en-GB"/>
              </w:rPr>
              <w:t xml:space="preserve"> -</w:t>
            </w:r>
          </w:p>
          <w:p w14:paraId="24AE2449" w14:textId="77777777" w:rsidR="00E22FF2" w:rsidRPr="00E4265B" w:rsidRDefault="00E22FF2" w:rsidP="008702C6">
            <w:pPr>
              <w:tabs>
                <w:tab w:val="left" w:pos="360"/>
              </w:tabs>
              <w:spacing w:after="240"/>
              <w:ind w:left="360" w:hanging="360"/>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all forms of government debt, including bonds, treasury bills and other short-term</w:t>
            </w:r>
            <w:r w:rsidRPr="00E4265B">
              <w:rPr>
                <w:rFonts w:ascii="Arial" w:hAnsi="Arial" w:cs="Arial"/>
                <w:sz w:val="22"/>
                <w:szCs w:val="22"/>
                <w:lang w:val="en-GB"/>
              </w:rPr>
              <w:br/>
              <w:t>instruments; and</w:t>
            </w:r>
          </w:p>
          <w:p w14:paraId="47B2D4FE" w14:textId="77777777" w:rsidR="00E22FF2" w:rsidRPr="00E4265B" w:rsidRDefault="00E22FF2" w:rsidP="008702C6">
            <w:pPr>
              <w:tabs>
                <w:tab w:val="left" w:pos="360"/>
              </w:tabs>
              <w:spacing w:after="240"/>
              <w:ind w:left="360" w:hanging="360"/>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r>
            <w:r w:rsidR="00877CEA" w:rsidRPr="00E4265B">
              <w:rPr>
                <w:rFonts w:ascii="Arial" w:hAnsi="Arial" w:cs="Arial"/>
                <w:sz w:val="22"/>
                <w:szCs w:val="22"/>
                <w:lang w:val="en-GB"/>
              </w:rPr>
              <w:t>Securities</w:t>
            </w:r>
            <w:r w:rsidRPr="00E4265B">
              <w:rPr>
                <w:rFonts w:ascii="Arial" w:hAnsi="Arial" w:cs="Arial"/>
                <w:sz w:val="22"/>
                <w:szCs w:val="22"/>
                <w:lang w:val="en-GB"/>
              </w:rPr>
              <w:t xml:space="preserve"> issued by PSEs which qualify for a 0% risk weight for Credit Risk.</w:t>
            </w:r>
          </w:p>
          <w:p w14:paraId="32A1F143" w14:textId="4EA20B10" w:rsidR="00E22FF2" w:rsidRPr="00E4265B" w:rsidRDefault="00E22FF2" w:rsidP="008702C6">
            <w:pPr>
              <w:spacing w:after="240"/>
              <w:ind w:left="360" w:hanging="360"/>
              <w:rPr>
                <w:rFonts w:ascii="Arial" w:hAnsi="Arial" w:cs="Arial"/>
                <w:sz w:val="22"/>
                <w:szCs w:val="22"/>
                <w:lang w:val="en-GB"/>
              </w:rPr>
            </w:pPr>
            <w:r w:rsidRPr="00E4265B">
              <w:rPr>
                <w:rFonts w:ascii="Arial" w:hAnsi="Arial" w:cs="Arial"/>
                <w:sz w:val="22"/>
                <w:szCs w:val="22"/>
                <w:lang w:val="en-GB"/>
              </w:rPr>
              <w:t xml:space="preserve">An Exposure to any debt </w:t>
            </w:r>
            <w:r w:rsidR="00877CEA" w:rsidRPr="00E4265B">
              <w:rPr>
                <w:rFonts w:ascii="Arial" w:hAnsi="Arial" w:cs="Arial"/>
                <w:sz w:val="22"/>
                <w:szCs w:val="22"/>
                <w:lang w:val="en-GB"/>
              </w:rPr>
              <w:t>Security</w:t>
            </w:r>
            <w:r w:rsidRPr="00E4265B">
              <w:rPr>
                <w:rFonts w:ascii="Arial" w:hAnsi="Arial" w:cs="Arial"/>
                <w:sz w:val="22"/>
                <w:szCs w:val="22"/>
                <w:lang w:val="en-GB"/>
              </w:rPr>
              <w:t xml:space="preserve"> issued by</w:t>
            </w:r>
            <w:r w:rsidR="006A3399" w:rsidRPr="00E4265B">
              <w:rPr>
                <w:rFonts w:ascii="Arial" w:hAnsi="Arial" w:cs="Arial"/>
                <w:sz w:val="22"/>
                <w:szCs w:val="22"/>
                <w:lang w:val="en-GB"/>
              </w:rPr>
              <w:t xml:space="preserve"> -</w:t>
            </w:r>
          </w:p>
          <w:p w14:paraId="09B15AC7" w14:textId="77777777" w:rsidR="00E22FF2" w:rsidRPr="00E4265B" w:rsidRDefault="00E22FF2" w:rsidP="008702C6">
            <w:pPr>
              <w:tabs>
                <w:tab w:val="left" w:pos="360"/>
              </w:tabs>
              <w:spacing w:after="240"/>
              <w:ind w:left="360" w:hanging="360"/>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 central government or monetary authority; or</w:t>
            </w:r>
          </w:p>
          <w:p w14:paraId="73F44A0C" w14:textId="19460D4E" w:rsidR="00E22FF2" w:rsidRPr="00E4265B" w:rsidRDefault="00E22FF2" w:rsidP="00A534DD">
            <w:pPr>
              <w:tabs>
                <w:tab w:val="left" w:pos="360"/>
              </w:tabs>
              <w:spacing w:after="240"/>
              <w:ind w:left="360" w:hanging="360"/>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other central governmentswith a Credit</w:t>
            </w:r>
            <w:r w:rsidR="00A534DD" w:rsidRPr="00E4265B">
              <w:rPr>
                <w:rFonts w:ascii="Arial" w:hAnsi="Arial" w:cs="Arial"/>
                <w:sz w:val="22"/>
                <w:szCs w:val="22"/>
                <w:lang w:val="en-GB"/>
              </w:rPr>
              <w:t xml:space="preserve"> </w:t>
            </w:r>
            <w:r w:rsidRPr="00E4265B">
              <w:rPr>
                <w:rFonts w:ascii="Arial" w:hAnsi="Arial" w:cs="Arial"/>
                <w:sz w:val="22"/>
                <w:szCs w:val="22"/>
                <w:lang w:val="en-GB"/>
              </w:rPr>
              <w:t>Quality Grade of 3 or better as set out in Chapter 4,</w:t>
            </w:r>
          </w:p>
        </w:tc>
        <w:tc>
          <w:tcPr>
            <w:tcW w:w="0" w:type="auto"/>
          </w:tcPr>
          <w:p w14:paraId="7DC9B2AE"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1</w:t>
            </w:r>
          </w:p>
        </w:tc>
        <w:tc>
          <w:tcPr>
            <w:tcW w:w="0" w:type="auto"/>
          </w:tcPr>
          <w:p w14:paraId="3DD8B506"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Any</w:t>
            </w:r>
          </w:p>
        </w:tc>
        <w:tc>
          <w:tcPr>
            <w:tcW w:w="0" w:type="auto"/>
          </w:tcPr>
          <w:p w14:paraId="3DA56BBD"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0.00%</w:t>
            </w:r>
          </w:p>
        </w:tc>
      </w:tr>
      <w:tr w:rsidR="00E22FF2" w:rsidRPr="00E4265B" w14:paraId="226485DF" w14:textId="77777777" w:rsidTr="007E535F">
        <w:trPr>
          <w:trHeight w:val="870"/>
        </w:trPr>
        <w:tc>
          <w:tcPr>
            <w:tcW w:w="0" w:type="auto"/>
            <w:vMerge/>
          </w:tcPr>
          <w:p w14:paraId="72A511D9" w14:textId="77777777" w:rsidR="00E22FF2" w:rsidRPr="00E4265B" w:rsidRDefault="00E22FF2" w:rsidP="008702C6">
            <w:pPr>
              <w:spacing w:after="240"/>
              <w:rPr>
                <w:rFonts w:ascii="Arial" w:hAnsi="Arial" w:cs="Arial"/>
                <w:sz w:val="22"/>
                <w:szCs w:val="22"/>
                <w:lang w:val="en-GB"/>
              </w:rPr>
            </w:pPr>
          </w:p>
        </w:tc>
        <w:tc>
          <w:tcPr>
            <w:tcW w:w="0" w:type="auto"/>
            <w:vMerge w:val="restart"/>
          </w:tcPr>
          <w:p w14:paraId="41AAAF1D"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2 or 3</w:t>
            </w:r>
          </w:p>
        </w:tc>
        <w:tc>
          <w:tcPr>
            <w:tcW w:w="0" w:type="auto"/>
          </w:tcPr>
          <w:p w14:paraId="4C0CB9FC"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6 months or less</w:t>
            </w:r>
          </w:p>
        </w:tc>
        <w:tc>
          <w:tcPr>
            <w:tcW w:w="0" w:type="auto"/>
          </w:tcPr>
          <w:p w14:paraId="1F47D935"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0.25%</w:t>
            </w:r>
          </w:p>
        </w:tc>
      </w:tr>
      <w:tr w:rsidR="00E22FF2" w:rsidRPr="00E4265B" w14:paraId="069651F9" w14:textId="77777777" w:rsidTr="007E535F">
        <w:trPr>
          <w:trHeight w:val="870"/>
        </w:trPr>
        <w:tc>
          <w:tcPr>
            <w:tcW w:w="0" w:type="auto"/>
            <w:vMerge/>
          </w:tcPr>
          <w:p w14:paraId="057077A9" w14:textId="77777777" w:rsidR="00E22FF2" w:rsidRPr="00E4265B" w:rsidRDefault="00E22FF2" w:rsidP="008702C6">
            <w:pPr>
              <w:spacing w:after="240"/>
              <w:rPr>
                <w:rFonts w:ascii="Arial" w:hAnsi="Arial" w:cs="Arial"/>
                <w:sz w:val="22"/>
                <w:szCs w:val="22"/>
                <w:lang w:val="en-GB"/>
              </w:rPr>
            </w:pPr>
          </w:p>
        </w:tc>
        <w:tc>
          <w:tcPr>
            <w:tcW w:w="0" w:type="auto"/>
            <w:vMerge/>
          </w:tcPr>
          <w:p w14:paraId="46AB31FC" w14:textId="77777777" w:rsidR="00E22FF2" w:rsidRPr="00E4265B" w:rsidRDefault="00E22FF2" w:rsidP="008702C6">
            <w:pPr>
              <w:spacing w:after="240"/>
              <w:jc w:val="center"/>
              <w:rPr>
                <w:rFonts w:ascii="Arial" w:hAnsi="Arial" w:cs="Arial"/>
                <w:sz w:val="22"/>
                <w:szCs w:val="22"/>
                <w:lang w:val="en-GB"/>
              </w:rPr>
            </w:pPr>
          </w:p>
        </w:tc>
        <w:tc>
          <w:tcPr>
            <w:tcW w:w="0" w:type="auto"/>
          </w:tcPr>
          <w:p w14:paraId="30A9751A" w14:textId="541F6B90" w:rsidR="00E22FF2" w:rsidRPr="00E4265B" w:rsidRDefault="00E22FF2" w:rsidP="00A534DD">
            <w:pPr>
              <w:spacing w:after="240"/>
              <w:jc w:val="center"/>
              <w:rPr>
                <w:rFonts w:ascii="Arial" w:hAnsi="Arial" w:cs="Arial"/>
                <w:sz w:val="22"/>
                <w:szCs w:val="22"/>
                <w:lang w:val="en-GB"/>
              </w:rPr>
            </w:pPr>
            <w:r w:rsidRPr="00E4265B">
              <w:rPr>
                <w:rFonts w:ascii="Arial" w:hAnsi="Arial" w:cs="Arial"/>
                <w:sz w:val="22"/>
                <w:szCs w:val="22"/>
                <w:lang w:val="en-GB"/>
              </w:rPr>
              <w:t>More than 6 and</w:t>
            </w:r>
            <w:r w:rsidR="00A534DD" w:rsidRPr="00E4265B">
              <w:rPr>
                <w:rFonts w:ascii="Arial" w:hAnsi="Arial" w:cs="Arial"/>
                <w:sz w:val="22"/>
                <w:szCs w:val="22"/>
                <w:lang w:val="en-GB"/>
              </w:rPr>
              <w:t xml:space="preserve"> </w:t>
            </w:r>
            <w:r w:rsidRPr="00E4265B">
              <w:rPr>
                <w:rFonts w:ascii="Arial" w:hAnsi="Arial" w:cs="Arial"/>
                <w:sz w:val="22"/>
                <w:szCs w:val="22"/>
                <w:lang w:val="en-GB"/>
              </w:rPr>
              <w:t>up to 24 months</w:t>
            </w:r>
          </w:p>
        </w:tc>
        <w:tc>
          <w:tcPr>
            <w:tcW w:w="0" w:type="auto"/>
          </w:tcPr>
          <w:p w14:paraId="6FFE3724"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1.00%</w:t>
            </w:r>
          </w:p>
        </w:tc>
      </w:tr>
      <w:tr w:rsidR="00E22FF2" w:rsidRPr="00E4265B" w14:paraId="19EEEC67" w14:textId="77777777" w:rsidTr="007E535F">
        <w:trPr>
          <w:trHeight w:val="869"/>
        </w:trPr>
        <w:tc>
          <w:tcPr>
            <w:tcW w:w="0" w:type="auto"/>
            <w:vMerge/>
          </w:tcPr>
          <w:p w14:paraId="4FD37487" w14:textId="77777777" w:rsidR="00E22FF2" w:rsidRPr="00E4265B" w:rsidRDefault="00E22FF2" w:rsidP="008702C6">
            <w:pPr>
              <w:spacing w:after="240"/>
              <w:rPr>
                <w:rFonts w:ascii="Arial" w:hAnsi="Arial" w:cs="Arial"/>
                <w:sz w:val="22"/>
                <w:szCs w:val="22"/>
                <w:lang w:val="en-GB"/>
              </w:rPr>
            </w:pPr>
          </w:p>
        </w:tc>
        <w:tc>
          <w:tcPr>
            <w:tcW w:w="0" w:type="auto"/>
            <w:vMerge/>
          </w:tcPr>
          <w:p w14:paraId="7E2A4C49" w14:textId="77777777" w:rsidR="00E22FF2" w:rsidRPr="00E4265B" w:rsidRDefault="00E22FF2" w:rsidP="008702C6">
            <w:pPr>
              <w:spacing w:after="240"/>
              <w:jc w:val="center"/>
              <w:rPr>
                <w:rFonts w:ascii="Arial" w:hAnsi="Arial" w:cs="Arial"/>
                <w:sz w:val="22"/>
                <w:szCs w:val="22"/>
                <w:lang w:val="en-GB"/>
              </w:rPr>
            </w:pPr>
          </w:p>
        </w:tc>
        <w:tc>
          <w:tcPr>
            <w:tcW w:w="0" w:type="auto"/>
          </w:tcPr>
          <w:p w14:paraId="37BD8647" w14:textId="277D5FDF" w:rsidR="00E22FF2" w:rsidRPr="00E4265B" w:rsidRDefault="00A534DD" w:rsidP="008702C6">
            <w:pPr>
              <w:spacing w:after="240"/>
              <w:jc w:val="center"/>
              <w:rPr>
                <w:rFonts w:ascii="Arial" w:hAnsi="Arial" w:cs="Arial"/>
                <w:sz w:val="22"/>
                <w:szCs w:val="22"/>
                <w:lang w:val="en-GB"/>
              </w:rPr>
            </w:pPr>
            <w:r w:rsidRPr="00E4265B">
              <w:rPr>
                <w:rFonts w:ascii="Arial" w:hAnsi="Arial" w:cs="Arial"/>
                <w:sz w:val="22"/>
                <w:szCs w:val="22"/>
                <w:lang w:val="en-GB"/>
              </w:rPr>
              <w:t xml:space="preserve">More than 24 </w:t>
            </w:r>
            <w:r w:rsidR="00E22FF2" w:rsidRPr="00E4265B">
              <w:rPr>
                <w:rFonts w:ascii="Arial" w:hAnsi="Arial" w:cs="Arial"/>
                <w:sz w:val="22"/>
                <w:szCs w:val="22"/>
                <w:lang w:val="en-GB"/>
              </w:rPr>
              <w:t>months</w:t>
            </w:r>
          </w:p>
        </w:tc>
        <w:tc>
          <w:tcPr>
            <w:tcW w:w="0" w:type="auto"/>
          </w:tcPr>
          <w:p w14:paraId="7CD53213"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1.60%</w:t>
            </w:r>
          </w:p>
        </w:tc>
      </w:tr>
      <w:tr w:rsidR="00E22FF2" w:rsidRPr="00E4265B" w14:paraId="08CA2C14" w14:textId="77777777" w:rsidTr="007E535F">
        <w:trPr>
          <w:trHeight w:val="870"/>
        </w:trPr>
        <w:tc>
          <w:tcPr>
            <w:tcW w:w="0" w:type="auto"/>
            <w:vMerge/>
          </w:tcPr>
          <w:p w14:paraId="7DEFFBAA" w14:textId="77777777" w:rsidR="00E22FF2" w:rsidRPr="00E4265B" w:rsidRDefault="00E22FF2" w:rsidP="008702C6">
            <w:pPr>
              <w:spacing w:after="240"/>
              <w:rPr>
                <w:rFonts w:ascii="Arial" w:hAnsi="Arial" w:cs="Arial"/>
                <w:sz w:val="22"/>
                <w:szCs w:val="22"/>
                <w:lang w:val="en-GB"/>
              </w:rPr>
            </w:pPr>
          </w:p>
        </w:tc>
        <w:tc>
          <w:tcPr>
            <w:tcW w:w="0" w:type="auto"/>
          </w:tcPr>
          <w:p w14:paraId="7A969733"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4 or 5</w:t>
            </w:r>
          </w:p>
        </w:tc>
        <w:tc>
          <w:tcPr>
            <w:tcW w:w="0" w:type="auto"/>
          </w:tcPr>
          <w:p w14:paraId="7E3375D6"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Any</w:t>
            </w:r>
          </w:p>
        </w:tc>
        <w:tc>
          <w:tcPr>
            <w:tcW w:w="0" w:type="auto"/>
          </w:tcPr>
          <w:p w14:paraId="173C8BC1"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8.00%</w:t>
            </w:r>
          </w:p>
        </w:tc>
      </w:tr>
      <w:tr w:rsidR="00E22FF2" w:rsidRPr="00E4265B" w14:paraId="787A35F4" w14:textId="77777777" w:rsidTr="007E535F">
        <w:trPr>
          <w:trHeight w:val="870"/>
        </w:trPr>
        <w:tc>
          <w:tcPr>
            <w:tcW w:w="0" w:type="auto"/>
            <w:vMerge/>
            <w:tcBorders>
              <w:bottom w:val="nil"/>
            </w:tcBorders>
          </w:tcPr>
          <w:p w14:paraId="4F09C140" w14:textId="77777777" w:rsidR="00E22FF2" w:rsidRPr="00E4265B" w:rsidRDefault="00E22FF2" w:rsidP="008702C6">
            <w:pPr>
              <w:spacing w:after="240"/>
              <w:rPr>
                <w:rFonts w:ascii="Arial" w:hAnsi="Arial" w:cs="Arial"/>
                <w:sz w:val="22"/>
                <w:szCs w:val="22"/>
                <w:lang w:val="en-GB"/>
              </w:rPr>
            </w:pPr>
          </w:p>
        </w:tc>
        <w:tc>
          <w:tcPr>
            <w:tcW w:w="0" w:type="auto"/>
          </w:tcPr>
          <w:p w14:paraId="444780C0"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6</w:t>
            </w:r>
          </w:p>
        </w:tc>
        <w:tc>
          <w:tcPr>
            <w:tcW w:w="0" w:type="auto"/>
          </w:tcPr>
          <w:p w14:paraId="0623310D"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Any</w:t>
            </w:r>
          </w:p>
        </w:tc>
        <w:tc>
          <w:tcPr>
            <w:tcW w:w="0" w:type="auto"/>
          </w:tcPr>
          <w:p w14:paraId="0F1D7766"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12.00%</w:t>
            </w:r>
          </w:p>
        </w:tc>
      </w:tr>
      <w:tr w:rsidR="00E22FF2" w:rsidRPr="00E4265B" w14:paraId="647608A7" w14:textId="77777777" w:rsidTr="007E535F">
        <w:trPr>
          <w:trHeight w:val="2688"/>
        </w:trPr>
        <w:tc>
          <w:tcPr>
            <w:tcW w:w="0" w:type="auto"/>
            <w:tcBorders>
              <w:top w:val="nil"/>
            </w:tcBorders>
          </w:tcPr>
          <w:p w14:paraId="0374D0CC"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which is denominated in the domestic currency and funded in the same currency must be assigned a 0% Specific Risk charge.</w:t>
            </w:r>
          </w:p>
          <w:p w14:paraId="337ADF07" w14:textId="77777777" w:rsidR="00E22FF2" w:rsidRPr="00E4265B" w:rsidRDefault="00E22FF2" w:rsidP="00B40809">
            <w:pPr>
              <w:spacing w:after="240"/>
              <w:rPr>
                <w:rFonts w:ascii="Arial" w:hAnsi="Arial" w:cs="Arial"/>
                <w:sz w:val="22"/>
                <w:szCs w:val="22"/>
                <w:lang w:val="en-GB"/>
              </w:rPr>
            </w:pPr>
            <w:r w:rsidRPr="00E4265B">
              <w:rPr>
                <w:rFonts w:ascii="Arial" w:hAnsi="Arial" w:cs="Arial"/>
                <w:sz w:val="22"/>
                <w:szCs w:val="22"/>
                <w:lang w:val="en-GB"/>
              </w:rPr>
              <w:t xml:space="preserve">The Regulator may, at its discretion, assign a higher risk charge other than the above to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issued by certain governments, especially in cases where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are </w:t>
            </w:r>
            <w:r w:rsidRPr="00E4265B">
              <w:rPr>
                <w:rFonts w:ascii="Arial" w:hAnsi="Arial" w:cs="Arial"/>
                <w:sz w:val="22"/>
                <w:szCs w:val="22"/>
                <w:lang w:val="en-GB"/>
              </w:rPr>
              <w:lastRenderedPageBreak/>
              <w:t>denominated in a currency other than that of the issuing government.</w:t>
            </w:r>
          </w:p>
        </w:tc>
        <w:tc>
          <w:tcPr>
            <w:tcW w:w="0" w:type="auto"/>
          </w:tcPr>
          <w:p w14:paraId="0BCADCDF"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lastRenderedPageBreak/>
              <w:t>Unrated</w:t>
            </w:r>
          </w:p>
        </w:tc>
        <w:tc>
          <w:tcPr>
            <w:tcW w:w="0" w:type="auto"/>
          </w:tcPr>
          <w:p w14:paraId="00881BE0"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Any</w:t>
            </w:r>
          </w:p>
        </w:tc>
        <w:tc>
          <w:tcPr>
            <w:tcW w:w="0" w:type="auto"/>
          </w:tcPr>
          <w:p w14:paraId="00A21115"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8.00%</w:t>
            </w:r>
          </w:p>
        </w:tc>
      </w:tr>
      <w:tr w:rsidR="00E22FF2" w:rsidRPr="00E4265B" w14:paraId="6A68C135" w14:textId="77777777" w:rsidTr="007E535F">
        <w:trPr>
          <w:trHeight w:val="737"/>
        </w:trPr>
        <w:tc>
          <w:tcPr>
            <w:tcW w:w="0" w:type="auto"/>
            <w:vMerge w:val="restart"/>
          </w:tcPr>
          <w:p w14:paraId="1F36D296" w14:textId="77777777" w:rsidR="00E22FF2" w:rsidRPr="00E4265B" w:rsidRDefault="00E22FF2" w:rsidP="008702C6">
            <w:pPr>
              <w:spacing w:after="240"/>
              <w:ind w:left="360" w:hanging="360"/>
              <w:rPr>
                <w:rFonts w:ascii="Arial" w:hAnsi="Arial" w:cs="Arial"/>
                <w:sz w:val="22"/>
                <w:szCs w:val="22"/>
                <w:lang w:val="en-GB"/>
              </w:rPr>
            </w:pPr>
            <w:r w:rsidRPr="00E4265B">
              <w:rPr>
                <w:rFonts w:ascii="Arial" w:hAnsi="Arial" w:cs="Arial"/>
                <w:sz w:val="22"/>
                <w:szCs w:val="22"/>
                <w:lang w:val="en-GB"/>
              </w:rPr>
              <w:t>Qualifying Debt</w:t>
            </w:r>
          </w:p>
          <w:p w14:paraId="15397C8B" w14:textId="53C89A6C" w:rsidR="00E22FF2" w:rsidRPr="00E4265B" w:rsidRDefault="00E22FF2" w:rsidP="008702C6">
            <w:pPr>
              <w:spacing w:after="240"/>
              <w:ind w:left="360" w:hanging="360"/>
              <w:rPr>
                <w:rFonts w:ascii="Arial" w:hAnsi="Arial" w:cs="Arial"/>
                <w:sz w:val="22"/>
                <w:szCs w:val="22"/>
                <w:lang w:val="en-GB"/>
              </w:rPr>
            </w:pPr>
            <w:r w:rsidRPr="00E4265B">
              <w:rPr>
                <w:rFonts w:ascii="Arial" w:hAnsi="Arial" w:cs="Arial"/>
                <w:sz w:val="22"/>
                <w:szCs w:val="22"/>
                <w:lang w:val="en-GB"/>
              </w:rPr>
              <w:t>This category includes</w:t>
            </w:r>
            <w:r w:rsidR="006A3399" w:rsidRPr="00E4265B">
              <w:rPr>
                <w:rFonts w:ascii="Arial" w:hAnsi="Arial" w:cs="Arial"/>
                <w:sz w:val="22"/>
                <w:szCs w:val="22"/>
                <w:lang w:val="en-GB"/>
              </w:rPr>
              <w:t xml:space="preserve"> -</w:t>
            </w:r>
          </w:p>
          <w:p w14:paraId="596B8EE0" w14:textId="77777777" w:rsidR="00E22FF2" w:rsidRPr="00E4265B" w:rsidRDefault="00E22FF2" w:rsidP="008702C6">
            <w:pPr>
              <w:tabs>
                <w:tab w:val="left" w:pos="360"/>
              </w:tabs>
              <w:spacing w:after="240"/>
              <w:ind w:left="360" w:hanging="360"/>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any </w:t>
            </w:r>
            <w:r w:rsidR="00877CEA" w:rsidRPr="00E4265B">
              <w:rPr>
                <w:rFonts w:ascii="Arial" w:hAnsi="Arial" w:cs="Arial"/>
                <w:sz w:val="22"/>
                <w:szCs w:val="22"/>
                <w:lang w:val="en-GB"/>
              </w:rPr>
              <w:t>Security</w:t>
            </w:r>
            <w:r w:rsidRPr="00E4265B">
              <w:rPr>
                <w:rFonts w:ascii="Arial" w:hAnsi="Arial" w:cs="Arial"/>
                <w:sz w:val="22"/>
                <w:szCs w:val="22"/>
                <w:lang w:val="en-GB"/>
              </w:rPr>
              <w:t xml:space="preserve"> that is issued by an MDB;</w:t>
            </w:r>
          </w:p>
          <w:p w14:paraId="0E5511ED" w14:textId="77777777" w:rsidR="00E22FF2" w:rsidRPr="00E4265B" w:rsidRDefault="00E22FF2" w:rsidP="008702C6">
            <w:pPr>
              <w:tabs>
                <w:tab w:val="left" w:pos="360"/>
              </w:tabs>
              <w:spacing w:after="240"/>
              <w:ind w:left="360" w:hanging="360"/>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any </w:t>
            </w:r>
            <w:r w:rsidR="00877CEA" w:rsidRPr="00E4265B">
              <w:rPr>
                <w:rFonts w:ascii="Arial" w:hAnsi="Arial" w:cs="Arial"/>
                <w:sz w:val="22"/>
                <w:szCs w:val="22"/>
                <w:lang w:val="en-GB"/>
              </w:rPr>
              <w:t>Security</w:t>
            </w:r>
            <w:r w:rsidRPr="00E4265B">
              <w:rPr>
                <w:rFonts w:ascii="Arial" w:hAnsi="Arial" w:cs="Arial"/>
                <w:sz w:val="22"/>
                <w:szCs w:val="22"/>
                <w:lang w:val="en-GB"/>
              </w:rPr>
              <w:t xml:space="preserve"> (including one issued by a PSE) which has a Credit Quality Grade of 3 or better as set out in Chapter 4; and</w:t>
            </w:r>
          </w:p>
          <w:p w14:paraId="709D6FCF" w14:textId="77777777" w:rsidR="00E22FF2" w:rsidRPr="00E4265B" w:rsidRDefault="00E22FF2" w:rsidP="008702C6">
            <w:pPr>
              <w:tabs>
                <w:tab w:val="left" w:pos="360"/>
              </w:tabs>
              <w:spacing w:after="240"/>
              <w:ind w:left="360" w:hanging="360"/>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any unrated </w:t>
            </w:r>
            <w:r w:rsidR="00877CEA" w:rsidRPr="00E4265B">
              <w:rPr>
                <w:rFonts w:ascii="Arial" w:hAnsi="Arial" w:cs="Arial"/>
                <w:sz w:val="22"/>
                <w:szCs w:val="22"/>
                <w:lang w:val="en-GB"/>
              </w:rPr>
              <w:t>Security</w:t>
            </w:r>
            <w:r w:rsidRPr="00E4265B">
              <w:rPr>
                <w:rFonts w:ascii="Arial" w:hAnsi="Arial" w:cs="Arial"/>
                <w:sz w:val="22"/>
                <w:szCs w:val="22"/>
                <w:lang w:val="en-GB"/>
              </w:rPr>
              <w:t xml:space="preserve"> issued by a PSE which belongs to a country with a Credit Quality Grade of 1 as set out in Chapter 4.</w:t>
            </w:r>
          </w:p>
        </w:tc>
        <w:tc>
          <w:tcPr>
            <w:tcW w:w="0" w:type="auto"/>
            <w:vMerge w:val="restart"/>
          </w:tcPr>
          <w:p w14:paraId="62D759AC" w14:textId="77777777" w:rsidR="00E22FF2" w:rsidRPr="00E4265B" w:rsidRDefault="00E22FF2" w:rsidP="008702C6">
            <w:pPr>
              <w:spacing w:after="240"/>
              <w:jc w:val="center"/>
              <w:rPr>
                <w:rFonts w:ascii="Arial" w:hAnsi="Arial" w:cs="Arial"/>
                <w:sz w:val="22"/>
                <w:szCs w:val="22"/>
                <w:lang w:val="en-GB"/>
              </w:rPr>
            </w:pPr>
          </w:p>
        </w:tc>
        <w:tc>
          <w:tcPr>
            <w:tcW w:w="0" w:type="auto"/>
          </w:tcPr>
          <w:p w14:paraId="7A9816E3"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6 months or less</w:t>
            </w:r>
          </w:p>
        </w:tc>
        <w:tc>
          <w:tcPr>
            <w:tcW w:w="0" w:type="auto"/>
          </w:tcPr>
          <w:p w14:paraId="37B308E3"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0.25%</w:t>
            </w:r>
          </w:p>
        </w:tc>
      </w:tr>
      <w:tr w:rsidR="00E22FF2" w:rsidRPr="00E4265B" w14:paraId="2DD70DA7" w14:textId="77777777" w:rsidTr="007E535F">
        <w:trPr>
          <w:trHeight w:val="818"/>
        </w:trPr>
        <w:tc>
          <w:tcPr>
            <w:tcW w:w="0" w:type="auto"/>
            <w:vMerge/>
          </w:tcPr>
          <w:p w14:paraId="4FC8F8CD" w14:textId="77777777" w:rsidR="00E22FF2" w:rsidRPr="00E4265B" w:rsidRDefault="00E22FF2" w:rsidP="008702C6">
            <w:pPr>
              <w:spacing w:after="240"/>
              <w:rPr>
                <w:rFonts w:ascii="Arial" w:hAnsi="Arial" w:cs="Arial"/>
                <w:sz w:val="22"/>
                <w:szCs w:val="22"/>
                <w:lang w:val="en-GB"/>
              </w:rPr>
            </w:pPr>
          </w:p>
        </w:tc>
        <w:tc>
          <w:tcPr>
            <w:tcW w:w="0" w:type="auto"/>
            <w:vMerge/>
          </w:tcPr>
          <w:p w14:paraId="6BFDB58C" w14:textId="77777777" w:rsidR="00E22FF2" w:rsidRPr="00E4265B" w:rsidRDefault="00E22FF2" w:rsidP="008702C6">
            <w:pPr>
              <w:spacing w:after="240"/>
              <w:jc w:val="center"/>
              <w:rPr>
                <w:rFonts w:ascii="Arial" w:hAnsi="Arial" w:cs="Arial"/>
                <w:sz w:val="22"/>
                <w:szCs w:val="22"/>
                <w:lang w:val="en-GB"/>
              </w:rPr>
            </w:pPr>
          </w:p>
        </w:tc>
        <w:tc>
          <w:tcPr>
            <w:tcW w:w="0" w:type="auto"/>
          </w:tcPr>
          <w:p w14:paraId="7F2ABD55" w14:textId="1CD41D0A" w:rsidR="00E22FF2" w:rsidRPr="00E4265B" w:rsidRDefault="00E22FF2" w:rsidP="007E535F">
            <w:pPr>
              <w:spacing w:after="240"/>
              <w:jc w:val="center"/>
              <w:rPr>
                <w:rFonts w:ascii="Arial" w:hAnsi="Arial" w:cs="Arial"/>
                <w:sz w:val="22"/>
                <w:szCs w:val="22"/>
                <w:lang w:val="en-GB"/>
              </w:rPr>
            </w:pPr>
            <w:r w:rsidRPr="00E4265B">
              <w:rPr>
                <w:rFonts w:ascii="Arial" w:hAnsi="Arial" w:cs="Arial"/>
                <w:sz w:val="22"/>
                <w:szCs w:val="22"/>
                <w:lang w:val="en-GB"/>
              </w:rPr>
              <w:t>More than 6 and</w:t>
            </w:r>
            <w:r w:rsidR="007E535F" w:rsidRPr="00E4265B">
              <w:rPr>
                <w:rFonts w:ascii="Arial" w:hAnsi="Arial" w:cs="Arial"/>
                <w:sz w:val="22"/>
                <w:szCs w:val="22"/>
                <w:lang w:val="en-GB"/>
              </w:rPr>
              <w:t xml:space="preserve"> </w:t>
            </w:r>
            <w:r w:rsidRPr="00E4265B">
              <w:rPr>
                <w:rFonts w:ascii="Arial" w:hAnsi="Arial" w:cs="Arial"/>
                <w:sz w:val="22"/>
                <w:szCs w:val="22"/>
                <w:lang w:val="en-GB"/>
              </w:rPr>
              <w:t>up to 24 months</w:t>
            </w:r>
          </w:p>
        </w:tc>
        <w:tc>
          <w:tcPr>
            <w:tcW w:w="0" w:type="auto"/>
          </w:tcPr>
          <w:p w14:paraId="25AE614A"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1.00%</w:t>
            </w:r>
          </w:p>
        </w:tc>
      </w:tr>
      <w:tr w:rsidR="00E22FF2" w:rsidRPr="00E4265B" w14:paraId="54EB4951" w14:textId="77777777" w:rsidTr="007E535F">
        <w:trPr>
          <w:trHeight w:val="1222"/>
        </w:trPr>
        <w:tc>
          <w:tcPr>
            <w:tcW w:w="0" w:type="auto"/>
            <w:vMerge/>
          </w:tcPr>
          <w:p w14:paraId="2E339B3B" w14:textId="77777777" w:rsidR="00E22FF2" w:rsidRPr="00E4265B" w:rsidRDefault="00E22FF2" w:rsidP="008702C6">
            <w:pPr>
              <w:spacing w:after="240"/>
              <w:rPr>
                <w:rFonts w:ascii="Arial" w:hAnsi="Arial" w:cs="Arial"/>
                <w:sz w:val="22"/>
                <w:szCs w:val="22"/>
                <w:lang w:val="en-GB"/>
              </w:rPr>
            </w:pPr>
          </w:p>
        </w:tc>
        <w:tc>
          <w:tcPr>
            <w:tcW w:w="0" w:type="auto"/>
            <w:vMerge/>
          </w:tcPr>
          <w:p w14:paraId="0CD6FEED" w14:textId="77777777" w:rsidR="00E22FF2" w:rsidRPr="00E4265B" w:rsidRDefault="00E22FF2" w:rsidP="008702C6">
            <w:pPr>
              <w:spacing w:after="240"/>
              <w:jc w:val="center"/>
              <w:rPr>
                <w:rFonts w:ascii="Arial" w:hAnsi="Arial" w:cs="Arial"/>
                <w:sz w:val="22"/>
                <w:szCs w:val="22"/>
                <w:lang w:val="en-GB"/>
              </w:rPr>
            </w:pPr>
          </w:p>
        </w:tc>
        <w:tc>
          <w:tcPr>
            <w:tcW w:w="0" w:type="auto"/>
          </w:tcPr>
          <w:p w14:paraId="2EFE916E" w14:textId="6AEA4264" w:rsidR="00E22FF2" w:rsidRPr="00E4265B" w:rsidRDefault="00E22FF2" w:rsidP="007E535F">
            <w:pPr>
              <w:spacing w:after="240"/>
              <w:jc w:val="center"/>
              <w:rPr>
                <w:rFonts w:ascii="Arial" w:hAnsi="Arial" w:cs="Arial"/>
                <w:sz w:val="22"/>
                <w:szCs w:val="22"/>
                <w:lang w:val="en-GB"/>
              </w:rPr>
            </w:pPr>
            <w:r w:rsidRPr="00E4265B">
              <w:rPr>
                <w:rFonts w:ascii="Arial" w:hAnsi="Arial" w:cs="Arial"/>
                <w:sz w:val="22"/>
                <w:szCs w:val="22"/>
                <w:lang w:val="en-GB"/>
              </w:rPr>
              <w:t>More than 24</w:t>
            </w:r>
            <w:r w:rsidR="007E535F" w:rsidRPr="00E4265B">
              <w:rPr>
                <w:rFonts w:ascii="Arial" w:hAnsi="Arial" w:cs="Arial"/>
                <w:sz w:val="22"/>
                <w:szCs w:val="22"/>
                <w:lang w:val="en-GB"/>
              </w:rPr>
              <w:t xml:space="preserve"> </w:t>
            </w:r>
            <w:r w:rsidRPr="00E4265B">
              <w:rPr>
                <w:rFonts w:ascii="Arial" w:hAnsi="Arial" w:cs="Arial"/>
                <w:sz w:val="22"/>
                <w:szCs w:val="22"/>
                <w:lang w:val="en-GB"/>
              </w:rPr>
              <w:t>months</w:t>
            </w:r>
          </w:p>
        </w:tc>
        <w:tc>
          <w:tcPr>
            <w:tcW w:w="0" w:type="auto"/>
          </w:tcPr>
          <w:p w14:paraId="771DFFCD"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1.60%</w:t>
            </w:r>
          </w:p>
        </w:tc>
      </w:tr>
      <w:tr w:rsidR="00E22FF2" w:rsidRPr="00E4265B" w14:paraId="778FA468" w14:textId="77777777" w:rsidTr="007E535F">
        <w:tc>
          <w:tcPr>
            <w:tcW w:w="0" w:type="auto"/>
            <w:tcBorders>
              <w:bottom w:val="nil"/>
            </w:tcBorders>
          </w:tcPr>
          <w:p w14:paraId="61688D5A"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Other</w:t>
            </w:r>
          </w:p>
          <w:p w14:paraId="0303A93D" w14:textId="77777777" w:rsidR="00E22FF2" w:rsidRPr="00E4265B" w:rsidRDefault="00E22FF2" w:rsidP="00B40809">
            <w:pPr>
              <w:spacing w:after="240"/>
              <w:rPr>
                <w:rFonts w:ascii="Arial" w:hAnsi="Arial" w:cs="Arial"/>
                <w:sz w:val="22"/>
                <w:szCs w:val="22"/>
                <w:lang w:val="en-GB"/>
              </w:rPr>
            </w:pPr>
            <w:r w:rsidRPr="00E4265B">
              <w:rPr>
                <w:rFonts w:ascii="Arial" w:hAnsi="Arial" w:cs="Arial"/>
                <w:sz w:val="22"/>
                <w:szCs w:val="22"/>
                <w:lang w:val="en-GB"/>
              </w:rPr>
              <w:t xml:space="preserve">For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which have a high yield to redemption relative to government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issued in the same country, the Regulator will require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tc>
        <w:tc>
          <w:tcPr>
            <w:tcW w:w="0" w:type="auto"/>
          </w:tcPr>
          <w:p w14:paraId="3E804015"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4</w:t>
            </w:r>
          </w:p>
        </w:tc>
        <w:tc>
          <w:tcPr>
            <w:tcW w:w="0" w:type="auto"/>
          </w:tcPr>
          <w:p w14:paraId="592744F0"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Any</w:t>
            </w:r>
          </w:p>
        </w:tc>
        <w:tc>
          <w:tcPr>
            <w:tcW w:w="0" w:type="auto"/>
          </w:tcPr>
          <w:p w14:paraId="528C9DD4" w14:textId="4DF6D6D6" w:rsidR="00E22FF2" w:rsidRPr="00E4265B" w:rsidRDefault="00E22FF2" w:rsidP="00B40809">
            <w:pPr>
              <w:spacing w:after="240"/>
              <w:jc w:val="center"/>
              <w:rPr>
                <w:rFonts w:ascii="Arial" w:hAnsi="Arial" w:cs="Arial"/>
                <w:sz w:val="22"/>
                <w:szCs w:val="22"/>
                <w:lang w:val="en-GB"/>
              </w:rPr>
            </w:pPr>
            <w:r w:rsidRPr="00E4265B">
              <w:rPr>
                <w:rFonts w:ascii="Arial" w:hAnsi="Arial" w:cs="Arial"/>
                <w:sz w:val="22"/>
                <w:szCs w:val="22"/>
                <w:lang w:val="en-GB"/>
              </w:rPr>
              <w:t>8% or such other percent</w:t>
            </w:r>
            <w:r w:rsidR="00A534DD" w:rsidRPr="00E4265B">
              <w:rPr>
                <w:rFonts w:ascii="Arial" w:hAnsi="Arial" w:cs="Arial"/>
                <w:sz w:val="22"/>
                <w:szCs w:val="22"/>
                <w:lang w:val="en-GB"/>
              </w:rPr>
              <w:t>age as the Regulator may direct</w:t>
            </w:r>
          </w:p>
        </w:tc>
      </w:tr>
      <w:tr w:rsidR="00E22FF2" w:rsidRPr="00E4265B" w14:paraId="08D8892F" w14:textId="77777777" w:rsidTr="007E535F">
        <w:tc>
          <w:tcPr>
            <w:tcW w:w="0" w:type="auto"/>
            <w:vMerge w:val="restart"/>
            <w:tcBorders>
              <w:top w:val="nil"/>
            </w:tcBorders>
          </w:tcPr>
          <w:p w14:paraId="5CA3142E" w14:textId="77777777" w:rsidR="00E22FF2" w:rsidRPr="00E4265B" w:rsidRDefault="00E22FF2" w:rsidP="008702C6">
            <w:pPr>
              <w:tabs>
                <w:tab w:val="left" w:pos="360"/>
              </w:tabs>
              <w:spacing w:after="240"/>
              <w:ind w:left="360" w:hanging="360"/>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to apply a higher Specific Risk charge to such instruments; or</w:t>
            </w:r>
          </w:p>
          <w:p w14:paraId="7749FFD9" w14:textId="77777777" w:rsidR="00E22FF2" w:rsidRPr="00E4265B" w:rsidRDefault="00E22FF2" w:rsidP="008702C6">
            <w:pPr>
              <w:tabs>
                <w:tab w:val="left" w:pos="360"/>
              </w:tabs>
              <w:spacing w:after="240"/>
              <w:ind w:left="360" w:hanging="360"/>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to disallow offsetting for the purpose of defining the extent of General Market Risk between such instruments and any other debt instruments.</w:t>
            </w:r>
          </w:p>
        </w:tc>
        <w:tc>
          <w:tcPr>
            <w:tcW w:w="0" w:type="auto"/>
          </w:tcPr>
          <w:p w14:paraId="6CE9318C"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5 or 6</w:t>
            </w:r>
          </w:p>
        </w:tc>
        <w:tc>
          <w:tcPr>
            <w:tcW w:w="0" w:type="auto"/>
          </w:tcPr>
          <w:p w14:paraId="491EC2AB"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Any</w:t>
            </w:r>
          </w:p>
        </w:tc>
        <w:tc>
          <w:tcPr>
            <w:tcW w:w="0" w:type="auto"/>
          </w:tcPr>
          <w:p w14:paraId="3C1EE8DF" w14:textId="4067DEB8" w:rsidR="00E22FF2" w:rsidRPr="00E4265B" w:rsidRDefault="00E22FF2" w:rsidP="00B40809">
            <w:pPr>
              <w:spacing w:after="240"/>
              <w:jc w:val="center"/>
              <w:rPr>
                <w:rFonts w:ascii="Arial" w:hAnsi="Arial" w:cs="Arial"/>
                <w:sz w:val="22"/>
                <w:szCs w:val="22"/>
                <w:lang w:val="en-GB"/>
              </w:rPr>
            </w:pPr>
            <w:r w:rsidRPr="00E4265B">
              <w:rPr>
                <w:rFonts w:ascii="Arial" w:hAnsi="Arial" w:cs="Arial"/>
                <w:sz w:val="22"/>
                <w:szCs w:val="22"/>
                <w:lang w:val="en-GB"/>
              </w:rPr>
              <w:t xml:space="preserve">12% or such other percentage as the Regulator </w:t>
            </w:r>
            <w:r w:rsidR="00A534DD" w:rsidRPr="00E4265B">
              <w:rPr>
                <w:rFonts w:ascii="Arial" w:hAnsi="Arial" w:cs="Arial"/>
                <w:sz w:val="22"/>
                <w:szCs w:val="22"/>
                <w:lang w:val="en-GB"/>
              </w:rPr>
              <w:t>may direct</w:t>
            </w:r>
          </w:p>
        </w:tc>
      </w:tr>
      <w:tr w:rsidR="00E22FF2" w:rsidRPr="00E4265B" w14:paraId="4FDFA469" w14:textId="77777777" w:rsidTr="007E535F">
        <w:tc>
          <w:tcPr>
            <w:tcW w:w="0" w:type="auto"/>
            <w:vMerge/>
          </w:tcPr>
          <w:p w14:paraId="76137F33" w14:textId="77777777" w:rsidR="00E22FF2" w:rsidRPr="00E4265B" w:rsidRDefault="00E22FF2" w:rsidP="008702C6">
            <w:pPr>
              <w:spacing w:after="240"/>
              <w:rPr>
                <w:rFonts w:ascii="Arial" w:hAnsi="Arial" w:cs="Arial"/>
                <w:sz w:val="22"/>
                <w:szCs w:val="22"/>
                <w:lang w:val="en-GB"/>
              </w:rPr>
            </w:pPr>
          </w:p>
        </w:tc>
        <w:tc>
          <w:tcPr>
            <w:tcW w:w="0" w:type="auto"/>
          </w:tcPr>
          <w:p w14:paraId="6503D165"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Unrated</w:t>
            </w:r>
          </w:p>
        </w:tc>
        <w:tc>
          <w:tcPr>
            <w:tcW w:w="0" w:type="auto"/>
          </w:tcPr>
          <w:p w14:paraId="5E84F1EC" w14:textId="77777777" w:rsidR="00E22FF2" w:rsidRPr="00E4265B" w:rsidRDefault="00E22FF2" w:rsidP="008702C6">
            <w:pPr>
              <w:spacing w:after="240"/>
              <w:jc w:val="center"/>
              <w:rPr>
                <w:rFonts w:ascii="Arial" w:hAnsi="Arial" w:cs="Arial"/>
                <w:sz w:val="22"/>
                <w:szCs w:val="22"/>
                <w:lang w:val="en-GB"/>
              </w:rPr>
            </w:pPr>
            <w:r w:rsidRPr="00E4265B">
              <w:rPr>
                <w:rFonts w:ascii="Arial" w:hAnsi="Arial" w:cs="Arial"/>
                <w:sz w:val="22"/>
                <w:szCs w:val="22"/>
                <w:lang w:val="en-GB"/>
              </w:rPr>
              <w:t>Any</w:t>
            </w:r>
          </w:p>
        </w:tc>
        <w:tc>
          <w:tcPr>
            <w:tcW w:w="0" w:type="auto"/>
          </w:tcPr>
          <w:p w14:paraId="2D41C998" w14:textId="589FB448" w:rsidR="00E22FF2" w:rsidRPr="00E4265B" w:rsidRDefault="00E22FF2" w:rsidP="00B40809">
            <w:pPr>
              <w:spacing w:after="240"/>
              <w:jc w:val="center"/>
              <w:rPr>
                <w:rFonts w:ascii="Arial" w:hAnsi="Arial" w:cs="Arial"/>
                <w:sz w:val="22"/>
                <w:szCs w:val="22"/>
                <w:lang w:val="en-GB"/>
              </w:rPr>
            </w:pPr>
            <w:r w:rsidRPr="00E4265B">
              <w:rPr>
                <w:rFonts w:ascii="Arial" w:hAnsi="Arial" w:cs="Arial"/>
                <w:sz w:val="22"/>
                <w:szCs w:val="22"/>
                <w:lang w:val="en-GB"/>
              </w:rPr>
              <w:t>8% or such other percent</w:t>
            </w:r>
            <w:r w:rsidR="00A534DD" w:rsidRPr="00E4265B">
              <w:rPr>
                <w:rFonts w:ascii="Arial" w:hAnsi="Arial" w:cs="Arial"/>
                <w:sz w:val="22"/>
                <w:szCs w:val="22"/>
                <w:lang w:val="en-GB"/>
              </w:rPr>
              <w:t>age as the Regulator may direct</w:t>
            </w:r>
          </w:p>
        </w:tc>
      </w:tr>
    </w:tbl>
    <w:p w14:paraId="51B321F7" w14:textId="77777777" w:rsidR="00E22FF2" w:rsidRPr="00E4265B" w:rsidRDefault="00E22FF2" w:rsidP="00A56816">
      <w:pPr>
        <w:rPr>
          <w:rFonts w:ascii="Arial" w:hAnsi="Arial" w:cs="Arial"/>
          <w:sz w:val="22"/>
          <w:szCs w:val="22"/>
          <w:lang w:val="en-GB"/>
        </w:rPr>
      </w:pPr>
    </w:p>
    <w:p w14:paraId="602AE80E" w14:textId="77777777" w:rsidR="00E22FF2" w:rsidRPr="00E4265B" w:rsidRDefault="00E22FF2" w:rsidP="00D63933">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69154D6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Offsetting is not permitted since differences in coupon rates, liquidity, and call features, for example, signify that prices may diverge in the short run.</w:t>
      </w:r>
    </w:p>
    <w:p w14:paraId="714867D3"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"Other" category will receive the same Specific Risk requirement as a private</w:t>
      </w:r>
      <w:r w:rsidRPr="00E4265B">
        <w:rPr>
          <w:rFonts w:ascii="Arial" w:hAnsi="Arial" w:cs="Arial"/>
          <w:sz w:val="22"/>
          <w:szCs w:val="22"/>
          <w:lang w:val="en-GB"/>
        </w:rPr>
        <w:noBreakHyphen/>
        <w:t xml:space="preserve">sector borrower under the CRCOM, 8%. However, since this may, in certain cases, considerably underestimate the Specific Risk for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which have a high yield to redemption relative to government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the Regulator has the right to apply to such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 Specific Risk percentage higher than 8%.</w:t>
      </w:r>
    </w:p>
    <w:p w14:paraId="01C3F4F4" w14:textId="77777777" w:rsidR="00E22FF2" w:rsidRPr="00E4265B" w:rsidRDefault="00571572"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.2.14</w:t>
      </w:r>
      <w:r w:rsidR="00E22FF2" w:rsidRPr="00E4265B">
        <w:rPr>
          <w:rFonts w:ascii="Arial" w:hAnsi="Arial" w:cs="Arial"/>
          <w:b/>
          <w:bCs/>
          <w:sz w:val="22"/>
          <w:szCs w:val="22"/>
          <w:lang w:val="en-GB"/>
        </w:rPr>
        <w:tab/>
      </w:r>
      <w:r w:rsidR="00E22FF2" w:rsidRPr="00E4265B">
        <w:rPr>
          <w:rFonts w:ascii="Arial" w:hAnsi="Arial" w:cs="Arial"/>
          <w:sz w:val="22"/>
          <w:szCs w:val="22"/>
          <w:lang w:val="en-GB"/>
        </w:rPr>
        <w:t>[Reserved]</w:t>
      </w:r>
    </w:p>
    <w:p w14:paraId="5598EC50" w14:textId="77777777" w:rsidR="00E22FF2" w:rsidRPr="00E4265B" w:rsidRDefault="00E22FF2" w:rsidP="00D63933">
      <w:pPr>
        <w:pStyle w:val="TitleL5"/>
        <w:rPr>
          <w:rFonts w:ascii="Arial" w:hAnsi="Arial" w:cs="Arial"/>
          <w:sz w:val="22"/>
          <w:szCs w:val="22"/>
          <w:lang w:val="en-GB"/>
        </w:rPr>
      </w:pPr>
      <w:r w:rsidRPr="00E4265B">
        <w:rPr>
          <w:rFonts w:ascii="Arial" w:hAnsi="Arial" w:cs="Arial"/>
          <w:sz w:val="22"/>
          <w:szCs w:val="22"/>
          <w:lang w:val="en-GB"/>
        </w:rPr>
        <w:t>General Market Risk</w:t>
      </w:r>
    </w:p>
    <w:p w14:paraId="66AE9154" w14:textId="5284D4C7" w:rsidR="00E22FF2" w:rsidRPr="00E4265B" w:rsidRDefault="00E22FF2" w:rsidP="00BB2715">
      <w:pPr>
        <w:pStyle w:val="List2TabStops"/>
        <w:rPr>
          <w:rFonts w:ascii="Arial" w:hAnsi="Arial" w:cs="Arial"/>
          <w:sz w:val="22"/>
          <w:szCs w:val="22"/>
          <w:lang w:val="en-GB"/>
        </w:rPr>
      </w:pPr>
      <w:r w:rsidRPr="00E4265B">
        <w:rPr>
          <w:rFonts w:ascii="Arial" w:hAnsi="Arial" w:cs="Arial"/>
          <w:b/>
          <w:bCs/>
          <w:sz w:val="22"/>
          <w:szCs w:val="22"/>
          <w:lang w:val="en-GB"/>
        </w:rPr>
        <w:t>A</w:t>
      </w:r>
      <w:r w:rsidR="00571572" w:rsidRPr="00E4265B">
        <w:rPr>
          <w:rFonts w:ascii="Arial" w:hAnsi="Arial" w:cs="Arial"/>
          <w:b/>
          <w:bCs/>
          <w:sz w:val="22"/>
          <w:szCs w:val="22"/>
          <w:lang w:val="en-GB"/>
        </w:rPr>
        <w:t>6</w:t>
      </w:r>
      <w:r w:rsidRPr="00E4265B">
        <w:rPr>
          <w:rFonts w:ascii="Arial" w:hAnsi="Arial" w:cs="Arial"/>
          <w:b/>
          <w:bCs/>
          <w:sz w:val="22"/>
          <w:szCs w:val="22"/>
          <w:lang w:val="en-GB"/>
        </w:rPr>
        <w:t>.2.15</w:t>
      </w:r>
      <w:r w:rsidR="00F51D6D" w:rsidRPr="00E4265B">
        <w:rPr>
          <w:rFonts w:ascii="Arial" w:hAnsi="Arial" w:cs="Arial"/>
          <w:sz w:val="22"/>
          <w:szCs w:val="22"/>
          <w:lang w:val="en-GB"/>
        </w:rPr>
        <w:tab/>
      </w:r>
      <w:r w:rsidRPr="00E4265B">
        <w:rPr>
          <w:rFonts w:ascii="Arial" w:hAnsi="Arial" w:cs="Arial"/>
          <w:sz w:val="22"/>
          <w:szCs w:val="22"/>
          <w:lang w:val="en-GB"/>
        </w:rPr>
        <w:t>(1)</w:t>
      </w:r>
      <w:r w:rsidR="00F51D6D" w:rsidRPr="00E4265B">
        <w:rPr>
          <w:rFonts w:ascii="Arial" w:hAnsi="Arial" w:cs="Arial"/>
          <w:sz w:val="22"/>
          <w:szCs w:val="22"/>
          <w:lang w:val="en-GB"/>
        </w:rPr>
        <w:tab/>
      </w:r>
      <w:r w:rsidR="00BB2715" w:rsidRPr="00E4265B">
        <w:rPr>
          <w:rFonts w:ascii="Arial" w:hAnsi="Arial" w:cs="Arial"/>
          <w:sz w:val="22"/>
          <w:szCs w:val="22"/>
          <w:lang w:val="en-GB"/>
        </w:rPr>
        <w:t>Subject to (3), a</w:t>
      </w:r>
      <w:r w:rsidRPr="00E4265B">
        <w:rPr>
          <w:rFonts w:ascii="Arial" w:hAnsi="Arial" w:cs="Arial"/>
          <w:sz w:val="22"/>
          <w:szCs w:val="22"/>
          <w:lang w:val="en-GB"/>
        </w:rPr>
        <w:t xml:space="preserve">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its General Market Risk on a currency by currency basis, irrespective of where the individual instruments are physically traded or listed. The calculations for each currency must then be added together to determine the amount of the </w:t>
      </w:r>
      <w:r w:rsidR="000D1A90" w:rsidRPr="00E4265B">
        <w:rPr>
          <w:rFonts w:ascii="Arial" w:hAnsi="Arial" w:cs="Arial"/>
          <w:sz w:val="22"/>
          <w:szCs w:val="22"/>
          <w:lang w:val="en-GB"/>
        </w:rPr>
        <w:t>Authorised Person</w:t>
      </w:r>
      <w:r w:rsidRPr="00E4265B">
        <w:rPr>
          <w:rFonts w:ascii="Arial" w:hAnsi="Arial" w:cs="Arial"/>
          <w:sz w:val="22"/>
          <w:szCs w:val="22"/>
          <w:lang w:val="en-GB"/>
        </w:rPr>
        <w:t>'s General Market Risk requirement.</w:t>
      </w:r>
    </w:p>
    <w:p w14:paraId="520A334F" w14:textId="478C524D" w:rsidR="00E22FF2" w:rsidRPr="00E4265B" w:rsidRDefault="00F51D6D" w:rsidP="00BB2715">
      <w:pPr>
        <w:pStyle w:val="1List"/>
        <w:rPr>
          <w:rFonts w:ascii="Arial" w:hAnsi="Arial" w:cs="Arial"/>
          <w:sz w:val="22"/>
          <w:szCs w:val="22"/>
          <w:lang w:val="en-GB"/>
        </w:rPr>
      </w:pPr>
      <w:r w:rsidRPr="00E4265B">
        <w:rPr>
          <w:rFonts w:ascii="Arial" w:hAnsi="Arial" w:cs="Arial"/>
          <w:sz w:val="22"/>
          <w:szCs w:val="22"/>
          <w:lang w:val="en-GB"/>
        </w:rPr>
        <w:t>(2)</w:t>
      </w:r>
      <w:r w:rsidR="00E22FF2"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calculate its General Market Risk requirement for each currency by applying </w:t>
      </w:r>
      <w:r w:rsidR="00BB2715" w:rsidRPr="00E4265B">
        <w:rPr>
          <w:rFonts w:ascii="Arial" w:hAnsi="Arial" w:cs="Arial"/>
          <w:sz w:val="22"/>
          <w:szCs w:val="22"/>
          <w:lang w:val="en-GB"/>
        </w:rPr>
        <w:t>one of the following approaches to all currencies, including to the single maturity ladder derived from the currencies identified under (3)</w:t>
      </w:r>
      <w:r w:rsidR="00E22FF2" w:rsidRPr="00E4265B">
        <w:rPr>
          <w:rFonts w:ascii="Arial" w:hAnsi="Arial" w:cs="Arial"/>
          <w:sz w:val="22"/>
          <w:szCs w:val="22"/>
          <w:lang w:val="en-GB"/>
        </w:rPr>
        <w:t>:</w:t>
      </w:r>
    </w:p>
    <w:p w14:paraId="6C5F37D6" w14:textId="04A33555" w:rsidR="00E22FF2" w:rsidRPr="00E4265B" w:rsidRDefault="00F51D6D" w:rsidP="00F51D6D">
      <w:pPr>
        <w:pStyle w:val="aList"/>
        <w:rPr>
          <w:rFonts w:ascii="Arial" w:hAnsi="Arial" w:cs="Arial"/>
          <w:sz w:val="22"/>
          <w:szCs w:val="22"/>
          <w:lang w:val="en-GB"/>
        </w:rPr>
      </w:pPr>
      <w:r w:rsidRPr="00E4265B">
        <w:rPr>
          <w:rFonts w:ascii="Arial" w:hAnsi="Arial" w:cs="Arial"/>
          <w:sz w:val="22"/>
          <w:szCs w:val="22"/>
          <w:lang w:val="en-GB"/>
        </w:rPr>
        <w:t>(a)</w:t>
      </w:r>
      <w:r w:rsidR="00E22FF2" w:rsidRPr="00E4265B">
        <w:rPr>
          <w:rFonts w:ascii="Arial" w:hAnsi="Arial" w:cs="Arial"/>
          <w:sz w:val="22"/>
          <w:szCs w:val="22"/>
          <w:lang w:val="en-GB"/>
        </w:rPr>
        <w:tab/>
        <w:t>the simplified framework set out in Rule A</w:t>
      </w:r>
      <w:r w:rsidR="00571572" w:rsidRPr="00E4265B">
        <w:rPr>
          <w:rFonts w:ascii="Arial" w:hAnsi="Arial" w:cs="Arial"/>
          <w:sz w:val="22"/>
          <w:szCs w:val="22"/>
          <w:lang w:val="en-GB"/>
        </w:rPr>
        <w:t>6</w:t>
      </w:r>
      <w:r w:rsidR="00E22FF2" w:rsidRPr="00E4265B">
        <w:rPr>
          <w:rFonts w:ascii="Arial" w:hAnsi="Arial" w:cs="Arial"/>
          <w:sz w:val="22"/>
          <w:szCs w:val="22"/>
          <w:lang w:val="en-GB"/>
        </w:rPr>
        <w:t xml:space="preserve">.2.16; </w:t>
      </w:r>
    </w:p>
    <w:p w14:paraId="1BEDFA4A" w14:textId="77777777" w:rsidR="00E22FF2" w:rsidRPr="00E4265B" w:rsidRDefault="00E22FF2" w:rsidP="00F51D6D">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Maturity Method set out in Rule A</w:t>
      </w:r>
      <w:r w:rsidR="00571572" w:rsidRPr="00E4265B">
        <w:rPr>
          <w:rFonts w:ascii="Arial" w:hAnsi="Arial" w:cs="Arial"/>
          <w:sz w:val="22"/>
          <w:szCs w:val="22"/>
          <w:lang w:val="en-GB"/>
        </w:rPr>
        <w:t>6</w:t>
      </w:r>
      <w:r w:rsidRPr="00E4265B">
        <w:rPr>
          <w:rFonts w:ascii="Arial" w:hAnsi="Arial" w:cs="Arial"/>
          <w:sz w:val="22"/>
          <w:szCs w:val="22"/>
          <w:lang w:val="en-GB"/>
        </w:rPr>
        <w:t>.2.17; or</w:t>
      </w:r>
    </w:p>
    <w:p w14:paraId="13A7B1F1" w14:textId="03D26F37" w:rsidR="00E22FF2" w:rsidRPr="00E4265B" w:rsidRDefault="00F51D6D" w:rsidP="00F51D6D">
      <w:pPr>
        <w:pStyle w:val="aList"/>
        <w:rPr>
          <w:rFonts w:ascii="Arial" w:hAnsi="Arial" w:cs="Arial"/>
          <w:sz w:val="22"/>
          <w:szCs w:val="22"/>
          <w:lang w:val="en-GB"/>
        </w:rPr>
      </w:pPr>
      <w:r w:rsidRPr="00E4265B">
        <w:rPr>
          <w:rFonts w:ascii="Arial" w:hAnsi="Arial" w:cs="Arial"/>
          <w:sz w:val="22"/>
          <w:szCs w:val="22"/>
          <w:lang w:val="en-GB"/>
        </w:rPr>
        <w:t>(c)</w:t>
      </w:r>
      <w:r w:rsidR="00E22FF2" w:rsidRPr="00E4265B">
        <w:rPr>
          <w:rFonts w:ascii="Arial" w:hAnsi="Arial" w:cs="Arial"/>
          <w:sz w:val="22"/>
          <w:szCs w:val="22"/>
          <w:lang w:val="en-GB"/>
        </w:rPr>
        <w:tab/>
        <w:t>with the consent of the Regulator, the Duration Method set out in Rule A</w:t>
      </w:r>
      <w:r w:rsidR="00571572" w:rsidRPr="00E4265B">
        <w:rPr>
          <w:rFonts w:ascii="Arial" w:hAnsi="Arial" w:cs="Arial"/>
          <w:sz w:val="22"/>
          <w:szCs w:val="22"/>
          <w:lang w:val="en-GB"/>
        </w:rPr>
        <w:t>6</w:t>
      </w:r>
      <w:r w:rsidR="00E22FF2" w:rsidRPr="00E4265B">
        <w:rPr>
          <w:rFonts w:ascii="Arial" w:hAnsi="Arial" w:cs="Arial"/>
          <w:sz w:val="22"/>
          <w:szCs w:val="22"/>
          <w:lang w:val="en-GB"/>
        </w:rPr>
        <w:t>.2.19.</w:t>
      </w:r>
    </w:p>
    <w:p w14:paraId="3B01444F" w14:textId="56749FA7" w:rsidR="00BB2715" w:rsidRPr="00E4265B" w:rsidRDefault="00BB2715" w:rsidP="00BB2715">
      <w:pPr>
        <w:pStyle w:val="aList"/>
        <w:ind w:left="1843" w:hanging="850"/>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For currencies in which business is not material, separate maturity ladders for each currency are not required, and the Authorised Person must calculate its General Market Risk requirement by constructing a single maturity ladder and slot, within each appropriate time-band, the net long or short position for each of those currencies after converting them into US $s.</w:t>
      </w:r>
    </w:p>
    <w:p w14:paraId="236221DA" w14:textId="491850FF" w:rsidR="00E22FF2" w:rsidRPr="00E4265B" w:rsidRDefault="00881EF1" w:rsidP="00D63933">
      <w:pPr>
        <w:pStyle w:val="TitleL5"/>
        <w:rPr>
          <w:rFonts w:ascii="Arial" w:hAnsi="Arial" w:cs="Arial"/>
          <w:sz w:val="22"/>
          <w:szCs w:val="22"/>
          <w:lang w:val="en-GB"/>
        </w:rPr>
      </w:pPr>
      <w:r w:rsidRPr="00E4265B">
        <w:rPr>
          <w:rFonts w:ascii="Arial" w:hAnsi="Arial" w:cs="Arial"/>
          <w:sz w:val="22"/>
          <w:szCs w:val="22"/>
          <w:lang w:val="en-GB"/>
        </w:rPr>
        <w:t>Simplified f</w:t>
      </w:r>
      <w:r w:rsidR="00E22FF2" w:rsidRPr="00E4265B">
        <w:rPr>
          <w:rFonts w:ascii="Arial" w:hAnsi="Arial" w:cs="Arial"/>
          <w:sz w:val="22"/>
          <w:szCs w:val="22"/>
          <w:lang w:val="en-GB"/>
        </w:rPr>
        <w:t>ramework</w:t>
      </w:r>
    </w:p>
    <w:p w14:paraId="06B95D9F" w14:textId="00E26D8C" w:rsidR="00E22FF2" w:rsidRPr="00E4265B" w:rsidRDefault="00E22FF2" w:rsidP="00B44E90">
      <w:pPr>
        <w:pStyle w:val="A1List"/>
        <w:rPr>
          <w:rFonts w:ascii="Arial" w:hAnsi="Arial" w:cs="Arial"/>
          <w:sz w:val="22"/>
          <w:szCs w:val="22"/>
          <w:lang w:val="en-GB"/>
        </w:rPr>
      </w:pPr>
      <w:r w:rsidRPr="00E4265B">
        <w:rPr>
          <w:rFonts w:ascii="Arial" w:hAnsi="Arial" w:cs="Arial"/>
          <w:b/>
          <w:bCs/>
          <w:sz w:val="22"/>
          <w:szCs w:val="22"/>
          <w:lang w:val="en-GB"/>
        </w:rPr>
        <w:t>A</w:t>
      </w:r>
      <w:r w:rsidR="00B44E90" w:rsidRPr="00E4265B">
        <w:rPr>
          <w:rFonts w:ascii="Arial" w:hAnsi="Arial" w:cs="Arial"/>
          <w:b/>
          <w:bCs/>
          <w:sz w:val="22"/>
          <w:szCs w:val="22"/>
          <w:lang w:val="en-GB"/>
        </w:rPr>
        <w:t>6</w:t>
      </w:r>
      <w:r w:rsidRPr="00E4265B">
        <w:rPr>
          <w:rFonts w:ascii="Arial" w:hAnsi="Arial" w:cs="Arial"/>
          <w:b/>
          <w:bCs/>
          <w:sz w:val="22"/>
          <w:szCs w:val="22"/>
          <w:lang w:val="en-GB"/>
        </w:rPr>
        <w:t>.2.16</w:t>
      </w:r>
      <w:r w:rsidRPr="00E4265B">
        <w:rPr>
          <w:rFonts w:ascii="Arial" w:hAnsi="Arial" w:cs="Arial"/>
          <w:b/>
          <w:bCs/>
          <w:sz w:val="22"/>
          <w:szCs w:val="22"/>
          <w:lang w:val="en-GB"/>
        </w:rPr>
        <w:tab/>
      </w:r>
      <w:r w:rsidRPr="00E4265B">
        <w:rPr>
          <w:rFonts w:ascii="Arial" w:hAnsi="Arial" w:cs="Arial"/>
          <w:sz w:val="22"/>
          <w:szCs w:val="22"/>
          <w:lang w:val="en-GB"/>
        </w:rPr>
        <w:t xml:space="preserve">In applying the simplified framework,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its General Market Risk requirement for each currency by taking the following steps:</w:t>
      </w:r>
    </w:p>
    <w:p w14:paraId="104963C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allocating the individual net positions to one of the time bands in the table below, as follows:</w:t>
      </w:r>
    </w:p>
    <w:p w14:paraId="6A864413" w14:textId="364D76FC" w:rsidR="00E22FF2" w:rsidRPr="00E4265B" w:rsidRDefault="00E22FF2" w:rsidP="00881EF1">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fixed</w:t>
      </w:r>
      <w:r w:rsidRPr="00E4265B">
        <w:rPr>
          <w:rFonts w:ascii="Arial" w:hAnsi="Arial" w:cs="Arial"/>
          <w:sz w:val="22"/>
          <w:szCs w:val="22"/>
          <w:lang w:val="en-GB"/>
        </w:rPr>
        <w:noBreakHyphen/>
        <w:t>rate instruments are allo</w:t>
      </w:r>
      <w:r w:rsidR="00881EF1" w:rsidRPr="00E4265B">
        <w:rPr>
          <w:rFonts w:ascii="Arial" w:hAnsi="Arial" w:cs="Arial"/>
          <w:sz w:val="22"/>
          <w:szCs w:val="22"/>
          <w:lang w:val="en-GB"/>
        </w:rPr>
        <w:t>ca</w:t>
      </w:r>
      <w:r w:rsidRPr="00E4265B">
        <w:rPr>
          <w:rFonts w:ascii="Arial" w:hAnsi="Arial" w:cs="Arial"/>
          <w:sz w:val="22"/>
          <w:szCs w:val="22"/>
          <w:lang w:val="en-GB"/>
        </w:rPr>
        <w:t xml:space="preserve">ted </w:t>
      </w:r>
      <w:r w:rsidR="00881EF1" w:rsidRPr="00E4265B">
        <w:rPr>
          <w:rFonts w:ascii="Arial" w:hAnsi="Arial" w:cs="Arial"/>
          <w:sz w:val="22"/>
          <w:szCs w:val="22"/>
          <w:lang w:val="en-GB"/>
        </w:rPr>
        <w:t xml:space="preserve">to </w:t>
      </w:r>
      <w:r w:rsidRPr="00E4265B">
        <w:rPr>
          <w:rFonts w:ascii="Arial" w:hAnsi="Arial" w:cs="Arial"/>
          <w:sz w:val="22"/>
          <w:szCs w:val="22"/>
          <w:lang w:val="en-GB"/>
        </w:rPr>
        <w:t>their time bands based upon the residual time to maturity; and</w:t>
      </w:r>
    </w:p>
    <w:p w14:paraId="3BEE8B3B" w14:textId="77777777" w:rsidR="00E22FF2" w:rsidRPr="00E4265B" w:rsidRDefault="00E22FF2" w:rsidP="00D63933">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floating</w:t>
      </w:r>
      <w:r w:rsidRPr="00E4265B">
        <w:rPr>
          <w:rFonts w:ascii="Arial" w:hAnsi="Arial" w:cs="Arial"/>
          <w:sz w:val="22"/>
          <w:szCs w:val="22"/>
          <w:lang w:val="en-GB"/>
        </w:rPr>
        <w:noBreakHyphen/>
        <w:t>rate instruments are allocated to time bands based upon the time remaining to the re</w:t>
      </w:r>
      <w:r w:rsidRPr="00E4265B">
        <w:rPr>
          <w:rFonts w:ascii="Arial" w:hAnsi="Arial" w:cs="Arial"/>
          <w:sz w:val="22"/>
          <w:szCs w:val="22"/>
          <w:lang w:val="en-GB"/>
        </w:rPr>
        <w:noBreakHyphen/>
        <w:t>determination of the coupon;</w:t>
      </w:r>
    </w:p>
    <w:p w14:paraId="496039B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(b)</w:t>
      </w:r>
      <w:r w:rsidRPr="00E4265B">
        <w:rPr>
          <w:rFonts w:ascii="Arial" w:hAnsi="Arial" w:cs="Arial"/>
          <w:sz w:val="22"/>
          <w:szCs w:val="22"/>
          <w:lang w:val="en-GB"/>
        </w:rPr>
        <w:tab/>
        <w:t>adding the market values of the individual net positions within each band irrespective of whether they are long or short positions to produce a gross position figure;</w:t>
      </w:r>
    </w:p>
    <w:p w14:paraId="0B92EEC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multiplying the amount in (b) by the risk percentage for the relevant maturity band in the table below; and</w:t>
      </w:r>
    </w:p>
    <w:p w14:paraId="1EE04010"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adding the calculations in (c) to arrive at the General Market Risk requirement.</w:t>
      </w:r>
    </w:p>
    <w:tbl>
      <w:tblPr>
        <w:tblStyle w:val="TableGrid"/>
        <w:tblW w:w="7290" w:type="dxa"/>
        <w:tblInd w:w="1908" w:type="dxa"/>
        <w:tblLayout w:type="fixed"/>
        <w:tblLook w:val="04A0" w:firstRow="1" w:lastRow="0" w:firstColumn="1" w:lastColumn="0" w:noHBand="0" w:noVBand="1"/>
      </w:tblPr>
      <w:tblGrid>
        <w:gridCol w:w="900"/>
        <w:gridCol w:w="2250"/>
        <w:gridCol w:w="2610"/>
        <w:gridCol w:w="1530"/>
      </w:tblGrid>
      <w:tr w:rsidR="00712E62" w:rsidRPr="00E4265B" w14:paraId="6E05328A" w14:textId="77777777" w:rsidTr="00BA2690">
        <w:trPr>
          <w:tblHeader/>
        </w:trPr>
        <w:tc>
          <w:tcPr>
            <w:tcW w:w="900" w:type="dxa"/>
            <w:vMerge w:val="restart"/>
            <w:shd w:val="clear" w:color="auto" w:fill="D9D9D9" w:themeFill="background1" w:themeFillShade="D9"/>
            <w:vAlign w:val="center"/>
          </w:tcPr>
          <w:p w14:paraId="1C065685" w14:textId="77777777" w:rsidR="00712E62" w:rsidRPr="00E4265B" w:rsidRDefault="00712E62" w:rsidP="00712E62">
            <w:pPr>
              <w:spacing w:after="240"/>
              <w:jc w:val="center"/>
              <w:rPr>
                <w:rFonts w:ascii="Arial" w:hAnsi="Arial" w:cs="Arial"/>
                <w:b/>
                <w:sz w:val="22"/>
                <w:szCs w:val="22"/>
                <w:lang w:val="en-GB"/>
              </w:rPr>
            </w:pPr>
            <w:r w:rsidRPr="00E4265B">
              <w:rPr>
                <w:rFonts w:ascii="Arial" w:hAnsi="Arial" w:cs="Arial"/>
                <w:b/>
                <w:sz w:val="22"/>
                <w:szCs w:val="22"/>
                <w:lang w:val="en-GB"/>
              </w:rPr>
              <w:t>Zone</w:t>
            </w:r>
          </w:p>
        </w:tc>
        <w:tc>
          <w:tcPr>
            <w:tcW w:w="4860" w:type="dxa"/>
            <w:gridSpan w:val="2"/>
            <w:tcBorders>
              <w:bottom w:val="dotted" w:sz="4" w:space="0" w:color="auto"/>
            </w:tcBorders>
            <w:shd w:val="clear" w:color="auto" w:fill="D9D9D9" w:themeFill="background1" w:themeFillShade="D9"/>
            <w:vAlign w:val="center"/>
          </w:tcPr>
          <w:p w14:paraId="3A31E257" w14:textId="77777777" w:rsidR="00712E62" w:rsidRPr="00E4265B" w:rsidRDefault="00712E62" w:rsidP="00712E62">
            <w:pPr>
              <w:spacing w:after="240"/>
              <w:jc w:val="center"/>
              <w:rPr>
                <w:rFonts w:ascii="Arial" w:hAnsi="Arial" w:cs="Arial"/>
                <w:b/>
                <w:sz w:val="22"/>
                <w:szCs w:val="22"/>
                <w:lang w:val="en-GB"/>
              </w:rPr>
            </w:pPr>
            <w:r w:rsidRPr="00E4265B">
              <w:rPr>
                <w:rFonts w:ascii="Arial" w:hAnsi="Arial" w:cs="Arial"/>
                <w:b/>
                <w:sz w:val="22"/>
                <w:szCs w:val="22"/>
                <w:lang w:val="en-GB"/>
              </w:rPr>
              <w:t>Time band</w:t>
            </w:r>
          </w:p>
        </w:tc>
        <w:tc>
          <w:tcPr>
            <w:tcW w:w="1530" w:type="dxa"/>
            <w:vMerge w:val="restart"/>
            <w:shd w:val="clear" w:color="auto" w:fill="D9D9D9" w:themeFill="background1" w:themeFillShade="D9"/>
            <w:vAlign w:val="center"/>
          </w:tcPr>
          <w:p w14:paraId="26C4FC06" w14:textId="77777777" w:rsidR="00712E62" w:rsidRPr="00E4265B" w:rsidRDefault="00712E62" w:rsidP="00712E62">
            <w:pPr>
              <w:spacing w:after="240"/>
              <w:jc w:val="center"/>
              <w:rPr>
                <w:rFonts w:ascii="Arial" w:hAnsi="Arial" w:cs="Arial"/>
                <w:b/>
                <w:sz w:val="22"/>
                <w:szCs w:val="22"/>
                <w:lang w:val="en-GB"/>
              </w:rPr>
            </w:pPr>
            <w:r w:rsidRPr="00E4265B">
              <w:rPr>
                <w:rFonts w:ascii="Arial" w:hAnsi="Arial" w:cs="Arial"/>
                <w:b/>
                <w:sz w:val="22"/>
                <w:szCs w:val="22"/>
                <w:lang w:val="en-GB"/>
              </w:rPr>
              <w:t>Risk percentage</w:t>
            </w:r>
          </w:p>
        </w:tc>
      </w:tr>
      <w:tr w:rsidR="00712E62" w:rsidRPr="00E4265B" w14:paraId="6B4A8597" w14:textId="77777777" w:rsidTr="00BA2690">
        <w:trPr>
          <w:tblHeader/>
        </w:trPr>
        <w:tc>
          <w:tcPr>
            <w:tcW w:w="900" w:type="dxa"/>
            <w:vMerge/>
            <w:shd w:val="pct12" w:color="auto" w:fill="auto"/>
            <w:vAlign w:val="center"/>
          </w:tcPr>
          <w:p w14:paraId="5870D975" w14:textId="77777777" w:rsidR="00712E62" w:rsidRPr="00E4265B" w:rsidRDefault="00712E62" w:rsidP="00712E62">
            <w:pPr>
              <w:spacing w:after="240"/>
              <w:jc w:val="center"/>
              <w:rPr>
                <w:rFonts w:ascii="Arial" w:hAnsi="Arial" w:cs="Arial"/>
                <w:b/>
                <w:sz w:val="22"/>
                <w:szCs w:val="22"/>
                <w:lang w:val="en-GB"/>
              </w:rPr>
            </w:pPr>
          </w:p>
        </w:tc>
        <w:tc>
          <w:tcPr>
            <w:tcW w:w="2250" w:type="dxa"/>
            <w:tcBorders>
              <w:top w:val="dotted" w:sz="4" w:space="0" w:color="auto"/>
            </w:tcBorders>
            <w:shd w:val="pct12" w:color="auto" w:fill="auto"/>
            <w:vAlign w:val="center"/>
          </w:tcPr>
          <w:p w14:paraId="7C534B1F" w14:textId="77777777" w:rsidR="00712E62" w:rsidRPr="00E4265B" w:rsidRDefault="00712E62" w:rsidP="00712E62">
            <w:pPr>
              <w:spacing w:after="240"/>
              <w:jc w:val="center"/>
              <w:rPr>
                <w:rFonts w:ascii="Arial" w:hAnsi="Arial" w:cs="Arial"/>
                <w:b/>
                <w:sz w:val="22"/>
                <w:szCs w:val="22"/>
                <w:lang w:val="en-GB"/>
              </w:rPr>
            </w:pPr>
            <w:r w:rsidRPr="00E4265B">
              <w:rPr>
                <w:rFonts w:ascii="Arial" w:hAnsi="Arial" w:cs="Arial"/>
                <w:b/>
                <w:sz w:val="22"/>
                <w:szCs w:val="22"/>
                <w:lang w:val="en-GB"/>
              </w:rPr>
              <w:t>Coupon of 3% or more</w:t>
            </w:r>
          </w:p>
        </w:tc>
        <w:tc>
          <w:tcPr>
            <w:tcW w:w="2610" w:type="dxa"/>
            <w:tcBorders>
              <w:top w:val="dotted" w:sz="4" w:space="0" w:color="auto"/>
            </w:tcBorders>
            <w:shd w:val="pct12" w:color="auto" w:fill="auto"/>
            <w:vAlign w:val="center"/>
          </w:tcPr>
          <w:p w14:paraId="2275DA80" w14:textId="77777777" w:rsidR="00712E62" w:rsidRPr="00E4265B" w:rsidRDefault="00712E62" w:rsidP="00712E62">
            <w:pPr>
              <w:spacing w:after="240"/>
              <w:jc w:val="center"/>
              <w:rPr>
                <w:rFonts w:ascii="Arial" w:hAnsi="Arial" w:cs="Arial"/>
                <w:b/>
                <w:sz w:val="22"/>
                <w:szCs w:val="22"/>
                <w:lang w:val="en-GB"/>
              </w:rPr>
            </w:pPr>
            <w:r w:rsidRPr="00E4265B">
              <w:rPr>
                <w:rFonts w:ascii="Arial" w:hAnsi="Arial" w:cs="Arial"/>
                <w:b/>
                <w:sz w:val="22"/>
                <w:szCs w:val="22"/>
                <w:lang w:val="en-GB"/>
              </w:rPr>
              <w:t>Coupon of less than 3%</w:t>
            </w:r>
          </w:p>
        </w:tc>
        <w:tc>
          <w:tcPr>
            <w:tcW w:w="1530" w:type="dxa"/>
            <w:vMerge/>
            <w:shd w:val="pct12" w:color="auto" w:fill="auto"/>
          </w:tcPr>
          <w:p w14:paraId="1E4C2C41" w14:textId="77777777" w:rsidR="00712E62" w:rsidRPr="00E4265B" w:rsidRDefault="00712E62" w:rsidP="008702C6">
            <w:pPr>
              <w:spacing w:after="240"/>
              <w:rPr>
                <w:rFonts w:ascii="Arial" w:hAnsi="Arial" w:cs="Arial"/>
                <w:b/>
                <w:sz w:val="22"/>
                <w:szCs w:val="22"/>
                <w:lang w:val="en-GB"/>
              </w:rPr>
            </w:pPr>
          </w:p>
        </w:tc>
      </w:tr>
      <w:tr w:rsidR="00E22FF2" w:rsidRPr="00E4265B" w14:paraId="53ED9DE8" w14:textId="77777777" w:rsidTr="00BA2690">
        <w:tc>
          <w:tcPr>
            <w:tcW w:w="900" w:type="dxa"/>
            <w:vMerge w:val="restart"/>
            <w:vAlign w:val="center"/>
          </w:tcPr>
          <w:p w14:paraId="24F3D2BD" w14:textId="3A557E44" w:rsidR="00E22FF2" w:rsidRPr="00E4265B" w:rsidRDefault="00881EF1" w:rsidP="00712E62">
            <w:pPr>
              <w:spacing w:after="240"/>
              <w:jc w:val="center"/>
              <w:rPr>
                <w:rFonts w:ascii="Arial" w:hAnsi="Arial" w:cs="Arial"/>
                <w:sz w:val="22"/>
                <w:szCs w:val="22"/>
                <w:lang w:val="en-GB"/>
              </w:rPr>
            </w:pPr>
            <w:r w:rsidRPr="00E4265B">
              <w:rPr>
                <w:rFonts w:ascii="Arial" w:hAnsi="Arial" w:cs="Arial"/>
                <w:sz w:val="22"/>
                <w:szCs w:val="22"/>
                <w:lang w:val="en-GB"/>
              </w:rPr>
              <w:t>A</w:t>
            </w:r>
          </w:p>
        </w:tc>
        <w:tc>
          <w:tcPr>
            <w:tcW w:w="2250" w:type="dxa"/>
            <w:vAlign w:val="center"/>
          </w:tcPr>
          <w:p w14:paraId="38E87141" w14:textId="5EA70400"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1month</w:t>
            </w:r>
          </w:p>
        </w:tc>
        <w:tc>
          <w:tcPr>
            <w:tcW w:w="2610" w:type="dxa"/>
            <w:vAlign w:val="center"/>
          </w:tcPr>
          <w:p w14:paraId="484DA739"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0 ≤ 1month</w:t>
            </w:r>
          </w:p>
        </w:tc>
        <w:tc>
          <w:tcPr>
            <w:tcW w:w="1530" w:type="dxa"/>
            <w:vAlign w:val="center"/>
          </w:tcPr>
          <w:p w14:paraId="66152307" w14:textId="77777777" w:rsidR="00E22FF2" w:rsidRPr="00E4265B" w:rsidRDefault="00E22FF2" w:rsidP="00A534DD">
            <w:pPr>
              <w:spacing w:after="240"/>
              <w:ind w:right="270"/>
              <w:jc w:val="right"/>
              <w:rPr>
                <w:rFonts w:ascii="Arial" w:hAnsi="Arial" w:cs="Arial"/>
                <w:sz w:val="22"/>
                <w:szCs w:val="22"/>
                <w:lang w:val="en-GB"/>
              </w:rPr>
            </w:pPr>
            <w:r w:rsidRPr="00E4265B">
              <w:rPr>
                <w:rFonts w:ascii="Arial" w:hAnsi="Arial" w:cs="Arial"/>
                <w:sz w:val="22"/>
                <w:szCs w:val="22"/>
                <w:lang w:val="en-GB"/>
              </w:rPr>
              <w:t>0.00%</w:t>
            </w:r>
          </w:p>
        </w:tc>
      </w:tr>
      <w:tr w:rsidR="00E22FF2" w:rsidRPr="00E4265B" w14:paraId="65528C11" w14:textId="77777777" w:rsidTr="00BA2690">
        <w:tc>
          <w:tcPr>
            <w:tcW w:w="900" w:type="dxa"/>
            <w:vMerge/>
            <w:vAlign w:val="center"/>
          </w:tcPr>
          <w:p w14:paraId="5DCFA95E" w14:textId="77777777" w:rsidR="00E22FF2" w:rsidRPr="00E4265B" w:rsidRDefault="00E22FF2" w:rsidP="00712E62">
            <w:pPr>
              <w:spacing w:after="240"/>
              <w:jc w:val="center"/>
              <w:rPr>
                <w:rFonts w:ascii="Arial" w:hAnsi="Arial" w:cs="Arial"/>
                <w:sz w:val="22"/>
                <w:szCs w:val="22"/>
                <w:lang w:val="en-GB"/>
              </w:rPr>
            </w:pPr>
          </w:p>
        </w:tc>
        <w:tc>
          <w:tcPr>
            <w:tcW w:w="2250" w:type="dxa"/>
            <w:vAlign w:val="center"/>
          </w:tcPr>
          <w:p w14:paraId="02A15E0F" w14:textId="3DA4A58F"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1 </w:t>
            </w:r>
            <w:r w:rsidR="00A534DD" w:rsidRPr="00E4265B">
              <w:rPr>
                <w:rFonts w:ascii="Arial" w:hAnsi="Arial" w:cs="Arial"/>
                <w:sz w:val="22"/>
                <w:szCs w:val="22"/>
                <w:lang w:val="en-GB"/>
              </w:rPr>
              <w:t>and ≤</w:t>
            </w:r>
            <w:r w:rsidRPr="00E4265B">
              <w:rPr>
                <w:rFonts w:ascii="Arial" w:hAnsi="Arial" w:cs="Arial"/>
                <w:sz w:val="22"/>
                <w:szCs w:val="22"/>
                <w:lang w:val="en-GB"/>
              </w:rPr>
              <w:t xml:space="preserve"> 3months</w:t>
            </w:r>
          </w:p>
        </w:tc>
        <w:tc>
          <w:tcPr>
            <w:tcW w:w="2610" w:type="dxa"/>
            <w:vAlign w:val="center"/>
          </w:tcPr>
          <w:p w14:paraId="03A20FF0" w14:textId="46AA55C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1 </w:t>
            </w:r>
            <w:r w:rsidR="00A534DD" w:rsidRPr="00E4265B">
              <w:rPr>
                <w:rFonts w:ascii="Arial" w:hAnsi="Arial" w:cs="Arial"/>
                <w:sz w:val="22"/>
                <w:szCs w:val="22"/>
                <w:lang w:val="en-GB"/>
              </w:rPr>
              <w:t xml:space="preserve">and </w:t>
            </w:r>
            <w:r w:rsidRPr="00E4265B">
              <w:rPr>
                <w:rFonts w:ascii="Arial" w:hAnsi="Arial" w:cs="Arial"/>
                <w:sz w:val="22"/>
                <w:szCs w:val="22"/>
                <w:lang w:val="en-GB"/>
              </w:rPr>
              <w:t>≤ 3months</w:t>
            </w:r>
          </w:p>
        </w:tc>
        <w:tc>
          <w:tcPr>
            <w:tcW w:w="1530" w:type="dxa"/>
            <w:vAlign w:val="center"/>
          </w:tcPr>
          <w:p w14:paraId="7B4A1D4A" w14:textId="77777777" w:rsidR="00E22FF2" w:rsidRPr="00E4265B" w:rsidRDefault="00E22FF2" w:rsidP="00A534DD">
            <w:pPr>
              <w:spacing w:after="240"/>
              <w:ind w:right="270"/>
              <w:jc w:val="right"/>
              <w:rPr>
                <w:rFonts w:ascii="Arial" w:hAnsi="Arial" w:cs="Arial"/>
                <w:sz w:val="22"/>
                <w:szCs w:val="22"/>
                <w:lang w:val="en-GB"/>
              </w:rPr>
            </w:pPr>
            <w:r w:rsidRPr="00E4265B">
              <w:rPr>
                <w:rFonts w:ascii="Arial" w:hAnsi="Arial" w:cs="Arial"/>
                <w:sz w:val="22"/>
                <w:szCs w:val="22"/>
                <w:lang w:val="en-GB"/>
              </w:rPr>
              <w:t>0.20%</w:t>
            </w:r>
          </w:p>
        </w:tc>
      </w:tr>
      <w:tr w:rsidR="00E22FF2" w:rsidRPr="00E4265B" w14:paraId="7C6F1EF6" w14:textId="77777777" w:rsidTr="00BA2690">
        <w:tc>
          <w:tcPr>
            <w:tcW w:w="900" w:type="dxa"/>
            <w:vMerge/>
            <w:vAlign w:val="center"/>
          </w:tcPr>
          <w:p w14:paraId="2AD46455" w14:textId="77777777" w:rsidR="00E22FF2" w:rsidRPr="00E4265B" w:rsidRDefault="00E22FF2" w:rsidP="00712E62">
            <w:pPr>
              <w:spacing w:after="240"/>
              <w:jc w:val="center"/>
              <w:rPr>
                <w:rFonts w:ascii="Arial" w:hAnsi="Arial" w:cs="Arial"/>
                <w:sz w:val="22"/>
                <w:szCs w:val="22"/>
                <w:lang w:val="en-GB"/>
              </w:rPr>
            </w:pPr>
          </w:p>
        </w:tc>
        <w:tc>
          <w:tcPr>
            <w:tcW w:w="2250" w:type="dxa"/>
            <w:vAlign w:val="center"/>
          </w:tcPr>
          <w:p w14:paraId="3119E9E5" w14:textId="1D000664"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3 </w:t>
            </w:r>
            <w:r w:rsidR="00A534DD" w:rsidRPr="00E4265B">
              <w:rPr>
                <w:rFonts w:ascii="Arial" w:hAnsi="Arial" w:cs="Arial"/>
                <w:sz w:val="22"/>
                <w:szCs w:val="22"/>
                <w:lang w:val="en-GB"/>
              </w:rPr>
              <w:t>and ≤</w:t>
            </w:r>
            <w:r w:rsidRPr="00E4265B">
              <w:rPr>
                <w:rFonts w:ascii="Arial" w:hAnsi="Arial" w:cs="Arial"/>
                <w:sz w:val="22"/>
                <w:szCs w:val="22"/>
                <w:lang w:val="en-GB"/>
              </w:rPr>
              <w:t xml:space="preserve"> 6 months</w:t>
            </w:r>
          </w:p>
        </w:tc>
        <w:tc>
          <w:tcPr>
            <w:tcW w:w="2610" w:type="dxa"/>
            <w:vAlign w:val="center"/>
          </w:tcPr>
          <w:p w14:paraId="4A2EC7F0" w14:textId="2E245498"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3 </w:t>
            </w:r>
            <w:r w:rsidR="00A534DD" w:rsidRPr="00E4265B">
              <w:rPr>
                <w:rFonts w:ascii="Arial" w:hAnsi="Arial" w:cs="Arial"/>
                <w:sz w:val="22"/>
                <w:szCs w:val="22"/>
                <w:lang w:val="en-GB"/>
              </w:rPr>
              <w:t>and ≤</w:t>
            </w:r>
            <w:r w:rsidRPr="00E4265B">
              <w:rPr>
                <w:rFonts w:ascii="Arial" w:hAnsi="Arial" w:cs="Arial"/>
                <w:sz w:val="22"/>
                <w:szCs w:val="22"/>
                <w:lang w:val="en-GB"/>
              </w:rPr>
              <w:t xml:space="preserve"> 6 months</w:t>
            </w:r>
          </w:p>
        </w:tc>
        <w:tc>
          <w:tcPr>
            <w:tcW w:w="1530" w:type="dxa"/>
            <w:vAlign w:val="center"/>
          </w:tcPr>
          <w:p w14:paraId="7FB9228B" w14:textId="77777777" w:rsidR="00E22FF2" w:rsidRPr="00E4265B" w:rsidRDefault="00E22FF2" w:rsidP="00A534DD">
            <w:pPr>
              <w:spacing w:after="240"/>
              <w:ind w:right="270"/>
              <w:jc w:val="right"/>
              <w:rPr>
                <w:rFonts w:ascii="Arial" w:hAnsi="Arial" w:cs="Arial"/>
                <w:sz w:val="22"/>
                <w:szCs w:val="22"/>
                <w:lang w:val="en-GB"/>
              </w:rPr>
            </w:pPr>
            <w:r w:rsidRPr="00E4265B">
              <w:rPr>
                <w:rFonts w:ascii="Arial" w:hAnsi="Arial" w:cs="Arial"/>
                <w:sz w:val="22"/>
                <w:szCs w:val="22"/>
                <w:lang w:val="en-GB"/>
              </w:rPr>
              <w:t>0.40%</w:t>
            </w:r>
          </w:p>
        </w:tc>
      </w:tr>
      <w:tr w:rsidR="00E22FF2" w:rsidRPr="00E4265B" w14:paraId="0D49E9F1" w14:textId="77777777" w:rsidTr="00BA2690">
        <w:tc>
          <w:tcPr>
            <w:tcW w:w="900" w:type="dxa"/>
            <w:vMerge/>
            <w:vAlign w:val="center"/>
          </w:tcPr>
          <w:p w14:paraId="4E03B5EF" w14:textId="77777777" w:rsidR="00E22FF2" w:rsidRPr="00E4265B" w:rsidRDefault="00E22FF2" w:rsidP="00712E62">
            <w:pPr>
              <w:spacing w:after="240"/>
              <w:jc w:val="center"/>
              <w:rPr>
                <w:rFonts w:ascii="Arial" w:hAnsi="Arial" w:cs="Arial"/>
                <w:sz w:val="22"/>
                <w:szCs w:val="22"/>
                <w:lang w:val="en-GB"/>
              </w:rPr>
            </w:pPr>
          </w:p>
        </w:tc>
        <w:tc>
          <w:tcPr>
            <w:tcW w:w="2250" w:type="dxa"/>
            <w:vAlign w:val="center"/>
          </w:tcPr>
          <w:p w14:paraId="7F676152" w14:textId="58360500"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6 </w:t>
            </w:r>
            <w:r w:rsidR="00A534DD" w:rsidRPr="00E4265B">
              <w:rPr>
                <w:rFonts w:ascii="Arial" w:hAnsi="Arial" w:cs="Arial"/>
                <w:sz w:val="22"/>
                <w:szCs w:val="22"/>
                <w:lang w:val="en-GB"/>
              </w:rPr>
              <w:t>and ≤</w:t>
            </w:r>
            <w:r w:rsidRPr="00E4265B">
              <w:rPr>
                <w:rFonts w:ascii="Arial" w:hAnsi="Arial" w:cs="Arial"/>
                <w:sz w:val="22"/>
                <w:szCs w:val="22"/>
                <w:lang w:val="en-GB"/>
              </w:rPr>
              <w:t xml:space="preserve"> 12 months</w:t>
            </w:r>
          </w:p>
        </w:tc>
        <w:tc>
          <w:tcPr>
            <w:tcW w:w="2610" w:type="dxa"/>
            <w:vAlign w:val="center"/>
          </w:tcPr>
          <w:p w14:paraId="3C0D7C47" w14:textId="76AD61EF"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6 </w:t>
            </w:r>
            <w:r w:rsidR="00A534DD" w:rsidRPr="00E4265B">
              <w:rPr>
                <w:rFonts w:ascii="Arial" w:hAnsi="Arial" w:cs="Arial"/>
                <w:sz w:val="22"/>
                <w:szCs w:val="22"/>
                <w:lang w:val="en-GB"/>
              </w:rPr>
              <w:t>and ≤</w:t>
            </w:r>
            <w:r w:rsidRPr="00E4265B">
              <w:rPr>
                <w:rFonts w:ascii="Arial" w:hAnsi="Arial" w:cs="Arial"/>
                <w:sz w:val="22"/>
                <w:szCs w:val="22"/>
                <w:lang w:val="en-GB"/>
              </w:rPr>
              <w:t xml:space="preserve"> 12 months</w:t>
            </w:r>
          </w:p>
        </w:tc>
        <w:tc>
          <w:tcPr>
            <w:tcW w:w="1530" w:type="dxa"/>
            <w:vAlign w:val="center"/>
          </w:tcPr>
          <w:p w14:paraId="6C658270" w14:textId="77777777" w:rsidR="00E22FF2" w:rsidRPr="00E4265B" w:rsidRDefault="00E22FF2" w:rsidP="00A534DD">
            <w:pPr>
              <w:spacing w:after="240"/>
              <w:ind w:right="270"/>
              <w:jc w:val="right"/>
              <w:rPr>
                <w:rFonts w:ascii="Arial" w:hAnsi="Arial" w:cs="Arial"/>
                <w:sz w:val="22"/>
                <w:szCs w:val="22"/>
                <w:lang w:val="en-GB"/>
              </w:rPr>
            </w:pPr>
            <w:r w:rsidRPr="00E4265B">
              <w:rPr>
                <w:rFonts w:ascii="Arial" w:hAnsi="Arial" w:cs="Arial"/>
                <w:sz w:val="22"/>
                <w:szCs w:val="22"/>
                <w:lang w:val="en-GB"/>
              </w:rPr>
              <w:t>0.70%</w:t>
            </w:r>
          </w:p>
        </w:tc>
      </w:tr>
      <w:tr w:rsidR="00E22FF2" w:rsidRPr="00E4265B" w14:paraId="4034B8FA" w14:textId="77777777" w:rsidTr="00BA2690">
        <w:tc>
          <w:tcPr>
            <w:tcW w:w="900" w:type="dxa"/>
            <w:vMerge w:val="restart"/>
            <w:vAlign w:val="center"/>
          </w:tcPr>
          <w:p w14:paraId="67A081B7" w14:textId="471A3BAF" w:rsidR="00E22FF2" w:rsidRPr="00E4265B" w:rsidRDefault="00881EF1" w:rsidP="00712E62">
            <w:pPr>
              <w:spacing w:after="240"/>
              <w:jc w:val="center"/>
              <w:rPr>
                <w:rFonts w:ascii="Arial" w:hAnsi="Arial" w:cs="Arial"/>
                <w:sz w:val="22"/>
                <w:szCs w:val="22"/>
                <w:lang w:val="en-GB"/>
              </w:rPr>
            </w:pPr>
            <w:r w:rsidRPr="00E4265B">
              <w:rPr>
                <w:rFonts w:ascii="Arial" w:hAnsi="Arial" w:cs="Arial"/>
                <w:sz w:val="22"/>
                <w:szCs w:val="22"/>
                <w:lang w:val="en-GB"/>
              </w:rPr>
              <w:t>B</w:t>
            </w:r>
          </w:p>
        </w:tc>
        <w:tc>
          <w:tcPr>
            <w:tcW w:w="2250" w:type="dxa"/>
            <w:vAlign w:val="center"/>
          </w:tcPr>
          <w:p w14:paraId="139D280B" w14:textId="3850B2F3"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1 </w:t>
            </w:r>
            <w:r w:rsidR="00A534DD" w:rsidRPr="00E4265B">
              <w:rPr>
                <w:rFonts w:ascii="Arial" w:hAnsi="Arial" w:cs="Arial"/>
                <w:sz w:val="22"/>
                <w:szCs w:val="22"/>
                <w:lang w:val="en-GB"/>
              </w:rPr>
              <w:t>and ≤</w:t>
            </w:r>
            <w:r w:rsidRPr="00E4265B">
              <w:rPr>
                <w:rFonts w:ascii="Arial" w:hAnsi="Arial" w:cs="Arial"/>
                <w:sz w:val="22"/>
                <w:szCs w:val="22"/>
                <w:lang w:val="en-GB"/>
              </w:rPr>
              <w:t xml:space="preserve"> 2 years</w:t>
            </w:r>
          </w:p>
        </w:tc>
        <w:tc>
          <w:tcPr>
            <w:tcW w:w="2610" w:type="dxa"/>
            <w:vAlign w:val="center"/>
          </w:tcPr>
          <w:p w14:paraId="0F15EA51" w14:textId="452F9B16"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1.0 </w:t>
            </w:r>
            <w:r w:rsidR="00A534DD" w:rsidRPr="00E4265B">
              <w:rPr>
                <w:rFonts w:ascii="Arial" w:hAnsi="Arial" w:cs="Arial"/>
                <w:sz w:val="22"/>
                <w:szCs w:val="22"/>
                <w:lang w:val="en-GB"/>
              </w:rPr>
              <w:t>and ≤</w:t>
            </w:r>
            <w:r w:rsidRPr="00E4265B">
              <w:rPr>
                <w:rFonts w:ascii="Arial" w:hAnsi="Arial" w:cs="Arial"/>
                <w:sz w:val="22"/>
                <w:szCs w:val="22"/>
                <w:lang w:val="en-GB"/>
              </w:rPr>
              <w:t xml:space="preserve"> 1.9 years</w:t>
            </w:r>
          </w:p>
        </w:tc>
        <w:tc>
          <w:tcPr>
            <w:tcW w:w="1530" w:type="dxa"/>
            <w:vAlign w:val="center"/>
          </w:tcPr>
          <w:p w14:paraId="56CAE15E" w14:textId="77777777" w:rsidR="00E22FF2" w:rsidRPr="00E4265B" w:rsidRDefault="00E22FF2" w:rsidP="00A534DD">
            <w:pPr>
              <w:spacing w:after="240"/>
              <w:ind w:right="270"/>
              <w:jc w:val="right"/>
              <w:rPr>
                <w:rFonts w:ascii="Arial" w:hAnsi="Arial" w:cs="Arial"/>
                <w:sz w:val="22"/>
                <w:szCs w:val="22"/>
                <w:lang w:val="en-GB"/>
              </w:rPr>
            </w:pPr>
            <w:r w:rsidRPr="00E4265B">
              <w:rPr>
                <w:rFonts w:ascii="Arial" w:hAnsi="Arial" w:cs="Arial"/>
                <w:sz w:val="22"/>
                <w:szCs w:val="22"/>
                <w:lang w:val="en-GB"/>
              </w:rPr>
              <w:t>1.25%</w:t>
            </w:r>
          </w:p>
        </w:tc>
      </w:tr>
      <w:tr w:rsidR="00E22FF2" w:rsidRPr="00E4265B" w14:paraId="0E09B843" w14:textId="77777777" w:rsidTr="00BA2690">
        <w:tc>
          <w:tcPr>
            <w:tcW w:w="900" w:type="dxa"/>
            <w:vMerge/>
            <w:vAlign w:val="center"/>
          </w:tcPr>
          <w:p w14:paraId="41A922E4" w14:textId="77777777" w:rsidR="00E22FF2" w:rsidRPr="00E4265B" w:rsidRDefault="00E22FF2" w:rsidP="00712E62">
            <w:pPr>
              <w:spacing w:after="240"/>
              <w:jc w:val="center"/>
              <w:rPr>
                <w:rFonts w:ascii="Arial" w:hAnsi="Arial" w:cs="Arial"/>
                <w:sz w:val="22"/>
                <w:szCs w:val="22"/>
                <w:lang w:val="en-GB"/>
              </w:rPr>
            </w:pPr>
          </w:p>
        </w:tc>
        <w:tc>
          <w:tcPr>
            <w:tcW w:w="2250" w:type="dxa"/>
            <w:vAlign w:val="center"/>
          </w:tcPr>
          <w:p w14:paraId="10AC5707" w14:textId="612BB0BB"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2 </w:t>
            </w:r>
            <w:r w:rsidR="00A534DD" w:rsidRPr="00E4265B">
              <w:rPr>
                <w:rFonts w:ascii="Arial" w:hAnsi="Arial" w:cs="Arial"/>
                <w:sz w:val="22"/>
                <w:szCs w:val="22"/>
                <w:lang w:val="en-GB"/>
              </w:rPr>
              <w:t>and ≤</w:t>
            </w:r>
            <w:r w:rsidRPr="00E4265B">
              <w:rPr>
                <w:rFonts w:ascii="Arial" w:hAnsi="Arial" w:cs="Arial"/>
                <w:sz w:val="22"/>
                <w:szCs w:val="22"/>
                <w:lang w:val="en-GB"/>
              </w:rPr>
              <w:t xml:space="preserve"> 3 years</w:t>
            </w:r>
          </w:p>
        </w:tc>
        <w:tc>
          <w:tcPr>
            <w:tcW w:w="2610" w:type="dxa"/>
            <w:vAlign w:val="center"/>
          </w:tcPr>
          <w:p w14:paraId="3E9364FC" w14:textId="74A246AA"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1.9 </w:t>
            </w:r>
            <w:r w:rsidR="00A534DD" w:rsidRPr="00E4265B">
              <w:rPr>
                <w:rFonts w:ascii="Arial" w:hAnsi="Arial" w:cs="Arial"/>
                <w:sz w:val="22"/>
                <w:szCs w:val="22"/>
                <w:lang w:val="en-GB"/>
              </w:rPr>
              <w:t>and ≤</w:t>
            </w:r>
            <w:r w:rsidRPr="00E4265B">
              <w:rPr>
                <w:rFonts w:ascii="Arial" w:hAnsi="Arial" w:cs="Arial"/>
                <w:sz w:val="22"/>
                <w:szCs w:val="22"/>
                <w:lang w:val="en-GB"/>
              </w:rPr>
              <w:t xml:space="preserve"> 2.8 years</w:t>
            </w:r>
          </w:p>
        </w:tc>
        <w:tc>
          <w:tcPr>
            <w:tcW w:w="1530" w:type="dxa"/>
            <w:vAlign w:val="center"/>
          </w:tcPr>
          <w:p w14:paraId="3795EF4A" w14:textId="77777777" w:rsidR="00E22FF2" w:rsidRPr="00E4265B" w:rsidRDefault="00E22FF2" w:rsidP="00A534DD">
            <w:pPr>
              <w:spacing w:after="240"/>
              <w:ind w:right="270"/>
              <w:jc w:val="right"/>
              <w:rPr>
                <w:rFonts w:ascii="Arial" w:hAnsi="Arial" w:cs="Arial"/>
                <w:sz w:val="22"/>
                <w:szCs w:val="22"/>
                <w:lang w:val="en-GB"/>
              </w:rPr>
            </w:pPr>
            <w:r w:rsidRPr="00E4265B">
              <w:rPr>
                <w:rFonts w:ascii="Arial" w:hAnsi="Arial" w:cs="Arial"/>
                <w:sz w:val="22"/>
                <w:szCs w:val="22"/>
                <w:lang w:val="en-GB"/>
              </w:rPr>
              <w:t>1.75%</w:t>
            </w:r>
          </w:p>
        </w:tc>
      </w:tr>
      <w:tr w:rsidR="00E22FF2" w:rsidRPr="00E4265B" w14:paraId="43C20697" w14:textId="77777777" w:rsidTr="00BA2690">
        <w:tc>
          <w:tcPr>
            <w:tcW w:w="900" w:type="dxa"/>
            <w:vMerge/>
            <w:vAlign w:val="center"/>
          </w:tcPr>
          <w:p w14:paraId="25EE95AB" w14:textId="77777777" w:rsidR="00E22FF2" w:rsidRPr="00E4265B" w:rsidRDefault="00E22FF2" w:rsidP="00712E62">
            <w:pPr>
              <w:spacing w:after="240"/>
              <w:jc w:val="center"/>
              <w:rPr>
                <w:rFonts w:ascii="Arial" w:hAnsi="Arial" w:cs="Arial"/>
                <w:sz w:val="22"/>
                <w:szCs w:val="22"/>
                <w:lang w:val="en-GB"/>
              </w:rPr>
            </w:pPr>
          </w:p>
        </w:tc>
        <w:tc>
          <w:tcPr>
            <w:tcW w:w="2250" w:type="dxa"/>
            <w:vAlign w:val="center"/>
          </w:tcPr>
          <w:p w14:paraId="4CF084DB" w14:textId="66663015"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3 </w:t>
            </w:r>
            <w:r w:rsidR="00A534DD" w:rsidRPr="00E4265B">
              <w:rPr>
                <w:rFonts w:ascii="Arial" w:hAnsi="Arial" w:cs="Arial"/>
                <w:sz w:val="22"/>
                <w:szCs w:val="22"/>
                <w:lang w:val="en-GB"/>
              </w:rPr>
              <w:t>and ≤</w:t>
            </w:r>
            <w:r w:rsidRPr="00E4265B">
              <w:rPr>
                <w:rFonts w:ascii="Arial" w:hAnsi="Arial" w:cs="Arial"/>
                <w:sz w:val="22"/>
                <w:szCs w:val="22"/>
                <w:lang w:val="en-GB"/>
              </w:rPr>
              <w:t xml:space="preserve"> 4 years</w:t>
            </w:r>
          </w:p>
        </w:tc>
        <w:tc>
          <w:tcPr>
            <w:tcW w:w="2610" w:type="dxa"/>
            <w:vAlign w:val="center"/>
          </w:tcPr>
          <w:p w14:paraId="4225A731" w14:textId="49A5D533"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2.8 </w:t>
            </w:r>
            <w:r w:rsidR="00A534DD" w:rsidRPr="00E4265B">
              <w:rPr>
                <w:rFonts w:ascii="Arial" w:hAnsi="Arial" w:cs="Arial"/>
                <w:sz w:val="22"/>
                <w:szCs w:val="22"/>
                <w:lang w:val="en-GB"/>
              </w:rPr>
              <w:t>and ≤</w:t>
            </w:r>
            <w:r w:rsidRPr="00E4265B">
              <w:rPr>
                <w:rFonts w:ascii="Arial" w:hAnsi="Arial" w:cs="Arial"/>
                <w:sz w:val="22"/>
                <w:szCs w:val="22"/>
                <w:lang w:val="en-GB"/>
              </w:rPr>
              <w:t xml:space="preserve"> 3.6 years</w:t>
            </w:r>
          </w:p>
        </w:tc>
        <w:tc>
          <w:tcPr>
            <w:tcW w:w="1530" w:type="dxa"/>
            <w:vAlign w:val="center"/>
          </w:tcPr>
          <w:p w14:paraId="398BD047" w14:textId="77777777" w:rsidR="00E22FF2" w:rsidRPr="00E4265B" w:rsidRDefault="00E22FF2" w:rsidP="00A534DD">
            <w:pPr>
              <w:spacing w:after="240"/>
              <w:ind w:right="270"/>
              <w:jc w:val="right"/>
              <w:rPr>
                <w:rFonts w:ascii="Arial" w:hAnsi="Arial" w:cs="Arial"/>
                <w:sz w:val="22"/>
                <w:szCs w:val="22"/>
                <w:lang w:val="en-GB"/>
              </w:rPr>
            </w:pPr>
            <w:r w:rsidRPr="00E4265B">
              <w:rPr>
                <w:rFonts w:ascii="Arial" w:hAnsi="Arial" w:cs="Arial"/>
                <w:sz w:val="22"/>
                <w:szCs w:val="22"/>
                <w:lang w:val="en-GB"/>
              </w:rPr>
              <w:t>2.25%</w:t>
            </w:r>
          </w:p>
        </w:tc>
      </w:tr>
      <w:tr w:rsidR="00E22FF2" w:rsidRPr="00E4265B" w14:paraId="6A94FAC6" w14:textId="77777777" w:rsidTr="00BA2690">
        <w:tc>
          <w:tcPr>
            <w:tcW w:w="900" w:type="dxa"/>
            <w:vMerge w:val="restart"/>
            <w:vAlign w:val="center"/>
          </w:tcPr>
          <w:p w14:paraId="05839DAF" w14:textId="75BBACA8" w:rsidR="00E22FF2" w:rsidRPr="00E4265B" w:rsidRDefault="00881EF1" w:rsidP="00712E62">
            <w:pPr>
              <w:spacing w:after="240"/>
              <w:jc w:val="center"/>
              <w:rPr>
                <w:rFonts w:ascii="Arial" w:hAnsi="Arial" w:cs="Arial"/>
                <w:sz w:val="22"/>
                <w:szCs w:val="22"/>
                <w:lang w:val="en-GB"/>
              </w:rPr>
            </w:pPr>
            <w:r w:rsidRPr="00E4265B">
              <w:rPr>
                <w:rFonts w:ascii="Arial" w:hAnsi="Arial" w:cs="Arial"/>
                <w:sz w:val="22"/>
                <w:szCs w:val="22"/>
                <w:lang w:val="en-GB"/>
              </w:rPr>
              <w:t>C</w:t>
            </w:r>
          </w:p>
        </w:tc>
        <w:tc>
          <w:tcPr>
            <w:tcW w:w="2250" w:type="dxa"/>
            <w:vAlign w:val="center"/>
          </w:tcPr>
          <w:p w14:paraId="2544F959" w14:textId="7AAA3B46"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4 </w:t>
            </w:r>
            <w:r w:rsidR="00A534DD" w:rsidRPr="00E4265B">
              <w:rPr>
                <w:rFonts w:ascii="Arial" w:hAnsi="Arial" w:cs="Arial"/>
                <w:sz w:val="22"/>
                <w:szCs w:val="22"/>
                <w:lang w:val="en-GB"/>
              </w:rPr>
              <w:t>and ≤</w:t>
            </w:r>
            <w:r w:rsidRPr="00E4265B">
              <w:rPr>
                <w:rFonts w:ascii="Arial" w:hAnsi="Arial" w:cs="Arial"/>
                <w:sz w:val="22"/>
                <w:szCs w:val="22"/>
                <w:lang w:val="en-GB"/>
              </w:rPr>
              <w:t xml:space="preserve"> 5 years</w:t>
            </w:r>
          </w:p>
        </w:tc>
        <w:tc>
          <w:tcPr>
            <w:tcW w:w="2610" w:type="dxa"/>
            <w:vAlign w:val="center"/>
          </w:tcPr>
          <w:p w14:paraId="621E9CB4" w14:textId="29374501"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3.6 </w:t>
            </w:r>
            <w:r w:rsidR="00A534DD" w:rsidRPr="00E4265B">
              <w:rPr>
                <w:rFonts w:ascii="Arial" w:hAnsi="Arial" w:cs="Arial"/>
                <w:sz w:val="22"/>
                <w:szCs w:val="22"/>
                <w:lang w:val="en-GB"/>
              </w:rPr>
              <w:t>and ≤</w:t>
            </w:r>
            <w:r w:rsidRPr="00E4265B">
              <w:rPr>
                <w:rFonts w:ascii="Arial" w:hAnsi="Arial" w:cs="Arial"/>
                <w:sz w:val="22"/>
                <w:szCs w:val="22"/>
                <w:lang w:val="en-GB"/>
              </w:rPr>
              <w:t xml:space="preserve"> 4.3 years</w:t>
            </w:r>
          </w:p>
        </w:tc>
        <w:tc>
          <w:tcPr>
            <w:tcW w:w="1530" w:type="dxa"/>
            <w:vAlign w:val="center"/>
          </w:tcPr>
          <w:p w14:paraId="4B6E8945" w14:textId="77777777" w:rsidR="00E22FF2" w:rsidRPr="00E4265B" w:rsidRDefault="00E22FF2" w:rsidP="00A534DD">
            <w:pPr>
              <w:spacing w:after="240"/>
              <w:ind w:right="270"/>
              <w:jc w:val="right"/>
              <w:rPr>
                <w:rFonts w:ascii="Arial" w:hAnsi="Arial" w:cs="Arial"/>
                <w:sz w:val="22"/>
                <w:szCs w:val="22"/>
                <w:lang w:val="en-GB"/>
              </w:rPr>
            </w:pPr>
            <w:r w:rsidRPr="00E4265B">
              <w:rPr>
                <w:rFonts w:ascii="Arial" w:hAnsi="Arial" w:cs="Arial"/>
                <w:sz w:val="22"/>
                <w:szCs w:val="22"/>
                <w:lang w:val="en-GB"/>
              </w:rPr>
              <w:t>2.75%</w:t>
            </w:r>
          </w:p>
        </w:tc>
      </w:tr>
      <w:tr w:rsidR="00E22FF2" w:rsidRPr="00E4265B" w14:paraId="3810AD5B" w14:textId="77777777" w:rsidTr="00BA2690">
        <w:tc>
          <w:tcPr>
            <w:tcW w:w="900" w:type="dxa"/>
            <w:vMerge/>
          </w:tcPr>
          <w:p w14:paraId="70656E8B" w14:textId="77777777" w:rsidR="00E22FF2" w:rsidRPr="00E4265B" w:rsidRDefault="00E22FF2" w:rsidP="008702C6">
            <w:pPr>
              <w:spacing w:after="240"/>
              <w:rPr>
                <w:rFonts w:ascii="Arial" w:hAnsi="Arial" w:cs="Arial"/>
                <w:sz w:val="22"/>
                <w:szCs w:val="22"/>
                <w:lang w:val="en-GB"/>
              </w:rPr>
            </w:pPr>
          </w:p>
        </w:tc>
        <w:tc>
          <w:tcPr>
            <w:tcW w:w="2250" w:type="dxa"/>
            <w:vAlign w:val="center"/>
          </w:tcPr>
          <w:p w14:paraId="7E4ECAEB" w14:textId="72F9C302"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5 </w:t>
            </w:r>
            <w:r w:rsidR="00A534DD" w:rsidRPr="00E4265B">
              <w:rPr>
                <w:rFonts w:ascii="Arial" w:hAnsi="Arial" w:cs="Arial"/>
                <w:sz w:val="22"/>
                <w:szCs w:val="22"/>
                <w:lang w:val="en-GB"/>
              </w:rPr>
              <w:t>and ≤</w:t>
            </w:r>
            <w:r w:rsidRPr="00E4265B">
              <w:rPr>
                <w:rFonts w:ascii="Arial" w:hAnsi="Arial" w:cs="Arial"/>
                <w:sz w:val="22"/>
                <w:szCs w:val="22"/>
                <w:lang w:val="en-GB"/>
              </w:rPr>
              <w:t xml:space="preserve"> 7 years</w:t>
            </w:r>
          </w:p>
        </w:tc>
        <w:tc>
          <w:tcPr>
            <w:tcW w:w="2610" w:type="dxa"/>
            <w:vAlign w:val="center"/>
          </w:tcPr>
          <w:p w14:paraId="2FCBA676" w14:textId="7D4A016E"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4.3 </w:t>
            </w:r>
            <w:r w:rsidR="00A534DD" w:rsidRPr="00E4265B">
              <w:rPr>
                <w:rFonts w:ascii="Arial" w:hAnsi="Arial" w:cs="Arial"/>
                <w:sz w:val="22"/>
                <w:szCs w:val="22"/>
                <w:lang w:val="en-GB"/>
              </w:rPr>
              <w:t>and ≤</w:t>
            </w:r>
            <w:r w:rsidRPr="00E4265B">
              <w:rPr>
                <w:rFonts w:ascii="Arial" w:hAnsi="Arial" w:cs="Arial"/>
                <w:sz w:val="22"/>
                <w:szCs w:val="22"/>
                <w:lang w:val="en-GB"/>
              </w:rPr>
              <w:t xml:space="preserve"> 5.7 years</w:t>
            </w:r>
          </w:p>
        </w:tc>
        <w:tc>
          <w:tcPr>
            <w:tcW w:w="1530" w:type="dxa"/>
            <w:vAlign w:val="center"/>
          </w:tcPr>
          <w:p w14:paraId="32BDD7E8" w14:textId="77777777" w:rsidR="00E22FF2" w:rsidRPr="00E4265B" w:rsidRDefault="00E22FF2" w:rsidP="00A534DD">
            <w:pPr>
              <w:spacing w:after="240"/>
              <w:ind w:right="270"/>
              <w:jc w:val="right"/>
              <w:rPr>
                <w:rFonts w:ascii="Arial" w:hAnsi="Arial" w:cs="Arial"/>
                <w:sz w:val="22"/>
                <w:szCs w:val="22"/>
                <w:lang w:val="en-GB"/>
              </w:rPr>
            </w:pPr>
            <w:r w:rsidRPr="00E4265B">
              <w:rPr>
                <w:rFonts w:ascii="Arial" w:hAnsi="Arial" w:cs="Arial"/>
                <w:sz w:val="22"/>
                <w:szCs w:val="22"/>
                <w:lang w:val="en-GB"/>
              </w:rPr>
              <w:t>3.25%</w:t>
            </w:r>
          </w:p>
        </w:tc>
      </w:tr>
      <w:tr w:rsidR="00E22FF2" w:rsidRPr="00E4265B" w14:paraId="58251265" w14:textId="77777777" w:rsidTr="00BA2690">
        <w:tc>
          <w:tcPr>
            <w:tcW w:w="900" w:type="dxa"/>
            <w:vMerge/>
          </w:tcPr>
          <w:p w14:paraId="72D7603C" w14:textId="77777777" w:rsidR="00E22FF2" w:rsidRPr="00E4265B" w:rsidRDefault="00E22FF2" w:rsidP="008702C6">
            <w:pPr>
              <w:spacing w:after="240"/>
              <w:rPr>
                <w:rFonts w:ascii="Arial" w:hAnsi="Arial" w:cs="Arial"/>
                <w:sz w:val="22"/>
                <w:szCs w:val="22"/>
                <w:lang w:val="en-GB"/>
              </w:rPr>
            </w:pPr>
          </w:p>
        </w:tc>
        <w:tc>
          <w:tcPr>
            <w:tcW w:w="2250" w:type="dxa"/>
            <w:vAlign w:val="center"/>
          </w:tcPr>
          <w:p w14:paraId="4B93D861" w14:textId="0DDA502E"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7 </w:t>
            </w:r>
            <w:r w:rsidR="00A534DD" w:rsidRPr="00E4265B">
              <w:rPr>
                <w:rFonts w:ascii="Arial" w:hAnsi="Arial" w:cs="Arial"/>
                <w:sz w:val="22"/>
                <w:szCs w:val="22"/>
                <w:lang w:val="en-GB"/>
              </w:rPr>
              <w:t>and ≤</w:t>
            </w:r>
            <w:r w:rsidRPr="00E4265B">
              <w:rPr>
                <w:rFonts w:ascii="Arial" w:hAnsi="Arial" w:cs="Arial"/>
                <w:sz w:val="22"/>
                <w:szCs w:val="22"/>
                <w:lang w:val="en-GB"/>
              </w:rPr>
              <w:t xml:space="preserve"> 10 years</w:t>
            </w:r>
          </w:p>
        </w:tc>
        <w:tc>
          <w:tcPr>
            <w:tcW w:w="2610" w:type="dxa"/>
            <w:vAlign w:val="center"/>
          </w:tcPr>
          <w:p w14:paraId="01E0E160" w14:textId="128DDA19"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5.7 </w:t>
            </w:r>
            <w:r w:rsidR="00A534DD" w:rsidRPr="00E4265B">
              <w:rPr>
                <w:rFonts w:ascii="Arial" w:hAnsi="Arial" w:cs="Arial"/>
                <w:sz w:val="22"/>
                <w:szCs w:val="22"/>
                <w:lang w:val="en-GB"/>
              </w:rPr>
              <w:t>and ≤</w:t>
            </w:r>
            <w:r w:rsidR="00BA0A19" w:rsidRPr="00E4265B">
              <w:rPr>
                <w:rFonts w:ascii="Arial" w:hAnsi="Arial" w:cs="Arial"/>
                <w:sz w:val="22"/>
                <w:szCs w:val="22"/>
                <w:lang w:val="en-GB"/>
              </w:rPr>
              <w:t xml:space="preserve"> </w:t>
            </w:r>
            <w:r w:rsidRPr="00E4265B">
              <w:rPr>
                <w:rFonts w:ascii="Arial" w:hAnsi="Arial" w:cs="Arial"/>
                <w:sz w:val="22"/>
                <w:szCs w:val="22"/>
                <w:lang w:val="en-GB"/>
              </w:rPr>
              <w:t>7.3 years</w:t>
            </w:r>
          </w:p>
        </w:tc>
        <w:tc>
          <w:tcPr>
            <w:tcW w:w="1530" w:type="dxa"/>
            <w:vAlign w:val="center"/>
          </w:tcPr>
          <w:p w14:paraId="2B32D513" w14:textId="77777777" w:rsidR="00E22FF2" w:rsidRPr="00E4265B" w:rsidRDefault="00E22FF2" w:rsidP="00A534DD">
            <w:pPr>
              <w:spacing w:after="240"/>
              <w:ind w:right="270"/>
              <w:jc w:val="right"/>
              <w:rPr>
                <w:rFonts w:ascii="Arial" w:hAnsi="Arial" w:cs="Arial"/>
                <w:sz w:val="22"/>
                <w:szCs w:val="22"/>
                <w:lang w:val="en-GB"/>
              </w:rPr>
            </w:pPr>
            <w:r w:rsidRPr="00E4265B">
              <w:rPr>
                <w:rFonts w:ascii="Arial" w:hAnsi="Arial" w:cs="Arial"/>
                <w:sz w:val="22"/>
                <w:szCs w:val="22"/>
                <w:lang w:val="en-GB"/>
              </w:rPr>
              <w:t>3.75%</w:t>
            </w:r>
          </w:p>
        </w:tc>
      </w:tr>
      <w:tr w:rsidR="00E22FF2" w:rsidRPr="00E4265B" w14:paraId="370455DF" w14:textId="77777777" w:rsidTr="00BA2690">
        <w:tc>
          <w:tcPr>
            <w:tcW w:w="900" w:type="dxa"/>
            <w:vMerge/>
          </w:tcPr>
          <w:p w14:paraId="213F8B07" w14:textId="77777777" w:rsidR="00E22FF2" w:rsidRPr="00E4265B" w:rsidRDefault="00E22FF2" w:rsidP="008702C6">
            <w:pPr>
              <w:spacing w:after="240"/>
              <w:rPr>
                <w:rFonts w:ascii="Arial" w:hAnsi="Arial" w:cs="Arial"/>
                <w:sz w:val="22"/>
                <w:szCs w:val="22"/>
                <w:lang w:val="en-GB"/>
              </w:rPr>
            </w:pPr>
          </w:p>
        </w:tc>
        <w:tc>
          <w:tcPr>
            <w:tcW w:w="2250" w:type="dxa"/>
            <w:vAlign w:val="center"/>
          </w:tcPr>
          <w:p w14:paraId="1DC55952" w14:textId="1893FB98"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10 </w:t>
            </w:r>
            <w:r w:rsidR="00A534DD" w:rsidRPr="00E4265B">
              <w:rPr>
                <w:rFonts w:ascii="Arial" w:hAnsi="Arial" w:cs="Arial"/>
                <w:sz w:val="22"/>
                <w:szCs w:val="22"/>
                <w:lang w:val="en-GB"/>
              </w:rPr>
              <w:t>and ≤</w:t>
            </w:r>
            <w:r w:rsidRPr="00E4265B">
              <w:rPr>
                <w:rFonts w:ascii="Arial" w:hAnsi="Arial" w:cs="Arial"/>
                <w:sz w:val="22"/>
                <w:szCs w:val="22"/>
                <w:lang w:val="en-GB"/>
              </w:rPr>
              <w:t xml:space="preserve"> 15 years</w:t>
            </w:r>
          </w:p>
        </w:tc>
        <w:tc>
          <w:tcPr>
            <w:tcW w:w="2610" w:type="dxa"/>
            <w:vAlign w:val="center"/>
          </w:tcPr>
          <w:p w14:paraId="37006719" w14:textId="550E9474"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7.3 </w:t>
            </w:r>
            <w:r w:rsidR="00A534DD" w:rsidRPr="00E4265B">
              <w:rPr>
                <w:rFonts w:ascii="Arial" w:hAnsi="Arial" w:cs="Arial"/>
                <w:sz w:val="22"/>
                <w:szCs w:val="22"/>
                <w:lang w:val="en-GB"/>
              </w:rPr>
              <w:t>and ≤</w:t>
            </w:r>
            <w:r w:rsidR="00BA0A19" w:rsidRPr="00E4265B">
              <w:rPr>
                <w:rFonts w:ascii="Arial" w:hAnsi="Arial" w:cs="Arial"/>
                <w:sz w:val="22"/>
                <w:szCs w:val="22"/>
                <w:lang w:val="en-GB"/>
              </w:rPr>
              <w:t xml:space="preserve"> </w:t>
            </w:r>
            <w:r w:rsidRPr="00E4265B">
              <w:rPr>
                <w:rFonts w:ascii="Arial" w:hAnsi="Arial" w:cs="Arial"/>
                <w:sz w:val="22"/>
                <w:szCs w:val="22"/>
                <w:lang w:val="en-GB"/>
              </w:rPr>
              <w:t>9.3 years</w:t>
            </w:r>
          </w:p>
        </w:tc>
        <w:tc>
          <w:tcPr>
            <w:tcW w:w="1530" w:type="dxa"/>
            <w:vAlign w:val="center"/>
          </w:tcPr>
          <w:p w14:paraId="257FE86D" w14:textId="77777777" w:rsidR="00E22FF2" w:rsidRPr="00E4265B" w:rsidRDefault="00E22FF2" w:rsidP="00A534DD">
            <w:pPr>
              <w:spacing w:after="240"/>
              <w:ind w:right="270"/>
              <w:jc w:val="right"/>
              <w:rPr>
                <w:rFonts w:ascii="Arial" w:hAnsi="Arial" w:cs="Arial"/>
                <w:sz w:val="22"/>
                <w:szCs w:val="22"/>
                <w:lang w:val="en-GB"/>
              </w:rPr>
            </w:pPr>
            <w:r w:rsidRPr="00E4265B">
              <w:rPr>
                <w:rFonts w:ascii="Arial" w:hAnsi="Arial" w:cs="Arial"/>
                <w:sz w:val="22"/>
                <w:szCs w:val="22"/>
                <w:lang w:val="en-GB"/>
              </w:rPr>
              <w:t>4.50%</w:t>
            </w:r>
          </w:p>
        </w:tc>
      </w:tr>
      <w:tr w:rsidR="00E22FF2" w:rsidRPr="00E4265B" w14:paraId="7F5FB19A" w14:textId="77777777" w:rsidTr="00BA2690">
        <w:tc>
          <w:tcPr>
            <w:tcW w:w="900" w:type="dxa"/>
            <w:vMerge/>
          </w:tcPr>
          <w:p w14:paraId="3C5F0F4C" w14:textId="77777777" w:rsidR="00E22FF2" w:rsidRPr="00E4265B" w:rsidRDefault="00E22FF2" w:rsidP="008702C6">
            <w:pPr>
              <w:spacing w:after="240"/>
              <w:rPr>
                <w:rFonts w:ascii="Arial" w:hAnsi="Arial" w:cs="Arial"/>
                <w:sz w:val="22"/>
                <w:szCs w:val="22"/>
                <w:lang w:val="en-GB"/>
              </w:rPr>
            </w:pPr>
          </w:p>
        </w:tc>
        <w:tc>
          <w:tcPr>
            <w:tcW w:w="2250" w:type="dxa"/>
            <w:vAlign w:val="center"/>
          </w:tcPr>
          <w:p w14:paraId="25DAB4CC" w14:textId="0D359CDF"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15 </w:t>
            </w:r>
            <w:r w:rsidR="00A534DD" w:rsidRPr="00E4265B">
              <w:rPr>
                <w:rFonts w:ascii="Arial" w:hAnsi="Arial" w:cs="Arial"/>
                <w:sz w:val="22"/>
                <w:szCs w:val="22"/>
                <w:lang w:val="en-GB"/>
              </w:rPr>
              <w:t>and ≤</w:t>
            </w:r>
            <w:r w:rsidRPr="00E4265B">
              <w:rPr>
                <w:rFonts w:ascii="Arial" w:hAnsi="Arial" w:cs="Arial"/>
                <w:sz w:val="22"/>
                <w:szCs w:val="22"/>
                <w:lang w:val="en-GB"/>
              </w:rPr>
              <w:t xml:space="preserve"> 20 years</w:t>
            </w:r>
          </w:p>
        </w:tc>
        <w:tc>
          <w:tcPr>
            <w:tcW w:w="2610" w:type="dxa"/>
            <w:vAlign w:val="center"/>
          </w:tcPr>
          <w:p w14:paraId="5256B5F3" w14:textId="6A38AB42"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9.3 </w:t>
            </w:r>
            <w:r w:rsidR="00A534DD" w:rsidRPr="00E4265B">
              <w:rPr>
                <w:rFonts w:ascii="Arial" w:hAnsi="Arial" w:cs="Arial"/>
                <w:sz w:val="22"/>
                <w:szCs w:val="22"/>
                <w:lang w:val="en-GB"/>
              </w:rPr>
              <w:t>and ≤</w:t>
            </w:r>
            <w:r w:rsidR="00BA0A19" w:rsidRPr="00E4265B">
              <w:rPr>
                <w:rFonts w:ascii="Arial" w:hAnsi="Arial" w:cs="Arial"/>
                <w:sz w:val="22"/>
                <w:szCs w:val="22"/>
                <w:lang w:val="en-GB"/>
              </w:rPr>
              <w:t xml:space="preserve"> </w:t>
            </w:r>
            <w:r w:rsidRPr="00E4265B">
              <w:rPr>
                <w:rFonts w:ascii="Arial" w:hAnsi="Arial" w:cs="Arial"/>
                <w:sz w:val="22"/>
                <w:szCs w:val="22"/>
                <w:lang w:val="en-GB"/>
              </w:rPr>
              <w:t>10.6 years</w:t>
            </w:r>
          </w:p>
        </w:tc>
        <w:tc>
          <w:tcPr>
            <w:tcW w:w="1530" w:type="dxa"/>
            <w:vAlign w:val="center"/>
          </w:tcPr>
          <w:p w14:paraId="638EFBD3" w14:textId="77777777" w:rsidR="00E22FF2" w:rsidRPr="00E4265B" w:rsidRDefault="00E22FF2" w:rsidP="00A534DD">
            <w:pPr>
              <w:spacing w:after="240"/>
              <w:ind w:right="270"/>
              <w:jc w:val="right"/>
              <w:rPr>
                <w:rFonts w:ascii="Arial" w:hAnsi="Arial" w:cs="Arial"/>
                <w:sz w:val="22"/>
                <w:szCs w:val="22"/>
                <w:lang w:val="en-GB"/>
              </w:rPr>
            </w:pPr>
            <w:r w:rsidRPr="00E4265B">
              <w:rPr>
                <w:rFonts w:ascii="Arial" w:hAnsi="Arial" w:cs="Arial"/>
                <w:sz w:val="22"/>
                <w:szCs w:val="22"/>
                <w:lang w:val="en-GB"/>
              </w:rPr>
              <w:t>5.25%</w:t>
            </w:r>
          </w:p>
        </w:tc>
      </w:tr>
      <w:tr w:rsidR="00E22FF2" w:rsidRPr="00E4265B" w14:paraId="0EC8253B" w14:textId="77777777" w:rsidTr="00BA2690">
        <w:tc>
          <w:tcPr>
            <w:tcW w:w="900" w:type="dxa"/>
            <w:vMerge/>
          </w:tcPr>
          <w:p w14:paraId="152D6CFD" w14:textId="77777777" w:rsidR="00E22FF2" w:rsidRPr="00E4265B" w:rsidRDefault="00E22FF2" w:rsidP="008702C6">
            <w:pPr>
              <w:spacing w:after="240"/>
              <w:rPr>
                <w:rFonts w:ascii="Arial" w:hAnsi="Arial" w:cs="Arial"/>
                <w:sz w:val="22"/>
                <w:szCs w:val="22"/>
                <w:lang w:val="en-GB"/>
              </w:rPr>
            </w:pPr>
          </w:p>
        </w:tc>
        <w:tc>
          <w:tcPr>
            <w:tcW w:w="2250" w:type="dxa"/>
            <w:vAlign w:val="center"/>
          </w:tcPr>
          <w:p w14:paraId="0ABAEC1F"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&gt; 20 years</w:t>
            </w:r>
          </w:p>
        </w:tc>
        <w:tc>
          <w:tcPr>
            <w:tcW w:w="2610" w:type="dxa"/>
            <w:vAlign w:val="center"/>
          </w:tcPr>
          <w:p w14:paraId="40011C4E" w14:textId="27284DD8"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10.6 </w:t>
            </w:r>
            <w:r w:rsidR="00A534DD" w:rsidRPr="00E4265B">
              <w:rPr>
                <w:rFonts w:ascii="Arial" w:hAnsi="Arial" w:cs="Arial"/>
                <w:sz w:val="22"/>
                <w:szCs w:val="22"/>
                <w:lang w:val="en-GB"/>
              </w:rPr>
              <w:t>and ≤</w:t>
            </w:r>
            <w:r w:rsidRPr="00E4265B">
              <w:rPr>
                <w:rFonts w:ascii="Arial" w:hAnsi="Arial" w:cs="Arial"/>
                <w:sz w:val="22"/>
                <w:szCs w:val="22"/>
                <w:lang w:val="en-GB"/>
              </w:rPr>
              <w:t xml:space="preserve"> 12.0 years</w:t>
            </w:r>
          </w:p>
        </w:tc>
        <w:tc>
          <w:tcPr>
            <w:tcW w:w="1530" w:type="dxa"/>
            <w:vAlign w:val="center"/>
          </w:tcPr>
          <w:p w14:paraId="05A7BB46" w14:textId="77777777" w:rsidR="00E22FF2" w:rsidRPr="00E4265B" w:rsidRDefault="00E22FF2" w:rsidP="00A534DD">
            <w:pPr>
              <w:spacing w:after="240"/>
              <w:ind w:right="270"/>
              <w:jc w:val="right"/>
              <w:rPr>
                <w:rFonts w:ascii="Arial" w:hAnsi="Arial" w:cs="Arial"/>
                <w:sz w:val="22"/>
                <w:szCs w:val="22"/>
                <w:lang w:val="en-GB"/>
              </w:rPr>
            </w:pPr>
            <w:r w:rsidRPr="00E4265B">
              <w:rPr>
                <w:rFonts w:ascii="Arial" w:hAnsi="Arial" w:cs="Arial"/>
                <w:sz w:val="22"/>
                <w:szCs w:val="22"/>
                <w:lang w:val="en-GB"/>
              </w:rPr>
              <w:t>6.00%</w:t>
            </w:r>
          </w:p>
        </w:tc>
      </w:tr>
      <w:tr w:rsidR="00E22FF2" w:rsidRPr="00E4265B" w14:paraId="301C6D25" w14:textId="77777777" w:rsidTr="00BA2690">
        <w:tc>
          <w:tcPr>
            <w:tcW w:w="900" w:type="dxa"/>
            <w:vMerge/>
          </w:tcPr>
          <w:p w14:paraId="2F48EFC6" w14:textId="77777777" w:rsidR="00E22FF2" w:rsidRPr="00E4265B" w:rsidRDefault="00E22FF2" w:rsidP="008702C6">
            <w:pPr>
              <w:spacing w:after="240"/>
              <w:rPr>
                <w:rFonts w:ascii="Arial" w:hAnsi="Arial" w:cs="Arial"/>
                <w:sz w:val="22"/>
                <w:szCs w:val="22"/>
                <w:lang w:val="en-GB"/>
              </w:rPr>
            </w:pPr>
          </w:p>
        </w:tc>
        <w:tc>
          <w:tcPr>
            <w:tcW w:w="2250" w:type="dxa"/>
            <w:shd w:val="clear" w:color="auto" w:fill="F2F2F2" w:themeFill="background1" w:themeFillShade="F2"/>
            <w:vAlign w:val="center"/>
          </w:tcPr>
          <w:p w14:paraId="1C234045" w14:textId="77777777" w:rsidR="00E22FF2" w:rsidRPr="00E4265B" w:rsidRDefault="00E22FF2" w:rsidP="008702C6">
            <w:pPr>
              <w:spacing w:after="240"/>
              <w:rPr>
                <w:rFonts w:ascii="Arial" w:hAnsi="Arial" w:cs="Arial"/>
                <w:sz w:val="22"/>
                <w:szCs w:val="22"/>
                <w:lang w:val="en-GB"/>
              </w:rPr>
            </w:pPr>
          </w:p>
        </w:tc>
        <w:tc>
          <w:tcPr>
            <w:tcW w:w="2610" w:type="dxa"/>
            <w:vAlign w:val="center"/>
          </w:tcPr>
          <w:p w14:paraId="0F655988" w14:textId="230B989B"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 xml:space="preserve">&gt; 12.0 </w:t>
            </w:r>
            <w:r w:rsidR="00A534DD" w:rsidRPr="00E4265B">
              <w:rPr>
                <w:rFonts w:ascii="Arial" w:hAnsi="Arial" w:cs="Arial"/>
                <w:sz w:val="22"/>
                <w:szCs w:val="22"/>
                <w:lang w:val="en-GB"/>
              </w:rPr>
              <w:t>and ≤</w:t>
            </w:r>
            <w:r w:rsidRPr="00E4265B">
              <w:rPr>
                <w:rFonts w:ascii="Arial" w:hAnsi="Arial" w:cs="Arial"/>
                <w:sz w:val="22"/>
                <w:szCs w:val="22"/>
                <w:lang w:val="en-GB"/>
              </w:rPr>
              <w:t xml:space="preserve"> 20.0 years</w:t>
            </w:r>
          </w:p>
        </w:tc>
        <w:tc>
          <w:tcPr>
            <w:tcW w:w="1530" w:type="dxa"/>
            <w:vAlign w:val="center"/>
          </w:tcPr>
          <w:p w14:paraId="3E286E4E" w14:textId="77777777" w:rsidR="00E22FF2" w:rsidRPr="00E4265B" w:rsidRDefault="00E22FF2" w:rsidP="00A534DD">
            <w:pPr>
              <w:spacing w:after="240"/>
              <w:ind w:right="270"/>
              <w:jc w:val="right"/>
              <w:rPr>
                <w:rFonts w:ascii="Arial" w:hAnsi="Arial" w:cs="Arial"/>
                <w:sz w:val="22"/>
                <w:szCs w:val="22"/>
                <w:lang w:val="en-GB"/>
              </w:rPr>
            </w:pPr>
            <w:r w:rsidRPr="00E4265B">
              <w:rPr>
                <w:rFonts w:ascii="Arial" w:hAnsi="Arial" w:cs="Arial"/>
                <w:sz w:val="22"/>
                <w:szCs w:val="22"/>
                <w:lang w:val="en-GB"/>
              </w:rPr>
              <w:t>8.00%</w:t>
            </w:r>
          </w:p>
        </w:tc>
      </w:tr>
      <w:tr w:rsidR="00E22FF2" w:rsidRPr="00E4265B" w14:paraId="0BFF486F" w14:textId="77777777" w:rsidTr="00BA2690">
        <w:tc>
          <w:tcPr>
            <w:tcW w:w="900" w:type="dxa"/>
            <w:vMerge/>
          </w:tcPr>
          <w:p w14:paraId="4D93F0DE" w14:textId="77777777" w:rsidR="00E22FF2" w:rsidRPr="00E4265B" w:rsidRDefault="00E22FF2" w:rsidP="008702C6">
            <w:pPr>
              <w:spacing w:after="240"/>
              <w:rPr>
                <w:rFonts w:ascii="Arial" w:hAnsi="Arial" w:cs="Arial"/>
                <w:sz w:val="22"/>
                <w:szCs w:val="22"/>
                <w:lang w:val="en-GB"/>
              </w:rPr>
            </w:pPr>
          </w:p>
        </w:tc>
        <w:tc>
          <w:tcPr>
            <w:tcW w:w="2250" w:type="dxa"/>
            <w:shd w:val="clear" w:color="auto" w:fill="F2F2F2" w:themeFill="background1" w:themeFillShade="F2"/>
            <w:vAlign w:val="center"/>
          </w:tcPr>
          <w:p w14:paraId="3F8C58FA" w14:textId="77777777" w:rsidR="00E22FF2" w:rsidRPr="00E4265B" w:rsidRDefault="00E22FF2" w:rsidP="008702C6">
            <w:pPr>
              <w:spacing w:after="240"/>
              <w:rPr>
                <w:rFonts w:ascii="Arial" w:hAnsi="Arial" w:cs="Arial"/>
                <w:sz w:val="22"/>
                <w:szCs w:val="22"/>
                <w:lang w:val="en-GB"/>
              </w:rPr>
            </w:pPr>
          </w:p>
        </w:tc>
        <w:tc>
          <w:tcPr>
            <w:tcW w:w="2610" w:type="dxa"/>
            <w:vAlign w:val="center"/>
          </w:tcPr>
          <w:p w14:paraId="063E50FB" w14:textId="77777777" w:rsidR="00E22FF2" w:rsidRPr="00E4265B" w:rsidRDefault="00E22FF2" w:rsidP="008702C6">
            <w:pPr>
              <w:spacing w:after="240"/>
              <w:rPr>
                <w:rFonts w:ascii="Arial" w:hAnsi="Arial" w:cs="Arial"/>
                <w:sz w:val="22"/>
                <w:szCs w:val="22"/>
                <w:lang w:val="en-GB"/>
              </w:rPr>
            </w:pPr>
            <w:r w:rsidRPr="00E4265B">
              <w:rPr>
                <w:rFonts w:ascii="Arial" w:hAnsi="Arial" w:cs="Arial"/>
                <w:sz w:val="22"/>
                <w:szCs w:val="22"/>
                <w:lang w:val="en-GB"/>
              </w:rPr>
              <w:t>&gt; 20 years</w:t>
            </w:r>
          </w:p>
        </w:tc>
        <w:tc>
          <w:tcPr>
            <w:tcW w:w="1530" w:type="dxa"/>
            <w:vAlign w:val="center"/>
          </w:tcPr>
          <w:p w14:paraId="1FB55EB7" w14:textId="77777777" w:rsidR="00E22FF2" w:rsidRPr="00E4265B" w:rsidRDefault="00E22FF2" w:rsidP="00A534DD">
            <w:pPr>
              <w:spacing w:after="240"/>
              <w:ind w:right="270"/>
              <w:jc w:val="right"/>
              <w:rPr>
                <w:rFonts w:ascii="Arial" w:hAnsi="Arial" w:cs="Arial"/>
                <w:sz w:val="22"/>
                <w:szCs w:val="22"/>
                <w:lang w:val="en-GB"/>
              </w:rPr>
            </w:pPr>
            <w:r w:rsidRPr="00E4265B">
              <w:rPr>
                <w:rFonts w:ascii="Arial" w:hAnsi="Arial" w:cs="Arial"/>
                <w:sz w:val="22"/>
                <w:szCs w:val="22"/>
                <w:lang w:val="en-GB"/>
              </w:rPr>
              <w:t>12.50%</w:t>
            </w:r>
          </w:p>
        </w:tc>
      </w:tr>
    </w:tbl>
    <w:p w14:paraId="5B8A7568" w14:textId="77777777" w:rsidR="00E22FF2" w:rsidRPr="00E4265B" w:rsidRDefault="00E22FF2" w:rsidP="00A56816">
      <w:pPr>
        <w:rPr>
          <w:rFonts w:ascii="Arial" w:hAnsi="Arial" w:cs="Arial"/>
          <w:sz w:val="22"/>
          <w:szCs w:val="22"/>
          <w:lang w:val="en-GB"/>
        </w:rPr>
      </w:pPr>
    </w:p>
    <w:p w14:paraId="69C701A0" w14:textId="77777777" w:rsidR="00E22FF2" w:rsidRPr="00E4265B" w:rsidRDefault="00E22FF2" w:rsidP="00D63933">
      <w:pPr>
        <w:pStyle w:val="TitleL5"/>
        <w:rPr>
          <w:rFonts w:ascii="Arial" w:hAnsi="Arial" w:cs="Arial"/>
          <w:sz w:val="22"/>
          <w:szCs w:val="22"/>
          <w:lang w:val="en-GB"/>
        </w:rPr>
      </w:pPr>
      <w:r w:rsidRPr="00E4265B">
        <w:rPr>
          <w:rFonts w:ascii="Arial" w:hAnsi="Arial" w:cs="Arial"/>
          <w:sz w:val="22"/>
          <w:szCs w:val="22"/>
          <w:lang w:val="en-GB"/>
        </w:rPr>
        <w:t>Guidance</w:t>
      </w:r>
    </w:p>
    <w:p w14:paraId="12965814" w14:textId="77777777" w:rsidR="00E22FF2" w:rsidRPr="00E4265B" w:rsidRDefault="00E22FF2" w:rsidP="00D63933">
      <w:pPr>
        <w:pStyle w:val="UK12Block05"/>
        <w:rPr>
          <w:rFonts w:ascii="Arial" w:hAnsi="Arial" w:cs="Arial"/>
          <w:sz w:val="22"/>
          <w:szCs w:val="22"/>
          <w:lang w:val="en-GB"/>
        </w:rPr>
      </w:pPr>
      <w:r w:rsidRPr="00E4265B">
        <w:rPr>
          <w:rFonts w:ascii="Arial" w:hAnsi="Arial" w:cs="Arial"/>
          <w:sz w:val="22"/>
          <w:szCs w:val="22"/>
          <w:lang w:val="en-GB"/>
        </w:rPr>
        <w:t>The risk percentages in the table above are designed to reflect the price sensitivity of the positions to changes in the interest rate.</w:t>
      </w:r>
    </w:p>
    <w:p w14:paraId="2CBDC1E5" w14:textId="77777777" w:rsidR="00E22FF2" w:rsidRPr="00E4265B" w:rsidRDefault="00E22FF2" w:rsidP="00D63933">
      <w:pPr>
        <w:pStyle w:val="TitleL5"/>
        <w:rPr>
          <w:rFonts w:ascii="Arial" w:hAnsi="Arial" w:cs="Arial"/>
          <w:sz w:val="22"/>
          <w:szCs w:val="22"/>
          <w:lang w:val="en-GB"/>
        </w:rPr>
      </w:pPr>
      <w:r w:rsidRPr="00E4265B">
        <w:rPr>
          <w:rFonts w:ascii="Arial" w:hAnsi="Arial" w:cs="Arial"/>
          <w:sz w:val="22"/>
          <w:szCs w:val="22"/>
          <w:lang w:val="en-GB"/>
        </w:rPr>
        <w:t>Maturity Method</w:t>
      </w:r>
    </w:p>
    <w:p w14:paraId="06C444BD"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571572" w:rsidRPr="00E4265B">
        <w:rPr>
          <w:rFonts w:ascii="Arial" w:hAnsi="Arial" w:cs="Arial"/>
          <w:b/>
          <w:bCs/>
          <w:sz w:val="22"/>
          <w:szCs w:val="22"/>
          <w:lang w:val="en-GB"/>
        </w:rPr>
        <w:t>6</w:t>
      </w:r>
      <w:r w:rsidRPr="00E4265B">
        <w:rPr>
          <w:rFonts w:ascii="Arial" w:hAnsi="Arial" w:cs="Arial"/>
          <w:b/>
          <w:bCs/>
          <w:sz w:val="22"/>
          <w:szCs w:val="22"/>
          <w:lang w:val="en-GB"/>
        </w:rPr>
        <w:t>.2.17</w:t>
      </w:r>
      <w:r w:rsidRPr="00E4265B">
        <w:rPr>
          <w:rFonts w:ascii="Arial" w:hAnsi="Arial" w:cs="Arial"/>
          <w:b/>
          <w:bCs/>
          <w:sz w:val="22"/>
          <w:szCs w:val="22"/>
          <w:lang w:val="en-GB"/>
        </w:rPr>
        <w:tab/>
      </w:r>
      <w:r w:rsidRPr="00E4265B">
        <w:rPr>
          <w:rFonts w:ascii="Arial" w:hAnsi="Arial" w:cs="Arial"/>
          <w:sz w:val="22"/>
          <w:szCs w:val="22"/>
          <w:lang w:val="en-GB"/>
        </w:rPr>
        <w:t>Under the Maturity Method, the following steps must be carried out:</w:t>
      </w:r>
    </w:p>
    <w:p w14:paraId="328DB24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t>the maturity weighted position for each instrument must be calculated by multiplying the market value of each individual long or short net position by the appropriate risk percentage per the table in Rule A</w:t>
      </w:r>
      <w:r w:rsidR="00571572" w:rsidRPr="00E4265B">
        <w:rPr>
          <w:rFonts w:ascii="Arial" w:hAnsi="Arial" w:cs="Arial"/>
          <w:sz w:val="22"/>
          <w:szCs w:val="22"/>
          <w:lang w:val="en-GB"/>
        </w:rPr>
        <w:t>6</w:t>
      </w:r>
      <w:r w:rsidRPr="00E4265B">
        <w:rPr>
          <w:rFonts w:ascii="Arial" w:hAnsi="Arial" w:cs="Arial"/>
          <w:sz w:val="22"/>
          <w:szCs w:val="22"/>
          <w:lang w:val="en-GB"/>
        </w:rPr>
        <w:t>.2.16;</w:t>
      </w:r>
    </w:p>
    <w:p w14:paraId="00FCCFF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sum of the weighted long and the sum of the weighted short positions in each maturity band must be calculated;</w:t>
      </w:r>
    </w:p>
    <w:p w14:paraId="7DC31AD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these weighted long and short positions must be matched within a maturity band to give the total matched weighted position in the maturity band and the total unmatched weighted position which will be long or short in the maturity band;</w:t>
      </w:r>
    </w:p>
    <w:p w14:paraId="40E950F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the matched weighted positions in all maturity bands must be summed;</w:t>
      </w:r>
    </w:p>
    <w:p w14:paraId="51D5102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the unmatched weighted positions in all the maturity bands must then be matched within a zone leaving an unmatched position for the zone (which will either be short or long); and</w:t>
      </w:r>
    </w:p>
    <w:p w14:paraId="75D9162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the unmatched positions in each zone must be matched with the unmatched positions in other zones leaving the residual unmatched weighted position.</w:t>
      </w:r>
    </w:p>
    <w:p w14:paraId="2434F280"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BE780C" w:rsidRPr="00E4265B">
        <w:rPr>
          <w:rFonts w:ascii="Arial" w:hAnsi="Arial" w:cs="Arial"/>
          <w:b/>
          <w:bCs/>
          <w:sz w:val="22"/>
          <w:szCs w:val="22"/>
          <w:lang w:val="en-GB"/>
        </w:rPr>
        <w:t>6</w:t>
      </w:r>
      <w:r w:rsidRPr="00E4265B">
        <w:rPr>
          <w:rFonts w:ascii="Arial" w:hAnsi="Arial" w:cs="Arial"/>
          <w:b/>
          <w:bCs/>
          <w:sz w:val="22"/>
          <w:szCs w:val="22"/>
          <w:lang w:val="en-GB"/>
        </w:rPr>
        <w:t>.2.18</w:t>
      </w:r>
      <w:r w:rsidRPr="00E4265B">
        <w:rPr>
          <w:rFonts w:ascii="Arial" w:hAnsi="Arial" w:cs="Arial"/>
          <w:b/>
          <w:bCs/>
          <w:sz w:val="22"/>
          <w:szCs w:val="22"/>
          <w:lang w:val="en-GB"/>
        </w:rPr>
        <w:tab/>
      </w:r>
      <w:r w:rsidRPr="00E4265B">
        <w:rPr>
          <w:rFonts w:ascii="Arial" w:hAnsi="Arial" w:cs="Arial"/>
          <w:sz w:val="22"/>
          <w:szCs w:val="22"/>
          <w:lang w:val="en-GB"/>
        </w:rPr>
        <w:t>The General Market Risk requirement for each currency must be calculated as the sum of the following:</w:t>
      </w:r>
    </w:p>
    <w:p w14:paraId="1E47E1D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10% of the matched weighted positions in each maturity band;</w:t>
      </w:r>
    </w:p>
    <w:p w14:paraId="46B061BB" w14:textId="1E7ABEC6" w:rsidR="00E22FF2" w:rsidRPr="00E4265B" w:rsidRDefault="00E22FF2" w:rsidP="00881EF1">
      <w:pPr>
        <w:pStyle w:val="1List"/>
        <w:rPr>
          <w:rFonts w:ascii="Arial" w:hAnsi="Arial" w:cs="Arial"/>
          <w:sz w:val="22"/>
          <w:szCs w:val="22"/>
          <w:lang w:val="en-GB"/>
        </w:rPr>
      </w:pPr>
      <w:r w:rsidRPr="00E4265B">
        <w:rPr>
          <w:rFonts w:ascii="Arial" w:hAnsi="Arial" w:cs="Arial"/>
          <w:sz w:val="22"/>
          <w:szCs w:val="22"/>
          <w:lang w:val="en-GB"/>
        </w:rPr>
        <w:t>(b) </w:t>
      </w:r>
      <w:r w:rsidRPr="00E4265B">
        <w:rPr>
          <w:rFonts w:ascii="Arial" w:hAnsi="Arial" w:cs="Arial"/>
          <w:sz w:val="22"/>
          <w:szCs w:val="22"/>
          <w:lang w:val="en-GB"/>
        </w:rPr>
        <w:tab/>
        <w:t>40% of the matched weighted position in zone </w:t>
      </w:r>
      <w:r w:rsidR="00881EF1" w:rsidRPr="00E4265B">
        <w:rPr>
          <w:rFonts w:ascii="Arial" w:hAnsi="Arial" w:cs="Arial"/>
          <w:sz w:val="22"/>
          <w:szCs w:val="22"/>
          <w:lang w:val="en-GB"/>
        </w:rPr>
        <w:t>A</w:t>
      </w:r>
      <w:r w:rsidRPr="00E4265B">
        <w:rPr>
          <w:rFonts w:ascii="Arial" w:hAnsi="Arial" w:cs="Arial"/>
          <w:sz w:val="22"/>
          <w:szCs w:val="22"/>
          <w:lang w:val="en-GB"/>
        </w:rPr>
        <w:t>;</w:t>
      </w:r>
    </w:p>
    <w:p w14:paraId="77A20E3C" w14:textId="29ABE3B3" w:rsidR="00E22FF2" w:rsidRPr="00E4265B" w:rsidRDefault="00E22FF2" w:rsidP="00881EF1">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30% of the matched weighted position in zones </w:t>
      </w:r>
      <w:r w:rsidR="00881EF1" w:rsidRPr="00E4265B">
        <w:rPr>
          <w:rFonts w:ascii="Arial" w:hAnsi="Arial" w:cs="Arial"/>
          <w:sz w:val="22"/>
          <w:szCs w:val="22"/>
          <w:lang w:val="en-GB"/>
        </w:rPr>
        <w:t>B</w:t>
      </w:r>
      <w:r w:rsidRPr="00E4265B">
        <w:rPr>
          <w:rFonts w:ascii="Arial" w:hAnsi="Arial" w:cs="Arial"/>
          <w:sz w:val="22"/>
          <w:szCs w:val="22"/>
          <w:lang w:val="en-GB"/>
        </w:rPr>
        <w:t xml:space="preserve"> and </w:t>
      </w:r>
      <w:r w:rsidR="00881EF1" w:rsidRPr="00E4265B">
        <w:rPr>
          <w:rFonts w:ascii="Arial" w:hAnsi="Arial" w:cs="Arial"/>
          <w:sz w:val="22"/>
          <w:szCs w:val="22"/>
          <w:lang w:val="en-GB"/>
        </w:rPr>
        <w:t>C</w:t>
      </w:r>
      <w:r w:rsidRPr="00E4265B">
        <w:rPr>
          <w:rFonts w:ascii="Arial" w:hAnsi="Arial" w:cs="Arial"/>
          <w:sz w:val="22"/>
          <w:szCs w:val="22"/>
          <w:lang w:val="en-GB"/>
        </w:rPr>
        <w:t>;</w:t>
      </w:r>
    </w:p>
    <w:p w14:paraId="1F0902B1" w14:textId="78A24B7B" w:rsidR="00E22FF2" w:rsidRPr="00E4265B" w:rsidRDefault="00E22FF2" w:rsidP="00881EF1">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40% of the matched weighted position between zones </w:t>
      </w:r>
      <w:r w:rsidR="00881EF1" w:rsidRPr="00E4265B">
        <w:rPr>
          <w:rFonts w:ascii="Arial" w:hAnsi="Arial" w:cs="Arial"/>
          <w:sz w:val="22"/>
          <w:szCs w:val="22"/>
          <w:lang w:val="en-GB"/>
        </w:rPr>
        <w:t>A</w:t>
      </w:r>
      <w:r w:rsidRPr="00E4265B">
        <w:rPr>
          <w:rFonts w:ascii="Arial" w:hAnsi="Arial" w:cs="Arial"/>
          <w:sz w:val="22"/>
          <w:szCs w:val="22"/>
          <w:lang w:val="en-GB"/>
        </w:rPr>
        <w:t xml:space="preserve"> and </w:t>
      </w:r>
      <w:r w:rsidR="00881EF1" w:rsidRPr="00E4265B">
        <w:rPr>
          <w:rFonts w:ascii="Arial" w:hAnsi="Arial" w:cs="Arial"/>
          <w:sz w:val="22"/>
          <w:szCs w:val="22"/>
          <w:lang w:val="en-GB"/>
        </w:rPr>
        <w:t>B</w:t>
      </w:r>
      <w:r w:rsidRPr="00E4265B">
        <w:rPr>
          <w:rFonts w:ascii="Arial" w:hAnsi="Arial" w:cs="Arial"/>
          <w:sz w:val="22"/>
          <w:szCs w:val="22"/>
          <w:lang w:val="en-GB"/>
        </w:rPr>
        <w:t xml:space="preserve">, and between zones </w:t>
      </w:r>
      <w:r w:rsidR="00881EF1" w:rsidRPr="00E4265B">
        <w:rPr>
          <w:rFonts w:ascii="Arial" w:hAnsi="Arial" w:cs="Arial"/>
          <w:sz w:val="22"/>
          <w:szCs w:val="22"/>
          <w:lang w:val="en-GB"/>
        </w:rPr>
        <w:t>B</w:t>
      </w:r>
      <w:r w:rsidRPr="00E4265B">
        <w:rPr>
          <w:rFonts w:ascii="Arial" w:hAnsi="Arial" w:cs="Arial"/>
          <w:sz w:val="22"/>
          <w:szCs w:val="22"/>
          <w:lang w:val="en-GB"/>
        </w:rPr>
        <w:t xml:space="preserve"> and </w:t>
      </w:r>
      <w:r w:rsidR="00881EF1" w:rsidRPr="00E4265B">
        <w:rPr>
          <w:rFonts w:ascii="Arial" w:hAnsi="Arial" w:cs="Arial"/>
          <w:sz w:val="22"/>
          <w:szCs w:val="22"/>
          <w:lang w:val="en-GB"/>
        </w:rPr>
        <w:t>C</w:t>
      </w:r>
      <w:r w:rsidRPr="00E4265B">
        <w:rPr>
          <w:rFonts w:ascii="Arial" w:hAnsi="Arial" w:cs="Arial"/>
          <w:sz w:val="22"/>
          <w:szCs w:val="22"/>
          <w:lang w:val="en-GB"/>
        </w:rPr>
        <w:t>;</w:t>
      </w:r>
    </w:p>
    <w:p w14:paraId="37B9138C" w14:textId="65F15C4B" w:rsidR="00E22FF2" w:rsidRPr="00E4265B" w:rsidRDefault="00E22FF2" w:rsidP="00881EF1">
      <w:pPr>
        <w:pStyle w:val="1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100% of the matched weighted position between zones </w:t>
      </w:r>
      <w:r w:rsidR="00881EF1" w:rsidRPr="00E4265B">
        <w:rPr>
          <w:rFonts w:ascii="Arial" w:hAnsi="Arial" w:cs="Arial"/>
          <w:sz w:val="22"/>
          <w:szCs w:val="22"/>
          <w:lang w:val="en-GB"/>
        </w:rPr>
        <w:t>A</w:t>
      </w:r>
      <w:r w:rsidRPr="00E4265B">
        <w:rPr>
          <w:rFonts w:ascii="Arial" w:hAnsi="Arial" w:cs="Arial"/>
          <w:sz w:val="22"/>
          <w:szCs w:val="22"/>
          <w:lang w:val="en-GB"/>
        </w:rPr>
        <w:t xml:space="preserve"> and </w:t>
      </w:r>
      <w:r w:rsidR="00881EF1" w:rsidRPr="00E4265B">
        <w:rPr>
          <w:rFonts w:ascii="Arial" w:hAnsi="Arial" w:cs="Arial"/>
          <w:sz w:val="22"/>
          <w:szCs w:val="22"/>
          <w:lang w:val="en-GB"/>
        </w:rPr>
        <w:t>C</w:t>
      </w:r>
      <w:r w:rsidRPr="00E4265B">
        <w:rPr>
          <w:rFonts w:ascii="Arial" w:hAnsi="Arial" w:cs="Arial"/>
          <w:sz w:val="22"/>
          <w:szCs w:val="22"/>
          <w:lang w:val="en-GB"/>
        </w:rPr>
        <w:t>; and</w:t>
      </w:r>
    </w:p>
    <w:p w14:paraId="522FB42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100% of the residual unmatched weighted positions.</w:t>
      </w:r>
    </w:p>
    <w:p w14:paraId="0B1E40C4" w14:textId="77777777" w:rsidR="00E22FF2" w:rsidRPr="00E4265B" w:rsidRDefault="00E22FF2" w:rsidP="00D63933">
      <w:pPr>
        <w:pStyle w:val="TitleL5"/>
        <w:rPr>
          <w:rFonts w:ascii="Arial" w:hAnsi="Arial" w:cs="Arial"/>
          <w:sz w:val="22"/>
          <w:szCs w:val="22"/>
          <w:lang w:val="en-GB"/>
        </w:rPr>
      </w:pPr>
      <w:r w:rsidRPr="00E4265B">
        <w:rPr>
          <w:rFonts w:ascii="Arial" w:hAnsi="Arial" w:cs="Arial"/>
          <w:sz w:val="22"/>
          <w:szCs w:val="22"/>
          <w:lang w:val="en-GB"/>
        </w:rPr>
        <w:t>Guidance</w:t>
      </w:r>
    </w:p>
    <w:p w14:paraId="22A74C76" w14:textId="77777777" w:rsidR="00E22FF2" w:rsidRPr="00E4265B" w:rsidRDefault="00E22FF2" w:rsidP="00D63933">
      <w:pPr>
        <w:pStyle w:val="UK12Block05"/>
        <w:rPr>
          <w:rFonts w:ascii="Arial" w:hAnsi="Arial" w:cs="Arial"/>
          <w:sz w:val="22"/>
          <w:szCs w:val="22"/>
          <w:lang w:val="en-GB"/>
        </w:rPr>
      </w:pPr>
      <w:r w:rsidRPr="00E4265B">
        <w:rPr>
          <w:rFonts w:ascii="Arial" w:hAnsi="Arial" w:cs="Arial"/>
          <w:sz w:val="22"/>
          <w:szCs w:val="22"/>
          <w:lang w:val="en-GB"/>
        </w:rPr>
        <w:t>A worked example under the Maturity Method of the General Market Risk requirement calculation is as follows:</w:t>
      </w:r>
    </w:p>
    <w:p w14:paraId="683C9890" w14:textId="77777777" w:rsidR="00E22FF2" w:rsidRPr="00E4265B" w:rsidRDefault="00E22FF2" w:rsidP="007D7B3D">
      <w:pPr>
        <w:rPr>
          <w:rFonts w:ascii="Arial" w:hAnsi="Arial" w:cs="Arial"/>
          <w:sz w:val="22"/>
          <w:szCs w:val="22"/>
          <w:lang w:val="en-GB"/>
        </w:rPr>
      </w:pPr>
    </w:p>
    <w:p w14:paraId="77B5C82A" w14:textId="77777777" w:rsidR="00E22FF2" w:rsidRPr="00E4265B" w:rsidRDefault="00E22FF2" w:rsidP="007D7B3D">
      <w:pPr>
        <w:rPr>
          <w:rFonts w:ascii="Arial" w:hAnsi="Arial" w:cs="Arial"/>
          <w:sz w:val="22"/>
          <w:szCs w:val="22"/>
          <w:lang w:val="en-GB"/>
        </w:rPr>
        <w:sectPr w:rsidR="00E22FF2" w:rsidRPr="00E4265B" w:rsidSect="00343B7B">
          <w:headerReference w:type="default" r:id="rId21"/>
          <w:footerReference w:type="default" r:id="rId22"/>
          <w:pgSz w:w="11907" w:h="16839" w:code="9"/>
          <w:pgMar w:top="1440" w:right="1440" w:bottom="1170" w:left="1440" w:header="720" w:footer="720" w:gutter="0"/>
          <w:cols w:space="720"/>
          <w:docGrid w:linePitch="360"/>
        </w:sectPr>
      </w:pPr>
    </w:p>
    <w:tbl>
      <w:tblPr>
        <w:tblStyle w:val="TableGrid"/>
        <w:tblW w:w="0" w:type="auto"/>
        <w:tblLook w:val="04A0" w:firstRow="1" w:lastRow="0" w:firstColumn="1" w:lastColumn="0" w:noHBand="0" w:noVBand="1"/>
      </w:tblPr>
      <w:tblGrid>
        <w:gridCol w:w="742"/>
        <w:gridCol w:w="1413"/>
        <w:gridCol w:w="1623"/>
        <w:gridCol w:w="954"/>
        <w:gridCol w:w="1003"/>
        <w:gridCol w:w="1513"/>
        <w:gridCol w:w="934"/>
        <w:gridCol w:w="767"/>
        <w:gridCol w:w="800"/>
        <w:gridCol w:w="718"/>
        <w:gridCol w:w="645"/>
        <w:gridCol w:w="687"/>
        <w:gridCol w:w="1120"/>
        <w:gridCol w:w="1120"/>
      </w:tblGrid>
      <w:tr w:rsidR="00F35A51" w:rsidRPr="00E4265B" w14:paraId="04313D8F" w14:textId="77777777" w:rsidTr="00A80508">
        <w:trPr>
          <w:trHeight w:val="360"/>
          <w:tblHeader/>
        </w:trPr>
        <w:tc>
          <w:tcPr>
            <w:tcW w:w="0" w:type="auto"/>
            <w:vMerge w:val="restart"/>
            <w:shd w:val="pct20" w:color="auto" w:fill="auto"/>
            <w:vAlign w:val="center"/>
          </w:tcPr>
          <w:p w14:paraId="13CCFD21" w14:textId="77777777" w:rsidR="00F35A51" w:rsidRPr="00E4265B" w:rsidRDefault="00F35A51" w:rsidP="002E0A24">
            <w:pPr>
              <w:jc w:val="center"/>
              <w:rPr>
                <w:rFonts w:ascii="Arial" w:hAnsi="Arial" w:cs="Arial"/>
                <w:b/>
                <w:sz w:val="22"/>
                <w:szCs w:val="22"/>
                <w:lang w:val="en-GB"/>
              </w:rPr>
            </w:pPr>
            <w:r w:rsidRPr="00E4265B">
              <w:rPr>
                <w:rFonts w:ascii="Arial" w:hAnsi="Arial" w:cs="Arial"/>
                <w:b/>
                <w:sz w:val="22"/>
                <w:szCs w:val="22"/>
                <w:lang w:val="en-GB"/>
              </w:rPr>
              <w:lastRenderedPageBreak/>
              <w:t>Zone</w:t>
            </w:r>
          </w:p>
        </w:tc>
        <w:tc>
          <w:tcPr>
            <w:tcW w:w="0" w:type="auto"/>
            <w:gridSpan w:val="2"/>
            <w:vMerge w:val="restart"/>
            <w:shd w:val="pct20" w:color="auto" w:fill="auto"/>
            <w:vAlign w:val="center"/>
          </w:tcPr>
          <w:p w14:paraId="3A1796DB" w14:textId="028422E6" w:rsidR="00F35A51" w:rsidRPr="00E4265B" w:rsidRDefault="00F35A51" w:rsidP="003D144C">
            <w:pPr>
              <w:jc w:val="center"/>
              <w:rPr>
                <w:rFonts w:ascii="Arial" w:hAnsi="Arial" w:cs="Arial"/>
                <w:b/>
                <w:sz w:val="22"/>
                <w:szCs w:val="22"/>
                <w:lang w:val="en-GB"/>
              </w:rPr>
            </w:pPr>
            <w:r w:rsidRPr="00E4265B">
              <w:rPr>
                <w:rFonts w:ascii="Arial" w:hAnsi="Arial" w:cs="Arial"/>
                <w:b/>
                <w:sz w:val="22"/>
                <w:szCs w:val="22"/>
                <w:lang w:val="en-GB"/>
              </w:rPr>
              <w:t>Time band</w:t>
            </w:r>
            <w:r w:rsidRPr="00E4265B">
              <w:rPr>
                <w:rFonts w:ascii="Arial" w:hAnsi="Arial" w:cs="Arial"/>
                <w:b/>
                <w:sz w:val="22"/>
                <w:szCs w:val="22"/>
                <w:lang w:val="en-GB"/>
              </w:rPr>
              <w:br/>
              <w:t>(m = months, y = years)</w:t>
            </w:r>
          </w:p>
        </w:tc>
        <w:tc>
          <w:tcPr>
            <w:tcW w:w="0" w:type="auto"/>
            <w:gridSpan w:val="2"/>
            <w:vMerge w:val="restart"/>
            <w:shd w:val="pct20" w:color="auto" w:fill="auto"/>
            <w:vAlign w:val="center"/>
          </w:tcPr>
          <w:p w14:paraId="36032E6B" w14:textId="66661F49" w:rsidR="00F35A51" w:rsidRPr="00E4265B" w:rsidRDefault="00F35A51" w:rsidP="00372781">
            <w:pPr>
              <w:jc w:val="center"/>
              <w:rPr>
                <w:rFonts w:ascii="Arial" w:hAnsi="Arial" w:cs="Arial"/>
                <w:b/>
                <w:sz w:val="22"/>
                <w:szCs w:val="22"/>
                <w:lang w:val="en-GB"/>
              </w:rPr>
            </w:pPr>
            <w:r w:rsidRPr="00E4265B">
              <w:rPr>
                <w:rFonts w:ascii="Arial" w:hAnsi="Arial" w:cs="Arial"/>
                <w:b/>
                <w:sz w:val="22"/>
                <w:szCs w:val="22"/>
                <w:lang w:val="en-GB"/>
              </w:rPr>
              <w:t xml:space="preserve">Aggregate </w:t>
            </w:r>
            <w:r w:rsidR="00372781" w:rsidRPr="00E4265B">
              <w:rPr>
                <w:rFonts w:ascii="Arial" w:hAnsi="Arial" w:cs="Arial"/>
                <w:b/>
                <w:sz w:val="22"/>
                <w:szCs w:val="22"/>
                <w:lang w:val="en-GB"/>
              </w:rPr>
              <w:t>p</w:t>
            </w:r>
            <w:r w:rsidRPr="00E4265B">
              <w:rPr>
                <w:rFonts w:ascii="Arial" w:hAnsi="Arial" w:cs="Arial"/>
                <w:b/>
                <w:sz w:val="22"/>
                <w:szCs w:val="22"/>
                <w:lang w:val="en-GB"/>
              </w:rPr>
              <w:t>ositions</w:t>
            </w:r>
            <w:r w:rsidRPr="00E4265B">
              <w:rPr>
                <w:rFonts w:ascii="Arial" w:hAnsi="Arial" w:cs="Arial"/>
                <w:b/>
                <w:sz w:val="22"/>
                <w:szCs w:val="22"/>
                <w:lang w:val="en-GB"/>
              </w:rPr>
              <w:br/>
              <w:t>per time band ($)</w:t>
            </w:r>
          </w:p>
        </w:tc>
        <w:tc>
          <w:tcPr>
            <w:tcW w:w="1354" w:type="dxa"/>
            <w:vMerge w:val="restart"/>
            <w:shd w:val="pct20" w:color="auto" w:fill="auto"/>
            <w:vAlign w:val="center"/>
          </w:tcPr>
          <w:p w14:paraId="33189710" w14:textId="7185B2FD" w:rsidR="00F35A51" w:rsidRPr="00E4265B" w:rsidRDefault="00F35A51" w:rsidP="002E0A24">
            <w:pPr>
              <w:jc w:val="center"/>
              <w:rPr>
                <w:rFonts w:ascii="Arial" w:hAnsi="Arial" w:cs="Arial"/>
                <w:b/>
                <w:sz w:val="22"/>
                <w:szCs w:val="22"/>
                <w:lang w:val="en-GB"/>
              </w:rPr>
            </w:pPr>
            <w:r w:rsidRPr="00E4265B">
              <w:rPr>
                <w:rFonts w:ascii="Arial" w:hAnsi="Arial" w:cs="Arial"/>
                <w:b/>
                <w:sz w:val="22"/>
                <w:szCs w:val="22"/>
                <w:lang w:val="en-GB"/>
              </w:rPr>
              <w:t>Risk percentages</w:t>
            </w:r>
          </w:p>
        </w:tc>
        <w:tc>
          <w:tcPr>
            <w:tcW w:w="6340" w:type="dxa"/>
            <w:gridSpan w:val="8"/>
            <w:tcBorders>
              <w:bottom w:val="nil"/>
            </w:tcBorders>
            <w:shd w:val="pct20" w:color="auto" w:fill="auto"/>
            <w:vAlign w:val="center"/>
          </w:tcPr>
          <w:p w14:paraId="2CC7B32B" w14:textId="3C040EA8" w:rsidR="00F35A51" w:rsidRPr="00E4265B" w:rsidRDefault="00F35A51" w:rsidP="00372781">
            <w:pPr>
              <w:ind w:left="174"/>
              <w:jc w:val="center"/>
              <w:rPr>
                <w:rFonts w:ascii="Arial" w:hAnsi="Arial" w:cs="Arial"/>
                <w:b/>
                <w:sz w:val="22"/>
                <w:szCs w:val="22"/>
                <w:lang w:val="en-GB"/>
              </w:rPr>
            </w:pPr>
            <w:r w:rsidRPr="00E4265B">
              <w:rPr>
                <w:rFonts w:ascii="Arial" w:hAnsi="Arial" w:cs="Arial"/>
                <w:b/>
                <w:sz w:val="22"/>
                <w:szCs w:val="22"/>
                <w:lang w:val="en-GB"/>
              </w:rPr>
              <w:t xml:space="preserve">Aggregate </w:t>
            </w:r>
            <w:r w:rsidR="00372781" w:rsidRPr="00E4265B">
              <w:rPr>
                <w:rFonts w:ascii="Arial" w:hAnsi="Arial" w:cs="Arial"/>
                <w:b/>
                <w:sz w:val="22"/>
                <w:szCs w:val="22"/>
                <w:lang w:val="en-GB"/>
              </w:rPr>
              <w:t>p</w:t>
            </w:r>
            <w:r w:rsidRPr="00E4265B">
              <w:rPr>
                <w:rFonts w:ascii="Arial" w:hAnsi="Arial" w:cs="Arial"/>
                <w:b/>
                <w:sz w:val="22"/>
                <w:szCs w:val="22"/>
                <w:lang w:val="en-GB"/>
              </w:rPr>
              <w:t xml:space="preserve">ositions per time band – </w:t>
            </w:r>
            <w:r w:rsidR="00372781" w:rsidRPr="00E4265B">
              <w:rPr>
                <w:rFonts w:ascii="Arial" w:hAnsi="Arial" w:cs="Arial"/>
                <w:b/>
                <w:sz w:val="22"/>
                <w:szCs w:val="22"/>
                <w:lang w:val="en-GB"/>
              </w:rPr>
              <w:t>w</w:t>
            </w:r>
            <w:r w:rsidRPr="00E4265B">
              <w:rPr>
                <w:rFonts w:ascii="Arial" w:hAnsi="Arial" w:cs="Arial"/>
                <w:b/>
                <w:sz w:val="22"/>
                <w:szCs w:val="22"/>
                <w:lang w:val="en-GB"/>
              </w:rPr>
              <w:t>eighted ($)</w:t>
            </w:r>
            <w:r w:rsidRPr="00E4265B">
              <w:rPr>
                <w:rFonts w:ascii="Arial" w:hAnsi="Arial" w:cs="Arial"/>
                <w:b/>
                <w:sz w:val="22"/>
                <w:szCs w:val="22"/>
                <w:lang w:val="en-GB"/>
              </w:rPr>
              <w:br/>
              <w:t>(M = matched, U = unmatched)</w:t>
            </w:r>
          </w:p>
        </w:tc>
      </w:tr>
      <w:tr w:rsidR="00F35A51" w:rsidRPr="00E4265B" w14:paraId="2AB2C314" w14:textId="77777777" w:rsidTr="00A80508">
        <w:trPr>
          <w:trHeight w:val="360"/>
          <w:tblHeader/>
        </w:trPr>
        <w:tc>
          <w:tcPr>
            <w:tcW w:w="0" w:type="auto"/>
            <w:vMerge/>
            <w:shd w:val="pct20" w:color="auto" w:fill="auto"/>
            <w:vAlign w:val="center"/>
          </w:tcPr>
          <w:p w14:paraId="6513C8D4" w14:textId="77777777" w:rsidR="00F35A51" w:rsidRPr="00E4265B" w:rsidRDefault="00F35A51" w:rsidP="002E0A24">
            <w:pPr>
              <w:jc w:val="center"/>
              <w:rPr>
                <w:rFonts w:ascii="Arial" w:hAnsi="Arial" w:cs="Arial"/>
                <w:b/>
                <w:sz w:val="22"/>
                <w:szCs w:val="22"/>
                <w:lang w:val="en-GB"/>
              </w:rPr>
            </w:pPr>
          </w:p>
        </w:tc>
        <w:tc>
          <w:tcPr>
            <w:tcW w:w="0" w:type="auto"/>
            <w:gridSpan w:val="2"/>
            <w:vMerge/>
            <w:tcBorders>
              <w:bottom w:val="single" w:sz="4" w:space="0" w:color="auto"/>
            </w:tcBorders>
            <w:shd w:val="pct20" w:color="auto" w:fill="auto"/>
            <w:vAlign w:val="center"/>
          </w:tcPr>
          <w:p w14:paraId="430C4CC6" w14:textId="77777777" w:rsidR="00F35A51" w:rsidRPr="00E4265B" w:rsidRDefault="00F35A51" w:rsidP="002E0A24">
            <w:pPr>
              <w:jc w:val="center"/>
              <w:rPr>
                <w:rFonts w:ascii="Arial" w:hAnsi="Arial" w:cs="Arial"/>
                <w:b/>
                <w:sz w:val="22"/>
                <w:szCs w:val="22"/>
                <w:lang w:val="en-GB"/>
              </w:rPr>
            </w:pPr>
          </w:p>
        </w:tc>
        <w:tc>
          <w:tcPr>
            <w:tcW w:w="0" w:type="auto"/>
            <w:gridSpan w:val="2"/>
            <w:vMerge/>
            <w:tcBorders>
              <w:bottom w:val="single" w:sz="4" w:space="0" w:color="auto"/>
            </w:tcBorders>
            <w:shd w:val="pct20" w:color="auto" w:fill="auto"/>
            <w:vAlign w:val="center"/>
          </w:tcPr>
          <w:p w14:paraId="49EA2703" w14:textId="77777777" w:rsidR="00F35A51" w:rsidRPr="00E4265B" w:rsidRDefault="00F35A51" w:rsidP="002E0A24">
            <w:pPr>
              <w:jc w:val="center"/>
              <w:rPr>
                <w:rFonts w:ascii="Arial" w:hAnsi="Arial" w:cs="Arial"/>
                <w:b/>
                <w:sz w:val="22"/>
                <w:szCs w:val="22"/>
                <w:lang w:val="en-GB"/>
              </w:rPr>
            </w:pPr>
          </w:p>
        </w:tc>
        <w:tc>
          <w:tcPr>
            <w:tcW w:w="1354" w:type="dxa"/>
            <w:vMerge/>
            <w:shd w:val="pct20" w:color="auto" w:fill="auto"/>
            <w:vAlign w:val="center"/>
          </w:tcPr>
          <w:p w14:paraId="36E78B30" w14:textId="77777777" w:rsidR="00F35A51" w:rsidRPr="00E4265B" w:rsidRDefault="00F35A51" w:rsidP="002E0A24">
            <w:pPr>
              <w:jc w:val="center"/>
              <w:rPr>
                <w:rFonts w:ascii="Arial" w:hAnsi="Arial" w:cs="Arial"/>
                <w:b/>
                <w:sz w:val="22"/>
                <w:szCs w:val="22"/>
                <w:lang w:val="en-GB"/>
              </w:rPr>
            </w:pPr>
          </w:p>
        </w:tc>
        <w:tc>
          <w:tcPr>
            <w:tcW w:w="1669" w:type="dxa"/>
            <w:gridSpan w:val="2"/>
            <w:tcBorders>
              <w:top w:val="nil"/>
              <w:bottom w:val="single" w:sz="4" w:space="0" w:color="auto"/>
            </w:tcBorders>
            <w:shd w:val="pct20" w:color="auto" w:fill="auto"/>
            <w:vAlign w:val="center"/>
          </w:tcPr>
          <w:p w14:paraId="6BD375E5" w14:textId="77777777" w:rsidR="00F35A51" w:rsidRPr="00E4265B" w:rsidRDefault="00F35A51" w:rsidP="002E0A24">
            <w:pPr>
              <w:jc w:val="center"/>
              <w:rPr>
                <w:rFonts w:ascii="Arial" w:hAnsi="Arial" w:cs="Arial"/>
                <w:b/>
                <w:sz w:val="22"/>
                <w:szCs w:val="22"/>
                <w:lang w:val="en-GB"/>
              </w:rPr>
            </w:pPr>
          </w:p>
        </w:tc>
        <w:tc>
          <w:tcPr>
            <w:tcW w:w="0" w:type="auto"/>
            <w:gridSpan w:val="2"/>
            <w:tcBorders>
              <w:bottom w:val="single" w:sz="4" w:space="0" w:color="auto"/>
            </w:tcBorders>
            <w:shd w:val="pct20" w:color="auto" w:fill="auto"/>
            <w:vAlign w:val="center"/>
          </w:tcPr>
          <w:p w14:paraId="2A5EBAA5" w14:textId="6B6EB9E4" w:rsidR="00F35A51" w:rsidRPr="00E4265B" w:rsidRDefault="00F35A51" w:rsidP="00D45A22">
            <w:pPr>
              <w:jc w:val="center"/>
              <w:rPr>
                <w:rFonts w:ascii="Arial" w:hAnsi="Arial" w:cs="Arial"/>
                <w:b/>
                <w:sz w:val="22"/>
                <w:szCs w:val="22"/>
                <w:lang w:val="en-GB"/>
              </w:rPr>
            </w:pPr>
            <w:r w:rsidRPr="00E4265B">
              <w:rPr>
                <w:rFonts w:ascii="Arial" w:hAnsi="Arial" w:cs="Arial"/>
                <w:b/>
                <w:sz w:val="22"/>
                <w:szCs w:val="22"/>
                <w:lang w:val="en-GB"/>
              </w:rPr>
              <w:t xml:space="preserve">By </w:t>
            </w:r>
            <w:r w:rsidR="00D45A22" w:rsidRPr="00E4265B">
              <w:rPr>
                <w:rFonts w:ascii="Arial" w:hAnsi="Arial" w:cs="Arial"/>
                <w:b/>
                <w:sz w:val="22"/>
                <w:szCs w:val="22"/>
                <w:lang w:val="en-GB"/>
              </w:rPr>
              <w:t>time</w:t>
            </w:r>
            <w:r w:rsidRPr="00E4265B">
              <w:rPr>
                <w:rFonts w:ascii="Arial" w:hAnsi="Arial" w:cs="Arial"/>
                <w:b/>
                <w:sz w:val="22"/>
                <w:szCs w:val="22"/>
                <w:lang w:val="en-GB"/>
              </w:rPr>
              <w:t xml:space="preserve"> </w:t>
            </w:r>
            <w:r w:rsidR="00D45A22" w:rsidRPr="00E4265B">
              <w:rPr>
                <w:rFonts w:ascii="Arial" w:hAnsi="Arial" w:cs="Arial"/>
                <w:b/>
                <w:sz w:val="22"/>
                <w:szCs w:val="22"/>
                <w:lang w:val="en-GB"/>
              </w:rPr>
              <w:t>b</w:t>
            </w:r>
            <w:r w:rsidRPr="00E4265B">
              <w:rPr>
                <w:rFonts w:ascii="Arial" w:hAnsi="Arial" w:cs="Arial"/>
                <w:b/>
                <w:sz w:val="22"/>
                <w:szCs w:val="22"/>
                <w:lang w:val="en-GB"/>
              </w:rPr>
              <w:t>and</w:t>
            </w:r>
          </w:p>
        </w:tc>
        <w:tc>
          <w:tcPr>
            <w:tcW w:w="0" w:type="auto"/>
            <w:gridSpan w:val="2"/>
            <w:tcBorders>
              <w:bottom w:val="single" w:sz="4" w:space="0" w:color="auto"/>
            </w:tcBorders>
            <w:shd w:val="pct20" w:color="auto" w:fill="auto"/>
            <w:vAlign w:val="center"/>
          </w:tcPr>
          <w:p w14:paraId="0F2B0783" w14:textId="17D26A37" w:rsidR="00F35A51" w:rsidRPr="00E4265B" w:rsidRDefault="00F35A51" w:rsidP="00D45A22">
            <w:pPr>
              <w:jc w:val="center"/>
              <w:rPr>
                <w:rFonts w:ascii="Arial" w:hAnsi="Arial" w:cs="Arial"/>
                <w:b/>
                <w:sz w:val="22"/>
                <w:szCs w:val="22"/>
                <w:lang w:val="en-GB"/>
              </w:rPr>
            </w:pPr>
            <w:r w:rsidRPr="00E4265B">
              <w:rPr>
                <w:rFonts w:ascii="Arial" w:hAnsi="Arial" w:cs="Arial"/>
                <w:b/>
                <w:sz w:val="22"/>
                <w:szCs w:val="22"/>
                <w:lang w:val="en-GB"/>
              </w:rPr>
              <w:t xml:space="preserve">By </w:t>
            </w:r>
            <w:r w:rsidR="00D45A22" w:rsidRPr="00E4265B">
              <w:rPr>
                <w:rFonts w:ascii="Arial" w:hAnsi="Arial" w:cs="Arial"/>
                <w:b/>
                <w:sz w:val="22"/>
                <w:szCs w:val="22"/>
                <w:lang w:val="en-GB"/>
              </w:rPr>
              <w:t>z</w:t>
            </w:r>
            <w:r w:rsidRPr="00E4265B">
              <w:rPr>
                <w:rFonts w:ascii="Arial" w:hAnsi="Arial" w:cs="Arial"/>
                <w:b/>
                <w:sz w:val="22"/>
                <w:szCs w:val="22"/>
                <w:lang w:val="en-GB"/>
              </w:rPr>
              <w:t>one</w:t>
            </w:r>
          </w:p>
        </w:tc>
        <w:tc>
          <w:tcPr>
            <w:tcW w:w="0" w:type="auto"/>
            <w:gridSpan w:val="2"/>
            <w:tcBorders>
              <w:bottom w:val="single" w:sz="4" w:space="0" w:color="auto"/>
            </w:tcBorders>
            <w:shd w:val="pct20" w:color="auto" w:fill="auto"/>
            <w:vAlign w:val="center"/>
          </w:tcPr>
          <w:p w14:paraId="00CBEF94" w14:textId="316430C1" w:rsidR="00F35A51" w:rsidRPr="00E4265B" w:rsidRDefault="00F35A51" w:rsidP="00D45A22">
            <w:pPr>
              <w:jc w:val="center"/>
              <w:rPr>
                <w:rFonts w:ascii="Arial" w:hAnsi="Arial" w:cs="Arial"/>
                <w:b/>
                <w:sz w:val="22"/>
                <w:szCs w:val="22"/>
                <w:lang w:val="en-GB"/>
              </w:rPr>
            </w:pPr>
            <w:r w:rsidRPr="00E4265B">
              <w:rPr>
                <w:rFonts w:ascii="Arial" w:hAnsi="Arial" w:cs="Arial"/>
                <w:b/>
                <w:sz w:val="22"/>
                <w:szCs w:val="22"/>
                <w:lang w:val="en-GB"/>
              </w:rPr>
              <w:t xml:space="preserve">Between </w:t>
            </w:r>
            <w:r w:rsidR="00D45A22" w:rsidRPr="00E4265B">
              <w:rPr>
                <w:rFonts w:ascii="Arial" w:hAnsi="Arial" w:cs="Arial"/>
                <w:b/>
                <w:sz w:val="22"/>
                <w:szCs w:val="22"/>
                <w:lang w:val="en-GB"/>
              </w:rPr>
              <w:t>z</w:t>
            </w:r>
            <w:r w:rsidRPr="00E4265B">
              <w:rPr>
                <w:rFonts w:ascii="Arial" w:hAnsi="Arial" w:cs="Arial"/>
                <w:b/>
                <w:sz w:val="22"/>
                <w:szCs w:val="22"/>
                <w:lang w:val="en-GB"/>
              </w:rPr>
              <w:t>ones</w:t>
            </w:r>
          </w:p>
        </w:tc>
      </w:tr>
      <w:tr w:rsidR="00F35A51" w:rsidRPr="00E4265B" w14:paraId="7D5B9963" w14:textId="77777777" w:rsidTr="00A80508">
        <w:trPr>
          <w:trHeight w:val="360"/>
        </w:trPr>
        <w:tc>
          <w:tcPr>
            <w:tcW w:w="0" w:type="auto"/>
            <w:vMerge/>
            <w:tcBorders>
              <w:bottom w:val="single" w:sz="4" w:space="0" w:color="auto"/>
            </w:tcBorders>
            <w:vAlign w:val="center"/>
          </w:tcPr>
          <w:p w14:paraId="70134E9E" w14:textId="77777777" w:rsidR="00F35A51" w:rsidRPr="00E4265B" w:rsidRDefault="00F35A51" w:rsidP="002E0A24">
            <w:pPr>
              <w:jc w:val="center"/>
              <w:rPr>
                <w:rFonts w:ascii="Arial" w:hAnsi="Arial" w:cs="Arial"/>
                <w:sz w:val="22"/>
                <w:szCs w:val="22"/>
                <w:lang w:val="en-GB"/>
              </w:rPr>
            </w:pPr>
          </w:p>
        </w:tc>
        <w:tc>
          <w:tcPr>
            <w:tcW w:w="0" w:type="auto"/>
            <w:tcBorders>
              <w:bottom w:val="single" w:sz="4" w:space="0" w:color="auto"/>
              <w:right w:val="dotted" w:sz="4" w:space="0" w:color="auto"/>
            </w:tcBorders>
            <w:shd w:val="clear" w:color="auto" w:fill="D9D9D9" w:themeFill="background1" w:themeFillShade="D9"/>
            <w:vAlign w:val="center"/>
          </w:tcPr>
          <w:p w14:paraId="2FBC0207" w14:textId="346343AB" w:rsidR="00F35A51" w:rsidRPr="00E4265B" w:rsidRDefault="00F35A51" w:rsidP="002E0A24">
            <w:pPr>
              <w:jc w:val="center"/>
              <w:rPr>
                <w:rFonts w:ascii="Arial" w:hAnsi="Arial" w:cs="Arial"/>
                <w:sz w:val="22"/>
                <w:szCs w:val="22"/>
                <w:lang w:val="en-GB"/>
              </w:rPr>
            </w:pPr>
            <w:r w:rsidRPr="00E4265B">
              <w:rPr>
                <w:rFonts w:ascii="Arial" w:hAnsi="Arial" w:cs="Arial"/>
                <w:sz w:val="22"/>
                <w:szCs w:val="22"/>
                <w:lang w:val="en-GB"/>
              </w:rPr>
              <w:t>Coupon ≥3%</w:t>
            </w:r>
          </w:p>
        </w:tc>
        <w:tc>
          <w:tcPr>
            <w:tcW w:w="0" w:type="auto"/>
            <w:tcBorders>
              <w:left w:val="dotted" w:sz="4" w:space="0" w:color="auto"/>
              <w:bottom w:val="single" w:sz="4" w:space="0" w:color="auto"/>
            </w:tcBorders>
            <w:shd w:val="clear" w:color="auto" w:fill="D9D9D9" w:themeFill="background1" w:themeFillShade="D9"/>
            <w:vAlign w:val="center"/>
          </w:tcPr>
          <w:p w14:paraId="5AA69F7B" w14:textId="13C2137A" w:rsidR="00F35A51" w:rsidRPr="00E4265B" w:rsidRDefault="00F35A51" w:rsidP="002E0A24">
            <w:pPr>
              <w:jc w:val="center"/>
              <w:rPr>
                <w:rFonts w:ascii="Arial" w:hAnsi="Arial" w:cs="Arial"/>
                <w:sz w:val="22"/>
                <w:szCs w:val="22"/>
                <w:lang w:val="en-GB"/>
              </w:rPr>
            </w:pPr>
            <w:r w:rsidRPr="00E4265B">
              <w:rPr>
                <w:rFonts w:ascii="Arial" w:hAnsi="Arial" w:cs="Arial"/>
                <w:sz w:val="22"/>
                <w:szCs w:val="22"/>
                <w:lang w:val="en-GB"/>
              </w:rPr>
              <w:t>Coupon &lt;3%</w:t>
            </w:r>
          </w:p>
        </w:tc>
        <w:tc>
          <w:tcPr>
            <w:tcW w:w="0" w:type="auto"/>
            <w:tcBorders>
              <w:bottom w:val="single" w:sz="4" w:space="0" w:color="auto"/>
              <w:right w:val="dotted" w:sz="4" w:space="0" w:color="auto"/>
            </w:tcBorders>
            <w:shd w:val="clear" w:color="auto" w:fill="D9D9D9" w:themeFill="background1" w:themeFillShade="D9"/>
            <w:vAlign w:val="center"/>
          </w:tcPr>
          <w:p w14:paraId="454122D3" w14:textId="77777777" w:rsidR="00F35A51" w:rsidRPr="00E4265B" w:rsidRDefault="00F35A51" w:rsidP="002E0A24">
            <w:pPr>
              <w:jc w:val="center"/>
              <w:rPr>
                <w:rFonts w:ascii="Arial" w:hAnsi="Arial" w:cs="Arial"/>
                <w:sz w:val="22"/>
                <w:szCs w:val="22"/>
                <w:lang w:val="en-GB"/>
              </w:rPr>
            </w:pPr>
            <w:r w:rsidRPr="00E4265B">
              <w:rPr>
                <w:rFonts w:ascii="Arial" w:hAnsi="Arial" w:cs="Arial"/>
                <w:sz w:val="22"/>
                <w:szCs w:val="22"/>
                <w:lang w:val="en-GB"/>
              </w:rPr>
              <w:t>Long</w:t>
            </w:r>
          </w:p>
        </w:tc>
        <w:tc>
          <w:tcPr>
            <w:tcW w:w="0" w:type="auto"/>
            <w:tcBorders>
              <w:left w:val="dotted" w:sz="4" w:space="0" w:color="auto"/>
              <w:bottom w:val="single" w:sz="4" w:space="0" w:color="auto"/>
            </w:tcBorders>
            <w:shd w:val="clear" w:color="auto" w:fill="D9D9D9" w:themeFill="background1" w:themeFillShade="D9"/>
            <w:vAlign w:val="center"/>
          </w:tcPr>
          <w:p w14:paraId="6EE1DD21" w14:textId="77777777" w:rsidR="00F35A51" w:rsidRPr="00E4265B" w:rsidRDefault="00F35A51" w:rsidP="002E0A24">
            <w:pPr>
              <w:jc w:val="center"/>
              <w:rPr>
                <w:rFonts w:ascii="Arial" w:hAnsi="Arial" w:cs="Arial"/>
                <w:sz w:val="22"/>
                <w:szCs w:val="22"/>
                <w:lang w:val="en-GB"/>
              </w:rPr>
            </w:pPr>
            <w:r w:rsidRPr="00E4265B">
              <w:rPr>
                <w:rFonts w:ascii="Arial" w:hAnsi="Arial" w:cs="Arial"/>
                <w:sz w:val="22"/>
                <w:szCs w:val="22"/>
                <w:lang w:val="en-GB"/>
              </w:rPr>
              <w:t>Short</w:t>
            </w:r>
          </w:p>
        </w:tc>
        <w:tc>
          <w:tcPr>
            <w:tcW w:w="1354" w:type="dxa"/>
            <w:tcBorders>
              <w:bottom w:val="single" w:sz="4" w:space="0" w:color="auto"/>
            </w:tcBorders>
            <w:shd w:val="clear" w:color="auto" w:fill="D9D9D9" w:themeFill="background1" w:themeFillShade="D9"/>
            <w:vAlign w:val="center"/>
          </w:tcPr>
          <w:p w14:paraId="69ED2B14" w14:textId="77777777" w:rsidR="00F35A51" w:rsidRPr="00E4265B" w:rsidRDefault="00F35A51" w:rsidP="002E0A24">
            <w:pPr>
              <w:jc w:val="center"/>
              <w:rPr>
                <w:rFonts w:ascii="Arial" w:hAnsi="Arial" w:cs="Arial"/>
                <w:sz w:val="22"/>
                <w:szCs w:val="22"/>
                <w:lang w:val="en-GB"/>
              </w:rPr>
            </w:pPr>
          </w:p>
        </w:tc>
        <w:tc>
          <w:tcPr>
            <w:tcW w:w="934" w:type="dxa"/>
            <w:tcBorders>
              <w:bottom w:val="single" w:sz="4" w:space="0" w:color="auto"/>
              <w:right w:val="dotted" w:sz="4" w:space="0" w:color="auto"/>
            </w:tcBorders>
            <w:shd w:val="clear" w:color="auto" w:fill="D9D9D9" w:themeFill="background1" w:themeFillShade="D9"/>
            <w:vAlign w:val="center"/>
          </w:tcPr>
          <w:p w14:paraId="4A9A9447" w14:textId="77777777" w:rsidR="00F35A51" w:rsidRPr="00E4265B" w:rsidRDefault="00F35A51" w:rsidP="002E0A24">
            <w:pPr>
              <w:jc w:val="center"/>
              <w:rPr>
                <w:rFonts w:ascii="Arial" w:hAnsi="Arial" w:cs="Arial"/>
                <w:sz w:val="22"/>
                <w:szCs w:val="22"/>
                <w:lang w:val="en-GB"/>
              </w:rPr>
            </w:pPr>
            <w:r w:rsidRPr="00E4265B">
              <w:rPr>
                <w:rFonts w:ascii="Arial" w:hAnsi="Arial" w:cs="Arial"/>
                <w:sz w:val="22"/>
                <w:szCs w:val="22"/>
                <w:lang w:val="en-GB"/>
              </w:rPr>
              <w:t>Long</w:t>
            </w:r>
          </w:p>
        </w:tc>
        <w:tc>
          <w:tcPr>
            <w:tcW w:w="735" w:type="dxa"/>
            <w:tcBorders>
              <w:left w:val="dotted" w:sz="4" w:space="0" w:color="auto"/>
              <w:bottom w:val="single" w:sz="4" w:space="0" w:color="auto"/>
            </w:tcBorders>
            <w:shd w:val="clear" w:color="auto" w:fill="D9D9D9" w:themeFill="background1" w:themeFillShade="D9"/>
            <w:vAlign w:val="center"/>
          </w:tcPr>
          <w:p w14:paraId="273744DB" w14:textId="77777777" w:rsidR="00F35A51" w:rsidRPr="00E4265B" w:rsidRDefault="00F35A51" w:rsidP="002E0A24">
            <w:pPr>
              <w:jc w:val="center"/>
              <w:rPr>
                <w:rFonts w:ascii="Arial" w:hAnsi="Arial" w:cs="Arial"/>
                <w:sz w:val="22"/>
                <w:szCs w:val="22"/>
                <w:lang w:val="en-GB"/>
              </w:rPr>
            </w:pPr>
            <w:r w:rsidRPr="00E4265B">
              <w:rPr>
                <w:rFonts w:ascii="Arial" w:hAnsi="Arial" w:cs="Arial"/>
                <w:sz w:val="22"/>
                <w:szCs w:val="22"/>
                <w:lang w:val="en-GB"/>
              </w:rPr>
              <w:t>Short</w:t>
            </w:r>
          </w:p>
        </w:tc>
        <w:tc>
          <w:tcPr>
            <w:tcW w:w="0" w:type="auto"/>
            <w:tcBorders>
              <w:bottom w:val="single" w:sz="4" w:space="0" w:color="auto"/>
              <w:right w:val="dotted" w:sz="4" w:space="0" w:color="auto"/>
            </w:tcBorders>
            <w:shd w:val="clear" w:color="auto" w:fill="D9D9D9" w:themeFill="background1" w:themeFillShade="D9"/>
            <w:vAlign w:val="center"/>
          </w:tcPr>
          <w:p w14:paraId="0E594FF7" w14:textId="29FFBC9B" w:rsidR="00F35A51" w:rsidRPr="00E4265B" w:rsidRDefault="00F35A51" w:rsidP="002E0A24">
            <w:pPr>
              <w:jc w:val="center"/>
              <w:rPr>
                <w:rFonts w:ascii="Arial" w:hAnsi="Arial" w:cs="Arial"/>
                <w:sz w:val="22"/>
                <w:szCs w:val="22"/>
                <w:lang w:val="en-GB"/>
              </w:rPr>
            </w:pPr>
            <w:r w:rsidRPr="00E4265B">
              <w:rPr>
                <w:rFonts w:ascii="Arial" w:hAnsi="Arial" w:cs="Arial"/>
                <w:sz w:val="22"/>
                <w:szCs w:val="22"/>
                <w:lang w:val="en-GB"/>
              </w:rPr>
              <w:t>M</w:t>
            </w:r>
          </w:p>
        </w:tc>
        <w:tc>
          <w:tcPr>
            <w:tcW w:w="0" w:type="auto"/>
            <w:tcBorders>
              <w:left w:val="dotted" w:sz="4" w:space="0" w:color="auto"/>
              <w:bottom w:val="single" w:sz="4" w:space="0" w:color="auto"/>
            </w:tcBorders>
            <w:shd w:val="clear" w:color="auto" w:fill="D9D9D9" w:themeFill="background1" w:themeFillShade="D9"/>
            <w:vAlign w:val="center"/>
          </w:tcPr>
          <w:p w14:paraId="135D785F" w14:textId="75B8E70B" w:rsidR="00F35A51" w:rsidRPr="00E4265B" w:rsidRDefault="00F35A51" w:rsidP="002E0A24">
            <w:pPr>
              <w:jc w:val="center"/>
              <w:rPr>
                <w:rFonts w:ascii="Arial" w:hAnsi="Arial" w:cs="Arial"/>
                <w:sz w:val="22"/>
                <w:szCs w:val="22"/>
                <w:lang w:val="en-GB"/>
              </w:rPr>
            </w:pPr>
            <w:r w:rsidRPr="00E4265B">
              <w:rPr>
                <w:rFonts w:ascii="Arial" w:hAnsi="Arial" w:cs="Arial"/>
                <w:sz w:val="22"/>
                <w:szCs w:val="22"/>
                <w:lang w:val="en-GB"/>
              </w:rPr>
              <w:t>U</w:t>
            </w:r>
          </w:p>
        </w:tc>
        <w:tc>
          <w:tcPr>
            <w:tcW w:w="0" w:type="auto"/>
            <w:tcBorders>
              <w:bottom w:val="single" w:sz="4" w:space="0" w:color="auto"/>
              <w:right w:val="dotted" w:sz="4" w:space="0" w:color="auto"/>
            </w:tcBorders>
            <w:shd w:val="clear" w:color="auto" w:fill="D9D9D9" w:themeFill="background1" w:themeFillShade="D9"/>
            <w:vAlign w:val="center"/>
          </w:tcPr>
          <w:p w14:paraId="03DF8C7D" w14:textId="594FD66E" w:rsidR="00F35A51" w:rsidRPr="00E4265B" w:rsidRDefault="00F35A51" w:rsidP="002E0A24">
            <w:pPr>
              <w:jc w:val="center"/>
              <w:rPr>
                <w:rFonts w:ascii="Arial" w:hAnsi="Arial" w:cs="Arial"/>
                <w:sz w:val="22"/>
                <w:szCs w:val="22"/>
                <w:lang w:val="en-GB"/>
              </w:rPr>
            </w:pPr>
            <w:r w:rsidRPr="00E4265B">
              <w:rPr>
                <w:rFonts w:ascii="Arial" w:hAnsi="Arial" w:cs="Arial"/>
                <w:sz w:val="22"/>
                <w:szCs w:val="22"/>
                <w:lang w:val="en-GB"/>
              </w:rPr>
              <w:t>M</w:t>
            </w:r>
          </w:p>
        </w:tc>
        <w:tc>
          <w:tcPr>
            <w:tcW w:w="0" w:type="auto"/>
            <w:tcBorders>
              <w:left w:val="dotted" w:sz="4" w:space="0" w:color="auto"/>
              <w:bottom w:val="single" w:sz="4" w:space="0" w:color="auto"/>
            </w:tcBorders>
            <w:shd w:val="clear" w:color="auto" w:fill="D9D9D9" w:themeFill="background1" w:themeFillShade="D9"/>
            <w:vAlign w:val="center"/>
          </w:tcPr>
          <w:p w14:paraId="321D3ED3" w14:textId="6572A6E5" w:rsidR="00F35A51" w:rsidRPr="00E4265B" w:rsidRDefault="00F35A51" w:rsidP="002E0A24">
            <w:pPr>
              <w:jc w:val="center"/>
              <w:rPr>
                <w:rFonts w:ascii="Arial" w:hAnsi="Arial" w:cs="Arial"/>
                <w:sz w:val="22"/>
                <w:szCs w:val="22"/>
                <w:lang w:val="en-GB"/>
              </w:rPr>
            </w:pPr>
            <w:r w:rsidRPr="00E4265B">
              <w:rPr>
                <w:rFonts w:ascii="Arial" w:hAnsi="Arial" w:cs="Arial"/>
                <w:sz w:val="22"/>
                <w:szCs w:val="22"/>
                <w:lang w:val="en-GB"/>
              </w:rPr>
              <w:t>U</w:t>
            </w:r>
          </w:p>
        </w:tc>
        <w:tc>
          <w:tcPr>
            <w:tcW w:w="0" w:type="auto"/>
            <w:tcBorders>
              <w:bottom w:val="single" w:sz="4" w:space="0" w:color="auto"/>
              <w:right w:val="dotted" w:sz="4" w:space="0" w:color="auto"/>
            </w:tcBorders>
            <w:shd w:val="clear" w:color="auto" w:fill="D9D9D9" w:themeFill="background1" w:themeFillShade="D9"/>
            <w:vAlign w:val="center"/>
          </w:tcPr>
          <w:p w14:paraId="26FFECF6" w14:textId="0BEA5C75" w:rsidR="00F35A51" w:rsidRPr="00E4265B" w:rsidRDefault="00F35A51" w:rsidP="002E0A24">
            <w:pPr>
              <w:jc w:val="center"/>
              <w:rPr>
                <w:rFonts w:ascii="Arial" w:hAnsi="Arial" w:cs="Arial"/>
                <w:sz w:val="22"/>
                <w:szCs w:val="22"/>
                <w:lang w:val="en-GB"/>
              </w:rPr>
            </w:pPr>
            <w:r w:rsidRPr="00E4265B">
              <w:rPr>
                <w:rFonts w:ascii="Arial" w:hAnsi="Arial" w:cs="Arial"/>
                <w:sz w:val="22"/>
                <w:szCs w:val="22"/>
                <w:lang w:val="en-GB"/>
              </w:rPr>
              <w:t>M</w:t>
            </w:r>
          </w:p>
        </w:tc>
        <w:tc>
          <w:tcPr>
            <w:tcW w:w="0" w:type="auto"/>
            <w:tcBorders>
              <w:left w:val="dotted" w:sz="4" w:space="0" w:color="auto"/>
              <w:bottom w:val="single" w:sz="4" w:space="0" w:color="auto"/>
            </w:tcBorders>
            <w:shd w:val="clear" w:color="auto" w:fill="D9D9D9" w:themeFill="background1" w:themeFillShade="D9"/>
            <w:vAlign w:val="center"/>
          </w:tcPr>
          <w:p w14:paraId="433257B5" w14:textId="222A8DD0" w:rsidR="00F35A51" w:rsidRPr="00E4265B" w:rsidRDefault="00F35A51" w:rsidP="002E0A24">
            <w:pPr>
              <w:jc w:val="center"/>
              <w:rPr>
                <w:rFonts w:ascii="Arial" w:hAnsi="Arial" w:cs="Arial"/>
                <w:sz w:val="22"/>
                <w:szCs w:val="22"/>
                <w:lang w:val="en-GB"/>
              </w:rPr>
            </w:pPr>
            <w:r w:rsidRPr="00E4265B">
              <w:rPr>
                <w:rFonts w:ascii="Arial" w:hAnsi="Arial" w:cs="Arial"/>
                <w:sz w:val="22"/>
                <w:szCs w:val="22"/>
                <w:lang w:val="en-GB"/>
              </w:rPr>
              <w:t>U</w:t>
            </w:r>
          </w:p>
        </w:tc>
      </w:tr>
      <w:tr w:rsidR="00F35A51" w:rsidRPr="00E4265B" w14:paraId="52F4B544" w14:textId="77777777" w:rsidTr="00A80508">
        <w:trPr>
          <w:trHeight w:val="360"/>
        </w:trPr>
        <w:tc>
          <w:tcPr>
            <w:tcW w:w="0" w:type="auto"/>
            <w:vMerge w:val="restart"/>
            <w:vAlign w:val="center"/>
          </w:tcPr>
          <w:p w14:paraId="3E18549D" w14:textId="6FD8A59D" w:rsidR="00F35A51" w:rsidRPr="00E4265B" w:rsidRDefault="00881EF1" w:rsidP="002E0A24">
            <w:pPr>
              <w:jc w:val="center"/>
              <w:rPr>
                <w:rFonts w:ascii="Arial" w:hAnsi="Arial" w:cs="Arial"/>
                <w:sz w:val="22"/>
                <w:szCs w:val="22"/>
                <w:lang w:val="en-GB"/>
              </w:rPr>
            </w:pPr>
            <w:r w:rsidRPr="00E4265B">
              <w:rPr>
                <w:rFonts w:ascii="Arial" w:hAnsi="Arial" w:cs="Arial"/>
                <w:sz w:val="22"/>
                <w:szCs w:val="22"/>
                <w:lang w:val="en-GB"/>
              </w:rPr>
              <w:t>A</w:t>
            </w:r>
          </w:p>
        </w:tc>
        <w:tc>
          <w:tcPr>
            <w:tcW w:w="0" w:type="auto"/>
            <w:tcBorders>
              <w:right w:val="dotted" w:sz="4" w:space="0" w:color="auto"/>
            </w:tcBorders>
          </w:tcPr>
          <w:p w14:paraId="4672E95F" w14:textId="74C78462" w:rsidR="00F35A51" w:rsidRPr="00E4265B" w:rsidRDefault="00F35A51" w:rsidP="002E0A24">
            <w:pPr>
              <w:rPr>
                <w:rFonts w:ascii="Arial" w:hAnsi="Arial" w:cs="Arial"/>
                <w:sz w:val="22"/>
                <w:szCs w:val="22"/>
                <w:lang w:val="en-GB"/>
              </w:rPr>
            </w:pPr>
            <w:r w:rsidRPr="00E4265B">
              <w:rPr>
                <w:rFonts w:ascii="Arial" w:hAnsi="Arial" w:cs="Arial"/>
                <w:sz w:val="22"/>
                <w:szCs w:val="22"/>
              </w:rPr>
              <w:t>≤ 1m</w:t>
            </w:r>
          </w:p>
        </w:tc>
        <w:tc>
          <w:tcPr>
            <w:tcW w:w="0" w:type="auto"/>
            <w:tcBorders>
              <w:left w:val="dotted" w:sz="4" w:space="0" w:color="auto"/>
            </w:tcBorders>
          </w:tcPr>
          <w:p w14:paraId="416FAF4A" w14:textId="21899F47" w:rsidR="00F35A51" w:rsidRPr="00E4265B" w:rsidRDefault="00F35A51" w:rsidP="002E0A24">
            <w:pPr>
              <w:rPr>
                <w:rFonts w:ascii="Arial" w:hAnsi="Arial" w:cs="Arial"/>
                <w:sz w:val="22"/>
                <w:szCs w:val="22"/>
                <w:lang w:val="en-GB"/>
              </w:rPr>
            </w:pPr>
            <w:r w:rsidRPr="00E4265B">
              <w:rPr>
                <w:rFonts w:ascii="Arial" w:hAnsi="Arial" w:cs="Arial"/>
                <w:sz w:val="22"/>
                <w:szCs w:val="22"/>
              </w:rPr>
              <w:t>0 ≤ 1m</w:t>
            </w:r>
          </w:p>
        </w:tc>
        <w:tc>
          <w:tcPr>
            <w:tcW w:w="0" w:type="auto"/>
            <w:tcBorders>
              <w:right w:val="dotted" w:sz="4" w:space="0" w:color="auto"/>
            </w:tcBorders>
          </w:tcPr>
          <w:p w14:paraId="74A47230" w14:textId="7AB9F422"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100</w:t>
            </w:r>
          </w:p>
        </w:tc>
        <w:tc>
          <w:tcPr>
            <w:tcW w:w="0" w:type="auto"/>
            <w:tcBorders>
              <w:left w:val="dotted" w:sz="4" w:space="0" w:color="auto"/>
            </w:tcBorders>
          </w:tcPr>
          <w:p w14:paraId="63BD8024" w14:textId="4AD7C76B"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-50</w:t>
            </w:r>
          </w:p>
        </w:tc>
        <w:tc>
          <w:tcPr>
            <w:tcW w:w="1354" w:type="dxa"/>
          </w:tcPr>
          <w:p w14:paraId="77E9C3B6" w14:textId="7777777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0.00%</w:t>
            </w:r>
          </w:p>
        </w:tc>
        <w:tc>
          <w:tcPr>
            <w:tcW w:w="934" w:type="dxa"/>
            <w:tcBorders>
              <w:right w:val="dotted" w:sz="4" w:space="0" w:color="auto"/>
            </w:tcBorders>
          </w:tcPr>
          <w:p w14:paraId="5E0606C4" w14:textId="530A3281"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0.00</w:t>
            </w:r>
          </w:p>
        </w:tc>
        <w:tc>
          <w:tcPr>
            <w:tcW w:w="735" w:type="dxa"/>
            <w:tcBorders>
              <w:left w:val="dotted" w:sz="4" w:space="0" w:color="auto"/>
            </w:tcBorders>
          </w:tcPr>
          <w:p w14:paraId="283E6B8A" w14:textId="49406883"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0.00</w:t>
            </w:r>
          </w:p>
        </w:tc>
        <w:tc>
          <w:tcPr>
            <w:tcW w:w="0" w:type="auto"/>
            <w:tcBorders>
              <w:right w:val="dotted" w:sz="4" w:space="0" w:color="auto"/>
            </w:tcBorders>
          </w:tcPr>
          <w:p w14:paraId="7DB05AE8" w14:textId="46F647C6"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0.00</w:t>
            </w:r>
          </w:p>
        </w:tc>
        <w:tc>
          <w:tcPr>
            <w:tcW w:w="0" w:type="auto"/>
            <w:tcBorders>
              <w:left w:val="dotted" w:sz="4" w:space="0" w:color="auto"/>
            </w:tcBorders>
          </w:tcPr>
          <w:p w14:paraId="719C64F3" w14:textId="712C5D21"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0.00</w:t>
            </w:r>
          </w:p>
        </w:tc>
        <w:tc>
          <w:tcPr>
            <w:tcW w:w="0" w:type="auto"/>
            <w:tcBorders>
              <w:right w:val="dotted" w:sz="4" w:space="0" w:color="auto"/>
            </w:tcBorders>
            <w:shd w:val="clear" w:color="auto" w:fill="F2F2F2" w:themeFill="background1" w:themeFillShade="F2"/>
          </w:tcPr>
          <w:p w14:paraId="17D9A30F"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135135C4" w14:textId="77777777" w:rsidR="00F35A51" w:rsidRPr="00E4265B" w:rsidRDefault="00F35A51" w:rsidP="003D144C">
            <w:pPr>
              <w:jc w:val="right"/>
              <w:rPr>
                <w:rFonts w:ascii="Arial" w:hAnsi="Arial" w:cs="Arial"/>
                <w:sz w:val="22"/>
                <w:szCs w:val="22"/>
                <w:lang w:val="en-GB"/>
              </w:rPr>
            </w:pPr>
          </w:p>
        </w:tc>
        <w:tc>
          <w:tcPr>
            <w:tcW w:w="0" w:type="auto"/>
            <w:tcBorders>
              <w:right w:val="dotted" w:sz="4" w:space="0" w:color="auto"/>
            </w:tcBorders>
            <w:shd w:val="clear" w:color="auto" w:fill="F2F2F2" w:themeFill="background1" w:themeFillShade="F2"/>
          </w:tcPr>
          <w:p w14:paraId="2D886656"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64CACBAE" w14:textId="77777777" w:rsidR="00F35A51" w:rsidRPr="00E4265B" w:rsidRDefault="00F35A51" w:rsidP="003D144C">
            <w:pPr>
              <w:jc w:val="right"/>
              <w:rPr>
                <w:rFonts w:ascii="Arial" w:hAnsi="Arial" w:cs="Arial"/>
                <w:sz w:val="22"/>
                <w:szCs w:val="22"/>
                <w:lang w:val="en-GB"/>
              </w:rPr>
            </w:pPr>
          </w:p>
        </w:tc>
      </w:tr>
      <w:tr w:rsidR="00F35A51" w:rsidRPr="00E4265B" w14:paraId="58CE6F79" w14:textId="77777777" w:rsidTr="00A80508">
        <w:trPr>
          <w:trHeight w:val="360"/>
        </w:trPr>
        <w:tc>
          <w:tcPr>
            <w:tcW w:w="0" w:type="auto"/>
            <w:vMerge/>
            <w:vAlign w:val="center"/>
          </w:tcPr>
          <w:p w14:paraId="10DAD07E" w14:textId="77777777" w:rsidR="00F35A51" w:rsidRPr="00E4265B" w:rsidRDefault="00F35A51" w:rsidP="002E0A24">
            <w:pPr>
              <w:jc w:val="center"/>
              <w:rPr>
                <w:rFonts w:ascii="Arial" w:hAnsi="Arial" w:cs="Arial"/>
                <w:sz w:val="22"/>
                <w:szCs w:val="22"/>
                <w:lang w:val="en-GB"/>
              </w:rPr>
            </w:pPr>
          </w:p>
        </w:tc>
        <w:tc>
          <w:tcPr>
            <w:tcW w:w="0" w:type="auto"/>
            <w:tcBorders>
              <w:right w:val="dotted" w:sz="4" w:space="0" w:color="auto"/>
            </w:tcBorders>
          </w:tcPr>
          <w:p w14:paraId="357D1CA2" w14:textId="0C50155D" w:rsidR="00F35A51" w:rsidRPr="00E4265B" w:rsidRDefault="00F35A51" w:rsidP="002E0A24">
            <w:pPr>
              <w:rPr>
                <w:rFonts w:ascii="Arial" w:hAnsi="Arial" w:cs="Arial"/>
                <w:sz w:val="22"/>
                <w:szCs w:val="22"/>
                <w:lang w:val="en-GB"/>
              </w:rPr>
            </w:pPr>
            <w:r w:rsidRPr="00E4265B">
              <w:rPr>
                <w:rFonts w:ascii="Arial" w:hAnsi="Arial" w:cs="Arial"/>
                <w:sz w:val="22"/>
                <w:szCs w:val="22"/>
              </w:rPr>
              <w:t>&gt; 1 and ≤ 3m</w:t>
            </w:r>
          </w:p>
        </w:tc>
        <w:tc>
          <w:tcPr>
            <w:tcW w:w="0" w:type="auto"/>
            <w:tcBorders>
              <w:left w:val="dotted" w:sz="4" w:space="0" w:color="auto"/>
            </w:tcBorders>
          </w:tcPr>
          <w:p w14:paraId="1BC048CC" w14:textId="5F5CF8BB" w:rsidR="00F35A51" w:rsidRPr="00E4265B" w:rsidRDefault="00F35A51" w:rsidP="002E0A24">
            <w:pPr>
              <w:rPr>
                <w:rFonts w:ascii="Arial" w:hAnsi="Arial" w:cs="Arial"/>
                <w:sz w:val="22"/>
                <w:szCs w:val="22"/>
                <w:lang w:val="en-GB"/>
              </w:rPr>
            </w:pPr>
            <w:r w:rsidRPr="00E4265B">
              <w:rPr>
                <w:rFonts w:ascii="Arial" w:hAnsi="Arial" w:cs="Arial"/>
                <w:sz w:val="22"/>
                <w:szCs w:val="22"/>
              </w:rPr>
              <w:t>&gt; 1 and ≤ 3m</w:t>
            </w:r>
          </w:p>
        </w:tc>
        <w:tc>
          <w:tcPr>
            <w:tcW w:w="0" w:type="auto"/>
            <w:tcBorders>
              <w:right w:val="dotted" w:sz="4" w:space="0" w:color="auto"/>
            </w:tcBorders>
          </w:tcPr>
          <w:p w14:paraId="3AB57AB3" w14:textId="4DFDB1E6"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200</w:t>
            </w:r>
          </w:p>
        </w:tc>
        <w:tc>
          <w:tcPr>
            <w:tcW w:w="0" w:type="auto"/>
            <w:tcBorders>
              <w:left w:val="dotted" w:sz="4" w:space="0" w:color="auto"/>
            </w:tcBorders>
          </w:tcPr>
          <w:p w14:paraId="5F30EE88" w14:textId="189EA896"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-100</w:t>
            </w:r>
          </w:p>
        </w:tc>
        <w:tc>
          <w:tcPr>
            <w:tcW w:w="1354" w:type="dxa"/>
          </w:tcPr>
          <w:p w14:paraId="733BB883" w14:textId="7777777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0.20%</w:t>
            </w:r>
          </w:p>
        </w:tc>
        <w:tc>
          <w:tcPr>
            <w:tcW w:w="934" w:type="dxa"/>
            <w:tcBorders>
              <w:right w:val="dotted" w:sz="4" w:space="0" w:color="auto"/>
            </w:tcBorders>
          </w:tcPr>
          <w:p w14:paraId="55226303" w14:textId="19B648C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0.40</w:t>
            </w:r>
          </w:p>
        </w:tc>
        <w:tc>
          <w:tcPr>
            <w:tcW w:w="735" w:type="dxa"/>
            <w:tcBorders>
              <w:left w:val="dotted" w:sz="4" w:space="0" w:color="auto"/>
            </w:tcBorders>
          </w:tcPr>
          <w:p w14:paraId="233D59CF" w14:textId="0112BC4F"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-0.20</w:t>
            </w:r>
          </w:p>
        </w:tc>
        <w:tc>
          <w:tcPr>
            <w:tcW w:w="0" w:type="auto"/>
            <w:tcBorders>
              <w:right w:val="dotted" w:sz="4" w:space="0" w:color="auto"/>
            </w:tcBorders>
          </w:tcPr>
          <w:p w14:paraId="03AB2D60" w14:textId="46CED726"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0.20</w:t>
            </w:r>
          </w:p>
        </w:tc>
        <w:tc>
          <w:tcPr>
            <w:tcW w:w="0" w:type="auto"/>
            <w:tcBorders>
              <w:left w:val="dotted" w:sz="4" w:space="0" w:color="auto"/>
            </w:tcBorders>
          </w:tcPr>
          <w:p w14:paraId="58F860D0" w14:textId="0820AC58"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0.20</w:t>
            </w:r>
          </w:p>
        </w:tc>
        <w:tc>
          <w:tcPr>
            <w:tcW w:w="0" w:type="auto"/>
            <w:tcBorders>
              <w:right w:val="dotted" w:sz="4" w:space="0" w:color="auto"/>
            </w:tcBorders>
          </w:tcPr>
          <w:p w14:paraId="4BA6FA75" w14:textId="68805B3F"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0.00</w:t>
            </w:r>
          </w:p>
        </w:tc>
        <w:tc>
          <w:tcPr>
            <w:tcW w:w="0" w:type="auto"/>
            <w:tcBorders>
              <w:left w:val="dotted" w:sz="4" w:space="0" w:color="auto"/>
            </w:tcBorders>
          </w:tcPr>
          <w:p w14:paraId="5FE32DBF" w14:textId="1F397155"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1.30</w:t>
            </w:r>
          </w:p>
        </w:tc>
        <w:tc>
          <w:tcPr>
            <w:tcW w:w="0" w:type="auto"/>
            <w:tcBorders>
              <w:right w:val="dotted" w:sz="4" w:space="0" w:color="auto"/>
            </w:tcBorders>
            <w:shd w:val="clear" w:color="auto" w:fill="F2F2F2" w:themeFill="background1" w:themeFillShade="F2"/>
          </w:tcPr>
          <w:p w14:paraId="295EF106"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3A513797" w14:textId="77777777" w:rsidR="00F35A51" w:rsidRPr="00E4265B" w:rsidRDefault="00F35A51" w:rsidP="003D144C">
            <w:pPr>
              <w:jc w:val="right"/>
              <w:rPr>
                <w:rFonts w:ascii="Arial" w:hAnsi="Arial" w:cs="Arial"/>
                <w:sz w:val="22"/>
                <w:szCs w:val="22"/>
                <w:lang w:val="en-GB"/>
              </w:rPr>
            </w:pPr>
          </w:p>
        </w:tc>
      </w:tr>
      <w:tr w:rsidR="00F35A51" w:rsidRPr="00E4265B" w14:paraId="446C92C3" w14:textId="77777777" w:rsidTr="00A80508">
        <w:trPr>
          <w:trHeight w:val="360"/>
        </w:trPr>
        <w:tc>
          <w:tcPr>
            <w:tcW w:w="0" w:type="auto"/>
            <w:vMerge/>
            <w:vAlign w:val="center"/>
          </w:tcPr>
          <w:p w14:paraId="02976A13" w14:textId="77777777" w:rsidR="00F35A51" w:rsidRPr="00E4265B" w:rsidRDefault="00F35A51" w:rsidP="002E0A24">
            <w:pPr>
              <w:jc w:val="center"/>
              <w:rPr>
                <w:rFonts w:ascii="Arial" w:hAnsi="Arial" w:cs="Arial"/>
                <w:sz w:val="22"/>
                <w:szCs w:val="22"/>
                <w:lang w:val="en-GB"/>
              </w:rPr>
            </w:pPr>
          </w:p>
        </w:tc>
        <w:tc>
          <w:tcPr>
            <w:tcW w:w="0" w:type="auto"/>
            <w:tcBorders>
              <w:right w:val="dotted" w:sz="4" w:space="0" w:color="auto"/>
            </w:tcBorders>
          </w:tcPr>
          <w:p w14:paraId="05CD0AB6" w14:textId="18FA0D27" w:rsidR="00F35A51" w:rsidRPr="00E4265B" w:rsidRDefault="00F35A51" w:rsidP="002E0A24">
            <w:pPr>
              <w:rPr>
                <w:rFonts w:ascii="Arial" w:hAnsi="Arial" w:cs="Arial"/>
                <w:sz w:val="22"/>
                <w:szCs w:val="22"/>
                <w:lang w:val="en-GB"/>
              </w:rPr>
            </w:pPr>
            <w:r w:rsidRPr="00E4265B">
              <w:rPr>
                <w:rFonts w:ascii="Arial" w:hAnsi="Arial" w:cs="Arial"/>
                <w:sz w:val="22"/>
                <w:szCs w:val="22"/>
              </w:rPr>
              <w:t>&gt; 3 and ≤ 6 m</w:t>
            </w:r>
          </w:p>
        </w:tc>
        <w:tc>
          <w:tcPr>
            <w:tcW w:w="0" w:type="auto"/>
            <w:tcBorders>
              <w:left w:val="dotted" w:sz="4" w:space="0" w:color="auto"/>
            </w:tcBorders>
          </w:tcPr>
          <w:p w14:paraId="26209740" w14:textId="1BD60699" w:rsidR="00F35A51" w:rsidRPr="00E4265B" w:rsidRDefault="00F35A51" w:rsidP="002E0A24">
            <w:pPr>
              <w:rPr>
                <w:rFonts w:ascii="Arial" w:hAnsi="Arial" w:cs="Arial"/>
                <w:sz w:val="22"/>
                <w:szCs w:val="22"/>
                <w:lang w:val="en-GB"/>
              </w:rPr>
            </w:pPr>
            <w:r w:rsidRPr="00E4265B">
              <w:rPr>
                <w:rFonts w:ascii="Arial" w:hAnsi="Arial" w:cs="Arial"/>
                <w:sz w:val="22"/>
                <w:szCs w:val="22"/>
              </w:rPr>
              <w:t>&gt; 3 and ≤ 6 m</w:t>
            </w:r>
          </w:p>
        </w:tc>
        <w:tc>
          <w:tcPr>
            <w:tcW w:w="0" w:type="auto"/>
            <w:tcBorders>
              <w:right w:val="dotted" w:sz="4" w:space="0" w:color="auto"/>
            </w:tcBorders>
          </w:tcPr>
          <w:p w14:paraId="4B574662" w14:textId="79BD7D80"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300</w:t>
            </w:r>
          </w:p>
        </w:tc>
        <w:tc>
          <w:tcPr>
            <w:tcW w:w="0" w:type="auto"/>
            <w:tcBorders>
              <w:left w:val="dotted" w:sz="4" w:space="0" w:color="auto"/>
            </w:tcBorders>
          </w:tcPr>
          <w:p w14:paraId="6E340DE1" w14:textId="75849D78"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-200</w:t>
            </w:r>
          </w:p>
        </w:tc>
        <w:tc>
          <w:tcPr>
            <w:tcW w:w="1354" w:type="dxa"/>
          </w:tcPr>
          <w:p w14:paraId="5E056507" w14:textId="7777777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0.40%</w:t>
            </w:r>
          </w:p>
        </w:tc>
        <w:tc>
          <w:tcPr>
            <w:tcW w:w="934" w:type="dxa"/>
            <w:tcBorders>
              <w:right w:val="dotted" w:sz="4" w:space="0" w:color="auto"/>
            </w:tcBorders>
          </w:tcPr>
          <w:p w14:paraId="100193CA" w14:textId="7B99FC1A"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1.20</w:t>
            </w:r>
          </w:p>
        </w:tc>
        <w:tc>
          <w:tcPr>
            <w:tcW w:w="735" w:type="dxa"/>
            <w:tcBorders>
              <w:left w:val="dotted" w:sz="4" w:space="0" w:color="auto"/>
            </w:tcBorders>
          </w:tcPr>
          <w:p w14:paraId="278F627C" w14:textId="5D6966DB"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-0.80</w:t>
            </w:r>
          </w:p>
        </w:tc>
        <w:tc>
          <w:tcPr>
            <w:tcW w:w="0" w:type="auto"/>
            <w:tcBorders>
              <w:right w:val="dotted" w:sz="4" w:space="0" w:color="auto"/>
            </w:tcBorders>
          </w:tcPr>
          <w:p w14:paraId="42C1E811" w14:textId="2F9BD1AD"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0.80</w:t>
            </w:r>
          </w:p>
        </w:tc>
        <w:tc>
          <w:tcPr>
            <w:tcW w:w="0" w:type="auto"/>
            <w:tcBorders>
              <w:left w:val="dotted" w:sz="4" w:space="0" w:color="auto"/>
            </w:tcBorders>
          </w:tcPr>
          <w:p w14:paraId="23F0B6C9" w14:textId="07C7A5D4"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0.40</w:t>
            </w:r>
          </w:p>
        </w:tc>
        <w:tc>
          <w:tcPr>
            <w:tcW w:w="0" w:type="auto"/>
            <w:tcBorders>
              <w:right w:val="dotted" w:sz="4" w:space="0" w:color="auto"/>
            </w:tcBorders>
            <w:shd w:val="clear" w:color="auto" w:fill="F2F2F2" w:themeFill="background1" w:themeFillShade="F2"/>
          </w:tcPr>
          <w:p w14:paraId="64A0F1FE"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0D70873A" w14:textId="77777777" w:rsidR="00F35A51" w:rsidRPr="00E4265B" w:rsidRDefault="00F35A51" w:rsidP="003D144C">
            <w:pPr>
              <w:jc w:val="right"/>
              <w:rPr>
                <w:rFonts w:ascii="Arial" w:hAnsi="Arial" w:cs="Arial"/>
                <w:sz w:val="22"/>
                <w:szCs w:val="22"/>
                <w:lang w:val="en-GB"/>
              </w:rPr>
            </w:pPr>
          </w:p>
        </w:tc>
        <w:tc>
          <w:tcPr>
            <w:tcW w:w="0" w:type="auto"/>
            <w:tcBorders>
              <w:right w:val="dotted" w:sz="4" w:space="0" w:color="auto"/>
            </w:tcBorders>
            <w:shd w:val="clear" w:color="auto" w:fill="F2F2F2" w:themeFill="background1" w:themeFillShade="F2"/>
          </w:tcPr>
          <w:p w14:paraId="31006967"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77D86A22" w14:textId="77777777" w:rsidR="00F35A51" w:rsidRPr="00E4265B" w:rsidRDefault="00F35A51" w:rsidP="003D144C">
            <w:pPr>
              <w:jc w:val="right"/>
              <w:rPr>
                <w:rFonts w:ascii="Arial" w:hAnsi="Arial" w:cs="Arial"/>
                <w:sz w:val="22"/>
                <w:szCs w:val="22"/>
                <w:lang w:val="en-GB"/>
              </w:rPr>
            </w:pPr>
          </w:p>
        </w:tc>
      </w:tr>
      <w:tr w:rsidR="00F35A51" w:rsidRPr="00E4265B" w14:paraId="4F626830" w14:textId="77777777" w:rsidTr="00A80508">
        <w:trPr>
          <w:trHeight w:val="360"/>
        </w:trPr>
        <w:tc>
          <w:tcPr>
            <w:tcW w:w="0" w:type="auto"/>
            <w:vMerge/>
            <w:vAlign w:val="center"/>
          </w:tcPr>
          <w:p w14:paraId="144718C9" w14:textId="77777777" w:rsidR="00F35A51" w:rsidRPr="00E4265B" w:rsidRDefault="00F35A51" w:rsidP="002E0A24">
            <w:pPr>
              <w:jc w:val="center"/>
              <w:rPr>
                <w:rFonts w:ascii="Arial" w:hAnsi="Arial" w:cs="Arial"/>
                <w:sz w:val="22"/>
                <w:szCs w:val="22"/>
                <w:lang w:val="en-GB"/>
              </w:rPr>
            </w:pPr>
          </w:p>
        </w:tc>
        <w:tc>
          <w:tcPr>
            <w:tcW w:w="0" w:type="auto"/>
            <w:tcBorders>
              <w:right w:val="dotted" w:sz="4" w:space="0" w:color="auto"/>
            </w:tcBorders>
          </w:tcPr>
          <w:p w14:paraId="068E979D" w14:textId="1CE88FE0" w:rsidR="00F35A51" w:rsidRPr="00E4265B" w:rsidRDefault="00F35A51" w:rsidP="002E0A24">
            <w:pPr>
              <w:rPr>
                <w:rFonts w:ascii="Arial" w:hAnsi="Arial" w:cs="Arial"/>
                <w:sz w:val="22"/>
                <w:szCs w:val="22"/>
                <w:lang w:val="en-GB"/>
              </w:rPr>
            </w:pPr>
            <w:r w:rsidRPr="00E4265B">
              <w:rPr>
                <w:rFonts w:ascii="Arial" w:hAnsi="Arial" w:cs="Arial"/>
                <w:sz w:val="22"/>
                <w:szCs w:val="22"/>
              </w:rPr>
              <w:t>&gt; 6 and ≤ 12 m</w:t>
            </w:r>
          </w:p>
        </w:tc>
        <w:tc>
          <w:tcPr>
            <w:tcW w:w="0" w:type="auto"/>
            <w:tcBorders>
              <w:left w:val="dotted" w:sz="4" w:space="0" w:color="auto"/>
            </w:tcBorders>
          </w:tcPr>
          <w:p w14:paraId="275B052E" w14:textId="71A9508D" w:rsidR="00F35A51" w:rsidRPr="00E4265B" w:rsidRDefault="00F35A51" w:rsidP="002E0A24">
            <w:pPr>
              <w:rPr>
                <w:rFonts w:ascii="Arial" w:hAnsi="Arial" w:cs="Arial"/>
                <w:sz w:val="22"/>
                <w:szCs w:val="22"/>
                <w:lang w:val="en-GB"/>
              </w:rPr>
            </w:pPr>
            <w:r w:rsidRPr="00E4265B">
              <w:rPr>
                <w:rFonts w:ascii="Arial" w:hAnsi="Arial" w:cs="Arial"/>
                <w:sz w:val="22"/>
                <w:szCs w:val="22"/>
              </w:rPr>
              <w:t>&gt; 6 and ≤ 12 m</w:t>
            </w:r>
          </w:p>
        </w:tc>
        <w:tc>
          <w:tcPr>
            <w:tcW w:w="0" w:type="auto"/>
            <w:tcBorders>
              <w:right w:val="dotted" w:sz="4" w:space="0" w:color="auto"/>
            </w:tcBorders>
          </w:tcPr>
          <w:p w14:paraId="69E27074" w14:textId="1131708A"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400</w:t>
            </w:r>
          </w:p>
        </w:tc>
        <w:tc>
          <w:tcPr>
            <w:tcW w:w="0" w:type="auto"/>
            <w:tcBorders>
              <w:left w:val="dotted" w:sz="4" w:space="0" w:color="auto"/>
            </w:tcBorders>
          </w:tcPr>
          <w:p w14:paraId="2F00FB91" w14:textId="30B70C4A"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-300</w:t>
            </w:r>
          </w:p>
        </w:tc>
        <w:tc>
          <w:tcPr>
            <w:tcW w:w="1354" w:type="dxa"/>
          </w:tcPr>
          <w:p w14:paraId="53BFB2F4" w14:textId="7777777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0.70%</w:t>
            </w:r>
          </w:p>
        </w:tc>
        <w:tc>
          <w:tcPr>
            <w:tcW w:w="934" w:type="dxa"/>
            <w:tcBorders>
              <w:right w:val="dotted" w:sz="4" w:space="0" w:color="auto"/>
            </w:tcBorders>
          </w:tcPr>
          <w:p w14:paraId="7C412D34" w14:textId="795F4886"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2.80</w:t>
            </w:r>
          </w:p>
        </w:tc>
        <w:tc>
          <w:tcPr>
            <w:tcW w:w="735" w:type="dxa"/>
            <w:tcBorders>
              <w:left w:val="dotted" w:sz="4" w:space="0" w:color="auto"/>
            </w:tcBorders>
          </w:tcPr>
          <w:p w14:paraId="6B7019AD" w14:textId="576E2E1F"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-2.10</w:t>
            </w:r>
          </w:p>
        </w:tc>
        <w:tc>
          <w:tcPr>
            <w:tcW w:w="0" w:type="auto"/>
            <w:tcBorders>
              <w:right w:val="dotted" w:sz="4" w:space="0" w:color="auto"/>
            </w:tcBorders>
          </w:tcPr>
          <w:p w14:paraId="4695F05E" w14:textId="38EC356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2.10</w:t>
            </w:r>
          </w:p>
        </w:tc>
        <w:tc>
          <w:tcPr>
            <w:tcW w:w="0" w:type="auto"/>
            <w:tcBorders>
              <w:left w:val="dotted" w:sz="4" w:space="0" w:color="auto"/>
            </w:tcBorders>
          </w:tcPr>
          <w:p w14:paraId="01331CFF" w14:textId="58C97799"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0.70</w:t>
            </w:r>
          </w:p>
        </w:tc>
        <w:tc>
          <w:tcPr>
            <w:tcW w:w="0" w:type="auto"/>
            <w:tcBorders>
              <w:right w:val="dotted" w:sz="4" w:space="0" w:color="auto"/>
            </w:tcBorders>
            <w:shd w:val="clear" w:color="auto" w:fill="F2F2F2" w:themeFill="background1" w:themeFillShade="F2"/>
          </w:tcPr>
          <w:p w14:paraId="20EC03C2"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1958E7E5" w14:textId="77777777" w:rsidR="00F35A51" w:rsidRPr="00E4265B" w:rsidRDefault="00F35A51" w:rsidP="003D144C">
            <w:pPr>
              <w:jc w:val="right"/>
              <w:rPr>
                <w:rFonts w:ascii="Arial" w:hAnsi="Arial" w:cs="Arial"/>
                <w:sz w:val="22"/>
                <w:szCs w:val="22"/>
                <w:lang w:val="en-GB"/>
              </w:rPr>
            </w:pPr>
          </w:p>
        </w:tc>
        <w:tc>
          <w:tcPr>
            <w:tcW w:w="0" w:type="auto"/>
            <w:tcBorders>
              <w:right w:val="dotted" w:sz="4" w:space="0" w:color="auto"/>
            </w:tcBorders>
            <w:shd w:val="clear" w:color="auto" w:fill="F2F2F2" w:themeFill="background1" w:themeFillShade="F2"/>
          </w:tcPr>
          <w:p w14:paraId="02C506F0"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5BA7CCA3" w14:textId="77777777" w:rsidR="00F35A51" w:rsidRPr="00E4265B" w:rsidRDefault="00F35A51" w:rsidP="003D144C">
            <w:pPr>
              <w:jc w:val="right"/>
              <w:rPr>
                <w:rFonts w:ascii="Arial" w:hAnsi="Arial" w:cs="Arial"/>
                <w:sz w:val="22"/>
                <w:szCs w:val="22"/>
                <w:lang w:val="en-GB"/>
              </w:rPr>
            </w:pPr>
          </w:p>
        </w:tc>
      </w:tr>
      <w:tr w:rsidR="00F35A51" w:rsidRPr="00E4265B" w14:paraId="2F1253D3" w14:textId="77777777" w:rsidTr="00A80508">
        <w:trPr>
          <w:trHeight w:val="360"/>
        </w:trPr>
        <w:tc>
          <w:tcPr>
            <w:tcW w:w="0" w:type="auto"/>
            <w:vMerge/>
            <w:tcBorders>
              <w:bottom w:val="single" w:sz="12" w:space="0" w:color="auto"/>
            </w:tcBorders>
            <w:vAlign w:val="center"/>
          </w:tcPr>
          <w:p w14:paraId="19BCB985" w14:textId="77777777" w:rsidR="00F35A51" w:rsidRPr="00E4265B" w:rsidRDefault="00F35A51" w:rsidP="002E0A24">
            <w:pPr>
              <w:jc w:val="center"/>
              <w:rPr>
                <w:rFonts w:ascii="Arial" w:hAnsi="Arial" w:cs="Arial"/>
                <w:sz w:val="22"/>
                <w:szCs w:val="22"/>
                <w:lang w:val="en-GB"/>
              </w:rPr>
            </w:pPr>
          </w:p>
        </w:tc>
        <w:tc>
          <w:tcPr>
            <w:tcW w:w="0" w:type="auto"/>
            <w:tcBorders>
              <w:bottom w:val="single" w:sz="12" w:space="0" w:color="auto"/>
              <w:right w:val="dotted" w:sz="4" w:space="0" w:color="auto"/>
            </w:tcBorders>
            <w:shd w:val="clear" w:color="auto" w:fill="F2F2F2" w:themeFill="background1" w:themeFillShade="F2"/>
          </w:tcPr>
          <w:p w14:paraId="7825E22E" w14:textId="77777777" w:rsidR="00F35A51" w:rsidRPr="00E4265B" w:rsidRDefault="00F35A51" w:rsidP="002E0A24">
            <w:pPr>
              <w:rPr>
                <w:rFonts w:ascii="Arial" w:hAnsi="Arial" w:cs="Arial"/>
                <w:sz w:val="22"/>
                <w:szCs w:val="22"/>
              </w:rPr>
            </w:pPr>
          </w:p>
        </w:tc>
        <w:tc>
          <w:tcPr>
            <w:tcW w:w="0" w:type="auto"/>
            <w:tcBorders>
              <w:left w:val="dotted" w:sz="4" w:space="0" w:color="auto"/>
              <w:bottom w:val="single" w:sz="12" w:space="0" w:color="auto"/>
            </w:tcBorders>
            <w:shd w:val="clear" w:color="auto" w:fill="F2F2F2" w:themeFill="background1" w:themeFillShade="F2"/>
          </w:tcPr>
          <w:p w14:paraId="6062E7C2" w14:textId="77777777" w:rsidR="00F35A51" w:rsidRPr="00E4265B" w:rsidRDefault="00F35A51" w:rsidP="002E0A24">
            <w:pPr>
              <w:rPr>
                <w:rFonts w:ascii="Arial" w:hAnsi="Arial" w:cs="Arial"/>
                <w:sz w:val="22"/>
                <w:szCs w:val="22"/>
              </w:rPr>
            </w:pPr>
          </w:p>
        </w:tc>
        <w:tc>
          <w:tcPr>
            <w:tcW w:w="0" w:type="auto"/>
            <w:tcBorders>
              <w:bottom w:val="single" w:sz="12" w:space="0" w:color="auto"/>
              <w:right w:val="dotted" w:sz="4" w:space="0" w:color="auto"/>
            </w:tcBorders>
            <w:shd w:val="clear" w:color="auto" w:fill="F2F2F2" w:themeFill="background1" w:themeFillShade="F2"/>
          </w:tcPr>
          <w:p w14:paraId="4D61F0CA"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bottom w:val="single" w:sz="12" w:space="0" w:color="auto"/>
            </w:tcBorders>
            <w:shd w:val="clear" w:color="auto" w:fill="F2F2F2" w:themeFill="background1" w:themeFillShade="F2"/>
          </w:tcPr>
          <w:p w14:paraId="415F6421" w14:textId="77777777" w:rsidR="00F35A51" w:rsidRPr="00E4265B" w:rsidRDefault="00F35A51" w:rsidP="003D144C">
            <w:pPr>
              <w:jc w:val="right"/>
              <w:rPr>
                <w:rFonts w:ascii="Arial" w:hAnsi="Arial" w:cs="Arial"/>
                <w:sz w:val="22"/>
                <w:szCs w:val="22"/>
                <w:lang w:val="en-GB"/>
              </w:rPr>
            </w:pPr>
          </w:p>
        </w:tc>
        <w:tc>
          <w:tcPr>
            <w:tcW w:w="1354" w:type="dxa"/>
            <w:tcBorders>
              <w:bottom w:val="single" w:sz="12" w:space="0" w:color="auto"/>
            </w:tcBorders>
            <w:shd w:val="clear" w:color="auto" w:fill="F2F2F2" w:themeFill="background1" w:themeFillShade="F2"/>
          </w:tcPr>
          <w:p w14:paraId="03910B4D" w14:textId="77777777" w:rsidR="00F35A51" w:rsidRPr="00E4265B" w:rsidRDefault="00F35A51" w:rsidP="003D144C">
            <w:pPr>
              <w:jc w:val="right"/>
              <w:rPr>
                <w:rFonts w:ascii="Arial" w:hAnsi="Arial" w:cs="Arial"/>
                <w:sz w:val="22"/>
                <w:szCs w:val="22"/>
                <w:lang w:val="en-GB"/>
              </w:rPr>
            </w:pPr>
          </w:p>
        </w:tc>
        <w:tc>
          <w:tcPr>
            <w:tcW w:w="934" w:type="dxa"/>
            <w:tcBorders>
              <w:bottom w:val="single" w:sz="12" w:space="0" w:color="auto"/>
              <w:right w:val="dotted" w:sz="4" w:space="0" w:color="auto"/>
            </w:tcBorders>
            <w:shd w:val="clear" w:color="auto" w:fill="F2F2F2" w:themeFill="background1" w:themeFillShade="F2"/>
          </w:tcPr>
          <w:p w14:paraId="6E6B3D1F" w14:textId="77777777" w:rsidR="00F35A51" w:rsidRPr="00E4265B" w:rsidRDefault="00F35A51" w:rsidP="003D144C">
            <w:pPr>
              <w:jc w:val="right"/>
              <w:rPr>
                <w:rFonts w:ascii="Arial" w:hAnsi="Arial" w:cs="Arial"/>
                <w:sz w:val="22"/>
                <w:szCs w:val="22"/>
                <w:lang w:val="en-GB"/>
              </w:rPr>
            </w:pPr>
          </w:p>
        </w:tc>
        <w:tc>
          <w:tcPr>
            <w:tcW w:w="735" w:type="dxa"/>
            <w:tcBorders>
              <w:left w:val="dotted" w:sz="4" w:space="0" w:color="auto"/>
              <w:bottom w:val="single" w:sz="12" w:space="0" w:color="auto"/>
            </w:tcBorders>
            <w:shd w:val="clear" w:color="auto" w:fill="F2F2F2" w:themeFill="background1" w:themeFillShade="F2"/>
          </w:tcPr>
          <w:p w14:paraId="2314B84A" w14:textId="77777777" w:rsidR="00F35A51" w:rsidRPr="00E4265B" w:rsidRDefault="00F35A51" w:rsidP="003D144C">
            <w:pPr>
              <w:jc w:val="right"/>
              <w:rPr>
                <w:rFonts w:ascii="Arial" w:hAnsi="Arial" w:cs="Arial"/>
                <w:sz w:val="22"/>
                <w:szCs w:val="22"/>
                <w:lang w:val="en-GB"/>
              </w:rPr>
            </w:pPr>
          </w:p>
        </w:tc>
        <w:tc>
          <w:tcPr>
            <w:tcW w:w="0" w:type="auto"/>
            <w:tcBorders>
              <w:bottom w:val="single" w:sz="12" w:space="0" w:color="auto"/>
              <w:right w:val="dotted" w:sz="4" w:space="0" w:color="auto"/>
            </w:tcBorders>
            <w:shd w:val="clear" w:color="auto" w:fill="F2F2F2" w:themeFill="background1" w:themeFillShade="F2"/>
          </w:tcPr>
          <w:p w14:paraId="6CEEA341"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bottom w:val="single" w:sz="12" w:space="0" w:color="auto"/>
            </w:tcBorders>
            <w:shd w:val="clear" w:color="auto" w:fill="F2F2F2" w:themeFill="background1" w:themeFillShade="F2"/>
          </w:tcPr>
          <w:p w14:paraId="19F9F38B" w14:textId="77777777" w:rsidR="00F35A51" w:rsidRPr="00E4265B" w:rsidRDefault="00F35A51" w:rsidP="003D144C">
            <w:pPr>
              <w:jc w:val="right"/>
              <w:rPr>
                <w:rFonts w:ascii="Arial" w:hAnsi="Arial" w:cs="Arial"/>
                <w:sz w:val="22"/>
                <w:szCs w:val="22"/>
                <w:lang w:val="en-GB"/>
              </w:rPr>
            </w:pPr>
          </w:p>
        </w:tc>
        <w:tc>
          <w:tcPr>
            <w:tcW w:w="0" w:type="auto"/>
            <w:tcBorders>
              <w:bottom w:val="single" w:sz="12" w:space="0" w:color="auto"/>
              <w:right w:val="dotted" w:sz="4" w:space="0" w:color="auto"/>
            </w:tcBorders>
            <w:shd w:val="clear" w:color="auto" w:fill="F2F2F2" w:themeFill="background1" w:themeFillShade="F2"/>
          </w:tcPr>
          <w:p w14:paraId="2500E9F3"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bottom w:val="single" w:sz="12" w:space="0" w:color="auto"/>
            </w:tcBorders>
            <w:shd w:val="clear" w:color="auto" w:fill="F2F2F2" w:themeFill="background1" w:themeFillShade="F2"/>
          </w:tcPr>
          <w:p w14:paraId="2F1BC993" w14:textId="77777777" w:rsidR="00F35A51" w:rsidRPr="00E4265B" w:rsidRDefault="00F35A51" w:rsidP="003D144C">
            <w:pPr>
              <w:jc w:val="right"/>
              <w:rPr>
                <w:rFonts w:ascii="Arial" w:hAnsi="Arial" w:cs="Arial"/>
                <w:sz w:val="22"/>
                <w:szCs w:val="22"/>
                <w:lang w:val="en-GB"/>
              </w:rPr>
            </w:pPr>
          </w:p>
        </w:tc>
        <w:tc>
          <w:tcPr>
            <w:tcW w:w="0" w:type="auto"/>
            <w:tcBorders>
              <w:bottom w:val="single" w:sz="12" w:space="0" w:color="auto"/>
              <w:right w:val="dotted" w:sz="4" w:space="0" w:color="auto"/>
            </w:tcBorders>
            <w:shd w:val="clear" w:color="auto" w:fill="F2F2F2" w:themeFill="background1" w:themeFillShade="F2"/>
          </w:tcPr>
          <w:p w14:paraId="5810CC04"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bottom w:val="single" w:sz="12" w:space="0" w:color="auto"/>
            </w:tcBorders>
            <w:shd w:val="clear" w:color="auto" w:fill="F2F2F2" w:themeFill="background1" w:themeFillShade="F2"/>
          </w:tcPr>
          <w:p w14:paraId="176F9776" w14:textId="77777777" w:rsidR="00F35A51" w:rsidRPr="00E4265B" w:rsidRDefault="00F35A51" w:rsidP="003D144C">
            <w:pPr>
              <w:jc w:val="right"/>
              <w:rPr>
                <w:rFonts w:ascii="Arial" w:hAnsi="Arial" w:cs="Arial"/>
                <w:sz w:val="22"/>
                <w:szCs w:val="22"/>
                <w:lang w:val="en-GB"/>
              </w:rPr>
            </w:pPr>
          </w:p>
        </w:tc>
      </w:tr>
      <w:tr w:rsidR="00F35A51" w:rsidRPr="00E4265B" w14:paraId="4F490DE1" w14:textId="77777777" w:rsidTr="00A80508">
        <w:trPr>
          <w:trHeight w:val="360"/>
        </w:trPr>
        <w:tc>
          <w:tcPr>
            <w:tcW w:w="0" w:type="auto"/>
            <w:vMerge w:val="restart"/>
            <w:tcBorders>
              <w:top w:val="single" w:sz="12" w:space="0" w:color="auto"/>
            </w:tcBorders>
            <w:vAlign w:val="center"/>
          </w:tcPr>
          <w:p w14:paraId="0D43DFDE" w14:textId="09ACBA59" w:rsidR="00F35A51" w:rsidRPr="00E4265B" w:rsidRDefault="00881EF1" w:rsidP="002E0A24">
            <w:pPr>
              <w:jc w:val="center"/>
              <w:rPr>
                <w:rFonts w:ascii="Arial" w:hAnsi="Arial" w:cs="Arial"/>
                <w:sz w:val="22"/>
                <w:szCs w:val="22"/>
                <w:lang w:val="en-GB"/>
              </w:rPr>
            </w:pPr>
            <w:r w:rsidRPr="00E4265B">
              <w:rPr>
                <w:rFonts w:ascii="Arial" w:hAnsi="Arial" w:cs="Arial"/>
                <w:sz w:val="22"/>
                <w:szCs w:val="22"/>
                <w:lang w:val="en-GB"/>
              </w:rPr>
              <w:t>B</w:t>
            </w:r>
          </w:p>
        </w:tc>
        <w:tc>
          <w:tcPr>
            <w:tcW w:w="0" w:type="auto"/>
            <w:tcBorders>
              <w:top w:val="single" w:sz="12" w:space="0" w:color="auto"/>
              <w:right w:val="dotted" w:sz="4" w:space="0" w:color="auto"/>
            </w:tcBorders>
            <w:vAlign w:val="center"/>
          </w:tcPr>
          <w:p w14:paraId="7FF006BC" w14:textId="7A233847"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1 and ≤ 2 y</w:t>
            </w:r>
          </w:p>
        </w:tc>
        <w:tc>
          <w:tcPr>
            <w:tcW w:w="0" w:type="auto"/>
            <w:tcBorders>
              <w:top w:val="single" w:sz="12" w:space="0" w:color="auto"/>
              <w:left w:val="dotted" w:sz="4" w:space="0" w:color="auto"/>
            </w:tcBorders>
            <w:vAlign w:val="center"/>
          </w:tcPr>
          <w:p w14:paraId="363F5841" w14:textId="22AC9ACD"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1.0 and ≤ 1.9 y</w:t>
            </w:r>
          </w:p>
        </w:tc>
        <w:tc>
          <w:tcPr>
            <w:tcW w:w="0" w:type="auto"/>
            <w:tcBorders>
              <w:top w:val="single" w:sz="12" w:space="0" w:color="auto"/>
              <w:right w:val="dotted" w:sz="4" w:space="0" w:color="auto"/>
            </w:tcBorders>
          </w:tcPr>
          <w:p w14:paraId="37297621" w14:textId="43FE17DA"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100</w:t>
            </w:r>
          </w:p>
        </w:tc>
        <w:tc>
          <w:tcPr>
            <w:tcW w:w="0" w:type="auto"/>
            <w:tcBorders>
              <w:top w:val="single" w:sz="12" w:space="0" w:color="auto"/>
              <w:left w:val="dotted" w:sz="4" w:space="0" w:color="auto"/>
            </w:tcBorders>
          </w:tcPr>
          <w:p w14:paraId="4CA59286" w14:textId="05E5D5EC"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-200</w:t>
            </w:r>
          </w:p>
        </w:tc>
        <w:tc>
          <w:tcPr>
            <w:tcW w:w="1354" w:type="dxa"/>
            <w:tcBorders>
              <w:top w:val="single" w:sz="12" w:space="0" w:color="auto"/>
            </w:tcBorders>
          </w:tcPr>
          <w:p w14:paraId="06F303E9" w14:textId="7777777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1.25%</w:t>
            </w:r>
          </w:p>
        </w:tc>
        <w:tc>
          <w:tcPr>
            <w:tcW w:w="934" w:type="dxa"/>
            <w:tcBorders>
              <w:top w:val="single" w:sz="12" w:space="0" w:color="auto"/>
              <w:right w:val="dotted" w:sz="4" w:space="0" w:color="auto"/>
            </w:tcBorders>
          </w:tcPr>
          <w:p w14:paraId="33E9C455" w14:textId="5D4C7C66"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1.25</w:t>
            </w:r>
          </w:p>
        </w:tc>
        <w:tc>
          <w:tcPr>
            <w:tcW w:w="735" w:type="dxa"/>
            <w:tcBorders>
              <w:top w:val="single" w:sz="12" w:space="0" w:color="auto"/>
              <w:left w:val="dotted" w:sz="4" w:space="0" w:color="auto"/>
            </w:tcBorders>
          </w:tcPr>
          <w:p w14:paraId="2A1DBDAF" w14:textId="5A4D41B3"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-2.50</w:t>
            </w:r>
          </w:p>
        </w:tc>
        <w:tc>
          <w:tcPr>
            <w:tcW w:w="0" w:type="auto"/>
            <w:tcBorders>
              <w:top w:val="single" w:sz="12" w:space="0" w:color="auto"/>
              <w:right w:val="dotted" w:sz="4" w:space="0" w:color="auto"/>
            </w:tcBorders>
          </w:tcPr>
          <w:p w14:paraId="52029D04" w14:textId="60DE586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1.25</w:t>
            </w:r>
          </w:p>
        </w:tc>
        <w:tc>
          <w:tcPr>
            <w:tcW w:w="0" w:type="auto"/>
            <w:tcBorders>
              <w:top w:val="single" w:sz="12" w:space="0" w:color="auto"/>
              <w:left w:val="dotted" w:sz="4" w:space="0" w:color="auto"/>
            </w:tcBorders>
          </w:tcPr>
          <w:p w14:paraId="494E965E" w14:textId="4CF2423B"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-1.25</w:t>
            </w:r>
          </w:p>
        </w:tc>
        <w:tc>
          <w:tcPr>
            <w:tcW w:w="0" w:type="auto"/>
            <w:tcBorders>
              <w:top w:val="single" w:sz="12" w:space="0" w:color="auto"/>
              <w:right w:val="dotted" w:sz="4" w:space="0" w:color="auto"/>
            </w:tcBorders>
            <w:shd w:val="clear" w:color="auto" w:fill="F2F2F2" w:themeFill="background1" w:themeFillShade="F2"/>
          </w:tcPr>
          <w:p w14:paraId="66EB6DE9" w14:textId="77777777" w:rsidR="00F35A51" w:rsidRPr="00E4265B" w:rsidRDefault="00F35A51" w:rsidP="003D144C">
            <w:pPr>
              <w:jc w:val="right"/>
              <w:rPr>
                <w:rFonts w:ascii="Arial" w:hAnsi="Arial" w:cs="Arial"/>
                <w:sz w:val="22"/>
                <w:szCs w:val="22"/>
                <w:lang w:val="en-GB"/>
              </w:rPr>
            </w:pPr>
          </w:p>
        </w:tc>
        <w:tc>
          <w:tcPr>
            <w:tcW w:w="0" w:type="auto"/>
            <w:tcBorders>
              <w:top w:val="single" w:sz="12" w:space="0" w:color="auto"/>
              <w:left w:val="dotted" w:sz="4" w:space="0" w:color="auto"/>
            </w:tcBorders>
            <w:shd w:val="clear" w:color="auto" w:fill="F2F2F2" w:themeFill="background1" w:themeFillShade="F2"/>
          </w:tcPr>
          <w:p w14:paraId="70E474B5" w14:textId="77777777" w:rsidR="00F35A51" w:rsidRPr="00E4265B" w:rsidRDefault="00F35A51" w:rsidP="003D144C">
            <w:pPr>
              <w:jc w:val="right"/>
              <w:rPr>
                <w:rFonts w:ascii="Arial" w:hAnsi="Arial" w:cs="Arial"/>
                <w:sz w:val="22"/>
                <w:szCs w:val="22"/>
                <w:lang w:val="en-GB"/>
              </w:rPr>
            </w:pPr>
          </w:p>
        </w:tc>
        <w:tc>
          <w:tcPr>
            <w:tcW w:w="0" w:type="auto"/>
            <w:tcBorders>
              <w:top w:val="single" w:sz="12" w:space="0" w:color="auto"/>
              <w:bottom w:val="nil"/>
              <w:right w:val="dotted" w:sz="4" w:space="0" w:color="auto"/>
            </w:tcBorders>
          </w:tcPr>
          <w:p w14:paraId="075E47A2" w14:textId="17FC31D5" w:rsidR="00F35A51" w:rsidRPr="00E4265B" w:rsidRDefault="00F35A51" w:rsidP="00881EF1">
            <w:pPr>
              <w:jc w:val="right"/>
              <w:rPr>
                <w:rFonts w:ascii="Arial" w:hAnsi="Arial" w:cs="Arial"/>
                <w:i/>
                <w:iCs/>
                <w:sz w:val="22"/>
                <w:szCs w:val="22"/>
                <w:lang w:val="en-GB"/>
              </w:rPr>
            </w:pPr>
            <w:r w:rsidRPr="00E4265B">
              <w:rPr>
                <w:rFonts w:ascii="Arial" w:hAnsi="Arial" w:cs="Arial"/>
                <w:i/>
                <w:iCs/>
                <w:sz w:val="22"/>
                <w:szCs w:val="22"/>
                <w:lang w:val="en-GB"/>
              </w:rPr>
              <w:t xml:space="preserve">Zones </w:t>
            </w:r>
            <w:r w:rsidR="00881EF1" w:rsidRPr="00E4265B">
              <w:rPr>
                <w:rFonts w:ascii="Arial" w:hAnsi="Arial" w:cs="Arial"/>
                <w:i/>
                <w:iCs/>
                <w:sz w:val="22"/>
                <w:szCs w:val="22"/>
                <w:lang w:val="en-GB"/>
              </w:rPr>
              <w:t>A</w:t>
            </w:r>
            <w:r w:rsidRPr="00E4265B">
              <w:rPr>
                <w:rFonts w:ascii="Arial" w:hAnsi="Arial" w:cs="Arial"/>
                <w:i/>
                <w:iCs/>
                <w:sz w:val="22"/>
                <w:szCs w:val="22"/>
                <w:lang w:val="en-GB"/>
              </w:rPr>
              <w:t>&amp;</w:t>
            </w:r>
            <w:r w:rsidR="00881EF1" w:rsidRPr="00E4265B">
              <w:rPr>
                <w:rFonts w:ascii="Arial" w:hAnsi="Arial" w:cs="Arial"/>
                <w:i/>
                <w:iCs/>
                <w:sz w:val="22"/>
                <w:szCs w:val="22"/>
                <w:lang w:val="en-GB"/>
              </w:rPr>
              <w:t>B</w:t>
            </w:r>
          </w:p>
        </w:tc>
        <w:tc>
          <w:tcPr>
            <w:tcW w:w="0" w:type="auto"/>
            <w:tcBorders>
              <w:top w:val="single" w:sz="12" w:space="0" w:color="auto"/>
              <w:left w:val="dotted" w:sz="4" w:space="0" w:color="auto"/>
            </w:tcBorders>
            <w:shd w:val="clear" w:color="auto" w:fill="F2F2F2" w:themeFill="background1" w:themeFillShade="F2"/>
          </w:tcPr>
          <w:p w14:paraId="46EEB957" w14:textId="77777777" w:rsidR="00F35A51" w:rsidRPr="00E4265B" w:rsidRDefault="00F35A51" w:rsidP="003D144C">
            <w:pPr>
              <w:jc w:val="right"/>
              <w:rPr>
                <w:rFonts w:ascii="Arial" w:hAnsi="Arial" w:cs="Arial"/>
                <w:i/>
                <w:iCs/>
                <w:sz w:val="22"/>
                <w:szCs w:val="22"/>
                <w:lang w:val="en-GB"/>
              </w:rPr>
            </w:pPr>
          </w:p>
        </w:tc>
      </w:tr>
      <w:tr w:rsidR="00F35A51" w:rsidRPr="00E4265B" w14:paraId="75F8E480" w14:textId="77777777" w:rsidTr="001668A3">
        <w:trPr>
          <w:trHeight w:val="360"/>
        </w:trPr>
        <w:tc>
          <w:tcPr>
            <w:tcW w:w="0" w:type="auto"/>
            <w:vMerge/>
            <w:vAlign w:val="center"/>
          </w:tcPr>
          <w:p w14:paraId="40A65152" w14:textId="77777777" w:rsidR="00F35A51" w:rsidRPr="00E4265B" w:rsidRDefault="00F35A51" w:rsidP="002E0A24">
            <w:pPr>
              <w:jc w:val="center"/>
              <w:rPr>
                <w:rFonts w:ascii="Arial" w:hAnsi="Arial" w:cs="Arial"/>
                <w:sz w:val="22"/>
                <w:szCs w:val="22"/>
                <w:lang w:val="en-GB"/>
              </w:rPr>
            </w:pPr>
          </w:p>
        </w:tc>
        <w:tc>
          <w:tcPr>
            <w:tcW w:w="0" w:type="auto"/>
            <w:tcBorders>
              <w:right w:val="dotted" w:sz="4" w:space="0" w:color="auto"/>
            </w:tcBorders>
            <w:vAlign w:val="center"/>
          </w:tcPr>
          <w:p w14:paraId="478A95CC" w14:textId="7E2BEA1A"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2 and ≤ 3 y</w:t>
            </w:r>
          </w:p>
        </w:tc>
        <w:tc>
          <w:tcPr>
            <w:tcW w:w="0" w:type="auto"/>
            <w:tcBorders>
              <w:left w:val="dotted" w:sz="4" w:space="0" w:color="auto"/>
            </w:tcBorders>
            <w:vAlign w:val="center"/>
          </w:tcPr>
          <w:p w14:paraId="2AA1993D" w14:textId="0527759C"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1.9 and ≤ 2.8 y</w:t>
            </w:r>
          </w:p>
        </w:tc>
        <w:tc>
          <w:tcPr>
            <w:tcW w:w="0" w:type="auto"/>
            <w:tcBorders>
              <w:right w:val="dotted" w:sz="4" w:space="0" w:color="auto"/>
            </w:tcBorders>
          </w:tcPr>
          <w:p w14:paraId="148082BE" w14:textId="04E3B0F9"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200</w:t>
            </w:r>
          </w:p>
        </w:tc>
        <w:tc>
          <w:tcPr>
            <w:tcW w:w="0" w:type="auto"/>
            <w:tcBorders>
              <w:left w:val="dotted" w:sz="4" w:space="0" w:color="auto"/>
            </w:tcBorders>
          </w:tcPr>
          <w:p w14:paraId="212474BD" w14:textId="2E08E446"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-300</w:t>
            </w:r>
          </w:p>
        </w:tc>
        <w:tc>
          <w:tcPr>
            <w:tcW w:w="1354" w:type="dxa"/>
          </w:tcPr>
          <w:p w14:paraId="0E9F359A" w14:textId="7777777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1.75%</w:t>
            </w:r>
          </w:p>
        </w:tc>
        <w:tc>
          <w:tcPr>
            <w:tcW w:w="934" w:type="dxa"/>
            <w:tcBorders>
              <w:right w:val="dotted" w:sz="4" w:space="0" w:color="auto"/>
            </w:tcBorders>
          </w:tcPr>
          <w:p w14:paraId="0CD81E9A" w14:textId="262A248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3.50</w:t>
            </w:r>
          </w:p>
        </w:tc>
        <w:tc>
          <w:tcPr>
            <w:tcW w:w="735" w:type="dxa"/>
            <w:tcBorders>
              <w:left w:val="dotted" w:sz="4" w:space="0" w:color="auto"/>
            </w:tcBorders>
          </w:tcPr>
          <w:p w14:paraId="5A1AC2A0" w14:textId="39C81361"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-5.25</w:t>
            </w:r>
          </w:p>
        </w:tc>
        <w:tc>
          <w:tcPr>
            <w:tcW w:w="0" w:type="auto"/>
            <w:tcBorders>
              <w:right w:val="dotted" w:sz="4" w:space="0" w:color="auto"/>
            </w:tcBorders>
          </w:tcPr>
          <w:p w14:paraId="4FA9554E" w14:textId="4B9C3CE4"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3.50</w:t>
            </w:r>
          </w:p>
        </w:tc>
        <w:tc>
          <w:tcPr>
            <w:tcW w:w="0" w:type="auto"/>
            <w:tcBorders>
              <w:left w:val="dotted" w:sz="4" w:space="0" w:color="auto"/>
            </w:tcBorders>
          </w:tcPr>
          <w:p w14:paraId="2E3A81BB" w14:textId="43D8C9B3"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-1.75</w:t>
            </w:r>
          </w:p>
        </w:tc>
        <w:tc>
          <w:tcPr>
            <w:tcW w:w="0" w:type="auto"/>
            <w:tcBorders>
              <w:right w:val="dotted" w:sz="4" w:space="0" w:color="auto"/>
            </w:tcBorders>
          </w:tcPr>
          <w:p w14:paraId="158FA818" w14:textId="6EBEADD1"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0.00</w:t>
            </w:r>
          </w:p>
        </w:tc>
        <w:tc>
          <w:tcPr>
            <w:tcW w:w="0" w:type="auto"/>
            <w:tcBorders>
              <w:left w:val="dotted" w:sz="4" w:space="0" w:color="auto"/>
            </w:tcBorders>
          </w:tcPr>
          <w:p w14:paraId="43306D4C" w14:textId="241F2A4E"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-5.25</w:t>
            </w:r>
          </w:p>
        </w:tc>
        <w:tc>
          <w:tcPr>
            <w:tcW w:w="0" w:type="auto"/>
            <w:tcBorders>
              <w:top w:val="nil"/>
              <w:right w:val="dotted" w:sz="4" w:space="0" w:color="auto"/>
            </w:tcBorders>
          </w:tcPr>
          <w:p w14:paraId="33DDC883" w14:textId="5AA6C415" w:rsidR="00F35A51" w:rsidRPr="00E4265B" w:rsidRDefault="00F35A51" w:rsidP="003D144C">
            <w:pPr>
              <w:jc w:val="right"/>
              <w:rPr>
                <w:rFonts w:ascii="Arial" w:hAnsi="Arial" w:cs="Arial"/>
                <w:i/>
                <w:iCs/>
                <w:sz w:val="22"/>
                <w:szCs w:val="22"/>
                <w:lang w:val="en-GB"/>
              </w:rPr>
            </w:pPr>
            <w:r w:rsidRPr="00E4265B">
              <w:rPr>
                <w:rFonts w:ascii="Arial" w:hAnsi="Arial" w:cs="Arial"/>
                <w:i/>
                <w:iCs/>
                <w:sz w:val="22"/>
                <w:szCs w:val="22"/>
                <w:lang w:val="en-GB"/>
              </w:rPr>
              <w:t>1.30</w:t>
            </w:r>
          </w:p>
        </w:tc>
        <w:tc>
          <w:tcPr>
            <w:tcW w:w="0" w:type="auto"/>
            <w:tcBorders>
              <w:left w:val="dotted" w:sz="4" w:space="0" w:color="auto"/>
              <w:bottom w:val="single" w:sz="4" w:space="0" w:color="auto"/>
            </w:tcBorders>
            <w:shd w:val="clear" w:color="auto" w:fill="F2F2F2" w:themeFill="background1" w:themeFillShade="F2"/>
          </w:tcPr>
          <w:p w14:paraId="5E622381" w14:textId="77777777" w:rsidR="00F35A51" w:rsidRPr="00E4265B" w:rsidRDefault="00F35A51" w:rsidP="003D144C">
            <w:pPr>
              <w:jc w:val="right"/>
              <w:rPr>
                <w:rFonts w:ascii="Arial" w:hAnsi="Arial" w:cs="Arial"/>
                <w:i/>
                <w:iCs/>
                <w:sz w:val="22"/>
                <w:szCs w:val="22"/>
                <w:lang w:val="en-GB"/>
              </w:rPr>
            </w:pPr>
          </w:p>
        </w:tc>
      </w:tr>
      <w:tr w:rsidR="00F35A51" w:rsidRPr="00E4265B" w14:paraId="07085B54" w14:textId="77777777" w:rsidTr="001668A3">
        <w:trPr>
          <w:trHeight w:val="360"/>
        </w:trPr>
        <w:tc>
          <w:tcPr>
            <w:tcW w:w="0" w:type="auto"/>
            <w:vMerge/>
            <w:vAlign w:val="center"/>
          </w:tcPr>
          <w:p w14:paraId="6862FE21" w14:textId="77777777" w:rsidR="00F35A51" w:rsidRPr="00E4265B" w:rsidRDefault="00F35A51" w:rsidP="002E0A24">
            <w:pPr>
              <w:jc w:val="center"/>
              <w:rPr>
                <w:rFonts w:ascii="Arial" w:hAnsi="Arial" w:cs="Arial"/>
                <w:sz w:val="22"/>
                <w:szCs w:val="22"/>
                <w:lang w:val="en-GB"/>
              </w:rPr>
            </w:pPr>
          </w:p>
        </w:tc>
        <w:tc>
          <w:tcPr>
            <w:tcW w:w="0" w:type="auto"/>
            <w:tcBorders>
              <w:bottom w:val="single" w:sz="4" w:space="0" w:color="auto"/>
              <w:right w:val="dotted" w:sz="4" w:space="0" w:color="auto"/>
            </w:tcBorders>
            <w:vAlign w:val="center"/>
          </w:tcPr>
          <w:p w14:paraId="38BC2D1A" w14:textId="49BE2D45"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3 and ≤ 4 y</w:t>
            </w:r>
          </w:p>
        </w:tc>
        <w:tc>
          <w:tcPr>
            <w:tcW w:w="0" w:type="auto"/>
            <w:tcBorders>
              <w:left w:val="dotted" w:sz="4" w:space="0" w:color="auto"/>
              <w:bottom w:val="single" w:sz="4" w:space="0" w:color="auto"/>
            </w:tcBorders>
            <w:vAlign w:val="center"/>
          </w:tcPr>
          <w:p w14:paraId="261B149D" w14:textId="45F5878E"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2.8 and ≤ 3.6 y</w:t>
            </w:r>
          </w:p>
        </w:tc>
        <w:tc>
          <w:tcPr>
            <w:tcW w:w="0" w:type="auto"/>
            <w:tcBorders>
              <w:bottom w:val="single" w:sz="4" w:space="0" w:color="auto"/>
              <w:right w:val="dotted" w:sz="4" w:space="0" w:color="auto"/>
            </w:tcBorders>
          </w:tcPr>
          <w:p w14:paraId="77F2A086" w14:textId="4ABD39FD"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300</w:t>
            </w:r>
          </w:p>
        </w:tc>
        <w:tc>
          <w:tcPr>
            <w:tcW w:w="0" w:type="auto"/>
            <w:tcBorders>
              <w:left w:val="dotted" w:sz="4" w:space="0" w:color="auto"/>
              <w:bottom w:val="single" w:sz="4" w:space="0" w:color="auto"/>
            </w:tcBorders>
          </w:tcPr>
          <w:p w14:paraId="32053E8D" w14:textId="58666903"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-400</w:t>
            </w:r>
          </w:p>
        </w:tc>
        <w:tc>
          <w:tcPr>
            <w:tcW w:w="1354" w:type="dxa"/>
            <w:tcBorders>
              <w:bottom w:val="single" w:sz="4" w:space="0" w:color="auto"/>
            </w:tcBorders>
          </w:tcPr>
          <w:p w14:paraId="0E3D6318" w14:textId="7777777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2.25%</w:t>
            </w:r>
          </w:p>
        </w:tc>
        <w:tc>
          <w:tcPr>
            <w:tcW w:w="934" w:type="dxa"/>
            <w:tcBorders>
              <w:bottom w:val="single" w:sz="4" w:space="0" w:color="auto"/>
              <w:right w:val="dotted" w:sz="4" w:space="0" w:color="auto"/>
            </w:tcBorders>
          </w:tcPr>
          <w:p w14:paraId="640F4836" w14:textId="6BD78A94"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6.75</w:t>
            </w:r>
          </w:p>
        </w:tc>
        <w:tc>
          <w:tcPr>
            <w:tcW w:w="735" w:type="dxa"/>
            <w:tcBorders>
              <w:left w:val="dotted" w:sz="4" w:space="0" w:color="auto"/>
              <w:bottom w:val="single" w:sz="4" w:space="0" w:color="auto"/>
            </w:tcBorders>
          </w:tcPr>
          <w:p w14:paraId="39523E2C" w14:textId="46EC3E96"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-9.00</w:t>
            </w:r>
          </w:p>
        </w:tc>
        <w:tc>
          <w:tcPr>
            <w:tcW w:w="0" w:type="auto"/>
            <w:tcBorders>
              <w:bottom w:val="single" w:sz="4" w:space="0" w:color="auto"/>
              <w:right w:val="dotted" w:sz="4" w:space="0" w:color="auto"/>
            </w:tcBorders>
          </w:tcPr>
          <w:p w14:paraId="2327EFCF" w14:textId="7029CCD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6.75</w:t>
            </w:r>
          </w:p>
        </w:tc>
        <w:tc>
          <w:tcPr>
            <w:tcW w:w="0" w:type="auto"/>
            <w:tcBorders>
              <w:left w:val="dotted" w:sz="4" w:space="0" w:color="auto"/>
              <w:bottom w:val="single" w:sz="4" w:space="0" w:color="auto"/>
            </w:tcBorders>
          </w:tcPr>
          <w:p w14:paraId="4E279929" w14:textId="0EA457D5"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-2.25</w:t>
            </w:r>
          </w:p>
        </w:tc>
        <w:tc>
          <w:tcPr>
            <w:tcW w:w="0" w:type="auto"/>
            <w:tcBorders>
              <w:bottom w:val="single" w:sz="4" w:space="0" w:color="auto"/>
              <w:right w:val="dotted" w:sz="4" w:space="0" w:color="auto"/>
            </w:tcBorders>
            <w:shd w:val="clear" w:color="auto" w:fill="F2F2F2" w:themeFill="background1" w:themeFillShade="F2"/>
          </w:tcPr>
          <w:p w14:paraId="602BA63D"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bottom w:val="single" w:sz="4" w:space="0" w:color="auto"/>
            </w:tcBorders>
            <w:shd w:val="clear" w:color="auto" w:fill="F2F2F2" w:themeFill="background1" w:themeFillShade="F2"/>
          </w:tcPr>
          <w:p w14:paraId="05956507" w14:textId="77777777" w:rsidR="00F35A51" w:rsidRPr="00E4265B" w:rsidRDefault="00F35A51" w:rsidP="003D144C">
            <w:pPr>
              <w:jc w:val="right"/>
              <w:rPr>
                <w:rFonts w:ascii="Arial" w:hAnsi="Arial" w:cs="Arial"/>
                <w:sz w:val="22"/>
                <w:szCs w:val="22"/>
                <w:lang w:val="en-GB"/>
              </w:rPr>
            </w:pPr>
          </w:p>
        </w:tc>
        <w:tc>
          <w:tcPr>
            <w:tcW w:w="0" w:type="auto"/>
            <w:tcBorders>
              <w:bottom w:val="single" w:sz="4" w:space="0" w:color="auto"/>
              <w:right w:val="single" w:sz="4" w:space="0" w:color="auto"/>
            </w:tcBorders>
            <w:shd w:val="clear" w:color="auto" w:fill="F2F2F2" w:themeFill="background1" w:themeFillShade="F2"/>
          </w:tcPr>
          <w:p w14:paraId="4F51827A" w14:textId="77777777" w:rsidR="00F35A51" w:rsidRPr="00E4265B" w:rsidRDefault="00F35A51" w:rsidP="003D144C">
            <w:pPr>
              <w:jc w:val="right"/>
              <w:rPr>
                <w:rFonts w:ascii="Arial" w:hAnsi="Arial" w:cs="Arial"/>
                <w:i/>
                <w:iCs/>
                <w:sz w:val="22"/>
                <w:szCs w:val="22"/>
                <w:lang w:val="en-GB"/>
              </w:rPr>
            </w:pPr>
          </w:p>
        </w:tc>
        <w:tc>
          <w:tcPr>
            <w:tcW w:w="0" w:type="auto"/>
            <w:tcBorders>
              <w:top w:val="single" w:sz="4" w:space="0" w:color="auto"/>
              <w:left w:val="single" w:sz="4" w:space="0" w:color="auto"/>
              <w:bottom w:val="nil"/>
              <w:right w:val="dotted" w:sz="4" w:space="0" w:color="auto"/>
            </w:tcBorders>
          </w:tcPr>
          <w:p w14:paraId="0507605C" w14:textId="0A0F876A" w:rsidR="00F35A51" w:rsidRPr="00E4265B" w:rsidRDefault="00F35A51" w:rsidP="00881EF1">
            <w:pPr>
              <w:jc w:val="right"/>
              <w:rPr>
                <w:rFonts w:ascii="Arial" w:hAnsi="Arial" w:cs="Arial"/>
                <w:i/>
                <w:iCs/>
                <w:sz w:val="22"/>
                <w:szCs w:val="22"/>
                <w:lang w:val="en-GB"/>
              </w:rPr>
            </w:pPr>
            <w:r w:rsidRPr="00E4265B">
              <w:rPr>
                <w:rFonts w:ascii="Arial" w:hAnsi="Arial" w:cs="Arial"/>
                <w:i/>
                <w:iCs/>
                <w:sz w:val="22"/>
                <w:szCs w:val="22"/>
                <w:lang w:val="en-GB"/>
              </w:rPr>
              <w:t xml:space="preserve">Zones </w:t>
            </w:r>
            <w:r w:rsidR="00881EF1" w:rsidRPr="00E4265B">
              <w:rPr>
                <w:rFonts w:ascii="Arial" w:hAnsi="Arial" w:cs="Arial"/>
                <w:i/>
                <w:iCs/>
                <w:sz w:val="22"/>
                <w:szCs w:val="22"/>
                <w:lang w:val="en-GB"/>
              </w:rPr>
              <w:t>A</w:t>
            </w:r>
            <w:r w:rsidRPr="00E4265B">
              <w:rPr>
                <w:rFonts w:ascii="Arial" w:hAnsi="Arial" w:cs="Arial"/>
                <w:i/>
                <w:iCs/>
                <w:sz w:val="22"/>
                <w:szCs w:val="22"/>
                <w:lang w:val="en-GB"/>
              </w:rPr>
              <w:t>&amp;</w:t>
            </w:r>
            <w:r w:rsidR="00881EF1" w:rsidRPr="00E4265B">
              <w:rPr>
                <w:rFonts w:ascii="Arial" w:hAnsi="Arial" w:cs="Arial"/>
                <w:i/>
                <w:iCs/>
                <w:sz w:val="22"/>
                <w:szCs w:val="22"/>
                <w:lang w:val="en-GB"/>
              </w:rPr>
              <w:t>C</w:t>
            </w:r>
          </w:p>
        </w:tc>
      </w:tr>
      <w:tr w:rsidR="00F35A51" w:rsidRPr="00E4265B" w14:paraId="4AF21D80" w14:textId="77777777" w:rsidTr="001668A3">
        <w:trPr>
          <w:trHeight w:val="360"/>
        </w:trPr>
        <w:tc>
          <w:tcPr>
            <w:tcW w:w="0" w:type="auto"/>
            <w:vMerge/>
            <w:tcBorders>
              <w:bottom w:val="single" w:sz="12" w:space="0" w:color="auto"/>
            </w:tcBorders>
            <w:vAlign w:val="center"/>
          </w:tcPr>
          <w:p w14:paraId="66A457F1" w14:textId="77777777" w:rsidR="00F35A51" w:rsidRPr="00E4265B" w:rsidRDefault="00F35A51" w:rsidP="002E0A24">
            <w:pPr>
              <w:jc w:val="center"/>
              <w:rPr>
                <w:rFonts w:ascii="Arial" w:hAnsi="Arial" w:cs="Arial"/>
                <w:sz w:val="22"/>
                <w:szCs w:val="22"/>
                <w:lang w:val="en-GB"/>
              </w:rPr>
            </w:pPr>
          </w:p>
        </w:tc>
        <w:tc>
          <w:tcPr>
            <w:tcW w:w="0" w:type="auto"/>
            <w:tcBorders>
              <w:bottom w:val="single" w:sz="12" w:space="0" w:color="auto"/>
              <w:right w:val="dotted" w:sz="4" w:space="0" w:color="auto"/>
            </w:tcBorders>
            <w:shd w:val="clear" w:color="auto" w:fill="F2F2F2" w:themeFill="background1" w:themeFillShade="F2"/>
          </w:tcPr>
          <w:p w14:paraId="49CE9BC1" w14:textId="77777777" w:rsidR="00F35A51" w:rsidRPr="00E4265B" w:rsidRDefault="00F35A51" w:rsidP="002E0A24">
            <w:pPr>
              <w:rPr>
                <w:rFonts w:ascii="Arial" w:hAnsi="Arial" w:cs="Arial"/>
                <w:sz w:val="22"/>
                <w:szCs w:val="22"/>
                <w:lang w:val="en-GB"/>
              </w:rPr>
            </w:pPr>
          </w:p>
        </w:tc>
        <w:tc>
          <w:tcPr>
            <w:tcW w:w="0" w:type="auto"/>
            <w:tcBorders>
              <w:left w:val="dotted" w:sz="4" w:space="0" w:color="auto"/>
              <w:bottom w:val="single" w:sz="12" w:space="0" w:color="auto"/>
            </w:tcBorders>
            <w:shd w:val="clear" w:color="auto" w:fill="F2F2F2" w:themeFill="background1" w:themeFillShade="F2"/>
          </w:tcPr>
          <w:p w14:paraId="163A27D6" w14:textId="77777777" w:rsidR="00F35A51" w:rsidRPr="00E4265B" w:rsidRDefault="00F35A51" w:rsidP="002E0A24">
            <w:pPr>
              <w:rPr>
                <w:rFonts w:ascii="Arial" w:hAnsi="Arial" w:cs="Arial"/>
                <w:sz w:val="22"/>
                <w:szCs w:val="22"/>
                <w:lang w:val="en-GB"/>
              </w:rPr>
            </w:pPr>
          </w:p>
        </w:tc>
        <w:tc>
          <w:tcPr>
            <w:tcW w:w="0" w:type="auto"/>
            <w:tcBorders>
              <w:bottom w:val="single" w:sz="12" w:space="0" w:color="auto"/>
              <w:right w:val="dotted" w:sz="4" w:space="0" w:color="auto"/>
            </w:tcBorders>
            <w:shd w:val="clear" w:color="auto" w:fill="F2F2F2" w:themeFill="background1" w:themeFillShade="F2"/>
          </w:tcPr>
          <w:p w14:paraId="501705B9"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bottom w:val="single" w:sz="12" w:space="0" w:color="auto"/>
            </w:tcBorders>
            <w:shd w:val="clear" w:color="auto" w:fill="F2F2F2" w:themeFill="background1" w:themeFillShade="F2"/>
          </w:tcPr>
          <w:p w14:paraId="1E4360E7" w14:textId="77777777" w:rsidR="00F35A51" w:rsidRPr="00E4265B" w:rsidRDefault="00F35A51" w:rsidP="003D144C">
            <w:pPr>
              <w:jc w:val="right"/>
              <w:rPr>
                <w:rFonts w:ascii="Arial" w:hAnsi="Arial" w:cs="Arial"/>
                <w:sz w:val="22"/>
                <w:szCs w:val="22"/>
                <w:lang w:val="en-GB"/>
              </w:rPr>
            </w:pPr>
          </w:p>
        </w:tc>
        <w:tc>
          <w:tcPr>
            <w:tcW w:w="1354" w:type="dxa"/>
            <w:tcBorders>
              <w:bottom w:val="single" w:sz="12" w:space="0" w:color="auto"/>
            </w:tcBorders>
            <w:shd w:val="clear" w:color="auto" w:fill="F2F2F2" w:themeFill="background1" w:themeFillShade="F2"/>
          </w:tcPr>
          <w:p w14:paraId="19E93777" w14:textId="77777777" w:rsidR="00F35A51" w:rsidRPr="00E4265B" w:rsidRDefault="00F35A51" w:rsidP="003D144C">
            <w:pPr>
              <w:jc w:val="right"/>
              <w:rPr>
                <w:rFonts w:ascii="Arial" w:hAnsi="Arial" w:cs="Arial"/>
                <w:sz w:val="22"/>
                <w:szCs w:val="22"/>
                <w:lang w:val="en-GB"/>
              </w:rPr>
            </w:pPr>
          </w:p>
        </w:tc>
        <w:tc>
          <w:tcPr>
            <w:tcW w:w="934" w:type="dxa"/>
            <w:tcBorders>
              <w:bottom w:val="single" w:sz="12" w:space="0" w:color="auto"/>
              <w:right w:val="dotted" w:sz="4" w:space="0" w:color="auto"/>
            </w:tcBorders>
            <w:shd w:val="clear" w:color="auto" w:fill="F2F2F2" w:themeFill="background1" w:themeFillShade="F2"/>
          </w:tcPr>
          <w:p w14:paraId="230196E4" w14:textId="77777777" w:rsidR="00F35A51" w:rsidRPr="00E4265B" w:rsidRDefault="00F35A51" w:rsidP="003D144C">
            <w:pPr>
              <w:jc w:val="right"/>
              <w:rPr>
                <w:rFonts w:ascii="Arial" w:hAnsi="Arial" w:cs="Arial"/>
                <w:sz w:val="22"/>
                <w:szCs w:val="22"/>
                <w:lang w:val="en-GB"/>
              </w:rPr>
            </w:pPr>
          </w:p>
        </w:tc>
        <w:tc>
          <w:tcPr>
            <w:tcW w:w="735" w:type="dxa"/>
            <w:tcBorders>
              <w:left w:val="dotted" w:sz="4" w:space="0" w:color="auto"/>
              <w:bottom w:val="single" w:sz="12" w:space="0" w:color="auto"/>
            </w:tcBorders>
            <w:shd w:val="clear" w:color="auto" w:fill="F2F2F2" w:themeFill="background1" w:themeFillShade="F2"/>
          </w:tcPr>
          <w:p w14:paraId="0F066752" w14:textId="77777777" w:rsidR="00F35A51" w:rsidRPr="00E4265B" w:rsidRDefault="00F35A51" w:rsidP="003D144C">
            <w:pPr>
              <w:jc w:val="right"/>
              <w:rPr>
                <w:rFonts w:ascii="Arial" w:hAnsi="Arial" w:cs="Arial"/>
                <w:sz w:val="22"/>
                <w:szCs w:val="22"/>
                <w:lang w:val="en-GB"/>
              </w:rPr>
            </w:pPr>
          </w:p>
        </w:tc>
        <w:tc>
          <w:tcPr>
            <w:tcW w:w="0" w:type="auto"/>
            <w:tcBorders>
              <w:bottom w:val="single" w:sz="12" w:space="0" w:color="auto"/>
              <w:right w:val="dotted" w:sz="4" w:space="0" w:color="auto"/>
            </w:tcBorders>
            <w:shd w:val="clear" w:color="auto" w:fill="F2F2F2" w:themeFill="background1" w:themeFillShade="F2"/>
          </w:tcPr>
          <w:p w14:paraId="03B67B00"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bottom w:val="single" w:sz="12" w:space="0" w:color="auto"/>
            </w:tcBorders>
            <w:shd w:val="clear" w:color="auto" w:fill="F2F2F2" w:themeFill="background1" w:themeFillShade="F2"/>
          </w:tcPr>
          <w:p w14:paraId="0A996A0C" w14:textId="77777777" w:rsidR="00F35A51" w:rsidRPr="00E4265B" w:rsidRDefault="00F35A51" w:rsidP="003D144C">
            <w:pPr>
              <w:jc w:val="right"/>
              <w:rPr>
                <w:rFonts w:ascii="Arial" w:hAnsi="Arial" w:cs="Arial"/>
                <w:sz w:val="22"/>
                <w:szCs w:val="22"/>
                <w:lang w:val="en-GB"/>
              </w:rPr>
            </w:pPr>
          </w:p>
        </w:tc>
        <w:tc>
          <w:tcPr>
            <w:tcW w:w="0" w:type="auto"/>
            <w:tcBorders>
              <w:bottom w:val="single" w:sz="12" w:space="0" w:color="auto"/>
              <w:right w:val="dotted" w:sz="4" w:space="0" w:color="auto"/>
            </w:tcBorders>
            <w:shd w:val="clear" w:color="auto" w:fill="F2F2F2" w:themeFill="background1" w:themeFillShade="F2"/>
          </w:tcPr>
          <w:p w14:paraId="3A8606EE"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bottom w:val="single" w:sz="12" w:space="0" w:color="auto"/>
            </w:tcBorders>
            <w:shd w:val="clear" w:color="auto" w:fill="F2F2F2" w:themeFill="background1" w:themeFillShade="F2"/>
          </w:tcPr>
          <w:p w14:paraId="42C4B79F" w14:textId="77777777" w:rsidR="00F35A51" w:rsidRPr="00E4265B" w:rsidRDefault="00F35A51" w:rsidP="003D144C">
            <w:pPr>
              <w:jc w:val="right"/>
              <w:rPr>
                <w:rFonts w:ascii="Arial" w:hAnsi="Arial" w:cs="Arial"/>
                <w:sz w:val="22"/>
                <w:szCs w:val="22"/>
                <w:lang w:val="en-GB"/>
              </w:rPr>
            </w:pPr>
          </w:p>
        </w:tc>
        <w:tc>
          <w:tcPr>
            <w:tcW w:w="0" w:type="auto"/>
            <w:tcBorders>
              <w:bottom w:val="single" w:sz="12" w:space="0" w:color="auto"/>
              <w:right w:val="single" w:sz="4" w:space="0" w:color="auto"/>
            </w:tcBorders>
            <w:shd w:val="clear" w:color="auto" w:fill="F2F2F2" w:themeFill="background1" w:themeFillShade="F2"/>
          </w:tcPr>
          <w:p w14:paraId="0FC51C77" w14:textId="5EFBB95D" w:rsidR="00F35A51" w:rsidRPr="00E4265B" w:rsidRDefault="00F35A51" w:rsidP="003D144C">
            <w:pPr>
              <w:jc w:val="right"/>
              <w:rPr>
                <w:rFonts w:ascii="Arial" w:hAnsi="Arial" w:cs="Arial"/>
                <w:i/>
                <w:iCs/>
                <w:sz w:val="22"/>
                <w:szCs w:val="22"/>
                <w:lang w:val="en-GB"/>
              </w:rPr>
            </w:pPr>
          </w:p>
        </w:tc>
        <w:tc>
          <w:tcPr>
            <w:tcW w:w="0" w:type="auto"/>
            <w:tcBorders>
              <w:top w:val="nil"/>
              <w:left w:val="single" w:sz="4" w:space="0" w:color="auto"/>
              <w:bottom w:val="single" w:sz="12" w:space="0" w:color="auto"/>
              <w:right w:val="dotted" w:sz="4" w:space="0" w:color="auto"/>
            </w:tcBorders>
          </w:tcPr>
          <w:p w14:paraId="17E1C292" w14:textId="51CA4671" w:rsidR="00F35A51" w:rsidRPr="00E4265B" w:rsidRDefault="00F35A51" w:rsidP="003D144C">
            <w:pPr>
              <w:jc w:val="right"/>
              <w:rPr>
                <w:rFonts w:ascii="Arial" w:hAnsi="Arial" w:cs="Arial"/>
                <w:i/>
                <w:iCs/>
                <w:sz w:val="22"/>
                <w:szCs w:val="22"/>
                <w:lang w:val="en-GB"/>
              </w:rPr>
            </w:pPr>
            <w:r w:rsidRPr="00E4265B">
              <w:rPr>
                <w:rFonts w:ascii="Arial" w:hAnsi="Arial" w:cs="Arial"/>
                <w:i/>
                <w:iCs/>
                <w:sz w:val="22"/>
                <w:szCs w:val="22"/>
                <w:lang w:val="en-GB"/>
              </w:rPr>
              <w:t>0.00</w:t>
            </w:r>
          </w:p>
        </w:tc>
      </w:tr>
      <w:tr w:rsidR="00F35A51" w:rsidRPr="00E4265B" w14:paraId="3C9C2147" w14:textId="77777777" w:rsidTr="001668A3">
        <w:trPr>
          <w:trHeight w:val="360"/>
        </w:trPr>
        <w:tc>
          <w:tcPr>
            <w:tcW w:w="0" w:type="auto"/>
            <w:vMerge w:val="restart"/>
            <w:tcBorders>
              <w:top w:val="single" w:sz="12" w:space="0" w:color="auto"/>
            </w:tcBorders>
            <w:vAlign w:val="center"/>
          </w:tcPr>
          <w:p w14:paraId="456295C3" w14:textId="14D19F1D" w:rsidR="00F35A51" w:rsidRPr="00E4265B" w:rsidRDefault="00881EF1" w:rsidP="002E0A24">
            <w:pPr>
              <w:jc w:val="center"/>
              <w:rPr>
                <w:rFonts w:ascii="Arial" w:hAnsi="Arial" w:cs="Arial"/>
                <w:sz w:val="22"/>
                <w:szCs w:val="22"/>
                <w:lang w:val="en-GB"/>
              </w:rPr>
            </w:pPr>
            <w:r w:rsidRPr="00E4265B">
              <w:rPr>
                <w:rFonts w:ascii="Arial" w:hAnsi="Arial" w:cs="Arial"/>
                <w:sz w:val="22"/>
                <w:szCs w:val="22"/>
                <w:lang w:val="en-GB"/>
              </w:rPr>
              <w:t>C</w:t>
            </w:r>
          </w:p>
        </w:tc>
        <w:tc>
          <w:tcPr>
            <w:tcW w:w="0" w:type="auto"/>
            <w:tcBorders>
              <w:top w:val="single" w:sz="12" w:space="0" w:color="auto"/>
              <w:right w:val="dotted" w:sz="4" w:space="0" w:color="auto"/>
            </w:tcBorders>
            <w:vAlign w:val="center"/>
          </w:tcPr>
          <w:p w14:paraId="721820A5" w14:textId="72232B8B"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4 and ≤ 5 y</w:t>
            </w:r>
          </w:p>
        </w:tc>
        <w:tc>
          <w:tcPr>
            <w:tcW w:w="0" w:type="auto"/>
            <w:tcBorders>
              <w:top w:val="single" w:sz="12" w:space="0" w:color="auto"/>
              <w:left w:val="dotted" w:sz="4" w:space="0" w:color="auto"/>
            </w:tcBorders>
            <w:vAlign w:val="center"/>
          </w:tcPr>
          <w:p w14:paraId="22A94CBC" w14:textId="2481F492"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3.6 and ≤ 4.3 y</w:t>
            </w:r>
          </w:p>
        </w:tc>
        <w:tc>
          <w:tcPr>
            <w:tcW w:w="0" w:type="auto"/>
            <w:tcBorders>
              <w:top w:val="single" w:sz="12" w:space="0" w:color="auto"/>
              <w:right w:val="dotted" w:sz="4" w:space="0" w:color="auto"/>
            </w:tcBorders>
          </w:tcPr>
          <w:p w14:paraId="53F18643" w14:textId="57FD4281"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100</w:t>
            </w:r>
          </w:p>
        </w:tc>
        <w:tc>
          <w:tcPr>
            <w:tcW w:w="0" w:type="auto"/>
            <w:tcBorders>
              <w:top w:val="single" w:sz="12" w:space="0" w:color="auto"/>
              <w:left w:val="dotted" w:sz="4" w:space="0" w:color="auto"/>
            </w:tcBorders>
          </w:tcPr>
          <w:p w14:paraId="73B89A7E" w14:textId="29ED2675"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-100</w:t>
            </w:r>
          </w:p>
        </w:tc>
        <w:tc>
          <w:tcPr>
            <w:tcW w:w="1354" w:type="dxa"/>
            <w:tcBorders>
              <w:top w:val="single" w:sz="12" w:space="0" w:color="auto"/>
            </w:tcBorders>
          </w:tcPr>
          <w:p w14:paraId="0C0BD208" w14:textId="7777777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2.75%</w:t>
            </w:r>
          </w:p>
        </w:tc>
        <w:tc>
          <w:tcPr>
            <w:tcW w:w="934" w:type="dxa"/>
            <w:tcBorders>
              <w:top w:val="single" w:sz="12" w:space="0" w:color="auto"/>
              <w:right w:val="dotted" w:sz="4" w:space="0" w:color="auto"/>
            </w:tcBorders>
          </w:tcPr>
          <w:p w14:paraId="3C8532EE" w14:textId="09E916F2"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2.75</w:t>
            </w:r>
          </w:p>
        </w:tc>
        <w:tc>
          <w:tcPr>
            <w:tcW w:w="735" w:type="dxa"/>
            <w:tcBorders>
              <w:top w:val="single" w:sz="12" w:space="0" w:color="auto"/>
              <w:left w:val="dotted" w:sz="4" w:space="0" w:color="auto"/>
            </w:tcBorders>
          </w:tcPr>
          <w:p w14:paraId="5CFFACE0" w14:textId="4E21FD7B"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-2.75</w:t>
            </w:r>
          </w:p>
        </w:tc>
        <w:tc>
          <w:tcPr>
            <w:tcW w:w="0" w:type="auto"/>
            <w:tcBorders>
              <w:top w:val="single" w:sz="12" w:space="0" w:color="auto"/>
              <w:right w:val="dotted" w:sz="4" w:space="0" w:color="auto"/>
            </w:tcBorders>
          </w:tcPr>
          <w:p w14:paraId="5797F41A" w14:textId="09064109"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2.75</w:t>
            </w:r>
          </w:p>
        </w:tc>
        <w:tc>
          <w:tcPr>
            <w:tcW w:w="0" w:type="auto"/>
            <w:tcBorders>
              <w:top w:val="single" w:sz="12" w:space="0" w:color="auto"/>
              <w:left w:val="dotted" w:sz="4" w:space="0" w:color="auto"/>
            </w:tcBorders>
          </w:tcPr>
          <w:p w14:paraId="7B7C6468" w14:textId="4FF9B895"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0.00</w:t>
            </w:r>
          </w:p>
        </w:tc>
        <w:tc>
          <w:tcPr>
            <w:tcW w:w="0" w:type="auto"/>
            <w:tcBorders>
              <w:top w:val="single" w:sz="12" w:space="0" w:color="auto"/>
              <w:right w:val="dotted" w:sz="4" w:space="0" w:color="auto"/>
            </w:tcBorders>
            <w:shd w:val="clear" w:color="auto" w:fill="F2F2F2" w:themeFill="background1" w:themeFillShade="F2"/>
          </w:tcPr>
          <w:p w14:paraId="6E24D740" w14:textId="77777777" w:rsidR="00F35A51" w:rsidRPr="00E4265B" w:rsidRDefault="00F35A51" w:rsidP="003D144C">
            <w:pPr>
              <w:jc w:val="right"/>
              <w:rPr>
                <w:rFonts w:ascii="Arial" w:hAnsi="Arial" w:cs="Arial"/>
                <w:sz w:val="22"/>
                <w:szCs w:val="22"/>
                <w:lang w:val="en-GB"/>
              </w:rPr>
            </w:pPr>
          </w:p>
        </w:tc>
        <w:tc>
          <w:tcPr>
            <w:tcW w:w="0" w:type="auto"/>
            <w:tcBorders>
              <w:top w:val="single" w:sz="12" w:space="0" w:color="auto"/>
              <w:left w:val="dotted" w:sz="4" w:space="0" w:color="auto"/>
            </w:tcBorders>
            <w:shd w:val="clear" w:color="auto" w:fill="F2F2F2" w:themeFill="background1" w:themeFillShade="F2"/>
          </w:tcPr>
          <w:p w14:paraId="16629AA1" w14:textId="77777777" w:rsidR="00F35A51" w:rsidRPr="00E4265B" w:rsidRDefault="00F35A51" w:rsidP="003D144C">
            <w:pPr>
              <w:jc w:val="right"/>
              <w:rPr>
                <w:rFonts w:ascii="Arial" w:hAnsi="Arial" w:cs="Arial"/>
                <w:sz w:val="22"/>
                <w:szCs w:val="22"/>
                <w:lang w:val="en-GB"/>
              </w:rPr>
            </w:pPr>
          </w:p>
        </w:tc>
        <w:tc>
          <w:tcPr>
            <w:tcW w:w="0" w:type="auto"/>
            <w:tcBorders>
              <w:top w:val="single" w:sz="12" w:space="0" w:color="auto"/>
              <w:bottom w:val="nil"/>
              <w:right w:val="dotted" w:sz="4" w:space="0" w:color="auto"/>
            </w:tcBorders>
          </w:tcPr>
          <w:p w14:paraId="5FD2C703" w14:textId="3B65F419" w:rsidR="00F35A51" w:rsidRPr="00E4265B" w:rsidRDefault="00F35A51" w:rsidP="00881EF1">
            <w:pPr>
              <w:jc w:val="right"/>
              <w:rPr>
                <w:rFonts w:ascii="Arial" w:hAnsi="Arial" w:cs="Arial"/>
                <w:i/>
                <w:iCs/>
                <w:sz w:val="22"/>
                <w:szCs w:val="22"/>
                <w:lang w:val="en-GB"/>
              </w:rPr>
            </w:pPr>
            <w:r w:rsidRPr="00E4265B">
              <w:rPr>
                <w:rFonts w:ascii="Arial" w:hAnsi="Arial" w:cs="Arial"/>
                <w:i/>
                <w:iCs/>
                <w:sz w:val="22"/>
                <w:szCs w:val="22"/>
                <w:lang w:val="en-GB"/>
              </w:rPr>
              <w:t xml:space="preserve">Zones </w:t>
            </w:r>
            <w:r w:rsidR="00881EF1" w:rsidRPr="00E4265B">
              <w:rPr>
                <w:rFonts w:ascii="Arial" w:hAnsi="Arial" w:cs="Arial"/>
                <w:i/>
                <w:iCs/>
                <w:sz w:val="22"/>
                <w:szCs w:val="22"/>
                <w:lang w:val="en-GB"/>
              </w:rPr>
              <w:t>B</w:t>
            </w:r>
            <w:r w:rsidRPr="00E4265B">
              <w:rPr>
                <w:rFonts w:ascii="Arial" w:hAnsi="Arial" w:cs="Arial"/>
                <w:i/>
                <w:iCs/>
                <w:sz w:val="22"/>
                <w:szCs w:val="22"/>
                <w:lang w:val="en-GB"/>
              </w:rPr>
              <w:t>&amp;</w:t>
            </w:r>
            <w:r w:rsidR="00881EF1" w:rsidRPr="00E4265B">
              <w:rPr>
                <w:rFonts w:ascii="Arial" w:hAnsi="Arial" w:cs="Arial"/>
                <w:i/>
                <w:iCs/>
                <w:sz w:val="22"/>
                <w:szCs w:val="22"/>
                <w:lang w:val="en-GB"/>
              </w:rPr>
              <w:t>C</w:t>
            </w:r>
          </w:p>
        </w:tc>
        <w:tc>
          <w:tcPr>
            <w:tcW w:w="0" w:type="auto"/>
            <w:tcBorders>
              <w:top w:val="single" w:sz="12" w:space="0" w:color="auto"/>
              <w:left w:val="dotted" w:sz="4" w:space="0" w:color="auto"/>
            </w:tcBorders>
            <w:shd w:val="clear" w:color="auto" w:fill="F2F2F2" w:themeFill="background1" w:themeFillShade="F2"/>
          </w:tcPr>
          <w:p w14:paraId="3429A498" w14:textId="77777777" w:rsidR="00F35A51" w:rsidRPr="00E4265B" w:rsidRDefault="00F35A51" w:rsidP="003D144C">
            <w:pPr>
              <w:jc w:val="right"/>
              <w:rPr>
                <w:rFonts w:ascii="Arial" w:hAnsi="Arial" w:cs="Arial"/>
                <w:i/>
                <w:iCs/>
                <w:sz w:val="22"/>
                <w:szCs w:val="22"/>
                <w:lang w:val="en-GB"/>
              </w:rPr>
            </w:pPr>
          </w:p>
        </w:tc>
      </w:tr>
      <w:tr w:rsidR="00F35A51" w:rsidRPr="00E4265B" w14:paraId="316EF216" w14:textId="77777777" w:rsidTr="00A80508">
        <w:trPr>
          <w:trHeight w:val="360"/>
        </w:trPr>
        <w:tc>
          <w:tcPr>
            <w:tcW w:w="0" w:type="auto"/>
            <w:vMerge/>
          </w:tcPr>
          <w:p w14:paraId="4CB57443" w14:textId="77777777" w:rsidR="00F35A51" w:rsidRPr="00E4265B" w:rsidRDefault="00F35A51" w:rsidP="002E0A24">
            <w:pPr>
              <w:rPr>
                <w:rFonts w:ascii="Arial" w:hAnsi="Arial" w:cs="Arial"/>
                <w:sz w:val="22"/>
                <w:szCs w:val="22"/>
                <w:lang w:val="en-GB"/>
              </w:rPr>
            </w:pPr>
          </w:p>
        </w:tc>
        <w:tc>
          <w:tcPr>
            <w:tcW w:w="0" w:type="auto"/>
            <w:tcBorders>
              <w:right w:val="dotted" w:sz="4" w:space="0" w:color="auto"/>
            </w:tcBorders>
            <w:vAlign w:val="center"/>
          </w:tcPr>
          <w:p w14:paraId="683A1584" w14:textId="428F7233"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5 and ≤ 7 y</w:t>
            </w:r>
          </w:p>
        </w:tc>
        <w:tc>
          <w:tcPr>
            <w:tcW w:w="0" w:type="auto"/>
            <w:tcBorders>
              <w:left w:val="dotted" w:sz="4" w:space="0" w:color="auto"/>
            </w:tcBorders>
            <w:vAlign w:val="center"/>
          </w:tcPr>
          <w:p w14:paraId="1758475E" w14:textId="33619774"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4.3 and ≤ 5.7 y</w:t>
            </w:r>
          </w:p>
        </w:tc>
        <w:tc>
          <w:tcPr>
            <w:tcW w:w="0" w:type="auto"/>
            <w:tcBorders>
              <w:right w:val="dotted" w:sz="4" w:space="0" w:color="auto"/>
            </w:tcBorders>
          </w:tcPr>
          <w:p w14:paraId="30B68F88" w14:textId="3A2AFC74"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200</w:t>
            </w:r>
          </w:p>
        </w:tc>
        <w:tc>
          <w:tcPr>
            <w:tcW w:w="0" w:type="auto"/>
            <w:tcBorders>
              <w:left w:val="dotted" w:sz="4" w:space="0" w:color="auto"/>
            </w:tcBorders>
          </w:tcPr>
          <w:p w14:paraId="66AD1897" w14:textId="1E23BD31"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-200</w:t>
            </w:r>
          </w:p>
        </w:tc>
        <w:tc>
          <w:tcPr>
            <w:tcW w:w="1354" w:type="dxa"/>
          </w:tcPr>
          <w:p w14:paraId="19953DF0" w14:textId="7777777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3.25%</w:t>
            </w:r>
          </w:p>
        </w:tc>
        <w:tc>
          <w:tcPr>
            <w:tcW w:w="934" w:type="dxa"/>
            <w:tcBorders>
              <w:right w:val="dotted" w:sz="4" w:space="0" w:color="auto"/>
            </w:tcBorders>
          </w:tcPr>
          <w:p w14:paraId="0D75D4F1" w14:textId="5C1DCC7A"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6.50</w:t>
            </w:r>
          </w:p>
        </w:tc>
        <w:tc>
          <w:tcPr>
            <w:tcW w:w="735" w:type="dxa"/>
            <w:tcBorders>
              <w:left w:val="dotted" w:sz="4" w:space="0" w:color="auto"/>
            </w:tcBorders>
          </w:tcPr>
          <w:p w14:paraId="7C76D03A" w14:textId="7E3A4FB0"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-6.50</w:t>
            </w:r>
          </w:p>
        </w:tc>
        <w:tc>
          <w:tcPr>
            <w:tcW w:w="0" w:type="auto"/>
            <w:tcBorders>
              <w:right w:val="dotted" w:sz="4" w:space="0" w:color="auto"/>
            </w:tcBorders>
          </w:tcPr>
          <w:p w14:paraId="751F477D" w14:textId="1E101E4E"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6.50</w:t>
            </w:r>
          </w:p>
        </w:tc>
        <w:tc>
          <w:tcPr>
            <w:tcW w:w="0" w:type="auto"/>
            <w:tcBorders>
              <w:left w:val="dotted" w:sz="4" w:space="0" w:color="auto"/>
            </w:tcBorders>
          </w:tcPr>
          <w:p w14:paraId="4C068184" w14:textId="6B676A7A"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0.00</w:t>
            </w:r>
          </w:p>
        </w:tc>
        <w:tc>
          <w:tcPr>
            <w:tcW w:w="0" w:type="auto"/>
            <w:tcBorders>
              <w:right w:val="dotted" w:sz="4" w:space="0" w:color="auto"/>
            </w:tcBorders>
            <w:shd w:val="clear" w:color="auto" w:fill="F2F2F2" w:themeFill="background1" w:themeFillShade="F2"/>
          </w:tcPr>
          <w:p w14:paraId="30A38F94"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0DC7E674" w14:textId="77777777" w:rsidR="00F35A51" w:rsidRPr="00E4265B" w:rsidRDefault="00F35A51" w:rsidP="003D144C">
            <w:pPr>
              <w:jc w:val="right"/>
              <w:rPr>
                <w:rFonts w:ascii="Arial" w:hAnsi="Arial" w:cs="Arial"/>
                <w:sz w:val="22"/>
                <w:szCs w:val="22"/>
                <w:lang w:val="en-GB"/>
              </w:rPr>
            </w:pPr>
          </w:p>
        </w:tc>
        <w:tc>
          <w:tcPr>
            <w:tcW w:w="0" w:type="auto"/>
            <w:tcBorders>
              <w:top w:val="nil"/>
              <w:right w:val="dotted" w:sz="4" w:space="0" w:color="auto"/>
            </w:tcBorders>
          </w:tcPr>
          <w:p w14:paraId="48E0A0C5" w14:textId="796CC9D8" w:rsidR="00F35A51" w:rsidRPr="00E4265B" w:rsidRDefault="00F35A51" w:rsidP="003D144C">
            <w:pPr>
              <w:jc w:val="right"/>
              <w:rPr>
                <w:rFonts w:ascii="Arial" w:hAnsi="Arial" w:cs="Arial"/>
                <w:i/>
                <w:iCs/>
                <w:sz w:val="22"/>
                <w:szCs w:val="22"/>
                <w:lang w:val="en-GB"/>
              </w:rPr>
            </w:pPr>
            <w:r w:rsidRPr="00E4265B">
              <w:rPr>
                <w:rFonts w:ascii="Arial" w:hAnsi="Arial" w:cs="Arial"/>
                <w:i/>
                <w:iCs/>
                <w:sz w:val="22"/>
                <w:szCs w:val="22"/>
                <w:lang w:val="en-GB"/>
              </w:rPr>
              <w:t>3.95</w:t>
            </w:r>
          </w:p>
        </w:tc>
        <w:tc>
          <w:tcPr>
            <w:tcW w:w="0" w:type="auto"/>
            <w:tcBorders>
              <w:left w:val="dotted" w:sz="4" w:space="0" w:color="auto"/>
            </w:tcBorders>
            <w:shd w:val="clear" w:color="auto" w:fill="F2F2F2" w:themeFill="background1" w:themeFillShade="F2"/>
          </w:tcPr>
          <w:p w14:paraId="6C847AFB" w14:textId="77777777" w:rsidR="00F35A51" w:rsidRPr="00E4265B" w:rsidRDefault="00F35A51" w:rsidP="003D144C">
            <w:pPr>
              <w:jc w:val="right"/>
              <w:rPr>
                <w:rFonts w:ascii="Arial" w:hAnsi="Arial" w:cs="Arial"/>
                <w:i/>
                <w:iCs/>
                <w:sz w:val="22"/>
                <w:szCs w:val="22"/>
                <w:lang w:val="en-GB"/>
              </w:rPr>
            </w:pPr>
          </w:p>
        </w:tc>
      </w:tr>
      <w:tr w:rsidR="00F35A51" w:rsidRPr="00E4265B" w14:paraId="2DDF791C" w14:textId="77777777" w:rsidTr="00A80508">
        <w:trPr>
          <w:trHeight w:val="360"/>
        </w:trPr>
        <w:tc>
          <w:tcPr>
            <w:tcW w:w="0" w:type="auto"/>
            <w:vMerge/>
          </w:tcPr>
          <w:p w14:paraId="0849F60F" w14:textId="77777777" w:rsidR="00F35A51" w:rsidRPr="00E4265B" w:rsidRDefault="00F35A51" w:rsidP="002E0A24">
            <w:pPr>
              <w:rPr>
                <w:rFonts w:ascii="Arial" w:hAnsi="Arial" w:cs="Arial"/>
                <w:sz w:val="22"/>
                <w:szCs w:val="22"/>
                <w:lang w:val="en-GB"/>
              </w:rPr>
            </w:pPr>
          </w:p>
        </w:tc>
        <w:tc>
          <w:tcPr>
            <w:tcW w:w="0" w:type="auto"/>
            <w:tcBorders>
              <w:right w:val="dotted" w:sz="4" w:space="0" w:color="auto"/>
            </w:tcBorders>
            <w:vAlign w:val="center"/>
          </w:tcPr>
          <w:p w14:paraId="18715C8B" w14:textId="7B2AB978"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7 and ≤ 10 y</w:t>
            </w:r>
          </w:p>
        </w:tc>
        <w:tc>
          <w:tcPr>
            <w:tcW w:w="0" w:type="auto"/>
            <w:tcBorders>
              <w:left w:val="dotted" w:sz="4" w:space="0" w:color="auto"/>
            </w:tcBorders>
            <w:vAlign w:val="center"/>
          </w:tcPr>
          <w:p w14:paraId="4FF7F1B9" w14:textId="5516B08C"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5.7 and ≤ 7.3 y</w:t>
            </w:r>
          </w:p>
        </w:tc>
        <w:tc>
          <w:tcPr>
            <w:tcW w:w="0" w:type="auto"/>
            <w:tcBorders>
              <w:right w:val="dotted" w:sz="4" w:space="0" w:color="auto"/>
            </w:tcBorders>
          </w:tcPr>
          <w:p w14:paraId="76012D01" w14:textId="5D8869AA"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300</w:t>
            </w:r>
          </w:p>
        </w:tc>
        <w:tc>
          <w:tcPr>
            <w:tcW w:w="0" w:type="auto"/>
            <w:tcBorders>
              <w:left w:val="dotted" w:sz="4" w:space="0" w:color="auto"/>
            </w:tcBorders>
          </w:tcPr>
          <w:p w14:paraId="262887A9" w14:textId="554A84E2"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-100</w:t>
            </w:r>
          </w:p>
        </w:tc>
        <w:tc>
          <w:tcPr>
            <w:tcW w:w="1354" w:type="dxa"/>
          </w:tcPr>
          <w:p w14:paraId="7BE92174" w14:textId="7777777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3.75%</w:t>
            </w:r>
          </w:p>
        </w:tc>
        <w:tc>
          <w:tcPr>
            <w:tcW w:w="934" w:type="dxa"/>
            <w:tcBorders>
              <w:right w:val="dotted" w:sz="4" w:space="0" w:color="auto"/>
            </w:tcBorders>
          </w:tcPr>
          <w:p w14:paraId="39B54EC9" w14:textId="26D8C20C"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11.25</w:t>
            </w:r>
          </w:p>
        </w:tc>
        <w:tc>
          <w:tcPr>
            <w:tcW w:w="735" w:type="dxa"/>
            <w:tcBorders>
              <w:left w:val="dotted" w:sz="4" w:space="0" w:color="auto"/>
            </w:tcBorders>
          </w:tcPr>
          <w:p w14:paraId="7B9C415E" w14:textId="64990812"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-3.75</w:t>
            </w:r>
          </w:p>
        </w:tc>
        <w:tc>
          <w:tcPr>
            <w:tcW w:w="0" w:type="auto"/>
            <w:tcBorders>
              <w:right w:val="dotted" w:sz="4" w:space="0" w:color="auto"/>
            </w:tcBorders>
          </w:tcPr>
          <w:p w14:paraId="3484B6E0" w14:textId="5DD77FD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3.75</w:t>
            </w:r>
          </w:p>
        </w:tc>
        <w:tc>
          <w:tcPr>
            <w:tcW w:w="0" w:type="auto"/>
            <w:tcBorders>
              <w:left w:val="dotted" w:sz="4" w:space="0" w:color="auto"/>
            </w:tcBorders>
          </w:tcPr>
          <w:p w14:paraId="62686F70" w14:textId="2F504B20"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7.50</w:t>
            </w:r>
          </w:p>
        </w:tc>
        <w:tc>
          <w:tcPr>
            <w:tcW w:w="0" w:type="auto"/>
            <w:tcBorders>
              <w:right w:val="dotted" w:sz="4" w:space="0" w:color="auto"/>
            </w:tcBorders>
            <w:shd w:val="clear" w:color="auto" w:fill="F2F2F2" w:themeFill="background1" w:themeFillShade="F2"/>
          </w:tcPr>
          <w:p w14:paraId="5B880124"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0BA099AC" w14:textId="77777777" w:rsidR="00F35A51" w:rsidRPr="00E4265B" w:rsidRDefault="00F35A51" w:rsidP="003D144C">
            <w:pPr>
              <w:jc w:val="right"/>
              <w:rPr>
                <w:rFonts w:ascii="Arial" w:hAnsi="Arial" w:cs="Arial"/>
                <w:sz w:val="22"/>
                <w:szCs w:val="22"/>
                <w:lang w:val="en-GB"/>
              </w:rPr>
            </w:pPr>
          </w:p>
        </w:tc>
        <w:tc>
          <w:tcPr>
            <w:tcW w:w="0" w:type="auto"/>
            <w:tcBorders>
              <w:right w:val="dotted" w:sz="4" w:space="0" w:color="auto"/>
            </w:tcBorders>
            <w:shd w:val="clear" w:color="auto" w:fill="F2F2F2" w:themeFill="background1" w:themeFillShade="F2"/>
          </w:tcPr>
          <w:p w14:paraId="2B341BED"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09200EAB" w14:textId="77777777" w:rsidR="00F35A51" w:rsidRPr="00E4265B" w:rsidRDefault="00F35A51" w:rsidP="003D144C">
            <w:pPr>
              <w:jc w:val="right"/>
              <w:rPr>
                <w:rFonts w:ascii="Arial" w:hAnsi="Arial" w:cs="Arial"/>
                <w:sz w:val="22"/>
                <w:szCs w:val="22"/>
                <w:lang w:val="en-GB"/>
              </w:rPr>
            </w:pPr>
          </w:p>
        </w:tc>
      </w:tr>
      <w:tr w:rsidR="00F35A51" w:rsidRPr="00E4265B" w14:paraId="1DE80BF4" w14:textId="77777777" w:rsidTr="00A80508">
        <w:trPr>
          <w:trHeight w:val="360"/>
        </w:trPr>
        <w:tc>
          <w:tcPr>
            <w:tcW w:w="0" w:type="auto"/>
            <w:vMerge/>
          </w:tcPr>
          <w:p w14:paraId="7135E97B" w14:textId="77777777" w:rsidR="00F35A51" w:rsidRPr="00E4265B" w:rsidRDefault="00F35A51" w:rsidP="002E0A24">
            <w:pPr>
              <w:rPr>
                <w:rFonts w:ascii="Arial" w:hAnsi="Arial" w:cs="Arial"/>
                <w:sz w:val="22"/>
                <w:szCs w:val="22"/>
                <w:lang w:val="en-GB"/>
              </w:rPr>
            </w:pPr>
          </w:p>
        </w:tc>
        <w:tc>
          <w:tcPr>
            <w:tcW w:w="0" w:type="auto"/>
            <w:tcBorders>
              <w:right w:val="dotted" w:sz="4" w:space="0" w:color="auto"/>
            </w:tcBorders>
            <w:vAlign w:val="center"/>
          </w:tcPr>
          <w:p w14:paraId="3C4B0A5F" w14:textId="5C6764A7"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10 and ≤ 15 y</w:t>
            </w:r>
          </w:p>
        </w:tc>
        <w:tc>
          <w:tcPr>
            <w:tcW w:w="0" w:type="auto"/>
            <w:tcBorders>
              <w:left w:val="dotted" w:sz="4" w:space="0" w:color="auto"/>
            </w:tcBorders>
            <w:vAlign w:val="center"/>
          </w:tcPr>
          <w:p w14:paraId="25D9AD90" w14:textId="17157A87"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7.3 and ≤ 9.3 y</w:t>
            </w:r>
          </w:p>
        </w:tc>
        <w:tc>
          <w:tcPr>
            <w:tcW w:w="0" w:type="auto"/>
            <w:tcBorders>
              <w:right w:val="dotted" w:sz="4" w:space="0" w:color="auto"/>
            </w:tcBorders>
          </w:tcPr>
          <w:p w14:paraId="2AE438FE" w14:textId="365ED34E"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100</w:t>
            </w:r>
          </w:p>
        </w:tc>
        <w:tc>
          <w:tcPr>
            <w:tcW w:w="0" w:type="auto"/>
            <w:tcBorders>
              <w:left w:val="dotted" w:sz="4" w:space="0" w:color="auto"/>
            </w:tcBorders>
          </w:tcPr>
          <w:p w14:paraId="106B2D49" w14:textId="6EDD3884"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-200</w:t>
            </w:r>
          </w:p>
        </w:tc>
        <w:tc>
          <w:tcPr>
            <w:tcW w:w="1354" w:type="dxa"/>
          </w:tcPr>
          <w:p w14:paraId="7AB50828" w14:textId="7777777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4.50%</w:t>
            </w:r>
          </w:p>
        </w:tc>
        <w:tc>
          <w:tcPr>
            <w:tcW w:w="934" w:type="dxa"/>
            <w:tcBorders>
              <w:right w:val="dotted" w:sz="4" w:space="0" w:color="auto"/>
            </w:tcBorders>
          </w:tcPr>
          <w:p w14:paraId="0E06E10B" w14:textId="37CE1059"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4.50</w:t>
            </w:r>
          </w:p>
        </w:tc>
        <w:tc>
          <w:tcPr>
            <w:tcW w:w="735" w:type="dxa"/>
            <w:tcBorders>
              <w:left w:val="dotted" w:sz="4" w:space="0" w:color="auto"/>
            </w:tcBorders>
          </w:tcPr>
          <w:p w14:paraId="38F415E0" w14:textId="7755EB7D"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-9.00</w:t>
            </w:r>
          </w:p>
        </w:tc>
        <w:tc>
          <w:tcPr>
            <w:tcW w:w="0" w:type="auto"/>
            <w:tcBorders>
              <w:right w:val="dotted" w:sz="4" w:space="0" w:color="auto"/>
            </w:tcBorders>
          </w:tcPr>
          <w:p w14:paraId="06F7F2AB" w14:textId="36380D5A"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4.50</w:t>
            </w:r>
          </w:p>
        </w:tc>
        <w:tc>
          <w:tcPr>
            <w:tcW w:w="0" w:type="auto"/>
            <w:tcBorders>
              <w:left w:val="dotted" w:sz="4" w:space="0" w:color="auto"/>
            </w:tcBorders>
          </w:tcPr>
          <w:p w14:paraId="712537C0" w14:textId="1F6501C0"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-4.50</w:t>
            </w:r>
          </w:p>
        </w:tc>
        <w:tc>
          <w:tcPr>
            <w:tcW w:w="0" w:type="auto"/>
            <w:tcBorders>
              <w:right w:val="dotted" w:sz="4" w:space="0" w:color="auto"/>
            </w:tcBorders>
          </w:tcPr>
          <w:p w14:paraId="3BD8B258" w14:textId="0100E43E"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4.50</w:t>
            </w:r>
          </w:p>
        </w:tc>
        <w:tc>
          <w:tcPr>
            <w:tcW w:w="0" w:type="auto"/>
            <w:tcBorders>
              <w:left w:val="dotted" w:sz="4" w:space="0" w:color="auto"/>
            </w:tcBorders>
          </w:tcPr>
          <w:p w14:paraId="033E9B89" w14:textId="1A40C890"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8.25</w:t>
            </w:r>
          </w:p>
        </w:tc>
        <w:tc>
          <w:tcPr>
            <w:tcW w:w="0" w:type="auto"/>
            <w:tcBorders>
              <w:right w:val="dotted" w:sz="4" w:space="0" w:color="auto"/>
            </w:tcBorders>
            <w:shd w:val="clear" w:color="auto" w:fill="F2F2F2" w:themeFill="background1" w:themeFillShade="F2"/>
          </w:tcPr>
          <w:p w14:paraId="13E187C7"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4E2288D4" w14:textId="77777777" w:rsidR="00F35A51" w:rsidRPr="00E4265B" w:rsidRDefault="00F35A51" w:rsidP="003D144C">
            <w:pPr>
              <w:jc w:val="right"/>
              <w:rPr>
                <w:rFonts w:ascii="Arial" w:hAnsi="Arial" w:cs="Arial"/>
                <w:sz w:val="22"/>
                <w:szCs w:val="22"/>
                <w:lang w:val="en-GB"/>
              </w:rPr>
            </w:pPr>
          </w:p>
        </w:tc>
      </w:tr>
      <w:tr w:rsidR="00F35A51" w:rsidRPr="00E4265B" w14:paraId="5D195932" w14:textId="77777777" w:rsidTr="00A80508">
        <w:trPr>
          <w:trHeight w:val="360"/>
        </w:trPr>
        <w:tc>
          <w:tcPr>
            <w:tcW w:w="0" w:type="auto"/>
            <w:vMerge/>
          </w:tcPr>
          <w:p w14:paraId="6A1F486F" w14:textId="77777777" w:rsidR="00F35A51" w:rsidRPr="00E4265B" w:rsidRDefault="00F35A51" w:rsidP="002E0A24">
            <w:pPr>
              <w:rPr>
                <w:rFonts w:ascii="Arial" w:hAnsi="Arial" w:cs="Arial"/>
                <w:sz w:val="22"/>
                <w:szCs w:val="22"/>
                <w:lang w:val="en-GB"/>
              </w:rPr>
            </w:pPr>
          </w:p>
        </w:tc>
        <w:tc>
          <w:tcPr>
            <w:tcW w:w="0" w:type="auto"/>
            <w:tcBorders>
              <w:right w:val="dotted" w:sz="4" w:space="0" w:color="auto"/>
            </w:tcBorders>
            <w:vAlign w:val="center"/>
          </w:tcPr>
          <w:p w14:paraId="4D2ABE63" w14:textId="5CAD0537"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15 and ≤ 20 y</w:t>
            </w:r>
          </w:p>
        </w:tc>
        <w:tc>
          <w:tcPr>
            <w:tcW w:w="0" w:type="auto"/>
            <w:tcBorders>
              <w:left w:val="dotted" w:sz="4" w:space="0" w:color="auto"/>
            </w:tcBorders>
            <w:vAlign w:val="center"/>
          </w:tcPr>
          <w:p w14:paraId="7BD6C3AA" w14:textId="531C402B"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9.3 and ≤ 10.6 y</w:t>
            </w:r>
          </w:p>
        </w:tc>
        <w:tc>
          <w:tcPr>
            <w:tcW w:w="0" w:type="auto"/>
            <w:tcBorders>
              <w:right w:val="dotted" w:sz="4" w:space="0" w:color="auto"/>
            </w:tcBorders>
          </w:tcPr>
          <w:p w14:paraId="791D3994" w14:textId="425AEBF8"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200</w:t>
            </w:r>
          </w:p>
        </w:tc>
        <w:tc>
          <w:tcPr>
            <w:tcW w:w="0" w:type="auto"/>
            <w:tcBorders>
              <w:left w:val="dotted" w:sz="4" w:space="0" w:color="auto"/>
            </w:tcBorders>
          </w:tcPr>
          <w:p w14:paraId="7136E776" w14:textId="351B5C2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-100</w:t>
            </w:r>
          </w:p>
        </w:tc>
        <w:tc>
          <w:tcPr>
            <w:tcW w:w="1354" w:type="dxa"/>
          </w:tcPr>
          <w:p w14:paraId="625A8E14" w14:textId="7777777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5.25%</w:t>
            </w:r>
          </w:p>
        </w:tc>
        <w:tc>
          <w:tcPr>
            <w:tcW w:w="934" w:type="dxa"/>
            <w:tcBorders>
              <w:right w:val="dotted" w:sz="4" w:space="0" w:color="auto"/>
            </w:tcBorders>
          </w:tcPr>
          <w:p w14:paraId="47098AFA" w14:textId="75AB183C"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10.50</w:t>
            </w:r>
          </w:p>
        </w:tc>
        <w:tc>
          <w:tcPr>
            <w:tcW w:w="735" w:type="dxa"/>
            <w:tcBorders>
              <w:left w:val="dotted" w:sz="4" w:space="0" w:color="auto"/>
            </w:tcBorders>
          </w:tcPr>
          <w:p w14:paraId="5425805F" w14:textId="3FCDAE5B"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5.25</w:t>
            </w:r>
          </w:p>
        </w:tc>
        <w:tc>
          <w:tcPr>
            <w:tcW w:w="0" w:type="auto"/>
            <w:tcBorders>
              <w:right w:val="dotted" w:sz="4" w:space="0" w:color="auto"/>
            </w:tcBorders>
          </w:tcPr>
          <w:p w14:paraId="3DBA9766" w14:textId="50A6BCF0"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5.25</w:t>
            </w:r>
          </w:p>
        </w:tc>
        <w:tc>
          <w:tcPr>
            <w:tcW w:w="0" w:type="auto"/>
            <w:tcBorders>
              <w:left w:val="dotted" w:sz="4" w:space="0" w:color="auto"/>
            </w:tcBorders>
          </w:tcPr>
          <w:p w14:paraId="3A4F0A8F" w14:textId="27AB21E6"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5.25</w:t>
            </w:r>
          </w:p>
        </w:tc>
        <w:tc>
          <w:tcPr>
            <w:tcW w:w="0" w:type="auto"/>
            <w:tcBorders>
              <w:right w:val="dotted" w:sz="4" w:space="0" w:color="auto"/>
            </w:tcBorders>
            <w:shd w:val="clear" w:color="auto" w:fill="F2F2F2" w:themeFill="background1" w:themeFillShade="F2"/>
          </w:tcPr>
          <w:p w14:paraId="0554D603"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22A2DE33" w14:textId="77777777" w:rsidR="00F35A51" w:rsidRPr="00E4265B" w:rsidRDefault="00F35A51" w:rsidP="003D144C">
            <w:pPr>
              <w:jc w:val="right"/>
              <w:rPr>
                <w:rFonts w:ascii="Arial" w:hAnsi="Arial" w:cs="Arial"/>
                <w:sz w:val="22"/>
                <w:szCs w:val="22"/>
                <w:lang w:val="en-GB"/>
              </w:rPr>
            </w:pPr>
          </w:p>
        </w:tc>
        <w:tc>
          <w:tcPr>
            <w:tcW w:w="0" w:type="auto"/>
            <w:tcBorders>
              <w:right w:val="dotted" w:sz="4" w:space="0" w:color="auto"/>
            </w:tcBorders>
            <w:shd w:val="clear" w:color="auto" w:fill="F2F2F2" w:themeFill="background1" w:themeFillShade="F2"/>
          </w:tcPr>
          <w:p w14:paraId="5D330B57"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0A46E705" w14:textId="77777777" w:rsidR="00F35A51" w:rsidRPr="00E4265B" w:rsidRDefault="00F35A51" w:rsidP="003D144C">
            <w:pPr>
              <w:jc w:val="right"/>
              <w:rPr>
                <w:rFonts w:ascii="Arial" w:hAnsi="Arial" w:cs="Arial"/>
                <w:sz w:val="22"/>
                <w:szCs w:val="22"/>
                <w:lang w:val="en-GB"/>
              </w:rPr>
            </w:pPr>
          </w:p>
        </w:tc>
      </w:tr>
      <w:tr w:rsidR="00F35A51" w:rsidRPr="00E4265B" w14:paraId="705D9A88" w14:textId="77777777" w:rsidTr="00A80508">
        <w:trPr>
          <w:trHeight w:val="360"/>
        </w:trPr>
        <w:tc>
          <w:tcPr>
            <w:tcW w:w="0" w:type="auto"/>
            <w:vMerge/>
          </w:tcPr>
          <w:p w14:paraId="307FBDB7" w14:textId="77777777" w:rsidR="00F35A51" w:rsidRPr="00E4265B" w:rsidRDefault="00F35A51" w:rsidP="002E0A24">
            <w:pPr>
              <w:rPr>
                <w:rFonts w:ascii="Arial" w:hAnsi="Arial" w:cs="Arial"/>
                <w:sz w:val="22"/>
                <w:szCs w:val="22"/>
                <w:lang w:val="en-GB"/>
              </w:rPr>
            </w:pPr>
          </w:p>
        </w:tc>
        <w:tc>
          <w:tcPr>
            <w:tcW w:w="0" w:type="auto"/>
            <w:tcBorders>
              <w:right w:val="dotted" w:sz="4" w:space="0" w:color="auto"/>
            </w:tcBorders>
            <w:vAlign w:val="center"/>
          </w:tcPr>
          <w:p w14:paraId="2F9DD432" w14:textId="2E5455A4"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20 y</w:t>
            </w:r>
          </w:p>
        </w:tc>
        <w:tc>
          <w:tcPr>
            <w:tcW w:w="0" w:type="auto"/>
            <w:tcBorders>
              <w:left w:val="dotted" w:sz="4" w:space="0" w:color="auto"/>
            </w:tcBorders>
            <w:vAlign w:val="center"/>
          </w:tcPr>
          <w:p w14:paraId="54E25D47" w14:textId="0F2F6659"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10.6 and ≤ 12.0 y</w:t>
            </w:r>
          </w:p>
        </w:tc>
        <w:tc>
          <w:tcPr>
            <w:tcW w:w="0" w:type="auto"/>
            <w:tcBorders>
              <w:right w:val="dotted" w:sz="4" w:space="0" w:color="auto"/>
            </w:tcBorders>
          </w:tcPr>
          <w:p w14:paraId="0B2141D7" w14:textId="6B403ECE"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300</w:t>
            </w:r>
          </w:p>
        </w:tc>
        <w:tc>
          <w:tcPr>
            <w:tcW w:w="0" w:type="auto"/>
            <w:tcBorders>
              <w:left w:val="dotted" w:sz="4" w:space="0" w:color="auto"/>
            </w:tcBorders>
          </w:tcPr>
          <w:p w14:paraId="15E78ECE" w14:textId="1AB66544"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-300</w:t>
            </w:r>
          </w:p>
        </w:tc>
        <w:tc>
          <w:tcPr>
            <w:tcW w:w="1354" w:type="dxa"/>
          </w:tcPr>
          <w:p w14:paraId="6F5E2310" w14:textId="7777777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6.00%</w:t>
            </w:r>
          </w:p>
        </w:tc>
        <w:tc>
          <w:tcPr>
            <w:tcW w:w="934" w:type="dxa"/>
            <w:tcBorders>
              <w:right w:val="dotted" w:sz="4" w:space="0" w:color="auto"/>
            </w:tcBorders>
          </w:tcPr>
          <w:p w14:paraId="09741FCA" w14:textId="6257A211"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18.00</w:t>
            </w:r>
          </w:p>
        </w:tc>
        <w:tc>
          <w:tcPr>
            <w:tcW w:w="735" w:type="dxa"/>
            <w:tcBorders>
              <w:left w:val="dotted" w:sz="4" w:space="0" w:color="auto"/>
            </w:tcBorders>
          </w:tcPr>
          <w:p w14:paraId="46F44F57" w14:textId="56F14123"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-18.00</w:t>
            </w:r>
          </w:p>
        </w:tc>
        <w:tc>
          <w:tcPr>
            <w:tcW w:w="0" w:type="auto"/>
            <w:tcBorders>
              <w:right w:val="dotted" w:sz="4" w:space="0" w:color="auto"/>
            </w:tcBorders>
          </w:tcPr>
          <w:p w14:paraId="259496F9" w14:textId="005CC930"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18.00</w:t>
            </w:r>
          </w:p>
        </w:tc>
        <w:tc>
          <w:tcPr>
            <w:tcW w:w="0" w:type="auto"/>
            <w:tcBorders>
              <w:left w:val="dotted" w:sz="4" w:space="0" w:color="auto"/>
            </w:tcBorders>
          </w:tcPr>
          <w:p w14:paraId="5070842E" w14:textId="029EF861"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0.00</w:t>
            </w:r>
          </w:p>
        </w:tc>
        <w:tc>
          <w:tcPr>
            <w:tcW w:w="0" w:type="auto"/>
            <w:tcBorders>
              <w:right w:val="dotted" w:sz="4" w:space="0" w:color="auto"/>
            </w:tcBorders>
            <w:shd w:val="clear" w:color="auto" w:fill="F2F2F2" w:themeFill="background1" w:themeFillShade="F2"/>
          </w:tcPr>
          <w:p w14:paraId="078BBB9F"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16A96D40" w14:textId="77777777" w:rsidR="00F35A51" w:rsidRPr="00E4265B" w:rsidRDefault="00F35A51" w:rsidP="003D144C">
            <w:pPr>
              <w:jc w:val="right"/>
              <w:rPr>
                <w:rFonts w:ascii="Arial" w:hAnsi="Arial" w:cs="Arial"/>
                <w:sz w:val="22"/>
                <w:szCs w:val="22"/>
                <w:lang w:val="en-GB"/>
              </w:rPr>
            </w:pPr>
          </w:p>
        </w:tc>
        <w:tc>
          <w:tcPr>
            <w:tcW w:w="0" w:type="auto"/>
            <w:tcBorders>
              <w:right w:val="dotted" w:sz="4" w:space="0" w:color="auto"/>
            </w:tcBorders>
            <w:shd w:val="clear" w:color="auto" w:fill="F2F2F2" w:themeFill="background1" w:themeFillShade="F2"/>
          </w:tcPr>
          <w:p w14:paraId="7CD0E359"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74AEC8E3" w14:textId="77777777" w:rsidR="00F35A51" w:rsidRPr="00E4265B" w:rsidRDefault="00F35A51" w:rsidP="003D144C">
            <w:pPr>
              <w:jc w:val="right"/>
              <w:rPr>
                <w:rFonts w:ascii="Arial" w:hAnsi="Arial" w:cs="Arial"/>
                <w:sz w:val="22"/>
                <w:szCs w:val="22"/>
                <w:lang w:val="en-GB"/>
              </w:rPr>
            </w:pPr>
          </w:p>
        </w:tc>
      </w:tr>
      <w:tr w:rsidR="00F35A51" w:rsidRPr="00E4265B" w14:paraId="2C5D685C" w14:textId="77777777" w:rsidTr="00A80508">
        <w:trPr>
          <w:trHeight w:val="360"/>
        </w:trPr>
        <w:tc>
          <w:tcPr>
            <w:tcW w:w="0" w:type="auto"/>
            <w:vMerge/>
          </w:tcPr>
          <w:p w14:paraId="51FE4D2A" w14:textId="77777777" w:rsidR="00F35A51" w:rsidRPr="00E4265B" w:rsidRDefault="00F35A51" w:rsidP="002E0A24">
            <w:pPr>
              <w:rPr>
                <w:rFonts w:ascii="Arial" w:hAnsi="Arial" w:cs="Arial"/>
                <w:sz w:val="22"/>
                <w:szCs w:val="22"/>
                <w:lang w:val="en-GB"/>
              </w:rPr>
            </w:pPr>
          </w:p>
        </w:tc>
        <w:tc>
          <w:tcPr>
            <w:tcW w:w="0" w:type="auto"/>
            <w:tcBorders>
              <w:right w:val="dotted" w:sz="4" w:space="0" w:color="auto"/>
            </w:tcBorders>
            <w:shd w:val="clear" w:color="auto" w:fill="F2F2F2" w:themeFill="background1" w:themeFillShade="F2"/>
          </w:tcPr>
          <w:p w14:paraId="23E3248B" w14:textId="77777777" w:rsidR="00F35A51" w:rsidRPr="00E4265B" w:rsidRDefault="00F35A51" w:rsidP="002E0A24">
            <w:pPr>
              <w:rPr>
                <w:rFonts w:ascii="Arial" w:hAnsi="Arial" w:cs="Arial"/>
                <w:sz w:val="22"/>
                <w:szCs w:val="22"/>
                <w:lang w:val="en-GB"/>
              </w:rPr>
            </w:pPr>
          </w:p>
        </w:tc>
        <w:tc>
          <w:tcPr>
            <w:tcW w:w="0" w:type="auto"/>
            <w:tcBorders>
              <w:left w:val="dotted" w:sz="4" w:space="0" w:color="auto"/>
            </w:tcBorders>
            <w:vAlign w:val="center"/>
          </w:tcPr>
          <w:p w14:paraId="5BFDABA1" w14:textId="7F0381BC"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12 and ≤ 20 y</w:t>
            </w:r>
          </w:p>
        </w:tc>
        <w:tc>
          <w:tcPr>
            <w:tcW w:w="0" w:type="auto"/>
            <w:tcBorders>
              <w:right w:val="dotted" w:sz="4" w:space="0" w:color="auto"/>
            </w:tcBorders>
          </w:tcPr>
          <w:p w14:paraId="2DAE361A" w14:textId="510C3005"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w:t>
            </w:r>
          </w:p>
        </w:tc>
        <w:tc>
          <w:tcPr>
            <w:tcW w:w="0" w:type="auto"/>
            <w:tcBorders>
              <w:left w:val="dotted" w:sz="4" w:space="0" w:color="auto"/>
            </w:tcBorders>
          </w:tcPr>
          <w:p w14:paraId="0F5E4B88" w14:textId="5B9B0070"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w:t>
            </w:r>
          </w:p>
        </w:tc>
        <w:tc>
          <w:tcPr>
            <w:tcW w:w="1354" w:type="dxa"/>
          </w:tcPr>
          <w:p w14:paraId="2F8449D8" w14:textId="7777777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8.00%</w:t>
            </w:r>
          </w:p>
        </w:tc>
        <w:tc>
          <w:tcPr>
            <w:tcW w:w="934" w:type="dxa"/>
            <w:tcBorders>
              <w:right w:val="dotted" w:sz="4" w:space="0" w:color="auto"/>
            </w:tcBorders>
            <w:shd w:val="clear" w:color="auto" w:fill="F2F2F2" w:themeFill="background1" w:themeFillShade="F2"/>
          </w:tcPr>
          <w:p w14:paraId="0111A81B" w14:textId="77777777" w:rsidR="00F35A51" w:rsidRPr="00E4265B" w:rsidRDefault="00F35A51" w:rsidP="003D144C">
            <w:pPr>
              <w:jc w:val="right"/>
              <w:rPr>
                <w:rFonts w:ascii="Arial" w:hAnsi="Arial" w:cs="Arial"/>
                <w:sz w:val="22"/>
                <w:szCs w:val="22"/>
                <w:lang w:val="en-GB"/>
              </w:rPr>
            </w:pPr>
          </w:p>
        </w:tc>
        <w:tc>
          <w:tcPr>
            <w:tcW w:w="735" w:type="dxa"/>
            <w:tcBorders>
              <w:left w:val="dotted" w:sz="4" w:space="0" w:color="auto"/>
            </w:tcBorders>
            <w:shd w:val="clear" w:color="auto" w:fill="F2F2F2" w:themeFill="background1" w:themeFillShade="F2"/>
          </w:tcPr>
          <w:p w14:paraId="1D6AD5F9" w14:textId="77777777" w:rsidR="00F35A51" w:rsidRPr="00E4265B" w:rsidRDefault="00F35A51" w:rsidP="003D144C">
            <w:pPr>
              <w:jc w:val="right"/>
              <w:rPr>
                <w:rFonts w:ascii="Arial" w:hAnsi="Arial" w:cs="Arial"/>
                <w:sz w:val="22"/>
                <w:szCs w:val="22"/>
                <w:lang w:val="en-GB"/>
              </w:rPr>
            </w:pPr>
          </w:p>
        </w:tc>
        <w:tc>
          <w:tcPr>
            <w:tcW w:w="0" w:type="auto"/>
            <w:tcBorders>
              <w:right w:val="dotted" w:sz="4" w:space="0" w:color="auto"/>
            </w:tcBorders>
            <w:shd w:val="clear" w:color="auto" w:fill="F2F2F2" w:themeFill="background1" w:themeFillShade="F2"/>
          </w:tcPr>
          <w:p w14:paraId="269F73D9"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4E2C0843" w14:textId="77777777" w:rsidR="00F35A51" w:rsidRPr="00E4265B" w:rsidRDefault="00F35A51" w:rsidP="003D144C">
            <w:pPr>
              <w:jc w:val="right"/>
              <w:rPr>
                <w:rFonts w:ascii="Arial" w:hAnsi="Arial" w:cs="Arial"/>
                <w:sz w:val="22"/>
                <w:szCs w:val="22"/>
                <w:lang w:val="en-GB"/>
              </w:rPr>
            </w:pPr>
          </w:p>
        </w:tc>
        <w:tc>
          <w:tcPr>
            <w:tcW w:w="0" w:type="auto"/>
            <w:tcBorders>
              <w:right w:val="dotted" w:sz="4" w:space="0" w:color="auto"/>
            </w:tcBorders>
            <w:shd w:val="clear" w:color="auto" w:fill="F2F2F2" w:themeFill="background1" w:themeFillShade="F2"/>
          </w:tcPr>
          <w:p w14:paraId="0A45CBEC"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32ACC2CD" w14:textId="77777777" w:rsidR="00F35A51" w:rsidRPr="00E4265B" w:rsidRDefault="00F35A51" w:rsidP="003D144C">
            <w:pPr>
              <w:jc w:val="right"/>
              <w:rPr>
                <w:rFonts w:ascii="Arial" w:hAnsi="Arial" w:cs="Arial"/>
                <w:sz w:val="22"/>
                <w:szCs w:val="22"/>
                <w:lang w:val="en-GB"/>
              </w:rPr>
            </w:pPr>
          </w:p>
        </w:tc>
        <w:tc>
          <w:tcPr>
            <w:tcW w:w="0" w:type="auto"/>
            <w:tcBorders>
              <w:right w:val="dotted" w:sz="4" w:space="0" w:color="auto"/>
            </w:tcBorders>
            <w:shd w:val="clear" w:color="auto" w:fill="F2F2F2" w:themeFill="background1" w:themeFillShade="F2"/>
          </w:tcPr>
          <w:p w14:paraId="28B9F071"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tcBorders>
            <w:shd w:val="clear" w:color="auto" w:fill="F2F2F2" w:themeFill="background1" w:themeFillShade="F2"/>
          </w:tcPr>
          <w:p w14:paraId="0049DAD9" w14:textId="77777777" w:rsidR="00F35A51" w:rsidRPr="00E4265B" w:rsidRDefault="00F35A51" w:rsidP="003D144C">
            <w:pPr>
              <w:jc w:val="right"/>
              <w:rPr>
                <w:rFonts w:ascii="Arial" w:hAnsi="Arial" w:cs="Arial"/>
                <w:sz w:val="22"/>
                <w:szCs w:val="22"/>
                <w:lang w:val="en-GB"/>
              </w:rPr>
            </w:pPr>
          </w:p>
        </w:tc>
      </w:tr>
      <w:tr w:rsidR="00F35A51" w:rsidRPr="00E4265B" w14:paraId="75CCBC01" w14:textId="77777777" w:rsidTr="00A80508">
        <w:trPr>
          <w:trHeight w:val="360"/>
        </w:trPr>
        <w:tc>
          <w:tcPr>
            <w:tcW w:w="0" w:type="auto"/>
            <w:vMerge/>
          </w:tcPr>
          <w:p w14:paraId="16796DBD" w14:textId="77777777" w:rsidR="00F35A51" w:rsidRPr="00E4265B" w:rsidRDefault="00F35A51" w:rsidP="002E0A24">
            <w:pPr>
              <w:rPr>
                <w:rFonts w:ascii="Arial" w:hAnsi="Arial" w:cs="Arial"/>
                <w:sz w:val="22"/>
                <w:szCs w:val="22"/>
                <w:lang w:val="en-GB"/>
              </w:rPr>
            </w:pPr>
          </w:p>
        </w:tc>
        <w:tc>
          <w:tcPr>
            <w:tcW w:w="0" w:type="auto"/>
            <w:tcBorders>
              <w:bottom w:val="single" w:sz="4" w:space="0" w:color="auto"/>
              <w:right w:val="dotted" w:sz="4" w:space="0" w:color="auto"/>
            </w:tcBorders>
            <w:shd w:val="clear" w:color="auto" w:fill="F2F2F2" w:themeFill="background1" w:themeFillShade="F2"/>
          </w:tcPr>
          <w:p w14:paraId="4B73A521" w14:textId="77777777" w:rsidR="00F35A51" w:rsidRPr="00E4265B" w:rsidRDefault="00F35A51" w:rsidP="002E0A24">
            <w:pPr>
              <w:rPr>
                <w:rFonts w:ascii="Arial" w:hAnsi="Arial" w:cs="Arial"/>
                <w:sz w:val="22"/>
                <w:szCs w:val="22"/>
                <w:lang w:val="en-GB"/>
              </w:rPr>
            </w:pPr>
          </w:p>
        </w:tc>
        <w:tc>
          <w:tcPr>
            <w:tcW w:w="0" w:type="auto"/>
            <w:tcBorders>
              <w:left w:val="dotted" w:sz="4" w:space="0" w:color="auto"/>
              <w:bottom w:val="single" w:sz="4" w:space="0" w:color="auto"/>
            </w:tcBorders>
            <w:vAlign w:val="center"/>
          </w:tcPr>
          <w:p w14:paraId="2E92C90B" w14:textId="19CF0964" w:rsidR="00F35A51" w:rsidRPr="00E4265B" w:rsidRDefault="00F35A51" w:rsidP="002E0A24">
            <w:pPr>
              <w:rPr>
                <w:rFonts w:ascii="Arial" w:hAnsi="Arial" w:cs="Arial"/>
                <w:sz w:val="22"/>
                <w:szCs w:val="22"/>
                <w:lang w:val="en-GB"/>
              </w:rPr>
            </w:pPr>
            <w:r w:rsidRPr="00E4265B">
              <w:rPr>
                <w:rFonts w:ascii="Arial" w:hAnsi="Arial" w:cs="Arial"/>
                <w:sz w:val="22"/>
                <w:szCs w:val="22"/>
                <w:lang w:val="en-GB"/>
              </w:rPr>
              <w:t>&gt; 20 y</w:t>
            </w:r>
          </w:p>
        </w:tc>
        <w:tc>
          <w:tcPr>
            <w:tcW w:w="0" w:type="auto"/>
            <w:tcBorders>
              <w:bottom w:val="single" w:sz="4" w:space="0" w:color="auto"/>
              <w:right w:val="dotted" w:sz="4" w:space="0" w:color="auto"/>
            </w:tcBorders>
          </w:tcPr>
          <w:p w14:paraId="50376D9B" w14:textId="646CB39C"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w:t>
            </w:r>
          </w:p>
        </w:tc>
        <w:tc>
          <w:tcPr>
            <w:tcW w:w="0" w:type="auto"/>
            <w:tcBorders>
              <w:left w:val="dotted" w:sz="4" w:space="0" w:color="auto"/>
              <w:bottom w:val="single" w:sz="4" w:space="0" w:color="auto"/>
            </w:tcBorders>
          </w:tcPr>
          <w:p w14:paraId="7974BF80" w14:textId="3933493B"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0</w:t>
            </w:r>
          </w:p>
        </w:tc>
        <w:tc>
          <w:tcPr>
            <w:tcW w:w="1354" w:type="dxa"/>
            <w:tcBorders>
              <w:bottom w:val="single" w:sz="4" w:space="0" w:color="auto"/>
            </w:tcBorders>
          </w:tcPr>
          <w:p w14:paraId="0EE39CCC" w14:textId="77777777" w:rsidR="00F35A51" w:rsidRPr="00E4265B" w:rsidRDefault="00F35A51" w:rsidP="003D144C">
            <w:pPr>
              <w:jc w:val="right"/>
              <w:rPr>
                <w:rFonts w:ascii="Arial" w:hAnsi="Arial" w:cs="Arial"/>
                <w:sz w:val="22"/>
                <w:szCs w:val="22"/>
                <w:lang w:val="en-GB"/>
              </w:rPr>
            </w:pPr>
            <w:r w:rsidRPr="00E4265B">
              <w:rPr>
                <w:rFonts w:ascii="Arial" w:hAnsi="Arial" w:cs="Arial"/>
                <w:sz w:val="22"/>
                <w:szCs w:val="22"/>
                <w:lang w:val="en-GB"/>
              </w:rPr>
              <w:t>12.50%</w:t>
            </w:r>
          </w:p>
        </w:tc>
        <w:tc>
          <w:tcPr>
            <w:tcW w:w="934" w:type="dxa"/>
            <w:tcBorders>
              <w:bottom w:val="single" w:sz="4" w:space="0" w:color="auto"/>
              <w:right w:val="dotted" w:sz="4" w:space="0" w:color="auto"/>
            </w:tcBorders>
            <w:shd w:val="clear" w:color="auto" w:fill="F2F2F2" w:themeFill="background1" w:themeFillShade="F2"/>
          </w:tcPr>
          <w:p w14:paraId="4D02E4FF" w14:textId="77777777" w:rsidR="00F35A51" w:rsidRPr="00E4265B" w:rsidRDefault="00F35A51" w:rsidP="003D144C">
            <w:pPr>
              <w:jc w:val="right"/>
              <w:rPr>
                <w:rFonts w:ascii="Arial" w:hAnsi="Arial" w:cs="Arial"/>
                <w:sz w:val="22"/>
                <w:szCs w:val="22"/>
                <w:lang w:val="en-GB"/>
              </w:rPr>
            </w:pPr>
          </w:p>
        </w:tc>
        <w:tc>
          <w:tcPr>
            <w:tcW w:w="735" w:type="dxa"/>
            <w:tcBorders>
              <w:left w:val="dotted" w:sz="4" w:space="0" w:color="auto"/>
              <w:bottom w:val="single" w:sz="4" w:space="0" w:color="auto"/>
            </w:tcBorders>
            <w:shd w:val="clear" w:color="auto" w:fill="F2F2F2" w:themeFill="background1" w:themeFillShade="F2"/>
          </w:tcPr>
          <w:p w14:paraId="0317EEE5" w14:textId="77777777" w:rsidR="00F35A51" w:rsidRPr="00E4265B" w:rsidRDefault="00F35A51" w:rsidP="003D144C">
            <w:pPr>
              <w:jc w:val="right"/>
              <w:rPr>
                <w:rFonts w:ascii="Arial" w:hAnsi="Arial" w:cs="Arial"/>
                <w:sz w:val="22"/>
                <w:szCs w:val="22"/>
                <w:lang w:val="en-GB"/>
              </w:rPr>
            </w:pPr>
          </w:p>
        </w:tc>
        <w:tc>
          <w:tcPr>
            <w:tcW w:w="0" w:type="auto"/>
            <w:tcBorders>
              <w:bottom w:val="single" w:sz="4" w:space="0" w:color="auto"/>
              <w:right w:val="dotted" w:sz="4" w:space="0" w:color="auto"/>
            </w:tcBorders>
            <w:shd w:val="clear" w:color="auto" w:fill="F2F2F2" w:themeFill="background1" w:themeFillShade="F2"/>
          </w:tcPr>
          <w:p w14:paraId="48347C04"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bottom w:val="single" w:sz="4" w:space="0" w:color="auto"/>
            </w:tcBorders>
            <w:shd w:val="clear" w:color="auto" w:fill="F2F2F2" w:themeFill="background1" w:themeFillShade="F2"/>
          </w:tcPr>
          <w:p w14:paraId="20868178" w14:textId="77777777" w:rsidR="00F35A51" w:rsidRPr="00E4265B" w:rsidRDefault="00F35A51" w:rsidP="003D144C">
            <w:pPr>
              <w:jc w:val="right"/>
              <w:rPr>
                <w:rFonts w:ascii="Arial" w:hAnsi="Arial" w:cs="Arial"/>
                <w:sz w:val="22"/>
                <w:szCs w:val="22"/>
                <w:lang w:val="en-GB"/>
              </w:rPr>
            </w:pPr>
          </w:p>
        </w:tc>
        <w:tc>
          <w:tcPr>
            <w:tcW w:w="0" w:type="auto"/>
            <w:tcBorders>
              <w:bottom w:val="single" w:sz="4" w:space="0" w:color="auto"/>
              <w:right w:val="dotted" w:sz="4" w:space="0" w:color="auto"/>
            </w:tcBorders>
            <w:shd w:val="clear" w:color="auto" w:fill="F2F2F2" w:themeFill="background1" w:themeFillShade="F2"/>
          </w:tcPr>
          <w:p w14:paraId="6321A52B"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bottom w:val="single" w:sz="4" w:space="0" w:color="auto"/>
            </w:tcBorders>
            <w:shd w:val="clear" w:color="auto" w:fill="F2F2F2" w:themeFill="background1" w:themeFillShade="F2"/>
          </w:tcPr>
          <w:p w14:paraId="1CCA54E4" w14:textId="77777777" w:rsidR="00F35A51" w:rsidRPr="00E4265B" w:rsidRDefault="00F35A51" w:rsidP="003D144C">
            <w:pPr>
              <w:jc w:val="right"/>
              <w:rPr>
                <w:rFonts w:ascii="Arial" w:hAnsi="Arial" w:cs="Arial"/>
                <w:sz w:val="22"/>
                <w:szCs w:val="22"/>
                <w:lang w:val="en-GB"/>
              </w:rPr>
            </w:pPr>
          </w:p>
        </w:tc>
        <w:tc>
          <w:tcPr>
            <w:tcW w:w="0" w:type="auto"/>
            <w:tcBorders>
              <w:bottom w:val="single" w:sz="4" w:space="0" w:color="auto"/>
              <w:right w:val="dotted" w:sz="4" w:space="0" w:color="auto"/>
            </w:tcBorders>
            <w:shd w:val="clear" w:color="auto" w:fill="F2F2F2" w:themeFill="background1" w:themeFillShade="F2"/>
          </w:tcPr>
          <w:p w14:paraId="19276262" w14:textId="77777777" w:rsidR="00F35A51" w:rsidRPr="00E4265B" w:rsidRDefault="00F35A51" w:rsidP="003D144C">
            <w:pPr>
              <w:jc w:val="right"/>
              <w:rPr>
                <w:rFonts w:ascii="Arial" w:hAnsi="Arial" w:cs="Arial"/>
                <w:sz w:val="22"/>
                <w:szCs w:val="22"/>
                <w:lang w:val="en-GB"/>
              </w:rPr>
            </w:pPr>
          </w:p>
        </w:tc>
        <w:tc>
          <w:tcPr>
            <w:tcW w:w="0" w:type="auto"/>
            <w:tcBorders>
              <w:left w:val="dotted" w:sz="4" w:space="0" w:color="auto"/>
              <w:bottom w:val="single" w:sz="4" w:space="0" w:color="auto"/>
            </w:tcBorders>
            <w:shd w:val="clear" w:color="auto" w:fill="F2F2F2" w:themeFill="background1" w:themeFillShade="F2"/>
          </w:tcPr>
          <w:p w14:paraId="16F5FBE2" w14:textId="77777777" w:rsidR="00F35A51" w:rsidRPr="00E4265B" w:rsidRDefault="00F35A51" w:rsidP="003D144C">
            <w:pPr>
              <w:jc w:val="right"/>
              <w:rPr>
                <w:rFonts w:ascii="Arial" w:hAnsi="Arial" w:cs="Arial"/>
                <w:sz w:val="22"/>
                <w:szCs w:val="22"/>
                <w:lang w:val="en-GB"/>
              </w:rPr>
            </w:pPr>
          </w:p>
        </w:tc>
      </w:tr>
      <w:tr w:rsidR="00F35A51" w:rsidRPr="00E4265B" w14:paraId="7331387B" w14:textId="77777777" w:rsidTr="00A80508">
        <w:trPr>
          <w:trHeight w:val="360"/>
        </w:trPr>
        <w:tc>
          <w:tcPr>
            <w:tcW w:w="0" w:type="auto"/>
            <w:vMerge/>
            <w:tcBorders>
              <w:bottom w:val="single" w:sz="12" w:space="0" w:color="auto"/>
            </w:tcBorders>
          </w:tcPr>
          <w:p w14:paraId="37FDBA8F" w14:textId="77777777" w:rsidR="00F35A51" w:rsidRPr="00E4265B" w:rsidRDefault="00F35A51" w:rsidP="002E0A24">
            <w:pPr>
              <w:rPr>
                <w:rFonts w:ascii="Arial" w:hAnsi="Arial" w:cs="Arial"/>
                <w:sz w:val="22"/>
                <w:szCs w:val="22"/>
                <w:lang w:val="en-GB"/>
              </w:rPr>
            </w:pPr>
          </w:p>
        </w:tc>
        <w:tc>
          <w:tcPr>
            <w:tcW w:w="0" w:type="auto"/>
            <w:tcBorders>
              <w:top w:val="single" w:sz="4" w:space="0" w:color="auto"/>
              <w:bottom w:val="single" w:sz="12" w:space="0" w:color="auto"/>
              <w:right w:val="dotted" w:sz="4" w:space="0" w:color="auto"/>
            </w:tcBorders>
            <w:shd w:val="clear" w:color="auto" w:fill="F2F2F2" w:themeFill="background1" w:themeFillShade="F2"/>
          </w:tcPr>
          <w:p w14:paraId="1BEAC842" w14:textId="77777777" w:rsidR="00F35A51" w:rsidRPr="00E4265B" w:rsidRDefault="00F35A51" w:rsidP="002E0A24">
            <w:pPr>
              <w:rPr>
                <w:rFonts w:ascii="Arial" w:hAnsi="Arial" w:cs="Arial"/>
                <w:sz w:val="22"/>
                <w:szCs w:val="22"/>
                <w:lang w:val="en-GB"/>
              </w:rPr>
            </w:pPr>
          </w:p>
        </w:tc>
        <w:tc>
          <w:tcPr>
            <w:tcW w:w="0" w:type="auto"/>
            <w:tcBorders>
              <w:top w:val="single" w:sz="4" w:space="0" w:color="auto"/>
              <w:left w:val="dotted" w:sz="4" w:space="0" w:color="auto"/>
              <w:bottom w:val="single" w:sz="12" w:space="0" w:color="auto"/>
            </w:tcBorders>
            <w:shd w:val="clear" w:color="auto" w:fill="F2F2F2" w:themeFill="background1" w:themeFillShade="F2"/>
            <w:vAlign w:val="center"/>
          </w:tcPr>
          <w:p w14:paraId="19114A52" w14:textId="77777777" w:rsidR="00F35A51" w:rsidRPr="00E4265B" w:rsidRDefault="00F35A51" w:rsidP="002E0A24">
            <w:pPr>
              <w:rPr>
                <w:rFonts w:ascii="Arial" w:hAnsi="Arial" w:cs="Arial"/>
                <w:sz w:val="22"/>
                <w:szCs w:val="22"/>
                <w:lang w:val="en-GB"/>
              </w:rPr>
            </w:pPr>
          </w:p>
        </w:tc>
        <w:tc>
          <w:tcPr>
            <w:tcW w:w="0" w:type="auto"/>
            <w:tcBorders>
              <w:top w:val="single" w:sz="4" w:space="0" w:color="auto"/>
              <w:bottom w:val="single" w:sz="12" w:space="0" w:color="auto"/>
              <w:right w:val="dotted" w:sz="4" w:space="0" w:color="auto"/>
            </w:tcBorders>
            <w:shd w:val="clear" w:color="auto" w:fill="F2F2F2" w:themeFill="background1" w:themeFillShade="F2"/>
          </w:tcPr>
          <w:p w14:paraId="475CE40F" w14:textId="77777777" w:rsidR="00F35A51" w:rsidRPr="00E4265B" w:rsidRDefault="00F35A51" w:rsidP="003D144C">
            <w:pPr>
              <w:jc w:val="right"/>
              <w:rPr>
                <w:rFonts w:ascii="Arial" w:hAnsi="Arial" w:cs="Arial"/>
                <w:sz w:val="22"/>
                <w:szCs w:val="22"/>
                <w:lang w:val="en-GB"/>
              </w:rPr>
            </w:pPr>
          </w:p>
        </w:tc>
        <w:tc>
          <w:tcPr>
            <w:tcW w:w="0" w:type="auto"/>
            <w:tcBorders>
              <w:top w:val="single" w:sz="4" w:space="0" w:color="auto"/>
              <w:left w:val="dotted" w:sz="4" w:space="0" w:color="auto"/>
              <w:bottom w:val="single" w:sz="12" w:space="0" w:color="auto"/>
            </w:tcBorders>
            <w:shd w:val="clear" w:color="auto" w:fill="F2F2F2" w:themeFill="background1" w:themeFillShade="F2"/>
          </w:tcPr>
          <w:p w14:paraId="51A5FD19" w14:textId="77777777" w:rsidR="00F35A51" w:rsidRPr="00E4265B" w:rsidRDefault="00F35A51" w:rsidP="003D144C">
            <w:pPr>
              <w:jc w:val="right"/>
              <w:rPr>
                <w:rFonts w:ascii="Arial" w:hAnsi="Arial" w:cs="Arial"/>
                <w:sz w:val="22"/>
                <w:szCs w:val="22"/>
                <w:lang w:val="en-GB"/>
              </w:rPr>
            </w:pPr>
          </w:p>
        </w:tc>
        <w:tc>
          <w:tcPr>
            <w:tcW w:w="1354" w:type="dxa"/>
            <w:tcBorders>
              <w:top w:val="single" w:sz="4" w:space="0" w:color="auto"/>
              <w:bottom w:val="single" w:sz="12" w:space="0" w:color="auto"/>
            </w:tcBorders>
            <w:shd w:val="clear" w:color="auto" w:fill="F2F2F2" w:themeFill="background1" w:themeFillShade="F2"/>
          </w:tcPr>
          <w:p w14:paraId="67EB8644" w14:textId="77777777" w:rsidR="00F35A51" w:rsidRPr="00E4265B" w:rsidRDefault="00F35A51" w:rsidP="003D144C">
            <w:pPr>
              <w:jc w:val="right"/>
              <w:rPr>
                <w:rFonts w:ascii="Arial" w:hAnsi="Arial" w:cs="Arial"/>
                <w:sz w:val="22"/>
                <w:szCs w:val="22"/>
                <w:lang w:val="en-GB"/>
              </w:rPr>
            </w:pPr>
          </w:p>
        </w:tc>
        <w:tc>
          <w:tcPr>
            <w:tcW w:w="934" w:type="dxa"/>
            <w:tcBorders>
              <w:top w:val="single" w:sz="4" w:space="0" w:color="auto"/>
              <w:bottom w:val="single" w:sz="12" w:space="0" w:color="auto"/>
              <w:right w:val="dotted" w:sz="4" w:space="0" w:color="auto"/>
            </w:tcBorders>
            <w:shd w:val="clear" w:color="auto" w:fill="F2F2F2" w:themeFill="background1" w:themeFillShade="F2"/>
          </w:tcPr>
          <w:p w14:paraId="518AC4E8" w14:textId="77777777" w:rsidR="00F35A51" w:rsidRPr="00E4265B" w:rsidRDefault="00F35A51" w:rsidP="003D144C">
            <w:pPr>
              <w:jc w:val="right"/>
              <w:rPr>
                <w:rFonts w:ascii="Arial" w:hAnsi="Arial" w:cs="Arial"/>
                <w:sz w:val="22"/>
                <w:szCs w:val="22"/>
                <w:lang w:val="en-GB"/>
              </w:rPr>
            </w:pPr>
          </w:p>
        </w:tc>
        <w:tc>
          <w:tcPr>
            <w:tcW w:w="735" w:type="dxa"/>
            <w:tcBorders>
              <w:top w:val="single" w:sz="4" w:space="0" w:color="auto"/>
              <w:left w:val="dotted" w:sz="4" w:space="0" w:color="auto"/>
              <w:bottom w:val="single" w:sz="12" w:space="0" w:color="auto"/>
            </w:tcBorders>
            <w:shd w:val="clear" w:color="auto" w:fill="F2F2F2" w:themeFill="background1" w:themeFillShade="F2"/>
          </w:tcPr>
          <w:p w14:paraId="53B0C8D4" w14:textId="77777777" w:rsidR="00F35A51" w:rsidRPr="00E4265B" w:rsidRDefault="00F35A51" w:rsidP="003D144C">
            <w:pPr>
              <w:jc w:val="right"/>
              <w:rPr>
                <w:rFonts w:ascii="Arial" w:hAnsi="Arial" w:cs="Arial"/>
                <w:sz w:val="22"/>
                <w:szCs w:val="22"/>
                <w:lang w:val="en-GB"/>
              </w:rPr>
            </w:pPr>
          </w:p>
        </w:tc>
        <w:tc>
          <w:tcPr>
            <w:tcW w:w="0" w:type="auto"/>
            <w:tcBorders>
              <w:top w:val="single" w:sz="4" w:space="0" w:color="auto"/>
              <w:bottom w:val="single" w:sz="12" w:space="0" w:color="auto"/>
              <w:right w:val="dotted" w:sz="4" w:space="0" w:color="auto"/>
            </w:tcBorders>
            <w:shd w:val="clear" w:color="auto" w:fill="F2F2F2" w:themeFill="background1" w:themeFillShade="F2"/>
          </w:tcPr>
          <w:p w14:paraId="401550F8" w14:textId="77777777" w:rsidR="00F35A51" w:rsidRPr="00E4265B" w:rsidRDefault="00F35A51" w:rsidP="003D144C">
            <w:pPr>
              <w:jc w:val="right"/>
              <w:rPr>
                <w:rFonts w:ascii="Arial" w:hAnsi="Arial" w:cs="Arial"/>
                <w:sz w:val="22"/>
                <w:szCs w:val="22"/>
                <w:lang w:val="en-GB"/>
              </w:rPr>
            </w:pPr>
          </w:p>
        </w:tc>
        <w:tc>
          <w:tcPr>
            <w:tcW w:w="0" w:type="auto"/>
            <w:tcBorders>
              <w:top w:val="single" w:sz="4" w:space="0" w:color="auto"/>
              <w:left w:val="dotted" w:sz="4" w:space="0" w:color="auto"/>
              <w:bottom w:val="single" w:sz="12" w:space="0" w:color="auto"/>
            </w:tcBorders>
            <w:shd w:val="clear" w:color="auto" w:fill="F2F2F2" w:themeFill="background1" w:themeFillShade="F2"/>
          </w:tcPr>
          <w:p w14:paraId="0CD01FC6" w14:textId="77777777" w:rsidR="00F35A51" w:rsidRPr="00E4265B" w:rsidRDefault="00F35A51" w:rsidP="003D144C">
            <w:pPr>
              <w:jc w:val="right"/>
              <w:rPr>
                <w:rFonts w:ascii="Arial" w:hAnsi="Arial" w:cs="Arial"/>
                <w:sz w:val="22"/>
                <w:szCs w:val="22"/>
                <w:lang w:val="en-GB"/>
              </w:rPr>
            </w:pPr>
          </w:p>
        </w:tc>
        <w:tc>
          <w:tcPr>
            <w:tcW w:w="0" w:type="auto"/>
            <w:tcBorders>
              <w:top w:val="single" w:sz="4" w:space="0" w:color="auto"/>
              <w:bottom w:val="single" w:sz="12" w:space="0" w:color="auto"/>
              <w:right w:val="dotted" w:sz="4" w:space="0" w:color="auto"/>
            </w:tcBorders>
            <w:shd w:val="clear" w:color="auto" w:fill="F2F2F2" w:themeFill="background1" w:themeFillShade="F2"/>
          </w:tcPr>
          <w:p w14:paraId="275FB510" w14:textId="77777777" w:rsidR="00F35A51" w:rsidRPr="00E4265B" w:rsidRDefault="00F35A51" w:rsidP="003D144C">
            <w:pPr>
              <w:jc w:val="right"/>
              <w:rPr>
                <w:rFonts w:ascii="Arial" w:hAnsi="Arial" w:cs="Arial"/>
                <w:sz w:val="22"/>
                <w:szCs w:val="22"/>
                <w:lang w:val="en-GB"/>
              </w:rPr>
            </w:pPr>
          </w:p>
        </w:tc>
        <w:tc>
          <w:tcPr>
            <w:tcW w:w="0" w:type="auto"/>
            <w:tcBorders>
              <w:top w:val="single" w:sz="4" w:space="0" w:color="auto"/>
              <w:left w:val="dotted" w:sz="4" w:space="0" w:color="auto"/>
              <w:bottom w:val="single" w:sz="12" w:space="0" w:color="auto"/>
            </w:tcBorders>
            <w:shd w:val="clear" w:color="auto" w:fill="F2F2F2" w:themeFill="background1" w:themeFillShade="F2"/>
          </w:tcPr>
          <w:p w14:paraId="1DB20141" w14:textId="77777777" w:rsidR="00F35A51" w:rsidRPr="00E4265B" w:rsidRDefault="00F35A51" w:rsidP="003D144C">
            <w:pPr>
              <w:jc w:val="right"/>
              <w:rPr>
                <w:rFonts w:ascii="Arial" w:hAnsi="Arial" w:cs="Arial"/>
                <w:sz w:val="22"/>
                <w:szCs w:val="22"/>
                <w:lang w:val="en-GB"/>
              </w:rPr>
            </w:pPr>
          </w:p>
        </w:tc>
        <w:tc>
          <w:tcPr>
            <w:tcW w:w="0" w:type="auto"/>
            <w:tcBorders>
              <w:top w:val="single" w:sz="4" w:space="0" w:color="auto"/>
              <w:bottom w:val="single" w:sz="12" w:space="0" w:color="auto"/>
              <w:right w:val="dotted" w:sz="4" w:space="0" w:color="auto"/>
            </w:tcBorders>
            <w:shd w:val="clear" w:color="auto" w:fill="F2F2F2" w:themeFill="background1" w:themeFillShade="F2"/>
          </w:tcPr>
          <w:p w14:paraId="50E6D74E" w14:textId="77777777" w:rsidR="00F35A51" w:rsidRPr="00E4265B" w:rsidRDefault="00F35A51" w:rsidP="003D144C">
            <w:pPr>
              <w:jc w:val="right"/>
              <w:rPr>
                <w:rFonts w:ascii="Arial" w:hAnsi="Arial" w:cs="Arial"/>
                <w:sz w:val="22"/>
                <w:szCs w:val="22"/>
                <w:lang w:val="en-GB"/>
              </w:rPr>
            </w:pPr>
          </w:p>
        </w:tc>
        <w:tc>
          <w:tcPr>
            <w:tcW w:w="0" w:type="auto"/>
            <w:tcBorders>
              <w:top w:val="single" w:sz="4" w:space="0" w:color="auto"/>
              <w:left w:val="dotted" w:sz="4" w:space="0" w:color="auto"/>
              <w:bottom w:val="single" w:sz="12" w:space="0" w:color="auto"/>
            </w:tcBorders>
            <w:shd w:val="clear" w:color="auto" w:fill="F2F2F2" w:themeFill="background1" w:themeFillShade="F2"/>
          </w:tcPr>
          <w:p w14:paraId="42DEAA1F" w14:textId="77777777" w:rsidR="00F35A51" w:rsidRPr="00E4265B" w:rsidRDefault="00F35A51" w:rsidP="003D144C">
            <w:pPr>
              <w:jc w:val="right"/>
              <w:rPr>
                <w:rFonts w:ascii="Arial" w:hAnsi="Arial" w:cs="Arial"/>
                <w:sz w:val="22"/>
                <w:szCs w:val="22"/>
                <w:lang w:val="en-GB"/>
              </w:rPr>
            </w:pPr>
          </w:p>
        </w:tc>
      </w:tr>
      <w:tr w:rsidR="00F35A51" w:rsidRPr="00E4265B" w14:paraId="46537EDA" w14:textId="77777777" w:rsidTr="00A80508">
        <w:trPr>
          <w:trHeight w:val="360"/>
        </w:trPr>
        <w:tc>
          <w:tcPr>
            <w:tcW w:w="0" w:type="auto"/>
            <w:tcBorders>
              <w:top w:val="single" w:sz="12" w:space="0" w:color="auto"/>
            </w:tcBorders>
          </w:tcPr>
          <w:p w14:paraId="4A556753" w14:textId="50866166" w:rsidR="002E0A24" w:rsidRPr="00E4265B" w:rsidRDefault="002E0A24" w:rsidP="002E0A24">
            <w:pPr>
              <w:rPr>
                <w:rFonts w:ascii="Arial" w:hAnsi="Arial" w:cs="Arial"/>
                <w:sz w:val="22"/>
                <w:szCs w:val="22"/>
                <w:lang w:val="en-GB"/>
              </w:rPr>
            </w:pPr>
            <w:r w:rsidRPr="00E4265B">
              <w:rPr>
                <w:rFonts w:ascii="Arial" w:hAnsi="Arial" w:cs="Arial"/>
                <w:sz w:val="22"/>
                <w:szCs w:val="22"/>
                <w:lang w:val="en-GB"/>
              </w:rPr>
              <w:t>Total</w:t>
            </w:r>
          </w:p>
        </w:tc>
        <w:tc>
          <w:tcPr>
            <w:tcW w:w="0" w:type="auto"/>
            <w:tcBorders>
              <w:top w:val="single" w:sz="12" w:space="0" w:color="auto"/>
              <w:right w:val="dotted" w:sz="4" w:space="0" w:color="auto"/>
            </w:tcBorders>
            <w:shd w:val="clear" w:color="auto" w:fill="F2F2F2" w:themeFill="background1" w:themeFillShade="F2"/>
          </w:tcPr>
          <w:p w14:paraId="4969C9D2" w14:textId="77777777" w:rsidR="002E0A24" w:rsidRPr="00E4265B" w:rsidRDefault="002E0A24" w:rsidP="002E0A24">
            <w:pPr>
              <w:rPr>
                <w:rFonts w:ascii="Arial" w:hAnsi="Arial" w:cs="Arial"/>
                <w:sz w:val="22"/>
                <w:szCs w:val="22"/>
                <w:lang w:val="en-GB"/>
              </w:rPr>
            </w:pPr>
          </w:p>
        </w:tc>
        <w:tc>
          <w:tcPr>
            <w:tcW w:w="0" w:type="auto"/>
            <w:tcBorders>
              <w:top w:val="single" w:sz="12" w:space="0" w:color="auto"/>
              <w:left w:val="dotted" w:sz="4" w:space="0" w:color="auto"/>
            </w:tcBorders>
            <w:shd w:val="clear" w:color="auto" w:fill="F2F2F2" w:themeFill="background1" w:themeFillShade="F2"/>
          </w:tcPr>
          <w:p w14:paraId="7A7061FD" w14:textId="77777777" w:rsidR="002E0A24" w:rsidRPr="00E4265B" w:rsidRDefault="002E0A24" w:rsidP="002E0A24">
            <w:pPr>
              <w:rPr>
                <w:rFonts w:ascii="Arial" w:hAnsi="Arial" w:cs="Arial"/>
                <w:sz w:val="22"/>
                <w:szCs w:val="22"/>
                <w:lang w:val="en-GB"/>
              </w:rPr>
            </w:pPr>
          </w:p>
        </w:tc>
        <w:tc>
          <w:tcPr>
            <w:tcW w:w="0" w:type="auto"/>
            <w:tcBorders>
              <w:top w:val="single" w:sz="12" w:space="0" w:color="auto"/>
              <w:right w:val="dotted" w:sz="4" w:space="0" w:color="auto"/>
            </w:tcBorders>
            <w:shd w:val="clear" w:color="auto" w:fill="F2F2F2" w:themeFill="background1" w:themeFillShade="F2"/>
          </w:tcPr>
          <w:p w14:paraId="446C2BE8" w14:textId="77777777" w:rsidR="002E0A24" w:rsidRPr="00E4265B" w:rsidRDefault="002E0A24" w:rsidP="002E0A24">
            <w:pPr>
              <w:jc w:val="right"/>
              <w:rPr>
                <w:rFonts w:ascii="Arial" w:hAnsi="Arial" w:cs="Arial"/>
                <w:sz w:val="22"/>
                <w:szCs w:val="22"/>
                <w:lang w:val="en-GB"/>
              </w:rPr>
            </w:pPr>
          </w:p>
        </w:tc>
        <w:tc>
          <w:tcPr>
            <w:tcW w:w="0" w:type="auto"/>
            <w:tcBorders>
              <w:top w:val="single" w:sz="12" w:space="0" w:color="auto"/>
              <w:left w:val="dotted" w:sz="4" w:space="0" w:color="auto"/>
            </w:tcBorders>
            <w:shd w:val="clear" w:color="auto" w:fill="F2F2F2" w:themeFill="background1" w:themeFillShade="F2"/>
          </w:tcPr>
          <w:p w14:paraId="04DD4D02" w14:textId="77777777" w:rsidR="002E0A24" w:rsidRPr="00E4265B" w:rsidRDefault="002E0A24" w:rsidP="002E0A24">
            <w:pPr>
              <w:jc w:val="right"/>
              <w:rPr>
                <w:rFonts w:ascii="Arial" w:hAnsi="Arial" w:cs="Arial"/>
                <w:sz w:val="22"/>
                <w:szCs w:val="22"/>
                <w:lang w:val="en-GB"/>
              </w:rPr>
            </w:pPr>
          </w:p>
        </w:tc>
        <w:tc>
          <w:tcPr>
            <w:tcW w:w="1354" w:type="dxa"/>
            <w:tcBorders>
              <w:top w:val="single" w:sz="12" w:space="0" w:color="auto"/>
            </w:tcBorders>
            <w:shd w:val="clear" w:color="auto" w:fill="F2F2F2" w:themeFill="background1" w:themeFillShade="F2"/>
          </w:tcPr>
          <w:p w14:paraId="38E00484" w14:textId="77777777" w:rsidR="002E0A24" w:rsidRPr="00E4265B" w:rsidRDefault="002E0A24" w:rsidP="002E0A24">
            <w:pPr>
              <w:jc w:val="right"/>
              <w:rPr>
                <w:rFonts w:ascii="Arial" w:hAnsi="Arial" w:cs="Arial"/>
                <w:sz w:val="22"/>
                <w:szCs w:val="22"/>
                <w:lang w:val="en-GB"/>
              </w:rPr>
            </w:pPr>
          </w:p>
        </w:tc>
        <w:tc>
          <w:tcPr>
            <w:tcW w:w="934" w:type="dxa"/>
            <w:tcBorders>
              <w:top w:val="single" w:sz="12" w:space="0" w:color="auto"/>
              <w:right w:val="dotted" w:sz="4" w:space="0" w:color="auto"/>
            </w:tcBorders>
            <w:shd w:val="clear" w:color="auto" w:fill="F2F2F2" w:themeFill="background1" w:themeFillShade="F2"/>
          </w:tcPr>
          <w:p w14:paraId="051A1E0A" w14:textId="77777777" w:rsidR="002E0A24" w:rsidRPr="00E4265B" w:rsidRDefault="002E0A24" w:rsidP="002E0A24">
            <w:pPr>
              <w:jc w:val="right"/>
              <w:rPr>
                <w:rFonts w:ascii="Arial" w:hAnsi="Arial" w:cs="Arial"/>
                <w:sz w:val="22"/>
                <w:szCs w:val="22"/>
                <w:lang w:val="en-GB"/>
              </w:rPr>
            </w:pPr>
          </w:p>
        </w:tc>
        <w:tc>
          <w:tcPr>
            <w:tcW w:w="735" w:type="dxa"/>
            <w:tcBorders>
              <w:top w:val="single" w:sz="12" w:space="0" w:color="auto"/>
              <w:left w:val="dotted" w:sz="4" w:space="0" w:color="auto"/>
            </w:tcBorders>
            <w:shd w:val="clear" w:color="auto" w:fill="F2F2F2" w:themeFill="background1" w:themeFillShade="F2"/>
          </w:tcPr>
          <w:p w14:paraId="55FF1031" w14:textId="77777777" w:rsidR="002E0A24" w:rsidRPr="00E4265B" w:rsidRDefault="002E0A24" w:rsidP="002E0A24">
            <w:pPr>
              <w:jc w:val="right"/>
              <w:rPr>
                <w:rFonts w:ascii="Arial" w:hAnsi="Arial" w:cs="Arial"/>
                <w:sz w:val="22"/>
                <w:szCs w:val="22"/>
                <w:lang w:val="en-GB"/>
              </w:rPr>
            </w:pPr>
          </w:p>
        </w:tc>
        <w:tc>
          <w:tcPr>
            <w:tcW w:w="0" w:type="auto"/>
            <w:tcBorders>
              <w:top w:val="single" w:sz="12" w:space="0" w:color="auto"/>
              <w:right w:val="dotted" w:sz="4" w:space="0" w:color="auto"/>
            </w:tcBorders>
          </w:tcPr>
          <w:p w14:paraId="351D083C" w14:textId="27AB4EB9" w:rsidR="002E0A24" w:rsidRPr="00E4265B" w:rsidRDefault="002E0A24" w:rsidP="002E0A24">
            <w:pPr>
              <w:jc w:val="right"/>
              <w:rPr>
                <w:rFonts w:ascii="Arial" w:hAnsi="Arial" w:cs="Arial"/>
                <w:sz w:val="22"/>
                <w:szCs w:val="22"/>
                <w:lang w:val="en-GB"/>
              </w:rPr>
            </w:pPr>
            <w:r w:rsidRPr="00E4265B">
              <w:rPr>
                <w:rFonts w:ascii="Arial" w:hAnsi="Arial" w:cs="Arial"/>
                <w:sz w:val="22"/>
                <w:szCs w:val="22"/>
                <w:lang w:val="en-GB"/>
              </w:rPr>
              <w:t>55.35</w:t>
            </w:r>
          </w:p>
        </w:tc>
        <w:tc>
          <w:tcPr>
            <w:tcW w:w="0" w:type="auto"/>
            <w:tcBorders>
              <w:top w:val="single" w:sz="12" w:space="0" w:color="auto"/>
              <w:left w:val="dotted" w:sz="4" w:space="0" w:color="auto"/>
            </w:tcBorders>
            <w:shd w:val="clear" w:color="auto" w:fill="F2F2F2" w:themeFill="background1" w:themeFillShade="F2"/>
          </w:tcPr>
          <w:p w14:paraId="35D1B6DF" w14:textId="77777777" w:rsidR="002E0A24" w:rsidRPr="00E4265B" w:rsidRDefault="002E0A24" w:rsidP="002E0A24">
            <w:pPr>
              <w:jc w:val="right"/>
              <w:rPr>
                <w:rFonts w:ascii="Arial" w:hAnsi="Arial" w:cs="Arial"/>
                <w:sz w:val="22"/>
                <w:szCs w:val="22"/>
                <w:lang w:val="en-GB"/>
              </w:rPr>
            </w:pPr>
          </w:p>
        </w:tc>
        <w:tc>
          <w:tcPr>
            <w:tcW w:w="0" w:type="auto"/>
            <w:tcBorders>
              <w:top w:val="single" w:sz="12" w:space="0" w:color="auto"/>
              <w:right w:val="dotted" w:sz="4" w:space="0" w:color="auto"/>
            </w:tcBorders>
            <w:shd w:val="clear" w:color="auto" w:fill="F2F2F2" w:themeFill="background1" w:themeFillShade="F2"/>
          </w:tcPr>
          <w:p w14:paraId="49615104" w14:textId="77777777" w:rsidR="002E0A24" w:rsidRPr="00E4265B" w:rsidRDefault="002E0A24" w:rsidP="002E0A24">
            <w:pPr>
              <w:jc w:val="right"/>
              <w:rPr>
                <w:rFonts w:ascii="Arial" w:hAnsi="Arial" w:cs="Arial"/>
                <w:sz w:val="22"/>
                <w:szCs w:val="22"/>
                <w:lang w:val="en-GB"/>
              </w:rPr>
            </w:pPr>
          </w:p>
        </w:tc>
        <w:tc>
          <w:tcPr>
            <w:tcW w:w="0" w:type="auto"/>
            <w:tcBorders>
              <w:top w:val="single" w:sz="12" w:space="0" w:color="auto"/>
              <w:left w:val="dotted" w:sz="4" w:space="0" w:color="auto"/>
            </w:tcBorders>
          </w:tcPr>
          <w:p w14:paraId="356DF5A6" w14:textId="71F7DADF" w:rsidR="002E0A24" w:rsidRPr="00E4265B" w:rsidRDefault="002E0A24" w:rsidP="002E0A24">
            <w:pPr>
              <w:jc w:val="right"/>
              <w:rPr>
                <w:rFonts w:ascii="Arial" w:hAnsi="Arial" w:cs="Arial"/>
                <w:sz w:val="22"/>
                <w:szCs w:val="22"/>
                <w:lang w:val="en-GB"/>
              </w:rPr>
            </w:pPr>
            <w:r w:rsidRPr="00E4265B">
              <w:rPr>
                <w:rFonts w:ascii="Arial" w:hAnsi="Arial" w:cs="Arial"/>
                <w:sz w:val="22"/>
                <w:szCs w:val="22"/>
                <w:lang w:val="en-GB"/>
              </w:rPr>
              <w:t>4.30</w:t>
            </w:r>
          </w:p>
        </w:tc>
        <w:tc>
          <w:tcPr>
            <w:tcW w:w="0" w:type="auto"/>
            <w:tcBorders>
              <w:top w:val="single" w:sz="12" w:space="0" w:color="auto"/>
              <w:right w:val="dotted" w:sz="4" w:space="0" w:color="auto"/>
            </w:tcBorders>
            <w:shd w:val="clear" w:color="auto" w:fill="F2F2F2" w:themeFill="background1" w:themeFillShade="F2"/>
          </w:tcPr>
          <w:p w14:paraId="5675AA0F" w14:textId="77777777" w:rsidR="002E0A24" w:rsidRPr="00E4265B" w:rsidRDefault="002E0A24" w:rsidP="002E0A24">
            <w:pPr>
              <w:jc w:val="right"/>
              <w:rPr>
                <w:rFonts w:ascii="Arial" w:hAnsi="Arial" w:cs="Arial"/>
                <w:sz w:val="22"/>
                <w:szCs w:val="22"/>
                <w:lang w:val="en-GB"/>
              </w:rPr>
            </w:pPr>
          </w:p>
        </w:tc>
        <w:tc>
          <w:tcPr>
            <w:tcW w:w="0" w:type="auto"/>
            <w:tcBorders>
              <w:top w:val="single" w:sz="12" w:space="0" w:color="auto"/>
              <w:left w:val="dotted" w:sz="4" w:space="0" w:color="auto"/>
            </w:tcBorders>
            <w:shd w:val="clear" w:color="auto" w:fill="F2F2F2" w:themeFill="background1" w:themeFillShade="F2"/>
          </w:tcPr>
          <w:p w14:paraId="7B09E999" w14:textId="77777777" w:rsidR="002E0A24" w:rsidRPr="00E4265B" w:rsidRDefault="002E0A24" w:rsidP="002E0A24">
            <w:pPr>
              <w:jc w:val="right"/>
              <w:rPr>
                <w:rFonts w:ascii="Arial" w:hAnsi="Arial" w:cs="Arial"/>
                <w:sz w:val="22"/>
                <w:szCs w:val="22"/>
                <w:lang w:val="en-GB"/>
              </w:rPr>
            </w:pPr>
          </w:p>
        </w:tc>
      </w:tr>
    </w:tbl>
    <w:p w14:paraId="3D58155D" w14:textId="77777777" w:rsidR="00BF4086" w:rsidRPr="00E4265B" w:rsidRDefault="00BF4086" w:rsidP="002E0A24">
      <w:pPr>
        <w:pStyle w:val="UK12Block05"/>
        <w:spacing w:after="0"/>
        <w:ind w:left="432"/>
        <w:rPr>
          <w:rFonts w:ascii="Arial" w:hAnsi="Arial" w:cs="Arial"/>
          <w:sz w:val="22"/>
          <w:szCs w:val="22"/>
        </w:rPr>
      </w:pPr>
    </w:p>
    <w:p w14:paraId="65C39A37" w14:textId="77777777" w:rsidR="00844ADC" w:rsidRPr="00E4265B" w:rsidRDefault="00844ADC" w:rsidP="00F35A51">
      <w:pPr>
        <w:pStyle w:val="UK12Block05"/>
        <w:ind w:left="-90"/>
        <w:rPr>
          <w:rFonts w:ascii="Arial" w:hAnsi="Arial" w:cs="Arial"/>
          <w:sz w:val="22"/>
          <w:szCs w:val="22"/>
          <w:lang w:val="en-GB"/>
        </w:rPr>
      </w:pPr>
      <w:r w:rsidRPr="00E4265B">
        <w:rPr>
          <w:rFonts w:ascii="Arial" w:hAnsi="Arial" w:cs="Arial"/>
          <w:sz w:val="22"/>
          <w:szCs w:val="22"/>
          <w:lang w:val="en-GB"/>
        </w:rPr>
        <w:t>Total General Market Risk requirement = 10% ($55.35) + 40% ($0.00) + 30% ($0.00 + $4.50) + 40% ($1.30 + $3.95) + 100% ($4.30) + 100% ($0.00) = $13.29</w:t>
      </w:r>
    </w:p>
    <w:p w14:paraId="6922357B" w14:textId="77777777" w:rsidR="00E22FF2" w:rsidRPr="00E4265B" w:rsidRDefault="00E22FF2" w:rsidP="00F35A51">
      <w:pPr>
        <w:ind w:left="-90"/>
        <w:rPr>
          <w:rFonts w:ascii="Arial" w:hAnsi="Arial" w:cs="Arial"/>
          <w:sz w:val="22"/>
          <w:szCs w:val="22"/>
          <w:lang w:val="en-GB"/>
        </w:rPr>
        <w:sectPr w:rsidR="00E22FF2" w:rsidRPr="00E4265B" w:rsidSect="00423209">
          <w:headerReference w:type="default" r:id="rId23"/>
          <w:footerReference w:type="default" r:id="rId24"/>
          <w:pgSz w:w="16839" w:h="11907" w:orient="landscape" w:code="9"/>
          <w:pgMar w:top="1890" w:right="1440" w:bottom="1080" w:left="1350" w:header="720" w:footer="720" w:gutter="0"/>
          <w:cols w:space="720"/>
          <w:docGrid w:linePitch="360"/>
        </w:sectPr>
      </w:pPr>
    </w:p>
    <w:p w14:paraId="7283C757" w14:textId="77777777" w:rsidR="00E22FF2" w:rsidRPr="00E4265B" w:rsidRDefault="00E22FF2" w:rsidP="00520DD3">
      <w:pPr>
        <w:pStyle w:val="1List"/>
        <w:rPr>
          <w:rFonts w:ascii="Arial" w:hAnsi="Arial" w:cs="Arial"/>
          <w:sz w:val="22"/>
          <w:szCs w:val="22"/>
          <w:lang w:val="en-GB"/>
        </w:rPr>
      </w:pPr>
      <w:r w:rsidRPr="00E4265B">
        <w:rPr>
          <w:rFonts w:ascii="Arial" w:hAnsi="Arial" w:cs="Arial"/>
          <w:b/>
          <w:bCs/>
          <w:sz w:val="22"/>
          <w:szCs w:val="22"/>
          <w:lang w:val="en-GB"/>
        </w:rPr>
        <w:lastRenderedPageBreak/>
        <w:t>Duration Method</w:t>
      </w:r>
    </w:p>
    <w:p w14:paraId="448347B2" w14:textId="77777777" w:rsidR="00E22FF2" w:rsidRPr="00E4265B" w:rsidRDefault="00BE780C" w:rsidP="00B40809">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.2.19</w:t>
      </w:r>
      <w:r w:rsidR="00E22FF2" w:rsidRPr="00E4265B">
        <w:rPr>
          <w:rFonts w:ascii="Arial" w:hAnsi="Arial" w:cs="Arial"/>
          <w:b/>
          <w:bCs/>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with the necessary capability may, with the written consent of the Regulator, use the Duration Method, which produces a more accurate measure for General Market Risk than the Maturity Method.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elect and use the Duration Method on a continuous basis and will be subject to supervisory monitoring of the systems used.</w:t>
      </w:r>
    </w:p>
    <w:p w14:paraId="7B625180"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BE780C" w:rsidRPr="00E4265B">
        <w:rPr>
          <w:rFonts w:ascii="Arial" w:hAnsi="Arial" w:cs="Arial"/>
          <w:b/>
          <w:bCs/>
          <w:sz w:val="22"/>
          <w:szCs w:val="22"/>
          <w:lang w:val="en-GB"/>
        </w:rPr>
        <w:t>6</w:t>
      </w:r>
      <w:r w:rsidRPr="00E4265B">
        <w:rPr>
          <w:rFonts w:ascii="Arial" w:hAnsi="Arial" w:cs="Arial"/>
          <w:b/>
          <w:bCs/>
          <w:sz w:val="22"/>
          <w:szCs w:val="22"/>
          <w:lang w:val="en-GB"/>
        </w:rPr>
        <w:t>.2.20</w:t>
      </w:r>
      <w:r w:rsidRPr="00E4265B">
        <w:rPr>
          <w:rFonts w:ascii="Arial" w:hAnsi="Arial" w:cs="Arial"/>
          <w:b/>
          <w:bCs/>
          <w:sz w:val="22"/>
          <w:szCs w:val="22"/>
          <w:lang w:val="en-GB"/>
        </w:rPr>
        <w:tab/>
      </w:r>
      <w:r w:rsidRPr="00E4265B">
        <w:rPr>
          <w:rFonts w:ascii="Arial" w:hAnsi="Arial" w:cs="Arial"/>
          <w:sz w:val="22"/>
          <w:szCs w:val="22"/>
          <w:lang w:val="en-GB"/>
        </w:rPr>
        <w:t>Under the Duration Method, the following steps must be carried out:</w:t>
      </w:r>
    </w:p>
    <w:p w14:paraId="05DD938A"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duration weighted position for each instrument must be calculated by multiplying the market value of each individual long or short net position by the Modified Duration in years and the assumed interest rate change in the table below;</w:t>
      </w:r>
    </w:p>
    <w:p w14:paraId="2071C850"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sum of the weighted long and the sum of the weighted short positions in each time band must be calculated;</w:t>
      </w:r>
    </w:p>
    <w:p w14:paraId="481E5AD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these weighted long and short positions must be matched within a maturity band to give the total matched weighted position in the maturity band and the total unmatched weighted position which will be long or short in the maturity band;</w:t>
      </w:r>
    </w:p>
    <w:p w14:paraId="4F9093C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the matched weighted positions in all maturity bands must be summed;</w:t>
      </w:r>
    </w:p>
    <w:p w14:paraId="7882C5D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the unmatched weighted positions in all the maturity bands must then be matched within a zone leaving an unmatched position for the zone (which will either be short or long); and</w:t>
      </w:r>
    </w:p>
    <w:p w14:paraId="4BEC7C9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the unmatched positions in each zone must be matched with the unmatched positions in other zones leaving the residual unmatched weighted position.</w:t>
      </w:r>
    </w:p>
    <w:tbl>
      <w:tblPr>
        <w:tblStyle w:val="TableGrid"/>
        <w:tblW w:w="0" w:type="auto"/>
        <w:tblInd w:w="1908" w:type="dxa"/>
        <w:tblLook w:val="04A0" w:firstRow="1" w:lastRow="0" w:firstColumn="1" w:lastColumn="0" w:noHBand="0" w:noVBand="1"/>
      </w:tblPr>
      <w:tblGrid>
        <w:gridCol w:w="977"/>
        <w:gridCol w:w="2872"/>
        <w:gridCol w:w="3260"/>
      </w:tblGrid>
      <w:tr w:rsidR="00E22FF2" w:rsidRPr="00E4265B" w14:paraId="1AF2478C" w14:textId="77777777" w:rsidTr="00324D13">
        <w:trPr>
          <w:tblHeader/>
        </w:trPr>
        <w:tc>
          <w:tcPr>
            <w:tcW w:w="990" w:type="dxa"/>
            <w:shd w:val="pct20" w:color="auto" w:fill="auto"/>
            <w:vAlign w:val="center"/>
          </w:tcPr>
          <w:p w14:paraId="4A7431E0" w14:textId="77777777" w:rsidR="00E22FF2" w:rsidRPr="00E4265B" w:rsidRDefault="00E22FF2" w:rsidP="00324D13">
            <w:pPr>
              <w:spacing w:line="360" w:lineRule="auto"/>
              <w:jc w:val="center"/>
              <w:rPr>
                <w:rFonts w:ascii="Arial" w:hAnsi="Arial" w:cs="Arial"/>
                <w:b/>
                <w:sz w:val="22"/>
                <w:szCs w:val="22"/>
                <w:lang w:val="en-GB"/>
              </w:rPr>
            </w:pPr>
            <w:r w:rsidRPr="00E4265B">
              <w:rPr>
                <w:rFonts w:ascii="Arial" w:hAnsi="Arial" w:cs="Arial"/>
                <w:b/>
                <w:sz w:val="22"/>
                <w:szCs w:val="22"/>
                <w:lang w:val="en-GB"/>
              </w:rPr>
              <w:t>Zone</w:t>
            </w:r>
          </w:p>
        </w:tc>
        <w:tc>
          <w:tcPr>
            <w:tcW w:w="2970" w:type="dxa"/>
            <w:shd w:val="pct20" w:color="auto" w:fill="auto"/>
            <w:vAlign w:val="center"/>
          </w:tcPr>
          <w:p w14:paraId="66AA3EBB" w14:textId="77777777" w:rsidR="00E22FF2" w:rsidRPr="00E4265B" w:rsidRDefault="00E22FF2" w:rsidP="00324D13">
            <w:pPr>
              <w:spacing w:line="360" w:lineRule="auto"/>
              <w:jc w:val="center"/>
              <w:rPr>
                <w:rFonts w:ascii="Arial" w:hAnsi="Arial" w:cs="Arial"/>
                <w:b/>
                <w:sz w:val="22"/>
                <w:szCs w:val="22"/>
                <w:lang w:val="en-GB"/>
              </w:rPr>
            </w:pPr>
            <w:r w:rsidRPr="00E4265B">
              <w:rPr>
                <w:rFonts w:ascii="Arial" w:hAnsi="Arial" w:cs="Arial"/>
                <w:b/>
                <w:sz w:val="22"/>
                <w:szCs w:val="22"/>
                <w:lang w:val="en-GB"/>
              </w:rPr>
              <w:t>Modified Duration</w:t>
            </w:r>
          </w:p>
        </w:tc>
        <w:tc>
          <w:tcPr>
            <w:tcW w:w="3375" w:type="dxa"/>
            <w:shd w:val="pct20" w:color="auto" w:fill="auto"/>
            <w:vAlign w:val="center"/>
          </w:tcPr>
          <w:p w14:paraId="2C357C67" w14:textId="10D202FD" w:rsidR="00E22FF2" w:rsidRPr="00E4265B" w:rsidRDefault="00324D13" w:rsidP="00324D13">
            <w:pPr>
              <w:spacing w:line="360" w:lineRule="auto"/>
              <w:jc w:val="center"/>
              <w:rPr>
                <w:rFonts w:ascii="Arial" w:hAnsi="Arial" w:cs="Arial"/>
                <w:b/>
                <w:sz w:val="22"/>
                <w:szCs w:val="22"/>
                <w:lang w:val="en-GB"/>
              </w:rPr>
            </w:pPr>
            <w:r w:rsidRPr="00E4265B">
              <w:rPr>
                <w:rFonts w:ascii="Arial" w:hAnsi="Arial" w:cs="Arial"/>
                <w:b/>
                <w:sz w:val="22"/>
                <w:szCs w:val="22"/>
                <w:lang w:val="en-GB"/>
              </w:rPr>
              <w:t>Assumed move in interest rates</w:t>
            </w:r>
          </w:p>
        </w:tc>
      </w:tr>
      <w:tr w:rsidR="00E22FF2" w:rsidRPr="00E4265B" w14:paraId="5CBF8321" w14:textId="77777777" w:rsidTr="00324D13">
        <w:tc>
          <w:tcPr>
            <w:tcW w:w="990" w:type="dxa"/>
            <w:vMerge w:val="restart"/>
            <w:vAlign w:val="center"/>
          </w:tcPr>
          <w:p w14:paraId="5BAF8E50" w14:textId="719AD02C" w:rsidR="00E22FF2" w:rsidRPr="00E4265B" w:rsidRDefault="00881EF1" w:rsidP="00324D13">
            <w:pPr>
              <w:spacing w:line="360" w:lineRule="auto"/>
              <w:jc w:val="center"/>
              <w:rPr>
                <w:rFonts w:ascii="Arial" w:hAnsi="Arial" w:cs="Arial"/>
                <w:sz w:val="22"/>
                <w:szCs w:val="22"/>
                <w:lang w:val="en-GB"/>
              </w:rPr>
            </w:pPr>
            <w:r w:rsidRPr="00E4265B">
              <w:rPr>
                <w:rFonts w:ascii="Arial" w:hAnsi="Arial" w:cs="Arial"/>
                <w:sz w:val="22"/>
                <w:szCs w:val="22"/>
                <w:lang w:val="en-GB"/>
              </w:rPr>
              <w:t>A</w:t>
            </w:r>
          </w:p>
        </w:tc>
        <w:tc>
          <w:tcPr>
            <w:tcW w:w="2970" w:type="dxa"/>
          </w:tcPr>
          <w:p w14:paraId="78F385B3" w14:textId="252E99FD" w:rsidR="00E22FF2" w:rsidRPr="00E4265B" w:rsidRDefault="00324D13" w:rsidP="00324D13">
            <w:pPr>
              <w:spacing w:line="360" w:lineRule="auto"/>
              <w:rPr>
                <w:rFonts w:ascii="Arial" w:hAnsi="Arial" w:cs="Arial"/>
                <w:sz w:val="22"/>
                <w:szCs w:val="22"/>
                <w:lang w:val="en-GB"/>
              </w:rPr>
            </w:pPr>
            <w:r w:rsidRPr="00E4265B">
              <w:rPr>
                <w:rFonts w:ascii="Arial" w:hAnsi="Arial" w:cs="Arial"/>
                <w:sz w:val="22"/>
                <w:szCs w:val="22"/>
                <w:lang w:val="en-GB"/>
              </w:rPr>
              <w:t>≤</w:t>
            </w:r>
            <w:r w:rsidR="00E22FF2" w:rsidRPr="00E4265B">
              <w:rPr>
                <w:rFonts w:ascii="Arial" w:hAnsi="Arial" w:cs="Arial"/>
                <w:sz w:val="22"/>
                <w:szCs w:val="22"/>
                <w:lang w:val="en-GB"/>
              </w:rPr>
              <w:t xml:space="preserve"> 1 month</w:t>
            </w:r>
          </w:p>
        </w:tc>
        <w:tc>
          <w:tcPr>
            <w:tcW w:w="3375" w:type="dxa"/>
          </w:tcPr>
          <w:p w14:paraId="315D20C9" w14:textId="63C96805" w:rsidR="00E22FF2" w:rsidRPr="00E4265B" w:rsidRDefault="00E22FF2" w:rsidP="00324D13">
            <w:pPr>
              <w:spacing w:line="360" w:lineRule="auto"/>
              <w:ind w:right="297"/>
              <w:jc w:val="right"/>
              <w:rPr>
                <w:rFonts w:ascii="Arial" w:hAnsi="Arial" w:cs="Arial"/>
                <w:sz w:val="22"/>
                <w:szCs w:val="22"/>
                <w:lang w:val="en-GB"/>
              </w:rPr>
            </w:pPr>
            <w:r w:rsidRPr="00E4265B">
              <w:rPr>
                <w:rFonts w:ascii="Arial" w:hAnsi="Arial" w:cs="Arial"/>
                <w:sz w:val="22"/>
                <w:szCs w:val="22"/>
                <w:lang w:val="en-GB"/>
              </w:rPr>
              <w:t>1.00</w:t>
            </w:r>
            <w:r w:rsidR="00324D13" w:rsidRPr="00E4265B">
              <w:rPr>
                <w:rFonts w:ascii="Arial" w:hAnsi="Arial" w:cs="Arial"/>
                <w:sz w:val="22"/>
                <w:szCs w:val="22"/>
                <w:lang w:val="en-GB"/>
              </w:rPr>
              <w:t>%</w:t>
            </w:r>
          </w:p>
        </w:tc>
      </w:tr>
      <w:tr w:rsidR="00E22FF2" w:rsidRPr="00E4265B" w14:paraId="168CA54D" w14:textId="77777777" w:rsidTr="00324D13">
        <w:tc>
          <w:tcPr>
            <w:tcW w:w="990" w:type="dxa"/>
            <w:vMerge/>
            <w:vAlign w:val="center"/>
          </w:tcPr>
          <w:p w14:paraId="3A166719" w14:textId="77777777" w:rsidR="00E22FF2" w:rsidRPr="00E4265B" w:rsidRDefault="00E22FF2" w:rsidP="00324D13">
            <w:pPr>
              <w:spacing w:line="360" w:lineRule="auto"/>
              <w:jc w:val="center"/>
              <w:rPr>
                <w:rFonts w:ascii="Arial" w:hAnsi="Arial" w:cs="Arial"/>
                <w:sz w:val="22"/>
                <w:szCs w:val="22"/>
                <w:lang w:val="en-GB"/>
              </w:rPr>
            </w:pPr>
          </w:p>
        </w:tc>
        <w:tc>
          <w:tcPr>
            <w:tcW w:w="2970" w:type="dxa"/>
          </w:tcPr>
          <w:p w14:paraId="087E0952" w14:textId="59C5E400" w:rsidR="00E22FF2" w:rsidRPr="00E4265B" w:rsidRDefault="00E22FF2" w:rsidP="00324D13">
            <w:pPr>
              <w:spacing w:line="360" w:lineRule="auto"/>
              <w:rPr>
                <w:rFonts w:ascii="Arial" w:hAnsi="Arial" w:cs="Arial"/>
                <w:sz w:val="22"/>
                <w:szCs w:val="22"/>
                <w:lang w:val="en-GB"/>
              </w:rPr>
            </w:pPr>
            <w:r w:rsidRPr="00E4265B">
              <w:rPr>
                <w:rFonts w:ascii="Arial" w:hAnsi="Arial" w:cs="Arial"/>
                <w:sz w:val="22"/>
                <w:szCs w:val="22"/>
                <w:lang w:val="en-GB"/>
              </w:rPr>
              <w:t xml:space="preserve">&gt; 1 </w:t>
            </w:r>
            <w:r w:rsidR="00324D13" w:rsidRPr="00E4265B">
              <w:rPr>
                <w:rFonts w:ascii="Arial" w:hAnsi="Arial" w:cs="Arial"/>
                <w:sz w:val="22"/>
                <w:szCs w:val="22"/>
                <w:lang w:val="en-GB"/>
              </w:rPr>
              <w:t>and ≤</w:t>
            </w:r>
            <w:r w:rsidRPr="00E4265B">
              <w:rPr>
                <w:rFonts w:ascii="Arial" w:hAnsi="Arial" w:cs="Arial"/>
                <w:sz w:val="22"/>
                <w:szCs w:val="22"/>
                <w:lang w:val="en-GB"/>
              </w:rPr>
              <w:t xml:space="preserve"> 3 months</w:t>
            </w:r>
          </w:p>
        </w:tc>
        <w:tc>
          <w:tcPr>
            <w:tcW w:w="3375" w:type="dxa"/>
          </w:tcPr>
          <w:p w14:paraId="66383D18" w14:textId="6BE694E2" w:rsidR="00E22FF2" w:rsidRPr="00E4265B" w:rsidRDefault="00E22FF2" w:rsidP="00324D13">
            <w:pPr>
              <w:spacing w:line="360" w:lineRule="auto"/>
              <w:ind w:right="297"/>
              <w:jc w:val="right"/>
              <w:rPr>
                <w:rFonts w:ascii="Arial" w:hAnsi="Arial" w:cs="Arial"/>
                <w:sz w:val="22"/>
                <w:szCs w:val="22"/>
                <w:lang w:val="en-GB"/>
              </w:rPr>
            </w:pPr>
            <w:r w:rsidRPr="00E4265B">
              <w:rPr>
                <w:rFonts w:ascii="Arial" w:hAnsi="Arial" w:cs="Arial"/>
                <w:sz w:val="22"/>
                <w:szCs w:val="22"/>
                <w:lang w:val="en-GB"/>
              </w:rPr>
              <w:t>1.00</w:t>
            </w:r>
            <w:r w:rsidR="00324D13" w:rsidRPr="00E4265B">
              <w:rPr>
                <w:rFonts w:ascii="Arial" w:hAnsi="Arial" w:cs="Arial"/>
                <w:sz w:val="22"/>
                <w:szCs w:val="22"/>
                <w:lang w:val="en-GB"/>
              </w:rPr>
              <w:t>%</w:t>
            </w:r>
          </w:p>
        </w:tc>
      </w:tr>
      <w:tr w:rsidR="00E22FF2" w:rsidRPr="00E4265B" w14:paraId="1AC3356A" w14:textId="77777777" w:rsidTr="00324D13">
        <w:tc>
          <w:tcPr>
            <w:tcW w:w="990" w:type="dxa"/>
            <w:vMerge/>
            <w:vAlign w:val="center"/>
          </w:tcPr>
          <w:p w14:paraId="2CAE3DCF" w14:textId="77777777" w:rsidR="00E22FF2" w:rsidRPr="00E4265B" w:rsidRDefault="00E22FF2" w:rsidP="00324D13">
            <w:pPr>
              <w:spacing w:line="360" w:lineRule="auto"/>
              <w:jc w:val="center"/>
              <w:rPr>
                <w:rFonts w:ascii="Arial" w:hAnsi="Arial" w:cs="Arial"/>
                <w:sz w:val="22"/>
                <w:szCs w:val="22"/>
                <w:lang w:val="en-GB"/>
              </w:rPr>
            </w:pPr>
          </w:p>
        </w:tc>
        <w:tc>
          <w:tcPr>
            <w:tcW w:w="2970" w:type="dxa"/>
          </w:tcPr>
          <w:p w14:paraId="338608F0" w14:textId="0CEF32AC" w:rsidR="00E22FF2" w:rsidRPr="00E4265B" w:rsidRDefault="00E22FF2" w:rsidP="00324D13">
            <w:pPr>
              <w:spacing w:line="360" w:lineRule="auto"/>
              <w:rPr>
                <w:rFonts w:ascii="Arial" w:hAnsi="Arial" w:cs="Arial"/>
                <w:sz w:val="22"/>
                <w:szCs w:val="22"/>
                <w:lang w:val="en-GB"/>
              </w:rPr>
            </w:pPr>
            <w:r w:rsidRPr="00E4265B">
              <w:rPr>
                <w:rFonts w:ascii="Arial" w:hAnsi="Arial" w:cs="Arial"/>
                <w:sz w:val="22"/>
                <w:szCs w:val="22"/>
                <w:lang w:val="en-GB"/>
              </w:rPr>
              <w:t xml:space="preserve">&gt; 3 </w:t>
            </w:r>
            <w:r w:rsidR="00324D13" w:rsidRPr="00E4265B">
              <w:rPr>
                <w:rFonts w:ascii="Arial" w:hAnsi="Arial" w:cs="Arial"/>
                <w:sz w:val="22"/>
                <w:szCs w:val="22"/>
                <w:lang w:val="en-GB"/>
              </w:rPr>
              <w:t>and ≤</w:t>
            </w:r>
            <w:r w:rsidRPr="00E4265B">
              <w:rPr>
                <w:rFonts w:ascii="Arial" w:hAnsi="Arial" w:cs="Arial"/>
                <w:sz w:val="22"/>
                <w:szCs w:val="22"/>
                <w:lang w:val="en-GB"/>
              </w:rPr>
              <w:t xml:space="preserve"> 6 months</w:t>
            </w:r>
          </w:p>
        </w:tc>
        <w:tc>
          <w:tcPr>
            <w:tcW w:w="3375" w:type="dxa"/>
          </w:tcPr>
          <w:p w14:paraId="3811B7C1" w14:textId="4F83DA88" w:rsidR="00E22FF2" w:rsidRPr="00E4265B" w:rsidRDefault="00E22FF2" w:rsidP="00324D13">
            <w:pPr>
              <w:spacing w:line="360" w:lineRule="auto"/>
              <w:ind w:right="297"/>
              <w:jc w:val="right"/>
              <w:rPr>
                <w:rFonts w:ascii="Arial" w:hAnsi="Arial" w:cs="Arial"/>
                <w:sz w:val="22"/>
                <w:szCs w:val="22"/>
                <w:lang w:val="en-GB"/>
              </w:rPr>
            </w:pPr>
            <w:r w:rsidRPr="00E4265B">
              <w:rPr>
                <w:rFonts w:ascii="Arial" w:hAnsi="Arial" w:cs="Arial"/>
                <w:sz w:val="22"/>
                <w:szCs w:val="22"/>
                <w:lang w:val="en-GB"/>
              </w:rPr>
              <w:t>1.00</w:t>
            </w:r>
            <w:r w:rsidR="00324D13" w:rsidRPr="00E4265B">
              <w:rPr>
                <w:rFonts w:ascii="Arial" w:hAnsi="Arial" w:cs="Arial"/>
                <w:sz w:val="22"/>
                <w:szCs w:val="22"/>
                <w:lang w:val="en-GB"/>
              </w:rPr>
              <w:t>%</w:t>
            </w:r>
          </w:p>
        </w:tc>
      </w:tr>
      <w:tr w:rsidR="00E22FF2" w:rsidRPr="00E4265B" w14:paraId="049CF314" w14:textId="77777777" w:rsidTr="00324D13">
        <w:tc>
          <w:tcPr>
            <w:tcW w:w="990" w:type="dxa"/>
            <w:vMerge/>
            <w:vAlign w:val="center"/>
          </w:tcPr>
          <w:p w14:paraId="4DE4F63A" w14:textId="77777777" w:rsidR="00E22FF2" w:rsidRPr="00E4265B" w:rsidRDefault="00E22FF2" w:rsidP="00324D13">
            <w:pPr>
              <w:spacing w:line="360" w:lineRule="auto"/>
              <w:jc w:val="center"/>
              <w:rPr>
                <w:rFonts w:ascii="Arial" w:hAnsi="Arial" w:cs="Arial"/>
                <w:sz w:val="22"/>
                <w:szCs w:val="22"/>
                <w:lang w:val="en-GB"/>
              </w:rPr>
            </w:pPr>
          </w:p>
        </w:tc>
        <w:tc>
          <w:tcPr>
            <w:tcW w:w="2970" w:type="dxa"/>
          </w:tcPr>
          <w:p w14:paraId="63C6FD4A" w14:textId="3C02243B" w:rsidR="00E22FF2" w:rsidRPr="00E4265B" w:rsidRDefault="00E22FF2" w:rsidP="00324D13">
            <w:pPr>
              <w:spacing w:line="360" w:lineRule="auto"/>
              <w:rPr>
                <w:rFonts w:ascii="Arial" w:hAnsi="Arial" w:cs="Arial"/>
                <w:sz w:val="22"/>
                <w:szCs w:val="22"/>
                <w:lang w:val="en-GB"/>
              </w:rPr>
            </w:pPr>
            <w:r w:rsidRPr="00E4265B">
              <w:rPr>
                <w:rFonts w:ascii="Arial" w:hAnsi="Arial" w:cs="Arial"/>
                <w:sz w:val="22"/>
                <w:szCs w:val="22"/>
                <w:lang w:val="en-GB"/>
              </w:rPr>
              <w:t xml:space="preserve">&gt; 6 </w:t>
            </w:r>
            <w:r w:rsidR="00324D13" w:rsidRPr="00E4265B">
              <w:rPr>
                <w:rFonts w:ascii="Arial" w:hAnsi="Arial" w:cs="Arial"/>
                <w:sz w:val="22"/>
                <w:szCs w:val="22"/>
                <w:lang w:val="en-GB"/>
              </w:rPr>
              <w:t>and ≤</w:t>
            </w:r>
            <w:r w:rsidRPr="00E4265B">
              <w:rPr>
                <w:rFonts w:ascii="Arial" w:hAnsi="Arial" w:cs="Arial"/>
                <w:sz w:val="22"/>
                <w:szCs w:val="22"/>
                <w:lang w:val="en-GB"/>
              </w:rPr>
              <w:t xml:space="preserve"> 12 months</w:t>
            </w:r>
          </w:p>
        </w:tc>
        <w:tc>
          <w:tcPr>
            <w:tcW w:w="3375" w:type="dxa"/>
          </w:tcPr>
          <w:p w14:paraId="63EFE123" w14:textId="106368AE" w:rsidR="00E22FF2" w:rsidRPr="00E4265B" w:rsidRDefault="00E22FF2" w:rsidP="00324D13">
            <w:pPr>
              <w:spacing w:line="360" w:lineRule="auto"/>
              <w:ind w:right="297"/>
              <w:jc w:val="right"/>
              <w:rPr>
                <w:rFonts w:ascii="Arial" w:hAnsi="Arial" w:cs="Arial"/>
                <w:sz w:val="22"/>
                <w:szCs w:val="22"/>
                <w:lang w:val="en-GB"/>
              </w:rPr>
            </w:pPr>
            <w:r w:rsidRPr="00E4265B">
              <w:rPr>
                <w:rFonts w:ascii="Arial" w:hAnsi="Arial" w:cs="Arial"/>
                <w:sz w:val="22"/>
                <w:szCs w:val="22"/>
                <w:lang w:val="en-GB"/>
              </w:rPr>
              <w:t>1.00</w:t>
            </w:r>
            <w:r w:rsidR="00324D13" w:rsidRPr="00E4265B">
              <w:rPr>
                <w:rFonts w:ascii="Arial" w:hAnsi="Arial" w:cs="Arial"/>
                <w:sz w:val="22"/>
                <w:szCs w:val="22"/>
                <w:lang w:val="en-GB"/>
              </w:rPr>
              <w:t>%</w:t>
            </w:r>
          </w:p>
        </w:tc>
      </w:tr>
      <w:tr w:rsidR="00E22FF2" w:rsidRPr="00E4265B" w14:paraId="7A964102" w14:textId="77777777" w:rsidTr="00324D13">
        <w:tc>
          <w:tcPr>
            <w:tcW w:w="990" w:type="dxa"/>
            <w:vMerge w:val="restart"/>
            <w:vAlign w:val="center"/>
          </w:tcPr>
          <w:p w14:paraId="1426074E" w14:textId="7581B99A" w:rsidR="00E22FF2" w:rsidRPr="00E4265B" w:rsidRDefault="00881EF1" w:rsidP="00324D13">
            <w:pPr>
              <w:spacing w:line="360" w:lineRule="auto"/>
              <w:jc w:val="center"/>
              <w:rPr>
                <w:rFonts w:ascii="Arial" w:hAnsi="Arial" w:cs="Arial"/>
                <w:sz w:val="22"/>
                <w:szCs w:val="22"/>
                <w:lang w:val="en-GB"/>
              </w:rPr>
            </w:pPr>
            <w:r w:rsidRPr="00E4265B">
              <w:rPr>
                <w:rFonts w:ascii="Arial" w:hAnsi="Arial" w:cs="Arial"/>
                <w:sz w:val="22"/>
                <w:szCs w:val="22"/>
                <w:lang w:val="en-GB"/>
              </w:rPr>
              <w:t>B</w:t>
            </w:r>
          </w:p>
        </w:tc>
        <w:tc>
          <w:tcPr>
            <w:tcW w:w="2970" w:type="dxa"/>
          </w:tcPr>
          <w:p w14:paraId="11F3084A" w14:textId="358A023F" w:rsidR="00E22FF2" w:rsidRPr="00E4265B" w:rsidRDefault="00E22FF2" w:rsidP="00324D13">
            <w:pPr>
              <w:spacing w:line="360" w:lineRule="auto"/>
              <w:rPr>
                <w:rFonts w:ascii="Arial" w:hAnsi="Arial" w:cs="Arial"/>
                <w:sz w:val="22"/>
                <w:szCs w:val="22"/>
                <w:lang w:val="en-GB"/>
              </w:rPr>
            </w:pPr>
            <w:r w:rsidRPr="00E4265B">
              <w:rPr>
                <w:rFonts w:ascii="Arial" w:hAnsi="Arial" w:cs="Arial"/>
                <w:sz w:val="22"/>
                <w:szCs w:val="22"/>
                <w:lang w:val="en-GB"/>
              </w:rPr>
              <w:t xml:space="preserve">&gt; 1.0 </w:t>
            </w:r>
            <w:r w:rsidR="00324D13" w:rsidRPr="00E4265B">
              <w:rPr>
                <w:rFonts w:ascii="Arial" w:hAnsi="Arial" w:cs="Arial"/>
                <w:sz w:val="22"/>
                <w:szCs w:val="22"/>
                <w:lang w:val="en-GB"/>
              </w:rPr>
              <w:t>and ≤</w:t>
            </w:r>
            <w:r w:rsidRPr="00E4265B">
              <w:rPr>
                <w:rFonts w:ascii="Arial" w:hAnsi="Arial" w:cs="Arial"/>
                <w:sz w:val="22"/>
                <w:szCs w:val="22"/>
                <w:lang w:val="en-GB"/>
              </w:rPr>
              <w:t xml:space="preserve"> 1.9 years</w:t>
            </w:r>
          </w:p>
        </w:tc>
        <w:tc>
          <w:tcPr>
            <w:tcW w:w="3375" w:type="dxa"/>
          </w:tcPr>
          <w:p w14:paraId="3391C744" w14:textId="50B38372" w:rsidR="00E22FF2" w:rsidRPr="00E4265B" w:rsidRDefault="00E22FF2" w:rsidP="00324D13">
            <w:pPr>
              <w:spacing w:line="360" w:lineRule="auto"/>
              <w:ind w:right="297"/>
              <w:jc w:val="right"/>
              <w:rPr>
                <w:rFonts w:ascii="Arial" w:hAnsi="Arial" w:cs="Arial"/>
                <w:sz w:val="22"/>
                <w:szCs w:val="22"/>
                <w:lang w:val="en-GB"/>
              </w:rPr>
            </w:pPr>
            <w:r w:rsidRPr="00E4265B">
              <w:rPr>
                <w:rFonts w:ascii="Arial" w:hAnsi="Arial" w:cs="Arial"/>
                <w:sz w:val="22"/>
                <w:szCs w:val="22"/>
                <w:lang w:val="en-GB"/>
              </w:rPr>
              <w:t>0.90</w:t>
            </w:r>
            <w:r w:rsidR="00324D13" w:rsidRPr="00E4265B">
              <w:rPr>
                <w:rFonts w:ascii="Arial" w:hAnsi="Arial" w:cs="Arial"/>
                <w:sz w:val="22"/>
                <w:szCs w:val="22"/>
                <w:lang w:val="en-GB"/>
              </w:rPr>
              <w:t>%</w:t>
            </w:r>
          </w:p>
        </w:tc>
      </w:tr>
      <w:tr w:rsidR="00E22FF2" w:rsidRPr="00E4265B" w14:paraId="18376EF2" w14:textId="77777777" w:rsidTr="00324D13">
        <w:tc>
          <w:tcPr>
            <w:tcW w:w="990" w:type="dxa"/>
            <w:vMerge/>
            <w:vAlign w:val="center"/>
          </w:tcPr>
          <w:p w14:paraId="7148EA9A" w14:textId="77777777" w:rsidR="00E22FF2" w:rsidRPr="00E4265B" w:rsidRDefault="00E22FF2" w:rsidP="00324D13">
            <w:pPr>
              <w:spacing w:line="360" w:lineRule="auto"/>
              <w:jc w:val="center"/>
              <w:rPr>
                <w:rFonts w:ascii="Arial" w:hAnsi="Arial" w:cs="Arial"/>
                <w:sz w:val="22"/>
                <w:szCs w:val="22"/>
                <w:lang w:val="en-GB"/>
              </w:rPr>
            </w:pPr>
          </w:p>
        </w:tc>
        <w:tc>
          <w:tcPr>
            <w:tcW w:w="2970" w:type="dxa"/>
          </w:tcPr>
          <w:p w14:paraId="155CFFF9" w14:textId="28531070" w:rsidR="00E22FF2" w:rsidRPr="00E4265B" w:rsidRDefault="00E22FF2" w:rsidP="00324D13">
            <w:pPr>
              <w:spacing w:line="360" w:lineRule="auto"/>
              <w:rPr>
                <w:rFonts w:ascii="Arial" w:hAnsi="Arial" w:cs="Arial"/>
                <w:sz w:val="22"/>
                <w:szCs w:val="22"/>
                <w:lang w:val="en-GB"/>
              </w:rPr>
            </w:pPr>
            <w:r w:rsidRPr="00E4265B">
              <w:rPr>
                <w:rFonts w:ascii="Arial" w:hAnsi="Arial" w:cs="Arial"/>
                <w:sz w:val="22"/>
                <w:szCs w:val="22"/>
                <w:lang w:val="en-GB"/>
              </w:rPr>
              <w:t xml:space="preserve">&gt; 1.9 </w:t>
            </w:r>
            <w:r w:rsidR="00324D13" w:rsidRPr="00E4265B">
              <w:rPr>
                <w:rFonts w:ascii="Arial" w:hAnsi="Arial" w:cs="Arial"/>
                <w:sz w:val="22"/>
                <w:szCs w:val="22"/>
                <w:lang w:val="en-GB"/>
              </w:rPr>
              <w:t>and ≤</w:t>
            </w:r>
            <w:r w:rsidRPr="00E4265B">
              <w:rPr>
                <w:rFonts w:ascii="Arial" w:hAnsi="Arial" w:cs="Arial"/>
                <w:sz w:val="22"/>
                <w:szCs w:val="22"/>
                <w:lang w:val="en-GB"/>
              </w:rPr>
              <w:t xml:space="preserve"> 2.8 years</w:t>
            </w:r>
          </w:p>
        </w:tc>
        <w:tc>
          <w:tcPr>
            <w:tcW w:w="3375" w:type="dxa"/>
          </w:tcPr>
          <w:p w14:paraId="2BD4A7D5" w14:textId="11C69B03" w:rsidR="00E22FF2" w:rsidRPr="00E4265B" w:rsidRDefault="00E22FF2" w:rsidP="00324D13">
            <w:pPr>
              <w:spacing w:line="360" w:lineRule="auto"/>
              <w:ind w:right="297"/>
              <w:jc w:val="right"/>
              <w:rPr>
                <w:rFonts w:ascii="Arial" w:hAnsi="Arial" w:cs="Arial"/>
                <w:sz w:val="22"/>
                <w:szCs w:val="22"/>
                <w:lang w:val="en-GB"/>
              </w:rPr>
            </w:pPr>
            <w:r w:rsidRPr="00E4265B">
              <w:rPr>
                <w:rFonts w:ascii="Arial" w:hAnsi="Arial" w:cs="Arial"/>
                <w:sz w:val="22"/>
                <w:szCs w:val="22"/>
                <w:lang w:val="en-GB"/>
              </w:rPr>
              <w:t>0.80</w:t>
            </w:r>
            <w:r w:rsidR="00324D13" w:rsidRPr="00E4265B">
              <w:rPr>
                <w:rFonts w:ascii="Arial" w:hAnsi="Arial" w:cs="Arial"/>
                <w:sz w:val="22"/>
                <w:szCs w:val="22"/>
                <w:lang w:val="en-GB"/>
              </w:rPr>
              <w:t>%</w:t>
            </w:r>
          </w:p>
        </w:tc>
      </w:tr>
      <w:tr w:rsidR="00E22FF2" w:rsidRPr="00E4265B" w14:paraId="260F2725" w14:textId="77777777" w:rsidTr="00324D13">
        <w:tc>
          <w:tcPr>
            <w:tcW w:w="990" w:type="dxa"/>
            <w:vMerge/>
            <w:vAlign w:val="center"/>
          </w:tcPr>
          <w:p w14:paraId="21A80837" w14:textId="77777777" w:rsidR="00E22FF2" w:rsidRPr="00E4265B" w:rsidRDefault="00E22FF2" w:rsidP="00324D13">
            <w:pPr>
              <w:spacing w:line="360" w:lineRule="auto"/>
              <w:jc w:val="center"/>
              <w:rPr>
                <w:rFonts w:ascii="Arial" w:hAnsi="Arial" w:cs="Arial"/>
                <w:sz w:val="22"/>
                <w:szCs w:val="22"/>
                <w:lang w:val="en-GB"/>
              </w:rPr>
            </w:pPr>
          </w:p>
        </w:tc>
        <w:tc>
          <w:tcPr>
            <w:tcW w:w="2970" w:type="dxa"/>
          </w:tcPr>
          <w:p w14:paraId="464FF8B4" w14:textId="4634FF82" w:rsidR="00E22FF2" w:rsidRPr="00E4265B" w:rsidRDefault="00E22FF2" w:rsidP="00324D13">
            <w:pPr>
              <w:spacing w:line="360" w:lineRule="auto"/>
              <w:rPr>
                <w:rFonts w:ascii="Arial" w:hAnsi="Arial" w:cs="Arial"/>
                <w:sz w:val="22"/>
                <w:szCs w:val="22"/>
                <w:lang w:val="en-GB"/>
              </w:rPr>
            </w:pPr>
            <w:r w:rsidRPr="00E4265B">
              <w:rPr>
                <w:rFonts w:ascii="Arial" w:hAnsi="Arial" w:cs="Arial"/>
                <w:sz w:val="22"/>
                <w:szCs w:val="22"/>
                <w:lang w:val="en-GB"/>
              </w:rPr>
              <w:t xml:space="preserve">&gt; 2.8 </w:t>
            </w:r>
            <w:r w:rsidR="00324D13" w:rsidRPr="00E4265B">
              <w:rPr>
                <w:rFonts w:ascii="Arial" w:hAnsi="Arial" w:cs="Arial"/>
                <w:sz w:val="22"/>
                <w:szCs w:val="22"/>
                <w:lang w:val="en-GB"/>
              </w:rPr>
              <w:t>and ≤</w:t>
            </w:r>
            <w:r w:rsidRPr="00E4265B">
              <w:rPr>
                <w:rFonts w:ascii="Arial" w:hAnsi="Arial" w:cs="Arial"/>
                <w:sz w:val="22"/>
                <w:szCs w:val="22"/>
                <w:lang w:val="en-GB"/>
              </w:rPr>
              <w:t xml:space="preserve"> 3.6 years</w:t>
            </w:r>
          </w:p>
        </w:tc>
        <w:tc>
          <w:tcPr>
            <w:tcW w:w="3375" w:type="dxa"/>
          </w:tcPr>
          <w:p w14:paraId="0504D940" w14:textId="0B357977" w:rsidR="00E22FF2" w:rsidRPr="00E4265B" w:rsidRDefault="00E22FF2" w:rsidP="00324D13">
            <w:pPr>
              <w:spacing w:line="360" w:lineRule="auto"/>
              <w:ind w:right="297"/>
              <w:jc w:val="right"/>
              <w:rPr>
                <w:rFonts w:ascii="Arial" w:hAnsi="Arial" w:cs="Arial"/>
                <w:sz w:val="22"/>
                <w:szCs w:val="22"/>
                <w:lang w:val="en-GB"/>
              </w:rPr>
            </w:pPr>
            <w:r w:rsidRPr="00E4265B">
              <w:rPr>
                <w:rFonts w:ascii="Arial" w:hAnsi="Arial" w:cs="Arial"/>
                <w:sz w:val="22"/>
                <w:szCs w:val="22"/>
                <w:lang w:val="en-GB"/>
              </w:rPr>
              <w:t>0.75</w:t>
            </w:r>
            <w:r w:rsidR="00324D13" w:rsidRPr="00E4265B">
              <w:rPr>
                <w:rFonts w:ascii="Arial" w:hAnsi="Arial" w:cs="Arial"/>
                <w:sz w:val="22"/>
                <w:szCs w:val="22"/>
                <w:lang w:val="en-GB"/>
              </w:rPr>
              <w:t>%</w:t>
            </w:r>
          </w:p>
        </w:tc>
      </w:tr>
      <w:tr w:rsidR="00E22FF2" w:rsidRPr="00E4265B" w14:paraId="1CE45515" w14:textId="77777777" w:rsidTr="00324D13">
        <w:tc>
          <w:tcPr>
            <w:tcW w:w="990" w:type="dxa"/>
            <w:vMerge w:val="restart"/>
            <w:vAlign w:val="center"/>
          </w:tcPr>
          <w:p w14:paraId="2E5D8771" w14:textId="4510A9DE" w:rsidR="00E22FF2" w:rsidRPr="00E4265B" w:rsidRDefault="00881EF1" w:rsidP="00324D13">
            <w:pPr>
              <w:spacing w:line="360" w:lineRule="auto"/>
              <w:jc w:val="center"/>
              <w:rPr>
                <w:rFonts w:ascii="Arial" w:hAnsi="Arial" w:cs="Arial"/>
                <w:sz w:val="22"/>
                <w:szCs w:val="22"/>
                <w:lang w:val="en-GB"/>
              </w:rPr>
            </w:pPr>
            <w:r w:rsidRPr="00E4265B">
              <w:rPr>
                <w:rFonts w:ascii="Arial" w:hAnsi="Arial" w:cs="Arial"/>
                <w:sz w:val="22"/>
                <w:szCs w:val="22"/>
                <w:lang w:val="en-GB"/>
              </w:rPr>
              <w:t>C</w:t>
            </w:r>
          </w:p>
        </w:tc>
        <w:tc>
          <w:tcPr>
            <w:tcW w:w="2970" w:type="dxa"/>
          </w:tcPr>
          <w:p w14:paraId="5521BB16" w14:textId="44FAA273" w:rsidR="00E22FF2" w:rsidRPr="00E4265B" w:rsidRDefault="00E22FF2" w:rsidP="00324D13">
            <w:pPr>
              <w:spacing w:line="360" w:lineRule="auto"/>
              <w:rPr>
                <w:rFonts w:ascii="Arial" w:hAnsi="Arial" w:cs="Arial"/>
                <w:sz w:val="22"/>
                <w:szCs w:val="22"/>
                <w:lang w:val="en-GB"/>
              </w:rPr>
            </w:pPr>
            <w:r w:rsidRPr="00E4265B">
              <w:rPr>
                <w:rFonts w:ascii="Arial" w:hAnsi="Arial" w:cs="Arial"/>
                <w:sz w:val="22"/>
                <w:szCs w:val="22"/>
                <w:lang w:val="en-GB"/>
              </w:rPr>
              <w:t xml:space="preserve">&gt; 3.6 </w:t>
            </w:r>
            <w:r w:rsidR="00324D13" w:rsidRPr="00E4265B">
              <w:rPr>
                <w:rFonts w:ascii="Arial" w:hAnsi="Arial" w:cs="Arial"/>
                <w:sz w:val="22"/>
                <w:szCs w:val="22"/>
                <w:lang w:val="en-GB"/>
              </w:rPr>
              <w:t>and ≤</w:t>
            </w:r>
            <w:r w:rsidRPr="00E4265B">
              <w:rPr>
                <w:rFonts w:ascii="Arial" w:hAnsi="Arial" w:cs="Arial"/>
                <w:sz w:val="22"/>
                <w:szCs w:val="22"/>
                <w:lang w:val="en-GB"/>
              </w:rPr>
              <w:t xml:space="preserve"> 4.3 years</w:t>
            </w:r>
          </w:p>
        </w:tc>
        <w:tc>
          <w:tcPr>
            <w:tcW w:w="3375" w:type="dxa"/>
          </w:tcPr>
          <w:p w14:paraId="0A132E4F" w14:textId="1D8186A0" w:rsidR="00E22FF2" w:rsidRPr="00E4265B" w:rsidRDefault="00E22FF2" w:rsidP="00324D13">
            <w:pPr>
              <w:spacing w:line="360" w:lineRule="auto"/>
              <w:ind w:right="297"/>
              <w:jc w:val="right"/>
              <w:rPr>
                <w:rFonts w:ascii="Arial" w:hAnsi="Arial" w:cs="Arial"/>
                <w:sz w:val="22"/>
                <w:szCs w:val="22"/>
                <w:lang w:val="en-GB"/>
              </w:rPr>
            </w:pPr>
            <w:r w:rsidRPr="00E4265B">
              <w:rPr>
                <w:rFonts w:ascii="Arial" w:hAnsi="Arial" w:cs="Arial"/>
                <w:sz w:val="22"/>
                <w:szCs w:val="22"/>
                <w:lang w:val="en-GB"/>
              </w:rPr>
              <w:t>0.75</w:t>
            </w:r>
            <w:r w:rsidR="00324D13" w:rsidRPr="00E4265B">
              <w:rPr>
                <w:rFonts w:ascii="Arial" w:hAnsi="Arial" w:cs="Arial"/>
                <w:sz w:val="22"/>
                <w:szCs w:val="22"/>
                <w:lang w:val="en-GB"/>
              </w:rPr>
              <w:t>%</w:t>
            </w:r>
          </w:p>
        </w:tc>
      </w:tr>
      <w:tr w:rsidR="00E22FF2" w:rsidRPr="00E4265B" w14:paraId="19E98677" w14:textId="77777777" w:rsidTr="00324D13">
        <w:tc>
          <w:tcPr>
            <w:tcW w:w="990" w:type="dxa"/>
            <w:vMerge/>
          </w:tcPr>
          <w:p w14:paraId="7EA0CBEF" w14:textId="77777777" w:rsidR="00E22FF2" w:rsidRPr="00E4265B" w:rsidRDefault="00E22FF2" w:rsidP="00324D13">
            <w:pPr>
              <w:spacing w:line="360" w:lineRule="auto"/>
              <w:rPr>
                <w:rFonts w:ascii="Arial" w:hAnsi="Arial" w:cs="Arial"/>
                <w:sz w:val="22"/>
                <w:szCs w:val="22"/>
                <w:lang w:val="en-GB"/>
              </w:rPr>
            </w:pPr>
          </w:p>
        </w:tc>
        <w:tc>
          <w:tcPr>
            <w:tcW w:w="2970" w:type="dxa"/>
          </w:tcPr>
          <w:p w14:paraId="79BC90B3" w14:textId="7BDB5A58" w:rsidR="00E22FF2" w:rsidRPr="00E4265B" w:rsidRDefault="00E22FF2" w:rsidP="00324D13">
            <w:pPr>
              <w:spacing w:line="360" w:lineRule="auto"/>
              <w:rPr>
                <w:rFonts w:ascii="Arial" w:hAnsi="Arial" w:cs="Arial"/>
                <w:sz w:val="22"/>
                <w:szCs w:val="22"/>
                <w:lang w:val="en-GB"/>
              </w:rPr>
            </w:pPr>
            <w:r w:rsidRPr="00E4265B">
              <w:rPr>
                <w:rFonts w:ascii="Arial" w:hAnsi="Arial" w:cs="Arial"/>
                <w:sz w:val="22"/>
                <w:szCs w:val="22"/>
                <w:lang w:val="en-GB"/>
              </w:rPr>
              <w:t xml:space="preserve">&gt; 4.3 </w:t>
            </w:r>
            <w:r w:rsidR="00324D13" w:rsidRPr="00E4265B">
              <w:rPr>
                <w:rFonts w:ascii="Arial" w:hAnsi="Arial" w:cs="Arial"/>
                <w:sz w:val="22"/>
                <w:szCs w:val="22"/>
                <w:lang w:val="en-GB"/>
              </w:rPr>
              <w:t>and ≤</w:t>
            </w:r>
            <w:r w:rsidRPr="00E4265B">
              <w:rPr>
                <w:rFonts w:ascii="Arial" w:hAnsi="Arial" w:cs="Arial"/>
                <w:sz w:val="22"/>
                <w:szCs w:val="22"/>
                <w:lang w:val="en-GB"/>
              </w:rPr>
              <w:t xml:space="preserve"> 5.7 years</w:t>
            </w:r>
          </w:p>
        </w:tc>
        <w:tc>
          <w:tcPr>
            <w:tcW w:w="3375" w:type="dxa"/>
          </w:tcPr>
          <w:p w14:paraId="52080D0D" w14:textId="0D166B0A" w:rsidR="00E22FF2" w:rsidRPr="00E4265B" w:rsidRDefault="00E22FF2" w:rsidP="00324D13">
            <w:pPr>
              <w:spacing w:line="360" w:lineRule="auto"/>
              <w:ind w:right="297"/>
              <w:jc w:val="right"/>
              <w:rPr>
                <w:rFonts w:ascii="Arial" w:hAnsi="Arial" w:cs="Arial"/>
                <w:sz w:val="22"/>
                <w:szCs w:val="22"/>
                <w:lang w:val="en-GB"/>
              </w:rPr>
            </w:pPr>
            <w:r w:rsidRPr="00E4265B">
              <w:rPr>
                <w:rFonts w:ascii="Arial" w:hAnsi="Arial" w:cs="Arial"/>
                <w:sz w:val="22"/>
                <w:szCs w:val="22"/>
                <w:lang w:val="en-GB"/>
              </w:rPr>
              <w:t>0.70</w:t>
            </w:r>
            <w:r w:rsidR="00324D13" w:rsidRPr="00E4265B">
              <w:rPr>
                <w:rFonts w:ascii="Arial" w:hAnsi="Arial" w:cs="Arial"/>
                <w:sz w:val="22"/>
                <w:szCs w:val="22"/>
                <w:lang w:val="en-GB"/>
              </w:rPr>
              <w:t>%</w:t>
            </w:r>
          </w:p>
        </w:tc>
      </w:tr>
      <w:tr w:rsidR="00E22FF2" w:rsidRPr="00E4265B" w14:paraId="064161B1" w14:textId="77777777" w:rsidTr="00324D13">
        <w:tc>
          <w:tcPr>
            <w:tcW w:w="990" w:type="dxa"/>
            <w:vMerge/>
          </w:tcPr>
          <w:p w14:paraId="2ED8356F" w14:textId="77777777" w:rsidR="00E22FF2" w:rsidRPr="00E4265B" w:rsidRDefault="00E22FF2" w:rsidP="00324D13">
            <w:pPr>
              <w:spacing w:line="360" w:lineRule="auto"/>
              <w:rPr>
                <w:rFonts w:ascii="Arial" w:hAnsi="Arial" w:cs="Arial"/>
                <w:sz w:val="22"/>
                <w:szCs w:val="22"/>
                <w:lang w:val="en-GB"/>
              </w:rPr>
            </w:pPr>
          </w:p>
        </w:tc>
        <w:tc>
          <w:tcPr>
            <w:tcW w:w="2970" w:type="dxa"/>
          </w:tcPr>
          <w:p w14:paraId="3786B1A0" w14:textId="2C994CC9" w:rsidR="00E22FF2" w:rsidRPr="00E4265B" w:rsidRDefault="00E22FF2" w:rsidP="00324D13">
            <w:pPr>
              <w:spacing w:line="360" w:lineRule="auto"/>
              <w:rPr>
                <w:rFonts w:ascii="Arial" w:hAnsi="Arial" w:cs="Arial"/>
                <w:sz w:val="22"/>
                <w:szCs w:val="22"/>
                <w:lang w:val="en-GB"/>
              </w:rPr>
            </w:pPr>
            <w:r w:rsidRPr="00E4265B">
              <w:rPr>
                <w:rFonts w:ascii="Arial" w:hAnsi="Arial" w:cs="Arial"/>
                <w:sz w:val="22"/>
                <w:szCs w:val="22"/>
                <w:lang w:val="en-GB"/>
              </w:rPr>
              <w:t xml:space="preserve">&gt; 5.7 </w:t>
            </w:r>
            <w:r w:rsidR="00324D13" w:rsidRPr="00E4265B">
              <w:rPr>
                <w:rFonts w:ascii="Arial" w:hAnsi="Arial" w:cs="Arial"/>
                <w:sz w:val="22"/>
                <w:szCs w:val="22"/>
                <w:lang w:val="en-GB"/>
              </w:rPr>
              <w:t>and ≤</w:t>
            </w:r>
            <w:r w:rsidRPr="00E4265B">
              <w:rPr>
                <w:rFonts w:ascii="Arial" w:hAnsi="Arial" w:cs="Arial"/>
                <w:sz w:val="22"/>
                <w:szCs w:val="22"/>
                <w:lang w:val="en-GB"/>
              </w:rPr>
              <w:t xml:space="preserve"> 7.3 years</w:t>
            </w:r>
          </w:p>
        </w:tc>
        <w:tc>
          <w:tcPr>
            <w:tcW w:w="3375" w:type="dxa"/>
          </w:tcPr>
          <w:p w14:paraId="455919D9" w14:textId="301519FA" w:rsidR="00E22FF2" w:rsidRPr="00E4265B" w:rsidRDefault="00E22FF2" w:rsidP="00324D13">
            <w:pPr>
              <w:spacing w:line="360" w:lineRule="auto"/>
              <w:ind w:right="297"/>
              <w:jc w:val="right"/>
              <w:rPr>
                <w:rFonts w:ascii="Arial" w:hAnsi="Arial" w:cs="Arial"/>
                <w:sz w:val="22"/>
                <w:szCs w:val="22"/>
                <w:lang w:val="en-GB"/>
              </w:rPr>
            </w:pPr>
            <w:r w:rsidRPr="00E4265B">
              <w:rPr>
                <w:rFonts w:ascii="Arial" w:hAnsi="Arial" w:cs="Arial"/>
                <w:sz w:val="22"/>
                <w:szCs w:val="22"/>
                <w:lang w:val="en-GB"/>
              </w:rPr>
              <w:t>0.65</w:t>
            </w:r>
            <w:r w:rsidR="00324D13" w:rsidRPr="00E4265B">
              <w:rPr>
                <w:rFonts w:ascii="Arial" w:hAnsi="Arial" w:cs="Arial"/>
                <w:sz w:val="22"/>
                <w:szCs w:val="22"/>
                <w:lang w:val="en-GB"/>
              </w:rPr>
              <w:t>%</w:t>
            </w:r>
          </w:p>
        </w:tc>
      </w:tr>
      <w:tr w:rsidR="00E22FF2" w:rsidRPr="00E4265B" w14:paraId="46040990" w14:textId="77777777" w:rsidTr="00324D13">
        <w:tc>
          <w:tcPr>
            <w:tcW w:w="990" w:type="dxa"/>
            <w:vMerge/>
          </w:tcPr>
          <w:p w14:paraId="154D7E33" w14:textId="77777777" w:rsidR="00E22FF2" w:rsidRPr="00E4265B" w:rsidRDefault="00E22FF2" w:rsidP="00324D13">
            <w:pPr>
              <w:spacing w:line="360" w:lineRule="auto"/>
              <w:rPr>
                <w:rFonts w:ascii="Arial" w:hAnsi="Arial" w:cs="Arial"/>
                <w:sz w:val="22"/>
                <w:szCs w:val="22"/>
                <w:lang w:val="en-GB"/>
              </w:rPr>
            </w:pPr>
          </w:p>
        </w:tc>
        <w:tc>
          <w:tcPr>
            <w:tcW w:w="2970" w:type="dxa"/>
          </w:tcPr>
          <w:p w14:paraId="58EF1529" w14:textId="3E498228" w:rsidR="00E22FF2" w:rsidRPr="00E4265B" w:rsidRDefault="00E22FF2" w:rsidP="00324D13">
            <w:pPr>
              <w:spacing w:line="360" w:lineRule="auto"/>
              <w:rPr>
                <w:rFonts w:ascii="Arial" w:hAnsi="Arial" w:cs="Arial"/>
                <w:sz w:val="22"/>
                <w:szCs w:val="22"/>
                <w:lang w:val="en-GB"/>
              </w:rPr>
            </w:pPr>
            <w:r w:rsidRPr="00E4265B">
              <w:rPr>
                <w:rFonts w:ascii="Arial" w:hAnsi="Arial" w:cs="Arial"/>
                <w:sz w:val="22"/>
                <w:szCs w:val="22"/>
                <w:lang w:val="en-GB"/>
              </w:rPr>
              <w:t xml:space="preserve">&gt; 7.3 </w:t>
            </w:r>
            <w:r w:rsidR="00324D13" w:rsidRPr="00E4265B">
              <w:rPr>
                <w:rFonts w:ascii="Arial" w:hAnsi="Arial" w:cs="Arial"/>
                <w:sz w:val="22"/>
                <w:szCs w:val="22"/>
                <w:lang w:val="en-GB"/>
              </w:rPr>
              <w:t>and ≤</w:t>
            </w:r>
            <w:r w:rsidRPr="00E4265B">
              <w:rPr>
                <w:rFonts w:ascii="Arial" w:hAnsi="Arial" w:cs="Arial"/>
                <w:sz w:val="22"/>
                <w:szCs w:val="22"/>
                <w:lang w:val="en-GB"/>
              </w:rPr>
              <w:t xml:space="preserve"> 9.3 years</w:t>
            </w:r>
          </w:p>
        </w:tc>
        <w:tc>
          <w:tcPr>
            <w:tcW w:w="3375" w:type="dxa"/>
          </w:tcPr>
          <w:p w14:paraId="670BAD4B" w14:textId="34926044" w:rsidR="00E22FF2" w:rsidRPr="00E4265B" w:rsidRDefault="00E22FF2" w:rsidP="00324D13">
            <w:pPr>
              <w:spacing w:line="360" w:lineRule="auto"/>
              <w:ind w:right="297"/>
              <w:jc w:val="right"/>
              <w:rPr>
                <w:rFonts w:ascii="Arial" w:hAnsi="Arial" w:cs="Arial"/>
                <w:sz w:val="22"/>
                <w:szCs w:val="22"/>
                <w:lang w:val="en-GB"/>
              </w:rPr>
            </w:pPr>
            <w:r w:rsidRPr="00E4265B">
              <w:rPr>
                <w:rFonts w:ascii="Arial" w:hAnsi="Arial" w:cs="Arial"/>
                <w:sz w:val="22"/>
                <w:szCs w:val="22"/>
                <w:lang w:val="en-GB"/>
              </w:rPr>
              <w:t>0.60</w:t>
            </w:r>
            <w:r w:rsidR="00324D13" w:rsidRPr="00E4265B">
              <w:rPr>
                <w:rFonts w:ascii="Arial" w:hAnsi="Arial" w:cs="Arial"/>
                <w:sz w:val="22"/>
                <w:szCs w:val="22"/>
                <w:lang w:val="en-GB"/>
              </w:rPr>
              <w:t>%</w:t>
            </w:r>
          </w:p>
        </w:tc>
      </w:tr>
      <w:tr w:rsidR="00E22FF2" w:rsidRPr="00E4265B" w14:paraId="4A82341E" w14:textId="77777777" w:rsidTr="00324D13">
        <w:tc>
          <w:tcPr>
            <w:tcW w:w="990" w:type="dxa"/>
            <w:vMerge/>
          </w:tcPr>
          <w:p w14:paraId="23EFA1B2" w14:textId="77777777" w:rsidR="00E22FF2" w:rsidRPr="00E4265B" w:rsidRDefault="00E22FF2" w:rsidP="00324D13">
            <w:pPr>
              <w:spacing w:line="360" w:lineRule="auto"/>
              <w:rPr>
                <w:rFonts w:ascii="Arial" w:hAnsi="Arial" w:cs="Arial"/>
                <w:sz w:val="22"/>
                <w:szCs w:val="22"/>
                <w:lang w:val="en-GB"/>
              </w:rPr>
            </w:pPr>
          </w:p>
        </w:tc>
        <w:tc>
          <w:tcPr>
            <w:tcW w:w="2970" w:type="dxa"/>
          </w:tcPr>
          <w:p w14:paraId="3B1AEEF9" w14:textId="681933A8" w:rsidR="00E22FF2" w:rsidRPr="00E4265B" w:rsidRDefault="00E22FF2" w:rsidP="00324D13">
            <w:pPr>
              <w:spacing w:line="360" w:lineRule="auto"/>
              <w:rPr>
                <w:rFonts w:ascii="Arial" w:hAnsi="Arial" w:cs="Arial"/>
                <w:sz w:val="22"/>
                <w:szCs w:val="22"/>
                <w:lang w:val="en-GB"/>
              </w:rPr>
            </w:pPr>
            <w:r w:rsidRPr="00E4265B">
              <w:rPr>
                <w:rFonts w:ascii="Arial" w:hAnsi="Arial" w:cs="Arial"/>
                <w:sz w:val="22"/>
                <w:szCs w:val="22"/>
                <w:lang w:val="en-GB"/>
              </w:rPr>
              <w:t xml:space="preserve">&gt; 9.3 </w:t>
            </w:r>
            <w:r w:rsidR="00324D13" w:rsidRPr="00E4265B">
              <w:rPr>
                <w:rFonts w:ascii="Arial" w:hAnsi="Arial" w:cs="Arial"/>
                <w:sz w:val="22"/>
                <w:szCs w:val="22"/>
                <w:lang w:val="en-GB"/>
              </w:rPr>
              <w:t>and ≤</w:t>
            </w:r>
            <w:r w:rsidRPr="00E4265B">
              <w:rPr>
                <w:rFonts w:ascii="Arial" w:hAnsi="Arial" w:cs="Arial"/>
                <w:sz w:val="22"/>
                <w:szCs w:val="22"/>
                <w:lang w:val="en-GB"/>
              </w:rPr>
              <w:t xml:space="preserve"> 10.6 years</w:t>
            </w:r>
          </w:p>
        </w:tc>
        <w:tc>
          <w:tcPr>
            <w:tcW w:w="3375" w:type="dxa"/>
          </w:tcPr>
          <w:p w14:paraId="134EA0F9" w14:textId="6E83DF60" w:rsidR="00E22FF2" w:rsidRPr="00E4265B" w:rsidRDefault="00E22FF2" w:rsidP="00324D13">
            <w:pPr>
              <w:spacing w:line="360" w:lineRule="auto"/>
              <w:ind w:right="297"/>
              <w:jc w:val="right"/>
              <w:rPr>
                <w:rFonts w:ascii="Arial" w:hAnsi="Arial" w:cs="Arial"/>
                <w:sz w:val="22"/>
                <w:szCs w:val="22"/>
                <w:lang w:val="en-GB"/>
              </w:rPr>
            </w:pPr>
            <w:r w:rsidRPr="00E4265B">
              <w:rPr>
                <w:rFonts w:ascii="Arial" w:hAnsi="Arial" w:cs="Arial"/>
                <w:sz w:val="22"/>
                <w:szCs w:val="22"/>
                <w:lang w:val="en-GB"/>
              </w:rPr>
              <w:t>0.60</w:t>
            </w:r>
            <w:r w:rsidR="00324D13" w:rsidRPr="00E4265B">
              <w:rPr>
                <w:rFonts w:ascii="Arial" w:hAnsi="Arial" w:cs="Arial"/>
                <w:sz w:val="22"/>
                <w:szCs w:val="22"/>
                <w:lang w:val="en-GB"/>
              </w:rPr>
              <w:t>%</w:t>
            </w:r>
          </w:p>
        </w:tc>
      </w:tr>
      <w:tr w:rsidR="00E22FF2" w:rsidRPr="00E4265B" w14:paraId="461E934F" w14:textId="77777777" w:rsidTr="00324D13">
        <w:tc>
          <w:tcPr>
            <w:tcW w:w="990" w:type="dxa"/>
            <w:vMerge/>
          </w:tcPr>
          <w:p w14:paraId="00163D91" w14:textId="77777777" w:rsidR="00E22FF2" w:rsidRPr="00E4265B" w:rsidRDefault="00E22FF2" w:rsidP="00324D13">
            <w:pPr>
              <w:spacing w:line="360" w:lineRule="auto"/>
              <w:rPr>
                <w:rFonts w:ascii="Arial" w:hAnsi="Arial" w:cs="Arial"/>
                <w:sz w:val="22"/>
                <w:szCs w:val="22"/>
                <w:lang w:val="en-GB"/>
              </w:rPr>
            </w:pPr>
          </w:p>
        </w:tc>
        <w:tc>
          <w:tcPr>
            <w:tcW w:w="2970" w:type="dxa"/>
          </w:tcPr>
          <w:p w14:paraId="70448EE8" w14:textId="01A2C68E" w:rsidR="00E22FF2" w:rsidRPr="00E4265B" w:rsidRDefault="00E22FF2" w:rsidP="00324D13">
            <w:pPr>
              <w:spacing w:line="360" w:lineRule="auto"/>
              <w:rPr>
                <w:rFonts w:ascii="Arial" w:hAnsi="Arial" w:cs="Arial"/>
                <w:sz w:val="22"/>
                <w:szCs w:val="22"/>
                <w:lang w:val="en-GB"/>
              </w:rPr>
            </w:pPr>
            <w:r w:rsidRPr="00E4265B">
              <w:rPr>
                <w:rFonts w:ascii="Arial" w:hAnsi="Arial" w:cs="Arial"/>
                <w:sz w:val="22"/>
                <w:szCs w:val="22"/>
                <w:lang w:val="en-GB"/>
              </w:rPr>
              <w:t xml:space="preserve">&gt; 10.6 </w:t>
            </w:r>
            <w:r w:rsidR="00324D13" w:rsidRPr="00E4265B">
              <w:rPr>
                <w:rFonts w:ascii="Arial" w:hAnsi="Arial" w:cs="Arial"/>
                <w:sz w:val="22"/>
                <w:szCs w:val="22"/>
                <w:lang w:val="en-GB"/>
              </w:rPr>
              <w:t>and ≤</w:t>
            </w:r>
            <w:r w:rsidRPr="00E4265B">
              <w:rPr>
                <w:rFonts w:ascii="Arial" w:hAnsi="Arial" w:cs="Arial"/>
                <w:sz w:val="22"/>
                <w:szCs w:val="22"/>
                <w:lang w:val="en-GB"/>
              </w:rPr>
              <w:t xml:space="preserve"> 12.0 years</w:t>
            </w:r>
          </w:p>
        </w:tc>
        <w:tc>
          <w:tcPr>
            <w:tcW w:w="3375" w:type="dxa"/>
          </w:tcPr>
          <w:p w14:paraId="112B5312" w14:textId="541D5B70" w:rsidR="00E22FF2" w:rsidRPr="00E4265B" w:rsidRDefault="00E22FF2" w:rsidP="00324D13">
            <w:pPr>
              <w:spacing w:line="360" w:lineRule="auto"/>
              <w:ind w:right="297"/>
              <w:jc w:val="right"/>
              <w:rPr>
                <w:rFonts w:ascii="Arial" w:hAnsi="Arial" w:cs="Arial"/>
                <w:sz w:val="22"/>
                <w:szCs w:val="22"/>
                <w:lang w:val="en-GB"/>
              </w:rPr>
            </w:pPr>
            <w:r w:rsidRPr="00E4265B">
              <w:rPr>
                <w:rFonts w:ascii="Arial" w:hAnsi="Arial" w:cs="Arial"/>
                <w:sz w:val="22"/>
                <w:szCs w:val="22"/>
                <w:lang w:val="en-GB"/>
              </w:rPr>
              <w:t>0.60</w:t>
            </w:r>
            <w:r w:rsidR="00324D13" w:rsidRPr="00E4265B">
              <w:rPr>
                <w:rFonts w:ascii="Arial" w:hAnsi="Arial" w:cs="Arial"/>
                <w:sz w:val="22"/>
                <w:szCs w:val="22"/>
                <w:lang w:val="en-GB"/>
              </w:rPr>
              <w:t>%</w:t>
            </w:r>
          </w:p>
        </w:tc>
      </w:tr>
      <w:tr w:rsidR="00E22FF2" w:rsidRPr="00E4265B" w14:paraId="5948B5F5" w14:textId="77777777" w:rsidTr="00324D13">
        <w:tc>
          <w:tcPr>
            <w:tcW w:w="990" w:type="dxa"/>
            <w:vMerge/>
          </w:tcPr>
          <w:p w14:paraId="1E061944" w14:textId="77777777" w:rsidR="00E22FF2" w:rsidRPr="00E4265B" w:rsidRDefault="00E22FF2" w:rsidP="00324D13">
            <w:pPr>
              <w:spacing w:line="360" w:lineRule="auto"/>
              <w:rPr>
                <w:rFonts w:ascii="Arial" w:hAnsi="Arial" w:cs="Arial"/>
                <w:sz w:val="22"/>
                <w:szCs w:val="22"/>
                <w:lang w:val="en-GB"/>
              </w:rPr>
            </w:pPr>
          </w:p>
        </w:tc>
        <w:tc>
          <w:tcPr>
            <w:tcW w:w="2970" w:type="dxa"/>
          </w:tcPr>
          <w:p w14:paraId="6B03F7D4" w14:textId="330EE0AE" w:rsidR="00E22FF2" w:rsidRPr="00E4265B" w:rsidRDefault="00E22FF2" w:rsidP="00324D13">
            <w:pPr>
              <w:spacing w:line="360" w:lineRule="auto"/>
              <w:rPr>
                <w:rFonts w:ascii="Arial" w:hAnsi="Arial" w:cs="Arial"/>
                <w:sz w:val="22"/>
                <w:szCs w:val="22"/>
                <w:lang w:val="en-GB"/>
              </w:rPr>
            </w:pPr>
            <w:r w:rsidRPr="00E4265B">
              <w:rPr>
                <w:rFonts w:ascii="Arial" w:hAnsi="Arial" w:cs="Arial"/>
                <w:sz w:val="22"/>
                <w:szCs w:val="22"/>
                <w:lang w:val="en-GB"/>
              </w:rPr>
              <w:t xml:space="preserve">&gt; 12.0 </w:t>
            </w:r>
            <w:r w:rsidR="00324D13" w:rsidRPr="00E4265B">
              <w:rPr>
                <w:rFonts w:ascii="Arial" w:hAnsi="Arial" w:cs="Arial"/>
                <w:sz w:val="22"/>
                <w:szCs w:val="22"/>
                <w:lang w:val="en-GB"/>
              </w:rPr>
              <w:t>and ≤</w:t>
            </w:r>
            <w:r w:rsidRPr="00E4265B">
              <w:rPr>
                <w:rFonts w:ascii="Arial" w:hAnsi="Arial" w:cs="Arial"/>
                <w:sz w:val="22"/>
                <w:szCs w:val="22"/>
                <w:lang w:val="en-GB"/>
              </w:rPr>
              <w:t xml:space="preserve"> 20.0 years</w:t>
            </w:r>
          </w:p>
        </w:tc>
        <w:tc>
          <w:tcPr>
            <w:tcW w:w="3375" w:type="dxa"/>
          </w:tcPr>
          <w:p w14:paraId="12476DB7" w14:textId="0549B161" w:rsidR="00E22FF2" w:rsidRPr="00E4265B" w:rsidRDefault="00E22FF2" w:rsidP="00324D13">
            <w:pPr>
              <w:spacing w:line="360" w:lineRule="auto"/>
              <w:ind w:right="297"/>
              <w:jc w:val="right"/>
              <w:rPr>
                <w:rFonts w:ascii="Arial" w:hAnsi="Arial" w:cs="Arial"/>
                <w:sz w:val="22"/>
                <w:szCs w:val="22"/>
                <w:lang w:val="en-GB"/>
              </w:rPr>
            </w:pPr>
            <w:r w:rsidRPr="00E4265B">
              <w:rPr>
                <w:rFonts w:ascii="Arial" w:hAnsi="Arial" w:cs="Arial"/>
                <w:sz w:val="22"/>
                <w:szCs w:val="22"/>
                <w:lang w:val="en-GB"/>
              </w:rPr>
              <w:t>0.60</w:t>
            </w:r>
            <w:r w:rsidR="00324D13" w:rsidRPr="00E4265B">
              <w:rPr>
                <w:rFonts w:ascii="Arial" w:hAnsi="Arial" w:cs="Arial"/>
                <w:sz w:val="22"/>
                <w:szCs w:val="22"/>
                <w:lang w:val="en-GB"/>
              </w:rPr>
              <w:t>%</w:t>
            </w:r>
          </w:p>
        </w:tc>
      </w:tr>
      <w:tr w:rsidR="00E22FF2" w:rsidRPr="00E4265B" w14:paraId="4F1C3AF5" w14:textId="77777777" w:rsidTr="00324D13">
        <w:tc>
          <w:tcPr>
            <w:tcW w:w="990" w:type="dxa"/>
            <w:vMerge/>
          </w:tcPr>
          <w:p w14:paraId="557965D9" w14:textId="77777777" w:rsidR="00E22FF2" w:rsidRPr="00E4265B" w:rsidRDefault="00E22FF2" w:rsidP="00324D13">
            <w:pPr>
              <w:spacing w:line="360" w:lineRule="auto"/>
              <w:rPr>
                <w:rFonts w:ascii="Arial" w:hAnsi="Arial" w:cs="Arial"/>
                <w:sz w:val="22"/>
                <w:szCs w:val="22"/>
                <w:lang w:val="en-GB"/>
              </w:rPr>
            </w:pPr>
          </w:p>
        </w:tc>
        <w:tc>
          <w:tcPr>
            <w:tcW w:w="2970" w:type="dxa"/>
          </w:tcPr>
          <w:p w14:paraId="2D451A9D" w14:textId="77777777" w:rsidR="00E22FF2" w:rsidRPr="00E4265B" w:rsidRDefault="00E22FF2" w:rsidP="00324D13">
            <w:pPr>
              <w:spacing w:line="360" w:lineRule="auto"/>
              <w:rPr>
                <w:rFonts w:ascii="Arial" w:hAnsi="Arial" w:cs="Arial"/>
                <w:sz w:val="22"/>
                <w:szCs w:val="22"/>
                <w:lang w:val="en-GB"/>
              </w:rPr>
            </w:pPr>
            <w:r w:rsidRPr="00E4265B">
              <w:rPr>
                <w:rFonts w:ascii="Arial" w:hAnsi="Arial" w:cs="Arial"/>
                <w:sz w:val="22"/>
                <w:szCs w:val="22"/>
                <w:lang w:val="en-GB"/>
              </w:rPr>
              <w:t>&gt; 20 years</w:t>
            </w:r>
          </w:p>
        </w:tc>
        <w:tc>
          <w:tcPr>
            <w:tcW w:w="3375" w:type="dxa"/>
          </w:tcPr>
          <w:p w14:paraId="4F1AB846" w14:textId="772699F8" w:rsidR="00E22FF2" w:rsidRPr="00E4265B" w:rsidRDefault="00E22FF2" w:rsidP="00324D13">
            <w:pPr>
              <w:spacing w:line="360" w:lineRule="auto"/>
              <w:ind w:right="297"/>
              <w:jc w:val="right"/>
              <w:rPr>
                <w:rFonts w:ascii="Arial" w:hAnsi="Arial" w:cs="Arial"/>
                <w:sz w:val="22"/>
                <w:szCs w:val="22"/>
                <w:lang w:val="en-GB"/>
              </w:rPr>
            </w:pPr>
            <w:r w:rsidRPr="00E4265B">
              <w:rPr>
                <w:rFonts w:ascii="Arial" w:hAnsi="Arial" w:cs="Arial"/>
                <w:sz w:val="22"/>
                <w:szCs w:val="22"/>
                <w:lang w:val="en-GB"/>
              </w:rPr>
              <w:t>0.60</w:t>
            </w:r>
            <w:r w:rsidR="00324D13" w:rsidRPr="00E4265B">
              <w:rPr>
                <w:rFonts w:ascii="Arial" w:hAnsi="Arial" w:cs="Arial"/>
                <w:sz w:val="22"/>
                <w:szCs w:val="22"/>
                <w:lang w:val="en-GB"/>
              </w:rPr>
              <w:t>%</w:t>
            </w:r>
          </w:p>
        </w:tc>
      </w:tr>
    </w:tbl>
    <w:p w14:paraId="090EA791" w14:textId="77777777" w:rsidR="00E22FF2" w:rsidRPr="00E4265B" w:rsidRDefault="00E22FF2" w:rsidP="007D7B3D">
      <w:pPr>
        <w:rPr>
          <w:rFonts w:ascii="Arial" w:hAnsi="Arial" w:cs="Arial"/>
          <w:sz w:val="22"/>
          <w:szCs w:val="22"/>
          <w:lang w:val="en-GB"/>
        </w:rPr>
      </w:pPr>
    </w:p>
    <w:p w14:paraId="123F21FF" w14:textId="77777777" w:rsidR="00E22FF2" w:rsidRPr="00E4265B" w:rsidRDefault="00BE780C"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.2.21</w:t>
      </w:r>
      <w:r w:rsidR="00E22FF2" w:rsidRPr="00E4265B">
        <w:rPr>
          <w:rFonts w:ascii="Arial" w:hAnsi="Arial" w:cs="Arial"/>
          <w:b/>
          <w:bCs/>
          <w:sz w:val="22"/>
          <w:szCs w:val="22"/>
          <w:lang w:val="en-GB"/>
        </w:rPr>
        <w:tab/>
      </w:r>
      <w:r w:rsidR="00E22FF2" w:rsidRPr="00E4265B">
        <w:rPr>
          <w:rFonts w:ascii="Arial" w:hAnsi="Arial" w:cs="Arial"/>
          <w:sz w:val="22"/>
          <w:szCs w:val="22"/>
          <w:lang w:val="en-GB"/>
        </w:rPr>
        <w:t>For the purposes of this Section Modified Duration is calculated as follows:</w:t>
      </w:r>
    </w:p>
    <w:p w14:paraId="1B07EF95" w14:textId="77777777" w:rsidR="00E22FF2" w:rsidRPr="00E4265B" w:rsidRDefault="00E22FF2" w:rsidP="00E86D64">
      <w:pPr>
        <w:pStyle w:val="UK12Block05"/>
        <w:ind w:left="0"/>
        <w:jc w:val="center"/>
        <w:rPr>
          <w:rFonts w:ascii="Arial" w:hAnsi="Arial" w:cs="Arial"/>
          <w:i/>
          <w:iCs/>
          <w:sz w:val="22"/>
          <w:szCs w:val="22"/>
          <w:lang w:val="en-GB"/>
        </w:rPr>
      </w:pPr>
      <w:r w:rsidRPr="00E4265B">
        <w:rPr>
          <w:rFonts w:ascii="Arial" w:hAnsi="Arial" w:cs="Arial"/>
          <w:i/>
          <w:iCs/>
          <w:sz w:val="22"/>
          <w:szCs w:val="22"/>
          <w:lang w:val="en-GB"/>
        </w:rPr>
        <w:t xml:space="preserve">Modified Duration = </w:t>
      </w:r>
      <w:r w:rsidR="0091589A" w:rsidRPr="00E4265B">
        <w:rPr>
          <w:rFonts w:ascii="Arial" w:hAnsi="Arial" w:cs="Arial"/>
          <w:i/>
          <w:iCs/>
          <w:position w:val="-30"/>
          <w:sz w:val="22"/>
          <w:szCs w:val="22"/>
          <w:lang w:val="en-GB"/>
        </w:rPr>
        <w:object w:dxaOrig="660" w:dyaOrig="680" w14:anchorId="6EE4A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pt;height:30.05pt" o:ole="">
            <v:imagedata r:id="rId25" o:title=""/>
          </v:shape>
          <o:OLEObject Type="Embed" ProgID="Equation.3" ShapeID="_x0000_i1025" DrawAspect="Content" ObjectID="_1763981096" r:id="rId26"/>
        </w:object>
      </w:r>
    </w:p>
    <w:p w14:paraId="2AC5BC64" w14:textId="77777777" w:rsidR="00E86D64" w:rsidRPr="00E4265B" w:rsidRDefault="00E86D64" w:rsidP="00E86D64">
      <w:pPr>
        <w:pStyle w:val="1List"/>
        <w:rPr>
          <w:rFonts w:ascii="Arial" w:hAnsi="Arial" w:cs="Arial"/>
          <w:sz w:val="22"/>
          <w:szCs w:val="22"/>
          <w:lang w:val="en-GB"/>
        </w:rPr>
      </w:pPr>
      <w:r w:rsidRPr="00E4265B">
        <w:rPr>
          <w:rFonts w:ascii="Arial" w:hAnsi="Arial" w:cs="Arial"/>
          <w:sz w:val="22"/>
          <w:szCs w:val="22"/>
          <w:lang w:val="en-GB"/>
        </w:rPr>
        <w:t>where:</w:t>
      </w:r>
    </w:p>
    <w:p w14:paraId="7CF4CAD5" w14:textId="2DE23EF3" w:rsidR="0091589A" w:rsidRPr="00E4265B" w:rsidRDefault="0091589A" w:rsidP="003A2C8C">
      <w:pPr>
        <w:pStyle w:val="1List"/>
        <w:ind w:left="540"/>
        <w:rPr>
          <w:rFonts w:ascii="Arial" w:hAnsi="Arial" w:cs="Arial"/>
          <w:sz w:val="22"/>
          <w:szCs w:val="22"/>
          <w:lang w:val="en-GB"/>
        </w:rPr>
      </w:pPr>
      <m:oMathPara>
        <m:oMath>
          <m:r>
            <w:rPr>
              <w:rFonts w:ascii="Cambria Math" w:hAnsi="Cambria Math" w:cs="Arial"/>
              <w:sz w:val="22"/>
              <w:szCs w:val="22"/>
            </w:rPr>
            <m:t>D=</m:t>
          </m:r>
          <m:f>
            <m:fPr>
              <m:ctrlPr>
                <w:rPr>
                  <w:rFonts w:ascii="Cambria Math" w:hAnsi="Cambria Math" w:cs="Arial"/>
                  <w:i/>
                  <w:sz w:val="22"/>
                  <w:szCs w:val="22"/>
                  <w:lang w:val="en-GB"/>
                </w:rPr>
              </m:ctrlPr>
            </m:fPr>
            <m:num>
              <m:nary>
                <m:naryPr>
                  <m:chr m:val="∑"/>
                  <m:limLoc m:val="undOvr"/>
                  <m:ctrlPr>
                    <w:rPr>
                      <w:rFonts w:ascii="Cambria Math" w:hAnsi="Cambria Math" w:cs="Arial"/>
                      <w:i/>
                      <w:sz w:val="22"/>
                      <w:szCs w:val="22"/>
                      <w:lang w:val="en-GB"/>
                    </w:rPr>
                  </m:ctrlPr>
                </m:naryPr>
                <m:sub>
                  <m:r>
                    <w:rPr>
                      <w:rFonts w:ascii="Cambria Math" w:hAnsi="Cambria Math" w:cs="Arial"/>
                      <w:sz w:val="22"/>
                      <w:szCs w:val="22"/>
                    </w:rPr>
                    <m:t>t=1</m:t>
                  </m:r>
                </m:sub>
                <m:sup>
                  <m:r>
                    <w:rPr>
                      <w:rFonts w:ascii="Cambria Math" w:hAnsi="Cambria Math" w:cs="Arial"/>
                      <w:sz w:val="22"/>
                      <w:szCs w:val="22"/>
                    </w:rPr>
                    <m:t>m</m:t>
                  </m:r>
                </m:sup>
                <m:e>
                  <m:f>
                    <m:fPr>
                      <m:ctrlPr>
                        <w:rPr>
                          <w:rFonts w:ascii="Cambria Math" w:hAnsi="Cambria Math" w:cs="Arial"/>
                          <w:i/>
                          <w:sz w:val="22"/>
                          <w:szCs w:val="22"/>
                          <w:lang w:val="en-GB"/>
                        </w:rPr>
                      </m:ctrlPr>
                    </m:fPr>
                    <m:num>
                      <m:r>
                        <w:rPr>
                          <w:rFonts w:ascii="Cambria Math" w:hAnsi="Cambria Math" w:cs="Arial"/>
                          <w:sz w:val="22"/>
                          <w:szCs w:val="22"/>
                        </w:rPr>
                        <m:t>t.</m:t>
                      </m:r>
                      <m:sSub>
                        <m:sSubPr>
                          <m:ctrlPr>
                            <w:rPr>
                              <w:rFonts w:ascii="Cambria Math" w:hAnsi="Cambria Math" w:cs="Arial"/>
                              <w:i/>
                              <w:sz w:val="22"/>
                              <w:szCs w:val="22"/>
                              <w:lang w:val="en-GB"/>
                            </w:rPr>
                          </m:ctrlPr>
                        </m:sSubPr>
                        <m:e>
                          <m:r>
                            <w:rPr>
                              <w:rFonts w:ascii="Cambria Math" w:hAnsi="Cambria Math" w:cs="Arial"/>
                              <w:sz w:val="22"/>
                              <w:szCs w:val="22"/>
                            </w:rPr>
                            <m:t>C</m:t>
                          </m:r>
                        </m:e>
                        <m:sub>
                          <m:r>
                            <w:rPr>
                              <w:rFonts w:ascii="Cambria Math" w:hAnsi="Cambria Math" w:cs="Arial"/>
                              <w:sz w:val="22"/>
                              <w:szCs w:val="22"/>
                            </w:rPr>
                            <m:t>t</m:t>
                          </m:r>
                        </m:sub>
                      </m:sSub>
                    </m:num>
                    <m:den>
                      <m:sSup>
                        <m:sSupPr>
                          <m:ctrlPr>
                            <w:rPr>
                              <w:rFonts w:ascii="Cambria Math" w:hAnsi="Cambria Math" w:cs="Arial"/>
                              <w:i/>
                              <w:sz w:val="22"/>
                              <w:szCs w:val="22"/>
                              <w:lang w:val="en-GB"/>
                            </w:rPr>
                          </m:ctrlPr>
                        </m:sSupPr>
                        <m:e>
                          <m:d>
                            <m:dPr>
                              <m:ctrlPr>
                                <w:rPr>
                                  <w:rFonts w:ascii="Cambria Math" w:hAnsi="Cambria Math" w:cs="Arial"/>
                                  <w:i/>
                                  <w:sz w:val="22"/>
                                  <w:szCs w:val="22"/>
                                </w:rPr>
                              </m:ctrlPr>
                            </m:dPr>
                            <m:e>
                              <m:r>
                                <w:rPr>
                                  <w:rFonts w:ascii="Cambria Math" w:hAnsi="Cambria Math" w:cs="Arial"/>
                                  <w:sz w:val="22"/>
                                  <w:szCs w:val="22"/>
                                </w:rPr>
                                <m:t>1+r</m:t>
                              </m:r>
                            </m:e>
                          </m:d>
                        </m:e>
                        <m:sup>
                          <m:r>
                            <w:rPr>
                              <w:rFonts w:ascii="Cambria Math" w:hAnsi="Cambria Math" w:cs="Arial"/>
                              <w:sz w:val="22"/>
                              <w:szCs w:val="22"/>
                            </w:rPr>
                            <m:t>t</m:t>
                          </m:r>
                        </m:sup>
                      </m:sSup>
                    </m:den>
                  </m:f>
                </m:e>
              </m:nary>
            </m:num>
            <m:den>
              <m:nary>
                <m:naryPr>
                  <m:chr m:val="∑"/>
                  <m:limLoc m:val="undOvr"/>
                  <m:ctrlPr>
                    <w:rPr>
                      <w:rFonts w:ascii="Cambria Math" w:hAnsi="Cambria Math" w:cs="Arial"/>
                      <w:i/>
                      <w:sz w:val="22"/>
                      <w:szCs w:val="22"/>
                      <w:lang w:val="en-GB"/>
                    </w:rPr>
                  </m:ctrlPr>
                </m:naryPr>
                <m:sub>
                  <m:r>
                    <w:rPr>
                      <w:rFonts w:ascii="Cambria Math" w:hAnsi="Cambria Math" w:cs="Arial"/>
                      <w:sz w:val="22"/>
                      <w:szCs w:val="22"/>
                    </w:rPr>
                    <m:t>t=1</m:t>
                  </m:r>
                </m:sub>
                <m:sup>
                  <m:r>
                    <w:rPr>
                      <w:rFonts w:ascii="Cambria Math" w:hAnsi="Cambria Math" w:cs="Arial"/>
                      <w:sz w:val="22"/>
                      <w:szCs w:val="22"/>
                    </w:rPr>
                    <m:t>m</m:t>
                  </m:r>
                </m:sup>
                <m:e>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rPr>
                            <m:t>C</m:t>
                          </m:r>
                        </m:e>
                        <m:sub>
                          <m:r>
                            <w:rPr>
                              <w:rFonts w:ascii="Cambria Math" w:hAnsi="Cambria Math" w:cs="Arial"/>
                              <w:sz w:val="22"/>
                              <w:szCs w:val="22"/>
                            </w:rPr>
                            <m:t>t</m:t>
                          </m:r>
                        </m:sub>
                      </m:sSub>
                    </m:num>
                    <m:den>
                      <m:sSup>
                        <m:sSupPr>
                          <m:ctrlPr>
                            <w:rPr>
                              <w:rFonts w:ascii="Cambria Math" w:hAnsi="Cambria Math" w:cs="Arial"/>
                              <w:i/>
                              <w:sz w:val="22"/>
                              <w:szCs w:val="22"/>
                              <w:lang w:val="en-GB"/>
                            </w:rPr>
                          </m:ctrlPr>
                        </m:sSupPr>
                        <m:e>
                          <m:d>
                            <m:dPr>
                              <m:ctrlPr>
                                <w:rPr>
                                  <w:rFonts w:ascii="Cambria Math" w:hAnsi="Cambria Math" w:cs="Arial"/>
                                  <w:i/>
                                  <w:sz w:val="22"/>
                                  <w:szCs w:val="22"/>
                                </w:rPr>
                              </m:ctrlPr>
                            </m:dPr>
                            <m:e>
                              <m:r>
                                <w:rPr>
                                  <w:rFonts w:ascii="Cambria Math" w:hAnsi="Cambria Math" w:cs="Arial"/>
                                  <w:sz w:val="22"/>
                                  <w:szCs w:val="22"/>
                                </w:rPr>
                                <m:t>1+r</m:t>
                              </m:r>
                            </m:e>
                          </m:d>
                        </m:e>
                        <m:sup>
                          <m:r>
                            <w:rPr>
                              <w:rFonts w:ascii="Cambria Math" w:hAnsi="Cambria Math" w:cs="Arial"/>
                              <w:sz w:val="22"/>
                              <w:szCs w:val="22"/>
                            </w:rPr>
                            <m:t>t</m:t>
                          </m:r>
                        </m:sup>
                      </m:sSup>
                    </m:den>
                  </m:f>
                </m:e>
              </m:nary>
            </m:den>
          </m:f>
        </m:oMath>
      </m:oMathPara>
    </w:p>
    <w:p w14:paraId="5779CE14" w14:textId="77777777"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r</w:t>
      </w:r>
      <w:r w:rsidRPr="00E4265B">
        <w:rPr>
          <w:rFonts w:ascii="Arial" w:hAnsi="Arial" w:cs="Arial"/>
          <w:sz w:val="22"/>
          <w:szCs w:val="22"/>
          <w:lang w:val="en-GB"/>
        </w:rPr>
        <w:t xml:space="preserve"> = yield to maturity</w:t>
      </w:r>
    </w:p>
    <w:p w14:paraId="76E3B911" w14:textId="77777777"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C</w:t>
      </w:r>
      <w:r w:rsidRPr="00E4265B">
        <w:rPr>
          <w:rFonts w:ascii="Arial" w:hAnsi="Arial" w:cs="Arial"/>
          <w:i/>
          <w:iCs/>
          <w:sz w:val="22"/>
          <w:szCs w:val="22"/>
          <w:vertAlign w:val="subscript"/>
          <w:lang w:val="en-GB"/>
        </w:rPr>
        <w:t>t</w:t>
      </w:r>
      <w:r w:rsidRPr="00E4265B">
        <w:rPr>
          <w:rFonts w:ascii="Arial" w:hAnsi="Arial" w:cs="Arial"/>
          <w:sz w:val="22"/>
          <w:szCs w:val="22"/>
          <w:lang w:val="en-GB"/>
        </w:rPr>
        <w:t xml:space="preserve"> = cash payment in time t</w:t>
      </w:r>
    </w:p>
    <w:p w14:paraId="193FBF48" w14:textId="77777777"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m</w:t>
      </w:r>
      <w:r w:rsidRPr="00E4265B">
        <w:rPr>
          <w:rFonts w:ascii="Arial" w:hAnsi="Arial" w:cs="Arial"/>
          <w:sz w:val="22"/>
          <w:szCs w:val="22"/>
          <w:lang w:val="en-GB"/>
        </w:rPr>
        <w:t xml:space="preserve"> = total maturity</w:t>
      </w:r>
    </w:p>
    <w:p w14:paraId="3D99FB9B" w14:textId="77777777" w:rsidR="00E22FF2" w:rsidRPr="00E4265B" w:rsidRDefault="00BE780C"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.2.22</w:t>
      </w:r>
      <w:r w:rsidR="00E22FF2" w:rsidRPr="00E4265B">
        <w:rPr>
          <w:rFonts w:ascii="Arial" w:hAnsi="Arial" w:cs="Arial"/>
          <w:b/>
          <w:bCs/>
          <w:sz w:val="22"/>
          <w:szCs w:val="22"/>
          <w:lang w:val="en-GB"/>
        </w:rPr>
        <w:tab/>
      </w:r>
      <w:r w:rsidR="00E22FF2" w:rsidRPr="00E4265B">
        <w:rPr>
          <w:rFonts w:ascii="Arial" w:hAnsi="Arial" w:cs="Arial"/>
          <w:sz w:val="22"/>
          <w:szCs w:val="22"/>
          <w:lang w:val="en-GB"/>
        </w:rPr>
        <w:t>The General Market Risk requirement for each currency must be calculated as the sum of the following:</w:t>
      </w:r>
    </w:p>
    <w:p w14:paraId="575649F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5% of the matched weighted positions in each time band;</w:t>
      </w:r>
    </w:p>
    <w:p w14:paraId="24606EB6" w14:textId="796DBAE3" w:rsidR="00E22FF2" w:rsidRPr="00E4265B" w:rsidRDefault="00E22FF2" w:rsidP="00881EF1">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40% of the matched weighted position in zone </w:t>
      </w:r>
      <w:r w:rsidR="00881EF1" w:rsidRPr="00E4265B">
        <w:rPr>
          <w:rFonts w:ascii="Arial" w:hAnsi="Arial" w:cs="Arial"/>
          <w:sz w:val="22"/>
          <w:szCs w:val="22"/>
          <w:lang w:val="en-GB"/>
        </w:rPr>
        <w:t>A</w:t>
      </w:r>
      <w:r w:rsidRPr="00E4265B">
        <w:rPr>
          <w:rFonts w:ascii="Arial" w:hAnsi="Arial" w:cs="Arial"/>
          <w:sz w:val="22"/>
          <w:szCs w:val="22"/>
          <w:lang w:val="en-GB"/>
        </w:rPr>
        <w:t>;</w:t>
      </w:r>
    </w:p>
    <w:p w14:paraId="2283F7C3" w14:textId="75206D8D" w:rsidR="00E22FF2" w:rsidRPr="00E4265B" w:rsidRDefault="00E22FF2" w:rsidP="00881EF1">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30% of the matched weighted position in zones </w:t>
      </w:r>
      <w:r w:rsidR="00881EF1" w:rsidRPr="00E4265B">
        <w:rPr>
          <w:rFonts w:ascii="Arial" w:hAnsi="Arial" w:cs="Arial"/>
          <w:sz w:val="22"/>
          <w:szCs w:val="22"/>
          <w:lang w:val="en-GB"/>
        </w:rPr>
        <w:t>B</w:t>
      </w:r>
      <w:r w:rsidRPr="00E4265B">
        <w:rPr>
          <w:rFonts w:ascii="Arial" w:hAnsi="Arial" w:cs="Arial"/>
          <w:sz w:val="22"/>
          <w:szCs w:val="22"/>
          <w:lang w:val="en-GB"/>
        </w:rPr>
        <w:t xml:space="preserve"> and </w:t>
      </w:r>
      <w:r w:rsidR="00881EF1" w:rsidRPr="00E4265B">
        <w:rPr>
          <w:rFonts w:ascii="Arial" w:hAnsi="Arial" w:cs="Arial"/>
          <w:sz w:val="22"/>
          <w:szCs w:val="22"/>
          <w:lang w:val="en-GB"/>
        </w:rPr>
        <w:t>C</w:t>
      </w:r>
      <w:r w:rsidRPr="00E4265B">
        <w:rPr>
          <w:rFonts w:ascii="Arial" w:hAnsi="Arial" w:cs="Arial"/>
          <w:sz w:val="22"/>
          <w:szCs w:val="22"/>
          <w:lang w:val="en-GB"/>
        </w:rPr>
        <w:t>;</w:t>
      </w:r>
    </w:p>
    <w:p w14:paraId="3BC4BDCB" w14:textId="1D0BD9FB" w:rsidR="00E22FF2" w:rsidRPr="00E4265B" w:rsidRDefault="00E22FF2" w:rsidP="00881EF1">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40% of the matched weighted position between zones </w:t>
      </w:r>
      <w:r w:rsidR="00881EF1" w:rsidRPr="00E4265B">
        <w:rPr>
          <w:rFonts w:ascii="Arial" w:hAnsi="Arial" w:cs="Arial"/>
          <w:sz w:val="22"/>
          <w:szCs w:val="22"/>
          <w:lang w:val="en-GB"/>
        </w:rPr>
        <w:t>A</w:t>
      </w:r>
      <w:r w:rsidRPr="00E4265B">
        <w:rPr>
          <w:rFonts w:ascii="Arial" w:hAnsi="Arial" w:cs="Arial"/>
          <w:sz w:val="22"/>
          <w:szCs w:val="22"/>
          <w:lang w:val="en-GB"/>
        </w:rPr>
        <w:t xml:space="preserve"> and </w:t>
      </w:r>
      <w:r w:rsidR="00881EF1" w:rsidRPr="00E4265B">
        <w:rPr>
          <w:rFonts w:ascii="Arial" w:hAnsi="Arial" w:cs="Arial"/>
          <w:sz w:val="22"/>
          <w:szCs w:val="22"/>
          <w:lang w:val="en-GB"/>
        </w:rPr>
        <w:t>B</w:t>
      </w:r>
      <w:r w:rsidRPr="00E4265B">
        <w:rPr>
          <w:rFonts w:ascii="Arial" w:hAnsi="Arial" w:cs="Arial"/>
          <w:sz w:val="22"/>
          <w:szCs w:val="22"/>
          <w:lang w:val="en-GB"/>
        </w:rPr>
        <w:t xml:space="preserve">, and between zones </w:t>
      </w:r>
      <w:r w:rsidR="00881EF1" w:rsidRPr="00E4265B">
        <w:rPr>
          <w:rFonts w:ascii="Arial" w:hAnsi="Arial" w:cs="Arial"/>
          <w:sz w:val="22"/>
          <w:szCs w:val="22"/>
          <w:lang w:val="en-GB"/>
        </w:rPr>
        <w:t>B</w:t>
      </w:r>
      <w:r w:rsidRPr="00E4265B">
        <w:rPr>
          <w:rFonts w:ascii="Arial" w:hAnsi="Arial" w:cs="Arial"/>
          <w:sz w:val="22"/>
          <w:szCs w:val="22"/>
          <w:lang w:val="en-GB"/>
        </w:rPr>
        <w:t xml:space="preserve"> and </w:t>
      </w:r>
      <w:r w:rsidR="00881EF1" w:rsidRPr="00E4265B">
        <w:rPr>
          <w:rFonts w:ascii="Arial" w:hAnsi="Arial" w:cs="Arial"/>
          <w:sz w:val="22"/>
          <w:szCs w:val="22"/>
          <w:lang w:val="en-GB"/>
        </w:rPr>
        <w:t>C</w:t>
      </w:r>
      <w:r w:rsidRPr="00E4265B">
        <w:rPr>
          <w:rFonts w:ascii="Arial" w:hAnsi="Arial" w:cs="Arial"/>
          <w:sz w:val="22"/>
          <w:szCs w:val="22"/>
          <w:lang w:val="en-GB"/>
        </w:rPr>
        <w:t>;</w:t>
      </w:r>
    </w:p>
    <w:p w14:paraId="05B1F94E" w14:textId="3B75D03E" w:rsidR="00E22FF2" w:rsidRPr="00E4265B" w:rsidRDefault="00E22FF2" w:rsidP="00881EF1">
      <w:pPr>
        <w:pStyle w:val="1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100% of the matched weighted position between zones </w:t>
      </w:r>
      <w:r w:rsidR="00881EF1" w:rsidRPr="00E4265B">
        <w:rPr>
          <w:rFonts w:ascii="Arial" w:hAnsi="Arial" w:cs="Arial"/>
          <w:sz w:val="22"/>
          <w:szCs w:val="22"/>
          <w:lang w:val="en-GB"/>
        </w:rPr>
        <w:t>A</w:t>
      </w:r>
      <w:r w:rsidRPr="00E4265B">
        <w:rPr>
          <w:rFonts w:ascii="Arial" w:hAnsi="Arial" w:cs="Arial"/>
          <w:sz w:val="22"/>
          <w:szCs w:val="22"/>
          <w:lang w:val="en-GB"/>
        </w:rPr>
        <w:t xml:space="preserve"> and </w:t>
      </w:r>
      <w:r w:rsidR="00881EF1" w:rsidRPr="00E4265B">
        <w:rPr>
          <w:rFonts w:ascii="Arial" w:hAnsi="Arial" w:cs="Arial"/>
          <w:sz w:val="22"/>
          <w:szCs w:val="22"/>
          <w:lang w:val="en-GB"/>
        </w:rPr>
        <w:t>C</w:t>
      </w:r>
      <w:r w:rsidRPr="00E4265B">
        <w:rPr>
          <w:rFonts w:ascii="Arial" w:hAnsi="Arial" w:cs="Arial"/>
          <w:sz w:val="22"/>
          <w:szCs w:val="22"/>
          <w:lang w:val="en-GB"/>
        </w:rPr>
        <w:t>; and</w:t>
      </w:r>
    </w:p>
    <w:p w14:paraId="17B5CFA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100% of the residual unmatched weighted positions.</w:t>
      </w:r>
    </w:p>
    <w:p w14:paraId="34ECC503" w14:textId="77777777" w:rsidR="00E22FF2" w:rsidRPr="00E4265B" w:rsidRDefault="00E22FF2" w:rsidP="00750BBF">
      <w:pPr>
        <w:pStyle w:val="TitleL5"/>
        <w:rPr>
          <w:rFonts w:ascii="Arial" w:hAnsi="Arial" w:cs="Arial"/>
          <w:sz w:val="22"/>
          <w:szCs w:val="22"/>
          <w:lang w:val="en-GB"/>
        </w:rPr>
      </w:pPr>
      <w:r w:rsidRPr="00E4265B">
        <w:rPr>
          <w:rFonts w:ascii="Arial" w:hAnsi="Arial" w:cs="Arial"/>
          <w:sz w:val="22"/>
          <w:szCs w:val="22"/>
          <w:lang w:val="en-GB"/>
        </w:rPr>
        <w:t>Guidance</w:t>
      </w:r>
    </w:p>
    <w:p w14:paraId="3F2EBEED" w14:textId="1490BA97" w:rsidR="00E22FF2" w:rsidRPr="00E4265B" w:rsidRDefault="00E22FF2" w:rsidP="00D84350">
      <w:pPr>
        <w:pStyle w:val="UK12Block05"/>
        <w:rPr>
          <w:rFonts w:ascii="Arial" w:hAnsi="Arial" w:cs="Arial"/>
          <w:sz w:val="22"/>
          <w:szCs w:val="22"/>
          <w:lang w:val="en-GB"/>
        </w:rPr>
      </w:pPr>
      <w:r w:rsidRPr="00E4265B">
        <w:rPr>
          <w:rFonts w:ascii="Arial" w:hAnsi="Arial" w:cs="Arial"/>
          <w:sz w:val="22"/>
          <w:szCs w:val="22"/>
          <w:lang w:val="en-GB"/>
        </w:rPr>
        <w:t>A worked example of the General Market Risk requirement calculation under the Duration Method is as follows:</w:t>
      </w:r>
    </w:p>
    <w:p w14:paraId="7F5F5DA4" w14:textId="77777777" w:rsidR="00E22FF2" w:rsidRPr="00E4265B" w:rsidRDefault="00E22FF2" w:rsidP="00926C93">
      <w:pPr>
        <w:rPr>
          <w:rFonts w:ascii="Arial" w:hAnsi="Arial" w:cs="Arial"/>
          <w:sz w:val="22"/>
          <w:szCs w:val="22"/>
          <w:lang w:val="en-GB"/>
        </w:rPr>
        <w:sectPr w:rsidR="00E22FF2" w:rsidRPr="00E4265B" w:rsidSect="00D33C4F">
          <w:headerReference w:type="default" r:id="rId27"/>
          <w:footerReference w:type="default" r:id="rId28"/>
          <w:pgSz w:w="11907" w:h="16839" w:code="9"/>
          <w:pgMar w:top="1440" w:right="1440" w:bottom="1350" w:left="1440" w:header="720" w:footer="720" w:gutter="0"/>
          <w:cols w:space="720"/>
          <w:docGrid w:linePitch="360"/>
        </w:sectPr>
      </w:pPr>
    </w:p>
    <w:tbl>
      <w:tblPr>
        <w:tblStyle w:val="TableGrid"/>
        <w:tblW w:w="0" w:type="auto"/>
        <w:tblLayout w:type="fixed"/>
        <w:tblLook w:val="04A0" w:firstRow="1" w:lastRow="0" w:firstColumn="1" w:lastColumn="0" w:noHBand="0" w:noVBand="1"/>
      </w:tblPr>
      <w:tblGrid>
        <w:gridCol w:w="628"/>
        <w:gridCol w:w="1820"/>
        <w:gridCol w:w="900"/>
        <w:gridCol w:w="990"/>
        <w:gridCol w:w="1530"/>
        <w:gridCol w:w="1080"/>
        <w:gridCol w:w="900"/>
        <w:gridCol w:w="810"/>
        <w:gridCol w:w="810"/>
        <w:gridCol w:w="810"/>
        <w:gridCol w:w="720"/>
        <w:gridCol w:w="720"/>
        <w:gridCol w:w="1440"/>
        <w:gridCol w:w="1107"/>
      </w:tblGrid>
      <w:tr w:rsidR="001668A3" w:rsidRPr="00E4265B" w14:paraId="7C744AB4" w14:textId="77777777" w:rsidTr="001668A3">
        <w:trPr>
          <w:trHeight w:val="620"/>
          <w:tblHeader/>
        </w:trPr>
        <w:tc>
          <w:tcPr>
            <w:tcW w:w="628" w:type="dxa"/>
            <w:vMerge w:val="restart"/>
            <w:shd w:val="clear" w:color="auto" w:fill="D9D9D9" w:themeFill="background1" w:themeFillShade="D9"/>
            <w:vAlign w:val="center"/>
          </w:tcPr>
          <w:p w14:paraId="59B4A137" w14:textId="5E03BDE8" w:rsidR="001668A3" w:rsidRPr="00E4265B" w:rsidRDefault="001668A3" w:rsidP="00D45A22">
            <w:pPr>
              <w:spacing w:line="360" w:lineRule="auto"/>
              <w:jc w:val="center"/>
              <w:rPr>
                <w:rFonts w:ascii="Arial" w:hAnsi="Arial" w:cs="Arial"/>
                <w:b/>
                <w:sz w:val="22"/>
                <w:szCs w:val="22"/>
                <w:lang w:val="en-GB"/>
              </w:rPr>
            </w:pPr>
            <w:r w:rsidRPr="00E4265B">
              <w:rPr>
                <w:rFonts w:ascii="Arial" w:hAnsi="Arial" w:cs="Arial"/>
                <w:b/>
                <w:sz w:val="22"/>
                <w:szCs w:val="22"/>
                <w:lang w:val="en-GB"/>
              </w:rPr>
              <w:lastRenderedPageBreak/>
              <w:t>Zone</w:t>
            </w:r>
          </w:p>
        </w:tc>
        <w:tc>
          <w:tcPr>
            <w:tcW w:w="1820" w:type="dxa"/>
            <w:vMerge w:val="restart"/>
            <w:shd w:val="clear" w:color="auto" w:fill="D9D9D9" w:themeFill="background1" w:themeFillShade="D9"/>
            <w:vAlign w:val="center"/>
          </w:tcPr>
          <w:p w14:paraId="019990DA" w14:textId="345AD573" w:rsidR="001668A3" w:rsidRPr="00E4265B" w:rsidRDefault="001668A3" w:rsidP="00F46380">
            <w:pPr>
              <w:spacing w:line="360" w:lineRule="auto"/>
              <w:jc w:val="center"/>
              <w:rPr>
                <w:rFonts w:ascii="Arial" w:hAnsi="Arial" w:cs="Arial"/>
                <w:b/>
                <w:sz w:val="22"/>
                <w:szCs w:val="22"/>
                <w:lang w:val="en-GB"/>
              </w:rPr>
            </w:pPr>
            <w:r w:rsidRPr="00E4265B">
              <w:rPr>
                <w:rFonts w:ascii="Arial" w:hAnsi="Arial" w:cs="Arial"/>
                <w:b/>
                <w:sz w:val="22"/>
                <w:szCs w:val="22"/>
                <w:lang w:val="en-GB"/>
              </w:rPr>
              <w:t>Time band</w:t>
            </w:r>
            <w:r w:rsidRPr="00E4265B">
              <w:rPr>
                <w:rFonts w:ascii="Arial" w:hAnsi="Arial" w:cs="Arial"/>
                <w:b/>
                <w:sz w:val="22"/>
                <w:szCs w:val="22"/>
                <w:lang w:val="en-GB"/>
              </w:rPr>
              <w:br/>
              <w:t>(m = months,</w:t>
            </w:r>
            <w:r w:rsidRPr="00E4265B">
              <w:rPr>
                <w:rFonts w:ascii="Arial" w:hAnsi="Arial" w:cs="Arial"/>
                <w:b/>
                <w:sz w:val="22"/>
                <w:szCs w:val="22"/>
                <w:lang w:val="en-GB"/>
              </w:rPr>
              <w:br/>
              <w:t>y = years)</w:t>
            </w:r>
          </w:p>
        </w:tc>
        <w:tc>
          <w:tcPr>
            <w:tcW w:w="1890" w:type="dxa"/>
            <w:gridSpan w:val="2"/>
            <w:vMerge w:val="restart"/>
            <w:shd w:val="clear" w:color="auto" w:fill="D9D9D9" w:themeFill="background1" w:themeFillShade="D9"/>
            <w:vAlign w:val="center"/>
          </w:tcPr>
          <w:p w14:paraId="7B56B4D0" w14:textId="400C5E67" w:rsidR="001668A3" w:rsidRPr="00E4265B" w:rsidRDefault="001668A3" w:rsidP="00520DA4">
            <w:pPr>
              <w:spacing w:line="360" w:lineRule="auto"/>
              <w:jc w:val="center"/>
              <w:rPr>
                <w:rFonts w:ascii="Arial" w:hAnsi="Arial" w:cs="Arial"/>
                <w:b/>
                <w:sz w:val="22"/>
                <w:szCs w:val="22"/>
                <w:lang w:val="en-GB"/>
              </w:rPr>
            </w:pPr>
            <w:r w:rsidRPr="00E4265B">
              <w:rPr>
                <w:rFonts w:ascii="Arial" w:hAnsi="Arial" w:cs="Arial"/>
                <w:b/>
                <w:sz w:val="22"/>
                <w:szCs w:val="22"/>
                <w:lang w:val="en-GB"/>
              </w:rPr>
              <w:t>Aggregate positions</w:t>
            </w:r>
            <w:r w:rsidRPr="00E4265B">
              <w:rPr>
                <w:rFonts w:ascii="Arial" w:hAnsi="Arial" w:cs="Arial"/>
                <w:b/>
                <w:sz w:val="22"/>
                <w:szCs w:val="22"/>
                <w:lang w:val="en-GB"/>
              </w:rPr>
              <w:br/>
              <w:t>per time band ($)</w:t>
            </w:r>
          </w:p>
        </w:tc>
        <w:tc>
          <w:tcPr>
            <w:tcW w:w="1530" w:type="dxa"/>
            <w:vMerge w:val="restart"/>
            <w:shd w:val="clear" w:color="auto" w:fill="D9D9D9" w:themeFill="background1" w:themeFillShade="D9"/>
            <w:vAlign w:val="center"/>
          </w:tcPr>
          <w:p w14:paraId="4863838D" w14:textId="70FF9A40" w:rsidR="001668A3" w:rsidRPr="00E4265B" w:rsidRDefault="001668A3" w:rsidP="001668A3">
            <w:pPr>
              <w:spacing w:line="360" w:lineRule="auto"/>
              <w:jc w:val="center"/>
              <w:rPr>
                <w:rFonts w:ascii="Arial" w:hAnsi="Arial" w:cs="Arial"/>
                <w:b/>
                <w:sz w:val="22"/>
                <w:szCs w:val="22"/>
                <w:lang w:val="en-GB"/>
              </w:rPr>
            </w:pPr>
            <w:r w:rsidRPr="00E4265B">
              <w:rPr>
                <w:rFonts w:ascii="Arial" w:hAnsi="Arial" w:cs="Arial"/>
                <w:b/>
                <w:sz w:val="22"/>
                <w:szCs w:val="22"/>
                <w:lang w:val="en-GB"/>
              </w:rPr>
              <w:t>Assumed move in interest rates (% pa)</w:t>
            </w:r>
          </w:p>
        </w:tc>
        <w:tc>
          <w:tcPr>
            <w:tcW w:w="1080" w:type="dxa"/>
            <w:vMerge w:val="restart"/>
            <w:shd w:val="clear" w:color="auto" w:fill="D9D9D9" w:themeFill="background1" w:themeFillShade="D9"/>
            <w:vAlign w:val="center"/>
          </w:tcPr>
          <w:p w14:paraId="154E027F" w14:textId="18CD8243" w:rsidR="001668A3" w:rsidRPr="00E4265B" w:rsidRDefault="001668A3" w:rsidP="001668A3">
            <w:pPr>
              <w:spacing w:line="360" w:lineRule="auto"/>
              <w:jc w:val="center"/>
              <w:rPr>
                <w:rFonts w:ascii="Arial" w:hAnsi="Arial" w:cs="Arial"/>
                <w:b/>
                <w:sz w:val="22"/>
                <w:szCs w:val="22"/>
                <w:lang w:val="en-GB"/>
              </w:rPr>
            </w:pPr>
            <w:r w:rsidRPr="00E4265B">
              <w:rPr>
                <w:rFonts w:ascii="Arial" w:hAnsi="Arial" w:cs="Arial"/>
                <w:b/>
                <w:sz w:val="22"/>
                <w:szCs w:val="22"/>
                <w:lang w:val="en-GB"/>
              </w:rPr>
              <w:t>Modified duration (years)</w:t>
            </w:r>
          </w:p>
        </w:tc>
        <w:tc>
          <w:tcPr>
            <w:tcW w:w="7317" w:type="dxa"/>
            <w:gridSpan w:val="8"/>
            <w:tcBorders>
              <w:bottom w:val="nil"/>
            </w:tcBorders>
            <w:shd w:val="clear" w:color="auto" w:fill="D9D9D9" w:themeFill="background1" w:themeFillShade="D9"/>
            <w:vAlign w:val="center"/>
          </w:tcPr>
          <w:p w14:paraId="6CC27E4D" w14:textId="0BF39697" w:rsidR="001668A3" w:rsidRPr="00E4265B" w:rsidRDefault="001668A3" w:rsidP="00D45A22">
            <w:pPr>
              <w:ind w:left="174"/>
              <w:jc w:val="center"/>
              <w:rPr>
                <w:rFonts w:ascii="Arial" w:hAnsi="Arial" w:cs="Arial"/>
                <w:b/>
                <w:sz w:val="22"/>
                <w:szCs w:val="22"/>
                <w:lang w:val="en-GB"/>
              </w:rPr>
            </w:pPr>
            <w:r w:rsidRPr="00E4265B">
              <w:rPr>
                <w:rFonts w:ascii="Arial" w:hAnsi="Arial" w:cs="Arial"/>
                <w:b/>
                <w:sz w:val="22"/>
                <w:szCs w:val="22"/>
                <w:lang w:val="en-GB"/>
              </w:rPr>
              <w:t>Aggregate positions per time band – weighted ($)</w:t>
            </w:r>
            <w:r w:rsidRPr="00E4265B">
              <w:rPr>
                <w:rFonts w:ascii="Arial" w:hAnsi="Arial" w:cs="Arial"/>
                <w:b/>
                <w:sz w:val="22"/>
                <w:szCs w:val="22"/>
                <w:lang w:val="en-GB"/>
              </w:rPr>
              <w:br/>
              <w:t>(M = matched, U = unmatched)</w:t>
            </w:r>
          </w:p>
        </w:tc>
      </w:tr>
      <w:tr w:rsidR="001668A3" w:rsidRPr="00E4265B" w14:paraId="7C4126FB" w14:textId="77777777" w:rsidTr="00A80508">
        <w:trPr>
          <w:trHeight w:val="665"/>
          <w:tblHeader/>
        </w:trPr>
        <w:tc>
          <w:tcPr>
            <w:tcW w:w="628" w:type="dxa"/>
            <w:vMerge/>
            <w:shd w:val="clear" w:color="auto" w:fill="D9D9D9" w:themeFill="background1" w:themeFillShade="D9"/>
            <w:vAlign w:val="center"/>
          </w:tcPr>
          <w:p w14:paraId="557775A5" w14:textId="50761B57" w:rsidR="001668A3" w:rsidRPr="00E4265B" w:rsidRDefault="001668A3" w:rsidP="00D45A22">
            <w:pPr>
              <w:spacing w:line="360" w:lineRule="auto"/>
              <w:jc w:val="center"/>
              <w:rPr>
                <w:rFonts w:ascii="Arial" w:hAnsi="Arial" w:cs="Arial"/>
                <w:b/>
                <w:sz w:val="22"/>
                <w:szCs w:val="22"/>
                <w:lang w:val="en-GB"/>
              </w:rPr>
            </w:pPr>
          </w:p>
        </w:tc>
        <w:tc>
          <w:tcPr>
            <w:tcW w:w="1820" w:type="dxa"/>
            <w:vMerge/>
            <w:shd w:val="clear" w:color="auto" w:fill="D9D9D9" w:themeFill="background1" w:themeFillShade="D9"/>
            <w:vAlign w:val="center"/>
          </w:tcPr>
          <w:p w14:paraId="62E91DFF" w14:textId="0D98D20A" w:rsidR="001668A3" w:rsidRPr="00E4265B" w:rsidRDefault="001668A3" w:rsidP="00D45A22">
            <w:pPr>
              <w:spacing w:line="360" w:lineRule="auto"/>
              <w:jc w:val="center"/>
              <w:rPr>
                <w:rFonts w:ascii="Arial" w:hAnsi="Arial" w:cs="Arial"/>
                <w:b/>
                <w:sz w:val="22"/>
                <w:szCs w:val="22"/>
                <w:lang w:val="en-GB"/>
              </w:rPr>
            </w:pPr>
          </w:p>
        </w:tc>
        <w:tc>
          <w:tcPr>
            <w:tcW w:w="1890" w:type="dxa"/>
            <w:gridSpan w:val="2"/>
            <w:vMerge/>
            <w:shd w:val="clear" w:color="auto" w:fill="D9D9D9" w:themeFill="background1" w:themeFillShade="D9"/>
            <w:vAlign w:val="center"/>
          </w:tcPr>
          <w:p w14:paraId="24309E6C" w14:textId="6D6765A1" w:rsidR="001668A3" w:rsidRPr="00E4265B" w:rsidRDefault="001668A3" w:rsidP="00D45A22">
            <w:pPr>
              <w:spacing w:line="360" w:lineRule="auto"/>
              <w:jc w:val="center"/>
              <w:rPr>
                <w:rFonts w:ascii="Arial" w:hAnsi="Arial" w:cs="Arial"/>
                <w:b/>
                <w:sz w:val="22"/>
                <w:szCs w:val="22"/>
                <w:lang w:val="en-GB"/>
              </w:rPr>
            </w:pPr>
          </w:p>
        </w:tc>
        <w:tc>
          <w:tcPr>
            <w:tcW w:w="1530" w:type="dxa"/>
            <w:vMerge/>
            <w:shd w:val="clear" w:color="auto" w:fill="D9D9D9" w:themeFill="background1" w:themeFillShade="D9"/>
            <w:vAlign w:val="center"/>
          </w:tcPr>
          <w:p w14:paraId="783A6674" w14:textId="4D0877CB" w:rsidR="001668A3" w:rsidRPr="00E4265B" w:rsidRDefault="001668A3" w:rsidP="00D45A22">
            <w:pPr>
              <w:spacing w:line="360" w:lineRule="auto"/>
              <w:jc w:val="center"/>
              <w:rPr>
                <w:rFonts w:ascii="Arial" w:hAnsi="Arial" w:cs="Arial"/>
                <w:b/>
                <w:sz w:val="22"/>
                <w:szCs w:val="22"/>
                <w:lang w:val="en-GB"/>
              </w:rPr>
            </w:pPr>
          </w:p>
        </w:tc>
        <w:tc>
          <w:tcPr>
            <w:tcW w:w="1080" w:type="dxa"/>
            <w:vMerge/>
            <w:shd w:val="clear" w:color="auto" w:fill="D9D9D9" w:themeFill="background1" w:themeFillShade="D9"/>
            <w:vAlign w:val="center"/>
          </w:tcPr>
          <w:p w14:paraId="73796C72" w14:textId="4F726DC5" w:rsidR="001668A3" w:rsidRPr="00E4265B" w:rsidRDefault="001668A3" w:rsidP="00D45A22">
            <w:pPr>
              <w:spacing w:line="360" w:lineRule="auto"/>
              <w:jc w:val="center"/>
              <w:rPr>
                <w:rFonts w:ascii="Arial" w:hAnsi="Arial" w:cs="Arial"/>
                <w:b/>
                <w:sz w:val="22"/>
                <w:szCs w:val="22"/>
                <w:lang w:val="en-GB"/>
              </w:rPr>
            </w:pPr>
          </w:p>
        </w:tc>
        <w:tc>
          <w:tcPr>
            <w:tcW w:w="1710" w:type="dxa"/>
            <w:gridSpan w:val="2"/>
            <w:tcBorders>
              <w:top w:val="nil"/>
            </w:tcBorders>
            <w:shd w:val="clear" w:color="auto" w:fill="D9D9D9" w:themeFill="background1" w:themeFillShade="D9"/>
            <w:vAlign w:val="center"/>
          </w:tcPr>
          <w:p w14:paraId="14423872" w14:textId="29D70A6B" w:rsidR="001668A3" w:rsidRPr="00E4265B" w:rsidRDefault="001668A3" w:rsidP="00D45A22">
            <w:pPr>
              <w:spacing w:line="360" w:lineRule="auto"/>
              <w:jc w:val="center"/>
              <w:rPr>
                <w:rFonts w:ascii="Arial" w:hAnsi="Arial" w:cs="Arial"/>
                <w:b/>
                <w:sz w:val="22"/>
                <w:szCs w:val="22"/>
                <w:lang w:val="en-GB"/>
              </w:rPr>
            </w:pPr>
          </w:p>
        </w:tc>
        <w:tc>
          <w:tcPr>
            <w:tcW w:w="1620" w:type="dxa"/>
            <w:gridSpan w:val="2"/>
            <w:tcBorders>
              <w:top w:val="single" w:sz="4" w:space="0" w:color="auto"/>
            </w:tcBorders>
            <w:shd w:val="clear" w:color="auto" w:fill="D9D9D9" w:themeFill="background1" w:themeFillShade="D9"/>
            <w:vAlign w:val="center"/>
          </w:tcPr>
          <w:p w14:paraId="4B7C1799" w14:textId="76A00249" w:rsidR="001668A3" w:rsidRPr="00E4265B" w:rsidRDefault="001668A3" w:rsidP="00D45A22">
            <w:pPr>
              <w:spacing w:line="360" w:lineRule="auto"/>
              <w:jc w:val="center"/>
              <w:rPr>
                <w:rFonts w:ascii="Arial" w:hAnsi="Arial" w:cs="Arial"/>
                <w:b/>
                <w:sz w:val="22"/>
                <w:szCs w:val="22"/>
                <w:lang w:val="en-GB"/>
              </w:rPr>
            </w:pPr>
            <w:r w:rsidRPr="00E4265B">
              <w:rPr>
                <w:rFonts w:ascii="Arial" w:hAnsi="Arial" w:cs="Arial"/>
                <w:b/>
                <w:sz w:val="22"/>
                <w:szCs w:val="22"/>
                <w:lang w:val="en-GB"/>
              </w:rPr>
              <w:t>By time band</w:t>
            </w:r>
          </w:p>
        </w:tc>
        <w:tc>
          <w:tcPr>
            <w:tcW w:w="1440" w:type="dxa"/>
            <w:gridSpan w:val="2"/>
            <w:tcBorders>
              <w:top w:val="single" w:sz="4" w:space="0" w:color="auto"/>
            </w:tcBorders>
            <w:shd w:val="clear" w:color="auto" w:fill="D9D9D9" w:themeFill="background1" w:themeFillShade="D9"/>
            <w:vAlign w:val="center"/>
          </w:tcPr>
          <w:p w14:paraId="72A22C89" w14:textId="42F27467" w:rsidR="001668A3" w:rsidRPr="00E4265B" w:rsidRDefault="001668A3" w:rsidP="00D45A22">
            <w:pPr>
              <w:spacing w:line="360" w:lineRule="auto"/>
              <w:jc w:val="center"/>
              <w:rPr>
                <w:rFonts w:ascii="Arial" w:hAnsi="Arial" w:cs="Arial"/>
                <w:b/>
                <w:sz w:val="22"/>
                <w:szCs w:val="22"/>
                <w:lang w:val="en-GB"/>
              </w:rPr>
            </w:pPr>
            <w:r w:rsidRPr="00E4265B">
              <w:rPr>
                <w:rFonts w:ascii="Arial" w:hAnsi="Arial" w:cs="Arial"/>
                <w:b/>
                <w:sz w:val="22"/>
                <w:szCs w:val="22"/>
                <w:lang w:val="en-GB"/>
              </w:rPr>
              <w:t>By zone</w:t>
            </w:r>
          </w:p>
        </w:tc>
        <w:tc>
          <w:tcPr>
            <w:tcW w:w="2547" w:type="dxa"/>
            <w:gridSpan w:val="2"/>
            <w:tcBorders>
              <w:top w:val="single" w:sz="4" w:space="0" w:color="auto"/>
            </w:tcBorders>
            <w:shd w:val="clear" w:color="auto" w:fill="D9D9D9" w:themeFill="background1" w:themeFillShade="D9"/>
            <w:vAlign w:val="center"/>
          </w:tcPr>
          <w:p w14:paraId="52936972" w14:textId="4031F14F" w:rsidR="001668A3" w:rsidRPr="00E4265B" w:rsidRDefault="001668A3" w:rsidP="00D45A22">
            <w:pPr>
              <w:spacing w:line="360" w:lineRule="auto"/>
              <w:jc w:val="center"/>
              <w:rPr>
                <w:rFonts w:ascii="Arial" w:hAnsi="Arial" w:cs="Arial"/>
                <w:b/>
                <w:sz w:val="22"/>
                <w:szCs w:val="22"/>
                <w:lang w:val="en-GB"/>
              </w:rPr>
            </w:pPr>
            <w:r w:rsidRPr="00E4265B">
              <w:rPr>
                <w:rFonts w:ascii="Arial" w:hAnsi="Arial" w:cs="Arial"/>
                <w:b/>
                <w:sz w:val="22"/>
                <w:szCs w:val="22"/>
                <w:lang w:val="en-GB"/>
              </w:rPr>
              <w:t>Between zones</w:t>
            </w:r>
          </w:p>
        </w:tc>
      </w:tr>
      <w:tr w:rsidR="001668A3" w:rsidRPr="00E4265B" w14:paraId="41D941F9" w14:textId="77777777" w:rsidTr="00F16FD1">
        <w:trPr>
          <w:trHeight w:val="144"/>
          <w:tblHeader/>
        </w:trPr>
        <w:tc>
          <w:tcPr>
            <w:tcW w:w="628" w:type="dxa"/>
            <w:vMerge/>
            <w:tcBorders>
              <w:bottom w:val="single" w:sz="4" w:space="0" w:color="auto"/>
            </w:tcBorders>
            <w:vAlign w:val="center"/>
          </w:tcPr>
          <w:p w14:paraId="6A8172F4" w14:textId="77777777" w:rsidR="001668A3" w:rsidRPr="00E4265B" w:rsidRDefault="001668A3" w:rsidP="00D45A22">
            <w:pPr>
              <w:spacing w:line="360" w:lineRule="auto"/>
              <w:rPr>
                <w:rFonts w:ascii="Arial" w:hAnsi="Arial" w:cs="Arial"/>
                <w:sz w:val="22"/>
                <w:szCs w:val="22"/>
                <w:lang w:val="en-GB"/>
              </w:rPr>
            </w:pPr>
          </w:p>
        </w:tc>
        <w:tc>
          <w:tcPr>
            <w:tcW w:w="1820" w:type="dxa"/>
            <w:vMerge/>
            <w:tcBorders>
              <w:bottom w:val="single" w:sz="4" w:space="0" w:color="auto"/>
            </w:tcBorders>
            <w:shd w:val="clear" w:color="auto" w:fill="D9D9D9" w:themeFill="background1" w:themeFillShade="D9"/>
            <w:vAlign w:val="center"/>
          </w:tcPr>
          <w:p w14:paraId="0323D994" w14:textId="06D4DAD5" w:rsidR="001668A3" w:rsidRPr="00E4265B" w:rsidRDefault="001668A3" w:rsidP="00D45A22">
            <w:pPr>
              <w:spacing w:line="360" w:lineRule="auto"/>
              <w:jc w:val="center"/>
              <w:rPr>
                <w:rFonts w:ascii="Arial" w:hAnsi="Arial" w:cs="Arial"/>
                <w:sz w:val="22"/>
                <w:szCs w:val="22"/>
                <w:lang w:val="en-GB"/>
              </w:rPr>
            </w:pPr>
          </w:p>
        </w:tc>
        <w:tc>
          <w:tcPr>
            <w:tcW w:w="900" w:type="dxa"/>
            <w:tcBorders>
              <w:bottom w:val="single" w:sz="4" w:space="0" w:color="auto"/>
            </w:tcBorders>
            <w:shd w:val="clear" w:color="auto" w:fill="D9D9D9" w:themeFill="background1" w:themeFillShade="D9"/>
            <w:vAlign w:val="center"/>
          </w:tcPr>
          <w:p w14:paraId="115EBB90" w14:textId="77777777" w:rsidR="001668A3" w:rsidRPr="00E4265B" w:rsidRDefault="001668A3" w:rsidP="00D45A22">
            <w:pPr>
              <w:spacing w:line="360" w:lineRule="auto"/>
              <w:jc w:val="center"/>
              <w:rPr>
                <w:rFonts w:ascii="Arial" w:hAnsi="Arial" w:cs="Arial"/>
                <w:sz w:val="22"/>
                <w:szCs w:val="22"/>
                <w:lang w:val="en-GB"/>
              </w:rPr>
            </w:pPr>
            <w:r w:rsidRPr="00E4265B">
              <w:rPr>
                <w:rFonts w:ascii="Arial" w:hAnsi="Arial" w:cs="Arial"/>
                <w:sz w:val="22"/>
                <w:szCs w:val="22"/>
                <w:lang w:val="en-GB"/>
              </w:rPr>
              <w:t>Long</w:t>
            </w:r>
          </w:p>
        </w:tc>
        <w:tc>
          <w:tcPr>
            <w:tcW w:w="990" w:type="dxa"/>
            <w:tcBorders>
              <w:bottom w:val="single" w:sz="4" w:space="0" w:color="auto"/>
            </w:tcBorders>
            <w:shd w:val="clear" w:color="auto" w:fill="D9D9D9" w:themeFill="background1" w:themeFillShade="D9"/>
            <w:vAlign w:val="center"/>
          </w:tcPr>
          <w:p w14:paraId="7A4E5103" w14:textId="77777777" w:rsidR="001668A3" w:rsidRPr="00E4265B" w:rsidRDefault="001668A3" w:rsidP="00D45A22">
            <w:pPr>
              <w:spacing w:line="360" w:lineRule="auto"/>
              <w:jc w:val="center"/>
              <w:rPr>
                <w:rFonts w:ascii="Arial" w:hAnsi="Arial" w:cs="Arial"/>
                <w:sz w:val="22"/>
                <w:szCs w:val="22"/>
                <w:lang w:val="en-GB"/>
              </w:rPr>
            </w:pPr>
            <w:r w:rsidRPr="00E4265B">
              <w:rPr>
                <w:rFonts w:ascii="Arial" w:hAnsi="Arial" w:cs="Arial"/>
                <w:sz w:val="22"/>
                <w:szCs w:val="22"/>
                <w:lang w:val="en-GB"/>
              </w:rPr>
              <w:t>Short</w:t>
            </w:r>
          </w:p>
        </w:tc>
        <w:tc>
          <w:tcPr>
            <w:tcW w:w="1530" w:type="dxa"/>
            <w:vMerge/>
            <w:tcBorders>
              <w:bottom w:val="single" w:sz="4" w:space="0" w:color="auto"/>
            </w:tcBorders>
            <w:shd w:val="clear" w:color="auto" w:fill="D9D9D9" w:themeFill="background1" w:themeFillShade="D9"/>
            <w:vAlign w:val="center"/>
          </w:tcPr>
          <w:p w14:paraId="2986DECC" w14:textId="506E7F41" w:rsidR="001668A3" w:rsidRPr="00E4265B" w:rsidRDefault="001668A3" w:rsidP="00D45A22">
            <w:pPr>
              <w:spacing w:line="360" w:lineRule="auto"/>
              <w:jc w:val="center"/>
              <w:rPr>
                <w:rFonts w:ascii="Arial" w:hAnsi="Arial" w:cs="Arial"/>
                <w:sz w:val="22"/>
                <w:szCs w:val="22"/>
                <w:lang w:val="en-GB"/>
              </w:rPr>
            </w:pPr>
          </w:p>
        </w:tc>
        <w:tc>
          <w:tcPr>
            <w:tcW w:w="1080" w:type="dxa"/>
            <w:vMerge/>
            <w:tcBorders>
              <w:bottom w:val="single" w:sz="4" w:space="0" w:color="auto"/>
            </w:tcBorders>
            <w:shd w:val="clear" w:color="auto" w:fill="D9D9D9" w:themeFill="background1" w:themeFillShade="D9"/>
            <w:vAlign w:val="center"/>
          </w:tcPr>
          <w:p w14:paraId="361DF195" w14:textId="30D8E93D" w:rsidR="001668A3" w:rsidRPr="00E4265B" w:rsidRDefault="001668A3" w:rsidP="00D45A22">
            <w:pPr>
              <w:spacing w:line="360" w:lineRule="auto"/>
              <w:jc w:val="center"/>
              <w:rPr>
                <w:rFonts w:ascii="Arial" w:hAnsi="Arial" w:cs="Arial"/>
                <w:sz w:val="22"/>
                <w:szCs w:val="22"/>
                <w:lang w:val="en-GB"/>
              </w:rPr>
            </w:pPr>
          </w:p>
        </w:tc>
        <w:tc>
          <w:tcPr>
            <w:tcW w:w="900" w:type="dxa"/>
            <w:tcBorders>
              <w:bottom w:val="single" w:sz="4" w:space="0" w:color="auto"/>
            </w:tcBorders>
            <w:shd w:val="clear" w:color="auto" w:fill="D9D9D9" w:themeFill="background1" w:themeFillShade="D9"/>
            <w:vAlign w:val="center"/>
          </w:tcPr>
          <w:p w14:paraId="35C9A0D2" w14:textId="7339A8A3" w:rsidR="001668A3" w:rsidRPr="00E4265B" w:rsidRDefault="001668A3" w:rsidP="00D45A22">
            <w:pPr>
              <w:spacing w:line="360" w:lineRule="auto"/>
              <w:jc w:val="center"/>
              <w:rPr>
                <w:rFonts w:ascii="Arial" w:hAnsi="Arial" w:cs="Arial"/>
                <w:sz w:val="22"/>
                <w:szCs w:val="22"/>
                <w:lang w:val="en-GB"/>
              </w:rPr>
            </w:pPr>
            <w:r w:rsidRPr="00E4265B">
              <w:rPr>
                <w:rFonts w:ascii="Arial" w:hAnsi="Arial" w:cs="Arial"/>
                <w:sz w:val="22"/>
                <w:szCs w:val="22"/>
                <w:lang w:val="en-GB"/>
              </w:rPr>
              <w:t>Long</w:t>
            </w:r>
          </w:p>
        </w:tc>
        <w:tc>
          <w:tcPr>
            <w:tcW w:w="810" w:type="dxa"/>
            <w:tcBorders>
              <w:bottom w:val="single" w:sz="4" w:space="0" w:color="auto"/>
            </w:tcBorders>
            <w:shd w:val="clear" w:color="auto" w:fill="D9D9D9" w:themeFill="background1" w:themeFillShade="D9"/>
            <w:vAlign w:val="center"/>
          </w:tcPr>
          <w:p w14:paraId="132B5AE7" w14:textId="63116B01" w:rsidR="001668A3" w:rsidRPr="00E4265B" w:rsidRDefault="001668A3" w:rsidP="00D45A22">
            <w:pPr>
              <w:spacing w:line="360" w:lineRule="auto"/>
              <w:jc w:val="center"/>
              <w:rPr>
                <w:rFonts w:ascii="Arial" w:hAnsi="Arial" w:cs="Arial"/>
                <w:sz w:val="22"/>
                <w:szCs w:val="22"/>
                <w:lang w:val="en-GB"/>
              </w:rPr>
            </w:pPr>
            <w:r w:rsidRPr="00E4265B">
              <w:rPr>
                <w:rFonts w:ascii="Arial" w:hAnsi="Arial" w:cs="Arial"/>
                <w:sz w:val="22"/>
                <w:szCs w:val="22"/>
                <w:lang w:val="en-GB"/>
              </w:rPr>
              <w:t>Short</w:t>
            </w:r>
          </w:p>
        </w:tc>
        <w:tc>
          <w:tcPr>
            <w:tcW w:w="810" w:type="dxa"/>
            <w:tcBorders>
              <w:bottom w:val="single" w:sz="4" w:space="0" w:color="auto"/>
            </w:tcBorders>
            <w:shd w:val="clear" w:color="auto" w:fill="D9D9D9" w:themeFill="background1" w:themeFillShade="D9"/>
            <w:vAlign w:val="center"/>
          </w:tcPr>
          <w:p w14:paraId="014B15C1" w14:textId="58D82446" w:rsidR="001668A3" w:rsidRPr="00E4265B" w:rsidRDefault="001668A3" w:rsidP="00D45A22">
            <w:pPr>
              <w:spacing w:line="360" w:lineRule="auto"/>
              <w:jc w:val="center"/>
              <w:rPr>
                <w:rFonts w:ascii="Arial" w:hAnsi="Arial" w:cs="Arial"/>
                <w:sz w:val="22"/>
                <w:szCs w:val="22"/>
                <w:lang w:val="en-GB"/>
              </w:rPr>
            </w:pPr>
            <w:r w:rsidRPr="00E4265B">
              <w:rPr>
                <w:rFonts w:ascii="Arial" w:hAnsi="Arial" w:cs="Arial"/>
                <w:sz w:val="22"/>
                <w:szCs w:val="22"/>
                <w:lang w:val="en-GB"/>
              </w:rPr>
              <w:t>M</w:t>
            </w:r>
          </w:p>
        </w:tc>
        <w:tc>
          <w:tcPr>
            <w:tcW w:w="810" w:type="dxa"/>
            <w:tcBorders>
              <w:bottom w:val="single" w:sz="4" w:space="0" w:color="auto"/>
            </w:tcBorders>
            <w:shd w:val="clear" w:color="auto" w:fill="D9D9D9" w:themeFill="background1" w:themeFillShade="D9"/>
            <w:vAlign w:val="center"/>
          </w:tcPr>
          <w:p w14:paraId="388E4BAE" w14:textId="1B9E5267" w:rsidR="001668A3" w:rsidRPr="00E4265B" w:rsidRDefault="001668A3" w:rsidP="00D45A22">
            <w:pPr>
              <w:spacing w:line="360" w:lineRule="auto"/>
              <w:jc w:val="center"/>
              <w:rPr>
                <w:rFonts w:ascii="Arial" w:hAnsi="Arial" w:cs="Arial"/>
                <w:sz w:val="22"/>
                <w:szCs w:val="22"/>
                <w:lang w:val="en-GB"/>
              </w:rPr>
            </w:pPr>
            <w:r w:rsidRPr="00E4265B">
              <w:rPr>
                <w:rFonts w:ascii="Arial" w:hAnsi="Arial" w:cs="Arial"/>
                <w:sz w:val="22"/>
                <w:szCs w:val="22"/>
                <w:lang w:val="en-GB"/>
              </w:rPr>
              <w:t>U</w:t>
            </w:r>
          </w:p>
        </w:tc>
        <w:tc>
          <w:tcPr>
            <w:tcW w:w="720" w:type="dxa"/>
            <w:tcBorders>
              <w:bottom w:val="single" w:sz="4" w:space="0" w:color="auto"/>
            </w:tcBorders>
            <w:shd w:val="clear" w:color="auto" w:fill="D9D9D9" w:themeFill="background1" w:themeFillShade="D9"/>
            <w:vAlign w:val="center"/>
          </w:tcPr>
          <w:p w14:paraId="45FA1F63" w14:textId="62D2CD46" w:rsidR="001668A3" w:rsidRPr="00E4265B" w:rsidRDefault="001668A3" w:rsidP="00D45A22">
            <w:pPr>
              <w:spacing w:line="360" w:lineRule="auto"/>
              <w:jc w:val="center"/>
              <w:rPr>
                <w:rFonts w:ascii="Arial" w:hAnsi="Arial" w:cs="Arial"/>
                <w:sz w:val="22"/>
                <w:szCs w:val="22"/>
                <w:lang w:val="en-GB"/>
              </w:rPr>
            </w:pPr>
            <w:r w:rsidRPr="00E4265B">
              <w:rPr>
                <w:rFonts w:ascii="Arial" w:hAnsi="Arial" w:cs="Arial"/>
                <w:sz w:val="22"/>
                <w:szCs w:val="22"/>
                <w:lang w:val="en-GB"/>
              </w:rPr>
              <w:t>M</w:t>
            </w:r>
          </w:p>
        </w:tc>
        <w:tc>
          <w:tcPr>
            <w:tcW w:w="720" w:type="dxa"/>
            <w:tcBorders>
              <w:bottom w:val="single" w:sz="4" w:space="0" w:color="auto"/>
            </w:tcBorders>
            <w:shd w:val="clear" w:color="auto" w:fill="D9D9D9" w:themeFill="background1" w:themeFillShade="D9"/>
            <w:vAlign w:val="center"/>
          </w:tcPr>
          <w:p w14:paraId="279301B7" w14:textId="17855FA7" w:rsidR="001668A3" w:rsidRPr="00E4265B" w:rsidRDefault="001668A3" w:rsidP="00D45A22">
            <w:pPr>
              <w:spacing w:line="360" w:lineRule="auto"/>
              <w:jc w:val="center"/>
              <w:rPr>
                <w:rFonts w:ascii="Arial" w:hAnsi="Arial" w:cs="Arial"/>
                <w:sz w:val="22"/>
                <w:szCs w:val="22"/>
                <w:lang w:val="en-GB"/>
              </w:rPr>
            </w:pPr>
            <w:r w:rsidRPr="00E4265B">
              <w:rPr>
                <w:rFonts w:ascii="Arial" w:hAnsi="Arial" w:cs="Arial"/>
                <w:sz w:val="22"/>
                <w:szCs w:val="22"/>
                <w:lang w:val="en-GB"/>
              </w:rPr>
              <w:t>U</w:t>
            </w:r>
          </w:p>
        </w:tc>
        <w:tc>
          <w:tcPr>
            <w:tcW w:w="1440" w:type="dxa"/>
            <w:tcBorders>
              <w:bottom w:val="single" w:sz="4" w:space="0" w:color="auto"/>
            </w:tcBorders>
            <w:shd w:val="clear" w:color="auto" w:fill="D9D9D9" w:themeFill="background1" w:themeFillShade="D9"/>
            <w:vAlign w:val="center"/>
          </w:tcPr>
          <w:p w14:paraId="4DB5A0C5" w14:textId="6217FC48" w:rsidR="001668A3" w:rsidRPr="00E4265B" w:rsidRDefault="001668A3" w:rsidP="00D45A22">
            <w:pPr>
              <w:spacing w:line="360" w:lineRule="auto"/>
              <w:jc w:val="center"/>
              <w:rPr>
                <w:rFonts w:ascii="Arial" w:hAnsi="Arial" w:cs="Arial"/>
                <w:sz w:val="22"/>
                <w:szCs w:val="22"/>
                <w:lang w:val="en-GB"/>
              </w:rPr>
            </w:pPr>
            <w:r w:rsidRPr="00E4265B">
              <w:rPr>
                <w:rFonts w:ascii="Arial" w:hAnsi="Arial" w:cs="Arial"/>
                <w:sz w:val="22"/>
                <w:szCs w:val="22"/>
                <w:lang w:val="en-GB"/>
              </w:rPr>
              <w:t>M</w:t>
            </w:r>
          </w:p>
        </w:tc>
        <w:tc>
          <w:tcPr>
            <w:tcW w:w="1107" w:type="dxa"/>
            <w:tcBorders>
              <w:bottom w:val="single" w:sz="4" w:space="0" w:color="auto"/>
            </w:tcBorders>
            <w:shd w:val="clear" w:color="auto" w:fill="D9D9D9" w:themeFill="background1" w:themeFillShade="D9"/>
            <w:vAlign w:val="center"/>
          </w:tcPr>
          <w:p w14:paraId="4BE596DC" w14:textId="379EE47A" w:rsidR="001668A3" w:rsidRPr="00E4265B" w:rsidRDefault="001668A3" w:rsidP="00D45A22">
            <w:pPr>
              <w:spacing w:line="360" w:lineRule="auto"/>
              <w:jc w:val="center"/>
              <w:rPr>
                <w:rFonts w:ascii="Arial" w:hAnsi="Arial" w:cs="Arial"/>
                <w:sz w:val="22"/>
                <w:szCs w:val="22"/>
                <w:lang w:val="en-GB"/>
              </w:rPr>
            </w:pPr>
            <w:r w:rsidRPr="00E4265B">
              <w:rPr>
                <w:rFonts w:ascii="Arial" w:hAnsi="Arial" w:cs="Arial"/>
                <w:sz w:val="22"/>
                <w:szCs w:val="22"/>
                <w:lang w:val="en-GB"/>
              </w:rPr>
              <w:t>U</w:t>
            </w:r>
          </w:p>
        </w:tc>
      </w:tr>
      <w:tr w:rsidR="00A80508" w:rsidRPr="00E4265B" w14:paraId="5588BFA4" w14:textId="77777777" w:rsidTr="00A80508">
        <w:trPr>
          <w:trHeight w:val="144"/>
        </w:trPr>
        <w:tc>
          <w:tcPr>
            <w:tcW w:w="628" w:type="dxa"/>
            <w:vMerge w:val="restart"/>
            <w:vAlign w:val="center"/>
          </w:tcPr>
          <w:p w14:paraId="46C4D54F" w14:textId="15571931" w:rsidR="00520DA4" w:rsidRPr="00E4265B" w:rsidRDefault="0083525E" w:rsidP="003C0546">
            <w:pPr>
              <w:spacing w:line="360" w:lineRule="auto"/>
              <w:jc w:val="center"/>
              <w:rPr>
                <w:rFonts w:ascii="Arial" w:hAnsi="Arial" w:cs="Arial"/>
                <w:sz w:val="22"/>
                <w:szCs w:val="22"/>
                <w:lang w:val="en-GB"/>
              </w:rPr>
            </w:pPr>
            <w:r w:rsidRPr="00E4265B">
              <w:rPr>
                <w:rFonts w:ascii="Arial" w:hAnsi="Arial" w:cs="Arial"/>
                <w:sz w:val="22"/>
                <w:szCs w:val="22"/>
                <w:lang w:val="en-GB"/>
              </w:rPr>
              <w:t>A</w:t>
            </w:r>
          </w:p>
        </w:tc>
        <w:tc>
          <w:tcPr>
            <w:tcW w:w="1820" w:type="dxa"/>
          </w:tcPr>
          <w:p w14:paraId="0838081A" w14:textId="438B8E59" w:rsidR="00520DA4" w:rsidRPr="00E4265B" w:rsidRDefault="00520DA4" w:rsidP="00F46380">
            <w:pPr>
              <w:spacing w:line="360" w:lineRule="auto"/>
              <w:rPr>
                <w:rFonts w:ascii="Arial" w:hAnsi="Arial" w:cs="Arial"/>
                <w:sz w:val="22"/>
                <w:szCs w:val="22"/>
                <w:lang w:val="en-GB"/>
              </w:rPr>
            </w:pPr>
            <w:r w:rsidRPr="00E4265B">
              <w:rPr>
                <w:rFonts w:ascii="Arial" w:hAnsi="Arial" w:cs="Arial"/>
                <w:sz w:val="22"/>
                <w:szCs w:val="22"/>
              </w:rPr>
              <w:t>≤ 1m</w:t>
            </w:r>
          </w:p>
        </w:tc>
        <w:tc>
          <w:tcPr>
            <w:tcW w:w="900" w:type="dxa"/>
          </w:tcPr>
          <w:p w14:paraId="689B7D19" w14:textId="4C94887F"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100</w:t>
            </w:r>
          </w:p>
        </w:tc>
        <w:tc>
          <w:tcPr>
            <w:tcW w:w="990" w:type="dxa"/>
          </w:tcPr>
          <w:p w14:paraId="301B1601" w14:textId="79454C85"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-50</w:t>
            </w:r>
          </w:p>
        </w:tc>
        <w:tc>
          <w:tcPr>
            <w:tcW w:w="1530" w:type="dxa"/>
          </w:tcPr>
          <w:p w14:paraId="1A27E9C0" w14:textId="77777777"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1.00%</w:t>
            </w:r>
          </w:p>
        </w:tc>
        <w:tc>
          <w:tcPr>
            <w:tcW w:w="1080" w:type="dxa"/>
          </w:tcPr>
          <w:p w14:paraId="083F25DF" w14:textId="77777777"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900" w:type="dxa"/>
          </w:tcPr>
          <w:p w14:paraId="799C9B8C" w14:textId="72958918"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810" w:type="dxa"/>
          </w:tcPr>
          <w:p w14:paraId="08084B44" w14:textId="6DB94471"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810" w:type="dxa"/>
          </w:tcPr>
          <w:p w14:paraId="413C177E" w14:textId="7783A473"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810" w:type="dxa"/>
          </w:tcPr>
          <w:p w14:paraId="395E018F" w14:textId="1048C44B"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720" w:type="dxa"/>
          </w:tcPr>
          <w:p w14:paraId="666E9B0C" w14:textId="529F361B"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720" w:type="dxa"/>
          </w:tcPr>
          <w:p w14:paraId="3C3EFBDE" w14:textId="40EB80E0"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1.30</w:t>
            </w:r>
          </w:p>
        </w:tc>
        <w:tc>
          <w:tcPr>
            <w:tcW w:w="1440" w:type="dxa"/>
            <w:shd w:val="clear" w:color="auto" w:fill="F2F2F2" w:themeFill="background1" w:themeFillShade="F2"/>
          </w:tcPr>
          <w:p w14:paraId="57514BB0" w14:textId="77777777" w:rsidR="00520DA4" w:rsidRPr="00E4265B" w:rsidRDefault="00520DA4" w:rsidP="00F46380">
            <w:pPr>
              <w:spacing w:line="360" w:lineRule="auto"/>
              <w:rPr>
                <w:rFonts w:ascii="Arial" w:hAnsi="Arial" w:cs="Arial"/>
                <w:sz w:val="22"/>
                <w:szCs w:val="22"/>
                <w:lang w:val="en-GB"/>
              </w:rPr>
            </w:pPr>
          </w:p>
        </w:tc>
        <w:tc>
          <w:tcPr>
            <w:tcW w:w="1107" w:type="dxa"/>
            <w:shd w:val="clear" w:color="auto" w:fill="F2F2F2" w:themeFill="background1" w:themeFillShade="F2"/>
          </w:tcPr>
          <w:p w14:paraId="64D1892F" w14:textId="77777777" w:rsidR="00520DA4" w:rsidRPr="00E4265B" w:rsidRDefault="00520DA4" w:rsidP="00F46380">
            <w:pPr>
              <w:spacing w:line="360" w:lineRule="auto"/>
              <w:rPr>
                <w:rFonts w:ascii="Arial" w:hAnsi="Arial" w:cs="Arial"/>
                <w:sz w:val="22"/>
                <w:szCs w:val="22"/>
                <w:lang w:val="en-GB"/>
              </w:rPr>
            </w:pPr>
          </w:p>
        </w:tc>
      </w:tr>
      <w:tr w:rsidR="00A80508" w:rsidRPr="00E4265B" w14:paraId="4FA15C21" w14:textId="77777777" w:rsidTr="00A80508">
        <w:trPr>
          <w:trHeight w:val="144"/>
        </w:trPr>
        <w:tc>
          <w:tcPr>
            <w:tcW w:w="628" w:type="dxa"/>
            <w:vMerge/>
            <w:vAlign w:val="center"/>
          </w:tcPr>
          <w:p w14:paraId="7A2CE22C" w14:textId="77777777" w:rsidR="00520DA4" w:rsidRPr="00E4265B" w:rsidRDefault="00520DA4" w:rsidP="003C0546">
            <w:pPr>
              <w:spacing w:line="360" w:lineRule="auto"/>
              <w:jc w:val="center"/>
              <w:rPr>
                <w:rFonts w:ascii="Arial" w:hAnsi="Arial" w:cs="Arial"/>
                <w:sz w:val="22"/>
                <w:szCs w:val="22"/>
                <w:lang w:val="en-GB"/>
              </w:rPr>
            </w:pPr>
          </w:p>
        </w:tc>
        <w:tc>
          <w:tcPr>
            <w:tcW w:w="1820" w:type="dxa"/>
          </w:tcPr>
          <w:p w14:paraId="26EDABE5" w14:textId="59981239" w:rsidR="00520DA4" w:rsidRPr="00E4265B" w:rsidRDefault="00520DA4" w:rsidP="00F46380">
            <w:pPr>
              <w:spacing w:line="360" w:lineRule="auto"/>
              <w:rPr>
                <w:rFonts w:ascii="Arial" w:hAnsi="Arial" w:cs="Arial"/>
                <w:sz w:val="22"/>
                <w:szCs w:val="22"/>
                <w:lang w:val="en-GB"/>
              </w:rPr>
            </w:pPr>
            <w:r w:rsidRPr="00E4265B">
              <w:rPr>
                <w:rFonts w:ascii="Arial" w:hAnsi="Arial" w:cs="Arial"/>
                <w:sz w:val="22"/>
                <w:szCs w:val="22"/>
              </w:rPr>
              <w:t>&gt; 1 and ≤ 3m</w:t>
            </w:r>
          </w:p>
        </w:tc>
        <w:tc>
          <w:tcPr>
            <w:tcW w:w="900" w:type="dxa"/>
          </w:tcPr>
          <w:p w14:paraId="06E8380D" w14:textId="25BBEDC3"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200</w:t>
            </w:r>
          </w:p>
        </w:tc>
        <w:tc>
          <w:tcPr>
            <w:tcW w:w="990" w:type="dxa"/>
          </w:tcPr>
          <w:p w14:paraId="15BB059F" w14:textId="359D2A42"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-100</w:t>
            </w:r>
          </w:p>
        </w:tc>
        <w:tc>
          <w:tcPr>
            <w:tcW w:w="1530" w:type="dxa"/>
          </w:tcPr>
          <w:p w14:paraId="42D34F65" w14:textId="77777777"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1.00%</w:t>
            </w:r>
          </w:p>
        </w:tc>
        <w:tc>
          <w:tcPr>
            <w:tcW w:w="1080" w:type="dxa"/>
          </w:tcPr>
          <w:p w14:paraId="3F99BD18" w14:textId="77777777"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0.20</w:t>
            </w:r>
          </w:p>
        </w:tc>
        <w:tc>
          <w:tcPr>
            <w:tcW w:w="900" w:type="dxa"/>
          </w:tcPr>
          <w:p w14:paraId="07F80EAD" w14:textId="696AE656"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0.40</w:t>
            </w:r>
          </w:p>
        </w:tc>
        <w:tc>
          <w:tcPr>
            <w:tcW w:w="810" w:type="dxa"/>
          </w:tcPr>
          <w:p w14:paraId="5257A4DD" w14:textId="45137292"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-0.20</w:t>
            </w:r>
          </w:p>
        </w:tc>
        <w:tc>
          <w:tcPr>
            <w:tcW w:w="810" w:type="dxa"/>
          </w:tcPr>
          <w:p w14:paraId="075C9DF6" w14:textId="161F1226"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0.20</w:t>
            </w:r>
          </w:p>
        </w:tc>
        <w:tc>
          <w:tcPr>
            <w:tcW w:w="810" w:type="dxa"/>
          </w:tcPr>
          <w:p w14:paraId="07249A85" w14:textId="4107FDBE"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0.20</w:t>
            </w:r>
          </w:p>
        </w:tc>
        <w:tc>
          <w:tcPr>
            <w:tcW w:w="720" w:type="dxa"/>
            <w:shd w:val="clear" w:color="auto" w:fill="F2F2F2" w:themeFill="background1" w:themeFillShade="F2"/>
          </w:tcPr>
          <w:p w14:paraId="2248A3FB" w14:textId="77777777" w:rsidR="00520DA4" w:rsidRPr="00E4265B" w:rsidRDefault="00520DA4" w:rsidP="00F46380">
            <w:pPr>
              <w:spacing w:line="360" w:lineRule="auto"/>
              <w:jc w:val="right"/>
              <w:rPr>
                <w:rFonts w:ascii="Arial" w:hAnsi="Arial" w:cs="Arial"/>
                <w:sz w:val="22"/>
                <w:szCs w:val="22"/>
                <w:lang w:val="en-GB"/>
              </w:rPr>
            </w:pPr>
          </w:p>
        </w:tc>
        <w:tc>
          <w:tcPr>
            <w:tcW w:w="720" w:type="dxa"/>
            <w:shd w:val="clear" w:color="auto" w:fill="F2F2F2" w:themeFill="background1" w:themeFillShade="F2"/>
          </w:tcPr>
          <w:p w14:paraId="57C7887B" w14:textId="77777777" w:rsidR="00520DA4" w:rsidRPr="00E4265B" w:rsidRDefault="00520DA4" w:rsidP="00F46380">
            <w:pPr>
              <w:spacing w:line="360" w:lineRule="auto"/>
              <w:jc w:val="right"/>
              <w:rPr>
                <w:rFonts w:ascii="Arial" w:hAnsi="Arial" w:cs="Arial"/>
                <w:sz w:val="22"/>
                <w:szCs w:val="22"/>
                <w:lang w:val="en-GB"/>
              </w:rPr>
            </w:pPr>
          </w:p>
        </w:tc>
        <w:tc>
          <w:tcPr>
            <w:tcW w:w="1440" w:type="dxa"/>
            <w:shd w:val="clear" w:color="auto" w:fill="F2F2F2" w:themeFill="background1" w:themeFillShade="F2"/>
          </w:tcPr>
          <w:p w14:paraId="1CCBCEA5" w14:textId="77777777" w:rsidR="00520DA4" w:rsidRPr="00E4265B" w:rsidRDefault="00520DA4" w:rsidP="00F46380">
            <w:pPr>
              <w:spacing w:line="360" w:lineRule="auto"/>
              <w:rPr>
                <w:rFonts w:ascii="Arial" w:hAnsi="Arial" w:cs="Arial"/>
                <w:sz w:val="22"/>
                <w:szCs w:val="22"/>
                <w:lang w:val="en-GB"/>
              </w:rPr>
            </w:pPr>
          </w:p>
        </w:tc>
        <w:tc>
          <w:tcPr>
            <w:tcW w:w="1107" w:type="dxa"/>
            <w:shd w:val="clear" w:color="auto" w:fill="F2F2F2" w:themeFill="background1" w:themeFillShade="F2"/>
          </w:tcPr>
          <w:p w14:paraId="51C3625D" w14:textId="77777777" w:rsidR="00520DA4" w:rsidRPr="00E4265B" w:rsidRDefault="00520DA4" w:rsidP="00F46380">
            <w:pPr>
              <w:spacing w:line="360" w:lineRule="auto"/>
              <w:rPr>
                <w:rFonts w:ascii="Arial" w:hAnsi="Arial" w:cs="Arial"/>
                <w:sz w:val="22"/>
                <w:szCs w:val="22"/>
                <w:lang w:val="en-GB"/>
              </w:rPr>
            </w:pPr>
          </w:p>
        </w:tc>
      </w:tr>
      <w:tr w:rsidR="00A80508" w:rsidRPr="00E4265B" w14:paraId="60CC0AE5" w14:textId="77777777" w:rsidTr="00A80508">
        <w:trPr>
          <w:trHeight w:val="144"/>
        </w:trPr>
        <w:tc>
          <w:tcPr>
            <w:tcW w:w="628" w:type="dxa"/>
            <w:vMerge/>
            <w:vAlign w:val="center"/>
          </w:tcPr>
          <w:p w14:paraId="7C584FBA" w14:textId="77777777" w:rsidR="00520DA4" w:rsidRPr="00E4265B" w:rsidRDefault="00520DA4" w:rsidP="003C0546">
            <w:pPr>
              <w:spacing w:line="360" w:lineRule="auto"/>
              <w:jc w:val="center"/>
              <w:rPr>
                <w:rFonts w:ascii="Arial" w:hAnsi="Arial" w:cs="Arial"/>
                <w:sz w:val="22"/>
                <w:szCs w:val="22"/>
                <w:lang w:val="en-GB"/>
              </w:rPr>
            </w:pPr>
          </w:p>
        </w:tc>
        <w:tc>
          <w:tcPr>
            <w:tcW w:w="1820" w:type="dxa"/>
          </w:tcPr>
          <w:p w14:paraId="62F7886E" w14:textId="2D2CA2FA" w:rsidR="00520DA4" w:rsidRPr="00E4265B" w:rsidRDefault="00520DA4" w:rsidP="00F46380">
            <w:pPr>
              <w:spacing w:line="360" w:lineRule="auto"/>
              <w:rPr>
                <w:rFonts w:ascii="Arial" w:hAnsi="Arial" w:cs="Arial"/>
                <w:sz w:val="22"/>
                <w:szCs w:val="22"/>
                <w:lang w:val="en-GB"/>
              </w:rPr>
            </w:pPr>
            <w:r w:rsidRPr="00E4265B">
              <w:rPr>
                <w:rFonts w:ascii="Arial" w:hAnsi="Arial" w:cs="Arial"/>
                <w:sz w:val="22"/>
                <w:szCs w:val="22"/>
              </w:rPr>
              <w:t>&gt; 3 and ≤ 6 m</w:t>
            </w:r>
          </w:p>
        </w:tc>
        <w:tc>
          <w:tcPr>
            <w:tcW w:w="900" w:type="dxa"/>
          </w:tcPr>
          <w:p w14:paraId="4D39D986" w14:textId="6A9E35DE"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300</w:t>
            </w:r>
          </w:p>
        </w:tc>
        <w:tc>
          <w:tcPr>
            <w:tcW w:w="990" w:type="dxa"/>
          </w:tcPr>
          <w:p w14:paraId="3F5AC34B" w14:textId="5285694D"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-200</w:t>
            </w:r>
          </w:p>
        </w:tc>
        <w:tc>
          <w:tcPr>
            <w:tcW w:w="1530" w:type="dxa"/>
          </w:tcPr>
          <w:p w14:paraId="1802F761" w14:textId="77777777"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1.00%</w:t>
            </w:r>
          </w:p>
        </w:tc>
        <w:tc>
          <w:tcPr>
            <w:tcW w:w="1080" w:type="dxa"/>
          </w:tcPr>
          <w:p w14:paraId="44D903A1" w14:textId="77777777"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0.40</w:t>
            </w:r>
          </w:p>
        </w:tc>
        <w:tc>
          <w:tcPr>
            <w:tcW w:w="900" w:type="dxa"/>
          </w:tcPr>
          <w:p w14:paraId="546D0497" w14:textId="63259F23"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1.20</w:t>
            </w:r>
          </w:p>
        </w:tc>
        <w:tc>
          <w:tcPr>
            <w:tcW w:w="810" w:type="dxa"/>
          </w:tcPr>
          <w:p w14:paraId="7555EB2C" w14:textId="3556FEB2"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-0.80</w:t>
            </w:r>
          </w:p>
        </w:tc>
        <w:tc>
          <w:tcPr>
            <w:tcW w:w="810" w:type="dxa"/>
          </w:tcPr>
          <w:p w14:paraId="7C2BDA69" w14:textId="6575CB9A"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0.80</w:t>
            </w:r>
          </w:p>
        </w:tc>
        <w:tc>
          <w:tcPr>
            <w:tcW w:w="810" w:type="dxa"/>
          </w:tcPr>
          <w:p w14:paraId="3966EFD9" w14:textId="7310C416"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0.40</w:t>
            </w:r>
          </w:p>
        </w:tc>
        <w:tc>
          <w:tcPr>
            <w:tcW w:w="720" w:type="dxa"/>
            <w:shd w:val="clear" w:color="auto" w:fill="F2F2F2" w:themeFill="background1" w:themeFillShade="F2"/>
          </w:tcPr>
          <w:p w14:paraId="3D0C1B7E" w14:textId="77777777" w:rsidR="00520DA4" w:rsidRPr="00E4265B" w:rsidRDefault="00520DA4" w:rsidP="00F46380">
            <w:pPr>
              <w:spacing w:line="360" w:lineRule="auto"/>
              <w:jc w:val="right"/>
              <w:rPr>
                <w:rFonts w:ascii="Arial" w:hAnsi="Arial" w:cs="Arial"/>
                <w:sz w:val="22"/>
                <w:szCs w:val="22"/>
                <w:lang w:val="en-GB"/>
              </w:rPr>
            </w:pPr>
          </w:p>
        </w:tc>
        <w:tc>
          <w:tcPr>
            <w:tcW w:w="720" w:type="dxa"/>
            <w:shd w:val="clear" w:color="auto" w:fill="F2F2F2" w:themeFill="background1" w:themeFillShade="F2"/>
          </w:tcPr>
          <w:p w14:paraId="14878B71" w14:textId="77777777" w:rsidR="00520DA4" w:rsidRPr="00E4265B" w:rsidRDefault="00520DA4" w:rsidP="00F46380">
            <w:pPr>
              <w:spacing w:line="360" w:lineRule="auto"/>
              <w:jc w:val="right"/>
              <w:rPr>
                <w:rFonts w:ascii="Arial" w:hAnsi="Arial" w:cs="Arial"/>
                <w:sz w:val="22"/>
                <w:szCs w:val="22"/>
                <w:lang w:val="en-GB"/>
              </w:rPr>
            </w:pPr>
          </w:p>
        </w:tc>
        <w:tc>
          <w:tcPr>
            <w:tcW w:w="1440" w:type="dxa"/>
            <w:shd w:val="clear" w:color="auto" w:fill="F2F2F2" w:themeFill="background1" w:themeFillShade="F2"/>
          </w:tcPr>
          <w:p w14:paraId="2EFD1949" w14:textId="77777777" w:rsidR="00520DA4" w:rsidRPr="00E4265B" w:rsidRDefault="00520DA4" w:rsidP="00F46380">
            <w:pPr>
              <w:spacing w:line="360" w:lineRule="auto"/>
              <w:rPr>
                <w:rFonts w:ascii="Arial" w:hAnsi="Arial" w:cs="Arial"/>
                <w:sz w:val="22"/>
                <w:szCs w:val="22"/>
                <w:lang w:val="en-GB"/>
              </w:rPr>
            </w:pPr>
          </w:p>
        </w:tc>
        <w:tc>
          <w:tcPr>
            <w:tcW w:w="1107" w:type="dxa"/>
            <w:shd w:val="clear" w:color="auto" w:fill="F2F2F2" w:themeFill="background1" w:themeFillShade="F2"/>
          </w:tcPr>
          <w:p w14:paraId="3EBFD7F1" w14:textId="77777777" w:rsidR="00520DA4" w:rsidRPr="00E4265B" w:rsidRDefault="00520DA4" w:rsidP="00F46380">
            <w:pPr>
              <w:spacing w:line="360" w:lineRule="auto"/>
              <w:rPr>
                <w:rFonts w:ascii="Arial" w:hAnsi="Arial" w:cs="Arial"/>
                <w:sz w:val="22"/>
                <w:szCs w:val="22"/>
                <w:lang w:val="en-GB"/>
              </w:rPr>
            </w:pPr>
          </w:p>
        </w:tc>
      </w:tr>
      <w:tr w:rsidR="00A80508" w:rsidRPr="00E4265B" w14:paraId="285F3F03" w14:textId="77777777" w:rsidTr="00A80508">
        <w:trPr>
          <w:trHeight w:val="144"/>
        </w:trPr>
        <w:tc>
          <w:tcPr>
            <w:tcW w:w="628" w:type="dxa"/>
            <w:vMerge/>
            <w:vAlign w:val="center"/>
          </w:tcPr>
          <w:p w14:paraId="0ECAE4F0" w14:textId="77777777" w:rsidR="00520DA4" w:rsidRPr="00E4265B" w:rsidRDefault="00520DA4" w:rsidP="003C0546">
            <w:pPr>
              <w:spacing w:line="360" w:lineRule="auto"/>
              <w:jc w:val="center"/>
              <w:rPr>
                <w:rFonts w:ascii="Arial" w:hAnsi="Arial" w:cs="Arial"/>
                <w:sz w:val="22"/>
                <w:szCs w:val="22"/>
                <w:lang w:val="en-GB"/>
              </w:rPr>
            </w:pPr>
          </w:p>
        </w:tc>
        <w:tc>
          <w:tcPr>
            <w:tcW w:w="1820" w:type="dxa"/>
          </w:tcPr>
          <w:p w14:paraId="18BD7453" w14:textId="3CAAB5CF" w:rsidR="00520DA4" w:rsidRPr="00E4265B" w:rsidRDefault="00520DA4" w:rsidP="00F46380">
            <w:pPr>
              <w:spacing w:line="360" w:lineRule="auto"/>
              <w:rPr>
                <w:rFonts w:ascii="Arial" w:hAnsi="Arial" w:cs="Arial"/>
                <w:sz w:val="22"/>
                <w:szCs w:val="22"/>
                <w:lang w:val="en-GB"/>
              </w:rPr>
            </w:pPr>
            <w:r w:rsidRPr="00E4265B">
              <w:rPr>
                <w:rFonts w:ascii="Arial" w:hAnsi="Arial" w:cs="Arial"/>
                <w:sz w:val="22"/>
                <w:szCs w:val="22"/>
              </w:rPr>
              <w:t>&gt; 6 and ≤ 12 m</w:t>
            </w:r>
          </w:p>
        </w:tc>
        <w:tc>
          <w:tcPr>
            <w:tcW w:w="900" w:type="dxa"/>
          </w:tcPr>
          <w:p w14:paraId="37246347" w14:textId="653F6478"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400</w:t>
            </w:r>
          </w:p>
        </w:tc>
        <w:tc>
          <w:tcPr>
            <w:tcW w:w="990" w:type="dxa"/>
          </w:tcPr>
          <w:p w14:paraId="0A016D71" w14:textId="4BFE3FC3"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-300</w:t>
            </w:r>
          </w:p>
        </w:tc>
        <w:tc>
          <w:tcPr>
            <w:tcW w:w="1530" w:type="dxa"/>
          </w:tcPr>
          <w:p w14:paraId="73D048F0" w14:textId="77777777"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1.00%</w:t>
            </w:r>
          </w:p>
        </w:tc>
        <w:tc>
          <w:tcPr>
            <w:tcW w:w="1080" w:type="dxa"/>
          </w:tcPr>
          <w:p w14:paraId="188B0491" w14:textId="77777777"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0.70</w:t>
            </w:r>
          </w:p>
        </w:tc>
        <w:tc>
          <w:tcPr>
            <w:tcW w:w="900" w:type="dxa"/>
          </w:tcPr>
          <w:p w14:paraId="283AFF60" w14:textId="73E0F274"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2.80</w:t>
            </w:r>
          </w:p>
        </w:tc>
        <w:tc>
          <w:tcPr>
            <w:tcW w:w="810" w:type="dxa"/>
          </w:tcPr>
          <w:p w14:paraId="7A63D166" w14:textId="17C24B72"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-2.10</w:t>
            </w:r>
          </w:p>
        </w:tc>
        <w:tc>
          <w:tcPr>
            <w:tcW w:w="810" w:type="dxa"/>
          </w:tcPr>
          <w:p w14:paraId="626539DA" w14:textId="13D51F45"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2.10</w:t>
            </w:r>
          </w:p>
        </w:tc>
        <w:tc>
          <w:tcPr>
            <w:tcW w:w="810" w:type="dxa"/>
          </w:tcPr>
          <w:p w14:paraId="60694D84" w14:textId="721D5F26" w:rsidR="00520DA4" w:rsidRPr="00E4265B" w:rsidRDefault="00520DA4" w:rsidP="00F46380">
            <w:pPr>
              <w:spacing w:line="360" w:lineRule="auto"/>
              <w:jc w:val="right"/>
              <w:rPr>
                <w:rFonts w:ascii="Arial" w:hAnsi="Arial" w:cs="Arial"/>
                <w:sz w:val="22"/>
                <w:szCs w:val="22"/>
                <w:lang w:val="en-GB"/>
              </w:rPr>
            </w:pPr>
            <w:r w:rsidRPr="00E4265B">
              <w:rPr>
                <w:rFonts w:ascii="Arial" w:hAnsi="Arial" w:cs="Arial"/>
                <w:sz w:val="22"/>
                <w:szCs w:val="22"/>
                <w:lang w:val="en-GB"/>
              </w:rPr>
              <w:t>0.70</w:t>
            </w:r>
          </w:p>
        </w:tc>
        <w:tc>
          <w:tcPr>
            <w:tcW w:w="720" w:type="dxa"/>
            <w:shd w:val="clear" w:color="auto" w:fill="F2F2F2" w:themeFill="background1" w:themeFillShade="F2"/>
          </w:tcPr>
          <w:p w14:paraId="42CF9B51" w14:textId="77777777" w:rsidR="00520DA4" w:rsidRPr="00E4265B" w:rsidRDefault="00520DA4" w:rsidP="00F46380">
            <w:pPr>
              <w:spacing w:line="360" w:lineRule="auto"/>
              <w:jc w:val="right"/>
              <w:rPr>
                <w:rFonts w:ascii="Arial" w:hAnsi="Arial" w:cs="Arial"/>
                <w:sz w:val="22"/>
                <w:szCs w:val="22"/>
                <w:lang w:val="en-GB"/>
              </w:rPr>
            </w:pPr>
          </w:p>
        </w:tc>
        <w:tc>
          <w:tcPr>
            <w:tcW w:w="720" w:type="dxa"/>
            <w:shd w:val="clear" w:color="auto" w:fill="F2F2F2" w:themeFill="background1" w:themeFillShade="F2"/>
          </w:tcPr>
          <w:p w14:paraId="31864E84" w14:textId="77777777" w:rsidR="00520DA4" w:rsidRPr="00E4265B" w:rsidRDefault="00520DA4" w:rsidP="00F46380">
            <w:pPr>
              <w:spacing w:line="360" w:lineRule="auto"/>
              <w:jc w:val="right"/>
              <w:rPr>
                <w:rFonts w:ascii="Arial" w:hAnsi="Arial" w:cs="Arial"/>
                <w:sz w:val="22"/>
                <w:szCs w:val="22"/>
                <w:lang w:val="en-GB"/>
              </w:rPr>
            </w:pPr>
          </w:p>
        </w:tc>
        <w:tc>
          <w:tcPr>
            <w:tcW w:w="1440" w:type="dxa"/>
            <w:shd w:val="clear" w:color="auto" w:fill="F2F2F2" w:themeFill="background1" w:themeFillShade="F2"/>
          </w:tcPr>
          <w:p w14:paraId="087EDA80" w14:textId="77777777" w:rsidR="00520DA4" w:rsidRPr="00E4265B" w:rsidRDefault="00520DA4" w:rsidP="00F46380">
            <w:pPr>
              <w:spacing w:line="360" w:lineRule="auto"/>
              <w:rPr>
                <w:rFonts w:ascii="Arial" w:hAnsi="Arial" w:cs="Arial"/>
                <w:sz w:val="22"/>
                <w:szCs w:val="22"/>
                <w:lang w:val="en-GB"/>
              </w:rPr>
            </w:pPr>
          </w:p>
        </w:tc>
        <w:tc>
          <w:tcPr>
            <w:tcW w:w="1107" w:type="dxa"/>
            <w:shd w:val="clear" w:color="auto" w:fill="F2F2F2" w:themeFill="background1" w:themeFillShade="F2"/>
          </w:tcPr>
          <w:p w14:paraId="05910AFD" w14:textId="77777777" w:rsidR="00520DA4" w:rsidRPr="00E4265B" w:rsidRDefault="00520DA4" w:rsidP="00F46380">
            <w:pPr>
              <w:spacing w:line="360" w:lineRule="auto"/>
              <w:rPr>
                <w:rFonts w:ascii="Arial" w:hAnsi="Arial" w:cs="Arial"/>
                <w:sz w:val="22"/>
                <w:szCs w:val="22"/>
                <w:lang w:val="en-GB"/>
              </w:rPr>
            </w:pPr>
          </w:p>
        </w:tc>
      </w:tr>
      <w:tr w:rsidR="00A80508" w:rsidRPr="00E4265B" w14:paraId="55EF0A25" w14:textId="77777777" w:rsidTr="00F51D6D">
        <w:trPr>
          <w:trHeight w:val="144"/>
        </w:trPr>
        <w:tc>
          <w:tcPr>
            <w:tcW w:w="628" w:type="dxa"/>
            <w:vMerge/>
            <w:tcBorders>
              <w:bottom w:val="single" w:sz="12" w:space="0" w:color="auto"/>
            </w:tcBorders>
            <w:vAlign w:val="center"/>
          </w:tcPr>
          <w:p w14:paraId="6D54CC8F" w14:textId="77777777" w:rsidR="00520DA4" w:rsidRPr="00E4265B" w:rsidRDefault="00520DA4" w:rsidP="003C0546">
            <w:pPr>
              <w:spacing w:line="360" w:lineRule="auto"/>
              <w:jc w:val="center"/>
              <w:rPr>
                <w:rFonts w:ascii="Arial" w:hAnsi="Arial" w:cs="Arial"/>
                <w:sz w:val="22"/>
                <w:szCs w:val="22"/>
                <w:lang w:val="en-GB"/>
              </w:rPr>
            </w:pPr>
          </w:p>
        </w:tc>
        <w:tc>
          <w:tcPr>
            <w:tcW w:w="1820" w:type="dxa"/>
            <w:tcBorders>
              <w:bottom w:val="single" w:sz="12" w:space="0" w:color="auto"/>
            </w:tcBorders>
            <w:shd w:val="clear" w:color="auto" w:fill="F2F2F2" w:themeFill="background1" w:themeFillShade="F2"/>
          </w:tcPr>
          <w:p w14:paraId="69388C2C" w14:textId="77777777" w:rsidR="00520DA4" w:rsidRPr="00E4265B" w:rsidRDefault="00520DA4" w:rsidP="00F46380">
            <w:pPr>
              <w:spacing w:line="360" w:lineRule="auto"/>
              <w:rPr>
                <w:rFonts w:ascii="Arial" w:hAnsi="Arial" w:cs="Arial"/>
                <w:sz w:val="22"/>
                <w:szCs w:val="22"/>
              </w:rPr>
            </w:pPr>
          </w:p>
        </w:tc>
        <w:tc>
          <w:tcPr>
            <w:tcW w:w="900" w:type="dxa"/>
            <w:tcBorders>
              <w:bottom w:val="single" w:sz="12" w:space="0" w:color="auto"/>
            </w:tcBorders>
            <w:shd w:val="clear" w:color="auto" w:fill="F2F2F2" w:themeFill="background1" w:themeFillShade="F2"/>
          </w:tcPr>
          <w:p w14:paraId="39666880" w14:textId="77777777" w:rsidR="00520DA4" w:rsidRPr="00E4265B" w:rsidRDefault="00520DA4" w:rsidP="00F46380">
            <w:pPr>
              <w:spacing w:line="360" w:lineRule="auto"/>
              <w:jc w:val="right"/>
              <w:rPr>
                <w:rFonts w:ascii="Arial" w:hAnsi="Arial" w:cs="Arial"/>
                <w:sz w:val="22"/>
                <w:szCs w:val="22"/>
                <w:lang w:val="en-GB"/>
              </w:rPr>
            </w:pPr>
          </w:p>
        </w:tc>
        <w:tc>
          <w:tcPr>
            <w:tcW w:w="990" w:type="dxa"/>
            <w:tcBorders>
              <w:bottom w:val="single" w:sz="12" w:space="0" w:color="auto"/>
            </w:tcBorders>
            <w:shd w:val="clear" w:color="auto" w:fill="F2F2F2" w:themeFill="background1" w:themeFillShade="F2"/>
          </w:tcPr>
          <w:p w14:paraId="28C3BB49" w14:textId="77777777" w:rsidR="00520DA4" w:rsidRPr="00E4265B" w:rsidRDefault="00520DA4" w:rsidP="00F46380">
            <w:pPr>
              <w:spacing w:line="360" w:lineRule="auto"/>
              <w:jc w:val="right"/>
              <w:rPr>
                <w:rFonts w:ascii="Arial" w:hAnsi="Arial" w:cs="Arial"/>
                <w:sz w:val="22"/>
                <w:szCs w:val="22"/>
                <w:lang w:val="en-GB"/>
              </w:rPr>
            </w:pPr>
          </w:p>
        </w:tc>
        <w:tc>
          <w:tcPr>
            <w:tcW w:w="1530" w:type="dxa"/>
            <w:tcBorders>
              <w:bottom w:val="single" w:sz="12" w:space="0" w:color="auto"/>
            </w:tcBorders>
            <w:shd w:val="clear" w:color="auto" w:fill="F2F2F2" w:themeFill="background1" w:themeFillShade="F2"/>
          </w:tcPr>
          <w:p w14:paraId="77F4AF9D" w14:textId="77777777" w:rsidR="00520DA4" w:rsidRPr="00E4265B" w:rsidRDefault="00520DA4" w:rsidP="00F46380">
            <w:pPr>
              <w:spacing w:line="360" w:lineRule="auto"/>
              <w:jc w:val="right"/>
              <w:rPr>
                <w:rFonts w:ascii="Arial" w:hAnsi="Arial" w:cs="Arial"/>
                <w:sz w:val="22"/>
                <w:szCs w:val="22"/>
                <w:lang w:val="en-GB"/>
              </w:rPr>
            </w:pPr>
          </w:p>
        </w:tc>
        <w:tc>
          <w:tcPr>
            <w:tcW w:w="1080" w:type="dxa"/>
            <w:tcBorders>
              <w:bottom w:val="single" w:sz="12" w:space="0" w:color="auto"/>
            </w:tcBorders>
            <w:shd w:val="clear" w:color="auto" w:fill="F2F2F2" w:themeFill="background1" w:themeFillShade="F2"/>
          </w:tcPr>
          <w:p w14:paraId="010220E9" w14:textId="77777777" w:rsidR="00520DA4" w:rsidRPr="00E4265B" w:rsidRDefault="00520DA4" w:rsidP="00F46380">
            <w:pPr>
              <w:spacing w:line="360" w:lineRule="auto"/>
              <w:jc w:val="right"/>
              <w:rPr>
                <w:rFonts w:ascii="Arial" w:hAnsi="Arial" w:cs="Arial"/>
                <w:sz w:val="22"/>
                <w:szCs w:val="22"/>
                <w:lang w:val="en-GB"/>
              </w:rPr>
            </w:pPr>
          </w:p>
        </w:tc>
        <w:tc>
          <w:tcPr>
            <w:tcW w:w="900" w:type="dxa"/>
            <w:tcBorders>
              <w:bottom w:val="single" w:sz="12" w:space="0" w:color="auto"/>
            </w:tcBorders>
            <w:shd w:val="clear" w:color="auto" w:fill="F2F2F2" w:themeFill="background1" w:themeFillShade="F2"/>
          </w:tcPr>
          <w:p w14:paraId="49B53C52" w14:textId="77777777" w:rsidR="00520DA4" w:rsidRPr="00E4265B" w:rsidRDefault="00520DA4" w:rsidP="00F46380">
            <w:pPr>
              <w:spacing w:line="360" w:lineRule="auto"/>
              <w:jc w:val="right"/>
              <w:rPr>
                <w:rFonts w:ascii="Arial" w:hAnsi="Arial" w:cs="Arial"/>
                <w:sz w:val="22"/>
                <w:szCs w:val="22"/>
                <w:lang w:val="en-GB"/>
              </w:rPr>
            </w:pPr>
          </w:p>
        </w:tc>
        <w:tc>
          <w:tcPr>
            <w:tcW w:w="810" w:type="dxa"/>
            <w:tcBorders>
              <w:bottom w:val="single" w:sz="12" w:space="0" w:color="auto"/>
            </w:tcBorders>
            <w:shd w:val="clear" w:color="auto" w:fill="F2F2F2" w:themeFill="background1" w:themeFillShade="F2"/>
          </w:tcPr>
          <w:p w14:paraId="48D8000A" w14:textId="77777777" w:rsidR="00520DA4" w:rsidRPr="00E4265B" w:rsidRDefault="00520DA4" w:rsidP="00F46380">
            <w:pPr>
              <w:spacing w:line="360" w:lineRule="auto"/>
              <w:jc w:val="right"/>
              <w:rPr>
                <w:rFonts w:ascii="Arial" w:hAnsi="Arial" w:cs="Arial"/>
                <w:sz w:val="22"/>
                <w:szCs w:val="22"/>
                <w:lang w:val="en-GB"/>
              </w:rPr>
            </w:pPr>
          </w:p>
        </w:tc>
        <w:tc>
          <w:tcPr>
            <w:tcW w:w="810" w:type="dxa"/>
            <w:tcBorders>
              <w:bottom w:val="single" w:sz="12" w:space="0" w:color="auto"/>
            </w:tcBorders>
            <w:shd w:val="clear" w:color="auto" w:fill="F2F2F2" w:themeFill="background1" w:themeFillShade="F2"/>
          </w:tcPr>
          <w:p w14:paraId="2186544E" w14:textId="77777777" w:rsidR="00520DA4" w:rsidRPr="00E4265B" w:rsidRDefault="00520DA4" w:rsidP="00F46380">
            <w:pPr>
              <w:spacing w:line="360" w:lineRule="auto"/>
              <w:jc w:val="right"/>
              <w:rPr>
                <w:rFonts w:ascii="Arial" w:hAnsi="Arial" w:cs="Arial"/>
                <w:sz w:val="22"/>
                <w:szCs w:val="22"/>
                <w:lang w:val="en-GB"/>
              </w:rPr>
            </w:pPr>
          </w:p>
        </w:tc>
        <w:tc>
          <w:tcPr>
            <w:tcW w:w="810" w:type="dxa"/>
            <w:tcBorders>
              <w:bottom w:val="single" w:sz="12" w:space="0" w:color="auto"/>
            </w:tcBorders>
            <w:shd w:val="clear" w:color="auto" w:fill="F2F2F2" w:themeFill="background1" w:themeFillShade="F2"/>
          </w:tcPr>
          <w:p w14:paraId="395CF18E" w14:textId="77777777" w:rsidR="00520DA4" w:rsidRPr="00E4265B" w:rsidRDefault="00520DA4" w:rsidP="00F46380">
            <w:pPr>
              <w:spacing w:line="360" w:lineRule="auto"/>
              <w:jc w:val="right"/>
              <w:rPr>
                <w:rFonts w:ascii="Arial" w:hAnsi="Arial" w:cs="Arial"/>
                <w:sz w:val="22"/>
                <w:szCs w:val="22"/>
                <w:lang w:val="en-GB"/>
              </w:rPr>
            </w:pPr>
          </w:p>
        </w:tc>
        <w:tc>
          <w:tcPr>
            <w:tcW w:w="720" w:type="dxa"/>
            <w:tcBorders>
              <w:bottom w:val="single" w:sz="12" w:space="0" w:color="auto"/>
            </w:tcBorders>
            <w:shd w:val="clear" w:color="auto" w:fill="F2F2F2" w:themeFill="background1" w:themeFillShade="F2"/>
          </w:tcPr>
          <w:p w14:paraId="3DAB976C" w14:textId="77777777" w:rsidR="00520DA4" w:rsidRPr="00E4265B" w:rsidRDefault="00520DA4" w:rsidP="00F46380">
            <w:pPr>
              <w:spacing w:line="360" w:lineRule="auto"/>
              <w:jc w:val="right"/>
              <w:rPr>
                <w:rFonts w:ascii="Arial" w:hAnsi="Arial" w:cs="Arial"/>
                <w:sz w:val="22"/>
                <w:szCs w:val="22"/>
                <w:lang w:val="en-GB"/>
              </w:rPr>
            </w:pPr>
          </w:p>
        </w:tc>
        <w:tc>
          <w:tcPr>
            <w:tcW w:w="720" w:type="dxa"/>
            <w:tcBorders>
              <w:bottom w:val="single" w:sz="12" w:space="0" w:color="auto"/>
            </w:tcBorders>
            <w:shd w:val="clear" w:color="auto" w:fill="F2F2F2" w:themeFill="background1" w:themeFillShade="F2"/>
          </w:tcPr>
          <w:p w14:paraId="7ADCE4F8" w14:textId="77777777" w:rsidR="00520DA4" w:rsidRPr="00E4265B" w:rsidRDefault="00520DA4" w:rsidP="00F46380">
            <w:pPr>
              <w:spacing w:line="360" w:lineRule="auto"/>
              <w:jc w:val="right"/>
              <w:rPr>
                <w:rFonts w:ascii="Arial" w:hAnsi="Arial" w:cs="Arial"/>
                <w:sz w:val="22"/>
                <w:szCs w:val="22"/>
                <w:lang w:val="en-GB"/>
              </w:rPr>
            </w:pPr>
          </w:p>
        </w:tc>
        <w:tc>
          <w:tcPr>
            <w:tcW w:w="1440" w:type="dxa"/>
            <w:tcBorders>
              <w:bottom w:val="single" w:sz="4" w:space="0" w:color="auto"/>
            </w:tcBorders>
            <w:shd w:val="clear" w:color="auto" w:fill="F2F2F2" w:themeFill="background1" w:themeFillShade="F2"/>
          </w:tcPr>
          <w:p w14:paraId="0748FD07" w14:textId="77777777" w:rsidR="00520DA4" w:rsidRPr="00E4265B" w:rsidRDefault="00520DA4" w:rsidP="00F46380">
            <w:pPr>
              <w:spacing w:line="360" w:lineRule="auto"/>
              <w:rPr>
                <w:rFonts w:ascii="Arial" w:hAnsi="Arial" w:cs="Arial"/>
                <w:sz w:val="22"/>
                <w:szCs w:val="22"/>
                <w:lang w:val="en-GB"/>
              </w:rPr>
            </w:pPr>
          </w:p>
        </w:tc>
        <w:tc>
          <w:tcPr>
            <w:tcW w:w="1107" w:type="dxa"/>
            <w:tcBorders>
              <w:bottom w:val="single" w:sz="12" w:space="0" w:color="auto"/>
            </w:tcBorders>
            <w:shd w:val="clear" w:color="auto" w:fill="F2F2F2" w:themeFill="background1" w:themeFillShade="F2"/>
          </w:tcPr>
          <w:p w14:paraId="161F9DA2" w14:textId="77777777" w:rsidR="00520DA4" w:rsidRPr="00E4265B" w:rsidRDefault="00520DA4" w:rsidP="00F46380">
            <w:pPr>
              <w:spacing w:line="360" w:lineRule="auto"/>
              <w:rPr>
                <w:rFonts w:ascii="Arial" w:hAnsi="Arial" w:cs="Arial"/>
                <w:sz w:val="22"/>
                <w:szCs w:val="22"/>
                <w:lang w:val="en-GB"/>
              </w:rPr>
            </w:pPr>
          </w:p>
        </w:tc>
      </w:tr>
      <w:tr w:rsidR="00A80508" w:rsidRPr="00E4265B" w14:paraId="6CDEE740" w14:textId="77777777" w:rsidTr="00F51D6D">
        <w:trPr>
          <w:trHeight w:val="144"/>
        </w:trPr>
        <w:tc>
          <w:tcPr>
            <w:tcW w:w="628" w:type="dxa"/>
            <w:vMerge w:val="restart"/>
            <w:tcBorders>
              <w:top w:val="single" w:sz="12" w:space="0" w:color="auto"/>
              <w:bottom w:val="single" w:sz="4" w:space="0" w:color="auto"/>
            </w:tcBorders>
            <w:vAlign w:val="center"/>
          </w:tcPr>
          <w:p w14:paraId="69012B48" w14:textId="71552613" w:rsidR="00F46380" w:rsidRPr="00E4265B" w:rsidRDefault="0083525E" w:rsidP="003C0546">
            <w:pPr>
              <w:spacing w:line="360" w:lineRule="auto"/>
              <w:jc w:val="center"/>
              <w:rPr>
                <w:rFonts w:ascii="Arial" w:hAnsi="Arial" w:cs="Arial"/>
                <w:sz w:val="22"/>
                <w:szCs w:val="22"/>
                <w:lang w:val="en-GB"/>
              </w:rPr>
            </w:pPr>
            <w:r w:rsidRPr="00E4265B">
              <w:rPr>
                <w:rFonts w:ascii="Arial" w:hAnsi="Arial" w:cs="Arial"/>
                <w:sz w:val="22"/>
                <w:szCs w:val="22"/>
                <w:lang w:val="en-GB"/>
              </w:rPr>
              <w:t>B</w:t>
            </w:r>
          </w:p>
        </w:tc>
        <w:tc>
          <w:tcPr>
            <w:tcW w:w="1820" w:type="dxa"/>
            <w:tcBorders>
              <w:top w:val="single" w:sz="12" w:space="0" w:color="auto"/>
              <w:bottom w:val="single" w:sz="4" w:space="0" w:color="auto"/>
            </w:tcBorders>
            <w:vAlign w:val="center"/>
          </w:tcPr>
          <w:p w14:paraId="6CE65726" w14:textId="15FB7A01" w:rsidR="00F46380" w:rsidRPr="00E4265B" w:rsidRDefault="00F46380" w:rsidP="00F46380">
            <w:pPr>
              <w:spacing w:line="360" w:lineRule="auto"/>
              <w:rPr>
                <w:rFonts w:ascii="Arial" w:hAnsi="Arial" w:cs="Arial"/>
                <w:sz w:val="22"/>
                <w:szCs w:val="22"/>
                <w:lang w:val="en-GB"/>
              </w:rPr>
            </w:pPr>
            <w:r w:rsidRPr="00E4265B">
              <w:rPr>
                <w:rFonts w:ascii="Arial" w:hAnsi="Arial" w:cs="Arial"/>
                <w:sz w:val="22"/>
                <w:szCs w:val="22"/>
                <w:lang w:val="en-GB"/>
              </w:rPr>
              <w:t>&gt; 1.0 and ≤ 1.9 y</w:t>
            </w:r>
          </w:p>
        </w:tc>
        <w:tc>
          <w:tcPr>
            <w:tcW w:w="900" w:type="dxa"/>
            <w:tcBorders>
              <w:top w:val="single" w:sz="12" w:space="0" w:color="auto"/>
              <w:bottom w:val="single" w:sz="4" w:space="0" w:color="auto"/>
            </w:tcBorders>
          </w:tcPr>
          <w:p w14:paraId="5BAA3F85" w14:textId="6BD820C6"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100</w:t>
            </w:r>
          </w:p>
        </w:tc>
        <w:tc>
          <w:tcPr>
            <w:tcW w:w="990" w:type="dxa"/>
            <w:tcBorders>
              <w:top w:val="single" w:sz="12" w:space="0" w:color="auto"/>
              <w:bottom w:val="single" w:sz="4" w:space="0" w:color="auto"/>
            </w:tcBorders>
          </w:tcPr>
          <w:p w14:paraId="2D53AEC1" w14:textId="5D6E4264"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-200</w:t>
            </w:r>
          </w:p>
        </w:tc>
        <w:tc>
          <w:tcPr>
            <w:tcW w:w="1530" w:type="dxa"/>
            <w:tcBorders>
              <w:top w:val="single" w:sz="12" w:space="0" w:color="auto"/>
              <w:bottom w:val="single" w:sz="4" w:space="0" w:color="auto"/>
            </w:tcBorders>
          </w:tcPr>
          <w:p w14:paraId="7E63E8FE"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0.90%</w:t>
            </w:r>
          </w:p>
        </w:tc>
        <w:tc>
          <w:tcPr>
            <w:tcW w:w="1080" w:type="dxa"/>
            <w:tcBorders>
              <w:top w:val="single" w:sz="12" w:space="0" w:color="auto"/>
              <w:bottom w:val="single" w:sz="4" w:space="0" w:color="auto"/>
            </w:tcBorders>
          </w:tcPr>
          <w:p w14:paraId="59EE5208"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1.40</w:t>
            </w:r>
          </w:p>
        </w:tc>
        <w:tc>
          <w:tcPr>
            <w:tcW w:w="900" w:type="dxa"/>
            <w:tcBorders>
              <w:top w:val="single" w:sz="12" w:space="0" w:color="auto"/>
              <w:bottom w:val="single" w:sz="4" w:space="0" w:color="auto"/>
            </w:tcBorders>
          </w:tcPr>
          <w:p w14:paraId="26CDDD31" w14:textId="69F5D6E9"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1.26</w:t>
            </w:r>
          </w:p>
        </w:tc>
        <w:tc>
          <w:tcPr>
            <w:tcW w:w="810" w:type="dxa"/>
            <w:tcBorders>
              <w:top w:val="single" w:sz="12" w:space="0" w:color="auto"/>
              <w:bottom w:val="single" w:sz="4" w:space="0" w:color="auto"/>
            </w:tcBorders>
          </w:tcPr>
          <w:p w14:paraId="42AB63F0" w14:textId="174287A8"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-2.52</w:t>
            </w:r>
          </w:p>
        </w:tc>
        <w:tc>
          <w:tcPr>
            <w:tcW w:w="810" w:type="dxa"/>
            <w:tcBorders>
              <w:top w:val="single" w:sz="12" w:space="0" w:color="auto"/>
              <w:bottom w:val="single" w:sz="4" w:space="0" w:color="auto"/>
            </w:tcBorders>
          </w:tcPr>
          <w:p w14:paraId="4425BE70" w14:textId="6E5AF7CB"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1.26</w:t>
            </w:r>
          </w:p>
        </w:tc>
        <w:tc>
          <w:tcPr>
            <w:tcW w:w="810" w:type="dxa"/>
            <w:tcBorders>
              <w:top w:val="single" w:sz="12" w:space="0" w:color="auto"/>
              <w:bottom w:val="single" w:sz="4" w:space="0" w:color="auto"/>
            </w:tcBorders>
          </w:tcPr>
          <w:p w14:paraId="770796C4" w14:textId="32E116B1"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-1.26</w:t>
            </w:r>
          </w:p>
        </w:tc>
        <w:tc>
          <w:tcPr>
            <w:tcW w:w="720" w:type="dxa"/>
            <w:tcBorders>
              <w:top w:val="single" w:sz="12" w:space="0" w:color="auto"/>
              <w:bottom w:val="single" w:sz="4" w:space="0" w:color="auto"/>
            </w:tcBorders>
          </w:tcPr>
          <w:p w14:paraId="792FD35D" w14:textId="0030462B"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720" w:type="dxa"/>
            <w:tcBorders>
              <w:top w:val="single" w:sz="12" w:space="0" w:color="auto"/>
              <w:bottom w:val="single" w:sz="4" w:space="0" w:color="auto"/>
            </w:tcBorders>
          </w:tcPr>
          <w:p w14:paraId="3ACC81DC" w14:textId="57008622"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-5.27</w:t>
            </w:r>
          </w:p>
        </w:tc>
        <w:tc>
          <w:tcPr>
            <w:tcW w:w="1440" w:type="dxa"/>
            <w:tcBorders>
              <w:top w:val="single" w:sz="4" w:space="0" w:color="auto"/>
              <w:bottom w:val="nil"/>
            </w:tcBorders>
          </w:tcPr>
          <w:p w14:paraId="529E9E20" w14:textId="4C44E8D0" w:rsidR="00F46380" w:rsidRPr="00E4265B" w:rsidRDefault="00F46380" w:rsidP="0083525E">
            <w:pPr>
              <w:spacing w:line="360" w:lineRule="auto"/>
              <w:jc w:val="right"/>
              <w:rPr>
                <w:rFonts w:ascii="Arial" w:hAnsi="Arial" w:cs="Arial"/>
                <w:i/>
                <w:iCs/>
                <w:sz w:val="22"/>
                <w:szCs w:val="22"/>
                <w:lang w:val="en-GB"/>
              </w:rPr>
            </w:pPr>
            <w:r w:rsidRPr="00E4265B">
              <w:rPr>
                <w:rFonts w:ascii="Arial" w:hAnsi="Arial" w:cs="Arial"/>
                <w:i/>
                <w:iCs/>
                <w:sz w:val="22"/>
                <w:szCs w:val="22"/>
                <w:lang w:val="en-GB"/>
              </w:rPr>
              <w:t>Zone</w:t>
            </w:r>
            <w:r w:rsidR="00520DA4" w:rsidRPr="00E4265B">
              <w:rPr>
                <w:rFonts w:ascii="Arial" w:hAnsi="Arial" w:cs="Arial"/>
                <w:i/>
                <w:iCs/>
                <w:sz w:val="22"/>
                <w:szCs w:val="22"/>
                <w:lang w:val="en-GB"/>
              </w:rPr>
              <w:t xml:space="preserve">s </w:t>
            </w:r>
            <w:r w:rsidR="0083525E" w:rsidRPr="00E4265B">
              <w:rPr>
                <w:rFonts w:ascii="Arial" w:hAnsi="Arial" w:cs="Arial"/>
                <w:i/>
                <w:iCs/>
                <w:sz w:val="22"/>
                <w:szCs w:val="22"/>
                <w:lang w:val="en-GB"/>
              </w:rPr>
              <w:t>A</w:t>
            </w:r>
            <w:r w:rsidRPr="00E4265B">
              <w:rPr>
                <w:rFonts w:ascii="Arial" w:hAnsi="Arial" w:cs="Arial"/>
                <w:i/>
                <w:iCs/>
                <w:sz w:val="22"/>
                <w:szCs w:val="22"/>
                <w:lang w:val="en-GB"/>
              </w:rPr>
              <w:t>&amp;</w:t>
            </w:r>
            <w:r w:rsidR="0083525E" w:rsidRPr="00E4265B">
              <w:rPr>
                <w:rFonts w:ascii="Arial" w:hAnsi="Arial" w:cs="Arial"/>
                <w:i/>
                <w:iCs/>
                <w:sz w:val="22"/>
                <w:szCs w:val="22"/>
                <w:lang w:val="en-GB"/>
              </w:rPr>
              <w:t>B</w:t>
            </w:r>
          </w:p>
        </w:tc>
        <w:tc>
          <w:tcPr>
            <w:tcW w:w="1107" w:type="dxa"/>
            <w:tcBorders>
              <w:top w:val="single" w:sz="12" w:space="0" w:color="auto"/>
              <w:bottom w:val="single" w:sz="4" w:space="0" w:color="auto"/>
            </w:tcBorders>
            <w:shd w:val="clear" w:color="auto" w:fill="F2F2F2" w:themeFill="background1" w:themeFillShade="F2"/>
          </w:tcPr>
          <w:p w14:paraId="2A251D39" w14:textId="77777777" w:rsidR="00F46380" w:rsidRPr="00E4265B" w:rsidRDefault="00F46380" w:rsidP="00F46380">
            <w:pPr>
              <w:spacing w:line="360" w:lineRule="auto"/>
              <w:rPr>
                <w:rFonts w:ascii="Arial" w:hAnsi="Arial" w:cs="Arial"/>
                <w:sz w:val="22"/>
                <w:szCs w:val="22"/>
                <w:lang w:val="en-GB"/>
              </w:rPr>
            </w:pPr>
          </w:p>
        </w:tc>
      </w:tr>
      <w:tr w:rsidR="00A80508" w:rsidRPr="00E4265B" w14:paraId="5692CCBF" w14:textId="77777777" w:rsidTr="00F51D6D">
        <w:trPr>
          <w:trHeight w:val="144"/>
        </w:trPr>
        <w:tc>
          <w:tcPr>
            <w:tcW w:w="628" w:type="dxa"/>
            <w:vMerge/>
            <w:tcBorders>
              <w:top w:val="single" w:sz="4" w:space="0" w:color="auto"/>
            </w:tcBorders>
            <w:vAlign w:val="center"/>
          </w:tcPr>
          <w:p w14:paraId="3E5A7065" w14:textId="77777777" w:rsidR="00F46380" w:rsidRPr="00E4265B" w:rsidRDefault="00F46380" w:rsidP="003C0546">
            <w:pPr>
              <w:spacing w:line="360" w:lineRule="auto"/>
              <w:jc w:val="center"/>
              <w:rPr>
                <w:rFonts w:ascii="Arial" w:hAnsi="Arial" w:cs="Arial"/>
                <w:sz w:val="22"/>
                <w:szCs w:val="22"/>
                <w:lang w:val="en-GB"/>
              </w:rPr>
            </w:pPr>
          </w:p>
        </w:tc>
        <w:tc>
          <w:tcPr>
            <w:tcW w:w="1820" w:type="dxa"/>
            <w:tcBorders>
              <w:top w:val="single" w:sz="4" w:space="0" w:color="auto"/>
            </w:tcBorders>
            <w:vAlign w:val="center"/>
          </w:tcPr>
          <w:p w14:paraId="2E96AD22" w14:textId="47E070CC" w:rsidR="00F46380" w:rsidRPr="00E4265B" w:rsidRDefault="00F46380" w:rsidP="00F46380">
            <w:pPr>
              <w:spacing w:line="360" w:lineRule="auto"/>
              <w:rPr>
                <w:rFonts w:ascii="Arial" w:hAnsi="Arial" w:cs="Arial"/>
                <w:sz w:val="22"/>
                <w:szCs w:val="22"/>
                <w:lang w:val="en-GB"/>
              </w:rPr>
            </w:pPr>
            <w:r w:rsidRPr="00E4265B">
              <w:rPr>
                <w:rFonts w:ascii="Arial" w:hAnsi="Arial" w:cs="Arial"/>
                <w:sz w:val="22"/>
                <w:szCs w:val="22"/>
                <w:lang w:val="en-GB"/>
              </w:rPr>
              <w:t>&gt; 1.9 and ≤ 2.8 y</w:t>
            </w:r>
          </w:p>
        </w:tc>
        <w:tc>
          <w:tcPr>
            <w:tcW w:w="900" w:type="dxa"/>
            <w:tcBorders>
              <w:top w:val="single" w:sz="4" w:space="0" w:color="auto"/>
            </w:tcBorders>
          </w:tcPr>
          <w:p w14:paraId="657CAE0B" w14:textId="4A26AE21"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200</w:t>
            </w:r>
          </w:p>
        </w:tc>
        <w:tc>
          <w:tcPr>
            <w:tcW w:w="990" w:type="dxa"/>
            <w:tcBorders>
              <w:top w:val="single" w:sz="4" w:space="0" w:color="auto"/>
            </w:tcBorders>
          </w:tcPr>
          <w:p w14:paraId="7B2DBAC7" w14:textId="48F2FFCE"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-300</w:t>
            </w:r>
          </w:p>
        </w:tc>
        <w:tc>
          <w:tcPr>
            <w:tcW w:w="1530" w:type="dxa"/>
            <w:tcBorders>
              <w:top w:val="single" w:sz="4" w:space="0" w:color="auto"/>
            </w:tcBorders>
          </w:tcPr>
          <w:p w14:paraId="24635BE1"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0.80%</w:t>
            </w:r>
          </w:p>
        </w:tc>
        <w:tc>
          <w:tcPr>
            <w:tcW w:w="1080" w:type="dxa"/>
            <w:tcBorders>
              <w:top w:val="single" w:sz="4" w:space="0" w:color="auto"/>
            </w:tcBorders>
          </w:tcPr>
          <w:p w14:paraId="12C89CAF"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2.20</w:t>
            </w:r>
          </w:p>
        </w:tc>
        <w:tc>
          <w:tcPr>
            <w:tcW w:w="900" w:type="dxa"/>
            <w:tcBorders>
              <w:top w:val="single" w:sz="4" w:space="0" w:color="auto"/>
            </w:tcBorders>
          </w:tcPr>
          <w:p w14:paraId="352FA62A" w14:textId="2D4C572E"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3.52</w:t>
            </w:r>
          </w:p>
        </w:tc>
        <w:tc>
          <w:tcPr>
            <w:tcW w:w="810" w:type="dxa"/>
            <w:tcBorders>
              <w:top w:val="single" w:sz="4" w:space="0" w:color="auto"/>
            </w:tcBorders>
          </w:tcPr>
          <w:p w14:paraId="000662C4" w14:textId="64B9554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-5.28</w:t>
            </w:r>
          </w:p>
        </w:tc>
        <w:tc>
          <w:tcPr>
            <w:tcW w:w="810" w:type="dxa"/>
            <w:tcBorders>
              <w:top w:val="single" w:sz="4" w:space="0" w:color="auto"/>
            </w:tcBorders>
          </w:tcPr>
          <w:p w14:paraId="1007B3F3" w14:textId="35096F44"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3.52</w:t>
            </w:r>
          </w:p>
        </w:tc>
        <w:tc>
          <w:tcPr>
            <w:tcW w:w="810" w:type="dxa"/>
            <w:tcBorders>
              <w:top w:val="single" w:sz="4" w:space="0" w:color="auto"/>
            </w:tcBorders>
          </w:tcPr>
          <w:p w14:paraId="128F3458" w14:textId="45FE61D0"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-1.76</w:t>
            </w:r>
          </w:p>
        </w:tc>
        <w:tc>
          <w:tcPr>
            <w:tcW w:w="720" w:type="dxa"/>
            <w:tcBorders>
              <w:top w:val="single" w:sz="4" w:space="0" w:color="auto"/>
            </w:tcBorders>
            <w:shd w:val="clear" w:color="auto" w:fill="F2F2F2" w:themeFill="background1" w:themeFillShade="F2"/>
          </w:tcPr>
          <w:p w14:paraId="1AD7C48B" w14:textId="77777777" w:rsidR="00F46380" w:rsidRPr="00E4265B" w:rsidRDefault="00F46380" w:rsidP="00F46380">
            <w:pPr>
              <w:spacing w:line="360" w:lineRule="auto"/>
              <w:jc w:val="right"/>
              <w:rPr>
                <w:rFonts w:ascii="Arial" w:hAnsi="Arial" w:cs="Arial"/>
                <w:sz w:val="22"/>
                <w:szCs w:val="22"/>
                <w:lang w:val="en-GB"/>
              </w:rPr>
            </w:pPr>
          </w:p>
        </w:tc>
        <w:tc>
          <w:tcPr>
            <w:tcW w:w="720" w:type="dxa"/>
            <w:tcBorders>
              <w:top w:val="single" w:sz="4" w:space="0" w:color="auto"/>
            </w:tcBorders>
            <w:shd w:val="clear" w:color="auto" w:fill="F2F2F2" w:themeFill="background1" w:themeFillShade="F2"/>
          </w:tcPr>
          <w:p w14:paraId="629BCF18" w14:textId="77777777" w:rsidR="00F46380" w:rsidRPr="00E4265B" w:rsidRDefault="00F46380" w:rsidP="00F46380">
            <w:pPr>
              <w:spacing w:line="360" w:lineRule="auto"/>
              <w:jc w:val="right"/>
              <w:rPr>
                <w:rFonts w:ascii="Arial" w:hAnsi="Arial" w:cs="Arial"/>
                <w:sz w:val="22"/>
                <w:szCs w:val="22"/>
                <w:lang w:val="en-GB"/>
              </w:rPr>
            </w:pPr>
          </w:p>
        </w:tc>
        <w:tc>
          <w:tcPr>
            <w:tcW w:w="1440" w:type="dxa"/>
            <w:tcBorders>
              <w:top w:val="nil"/>
              <w:bottom w:val="single" w:sz="12" w:space="0" w:color="auto"/>
            </w:tcBorders>
          </w:tcPr>
          <w:p w14:paraId="0E64C81A" w14:textId="4AFB47CC" w:rsidR="00F46380" w:rsidRPr="00E4265B" w:rsidRDefault="00F46380" w:rsidP="00520DA4">
            <w:pPr>
              <w:spacing w:line="360" w:lineRule="auto"/>
              <w:jc w:val="right"/>
              <w:rPr>
                <w:rFonts w:ascii="Arial" w:hAnsi="Arial" w:cs="Arial"/>
                <w:i/>
                <w:iCs/>
                <w:sz w:val="22"/>
                <w:szCs w:val="22"/>
                <w:lang w:val="en-GB"/>
              </w:rPr>
            </w:pPr>
            <w:r w:rsidRPr="00E4265B">
              <w:rPr>
                <w:rFonts w:ascii="Arial" w:hAnsi="Arial" w:cs="Arial"/>
                <w:i/>
                <w:iCs/>
                <w:sz w:val="22"/>
                <w:szCs w:val="22"/>
                <w:lang w:val="en-GB"/>
              </w:rPr>
              <w:t>1.30</w:t>
            </w:r>
          </w:p>
        </w:tc>
        <w:tc>
          <w:tcPr>
            <w:tcW w:w="1107" w:type="dxa"/>
            <w:tcBorders>
              <w:top w:val="single" w:sz="4" w:space="0" w:color="auto"/>
              <w:bottom w:val="single" w:sz="4" w:space="0" w:color="auto"/>
            </w:tcBorders>
            <w:shd w:val="clear" w:color="auto" w:fill="F2F2F2" w:themeFill="background1" w:themeFillShade="F2"/>
          </w:tcPr>
          <w:p w14:paraId="4B5D5500" w14:textId="77777777" w:rsidR="00F46380" w:rsidRPr="00E4265B" w:rsidRDefault="00F46380" w:rsidP="00F46380">
            <w:pPr>
              <w:spacing w:line="360" w:lineRule="auto"/>
              <w:rPr>
                <w:rFonts w:ascii="Arial" w:hAnsi="Arial" w:cs="Arial"/>
                <w:sz w:val="22"/>
                <w:szCs w:val="22"/>
                <w:lang w:val="en-GB"/>
              </w:rPr>
            </w:pPr>
          </w:p>
        </w:tc>
      </w:tr>
      <w:tr w:rsidR="00A80508" w:rsidRPr="00E4265B" w14:paraId="4CE50576" w14:textId="77777777" w:rsidTr="00F51D6D">
        <w:trPr>
          <w:trHeight w:val="144"/>
        </w:trPr>
        <w:tc>
          <w:tcPr>
            <w:tcW w:w="628" w:type="dxa"/>
            <w:vMerge/>
            <w:tcBorders>
              <w:bottom w:val="single" w:sz="4" w:space="0" w:color="auto"/>
            </w:tcBorders>
            <w:vAlign w:val="center"/>
          </w:tcPr>
          <w:p w14:paraId="58C59CDE" w14:textId="77777777" w:rsidR="00F46380" w:rsidRPr="00E4265B" w:rsidRDefault="00F46380" w:rsidP="003C0546">
            <w:pPr>
              <w:spacing w:line="360" w:lineRule="auto"/>
              <w:jc w:val="center"/>
              <w:rPr>
                <w:rFonts w:ascii="Arial" w:hAnsi="Arial" w:cs="Arial"/>
                <w:sz w:val="22"/>
                <w:szCs w:val="22"/>
                <w:lang w:val="en-GB"/>
              </w:rPr>
            </w:pPr>
          </w:p>
        </w:tc>
        <w:tc>
          <w:tcPr>
            <w:tcW w:w="1820" w:type="dxa"/>
            <w:tcBorders>
              <w:bottom w:val="single" w:sz="4" w:space="0" w:color="auto"/>
            </w:tcBorders>
            <w:vAlign w:val="center"/>
          </w:tcPr>
          <w:p w14:paraId="301FD68D" w14:textId="1BBBA23B" w:rsidR="00F46380" w:rsidRPr="00E4265B" w:rsidRDefault="00F46380" w:rsidP="00F46380">
            <w:pPr>
              <w:spacing w:line="360" w:lineRule="auto"/>
              <w:rPr>
                <w:rFonts w:ascii="Arial" w:hAnsi="Arial" w:cs="Arial"/>
                <w:sz w:val="22"/>
                <w:szCs w:val="22"/>
                <w:lang w:val="en-GB"/>
              </w:rPr>
            </w:pPr>
            <w:r w:rsidRPr="00E4265B">
              <w:rPr>
                <w:rFonts w:ascii="Arial" w:hAnsi="Arial" w:cs="Arial"/>
                <w:sz w:val="22"/>
                <w:szCs w:val="22"/>
                <w:lang w:val="en-GB"/>
              </w:rPr>
              <w:t>&gt; 2.8 and ≤ 3.6 y</w:t>
            </w:r>
          </w:p>
        </w:tc>
        <w:tc>
          <w:tcPr>
            <w:tcW w:w="900" w:type="dxa"/>
            <w:tcBorders>
              <w:bottom w:val="single" w:sz="4" w:space="0" w:color="auto"/>
            </w:tcBorders>
          </w:tcPr>
          <w:p w14:paraId="5076BA43" w14:textId="24FE31C8"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300</w:t>
            </w:r>
          </w:p>
        </w:tc>
        <w:tc>
          <w:tcPr>
            <w:tcW w:w="990" w:type="dxa"/>
            <w:tcBorders>
              <w:bottom w:val="single" w:sz="4" w:space="0" w:color="auto"/>
            </w:tcBorders>
          </w:tcPr>
          <w:p w14:paraId="75D46A6A" w14:textId="46C882DF"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-400</w:t>
            </w:r>
          </w:p>
        </w:tc>
        <w:tc>
          <w:tcPr>
            <w:tcW w:w="1530" w:type="dxa"/>
            <w:tcBorders>
              <w:bottom w:val="single" w:sz="4" w:space="0" w:color="auto"/>
            </w:tcBorders>
          </w:tcPr>
          <w:p w14:paraId="710348AF"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0.75%</w:t>
            </w:r>
          </w:p>
        </w:tc>
        <w:tc>
          <w:tcPr>
            <w:tcW w:w="1080" w:type="dxa"/>
            <w:tcBorders>
              <w:bottom w:val="single" w:sz="4" w:space="0" w:color="auto"/>
            </w:tcBorders>
          </w:tcPr>
          <w:p w14:paraId="26085C3C"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3.00</w:t>
            </w:r>
          </w:p>
        </w:tc>
        <w:tc>
          <w:tcPr>
            <w:tcW w:w="900" w:type="dxa"/>
            <w:tcBorders>
              <w:bottom w:val="single" w:sz="4" w:space="0" w:color="auto"/>
            </w:tcBorders>
          </w:tcPr>
          <w:p w14:paraId="29C72A9D" w14:textId="15518E3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6.75</w:t>
            </w:r>
          </w:p>
        </w:tc>
        <w:tc>
          <w:tcPr>
            <w:tcW w:w="810" w:type="dxa"/>
            <w:tcBorders>
              <w:bottom w:val="single" w:sz="4" w:space="0" w:color="auto"/>
            </w:tcBorders>
          </w:tcPr>
          <w:p w14:paraId="58BA8115" w14:textId="74C9885A"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-9.00</w:t>
            </w:r>
          </w:p>
        </w:tc>
        <w:tc>
          <w:tcPr>
            <w:tcW w:w="810" w:type="dxa"/>
            <w:tcBorders>
              <w:bottom w:val="single" w:sz="4" w:space="0" w:color="auto"/>
            </w:tcBorders>
          </w:tcPr>
          <w:p w14:paraId="05F6D760" w14:textId="7280E39F"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6.75</w:t>
            </w:r>
          </w:p>
        </w:tc>
        <w:tc>
          <w:tcPr>
            <w:tcW w:w="810" w:type="dxa"/>
            <w:tcBorders>
              <w:bottom w:val="single" w:sz="4" w:space="0" w:color="auto"/>
            </w:tcBorders>
          </w:tcPr>
          <w:p w14:paraId="69B1420F" w14:textId="55A93F93"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-2.25</w:t>
            </w:r>
          </w:p>
        </w:tc>
        <w:tc>
          <w:tcPr>
            <w:tcW w:w="720" w:type="dxa"/>
            <w:tcBorders>
              <w:bottom w:val="single" w:sz="4" w:space="0" w:color="auto"/>
            </w:tcBorders>
            <w:shd w:val="clear" w:color="auto" w:fill="F2F2F2" w:themeFill="background1" w:themeFillShade="F2"/>
          </w:tcPr>
          <w:p w14:paraId="50401E87" w14:textId="77777777" w:rsidR="00F46380" w:rsidRPr="00E4265B" w:rsidRDefault="00F46380" w:rsidP="00F46380">
            <w:pPr>
              <w:spacing w:line="360" w:lineRule="auto"/>
              <w:jc w:val="right"/>
              <w:rPr>
                <w:rFonts w:ascii="Arial" w:hAnsi="Arial" w:cs="Arial"/>
                <w:sz w:val="22"/>
                <w:szCs w:val="22"/>
                <w:lang w:val="en-GB"/>
              </w:rPr>
            </w:pPr>
          </w:p>
        </w:tc>
        <w:tc>
          <w:tcPr>
            <w:tcW w:w="720" w:type="dxa"/>
            <w:tcBorders>
              <w:bottom w:val="single" w:sz="4" w:space="0" w:color="auto"/>
            </w:tcBorders>
            <w:shd w:val="clear" w:color="auto" w:fill="F2F2F2" w:themeFill="background1" w:themeFillShade="F2"/>
          </w:tcPr>
          <w:p w14:paraId="46DFFC28" w14:textId="77777777" w:rsidR="00F46380" w:rsidRPr="00E4265B" w:rsidRDefault="00F46380" w:rsidP="00F46380">
            <w:pPr>
              <w:spacing w:line="360" w:lineRule="auto"/>
              <w:jc w:val="right"/>
              <w:rPr>
                <w:rFonts w:ascii="Arial" w:hAnsi="Arial" w:cs="Arial"/>
                <w:sz w:val="22"/>
                <w:szCs w:val="22"/>
                <w:lang w:val="en-GB"/>
              </w:rPr>
            </w:pPr>
          </w:p>
        </w:tc>
        <w:tc>
          <w:tcPr>
            <w:tcW w:w="1440" w:type="dxa"/>
            <w:tcBorders>
              <w:top w:val="single" w:sz="12" w:space="0" w:color="auto"/>
              <w:bottom w:val="single" w:sz="4" w:space="0" w:color="auto"/>
            </w:tcBorders>
            <w:shd w:val="clear" w:color="auto" w:fill="F2F2F2" w:themeFill="background1" w:themeFillShade="F2"/>
          </w:tcPr>
          <w:p w14:paraId="19D95F94" w14:textId="77777777" w:rsidR="00F46380" w:rsidRPr="00E4265B" w:rsidRDefault="00F46380" w:rsidP="00F46380">
            <w:pPr>
              <w:spacing w:line="360" w:lineRule="auto"/>
              <w:rPr>
                <w:rFonts w:ascii="Arial" w:hAnsi="Arial" w:cs="Arial"/>
                <w:sz w:val="22"/>
                <w:szCs w:val="22"/>
                <w:lang w:val="en-GB"/>
              </w:rPr>
            </w:pPr>
          </w:p>
        </w:tc>
        <w:tc>
          <w:tcPr>
            <w:tcW w:w="1107" w:type="dxa"/>
            <w:tcBorders>
              <w:bottom w:val="nil"/>
            </w:tcBorders>
          </w:tcPr>
          <w:p w14:paraId="43346A76" w14:textId="394A7E5C" w:rsidR="00F46380" w:rsidRPr="00E4265B" w:rsidRDefault="00F46380" w:rsidP="0083525E">
            <w:pPr>
              <w:spacing w:line="360" w:lineRule="auto"/>
              <w:jc w:val="right"/>
              <w:rPr>
                <w:rFonts w:ascii="Arial" w:hAnsi="Arial" w:cs="Arial"/>
                <w:i/>
                <w:iCs/>
                <w:sz w:val="22"/>
                <w:szCs w:val="22"/>
                <w:lang w:val="en-GB"/>
              </w:rPr>
            </w:pPr>
            <w:r w:rsidRPr="00E4265B">
              <w:rPr>
                <w:rFonts w:ascii="Arial" w:hAnsi="Arial" w:cs="Arial"/>
                <w:i/>
                <w:iCs/>
                <w:sz w:val="22"/>
                <w:szCs w:val="22"/>
                <w:lang w:val="en-GB"/>
              </w:rPr>
              <w:t>Zones</w:t>
            </w:r>
            <w:r w:rsidR="00A80508" w:rsidRPr="00E4265B">
              <w:rPr>
                <w:rFonts w:ascii="Arial" w:hAnsi="Arial" w:cs="Arial"/>
                <w:i/>
                <w:iCs/>
                <w:sz w:val="22"/>
                <w:szCs w:val="22"/>
                <w:lang w:val="en-GB"/>
              </w:rPr>
              <w:t xml:space="preserve"> </w:t>
            </w:r>
            <w:r w:rsidR="0083525E" w:rsidRPr="00E4265B">
              <w:rPr>
                <w:rFonts w:ascii="Arial" w:hAnsi="Arial" w:cs="Arial"/>
                <w:i/>
                <w:iCs/>
                <w:sz w:val="22"/>
                <w:szCs w:val="22"/>
                <w:lang w:val="en-GB"/>
              </w:rPr>
              <w:t>A</w:t>
            </w:r>
            <w:r w:rsidRPr="00E4265B">
              <w:rPr>
                <w:rFonts w:ascii="Arial" w:hAnsi="Arial" w:cs="Arial"/>
                <w:i/>
                <w:iCs/>
                <w:sz w:val="22"/>
                <w:szCs w:val="22"/>
                <w:lang w:val="en-GB"/>
              </w:rPr>
              <w:t>&amp;</w:t>
            </w:r>
            <w:r w:rsidR="0083525E" w:rsidRPr="00E4265B">
              <w:rPr>
                <w:rFonts w:ascii="Arial" w:hAnsi="Arial" w:cs="Arial"/>
                <w:i/>
                <w:iCs/>
                <w:sz w:val="22"/>
                <w:szCs w:val="22"/>
                <w:lang w:val="en-GB"/>
              </w:rPr>
              <w:t>C</w:t>
            </w:r>
          </w:p>
        </w:tc>
      </w:tr>
      <w:tr w:rsidR="00A80508" w:rsidRPr="00E4265B" w14:paraId="76EBB5ED" w14:textId="77777777" w:rsidTr="00F51D6D">
        <w:trPr>
          <w:trHeight w:val="144"/>
        </w:trPr>
        <w:tc>
          <w:tcPr>
            <w:tcW w:w="628" w:type="dxa"/>
            <w:vMerge/>
            <w:tcBorders>
              <w:top w:val="single" w:sz="4" w:space="0" w:color="auto"/>
              <w:bottom w:val="single" w:sz="12" w:space="0" w:color="auto"/>
            </w:tcBorders>
            <w:vAlign w:val="center"/>
          </w:tcPr>
          <w:p w14:paraId="090F5C7B" w14:textId="77777777" w:rsidR="00D41024" w:rsidRPr="00E4265B" w:rsidRDefault="00D41024" w:rsidP="003C0546">
            <w:pPr>
              <w:spacing w:line="360" w:lineRule="auto"/>
              <w:jc w:val="center"/>
              <w:rPr>
                <w:rFonts w:ascii="Arial" w:hAnsi="Arial" w:cs="Arial"/>
                <w:sz w:val="22"/>
                <w:szCs w:val="22"/>
                <w:lang w:val="en-GB"/>
              </w:rPr>
            </w:pPr>
          </w:p>
        </w:tc>
        <w:tc>
          <w:tcPr>
            <w:tcW w:w="1820" w:type="dxa"/>
            <w:tcBorders>
              <w:top w:val="single" w:sz="4" w:space="0" w:color="auto"/>
              <w:bottom w:val="single" w:sz="12" w:space="0" w:color="auto"/>
            </w:tcBorders>
            <w:shd w:val="clear" w:color="auto" w:fill="F2F2F2" w:themeFill="background1" w:themeFillShade="F2"/>
          </w:tcPr>
          <w:p w14:paraId="2D5BA1A4" w14:textId="77777777" w:rsidR="00D41024" w:rsidRPr="00E4265B" w:rsidRDefault="00D41024" w:rsidP="00D41024">
            <w:pPr>
              <w:spacing w:line="360" w:lineRule="auto"/>
              <w:rPr>
                <w:rFonts w:ascii="Arial" w:hAnsi="Arial" w:cs="Arial"/>
                <w:sz w:val="22"/>
                <w:szCs w:val="22"/>
                <w:lang w:val="en-GB"/>
              </w:rPr>
            </w:pPr>
          </w:p>
        </w:tc>
        <w:tc>
          <w:tcPr>
            <w:tcW w:w="900" w:type="dxa"/>
            <w:tcBorders>
              <w:top w:val="single" w:sz="4" w:space="0" w:color="auto"/>
              <w:bottom w:val="single" w:sz="12" w:space="0" w:color="auto"/>
            </w:tcBorders>
            <w:shd w:val="clear" w:color="auto" w:fill="F2F2F2" w:themeFill="background1" w:themeFillShade="F2"/>
          </w:tcPr>
          <w:p w14:paraId="2F54EAF1" w14:textId="77777777" w:rsidR="00D41024" w:rsidRPr="00E4265B" w:rsidRDefault="00D41024" w:rsidP="00D41024">
            <w:pPr>
              <w:spacing w:line="360" w:lineRule="auto"/>
              <w:jc w:val="right"/>
              <w:rPr>
                <w:rFonts w:ascii="Arial" w:hAnsi="Arial" w:cs="Arial"/>
                <w:sz w:val="22"/>
                <w:szCs w:val="22"/>
                <w:lang w:val="en-GB"/>
              </w:rPr>
            </w:pPr>
          </w:p>
        </w:tc>
        <w:tc>
          <w:tcPr>
            <w:tcW w:w="990" w:type="dxa"/>
            <w:tcBorders>
              <w:top w:val="single" w:sz="4" w:space="0" w:color="auto"/>
              <w:bottom w:val="single" w:sz="12" w:space="0" w:color="auto"/>
            </w:tcBorders>
            <w:shd w:val="clear" w:color="auto" w:fill="F2F2F2" w:themeFill="background1" w:themeFillShade="F2"/>
          </w:tcPr>
          <w:p w14:paraId="67C5FBA3" w14:textId="77777777" w:rsidR="00D41024" w:rsidRPr="00E4265B" w:rsidRDefault="00D41024" w:rsidP="00D41024">
            <w:pPr>
              <w:spacing w:line="360" w:lineRule="auto"/>
              <w:jc w:val="right"/>
              <w:rPr>
                <w:rFonts w:ascii="Arial" w:hAnsi="Arial" w:cs="Arial"/>
                <w:sz w:val="22"/>
                <w:szCs w:val="22"/>
                <w:lang w:val="en-GB"/>
              </w:rPr>
            </w:pPr>
          </w:p>
        </w:tc>
        <w:tc>
          <w:tcPr>
            <w:tcW w:w="1530" w:type="dxa"/>
            <w:tcBorders>
              <w:top w:val="single" w:sz="4" w:space="0" w:color="auto"/>
              <w:bottom w:val="single" w:sz="12" w:space="0" w:color="auto"/>
            </w:tcBorders>
            <w:shd w:val="clear" w:color="auto" w:fill="F2F2F2" w:themeFill="background1" w:themeFillShade="F2"/>
          </w:tcPr>
          <w:p w14:paraId="31537F1F" w14:textId="77777777" w:rsidR="00D41024" w:rsidRPr="00E4265B" w:rsidRDefault="00D41024" w:rsidP="00D41024">
            <w:pPr>
              <w:spacing w:line="360" w:lineRule="auto"/>
              <w:jc w:val="right"/>
              <w:rPr>
                <w:rFonts w:ascii="Arial" w:hAnsi="Arial" w:cs="Arial"/>
                <w:sz w:val="22"/>
                <w:szCs w:val="22"/>
                <w:lang w:val="en-GB"/>
              </w:rPr>
            </w:pPr>
          </w:p>
        </w:tc>
        <w:tc>
          <w:tcPr>
            <w:tcW w:w="1080" w:type="dxa"/>
            <w:tcBorders>
              <w:top w:val="single" w:sz="4" w:space="0" w:color="auto"/>
              <w:bottom w:val="single" w:sz="12" w:space="0" w:color="auto"/>
            </w:tcBorders>
            <w:shd w:val="clear" w:color="auto" w:fill="F2F2F2" w:themeFill="background1" w:themeFillShade="F2"/>
          </w:tcPr>
          <w:p w14:paraId="6B40991B" w14:textId="77777777" w:rsidR="00D41024" w:rsidRPr="00E4265B" w:rsidRDefault="00D41024" w:rsidP="00D41024">
            <w:pPr>
              <w:spacing w:line="360" w:lineRule="auto"/>
              <w:jc w:val="right"/>
              <w:rPr>
                <w:rFonts w:ascii="Arial" w:hAnsi="Arial" w:cs="Arial"/>
                <w:sz w:val="22"/>
                <w:szCs w:val="22"/>
                <w:lang w:val="en-GB"/>
              </w:rPr>
            </w:pPr>
          </w:p>
        </w:tc>
        <w:tc>
          <w:tcPr>
            <w:tcW w:w="900" w:type="dxa"/>
            <w:tcBorders>
              <w:top w:val="single" w:sz="4" w:space="0" w:color="auto"/>
              <w:bottom w:val="single" w:sz="12" w:space="0" w:color="auto"/>
            </w:tcBorders>
            <w:shd w:val="clear" w:color="auto" w:fill="F2F2F2" w:themeFill="background1" w:themeFillShade="F2"/>
          </w:tcPr>
          <w:p w14:paraId="283EA0A3" w14:textId="77777777" w:rsidR="00D41024" w:rsidRPr="00E4265B" w:rsidRDefault="00D41024" w:rsidP="00D41024">
            <w:pPr>
              <w:spacing w:line="360" w:lineRule="auto"/>
              <w:jc w:val="right"/>
              <w:rPr>
                <w:rFonts w:ascii="Arial" w:hAnsi="Arial" w:cs="Arial"/>
                <w:sz w:val="22"/>
                <w:szCs w:val="22"/>
                <w:lang w:val="en-GB"/>
              </w:rPr>
            </w:pPr>
          </w:p>
        </w:tc>
        <w:tc>
          <w:tcPr>
            <w:tcW w:w="810" w:type="dxa"/>
            <w:tcBorders>
              <w:top w:val="single" w:sz="4" w:space="0" w:color="auto"/>
              <w:bottom w:val="single" w:sz="12" w:space="0" w:color="auto"/>
            </w:tcBorders>
            <w:shd w:val="clear" w:color="auto" w:fill="F2F2F2" w:themeFill="background1" w:themeFillShade="F2"/>
          </w:tcPr>
          <w:p w14:paraId="05A56290" w14:textId="77777777" w:rsidR="00D41024" w:rsidRPr="00E4265B" w:rsidRDefault="00D41024" w:rsidP="00D41024">
            <w:pPr>
              <w:spacing w:line="360" w:lineRule="auto"/>
              <w:jc w:val="right"/>
              <w:rPr>
                <w:rFonts w:ascii="Arial" w:hAnsi="Arial" w:cs="Arial"/>
                <w:sz w:val="22"/>
                <w:szCs w:val="22"/>
                <w:lang w:val="en-GB"/>
              </w:rPr>
            </w:pPr>
          </w:p>
        </w:tc>
        <w:tc>
          <w:tcPr>
            <w:tcW w:w="810" w:type="dxa"/>
            <w:tcBorders>
              <w:top w:val="single" w:sz="4" w:space="0" w:color="auto"/>
              <w:bottom w:val="single" w:sz="12" w:space="0" w:color="auto"/>
            </w:tcBorders>
            <w:shd w:val="clear" w:color="auto" w:fill="F2F2F2" w:themeFill="background1" w:themeFillShade="F2"/>
          </w:tcPr>
          <w:p w14:paraId="34C2DD85" w14:textId="77777777" w:rsidR="00D41024" w:rsidRPr="00E4265B" w:rsidRDefault="00D41024" w:rsidP="00D41024">
            <w:pPr>
              <w:spacing w:line="360" w:lineRule="auto"/>
              <w:jc w:val="right"/>
              <w:rPr>
                <w:rFonts w:ascii="Arial" w:hAnsi="Arial" w:cs="Arial"/>
                <w:sz w:val="22"/>
                <w:szCs w:val="22"/>
                <w:lang w:val="en-GB"/>
              </w:rPr>
            </w:pPr>
          </w:p>
        </w:tc>
        <w:tc>
          <w:tcPr>
            <w:tcW w:w="810" w:type="dxa"/>
            <w:tcBorders>
              <w:top w:val="single" w:sz="4" w:space="0" w:color="auto"/>
              <w:bottom w:val="single" w:sz="12" w:space="0" w:color="auto"/>
            </w:tcBorders>
            <w:shd w:val="clear" w:color="auto" w:fill="F2F2F2" w:themeFill="background1" w:themeFillShade="F2"/>
          </w:tcPr>
          <w:p w14:paraId="32B8FB6D" w14:textId="77777777" w:rsidR="00D41024" w:rsidRPr="00E4265B" w:rsidRDefault="00D41024" w:rsidP="00D41024">
            <w:pPr>
              <w:spacing w:line="360" w:lineRule="auto"/>
              <w:jc w:val="right"/>
              <w:rPr>
                <w:rFonts w:ascii="Arial" w:hAnsi="Arial" w:cs="Arial"/>
                <w:sz w:val="22"/>
                <w:szCs w:val="22"/>
                <w:lang w:val="en-GB"/>
              </w:rPr>
            </w:pPr>
          </w:p>
        </w:tc>
        <w:tc>
          <w:tcPr>
            <w:tcW w:w="720" w:type="dxa"/>
            <w:tcBorders>
              <w:top w:val="single" w:sz="4" w:space="0" w:color="auto"/>
              <w:bottom w:val="single" w:sz="12" w:space="0" w:color="auto"/>
            </w:tcBorders>
            <w:shd w:val="clear" w:color="auto" w:fill="F2F2F2" w:themeFill="background1" w:themeFillShade="F2"/>
          </w:tcPr>
          <w:p w14:paraId="7D9262B4" w14:textId="77777777" w:rsidR="00D41024" w:rsidRPr="00E4265B" w:rsidRDefault="00D41024" w:rsidP="00D41024">
            <w:pPr>
              <w:spacing w:line="360" w:lineRule="auto"/>
              <w:jc w:val="right"/>
              <w:rPr>
                <w:rFonts w:ascii="Arial" w:hAnsi="Arial" w:cs="Arial"/>
                <w:sz w:val="22"/>
                <w:szCs w:val="22"/>
                <w:lang w:val="en-GB"/>
              </w:rPr>
            </w:pPr>
          </w:p>
        </w:tc>
        <w:tc>
          <w:tcPr>
            <w:tcW w:w="720" w:type="dxa"/>
            <w:tcBorders>
              <w:top w:val="single" w:sz="4" w:space="0" w:color="auto"/>
              <w:bottom w:val="single" w:sz="12" w:space="0" w:color="auto"/>
            </w:tcBorders>
            <w:shd w:val="clear" w:color="auto" w:fill="F2F2F2" w:themeFill="background1" w:themeFillShade="F2"/>
          </w:tcPr>
          <w:p w14:paraId="73E198FC" w14:textId="77777777" w:rsidR="00D41024" w:rsidRPr="00E4265B" w:rsidRDefault="00D41024" w:rsidP="00D41024">
            <w:pPr>
              <w:spacing w:line="360" w:lineRule="auto"/>
              <w:jc w:val="right"/>
              <w:rPr>
                <w:rFonts w:ascii="Arial" w:hAnsi="Arial" w:cs="Arial"/>
                <w:sz w:val="22"/>
                <w:szCs w:val="22"/>
                <w:lang w:val="en-GB"/>
              </w:rPr>
            </w:pPr>
          </w:p>
        </w:tc>
        <w:tc>
          <w:tcPr>
            <w:tcW w:w="1440" w:type="dxa"/>
            <w:tcBorders>
              <w:top w:val="single" w:sz="4" w:space="0" w:color="auto"/>
              <w:bottom w:val="single" w:sz="12" w:space="0" w:color="auto"/>
            </w:tcBorders>
            <w:shd w:val="clear" w:color="auto" w:fill="F2F2F2" w:themeFill="background1" w:themeFillShade="F2"/>
          </w:tcPr>
          <w:p w14:paraId="30B6F6A8" w14:textId="77777777" w:rsidR="00D41024" w:rsidRPr="00E4265B" w:rsidRDefault="00D41024" w:rsidP="00D41024">
            <w:pPr>
              <w:spacing w:line="360" w:lineRule="auto"/>
              <w:rPr>
                <w:rFonts w:ascii="Arial" w:hAnsi="Arial" w:cs="Arial"/>
                <w:sz w:val="22"/>
                <w:szCs w:val="22"/>
                <w:lang w:val="en-GB"/>
              </w:rPr>
            </w:pPr>
          </w:p>
        </w:tc>
        <w:tc>
          <w:tcPr>
            <w:tcW w:w="1107" w:type="dxa"/>
            <w:tcBorders>
              <w:top w:val="nil"/>
              <w:bottom w:val="single" w:sz="12" w:space="0" w:color="auto"/>
            </w:tcBorders>
          </w:tcPr>
          <w:p w14:paraId="76214F4A" w14:textId="58F8CB22" w:rsidR="00D41024" w:rsidRPr="00E4265B" w:rsidRDefault="00D41024" w:rsidP="00520DA4">
            <w:pPr>
              <w:spacing w:line="360" w:lineRule="auto"/>
              <w:jc w:val="right"/>
              <w:rPr>
                <w:rFonts w:ascii="Arial" w:hAnsi="Arial" w:cs="Arial"/>
                <w:i/>
                <w:iCs/>
                <w:sz w:val="22"/>
                <w:szCs w:val="22"/>
                <w:lang w:val="en-GB"/>
              </w:rPr>
            </w:pPr>
            <w:r w:rsidRPr="00E4265B">
              <w:rPr>
                <w:rFonts w:ascii="Arial" w:hAnsi="Arial" w:cs="Arial"/>
                <w:i/>
                <w:iCs/>
                <w:sz w:val="22"/>
                <w:szCs w:val="22"/>
                <w:lang w:val="en-GB"/>
              </w:rPr>
              <w:t>0.00</w:t>
            </w:r>
          </w:p>
        </w:tc>
      </w:tr>
      <w:tr w:rsidR="00A80508" w:rsidRPr="00E4265B" w14:paraId="410EE595" w14:textId="77777777" w:rsidTr="001668A3">
        <w:trPr>
          <w:trHeight w:val="144"/>
        </w:trPr>
        <w:tc>
          <w:tcPr>
            <w:tcW w:w="628" w:type="dxa"/>
            <w:vMerge w:val="restart"/>
            <w:tcBorders>
              <w:top w:val="single" w:sz="12" w:space="0" w:color="auto"/>
            </w:tcBorders>
            <w:vAlign w:val="center"/>
          </w:tcPr>
          <w:p w14:paraId="4BAF429A" w14:textId="6C2A04A6" w:rsidR="00F46380" w:rsidRPr="00E4265B" w:rsidRDefault="0083525E" w:rsidP="003C0546">
            <w:pPr>
              <w:spacing w:line="360" w:lineRule="auto"/>
              <w:jc w:val="center"/>
              <w:rPr>
                <w:rFonts w:ascii="Arial" w:hAnsi="Arial" w:cs="Arial"/>
                <w:sz w:val="22"/>
                <w:szCs w:val="22"/>
                <w:lang w:val="en-GB"/>
              </w:rPr>
            </w:pPr>
            <w:r w:rsidRPr="00E4265B">
              <w:rPr>
                <w:rFonts w:ascii="Arial" w:hAnsi="Arial" w:cs="Arial"/>
                <w:sz w:val="22"/>
                <w:szCs w:val="22"/>
                <w:lang w:val="en-GB"/>
              </w:rPr>
              <w:t>C</w:t>
            </w:r>
          </w:p>
        </w:tc>
        <w:tc>
          <w:tcPr>
            <w:tcW w:w="1820" w:type="dxa"/>
            <w:tcBorders>
              <w:top w:val="single" w:sz="12" w:space="0" w:color="auto"/>
            </w:tcBorders>
            <w:vAlign w:val="center"/>
          </w:tcPr>
          <w:p w14:paraId="1D9AF161" w14:textId="50CC8EC4" w:rsidR="00F46380" w:rsidRPr="00E4265B" w:rsidRDefault="00F46380" w:rsidP="00F46380">
            <w:pPr>
              <w:spacing w:line="360" w:lineRule="auto"/>
              <w:rPr>
                <w:rFonts w:ascii="Arial" w:hAnsi="Arial" w:cs="Arial"/>
                <w:sz w:val="22"/>
                <w:szCs w:val="22"/>
                <w:lang w:val="en-GB"/>
              </w:rPr>
            </w:pPr>
            <w:r w:rsidRPr="00E4265B">
              <w:rPr>
                <w:rFonts w:ascii="Arial" w:hAnsi="Arial" w:cs="Arial"/>
                <w:sz w:val="22"/>
                <w:szCs w:val="22"/>
                <w:lang w:val="en-GB"/>
              </w:rPr>
              <w:t>&gt; 3.6 and ≤ 4.3 y</w:t>
            </w:r>
          </w:p>
        </w:tc>
        <w:tc>
          <w:tcPr>
            <w:tcW w:w="900" w:type="dxa"/>
            <w:tcBorders>
              <w:top w:val="single" w:sz="12" w:space="0" w:color="auto"/>
            </w:tcBorders>
          </w:tcPr>
          <w:p w14:paraId="5C2ACB23" w14:textId="5B95C44C"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100</w:t>
            </w:r>
          </w:p>
        </w:tc>
        <w:tc>
          <w:tcPr>
            <w:tcW w:w="990" w:type="dxa"/>
            <w:tcBorders>
              <w:top w:val="single" w:sz="12" w:space="0" w:color="auto"/>
            </w:tcBorders>
          </w:tcPr>
          <w:p w14:paraId="70BFE0B1" w14:textId="1B98757F"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-100</w:t>
            </w:r>
          </w:p>
        </w:tc>
        <w:tc>
          <w:tcPr>
            <w:tcW w:w="1530" w:type="dxa"/>
            <w:tcBorders>
              <w:top w:val="single" w:sz="12" w:space="0" w:color="auto"/>
            </w:tcBorders>
          </w:tcPr>
          <w:p w14:paraId="0C1BE47C"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0.75%</w:t>
            </w:r>
          </w:p>
        </w:tc>
        <w:tc>
          <w:tcPr>
            <w:tcW w:w="1080" w:type="dxa"/>
            <w:tcBorders>
              <w:top w:val="single" w:sz="12" w:space="0" w:color="auto"/>
            </w:tcBorders>
          </w:tcPr>
          <w:p w14:paraId="25191807"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3.65</w:t>
            </w:r>
          </w:p>
        </w:tc>
        <w:tc>
          <w:tcPr>
            <w:tcW w:w="900" w:type="dxa"/>
            <w:tcBorders>
              <w:top w:val="single" w:sz="12" w:space="0" w:color="auto"/>
            </w:tcBorders>
          </w:tcPr>
          <w:p w14:paraId="4EBB9A1C" w14:textId="42E053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2.74</w:t>
            </w:r>
          </w:p>
        </w:tc>
        <w:tc>
          <w:tcPr>
            <w:tcW w:w="810" w:type="dxa"/>
            <w:tcBorders>
              <w:top w:val="single" w:sz="12" w:space="0" w:color="auto"/>
            </w:tcBorders>
          </w:tcPr>
          <w:p w14:paraId="0E140EA6" w14:textId="32EEDD44"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-2.74</w:t>
            </w:r>
          </w:p>
        </w:tc>
        <w:tc>
          <w:tcPr>
            <w:tcW w:w="810" w:type="dxa"/>
            <w:tcBorders>
              <w:top w:val="single" w:sz="12" w:space="0" w:color="auto"/>
            </w:tcBorders>
          </w:tcPr>
          <w:p w14:paraId="3282AE0D" w14:textId="10AB35CD"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2.74</w:t>
            </w:r>
          </w:p>
        </w:tc>
        <w:tc>
          <w:tcPr>
            <w:tcW w:w="810" w:type="dxa"/>
            <w:tcBorders>
              <w:top w:val="single" w:sz="12" w:space="0" w:color="auto"/>
            </w:tcBorders>
          </w:tcPr>
          <w:p w14:paraId="5A5C07F5" w14:textId="133BA083"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720" w:type="dxa"/>
            <w:tcBorders>
              <w:top w:val="single" w:sz="12" w:space="0" w:color="auto"/>
            </w:tcBorders>
          </w:tcPr>
          <w:p w14:paraId="17AA16AD" w14:textId="71898D6A"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4.50</w:t>
            </w:r>
          </w:p>
        </w:tc>
        <w:tc>
          <w:tcPr>
            <w:tcW w:w="720" w:type="dxa"/>
            <w:tcBorders>
              <w:top w:val="single" w:sz="12" w:space="0" w:color="auto"/>
            </w:tcBorders>
          </w:tcPr>
          <w:p w14:paraId="7334A810" w14:textId="450314D1"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8.89</w:t>
            </w:r>
          </w:p>
        </w:tc>
        <w:tc>
          <w:tcPr>
            <w:tcW w:w="1440" w:type="dxa"/>
            <w:tcBorders>
              <w:top w:val="single" w:sz="12" w:space="0" w:color="auto"/>
              <w:bottom w:val="nil"/>
            </w:tcBorders>
          </w:tcPr>
          <w:p w14:paraId="46205703" w14:textId="12CC0722" w:rsidR="00F46380" w:rsidRPr="00E4265B" w:rsidRDefault="00F46380" w:rsidP="0083525E">
            <w:pPr>
              <w:spacing w:line="360" w:lineRule="auto"/>
              <w:jc w:val="right"/>
              <w:rPr>
                <w:rFonts w:ascii="Arial" w:hAnsi="Arial" w:cs="Arial"/>
                <w:i/>
                <w:iCs/>
                <w:sz w:val="22"/>
                <w:szCs w:val="22"/>
                <w:lang w:val="en-GB"/>
              </w:rPr>
            </w:pPr>
            <w:r w:rsidRPr="00E4265B">
              <w:rPr>
                <w:rFonts w:ascii="Arial" w:hAnsi="Arial" w:cs="Arial"/>
                <w:i/>
                <w:iCs/>
                <w:sz w:val="22"/>
                <w:szCs w:val="22"/>
                <w:lang w:val="en-GB"/>
              </w:rPr>
              <w:t>Zone</w:t>
            </w:r>
            <w:r w:rsidR="00520DA4" w:rsidRPr="00E4265B">
              <w:rPr>
                <w:rFonts w:ascii="Arial" w:hAnsi="Arial" w:cs="Arial"/>
                <w:i/>
                <w:iCs/>
                <w:sz w:val="22"/>
                <w:szCs w:val="22"/>
                <w:lang w:val="en-GB"/>
              </w:rPr>
              <w:t xml:space="preserve">s </w:t>
            </w:r>
            <w:r w:rsidR="0083525E" w:rsidRPr="00E4265B">
              <w:rPr>
                <w:rFonts w:ascii="Arial" w:hAnsi="Arial" w:cs="Arial"/>
                <w:i/>
                <w:iCs/>
                <w:sz w:val="22"/>
                <w:szCs w:val="22"/>
                <w:lang w:val="en-GB"/>
              </w:rPr>
              <w:t>B</w:t>
            </w:r>
            <w:r w:rsidRPr="00E4265B">
              <w:rPr>
                <w:rFonts w:ascii="Arial" w:hAnsi="Arial" w:cs="Arial"/>
                <w:i/>
                <w:iCs/>
                <w:sz w:val="22"/>
                <w:szCs w:val="22"/>
                <w:lang w:val="en-GB"/>
              </w:rPr>
              <w:t>&amp;</w:t>
            </w:r>
            <w:r w:rsidR="0083525E" w:rsidRPr="00E4265B">
              <w:rPr>
                <w:rFonts w:ascii="Arial" w:hAnsi="Arial" w:cs="Arial"/>
                <w:i/>
                <w:iCs/>
                <w:sz w:val="22"/>
                <w:szCs w:val="22"/>
                <w:lang w:val="en-GB"/>
              </w:rPr>
              <w:t>C</w:t>
            </w:r>
          </w:p>
        </w:tc>
        <w:tc>
          <w:tcPr>
            <w:tcW w:w="1107" w:type="dxa"/>
            <w:tcBorders>
              <w:top w:val="single" w:sz="12" w:space="0" w:color="auto"/>
            </w:tcBorders>
            <w:shd w:val="clear" w:color="auto" w:fill="F2F2F2" w:themeFill="background1" w:themeFillShade="F2"/>
          </w:tcPr>
          <w:p w14:paraId="61B6E8D4" w14:textId="77777777" w:rsidR="00F46380" w:rsidRPr="00E4265B" w:rsidRDefault="00F46380" w:rsidP="00F46380">
            <w:pPr>
              <w:spacing w:line="360" w:lineRule="auto"/>
              <w:rPr>
                <w:rFonts w:ascii="Arial" w:hAnsi="Arial" w:cs="Arial"/>
                <w:sz w:val="22"/>
                <w:szCs w:val="22"/>
                <w:lang w:val="en-GB"/>
              </w:rPr>
            </w:pPr>
          </w:p>
        </w:tc>
      </w:tr>
      <w:tr w:rsidR="00A80508" w:rsidRPr="00E4265B" w14:paraId="6C923563" w14:textId="77777777" w:rsidTr="00A80508">
        <w:trPr>
          <w:trHeight w:val="144"/>
        </w:trPr>
        <w:tc>
          <w:tcPr>
            <w:tcW w:w="628" w:type="dxa"/>
            <w:vMerge/>
          </w:tcPr>
          <w:p w14:paraId="738A536D" w14:textId="77777777" w:rsidR="00F46380" w:rsidRPr="00E4265B" w:rsidRDefault="00F46380" w:rsidP="00F46380">
            <w:pPr>
              <w:spacing w:line="360" w:lineRule="auto"/>
              <w:rPr>
                <w:rFonts w:ascii="Arial" w:hAnsi="Arial" w:cs="Arial"/>
                <w:sz w:val="22"/>
                <w:szCs w:val="22"/>
                <w:lang w:val="en-GB"/>
              </w:rPr>
            </w:pPr>
          </w:p>
        </w:tc>
        <w:tc>
          <w:tcPr>
            <w:tcW w:w="1820" w:type="dxa"/>
            <w:vAlign w:val="center"/>
          </w:tcPr>
          <w:p w14:paraId="1CAF75AF" w14:textId="2729D534" w:rsidR="00F46380" w:rsidRPr="00E4265B" w:rsidRDefault="00F46380" w:rsidP="00F46380">
            <w:pPr>
              <w:spacing w:line="360" w:lineRule="auto"/>
              <w:rPr>
                <w:rFonts w:ascii="Arial" w:hAnsi="Arial" w:cs="Arial"/>
                <w:sz w:val="22"/>
                <w:szCs w:val="22"/>
                <w:lang w:val="en-GB"/>
              </w:rPr>
            </w:pPr>
            <w:r w:rsidRPr="00E4265B">
              <w:rPr>
                <w:rFonts w:ascii="Arial" w:hAnsi="Arial" w:cs="Arial"/>
                <w:sz w:val="22"/>
                <w:szCs w:val="22"/>
                <w:lang w:val="en-GB"/>
              </w:rPr>
              <w:t>&gt; 4.3 and ≤ 5.7 y</w:t>
            </w:r>
          </w:p>
        </w:tc>
        <w:tc>
          <w:tcPr>
            <w:tcW w:w="900" w:type="dxa"/>
          </w:tcPr>
          <w:p w14:paraId="1242826F" w14:textId="224272C4"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200</w:t>
            </w:r>
          </w:p>
        </w:tc>
        <w:tc>
          <w:tcPr>
            <w:tcW w:w="990" w:type="dxa"/>
          </w:tcPr>
          <w:p w14:paraId="1C929738" w14:textId="6A397EB3"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-200</w:t>
            </w:r>
          </w:p>
        </w:tc>
        <w:tc>
          <w:tcPr>
            <w:tcW w:w="1530" w:type="dxa"/>
          </w:tcPr>
          <w:p w14:paraId="3EC01057"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0.70%</w:t>
            </w:r>
          </w:p>
        </w:tc>
        <w:tc>
          <w:tcPr>
            <w:tcW w:w="1080" w:type="dxa"/>
          </w:tcPr>
          <w:p w14:paraId="693FC101"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4.65</w:t>
            </w:r>
          </w:p>
        </w:tc>
        <w:tc>
          <w:tcPr>
            <w:tcW w:w="900" w:type="dxa"/>
          </w:tcPr>
          <w:p w14:paraId="4DDC36AD" w14:textId="3ABE8D64"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6.51</w:t>
            </w:r>
          </w:p>
        </w:tc>
        <w:tc>
          <w:tcPr>
            <w:tcW w:w="810" w:type="dxa"/>
          </w:tcPr>
          <w:p w14:paraId="142A7998" w14:textId="3B43128A"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-6.51</w:t>
            </w:r>
          </w:p>
        </w:tc>
        <w:tc>
          <w:tcPr>
            <w:tcW w:w="810" w:type="dxa"/>
          </w:tcPr>
          <w:p w14:paraId="3C878187" w14:textId="172B107A"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6.51</w:t>
            </w:r>
          </w:p>
        </w:tc>
        <w:tc>
          <w:tcPr>
            <w:tcW w:w="810" w:type="dxa"/>
          </w:tcPr>
          <w:p w14:paraId="3580F28F" w14:textId="6A23D1B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720" w:type="dxa"/>
            <w:shd w:val="clear" w:color="auto" w:fill="F2F2F2" w:themeFill="background1" w:themeFillShade="F2"/>
          </w:tcPr>
          <w:p w14:paraId="2EE61B9C" w14:textId="77777777" w:rsidR="00F46380" w:rsidRPr="00E4265B" w:rsidRDefault="00F46380" w:rsidP="00F46380">
            <w:pPr>
              <w:spacing w:line="360" w:lineRule="auto"/>
              <w:jc w:val="right"/>
              <w:rPr>
                <w:rFonts w:ascii="Arial" w:hAnsi="Arial" w:cs="Arial"/>
                <w:sz w:val="22"/>
                <w:szCs w:val="22"/>
                <w:lang w:val="en-GB"/>
              </w:rPr>
            </w:pPr>
          </w:p>
        </w:tc>
        <w:tc>
          <w:tcPr>
            <w:tcW w:w="720" w:type="dxa"/>
            <w:shd w:val="clear" w:color="auto" w:fill="F2F2F2" w:themeFill="background1" w:themeFillShade="F2"/>
          </w:tcPr>
          <w:p w14:paraId="4CBE0A56" w14:textId="77777777" w:rsidR="00F46380" w:rsidRPr="00E4265B" w:rsidRDefault="00F46380" w:rsidP="00F46380">
            <w:pPr>
              <w:spacing w:line="360" w:lineRule="auto"/>
              <w:jc w:val="right"/>
              <w:rPr>
                <w:rFonts w:ascii="Arial" w:hAnsi="Arial" w:cs="Arial"/>
                <w:sz w:val="22"/>
                <w:szCs w:val="22"/>
                <w:lang w:val="en-GB"/>
              </w:rPr>
            </w:pPr>
          </w:p>
        </w:tc>
        <w:tc>
          <w:tcPr>
            <w:tcW w:w="1440" w:type="dxa"/>
            <w:tcBorders>
              <w:top w:val="nil"/>
            </w:tcBorders>
          </w:tcPr>
          <w:p w14:paraId="319F56D7" w14:textId="7B313890" w:rsidR="00F46380" w:rsidRPr="00E4265B" w:rsidRDefault="00F46380" w:rsidP="00520DA4">
            <w:pPr>
              <w:spacing w:line="360" w:lineRule="auto"/>
              <w:jc w:val="right"/>
              <w:rPr>
                <w:rFonts w:ascii="Arial" w:hAnsi="Arial" w:cs="Arial"/>
                <w:i/>
                <w:iCs/>
                <w:sz w:val="22"/>
                <w:szCs w:val="22"/>
                <w:lang w:val="en-GB"/>
              </w:rPr>
            </w:pPr>
            <w:r w:rsidRPr="00E4265B">
              <w:rPr>
                <w:rFonts w:ascii="Arial" w:hAnsi="Arial" w:cs="Arial"/>
                <w:i/>
                <w:iCs/>
                <w:sz w:val="22"/>
                <w:szCs w:val="22"/>
                <w:lang w:val="en-GB"/>
              </w:rPr>
              <w:t>3.97</w:t>
            </w:r>
          </w:p>
        </w:tc>
        <w:tc>
          <w:tcPr>
            <w:tcW w:w="1107" w:type="dxa"/>
            <w:shd w:val="clear" w:color="auto" w:fill="F2F2F2" w:themeFill="background1" w:themeFillShade="F2"/>
          </w:tcPr>
          <w:p w14:paraId="48D34887" w14:textId="77777777" w:rsidR="00F46380" w:rsidRPr="00E4265B" w:rsidRDefault="00F46380" w:rsidP="00F46380">
            <w:pPr>
              <w:spacing w:line="360" w:lineRule="auto"/>
              <w:rPr>
                <w:rFonts w:ascii="Arial" w:hAnsi="Arial" w:cs="Arial"/>
                <w:sz w:val="22"/>
                <w:szCs w:val="22"/>
                <w:lang w:val="en-GB"/>
              </w:rPr>
            </w:pPr>
          </w:p>
        </w:tc>
      </w:tr>
      <w:tr w:rsidR="00A80508" w:rsidRPr="00E4265B" w14:paraId="435B685C" w14:textId="77777777" w:rsidTr="00A80508">
        <w:trPr>
          <w:trHeight w:val="144"/>
        </w:trPr>
        <w:tc>
          <w:tcPr>
            <w:tcW w:w="628" w:type="dxa"/>
            <w:vMerge/>
          </w:tcPr>
          <w:p w14:paraId="401708B5" w14:textId="77777777" w:rsidR="00F46380" w:rsidRPr="00E4265B" w:rsidRDefault="00F46380" w:rsidP="00F46380">
            <w:pPr>
              <w:spacing w:line="360" w:lineRule="auto"/>
              <w:rPr>
                <w:rFonts w:ascii="Arial" w:hAnsi="Arial" w:cs="Arial"/>
                <w:sz w:val="22"/>
                <w:szCs w:val="22"/>
                <w:lang w:val="en-GB"/>
              </w:rPr>
            </w:pPr>
          </w:p>
        </w:tc>
        <w:tc>
          <w:tcPr>
            <w:tcW w:w="1820" w:type="dxa"/>
            <w:vAlign w:val="center"/>
          </w:tcPr>
          <w:p w14:paraId="4EB5D767" w14:textId="0A3FE07A" w:rsidR="00F46380" w:rsidRPr="00E4265B" w:rsidRDefault="00F46380" w:rsidP="00F46380">
            <w:pPr>
              <w:spacing w:line="360" w:lineRule="auto"/>
              <w:rPr>
                <w:rFonts w:ascii="Arial" w:hAnsi="Arial" w:cs="Arial"/>
                <w:sz w:val="22"/>
                <w:szCs w:val="22"/>
                <w:lang w:val="en-GB"/>
              </w:rPr>
            </w:pPr>
            <w:r w:rsidRPr="00E4265B">
              <w:rPr>
                <w:rFonts w:ascii="Arial" w:hAnsi="Arial" w:cs="Arial"/>
                <w:sz w:val="22"/>
                <w:szCs w:val="22"/>
                <w:lang w:val="en-GB"/>
              </w:rPr>
              <w:t>&gt; 5.7 and ≤ 7.3 y</w:t>
            </w:r>
          </w:p>
        </w:tc>
        <w:tc>
          <w:tcPr>
            <w:tcW w:w="900" w:type="dxa"/>
          </w:tcPr>
          <w:p w14:paraId="3115677B" w14:textId="2A53D969"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300</w:t>
            </w:r>
          </w:p>
        </w:tc>
        <w:tc>
          <w:tcPr>
            <w:tcW w:w="990" w:type="dxa"/>
          </w:tcPr>
          <w:p w14:paraId="1D2FA417" w14:textId="6DC8569A"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-100</w:t>
            </w:r>
          </w:p>
        </w:tc>
        <w:tc>
          <w:tcPr>
            <w:tcW w:w="1530" w:type="dxa"/>
          </w:tcPr>
          <w:p w14:paraId="47B6C7FE"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0.65%</w:t>
            </w:r>
          </w:p>
        </w:tc>
        <w:tc>
          <w:tcPr>
            <w:tcW w:w="1080" w:type="dxa"/>
          </w:tcPr>
          <w:p w14:paraId="4A23399C"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5.80</w:t>
            </w:r>
          </w:p>
        </w:tc>
        <w:tc>
          <w:tcPr>
            <w:tcW w:w="900" w:type="dxa"/>
          </w:tcPr>
          <w:p w14:paraId="4465E373" w14:textId="697F2EDF"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11.31</w:t>
            </w:r>
          </w:p>
        </w:tc>
        <w:tc>
          <w:tcPr>
            <w:tcW w:w="810" w:type="dxa"/>
          </w:tcPr>
          <w:p w14:paraId="13D37B16" w14:textId="126016A0"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-3.77</w:t>
            </w:r>
          </w:p>
        </w:tc>
        <w:tc>
          <w:tcPr>
            <w:tcW w:w="810" w:type="dxa"/>
          </w:tcPr>
          <w:p w14:paraId="3325B955" w14:textId="0B50BB1D"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3.77</w:t>
            </w:r>
          </w:p>
        </w:tc>
        <w:tc>
          <w:tcPr>
            <w:tcW w:w="810" w:type="dxa"/>
          </w:tcPr>
          <w:p w14:paraId="4943D083" w14:textId="332709D9"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7.54</w:t>
            </w:r>
          </w:p>
        </w:tc>
        <w:tc>
          <w:tcPr>
            <w:tcW w:w="720" w:type="dxa"/>
            <w:shd w:val="clear" w:color="auto" w:fill="F2F2F2" w:themeFill="background1" w:themeFillShade="F2"/>
          </w:tcPr>
          <w:p w14:paraId="49A31B3D" w14:textId="77777777" w:rsidR="00F46380" w:rsidRPr="00E4265B" w:rsidRDefault="00F46380" w:rsidP="00F46380">
            <w:pPr>
              <w:spacing w:line="360" w:lineRule="auto"/>
              <w:jc w:val="right"/>
              <w:rPr>
                <w:rFonts w:ascii="Arial" w:hAnsi="Arial" w:cs="Arial"/>
                <w:sz w:val="22"/>
                <w:szCs w:val="22"/>
                <w:lang w:val="en-GB"/>
              </w:rPr>
            </w:pPr>
          </w:p>
        </w:tc>
        <w:tc>
          <w:tcPr>
            <w:tcW w:w="720" w:type="dxa"/>
            <w:shd w:val="clear" w:color="auto" w:fill="F2F2F2" w:themeFill="background1" w:themeFillShade="F2"/>
          </w:tcPr>
          <w:p w14:paraId="1158D159" w14:textId="77777777" w:rsidR="00F46380" w:rsidRPr="00E4265B" w:rsidRDefault="00F46380" w:rsidP="00F46380">
            <w:pPr>
              <w:spacing w:line="360" w:lineRule="auto"/>
              <w:jc w:val="right"/>
              <w:rPr>
                <w:rFonts w:ascii="Arial" w:hAnsi="Arial" w:cs="Arial"/>
                <w:sz w:val="22"/>
                <w:szCs w:val="22"/>
                <w:lang w:val="en-GB"/>
              </w:rPr>
            </w:pPr>
          </w:p>
        </w:tc>
        <w:tc>
          <w:tcPr>
            <w:tcW w:w="1440" w:type="dxa"/>
            <w:shd w:val="clear" w:color="auto" w:fill="F2F2F2" w:themeFill="background1" w:themeFillShade="F2"/>
          </w:tcPr>
          <w:p w14:paraId="1764032C" w14:textId="77777777" w:rsidR="00F46380" w:rsidRPr="00E4265B" w:rsidRDefault="00F46380" w:rsidP="00F46380">
            <w:pPr>
              <w:spacing w:line="360" w:lineRule="auto"/>
              <w:rPr>
                <w:rFonts w:ascii="Arial" w:hAnsi="Arial" w:cs="Arial"/>
                <w:sz w:val="22"/>
                <w:szCs w:val="22"/>
                <w:lang w:val="en-GB"/>
              </w:rPr>
            </w:pPr>
          </w:p>
        </w:tc>
        <w:tc>
          <w:tcPr>
            <w:tcW w:w="1107" w:type="dxa"/>
            <w:shd w:val="clear" w:color="auto" w:fill="F2F2F2" w:themeFill="background1" w:themeFillShade="F2"/>
          </w:tcPr>
          <w:p w14:paraId="72DA7F88" w14:textId="77777777" w:rsidR="00F46380" w:rsidRPr="00E4265B" w:rsidRDefault="00F46380" w:rsidP="00F46380">
            <w:pPr>
              <w:spacing w:line="360" w:lineRule="auto"/>
              <w:rPr>
                <w:rFonts w:ascii="Arial" w:hAnsi="Arial" w:cs="Arial"/>
                <w:sz w:val="22"/>
                <w:szCs w:val="22"/>
                <w:lang w:val="en-GB"/>
              </w:rPr>
            </w:pPr>
          </w:p>
        </w:tc>
      </w:tr>
      <w:tr w:rsidR="00A80508" w:rsidRPr="00E4265B" w14:paraId="7F1593DA" w14:textId="77777777" w:rsidTr="00A80508">
        <w:trPr>
          <w:trHeight w:val="144"/>
        </w:trPr>
        <w:tc>
          <w:tcPr>
            <w:tcW w:w="628" w:type="dxa"/>
            <w:vMerge/>
          </w:tcPr>
          <w:p w14:paraId="24BF7740" w14:textId="77777777" w:rsidR="00F46380" w:rsidRPr="00E4265B" w:rsidRDefault="00F46380" w:rsidP="00F46380">
            <w:pPr>
              <w:spacing w:line="360" w:lineRule="auto"/>
              <w:rPr>
                <w:rFonts w:ascii="Arial" w:hAnsi="Arial" w:cs="Arial"/>
                <w:sz w:val="22"/>
                <w:szCs w:val="22"/>
                <w:lang w:val="en-GB"/>
              </w:rPr>
            </w:pPr>
          </w:p>
        </w:tc>
        <w:tc>
          <w:tcPr>
            <w:tcW w:w="1820" w:type="dxa"/>
            <w:vAlign w:val="center"/>
          </w:tcPr>
          <w:p w14:paraId="604EA651" w14:textId="657A18A8" w:rsidR="00F46380" w:rsidRPr="00E4265B" w:rsidRDefault="00F46380" w:rsidP="00F46380">
            <w:pPr>
              <w:spacing w:line="360" w:lineRule="auto"/>
              <w:rPr>
                <w:rFonts w:ascii="Arial" w:hAnsi="Arial" w:cs="Arial"/>
                <w:sz w:val="22"/>
                <w:szCs w:val="22"/>
                <w:lang w:val="en-GB"/>
              </w:rPr>
            </w:pPr>
            <w:r w:rsidRPr="00E4265B">
              <w:rPr>
                <w:rFonts w:ascii="Arial" w:hAnsi="Arial" w:cs="Arial"/>
                <w:sz w:val="22"/>
                <w:szCs w:val="22"/>
                <w:lang w:val="en-GB"/>
              </w:rPr>
              <w:t>&gt; 7.3 and ≤ 9.3 y</w:t>
            </w:r>
          </w:p>
        </w:tc>
        <w:tc>
          <w:tcPr>
            <w:tcW w:w="900" w:type="dxa"/>
          </w:tcPr>
          <w:p w14:paraId="444F69FC" w14:textId="7BB19A2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100</w:t>
            </w:r>
          </w:p>
        </w:tc>
        <w:tc>
          <w:tcPr>
            <w:tcW w:w="990" w:type="dxa"/>
          </w:tcPr>
          <w:p w14:paraId="35A1CC5A" w14:textId="6773BF94"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-200</w:t>
            </w:r>
          </w:p>
        </w:tc>
        <w:tc>
          <w:tcPr>
            <w:tcW w:w="1530" w:type="dxa"/>
          </w:tcPr>
          <w:p w14:paraId="1B297070"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0.60%</w:t>
            </w:r>
          </w:p>
        </w:tc>
        <w:tc>
          <w:tcPr>
            <w:tcW w:w="1080" w:type="dxa"/>
          </w:tcPr>
          <w:p w14:paraId="1FCB4711"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7.50</w:t>
            </w:r>
          </w:p>
        </w:tc>
        <w:tc>
          <w:tcPr>
            <w:tcW w:w="900" w:type="dxa"/>
          </w:tcPr>
          <w:p w14:paraId="54720A80" w14:textId="5E8982E1"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4.50</w:t>
            </w:r>
          </w:p>
        </w:tc>
        <w:tc>
          <w:tcPr>
            <w:tcW w:w="810" w:type="dxa"/>
          </w:tcPr>
          <w:p w14:paraId="3609BA99" w14:textId="5C6EE414"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-9.00</w:t>
            </w:r>
          </w:p>
        </w:tc>
        <w:tc>
          <w:tcPr>
            <w:tcW w:w="810" w:type="dxa"/>
          </w:tcPr>
          <w:p w14:paraId="2E486137" w14:textId="2530B426"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4.50</w:t>
            </w:r>
          </w:p>
        </w:tc>
        <w:tc>
          <w:tcPr>
            <w:tcW w:w="810" w:type="dxa"/>
          </w:tcPr>
          <w:p w14:paraId="29C64875" w14:textId="587BEA53"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-4.50</w:t>
            </w:r>
          </w:p>
        </w:tc>
        <w:tc>
          <w:tcPr>
            <w:tcW w:w="720" w:type="dxa"/>
            <w:shd w:val="clear" w:color="auto" w:fill="F2F2F2" w:themeFill="background1" w:themeFillShade="F2"/>
          </w:tcPr>
          <w:p w14:paraId="36D6834D" w14:textId="77777777" w:rsidR="00F46380" w:rsidRPr="00E4265B" w:rsidRDefault="00F46380" w:rsidP="00F46380">
            <w:pPr>
              <w:spacing w:line="360" w:lineRule="auto"/>
              <w:jc w:val="right"/>
              <w:rPr>
                <w:rFonts w:ascii="Arial" w:hAnsi="Arial" w:cs="Arial"/>
                <w:sz w:val="22"/>
                <w:szCs w:val="22"/>
                <w:lang w:val="en-GB"/>
              </w:rPr>
            </w:pPr>
          </w:p>
        </w:tc>
        <w:tc>
          <w:tcPr>
            <w:tcW w:w="720" w:type="dxa"/>
            <w:shd w:val="clear" w:color="auto" w:fill="F2F2F2" w:themeFill="background1" w:themeFillShade="F2"/>
          </w:tcPr>
          <w:p w14:paraId="5E77EFCC" w14:textId="77777777" w:rsidR="00F46380" w:rsidRPr="00E4265B" w:rsidRDefault="00F46380" w:rsidP="00F46380">
            <w:pPr>
              <w:spacing w:line="360" w:lineRule="auto"/>
              <w:jc w:val="right"/>
              <w:rPr>
                <w:rFonts w:ascii="Arial" w:hAnsi="Arial" w:cs="Arial"/>
                <w:sz w:val="22"/>
                <w:szCs w:val="22"/>
                <w:lang w:val="en-GB"/>
              </w:rPr>
            </w:pPr>
          </w:p>
        </w:tc>
        <w:tc>
          <w:tcPr>
            <w:tcW w:w="1440" w:type="dxa"/>
            <w:shd w:val="clear" w:color="auto" w:fill="F2F2F2" w:themeFill="background1" w:themeFillShade="F2"/>
          </w:tcPr>
          <w:p w14:paraId="3A37423F" w14:textId="77777777" w:rsidR="00F46380" w:rsidRPr="00E4265B" w:rsidRDefault="00F46380" w:rsidP="00F46380">
            <w:pPr>
              <w:spacing w:line="360" w:lineRule="auto"/>
              <w:rPr>
                <w:rFonts w:ascii="Arial" w:hAnsi="Arial" w:cs="Arial"/>
                <w:sz w:val="22"/>
                <w:szCs w:val="22"/>
                <w:lang w:val="en-GB"/>
              </w:rPr>
            </w:pPr>
          </w:p>
        </w:tc>
        <w:tc>
          <w:tcPr>
            <w:tcW w:w="1107" w:type="dxa"/>
            <w:shd w:val="clear" w:color="auto" w:fill="F2F2F2" w:themeFill="background1" w:themeFillShade="F2"/>
          </w:tcPr>
          <w:p w14:paraId="74F53C42" w14:textId="77777777" w:rsidR="00F46380" w:rsidRPr="00E4265B" w:rsidRDefault="00F46380" w:rsidP="00F46380">
            <w:pPr>
              <w:spacing w:line="360" w:lineRule="auto"/>
              <w:rPr>
                <w:rFonts w:ascii="Arial" w:hAnsi="Arial" w:cs="Arial"/>
                <w:sz w:val="22"/>
                <w:szCs w:val="22"/>
                <w:lang w:val="en-GB"/>
              </w:rPr>
            </w:pPr>
          </w:p>
        </w:tc>
      </w:tr>
      <w:tr w:rsidR="00A80508" w:rsidRPr="00E4265B" w14:paraId="40BE4C36" w14:textId="77777777" w:rsidTr="00A80508">
        <w:trPr>
          <w:trHeight w:val="144"/>
        </w:trPr>
        <w:tc>
          <w:tcPr>
            <w:tcW w:w="628" w:type="dxa"/>
            <w:vMerge/>
          </w:tcPr>
          <w:p w14:paraId="79D61757" w14:textId="77777777" w:rsidR="00F46380" w:rsidRPr="00E4265B" w:rsidRDefault="00F46380" w:rsidP="00F46380">
            <w:pPr>
              <w:spacing w:line="360" w:lineRule="auto"/>
              <w:rPr>
                <w:rFonts w:ascii="Arial" w:hAnsi="Arial" w:cs="Arial"/>
                <w:sz w:val="22"/>
                <w:szCs w:val="22"/>
                <w:lang w:val="en-GB"/>
              </w:rPr>
            </w:pPr>
          </w:p>
        </w:tc>
        <w:tc>
          <w:tcPr>
            <w:tcW w:w="1820" w:type="dxa"/>
            <w:vAlign w:val="center"/>
          </w:tcPr>
          <w:p w14:paraId="254A5C45" w14:textId="5720AF8B" w:rsidR="00F46380" w:rsidRPr="00E4265B" w:rsidRDefault="00F46380" w:rsidP="00F46380">
            <w:pPr>
              <w:spacing w:line="360" w:lineRule="auto"/>
              <w:rPr>
                <w:rFonts w:ascii="Arial" w:hAnsi="Arial" w:cs="Arial"/>
                <w:sz w:val="22"/>
                <w:szCs w:val="22"/>
                <w:lang w:val="en-GB"/>
              </w:rPr>
            </w:pPr>
            <w:r w:rsidRPr="00E4265B">
              <w:rPr>
                <w:rFonts w:ascii="Arial" w:hAnsi="Arial" w:cs="Arial"/>
                <w:sz w:val="22"/>
                <w:szCs w:val="22"/>
                <w:lang w:val="en-GB"/>
              </w:rPr>
              <w:t>&gt; 9.3 and ≤ 10.6 y</w:t>
            </w:r>
          </w:p>
        </w:tc>
        <w:tc>
          <w:tcPr>
            <w:tcW w:w="900" w:type="dxa"/>
          </w:tcPr>
          <w:p w14:paraId="30C279B1" w14:textId="24D947CC"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200</w:t>
            </w:r>
          </w:p>
        </w:tc>
        <w:tc>
          <w:tcPr>
            <w:tcW w:w="990" w:type="dxa"/>
          </w:tcPr>
          <w:p w14:paraId="2FC33EBD" w14:textId="3EA42830"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-100</w:t>
            </w:r>
          </w:p>
        </w:tc>
        <w:tc>
          <w:tcPr>
            <w:tcW w:w="1530" w:type="dxa"/>
          </w:tcPr>
          <w:p w14:paraId="704A9E6A"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0.60%</w:t>
            </w:r>
          </w:p>
        </w:tc>
        <w:tc>
          <w:tcPr>
            <w:tcW w:w="1080" w:type="dxa"/>
          </w:tcPr>
          <w:p w14:paraId="79AC4CD4"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9.75</w:t>
            </w:r>
          </w:p>
        </w:tc>
        <w:tc>
          <w:tcPr>
            <w:tcW w:w="900" w:type="dxa"/>
          </w:tcPr>
          <w:p w14:paraId="620C58D3" w14:textId="67C52DC2"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11.70</w:t>
            </w:r>
          </w:p>
        </w:tc>
        <w:tc>
          <w:tcPr>
            <w:tcW w:w="810" w:type="dxa"/>
          </w:tcPr>
          <w:p w14:paraId="0EB88194" w14:textId="23729C35"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-5.85</w:t>
            </w:r>
          </w:p>
        </w:tc>
        <w:tc>
          <w:tcPr>
            <w:tcW w:w="810" w:type="dxa"/>
          </w:tcPr>
          <w:p w14:paraId="574FC5F5" w14:textId="7EDF6E66"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5.85</w:t>
            </w:r>
          </w:p>
        </w:tc>
        <w:tc>
          <w:tcPr>
            <w:tcW w:w="810" w:type="dxa"/>
          </w:tcPr>
          <w:p w14:paraId="2A6A34E0" w14:textId="5C9B3464"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5.85</w:t>
            </w:r>
          </w:p>
        </w:tc>
        <w:tc>
          <w:tcPr>
            <w:tcW w:w="720" w:type="dxa"/>
            <w:shd w:val="clear" w:color="auto" w:fill="F2F2F2" w:themeFill="background1" w:themeFillShade="F2"/>
          </w:tcPr>
          <w:p w14:paraId="477B4C4B" w14:textId="77777777" w:rsidR="00F46380" w:rsidRPr="00E4265B" w:rsidRDefault="00F46380" w:rsidP="00F46380">
            <w:pPr>
              <w:spacing w:line="360" w:lineRule="auto"/>
              <w:jc w:val="right"/>
              <w:rPr>
                <w:rFonts w:ascii="Arial" w:hAnsi="Arial" w:cs="Arial"/>
                <w:sz w:val="22"/>
                <w:szCs w:val="22"/>
                <w:lang w:val="en-GB"/>
              </w:rPr>
            </w:pPr>
          </w:p>
        </w:tc>
        <w:tc>
          <w:tcPr>
            <w:tcW w:w="720" w:type="dxa"/>
            <w:shd w:val="clear" w:color="auto" w:fill="F2F2F2" w:themeFill="background1" w:themeFillShade="F2"/>
          </w:tcPr>
          <w:p w14:paraId="602AA7B2" w14:textId="77777777" w:rsidR="00F46380" w:rsidRPr="00E4265B" w:rsidRDefault="00F46380" w:rsidP="00F46380">
            <w:pPr>
              <w:spacing w:line="360" w:lineRule="auto"/>
              <w:jc w:val="right"/>
              <w:rPr>
                <w:rFonts w:ascii="Arial" w:hAnsi="Arial" w:cs="Arial"/>
                <w:sz w:val="22"/>
                <w:szCs w:val="22"/>
                <w:lang w:val="en-GB"/>
              </w:rPr>
            </w:pPr>
          </w:p>
        </w:tc>
        <w:tc>
          <w:tcPr>
            <w:tcW w:w="1440" w:type="dxa"/>
            <w:shd w:val="clear" w:color="auto" w:fill="F2F2F2" w:themeFill="background1" w:themeFillShade="F2"/>
          </w:tcPr>
          <w:p w14:paraId="5F703852" w14:textId="77777777" w:rsidR="00F46380" w:rsidRPr="00E4265B" w:rsidRDefault="00F46380" w:rsidP="00F46380">
            <w:pPr>
              <w:spacing w:line="360" w:lineRule="auto"/>
              <w:rPr>
                <w:rFonts w:ascii="Arial" w:hAnsi="Arial" w:cs="Arial"/>
                <w:sz w:val="22"/>
                <w:szCs w:val="22"/>
                <w:lang w:val="en-GB"/>
              </w:rPr>
            </w:pPr>
          </w:p>
        </w:tc>
        <w:tc>
          <w:tcPr>
            <w:tcW w:w="1107" w:type="dxa"/>
            <w:shd w:val="clear" w:color="auto" w:fill="F2F2F2" w:themeFill="background1" w:themeFillShade="F2"/>
          </w:tcPr>
          <w:p w14:paraId="6F2D87C4" w14:textId="77777777" w:rsidR="00F46380" w:rsidRPr="00E4265B" w:rsidRDefault="00F46380" w:rsidP="00F46380">
            <w:pPr>
              <w:spacing w:line="360" w:lineRule="auto"/>
              <w:rPr>
                <w:rFonts w:ascii="Arial" w:hAnsi="Arial" w:cs="Arial"/>
                <w:sz w:val="22"/>
                <w:szCs w:val="22"/>
                <w:lang w:val="en-GB"/>
              </w:rPr>
            </w:pPr>
          </w:p>
        </w:tc>
      </w:tr>
      <w:tr w:rsidR="00A80508" w:rsidRPr="00E4265B" w14:paraId="77238292" w14:textId="77777777" w:rsidTr="00A80508">
        <w:trPr>
          <w:trHeight w:val="144"/>
        </w:trPr>
        <w:tc>
          <w:tcPr>
            <w:tcW w:w="628" w:type="dxa"/>
            <w:vMerge/>
          </w:tcPr>
          <w:p w14:paraId="5F7E7D92" w14:textId="77777777" w:rsidR="00F46380" w:rsidRPr="00E4265B" w:rsidRDefault="00F46380" w:rsidP="00F46380">
            <w:pPr>
              <w:spacing w:line="360" w:lineRule="auto"/>
              <w:rPr>
                <w:rFonts w:ascii="Arial" w:hAnsi="Arial" w:cs="Arial"/>
                <w:sz w:val="22"/>
                <w:szCs w:val="22"/>
                <w:lang w:val="en-GB"/>
              </w:rPr>
            </w:pPr>
          </w:p>
        </w:tc>
        <w:tc>
          <w:tcPr>
            <w:tcW w:w="1820" w:type="dxa"/>
            <w:vAlign w:val="center"/>
          </w:tcPr>
          <w:p w14:paraId="12A42E99" w14:textId="118A8BF8" w:rsidR="00F46380" w:rsidRPr="00E4265B" w:rsidRDefault="00F46380" w:rsidP="00F46380">
            <w:pPr>
              <w:spacing w:line="360" w:lineRule="auto"/>
              <w:rPr>
                <w:rFonts w:ascii="Arial" w:hAnsi="Arial" w:cs="Arial"/>
                <w:sz w:val="22"/>
                <w:szCs w:val="22"/>
                <w:lang w:val="en-GB"/>
              </w:rPr>
            </w:pPr>
            <w:r w:rsidRPr="00E4265B">
              <w:rPr>
                <w:rFonts w:ascii="Arial" w:hAnsi="Arial" w:cs="Arial"/>
                <w:sz w:val="22"/>
                <w:szCs w:val="22"/>
                <w:lang w:val="en-GB"/>
              </w:rPr>
              <w:t>&gt; 10.6 and ≤ 12.0 y</w:t>
            </w:r>
          </w:p>
        </w:tc>
        <w:tc>
          <w:tcPr>
            <w:tcW w:w="900" w:type="dxa"/>
          </w:tcPr>
          <w:p w14:paraId="3F9C4DEB" w14:textId="4935CB8D"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w:t>
            </w:r>
          </w:p>
        </w:tc>
        <w:tc>
          <w:tcPr>
            <w:tcW w:w="990" w:type="dxa"/>
          </w:tcPr>
          <w:p w14:paraId="6A65FBE6" w14:textId="2FCEB74A"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w:t>
            </w:r>
          </w:p>
        </w:tc>
        <w:tc>
          <w:tcPr>
            <w:tcW w:w="1530" w:type="dxa"/>
          </w:tcPr>
          <w:p w14:paraId="657D83FD"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0.60%</w:t>
            </w:r>
          </w:p>
        </w:tc>
        <w:tc>
          <w:tcPr>
            <w:tcW w:w="1080" w:type="dxa"/>
          </w:tcPr>
          <w:p w14:paraId="1B3D6E28"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11.00</w:t>
            </w:r>
          </w:p>
        </w:tc>
        <w:tc>
          <w:tcPr>
            <w:tcW w:w="900" w:type="dxa"/>
          </w:tcPr>
          <w:p w14:paraId="1EB7C7EE" w14:textId="285A6E45"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810" w:type="dxa"/>
          </w:tcPr>
          <w:p w14:paraId="0B7DAF4F" w14:textId="3045257C"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810" w:type="dxa"/>
          </w:tcPr>
          <w:p w14:paraId="6FBB25DD" w14:textId="67BBC668"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810" w:type="dxa"/>
          </w:tcPr>
          <w:p w14:paraId="79A88A04" w14:textId="29B7851C"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720" w:type="dxa"/>
            <w:shd w:val="clear" w:color="auto" w:fill="F2F2F2" w:themeFill="background1" w:themeFillShade="F2"/>
          </w:tcPr>
          <w:p w14:paraId="51C3A9AC" w14:textId="77777777" w:rsidR="00F46380" w:rsidRPr="00E4265B" w:rsidRDefault="00F46380" w:rsidP="00F46380">
            <w:pPr>
              <w:spacing w:line="360" w:lineRule="auto"/>
              <w:jc w:val="right"/>
              <w:rPr>
                <w:rFonts w:ascii="Arial" w:hAnsi="Arial" w:cs="Arial"/>
                <w:sz w:val="22"/>
                <w:szCs w:val="22"/>
                <w:lang w:val="en-GB"/>
              </w:rPr>
            </w:pPr>
          </w:p>
        </w:tc>
        <w:tc>
          <w:tcPr>
            <w:tcW w:w="720" w:type="dxa"/>
            <w:shd w:val="clear" w:color="auto" w:fill="F2F2F2" w:themeFill="background1" w:themeFillShade="F2"/>
          </w:tcPr>
          <w:p w14:paraId="5A510CD1" w14:textId="77777777" w:rsidR="00F46380" w:rsidRPr="00E4265B" w:rsidRDefault="00F46380" w:rsidP="00F46380">
            <w:pPr>
              <w:spacing w:line="360" w:lineRule="auto"/>
              <w:jc w:val="right"/>
              <w:rPr>
                <w:rFonts w:ascii="Arial" w:hAnsi="Arial" w:cs="Arial"/>
                <w:sz w:val="22"/>
                <w:szCs w:val="22"/>
                <w:lang w:val="en-GB"/>
              </w:rPr>
            </w:pPr>
          </w:p>
        </w:tc>
        <w:tc>
          <w:tcPr>
            <w:tcW w:w="1440" w:type="dxa"/>
            <w:shd w:val="clear" w:color="auto" w:fill="F2F2F2" w:themeFill="background1" w:themeFillShade="F2"/>
          </w:tcPr>
          <w:p w14:paraId="726585E4" w14:textId="77777777" w:rsidR="00F46380" w:rsidRPr="00E4265B" w:rsidRDefault="00F46380" w:rsidP="00F46380">
            <w:pPr>
              <w:spacing w:line="360" w:lineRule="auto"/>
              <w:rPr>
                <w:rFonts w:ascii="Arial" w:hAnsi="Arial" w:cs="Arial"/>
                <w:sz w:val="22"/>
                <w:szCs w:val="22"/>
                <w:lang w:val="en-GB"/>
              </w:rPr>
            </w:pPr>
          </w:p>
        </w:tc>
        <w:tc>
          <w:tcPr>
            <w:tcW w:w="1107" w:type="dxa"/>
            <w:shd w:val="clear" w:color="auto" w:fill="F2F2F2" w:themeFill="background1" w:themeFillShade="F2"/>
          </w:tcPr>
          <w:p w14:paraId="3BCE5F1C" w14:textId="77777777" w:rsidR="00F46380" w:rsidRPr="00E4265B" w:rsidRDefault="00F46380" w:rsidP="00F46380">
            <w:pPr>
              <w:spacing w:line="360" w:lineRule="auto"/>
              <w:rPr>
                <w:rFonts w:ascii="Arial" w:hAnsi="Arial" w:cs="Arial"/>
                <w:sz w:val="22"/>
                <w:szCs w:val="22"/>
                <w:lang w:val="en-GB"/>
              </w:rPr>
            </w:pPr>
          </w:p>
        </w:tc>
      </w:tr>
      <w:tr w:rsidR="00A80508" w:rsidRPr="00E4265B" w14:paraId="437B6A7C" w14:textId="77777777" w:rsidTr="00A80508">
        <w:trPr>
          <w:trHeight w:val="144"/>
        </w:trPr>
        <w:tc>
          <w:tcPr>
            <w:tcW w:w="628" w:type="dxa"/>
            <w:vMerge/>
          </w:tcPr>
          <w:p w14:paraId="28550D3B" w14:textId="77777777" w:rsidR="00F46380" w:rsidRPr="00E4265B" w:rsidRDefault="00F46380" w:rsidP="00F46380">
            <w:pPr>
              <w:spacing w:line="360" w:lineRule="auto"/>
              <w:rPr>
                <w:rFonts w:ascii="Arial" w:hAnsi="Arial" w:cs="Arial"/>
                <w:sz w:val="22"/>
                <w:szCs w:val="22"/>
                <w:lang w:val="en-GB"/>
              </w:rPr>
            </w:pPr>
          </w:p>
        </w:tc>
        <w:tc>
          <w:tcPr>
            <w:tcW w:w="1820" w:type="dxa"/>
            <w:vAlign w:val="center"/>
          </w:tcPr>
          <w:p w14:paraId="61E96361" w14:textId="26B91B9C" w:rsidR="00F46380" w:rsidRPr="00E4265B" w:rsidRDefault="00F46380" w:rsidP="00F46380">
            <w:pPr>
              <w:spacing w:line="360" w:lineRule="auto"/>
              <w:rPr>
                <w:rFonts w:ascii="Arial" w:hAnsi="Arial" w:cs="Arial"/>
                <w:sz w:val="22"/>
                <w:szCs w:val="22"/>
                <w:lang w:val="en-GB"/>
              </w:rPr>
            </w:pPr>
            <w:r w:rsidRPr="00E4265B">
              <w:rPr>
                <w:rFonts w:ascii="Arial" w:hAnsi="Arial" w:cs="Arial"/>
                <w:sz w:val="22"/>
                <w:szCs w:val="22"/>
                <w:lang w:val="en-GB"/>
              </w:rPr>
              <w:t>&gt; 12 and ≤ 20 y</w:t>
            </w:r>
          </w:p>
        </w:tc>
        <w:tc>
          <w:tcPr>
            <w:tcW w:w="900" w:type="dxa"/>
          </w:tcPr>
          <w:p w14:paraId="51965D00" w14:textId="007A4A48"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300</w:t>
            </w:r>
          </w:p>
        </w:tc>
        <w:tc>
          <w:tcPr>
            <w:tcW w:w="990" w:type="dxa"/>
          </w:tcPr>
          <w:p w14:paraId="107A9DE6" w14:textId="6E806E1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-300</w:t>
            </w:r>
          </w:p>
        </w:tc>
        <w:tc>
          <w:tcPr>
            <w:tcW w:w="1530" w:type="dxa"/>
          </w:tcPr>
          <w:p w14:paraId="4B082C50"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0.60%</w:t>
            </w:r>
          </w:p>
        </w:tc>
        <w:tc>
          <w:tcPr>
            <w:tcW w:w="1080" w:type="dxa"/>
          </w:tcPr>
          <w:p w14:paraId="1398D5E7"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14.50</w:t>
            </w:r>
          </w:p>
        </w:tc>
        <w:tc>
          <w:tcPr>
            <w:tcW w:w="900" w:type="dxa"/>
          </w:tcPr>
          <w:p w14:paraId="6952B46A" w14:textId="5433A5C4"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26.10</w:t>
            </w:r>
          </w:p>
        </w:tc>
        <w:tc>
          <w:tcPr>
            <w:tcW w:w="810" w:type="dxa"/>
          </w:tcPr>
          <w:p w14:paraId="24E03AE0" w14:textId="062E1D96"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-26.10</w:t>
            </w:r>
          </w:p>
        </w:tc>
        <w:tc>
          <w:tcPr>
            <w:tcW w:w="810" w:type="dxa"/>
          </w:tcPr>
          <w:p w14:paraId="493F5A39" w14:textId="3231ACDB"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26.10</w:t>
            </w:r>
          </w:p>
        </w:tc>
        <w:tc>
          <w:tcPr>
            <w:tcW w:w="810" w:type="dxa"/>
          </w:tcPr>
          <w:p w14:paraId="1E75150D" w14:textId="36C10B3A"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720" w:type="dxa"/>
            <w:shd w:val="clear" w:color="auto" w:fill="F2F2F2" w:themeFill="background1" w:themeFillShade="F2"/>
          </w:tcPr>
          <w:p w14:paraId="0CB54D1F" w14:textId="77777777" w:rsidR="00F46380" w:rsidRPr="00E4265B" w:rsidRDefault="00F46380" w:rsidP="00F46380">
            <w:pPr>
              <w:spacing w:line="360" w:lineRule="auto"/>
              <w:jc w:val="right"/>
              <w:rPr>
                <w:rFonts w:ascii="Arial" w:hAnsi="Arial" w:cs="Arial"/>
                <w:sz w:val="22"/>
                <w:szCs w:val="22"/>
                <w:lang w:val="en-GB"/>
              </w:rPr>
            </w:pPr>
          </w:p>
        </w:tc>
        <w:tc>
          <w:tcPr>
            <w:tcW w:w="720" w:type="dxa"/>
            <w:shd w:val="clear" w:color="auto" w:fill="F2F2F2" w:themeFill="background1" w:themeFillShade="F2"/>
          </w:tcPr>
          <w:p w14:paraId="225C56FC" w14:textId="77777777" w:rsidR="00F46380" w:rsidRPr="00E4265B" w:rsidRDefault="00F46380" w:rsidP="00F46380">
            <w:pPr>
              <w:spacing w:line="360" w:lineRule="auto"/>
              <w:jc w:val="right"/>
              <w:rPr>
                <w:rFonts w:ascii="Arial" w:hAnsi="Arial" w:cs="Arial"/>
                <w:sz w:val="22"/>
                <w:szCs w:val="22"/>
                <w:lang w:val="en-GB"/>
              </w:rPr>
            </w:pPr>
          </w:p>
        </w:tc>
        <w:tc>
          <w:tcPr>
            <w:tcW w:w="1440" w:type="dxa"/>
            <w:shd w:val="clear" w:color="auto" w:fill="F2F2F2" w:themeFill="background1" w:themeFillShade="F2"/>
          </w:tcPr>
          <w:p w14:paraId="4B81C847" w14:textId="77777777" w:rsidR="00F46380" w:rsidRPr="00E4265B" w:rsidRDefault="00F46380" w:rsidP="00F46380">
            <w:pPr>
              <w:spacing w:line="360" w:lineRule="auto"/>
              <w:rPr>
                <w:rFonts w:ascii="Arial" w:hAnsi="Arial" w:cs="Arial"/>
                <w:sz w:val="22"/>
                <w:szCs w:val="22"/>
                <w:lang w:val="en-GB"/>
              </w:rPr>
            </w:pPr>
          </w:p>
        </w:tc>
        <w:tc>
          <w:tcPr>
            <w:tcW w:w="1107" w:type="dxa"/>
            <w:shd w:val="clear" w:color="auto" w:fill="F2F2F2" w:themeFill="background1" w:themeFillShade="F2"/>
          </w:tcPr>
          <w:p w14:paraId="4CED379D" w14:textId="77777777" w:rsidR="00F46380" w:rsidRPr="00E4265B" w:rsidRDefault="00F46380" w:rsidP="00F46380">
            <w:pPr>
              <w:spacing w:line="360" w:lineRule="auto"/>
              <w:rPr>
                <w:rFonts w:ascii="Arial" w:hAnsi="Arial" w:cs="Arial"/>
                <w:sz w:val="22"/>
                <w:szCs w:val="22"/>
                <w:lang w:val="en-GB"/>
              </w:rPr>
            </w:pPr>
          </w:p>
        </w:tc>
      </w:tr>
      <w:tr w:rsidR="00A80508" w:rsidRPr="00E4265B" w14:paraId="6ECAA456" w14:textId="77777777" w:rsidTr="00A80508">
        <w:trPr>
          <w:trHeight w:val="144"/>
        </w:trPr>
        <w:tc>
          <w:tcPr>
            <w:tcW w:w="628" w:type="dxa"/>
            <w:vMerge/>
          </w:tcPr>
          <w:p w14:paraId="70B0F8D3" w14:textId="77777777" w:rsidR="00F46380" w:rsidRPr="00E4265B" w:rsidRDefault="00F46380" w:rsidP="00F46380">
            <w:pPr>
              <w:spacing w:line="360" w:lineRule="auto"/>
              <w:rPr>
                <w:rFonts w:ascii="Arial" w:hAnsi="Arial" w:cs="Arial"/>
                <w:sz w:val="22"/>
                <w:szCs w:val="22"/>
                <w:lang w:val="en-GB"/>
              </w:rPr>
            </w:pPr>
          </w:p>
        </w:tc>
        <w:tc>
          <w:tcPr>
            <w:tcW w:w="1820" w:type="dxa"/>
            <w:vAlign w:val="center"/>
          </w:tcPr>
          <w:p w14:paraId="5046B86D" w14:textId="09C69F52" w:rsidR="00F46380" w:rsidRPr="00E4265B" w:rsidRDefault="00F46380" w:rsidP="00F46380">
            <w:pPr>
              <w:spacing w:line="360" w:lineRule="auto"/>
              <w:rPr>
                <w:rFonts w:ascii="Arial" w:hAnsi="Arial" w:cs="Arial"/>
                <w:sz w:val="22"/>
                <w:szCs w:val="22"/>
                <w:lang w:val="en-GB"/>
              </w:rPr>
            </w:pPr>
            <w:r w:rsidRPr="00E4265B">
              <w:rPr>
                <w:rFonts w:ascii="Arial" w:hAnsi="Arial" w:cs="Arial"/>
                <w:sz w:val="22"/>
                <w:szCs w:val="22"/>
                <w:lang w:val="en-GB"/>
              </w:rPr>
              <w:t>&gt; 20 y</w:t>
            </w:r>
          </w:p>
        </w:tc>
        <w:tc>
          <w:tcPr>
            <w:tcW w:w="900" w:type="dxa"/>
          </w:tcPr>
          <w:p w14:paraId="441E1E84" w14:textId="26D8765B"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w:t>
            </w:r>
          </w:p>
        </w:tc>
        <w:tc>
          <w:tcPr>
            <w:tcW w:w="990" w:type="dxa"/>
          </w:tcPr>
          <w:p w14:paraId="52857D87" w14:textId="59414312"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w:t>
            </w:r>
          </w:p>
        </w:tc>
        <w:tc>
          <w:tcPr>
            <w:tcW w:w="1530" w:type="dxa"/>
          </w:tcPr>
          <w:p w14:paraId="662D7A22"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0.60%</w:t>
            </w:r>
          </w:p>
        </w:tc>
        <w:tc>
          <w:tcPr>
            <w:tcW w:w="1080" w:type="dxa"/>
          </w:tcPr>
          <w:p w14:paraId="79B35F3D" w14:textId="7777777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22.00</w:t>
            </w:r>
          </w:p>
        </w:tc>
        <w:tc>
          <w:tcPr>
            <w:tcW w:w="900" w:type="dxa"/>
          </w:tcPr>
          <w:p w14:paraId="71598EC9" w14:textId="37B6E45A"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810" w:type="dxa"/>
          </w:tcPr>
          <w:p w14:paraId="13C796F4" w14:textId="7E63303A"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810" w:type="dxa"/>
          </w:tcPr>
          <w:p w14:paraId="6AF6D1B3" w14:textId="3E3E119D"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810" w:type="dxa"/>
          </w:tcPr>
          <w:p w14:paraId="19D7AFAC" w14:textId="6E368747" w:rsidR="00F46380" w:rsidRPr="00E4265B" w:rsidRDefault="00F46380" w:rsidP="00F46380">
            <w:pPr>
              <w:spacing w:line="360" w:lineRule="auto"/>
              <w:jc w:val="right"/>
              <w:rPr>
                <w:rFonts w:ascii="Arial" w:hAnsi="Arial" w:cs="Arial"/>
                <w:sz w:val="22"/>
                <w:szCs w:val="22"/>
                <w:lang w:val="en-GB"/>
              </w:rPr>
            </w:pPr>
            <w:r w:rsidRPr="00E4265B">
              <w:rPr>
                <w:rFonts w:ascii="Arial" w:hAnsi="Arial" w:cs="Arial"/>
                <w:sz w:val="22"/>
                <w:szCs w:val="22"/>
                <w:lang w:val="en-GB"/>
              </w:rPr>
              <w:t>0.00</w:t>
            </w:r>
          </w:p>
        </w:tc>
        <w:tc>
          <w:tcPr>
            <w:tcW w:w="720" w:type="dxa"/>
            <w:shd w:val="clear" w:color="auto" w:fill="F2F2F2" w:themeFill="background1" w:themeFillShade="F2"/>
          </w:tcPr>
          <w:p w14:paraId="027B25D7" w14:textId="77777777" w:rsidR="00F46380" w:rsidRPr="00E4265B" w:rsidRDefault="00F46380" w:rsidP="00F46380">
            <w:pPr>
              <w:spacing w:line="360" w:lineRule="auto"/>
              <w:jc w:val="right"/>
              <w:rPr>
                <w:rFonts w:ascii="Arial" w:hAnsi="Arial" w:cs="Arial"/>
                <w:sz w:val="22"/>
                <w:szCs w:val="22"/>
                <w:lang w:val="en-GB"/>
              </w:rPr>
            </w:pPr>
          </w:p>
        </w:tc>
        <w:tc>
          <w:tcPr>
            <w:tcW w:w="720" w:type="dxa"/>
            <w:shd w:val="clear" w:color="auto" w:fill="F2F2F2" w:themeFill="background1" w:themeFillShade="F2"/>
          </w:tcPr>
          <w:p w14:paraId="4967601A" w14:textId="77777777" w:rsidR="00F46380" w:rsidRPr="00E4265B" w:rsidRDefault="00F46380" w:rsidP="00F46380">
            <w:pPr>
              <w:spacing w:line="360" w:lineRule="auto"/>
              <w:jc w:val="right"/>
              <w:rPr>
                <w:rFonts w:ascii="Arial" w:hAnsi="Arial" w:cs="Arial"/>
                <w:sz w:val="22"/>
                <w:szCs w:val="22"/>
                <w:lang w:val="en-GB"/>
              </w:rPr>
            </w:pPr>
          </w:p>
        </w:tc>
        <w:tc>
          <w:tcPr>
            <w:tcW w:w="1440" w:type="dxa"/>
            <w:shd w:val="clear" w:color="auto" w:fill="F2F2F2" w:themeFill="background1" w:themeFillShade="F2"/>
          </w:tcPr>
          <w:p w14:paraId="1DDEABBA" w14:textId="77777777" w:rsidR="00F46380" w:rsidRPr="00E4265B" w:rsidRDefault="00F46380" w:rsidP="00F46380">
            <w:pPr>
              <w:spacing w:line="360" w:lineRule="auto"/>
              <w:rPr>
                <w:rFonts w:ascii="Arial" w:hAnsi="Arial" w:cs="Arial"/>
                <w:sz w:val="22"/>
                <w:szCs w:val="22"/>
                <w:lang w:val="en-GB"/>
              </w:rPr>
            </w:pPr>
          </w:p>
        </w:tc>
        <w:tc>
          <w:tcPr>
            <w:tcW w:w="1107" w:type="dxa"/>
            <w:shd w:val="clear" w:color="auto" w:fill="F2F2F2" w:themeFill="background1" w:themeFillShade="F2"/>
          </w:tcPr>
          <w:p w14:paraId="026EC6BB" w14:textId="77777777" w:rsidR="00F46380" w:rsidRPr="00E4265B" w:rsidRDefault="00F46380" w:rsidP="00F46380">
            <w:pPr>
              <w:spacing w:line="360" w:lineRule="auto"/>
              <w:rPr>
                <w:rFonts w:ascii="Arial" w:hAnsi="Arial" w:cs="Arial"/>
                <w:sz w:val="22"/>
                <w:szCs w:val="22"/>
                <w:lang w:val="en-GB"/>
              </w:rPr>
            </w:pPr>
          </w:p>
        </w:tc>
      </w:tr>
      <w:tr w:rsidR="00A80508" w:rsidRPr="00E4265B" w14:paraId="3BE780C6" w14:textId="77777777" w:rsidTr="00A80508">
        <w:trPr>
          <w:trHeight w:val="144"/>
        </w:trPr>
        <w:tc>
          <w:tcPr>
            <w:tcW w:w="628" w:type="dxa"/>
            <w:vMerge/>
            <w:tcBorders>
              <w:bottom w:val="single" w:sz="12" w:space="0" w:color="auto"/>
            </w:tcBorders>
          </w:tcPr>
          <w:p w14:paraId="0F52BA77" w14:textId="77777777" w:rsidR="00F46380" w:rsidRPr="00E4265B" w:rsidRDefault="00F46380" w:rsidP="00F46380">
            <w:pPr>
              <w:spacing w:line="360" w:lineRule="auto"/>
              <w:rPr>
                <w:rFonts w:ascii="Arial" w:hAnsi="Arial" w:cs="Arial"/>
                <w:sz w:val="22"/>
                <w:szCs w:val="22"/>
                <w:lang w:val="en-GB"/>
              </w:rPr>
            </w:pPr>
          </w:p>
        </w:tc>
        <w:tc>
          <w:tcPr>
            <w:tcW w:w="1820" w:type="dxa"/>
            <w:tcBorders>
              <w:bottom w:val="single" w:sz="12" w:space="0" w:color="auto"/>
            </w:tcBorders>
            <w:shd w:val="clear" w:color="auto" w:fill="F2F2F2" w:themeFill="background1" w:themeFillShade="F2"/>
            <w:vAlign w:val="center"/>
          </w:tcPr>
          <w:p w14:paraId="73C820B3" w14:textId="77777777" w:rsidR="00F46380" w:rsidRPr="00E4265B" w:rsidRDefault="00F46380" w:rsidP="00F46380">
            <w:pPr>
              <w:spacing w:line="360" w:lineRule="auto"/>
              <w:rPr>
                <w:rFonts w:ascii="Arial" w:hAnsi="Arial" w:cs="Arial"/>
                <w:sz w:val="22"/>
                <w:szCs w:val="22"/>
                <w:lang w:val="en-GB"/>
              </w:rPr>
            </w:pPr>
          </w:p>
        </w:tc>
        <w:tc>
          <w:tcPr>
            <w:tcW w:w="900" w:type="dxa"/>
            <w:tcBorders>
              <w:bottom w:val="single" w:sz="12" w:space="0" w:color="auto"/>
            </w:tcBorders>
            <w:shd w:val="clear" w:color="auto" w:fill="F2F2F2" w:themeFill="background1" w:themeFillShade="F2"/>
          </w:tcPr>
          <w:p w14:paraId="5F9B5914" w14:textId="77777777" w:rsidR="00F46380" w:rsidRPr="00E4265B" w:rsidRDefault="00F46380" w:rsidP="00F46380">
            <w:pPr>
              <w:spacing w:line="360" w:lineRule="auto"/>
              <w:jc w:val="right"/>
              <w:rPr>
                <w:rFonts w:ascii="Arial" w:hAnsi="Arial" w:cs="Arial"/>
                <w:sz w:val="22"/>
                <w:szCs w:val="22"/>
                <w:lang w:val="en-GB"/>
              </w:rPr>
            </w:pPr>
          </w:p>
        </w:tc>
        <w:tc>
          <w:tcPr>
            <w:tcW w:w="990" w:type="dxa"/>
            <w:tcBorders>
              <w:bottom w:val="single" w:sz="12" w:space="0" w:color="auto"/>
            </w:tcBorders>
            <w:shd w:val="clear" w:color="auto" w:fill="F2F2F2" w:themeFill="background1" w:themeFillShade="F2"/>
          </w:tcPr>
          <w:p w14:paraId="65B53D63" w14:textId="77777777" w:rsidR="00F46380" w:rsidRPr="00E4265B" w:rsidRDefault="00F46380" w:rsidP="00F46380">
            <w:pPr>
              <w:spacing w:line="360" w:lineRule="auto"/>
              <w:jc w:val="right"/>
              <w:rPr>
                <w:rFonts w:ascii="Arial" w:hAnsi="Arial" w:cs="Arial"/>
                <w:sz w:val="22"/>
                <w:szCs w:val="22"/>
                <w:lang w:val="en-GB"/>
              </w:rPr>
            </w:pPr>
          </w:p>
        </w:tc>
        <w:tc>
          <w:tcPr>
            <w:tcW w:w="1530" w:type="dxa"/>
            <w:tcBorders>
              <w:bottom w:val="single" w:sz="12" w:space="0" w:color="auto"/>
            </w:tcBorders>
            <w:shd w:val="clear" w:color="auto" w:fill="F2F2F2" w:themeFill="background1" w:themeFillShade="F2"/>
          </w:tcPr>
          <w:p w14:paraId="7500F918" w14:textId="77777777" w:rsidR="00F46380" w:rsidRPr="00E4265B" w:rsidRDefault="00F46380" w:rsidP="00F46380">
            <w:pPr>
              <w:spacing w:line="360" w:lineRule="auto"/>
              <w:jc w:val="right"/>
              <w:rPr>
                <w:rFonts w:ascii="Arial" w:hAnsi="Arial" w:cs="Arial"/>
                <w:sz w:val="22"/>
                <w:szCs w:val="22"/>
                <w:lang w:val="en-GB"/>
              </w:rPr>
            </w:pPr>
          </w:p>
        </w:tc>
        <w:tc>
          <w:tcPr>
            <w:tcW w:w="1080" w:type="dxa"/>
            <w:tcBorders>
              <w:bottom w:val="single" w:sz="12" w:space="0" w:color="auto"/>
            </w:tcBorders>
            <w:shd w:val="clear" w:color="auto" w:fill="F2F2F2" w:themeFill="background1" w:themeFillShade="F2"/>
          </w:tcPr>
          <w:p w14:paraId="416110C5" w14:textId="77777777" w:rsidR="00F46380" w:rsidRPr="00E4265B" w:rsidRDefault="00F46380" w:rsidP="00F46380">
            <w:pPr>
              <w:spacing w:line="360" w:lineRule="auto"/>
              <w:jc w:val="right"/>
              <w:rPr>
                <w:rFonts w:ascii="Arial" w:hAnsi="Arial" w:cs="Arial"/>
                <w:sz w:val="22"/>
                <w:szCs w:val="22"/>
                <w:lang w:val="en-GB"/>
              </w:rPr>
            </w:pPr>
          </w:p>
        </w:tc>
        <w:tc>
          <w:tcPr>
            <w:tcW w:w="900" w:type="dxa"/>
            <w:tcBorders>
              <w:bottom w:val="single" w:sz="12" w:space="0" w:color="auto"/>
            </w:tcBorders>
            <w:shd w:val="clear" w:color="auto" w:fill="F2F2F2" w:themeFill="background1" w:themeFillShade="F2"/>
          </w:tcPr>
          <w:p w14:paraId="43CD2391" w14:textId="77777777" w:rsidR="00F46380" w:rsidRPr="00E4265B" w:rsidRDefault="00F46380" w:rsidP="00F46380">
            <w:pPr>
              <w:spacing w:line="360" w:lineRule="auto"/>
              <w:jc w:val="right"/>
              <w:rPr>
                <w:rFonts w:ascii="Arial" w:hAnsi="Arial" w:cs="Arial"/>
                <w:sz w:val="22"/>
                <w:szCs w:val="22"/>
                <w:lang w:val="en-GB"/>
              </w:rPr>
            </w:pPr>
          </w:p>
        </w:tc>
        <w:tc>
          <w:tcPr>
            <w:tcW w:w="810" w:type="dxa"/>
            <w:tcBorders>
              <w:bottom w:val="single" w:sz="12" w:space="0" w:color="auto"/>
            </w:tcBorders>
            <w:shd w:val="clear" w:color="auto" w:fill="F2F2F2" w:themeFill="background1" w:themeFillShade="F2"/>
          </w:tcPr>
          <w:p w14:paraId="2FDA4EE3" w14:textId="77777777" w:rsidR="00F46380" w:rsidRPr="00E4265B" w:rsidRDefault="00F46380" w:rsidP="00F46380">
            <w:pPr>
              <w:spacing w:line="360" w:lineRule="auto"/>
              <w:jc w:val="right"/>
              <w:rPr>
                <w:rFonts w:ascii="Arial" w:hAnsi="Arial" w:cs="Arial"/>
                <w:sz w:val="22"/>
                <w:szCs w:val="22"/>
                <w:lang w:val="en-GB"/>
              </w:rPr>
            </w:pPr>
          </w:p>
        </w:tc>
        <w:tc>
          <w:tcPr>
            <w:tcW w:w="810" w:type="dxa"/>
            <w:tcBorders>
              <w:bottom w:val="single" w:sz="12" w:space="0" w:color="auto"/>
            </w:tcBorders>
            <w:shd w:val="clear" w:color="auto" w:fill="F2F2F2" w:themeFill="background1" w:themeFillShade="F2"/>
          </w:tcPr>
          <w:p w14:paraId="651132CE" w14:textId="77777777" w:rsidR="00F46380" w:rsidRPr="00E4265B" w:rsidRDefault="00F46380" w:rsidP="00F46380">
            <w:pPr>
              <w:spacing w:line="360" w:lineRule="auto"/>
              <w:jc w:val="right"/>
              <w:rPr>
                <w:rFonts w:ascii="Arial" w:hAnsi="Arial" w:cs="Arial"/>
                <w:sz w:val="22"/>
                <w:szCs w:val="22"/>
                <w:lang w:val="en-GB"/>
              </w:rPr>
            </w:pPr>
          </w:p>
        </w:tc>
        <w:tc>
          <w:tcPr>
            <w:tcW w:w="810" w:type="dxa"/>
            <w:tcBorders>
              <w:bottom w:val="single" w:sz="12" w:space="0" w:color="auto"/>
            </w:tcBorders>
            <w:shd w:val="clear" w:color="auto" w:fill="F2F2F2" w:themeFill="background1" w:themeFillShade="F2"/>
          </w:tcPr>
          <w:p w14:paraId="5FD6E898" w14:textId="77777777" w:rsidR="00F46380" w:rsidRPr="00E4265B" w:rsidRDefault="00F46380" w:rsidP="00F46380">
            <w:pPr>
              <w:spacing w:line="360" w:lineRule="auto"/>
              <w:jc w:val="right"/>
              <w:rPr>
                <w:rFonts w:ascii="Arial" w:hAnsi="Arial" w:cs="Arial"/>
                <w:sz w:val="22"/>
                <w:szCs w:val="22"/>
                <w:lang w:val="en-GB"/>
              </w:rPr>
            </w:pPr>
          </w:p>
        </w:tc>
        <w:tc>
          <w:tcPr>
            <w:tcW w:w="720" w:type="dxa"/>
            <w:tcBorders>
              <w:bottom w:val="single" w:sz="12" w:space="0" w:color="auto"/>
            </w:tcBorders>
            <w:shd w:val="clear" w:color="auto" w:fill="F2F2F2" w:themeFill="background1" w:themeFillShade="F2"/>
          </w:tcPr>
          <w:p w14:paraId="52A5EE4D" w14:textId="77777777" w:rsidR="00F46380" w:rsidRPr="00E4265B" w:rsidRDefault="00F46380" w:rsidP="00F46380">
            <w:pPr>
              <w:spacing w:line="360" w:lineRule="auto"/>
              <w:jc w:val="right"/>
              <w:rPr>
                <w:rFonts w:ascii="Arial" w:hAnsi="Arial" w:cs="Arial"/>
                <w:sz w:val="22"/>
                <w:szCs w:val="22"/>
                <w:lang w:val="en-GB"/>
              </w:rPr>
            </w:pPr>
          </w:p>
        </w:tc>
        <w:tc>
          <w:tcPr>
            <w:tcW w:w="720" w:type="dxa"/>
            <w:tcBorders>
              <w:bottom w:val="single" w:sz="12" w:space="0" w:color="auto"/>
            </w:tcBorders>
            <w:shd w:val="clear" w:color="auto" w:fill="F2F2F2" w:themeFill="background1" w:themeFillShade="F2"/>
          </w:tcPr>
          <w:p w14:paraId="42B3ED12" w14:textId="77777777" w:rsidR="00F46380" w:rsidRPr="00E4265B" w:rsidRDefault="00F46380" w:rsidP="00F46380">
            <w:pPr>
              <w:spacing w:line="360" w:lineRule="auto"/>
              <w:jc w:val="right"/>
              <w:rPr>
                <w:rFonts w:ascii="Arial" w:hAnsi="Arial" w:cs="Arial"/>
                <w:sz w:val="22"/>
                <w:szCs w:val="22"/>
                <w:lang w:val="en-GB"/>
              </w:rPr>
            </w:pPr>
          </w:p>
        </w:tc>
        <w:tc>
          <w:tcPr>
            <w:tcW w:w="1440" w:type="dxa"/>
            <w:tcBorders>
              <w:bottom w:val="single" w:sz="12" w:space="0" w:color="auto"/>
            </w:tcBorders>
            <w:shd w:val="clear" w:color="auto" w:fill="F2F2F2" w:themeFill="background1" w:themeFillShade="F2"/>
          </w:tcPr>
          <w:p w14:paraId="0B9A9100" w14:textId="77777777" w:rsidR="00F46380" w:rsidRPr="00E4265B" w:rsidRDefault="00F46380" w:rsidP="00F46380">
            <w:pPr>
              <w:spacing w:line="360" w:lineRule="auto"/>
              <w:rPr>
                <w:rFonts w:ascii="Arial" w:hAnsi="Arial" w:cs="Arial"/>
                <w:sz w:val="22"/>
                <w:szCs w:val="22"/>
                <w:lang w:val="en-GB"/>
              </w:rPr>
            </w:pPr>
          </w:p>
        </w:tc>
        <w:tc>
          <w:tcPr>
            <w:tcW w:w="1107" w:type="dxa"/>
            <w:tcBorders>
              <w:bottom w:val="single" w:sz="12" w:space="0" w:color="auto"/>
            </w:tcBorders>
            <w:shd w:val="clear" w:color="auto" w:fill="F2F2F2" w:themeFill="background1" w:themeFillShade="F2"/>
          </w:tcPr>
          <w:p w14:paraId="43B96F16" w14:textId="77777777" w:rsidR="00F46380" w:rsidRPr="00E4265B" w:rsidRDefault="00F46380" w:rsidP="00F46380">
            <w:pPr>
              <w:spacing w:line="360" w:lineRule="auto"/>
              <w:rPr>
                <w:rFonts w:ascii="Arial" w:hAnsi="Arial" w:cs="Arial"/>
                <w:sz w:val="22"/>
                <w:szCs w:val="22"/>
                <w:lang w:val="en-GB"/>
              </w:rPr>
            </w:pPr>
          </w:p>
        </w:tc>
      </w:tr>
      <w:tr w:rsidR="00A80508" w:rsidRPr="00E4265B" w14:paraId="3C1DB4FF" w14:textId="77777777" w:rsidTr="00A80508">
        <w:trPr>
          <w:trHeight w:val="144"/>
        </w:trPr>
        <w:tc>
          <w:tcPr>
            <w:tcW w:w="628" w:type="dxa"/>
            <w:tcBorders>
              <w:top w:val="single" w:sz="12" w:space="0" w:color="auto"/>
            </w:tcBorders>
          </w:tcPr>
          <w:p w14:paraId="6F0F5E1E" w14:textId="68D67167" w:rsidR="00844ADC" w:rsidRPr="00E4265B" w:rsidRDefault="00520DA4" w:rsidP="00D41024">
            <w:pPr>
              <w:spacing w:line="360" w:lineRule="auto"/>
              <w:rPr>
                <w:rFonts w:ascii="Arial" w:hAnsi="Arial" w:cs="Arial"/>
                <w:sz w:val="22"/>
                <w:szCs w:val="22"/>
                <w:lang w:val="en-GB"/>
              </w:rPr>
            </w:pPr>
            <w:r w:rsidRPr="00E4265B">
              <w:rPr>
                <w:rFonts w:ascii="Arial" w:hAnsi="Arial" w:cs="Arial"/>
                <w:sz w:val="22"/>
                <w:szCs w:val="22"/>
                <w:lang w:val="en-GB"/>
              </w:rPr>
              <w:t>Total</w:t>
            </w:r>
          </w:p>
        </w:tc>
        <w:tc>
          <w:tcPr>
            <w:tcW w:w="1820" w:type="dxa"/>
            <w:tcBorders>
              <w:top w:val="single" w:sz="12" w:space="0" w:color="auto"/>
            </w:tcBorders>
            <w:shd w:val="clear" w:color="auto" w:fill="F2F2F2" w:themeFill="background1" w:themeFillShade="F2"/>
          </w:tcPr>
          <w:p w14:paraId="3B9AA4CD" w14:textId="77777777" w:rsidR="00844ADC" w:rsidRPr="00E4265B" w:rsidRDefault="00844ADC" w:rsidP="00D41024">
            <w:pPr>
              <w:spacing w:line="360" w:lineRule="auto"/>
              <w:rPr>
                <w:rFonts w:ascii="Arial" w:hAnsi="Arial" w:cs="Arial"/>
                <w:sz w:val="22"/>
                <w:szCs w:val="22"/>
                <w:lang w:val="en-GB"/>
              </w:rPr>
            </w:pPr>
          </w:p>
        </w:tc>
        <w:tc>
          <w:tcPr>
            <w:tcW w:w="900" w:type="dxa"/>
            <w:tcBorders>
              <w:top w:val="single" w:sz="12" w:space="0" w:color="auto"/>
            </w:tcBorders>
            <w:shd w:val="clear" w:color="auto" w:fill="F2F2F2" w:themeFill="background1" w:themeFillShade="F2"/>
          </w:tcPr>
          <w:p w14:paraId="36B128B6" w14:textId="77777777" w:rsidR="00844ADC" w:rsidRPr="00E4265B" w:rsidRDefault="00844ADC" w:rsidP="00D41024">
            <w:pPr>
              <w:spacing w:line="360" w:lineRule="auto"/>
              <w:jc w:val="right"/>
              <w:rPr>
                <w:rFonts w:ascii="Arial" w:hAnsi="Arial" w:cs="Arial"/>
                <w:sz w:val="22"/>
                <w:szCs w:val="22"/>
                <w:lang w:val="en-GB"/>
              </w:rPr>
            </w:pPr>
          </w:p>
        </w:tc>
        <w:tc>
          <w:tcPr>
            <w:tcW w:w="990" w:type="dxa"/>
            <w:tcBorders>
              <w:top w:val="single" w:sz="12" w:space="0" w:color="auto"/>
            </w:tcBorders>
            <w:shd w:val="clear" w:color="auto" w:fill="F2F2F2" w:themeFill="background1" w:themeFillShade="F2"/>
          </w:tcPr>
          <w:p w14:paraId="45739899" w14:textId="77777777" w:rsidR="00844ADC" w:rsidRPr="00E4265B" w:rsidRDefault="00844ADC" w:rsidP="00D41024">
            <w:pPr>
              <w:spacing w:line="360" w:lineRule="auto"/>
              <w:jc w:val="right"/>
              <w:rPr>
                <w:rFonts w:ascii="Arial" w:hAnsi="Arial" w:cs="Arial"/>
                <w:sz w:val="22"/>
                <w:szCs w:val="22"/>
                <w:lang w:val="en-GB"/>
              </w:rPr>
            </w:pPr>
          </w:p>
        </w:tc>
        <w:tc>
          <w:tcPr>
            <w:tcW w:w="1530" w:type="dxa"/>
            <w:tcBorders>
              <w:top w:val="single" w:sz="12" w:space="0" w:color="auto"/>
            </w:tcBorders>
            <w:shd w:val="clear" w:color="auto" w:fill="F2F2F2" w:themeFill="background1" w:themeFillShade="F2"/>
          </w:tcPr>
          <w:p w14:paraId="7EB1EE2F" w14:textId="77777777" w:rsidR="00844ADC" w:rsidRPr="00E4265B" w:rsidRDefault="00844ADC" w:rsidP="00D41024">
            <w:pPr>
              <w:spacing w:line="360" w:lineRule="auto"/>
              <w:jc w:val="right"/>
              <w:rPr>
                <w:rFonts w:ascii="Arial" w:hAnsi="Arial" w:cs="Arial"/>
                <w:sz w:val="22"/>
                <w:szCs w:val="22"/>
                <w:lang w:val="en-GB"/>
              </w:rPr>
            </w:pPr>
          </w:p>
        </w:tc>
        <w:tc>
          <w:tcPr>
            <w:tcW w:w="1080" w:type="dxa"/>
            <w:tcBorders>
              <w:top w:val="single" w:sz="12" w:space="0" w:color="auto"/>
            </w:tcBorders>
            <w:shd w:val="clear" w:color="auto" w:fill="F2F2F2" w:themeFill="background1" w:themeFillShade="F2"/>
          </w:tcPr>
          <w:p w14:paraId="0B0B81A8" w14:textId="77777777" w:rsidR="00844ADC" w:rsidRPr="00E4265B" w:rsidRDefault="00844ADC" w:rsidP="00D41024">
            <w:pPr>
              <w:spacing w:line="360" w:lineRule="auto"/>
              <w:jc w:val="right"/>
              <w:rPr>
                <w:rFonts w:ascii="Arial" w:hAnsi="Arial" w:cs="Arial"/>
                <w:sz w:val="22"/>
                <w:szCs w:val="22"/>
                <w:lang w:val="en-GB"/>
              </w:rPr>
            </w:pPr>
          </w:p>
        </w:tc>
        <w:tc>
          <w:tcPr>
            <w:tcW w:w="900" w:type="dxa"/>
            <w:tcBorders>
              <w:top w:val="single" w:sz="12" w:space="0" w:color="auto"/>
            </w:tcBorders>
            <w:shd w:val="clear" w:color="auto" w:fill="F2F2F2" w:themeFill="background1" w:themeFillShade="F2"/>
          </w:tcPr>
          <w:p w14:paraId="5379B1D1" w14:textId="77777777" w:rsidR="00844ADC" w:rsidRPr="00E4265B" w:rsidRDefault="00844ADC" w:rsidP="00D41024">
            <w:pPr>
              <w:spacing w:line="360" w:lineRule="auto"/>
              <w:jc w:val="right"/>
              <w:rPr>
                <w:rFonts w:ascii="Arial" w:hAnsi="Arial" w:cs="Arial"/>
                <w:sz w:val="22"/>
                <w:szCs w:val="22"/>
                <w:lang w:val="en-GB"/>
              </w:rPr>
            </w:pPr>
          </w:p>
        </w:tc>
        <w:tc>
          <w:tcPr>
            <w:tcW w:w="810" w:type="dxa"/>
            <w:tcBorders>
              <w:top w:val="single" w:sz="12" w:space="0" w:color="auto"/>
            </w:tcBorders>
            <w:shd w:val="clear" w:color="auto" w:fill="F2F2F2" w:themeFill="background1" w:themeFillShade="F2"/>
          </w:tcPr>
          <w:p w14:paraId="7EA78A12" w14:textId="77777777" w:rsidR="00844ADC" w:rsidRPr="00E4265B" w:rsidRDefault="00844ADC" w:rsidP="00D41024">
            <w:pPr>
              <w:spacing w:line="360" w:lineRule="auto"/>
              <w:jc w:val="right"/>
              <w:rPr>
                <w:rFonts w:ascii="Arial" w:hAnsi="Arial" w:cs="Arial"/>
                <w:sz w:val="22"/>
                <w:szCs w:val="22"/>
                <w:lang w:val="en-GB"/>
              </w:rPr>
            </w:pPr>
          </w:p>
        </w:tc>
        <w:tc>
          <w:tcPr>
            <w:tcW w:w="810" w:type="dxa"/>
            <w:tcBorders>
              <w:top w:val="single" w:sz="12" w:space="0" w:color="auto"/>
            </w:tcBorders>
          </w:tcPr>
          <w:p w14:paraId="7C68CAFF" w14:textId="3CF0A76E" w:rsidR="00844ADC" w:rsidRPr="00E4265B" w:rsidRDefault="00844ADC" w:rsidP="00D41024">
            <w:pPr>
              <w:spacing w:line="360" w:lineRule="auto"/>
              <w:jc w:val="right"/>
              <w:rPr>
                <w:rFonts w:ascii="Arial" w:hAnsi="Arial" w:cs="Arial"/>
                <w:sz w:val="22"/>
                <w:szCs w:val="22"/>
                <w:lang w:val="en-GB"/>
              </w:rPr>
            </w:pPr>
            <w:r w:rsidRPr="00E4265B">
              <w:rPr>
                <w:rFonts w:ascii="Arial" w:hAnsi="Arial" w:cs="Arial"/>
                <w:sz w:val="22"/>
                <w:szCs w:val="22"/>
                <w:lang w:val="en-GB"/>
              </w:rPr>
              <w:t>64.10</w:t>
            </w:r>
          </w:p>
        </w:tc>
        <w:tc>
          <w:tcPr>
            <w:tcW w:w="810" w:type="dxa"/>
            <w:tcBorders>
              <w:top w:val="single" w:sz="12" w:space="0" w:color="auto"/>
            </w:tcBorders>
            <w:shd w:val="clear" w:color="auto" w:fill="F2F2F2" w:themeFill="background1" w:themeFillShade="F2"/>
          </w:tcPr>
          <w:p w14:paraId="5B409F95" w14:textId="77777777" w:rsidR="00844ADC" w:rsidRPr="00E4265B" w:rsidRDefault="00844ADC" w:rsidP="00D41024">
            <w:pPr>
              <w:spacing w:line="360" w:lineRule="auto"/>
              <w:jc w:val="right"/>
              <w:rPr>
                <w:rFonts w:ascii="Arial" w:hAnsi="Arial" w:cs="Arial"/>
                <w:sz w:val="22"/>
                <w:szCs w:val="22"/>
                <w:lang w:val="en-GB"/>
              </w:rPr>
            </w:pPr>
          </w:p>
        </w:tc>
        <w:tc>
          <w:tcPr>
            <w:tcW w:w="720" w:type="dxa"/>
            <w:tcBorders>
              <w:top w:val="single" w:sz="12" w:space="0" w:color="auto"/>
            </w:tcBorders>
            <w:shd w:val="clear" w:color="auto" w:fill="F2F2F2" w:themeFill="background1" w:themeFillShade="F2"/>
          </w:tcPr>
          <w:p w14:paraId="5936F636" w14:textId="0AE480C6" w:rsidR="00844ADC" w:rsidRPr="00E4265B" w:rsidRDefault="00844ADC" w:rsidP="00D41024">
            <w:pPr>
              <w:spacing w:line="360" w:lineRule="auto"/>
              <w:jc w:val="right"/>
              <w:rPr>
                <w:rFonts w:ascii="Arial" w:hAnsi="Arial" w:cs="Arial"/>
                <w:sz w:val="22"/>
                <w:szCs w:val="22"/>
                <w:lang w:val="en-GB"/>
              </w:rPr>
            </w:pPr>
          </w:p>
        </w:tc>
        <w:tc>
          <w:tcPr>
            <w:tcW w:w="720" w:type="dxa"/>
            <w:tcBorders>
              <w:top w:val="single" w:sz="12" w:space="0" w:color="auto"/>
            </w:tcBorders>
          </w:tcPr>
          <w:p w14:paraId="2C9062B7" w14:textId="7753EB84" w:rsidR="00844ADC" w:rsidRPr="00E4265B" w:rsidRDefault="00844ADC" w:rsidP="00D41024">
            <w:pPr>
              <w:spacing w:line="360" w:lineRule="auto"/>
              <w:jc w:val="right"/>
              <w:rPr>
                <w:rFonts w:ascii="Arial" w:hAnsi="Arial" w:cs="Arial"/>
                <w:sz w:val="22"/>
                <w:szCs w:val="22"/>
                <w:lang w:val="en-GB"/>
              </w:rPr>
            </w:pPr>
            <w:r w:rsidRPr="00E4265B">
              <w:rPr>
                <w:rFonts w:ascii="Arial" w:hAnsi="Arial" w:cs="Arial"/>
                <w:sz w:val="22"/>
                <w:szCs w:val="22"/>
                <w:lang w:val="en-GB"/>
              </w:rPr>
              <w:t>4.92</w:t>
            </w:r>
          </w:p>
        </w:tc>
        <w:tc>
          <w:tcPr>
            <w:tcW w:w="1440" w:type="dxa"/>
            <w:tcBorders>
              <w:top w:val="single" w:sz="12" w:space="0" w:color="auto"/>
            </w:tcBorders>
            <w:shd w:val="clear" w:color="auto" w:fill="F2F2F2" w:themeFill="background1" w:themeFillShade="F2"/>
          </w:tcPr>
          <w:p w14:paraId="3A27CBF1" w14:textId="77777777" w:rsidR="00844ADC" w:rsidRPr="00E4265B" w:rsidRDefault="00844ADC" w:rsidP="00D41024">
            <w:pPr>
              <w:spacing w:line="360" w:lineRule="auto"/>
              <w:rPr>
                <w:rFonts w:ascii="Arial" w:hAnsi="Arial" w:cs="Arial"/>
                <w:sz w:val="22"/>
                <w:szCs w:val="22"/>
                <w:lang w:val="en-GB"/>
              </w:rPr>
            </w:pPr>
          </w:p>
        </w:tc>
        <w:tc>
          <w:tcPr>
            <w:tcW w:w="1107" w:type="dxa"/>
            <w:tcBorders>
              <w:top w:val="single" w:sz="12" w:space="0" w:color="auto"/>
            </w:tcBorders>
            <w:shd w:val="clear" w:color="auto" w:fill="F2F2F2" w:themeFill="background1" w:themeFillShade="F2"/>
          </w:tcPr>
          <w:p w14:paraId="23C79EA4" w14:textId="77777777" w:rsidR="00844ADC" w:rsidRPr="00E4265B" w:rsidRDefault="00844ADC" w:rsidP="00D41024">
            <w:pPr>
              <w:spacing w:line="360" w:lineRule="auto"/>
              <w:rPr>
                <w:rFonts w:ascii="Arial" w:hAnsi="Arial" w:cs="Arial"/>
                <w:sz w:val="22"/>
                <w:szCs w:val="22"/>
                <w:lang w:val="en-GB"/>
              </w:rPr>
            </w:pPr>
          </w:p>
        </w:tc>
      </w:tr>
    </w:tbl>
    <w:p w14:paraId="34FBBA1E" w14:textId="77777777" w:rsidR="00A80508" w:rsidRPr="00E4265B" w:rsidRDefault="00A80508" w:rsidP="00A80508">
      <w:pPr>
        <w:pStyle w:val="UK12Block05"/>
        <w:spacing w:after="0"/>
        <w:ind w:left="432"/>
        <w:rPr>
          <w:rFonts w:ascii="Arial" w:hAnsi="Arial" w:cs="Arial"/>
          <w:sz w:val="22"/>
          <w:szCs w:val="22"/>
          <w:lang w:val="en-GB"/>
        </w:rPr>
      </w:pPr>
    </w:p>
    <w:p w14:paraId="5AB5760C" w14:textId="718915DF" w:rsidR="00E22FF2" w:rsidRPr="00E4265B" w:rsidRDefault="00E22FF2" w:rsidP="001668A3">
      <w:pPr>
        <w:pStyle w:val="UK12Block05"/>
        <w:ind w:left="426"/>
        <w:rPr>
          <w:rFonts w:ascii="Arial" w:hAnsi="Arial" w:cs="Arial"/>
          <w:sz w:val="22"/>
          <w:szCs w:val="22"/>
          <w:lang w:val="en-GB"/>
        </w:rPr>
      </w:pPr>
      <w:r w:rsidRPr="00E4265B">
        <w:rPr>
          <w:rFonts w:ascii="Arial" w:hAnsi="Arial" w:cs="Arial"/>
          <w:sz w:val="22"/>
          <w:szCs w:val="22"/>
          <w:lang w:val="en-GB"/>
        </w:rPr>
        <w:t xml:space="preserve">Total General Market Risk requirement </w:t>
      </w:r>
      <w:r w:rsidR="00A80508" w:rsidRPr="00E4265B">
        <w:rPr>
          <w:rFonts w:ascii="Arial" w:hAnsi="Arial" w:cs="Arial"/>
          <w:sz w:val="22"/>
          <w:szCs w:val="22"/>
          <w:lang w:val="en-GB"/>
        </w:rPr>
        <w:t xml:space="preserve">= </w:t>
      </w:r>
      <w:r w:rsidRPr="00E4265B">
        <w:rPr>
          <w:rFonts w:ascii="Arial" w:hAnsi="Arial" w:cs="Arial"/>
          <w:sz w:val="22"/>
          <w:szCs w:val="22"/>
          <w:lang w:val="en-GB"/>
        </w:rPr>
        <w:t>5% ($</w:t>
      </w:r>
      <w:r w:rsidR="00520DA4" w:rsidRPr="00E4265B">
        <w:rPr>
          <w:rFonts w:ascii="Arial" w:hAnsi="Arial" w:cs="Arial"/>
          <w:sz w:val="22"/>
          <w:szCs w:val="22"/>
          <w:lang w:val="en-GB"/>
        </w:rPr>
        <w:t>6</w:t>
      </w:r>
      <w:r w:rsidRPr="00E4265B">
        <w:rPr>
          <w:rFonts w:ascii="Arial" w:hAnsi="Arial" w:cs="Arial"/>
          <w:sz w:val="22"/>
          <w:szCs w:val="22"/>
          <w:lang w:val="en-GB"/>
        </w:rPr>
        <w:t xml:space="preserve">4.10) + 40% ($0) + </w:t>
      </w:r>
      <w:r w:rsidR="001668A3" w:rsidRPr="00E4265B">
        <w:rPr>
          <w:rFonts w:ascii="Arial" w:hAnsi="Arial" w:cs="Arial"/>
          <w:sz w:val="22"/>
          <w:szCs w:val="22"/>
          <w:lang w:val="en-GB"/>
        </w:rPr>
        <w:t xml:space="preserve">30% ($4.50) + </w:t>
      </w:r>
      <w:r w:rsidRPr="00E4265B">
        <w:rPr>
          <w:rFonts w:ascii="Arial" w:hAnsi="Arial" w:cs="Arial"/>
          <w:sz w:val="22"/>
          <w:szCs w:val="22"/>
          <w:lang w:val="en-GB"/>
        </w:rPr>
        <w:t>40% ($5.27) + 100% ($0) + 100% ($4.92</w:t>
      </w:r>
      <w:r w:rsidR="00A80508" w:rsidRPr="00E4265B">
        <w:rPr>
          <w:rFonts w:ascii="Arial" w:hAnsi="Arial" w:cs="Arial"/>
          <w:sz w:val="22"/>
          <w:szCs w:val="22"/>
          <w:lang w:val="en-GB"/>
        </w:rPr>
        <w:t>)</w:t>
      </w:r>
      <w:r w:rsidRPr="00E4265B">
        <w:rPr>
          <w:rFonts w:ascii="Arial" w:hAnsi="Arial" w:cs="Arial"/>
          <w:sz w:val="22"/>
          <w:szCs w:val="22"/>
          <w:lang w:val="en-GB"/>
        </w:rPr>
        <w:t xml:space="preserve"> = $</w:t>
      </w:r>
      <w:r w:rsidR="00A80508" w:rsidRPr="00E4265B">
        <w:rPr>
          <w:rFonts w:ascii="Arial" w:hAnsi="Arial" w:cs="Arial"/>
          <w:sz w:val="22"/>
          <w:szCs w:val="22"/>
          <w:lang w:val="en-GB"/>
        </w:rPr>
        <w:t>1</w:t>
      </w:r>
      <w:r w:rsidR="00F16FD1" w:rsidRPr="00E4265B">
        <w:rPr>
          <w:rFonts w:ascii="Arial" w:hAnsi="Arial" w:cs="Arial"/>
          <w:sz w:val="22"/>
          <w:szCs w:val="22"/>
          <w:lang w:val="en-GB"/>
        </w:rPr>
        <w:t>1.58</w:t>
      </w:r>
    </w:p>
    <w:p w14:paraId="7E7E9B46" w14:textId="77777777" w:rsidR="00E22FF2" w:rsidRPr="00E4265B" w:rsidRDefault="00E22FF2" w:rsidP="00844ADC">
      <w:pPr>
        <w:pStyle w:val="UK12Block05"/>
        <w:ind w:left="426"/>
        <w:rPr>
          <w:rFonts w:ascii="Arial" w:hAnsi="Arial" w:cs="Arial"/>
          <w:sz w:val="22"/>
          <w:szCs w:val="22"/>
          <w:lang w:val="en-GB"/>
        </w:rPr>
        <w:sectPr w:rsidR="00E22FF2" w:rsidRPr="00E4265B" w:rsidSect="003C0546">
          <w:headerReference w:type="default" r:id="rId29"/>
          <w:footerReference w:type="default" r:id="rId30"/>
          <w:pgSz w:w="16839" w:h="11907" w:orient="landscape" w:code="9"/>
          <w:pgMar w:top="1440" w:right="1440" w:bottom="720" w:left="1350" w:header="720" w:footer="720" w:gutter="0"/>
          <w:cols w:space="720"/>
          <w:docGrid w:linePitch="360"/>
        </w:sectPr>
      </w:pPr>
    </w:p>
    <w:p w14:paraId="5C886664" w14:textId="77777777" w:rsidR="00E22FF2" w:rsidRPr="00E4265B" w:rsidRDefault="001518D3" w:rsidP="004F0272">
      <w:pPr>
        <w:pStyle w:val="UK12Title2"/>
        <w:rPr>
          <w:rFonts w:ascii="Arial" w:hAnsi="Arial" w:cs="Arial"/>
          <w:sz w:val="22"/>
          <w:szCs w:val="22"/>
        </w:rPr>
      </w:pPr>
      <w:bookmarkStart w:id="990" w:name="_Toc33622498"/>
      <w:r w:rsidRPr="00E4265B">
        <w:rPr>
          <w:rFonts w:ascii="Arial" w:hAnsi="Arial" w:cs="Arial"/>
          <w:sz w:val="22"/>
          <w:szCs w:val="22"/>
        </w:rPr>
        <w:lastRenderedPageBreak/>
        <w:t>A6</w:t>
      </w:r>
      <w:r w:rsidR="00E22FF2" w:rsidRPr="00E4265B">
        <w:rPr>
          <w:rFonts w:ascii="Arial" w:hAnsi="Arial" w:cs="Arial"/>
          <w:sz w:val="22"/>
          <w:szCs w:val="22"/>
        </w:rPr>
        <w:t>.3</w:t>
      </w:r>
      <w:r w:rsidR="00E22FF2" w:rsidRPr="00E4265B">
        <w:rPr>
          <w:rFonts w:ascii="Arial" w:hAnsi="Arial" w:cs="Arial"/>
          <w:sz w:val="22"/>
          <w:szCs w:val="22"/>
        </w:rPr>
        <w:tab/>
        <w:t>Equity Risk Capital Requirement</w:t>
      </w:r>
      <w:bookmarkEnd w:id="990"/>
    </w:p>
    <w:p w14:paraId="77CCE6C9" w14:textId="77777777" w:rsidR="00E22FF2" w:rsidRPr="00E4265B" w:rsidRDefault="00E22FF2" w:rsidP="00750BBF">
      <w:pPr>
        <w:pStyle w:val="TitleL5"/>
        <w:rPr>
          <w:rFonts w:ascii="Arial" w:hAnsi="Arial" w:cs="Arial"/>
          <w:sz w:val="22"/>
          <w:szCs w:val="22"/>
          <w:lang w:val="en-GB"/>
        </w:rPr>
      </w:pPr>
      <w:r w:rsidRPr="00E4265B">
        <w:rPr>
          <w:rFonts w:ascii="Arial" w:hAnsi="Arial" w:cs="Arial"/>
          <w:sz w:val="22"/>
          <w:szCs w:val="22"/>
          <w:lang w:val="en-GB"/>
        </w:rPr>
        <w:t>Guidance</w:t>
      </w:r>
    </w:p>
    <w:p w14:paraId="0ABEB2C5" w14:textId="77777777" w:rsidR="00E22FF2" w:rsidRPr="00E4265B" w:rsidRDefault="001518D3" w:rsidP="00750BBF">
      <w:pPr>
        <w:pStyle w:val="UK12Block05"/>
        <w:rPr>
          <w:rFonts w:ascii="Arial" w:hAnsi="Arial" w:cs="Arial"/>
          <w:sz w:val="22"/>
          <w:szCs w:val="22"/>
          <w:lang w:val="en-GB"/>
        </w:rPr>
      </w:pPr>
      <w:r w:rsidRPr="00E4265B">
        <w:rPr>
          <w:rFonts w:ascii="Arial" w:hAnsi="Arial" w:cs="Arial"/>
          <w:sz w:val="22"/>
          <w:szCs w:val="22"/>
          <w:lang w:val="en-GB"/>
        </w:rPr>
        <w:t>Section A6</w:t>
      </w:r>
      <w:r w:rsidR="00E22FF2" w:rsidRPr="00E4265B">
        <w:rPr>
          <w:rFonts w:ascii="Arial" w:hAnsi="Arial" w:cs="Arial"/>
          <w:sz w:val="22"/>
          <w:szCs w:val="22"/>
          <w:lang w:val="en-GB"/>
        </w:rPr>
        <w:t>.3 presents the method for the calculation of Equity Risk Capital Requirement for the purpose of Rule 5.5.1(b).</w:t>
      </w:r>
    </w:p>
    <w:p w14:paraId="50DCEBE2" w14:textId="0957193A" w:rsidR="00E22FF2" w:rsidRPr="00E4265B" w:rsidRDefault="001518D3"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.3.1</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 xml:space="preserve">An </w:t>
      </w:r>
      <w:r w:rsidR="00363CED" w:rsidRPr="00E4265B">
        <w:rPr>
          <w:rFonts w:ascii="Arial" w:hAnsi="Arial" w:cs="Arial"/>
          <w:sz w:val="22"/>
          <w:szCs w:val="22"/>
          <w:lang w:val="en-GB"/>
        </w:rPr>
        <w:t>Authorised Person which</w:t>
      </w:r>
      <w:r w:rsidR="00E22FF2" w:rsidRPr="00E4265B">
        <w:rPr>
          <w:rFonts w:ascii="Arial" w:hAnsi="Arial" w:cs="Arial"/>
          <w:sz w:val="22"/>
          <w:szCs w:val="22"/>
          <w:lang w:val="en-GB"/>
        </w:rPr>
        <w:t xml:space="preserve"> calculates its Equity Risk Capital Requirement in accordance with Rule 5.5.1(b) must apply the Rules in this Section.</w:t>
      </w:r>
    </w:p>
    <w:p w14:paraId="46521F68" w14:textId="77777777" w:rsidR="00E22FF2" w:rsidRPr="00E4265B" w:rsidRDefault="004D6E6A"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.3.2</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calculate its Equity Risk Capital Requirement by:</w:t>
      </w:r>
    </w:p>
    <w:p w14:paraId="578BBE9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identifying all applicable positions within the scope of the requirement, including notional positions derived from certain instruments;</w:t>
      </w:r>
    </w:p>
    <w:p w14:paraId="271C3AB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Netting positions where they meet the condi</w:t>
      </w:r>
      <w:r w:rsidR="004D6E6A" w:rsidRPr="00E4265B">
        <w:rPr>
          <w:rFonts w:ascii="Arial" w:hAnsi="Arial" w:cs="Arial"/>
          <w:sz w:val="22"/>
          <w:szCs w:val="22"/>
          <w:lang w:val="en-GB"/>
        </w:rPr>
        <w:t>tions for Netting set in Rule A6</w:t>
      </w:r>
      <w:r w:rsidRPr="00E4265B">
        <w:rPr>
          <w:rFonts w:ascii="Arial" w:hAnsi="Arial" w:cs="Arial"/>
          <w:sz w:val="22"/>
          <w:szCs w:val="22"/>
          <w:lang w:val="en-GB"/>
        </w:rPr>
        <w:t>.3.19;</w:t>
      </w:r>
    </w:p>
    <w:p w14:paraId="01065D3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calculating an Equity Risk Capital Requirement for each individual position using the standard m</w:t>
      </w:r>
      <w:r w:rsidR="004D6E6A" w:rsidRPr="00E4265B">
        <w:rPr>
          <w:rFonts w:ascii="Arial" w:hAnsi="Arial" w:cs="Arial"/>
          <w:sz w:val="22"/>
          <w:szCs w:val="22"/>
          <w:lang w:val="en-GB"/>
        </w:rPr>
        <w:t>ethod in accordance with Rule A6</w:t>
      </w:r>
      <w:r w:rsidRPr="00E4265B">
        <w:rPr>
          <w:rFonts w:ascii="Arial" w:hAnsi="Arial" w:cs="Arial"/>
          <w:sz w:val="22"/>
          <w:szCs w:val="22"/>
          <w:lang w:val="en-GB"/>
        </w:rPr>
        <w:t>.3.23 or the simplified m</w:t>
      </w:r>
      <w:r w:rsidR="004D6E6A" w:rsidRPr="00E4265B">
        <w:rPr>
          <w:rFonts w:ascii="Arial" w:hAnsi="Arial" w:cs="Arial"/>
          <w:sz w:val="22"/>
          <w:szCs w:val="22"/>
          <w:lang w:val="en-GB"/>
        </w:rPr>
        <w:t>ethod in accordance with Rule A6</w:t>
      </w:r>
      <w:r w:rsidRPr="00E4265B">
        <w:rPr>
          <w:rFonts w:ascii="Arial" w:hAnsi="Arial" w:cs="Arial"/>
          <w:sz w:val="22"/>
          <w:szCs w:val="22"/>
          <w:lang w:val="en-GB"/>
        </w:rPr>
        <w:t>.3.31;</w:t>
      </w:r>
    </w:p>
    <w:p w14:paraId="6C331125" w14:textId="77777777" w:rsidR="00E22FF2" w:rsidRPr="00E4265B" w:rsidRDefault="00E911B6"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in the case of a forward, F</w:t>
      </w:r>
      <w:r w:rsidR="00E22FF2" w:rsidRPr="00E4265B">
        <w:rPr>
          <w:rFonts w:ascii="Arial" w:hAnsi="Arial" w:cs="Arial"/>
          <w:sz w:val="22"/>
          <w:szCs w:val="22"/>
          <w:lang w:val="en-GB"/>
        </w:rPr>
        <w:t xml:space="preserve">uture, </w:t>
      </w:r>
      <w:r w:rsidR="00BC49E0" w:rsidRPr="00E4265B">
        <w:rPr>
          <w:rFonts w:ascii="Arial" w:hAnsi="Arial" w:cs="Arial"/>
          <w:sz w:val="22"/>
          <w:szCs w:val="22"/>
          <w:lang w:val="en-GB"/>
        </w:rPr>
        <w:t>Option</w:t>
      </w:r>
      <w:r w:rsidR="00040A6A" w:rsidRPr="00E4265B">
        <w:rPr>
          <w:rFonts w:ascii="Arial" w:hAnsi="Arial" w:cs="Arial"/>
          <w:sz w:val="22"/>
          <w:szCs w:val="22"/>
          <w:lang w:val="en-GB"/>
        </w:rPr>
        <w:t xml:space="preserve"> or company issued W</w:t>
      </w:r>
      <w:r w:rsidR="00E22FF2" w:rsidRPr="00E4265B">
        <w:rPr>
          <w:rFonts w:ascii="Arial" w:hAnsi="Arial" w:cs="Arial"/>
          <w:sz w:val="22"/>
          <w:szCs w:val="22"/>
          <w:lang w:val="en-GB"/>
        </w:rPr>
        <w:t>arrant on an equity, basket of equities or equity index, adding an Interest Rate Risk Capital Requirement; and</w:t>
      </w:r>
    </w:p>
    <w:p w14:paraId="7E25B68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summing the Capital Requirements calculated in accordance with (c) and (d).</w:t>
      </w:r>
    </w:p>
    <w:p w14:paraId="07D8F2DA" w14:textId="77777777" w:rsidR="00E22FF2" w:rsidRPr="00E4265B" w:rsidRDefault="00E22FF2" w:rsidP="00750BBF">
      <w:pPr>
        <w:pStyle w:val="TitleL5"/>
        <w:rPr>
          <w:rFonts w:ascii="Arial" w:hAnsi="Arial" w:cs="Arial"/>
          <w:sz w:val="22"/>
          <w:szCs w:val="22"/>
          <w:lang w:val="en-GB"/>
        </w:rPr>
      </w:pPr>
      <w:r w:rsidRPr="00E4265B">
        <w:rPr>
          <w:rFonts w:ascii="Arial" w:hAnsi="Arial" w:cs="Arial"/>
          <w:sz w:val="22"/>
          <w:szCs w:val="22"/>
          <w:lang w:val="en-GB"/>
        </w:rPr>
        <w:t>Guidance</w:t>
      </w:r>
    </w:p>
    <w:p w14:paraId="28E94E84" w14:textId="77777777" w:rsidR="00E22FF2" w:rsidRPr="00E4265B" w:rsidRDefault="004D6E6A" w:rsidP="00750BBF">
      <w:pPr>
        <w:pStyle w:val="UK12Block05"/>
        <w:rPr>
          <w:rFonts w:ascii="Arial" w:hAnsi="Arial" w:cs="Arial"/>
          <w:sz w:val="22"/>
          <w:szCs w:val="22"/>
          <w:lang w:val="en-GB"/>
        </w:rPr>
      </w:pPr>
      <w:r w:rsidRPr="00E4265B">
        <w:rPr>
          <w:rFonts w:ascii="Arial" w:hAnsi="Arial" w:cs="Arial"/>
          <w:sz w:val="22"/>
          <w:szCs w:val="22"/>
          <w:lang w:val="en-GB"/>
        </w:rPr>
        <w:t>For the purposes of Rule A6</w:t>
      </w:r>
      <w:r w:rsidR="00E22FF2" w:rsidRPr="00E4265B">
        <w:rPr>
          <w:rFonts w:ascii="Arial" w:hAnsi="Arial" w:cs="Arial"/>
          <w:sz w:val="22"/>
          <w:szCs w:val="22"/>
          <w:lang w:val="en-GB"/>
        </w:rPr>
        <w:t xml:space="preserve">.3.2(d),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is required to calculate the applicable Interest Rate Risk Capital Requir</w:t>
      </w:r>
      <w:r w:rsidRPr="00E4265B">
        <w:rPr>
          <w:rFonts w:ascii="Arial" w:hAnsi="Arial" w:cs="Arial"/>
          <w:sz w:val="22"/>
          <w:szCs w:val="22"/>
          <w:lang w:val="en-GB"/>
        </w:rPr>
        <w:t>ement in accordance with Rule A6</w:t>
      </w:r>
      <w:r w:rsidR="00E22FF2" w:rsidRPr="00E4265B">
        <w:rPr>
          <w:rFonts w:ascii="Arial" w:hAnsi="Arial" w:cs="Arial"/>
          <w:sz w:val="22"/>
          <w:szCs w:val="22"/>
          <w:lang w:val="en-GB"/>
        </w:rPr>
        <w:t>.2.13 and the other applicable Rules in Sectio</w:t>
      </w:r>
      <w:r w:rsidRPr="00E4265B">
        <w:rPr>
          <w:rFonts w:ascii="Arial" w:hAnsi="Arial" w:cs="Arial"/>
          <w:sz w:val="22"/>
          <w:szCs w:val="22"/>
          <w:lang w:val="en-GB"/>
        </w:rPr>
        <w:t>n A6</w:t>
      </w:r>
      <w:r w:rsidR="00E22FF2" w:rsidRPr="00E4265B">
        <w:rPr>
          <w:rFonts w:ascii="Arial" w:hAnsi="Arial" w:cs="Arial"/>
          <w:sz w:val="22"/>
          <w:szCs w:val="22"/>
          <w:lang w:val="en-GB"/>
        </w:rPr>
        <w:t>.2.</w:t>
      </w:r>
    </w:p>
    <w:p w14:paraId="1975F612" w14:textId="77777777" w:rsidR="00E22FF2" w:rsidRPr="00E4265B" w:rsidRDefault="00E22FF2" w:rsidP="00750BBF">
      <w:pPr>
        <w:pStyle w:val="List2TabStops"/>
        <w:rPr>
          <w:rFonts w:ascii="Arial" w:hAnsi="Arial" w:cs="Arial"/>
          <w:sz w:val="22"/>
          <w:szCs w:val="22"/>
          <w:lang w:val="en-GB"/>
        </w:rPr>
      </w:pPr>
      <w:r w:rsidRPr="00E4265B">
        <w:rPr>
          <w:rFonts w:ascii="Arial" w:hAnsi="Arial" w:cs="Arial"/>
          <w:b/>
          <w:bCs/>
          <w:sz w:val="22"/>
          <w:szCs w:val="22"/>
          <w:lang w:val="en-GB"/>
        </w:rPr>
        <w:t>A</w:t>
      </w:r>
      <w:r w:rsidR="004D6E6A" w:rsidRPr="00E4265B">
        <w:rPr>
          <w:rFonts w:ascii="Arial" w:hAnsi="Arial" w:cs="Arial"/>
          <w:b/>
          <w:bCs/>
          <w:sz w:val="22"/>
          <w:szCs w:val="22"/>
          <w:lang w:val="en-GB"/>
        </w:rPr>
        <w:t>6</w:t>
      </w:r>
      <w:r w:rsidRPr="00E4265B">
        <w:rPr>
          <w:rFonts w:ascii="Arial" w:hAnsi="Arial" w:cs="Arial"/>
          <w:b/>
          <w:bCs/>
          <w:sz w:val="22"/>
          <w:szCs w:val="22"/>
          <w:lang w:val="en-GB"/>
        </w:rPr>
        <w:t>.3.3</w:t>
      </w:r>
      <w:r w:rsidR="004D6E6A" w:rsidRPr="00E4265B">
        <w:rPr>
          <w:rFonts w:ascii="Arial" w:hAnsi="Arial" w:cs="Arial"/>
          <w:sz w:val="22"/>
          <w:szCs w:val="22"/>
          <w:lang w:val="en-GB"/>
        </w:rPr>
        <w:tab/>
        <w:t>(1)</w:t>
      </w:r>
      <w:r w:rsidR="004D6E6A" w:rsidRPr="00E4265B">
        <w:rPr>
          <w:rFonts w:ascii="Arial" w:hAnsi="Arial" w:cs="Arial"/>
          <w:sz w:val="22"/>
          <w:szCs w:val="22"/>
          <w:lang w:val="en-GB"/>
        </w:rPr>
        <w:tab/>
        <w:t>For the purposes of Rule A6</w:t>
      </w:r>
      <w:r w:rsidRPr="00E4265B">
        <w:rPr>
          <w:rFonts w:ascii="Arial" w:hAnsi="Arial" w:cs="Arial"/>
          <w:sz w:val="22"/>
          <w:szCs w:val="22"/>
          <w:lang w:val="en-GB"/>
        </w:rPr>
        <w:t xml:space="preserve">.3.2(a)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an Equity Risk Capital Requirement for long and short Trading Book positions in equities and instruments which exhibit behaviour similar to equities including but not limited to:</w:t>
      </w:r>
    </w:p>
    <w:p w14:paraId="5D6DDB64" w14:textId="77777777" w:rsidR="00E22FF2" w:rsidRPr="00E4265B" w:rsidRDefault="00E22FF2" w:rsidP="00750BBF">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depository receipts;</w:t>
      </w:r>
    </w:p>
    <w:p w14:paraId="5A8676C6" w14:textId="77777777" w:rsidR="00E22FF2" w:rsidRPr="00E4265B" w:rsidRDefault="00E911B6" w:rsidP="00750BBF">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F</w:t>
      </w:r>
      <w:r w:rsidR="00E22FF2" w:rsidRPr="00E4265B">
        <w:rPr>
          <w:rFonts w:ascii="Arial" w:hAnsi="Arial" w:cs="Arial"/>
          <w:sz w:val="22"/>
          <w:szCs w:val="22"/>
          <w:lang w:val="en-GB"/>
        </w:rPr>
        <w:t>utures or forwards on an equity, baskets of equities or equity indices;</w:t>
      </w:r>
    </w:p>
    <w:p w14:paraId="738775E6" w14:textId="77777777" w:rsidR="00E22FF2" w:rsidRPr="00E4265B" w:rsidRDefault="00E22FF2" w:rsidP="00750BBF">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net </w:t>
      </w:r>
      <w:r w:rsidR="00C033FC" w:rsidRPr="00E4265B">
        <w:rPr>
          <w:rFonts w:ascii="Arial" w:hAnsi="Arial" w:cs="Arial"/>
          <w:sz w:val="22"/>
          <w:szCs w:val="22"/>
          <w:lang w:val="en-GB"/>
        </w:rPr>
        <w:t>Underwriting</w:t>
      </w:r>
      <w:r w:rsidRPr="00E4265B">
        <w:rPr>
          <w:rFonts w:ascii="Arial" w:hAnsi="Arial" w:cs="Arial"/>
          <w:sz w:val="22"/>
          <w:szCs w:val="22"/>
          <w:lang w:val="en-GB"/>
        </w:rPr>
        <w:t xml:space="preserve"> commitments; and</w:t>
      </w:r>
    </w:p>
    <w:p w14:paraId="2EC2EEF1" w14:textId="77777777" w:rsidR="00E22FF2" w:rsidRPr="00E4265B" w:rsidRDefault="00E22FF2" w:rsidP="00750BBF">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investments in unleveraged Collective Investment Funds.</w:t>
      </w:r>
    </w:p>
    <w:p w14:paraId="07556D1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calculate either an Equity Risk Capital Requirement or an Option Risk Capital Requirement for a Trading Book position in:</w:t>
      </w:r>
    </w:p>
    <w:p w14:paraId="7346E784" w14:textId="77777777" w:rsidR="00E22FF2" w:rsidRPr="00E4265B" w:rsidRDefault="00E22FF2" w:rsidP="00750BBF">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an equity hedging an </w:t>
      </w:r>
      <w:r w:rsidR="00BC49E0" w:rsidRPr="00E4265B">
        <w:rPr>
          <w:rFonts w:ascii="Arial" w:hAnsi="Arial" w:cs="Arial"/>
          <w:sz w:val="22"/>
          <w:szCs w:val="22"/>
          <w:lang w:val="en-GB"/>
        </w:rPr>
        <w:t>Option</w:t>
      </w:r>
      <w:r w:rsidRPr="00E4265B">
        <w:rPr>
          <w:rFonts w:ascii="Arial" w:hAnsi="Arial" w:cs="Arial"/>
          <w:sz w:val="22"/>
          <w:szCs w:val="22"/>
          <w:lang w:val="en-GB"/>
        </w:rPr>
        <w:t>;</w:t>
      </w:r>
    </w:p>
    <w:p w14:paraId="022C9CD5" w14:textId="77777777" w:rsidR="00E22FF2" w:rsidRPr="00E4265B" w:rsidRDefault="00E22FF2" w:rsidP="00750BBF">
      <w:pPr>
        <w:pStyle w:val="aList"/>
        <w:rPr>
          <w:rFonts w:ascii="Arial" w:hAnsi="Arial" w:cs="Arial"/>
          <w:sz w:val="22"/>
          <w:szCs w:val="22"/>
          <w:lang w:val="en-GB"/>
        </w:rPr>
      </w:pPr>
      <w:r w:rsidRPr="00E4265B">
        <w:rPr>
          <w:rFonts w:ascii="Arial" w:hAnsi="Arial" w:cs="Arial"/>
          <w:sz w:val="22"/>
          <w:szCs w:val="22"/>
          <w:lang w:val="en-GB"/>
        </w:rPr>
        <w:lastRenderedPageBreak/>
        <w:t>(b)</w:t>
      </w:r>
      <w:r w:rsidRPr="00E4265B">
        <w:rPr>
          <w:rFonts w:ascii="Arial" w:hAnsi="Arial" w:cs="Arial"/>
          <w:sz w:val="22"/>
          <w:szCs w:val="22"/>
          <w:lang w:val="en-GB"/>
        </w:rPr>
        <w:tab/>
        <w:t>an equity hedging a company</w:t>
      </w:r>
      <w:r w:rsidRPr="00E4265B">
        <w:rPr>
          <w:rFonts w:ascii="Arial" w:hAnsi="Arial" w:cs="Arial"/>
          <w:sz w:val="22"/>
          <w:szCs w:val="22"/>
          <w:lang w:val="en-GB"/>
        </w:rPr>
        <w:noBreakHyphen/>
        <w:t xml:space="preserve">issued </w:t>
      </w:r>
      <w:r w:rsidR="00040A6A" w:rsidRPr="00E4265B">
        <w:rPr>
          <w:rFonts w:ascii="Arial" w:hAnsi="Arial" w:cs="Arial"/>
          <w:sz w:val="22"/>
          <w:szCs w:val="22"/>
          <w:lang w:val="en-GB"/>
        </w:rPr>
        <w:t>W</w:t>
      </w:r>
      <w:r w:rsidRPr="00E4265B">
        <w:rPr>
          <w:rFonts w:ascii="Arial" w:hAnsi="Arial" w:cs="Arial"/>
          <w:sz w:val="22"/>
          <w:szCs w:val="22"/>
          <w:lang w:val="en-GB"/>
        </w:rPr>
        <w:t>arrant;</w:t>
      </w:r>
    </w:p>
    <w:p w14:paraId="04893DD2" w14:textId="77777777" w:rsidR="00E22FF2" w:rsidRPr="00E4265B" w:rsidRDefault="00E22FF2" w:rsidP="00750BBF">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an </w:t>
      </w:r>
      <w:r w:rsidR="00BC49E0" w:rsidRPr="00E4265B">
        <w:rPr>
          <w:rFonts w:ascii="Arial" w:hAnsi="Arial" w:cs="Arial"/>
          <w:sz w:val="22"/>
          <w:szCs w:val="22"/>
          <w:lang w:val="en-GB"/>
        </w:rPr>
        <w:t>Option</w:t>
      </w:r>
      <w:r w:rsidRPr="00E4265B">
        <w:rPr>
          <w:rFonts w:ascii="Arial" w:hAnsi="Arial" w:cs="Arial"/>
          <w:sz w:val="22"/>
          <w:szCs w:val="22"/>
          <w:lang w:val="en-GB"/>
        </w:rPr>
        <w:t xml:space="preserve"> on an equity, basket of equities, equity index or equity </w:t>
      </w:r>
      <w:r w:rsidR="00E911B6" w:rsidRPr="00E4265B">
        <w:rPr>
          <w:rFonts w:ascii="Arial" w:hAnsi="Arial" w:cs="Arial"/>
          <w:sz w:val="22"/>
          <w:szCs w:val="22"/>
          <w:lang w:val="en-GB"/>
        </w:rPr>
        <w:t>F</w:t>
      </w:r>
      <w:r w:rsidRPr="00E4265B">
        <w:rPr>
          <w:rFonts w:ascii="Arial" w:hAnsi="Arial" w:cs="Arial"/>
          <w:sz w:val="22"/>
          <w:szCs w:val="22"/>
          <w:lang w:val="en-GB"/>
        </w:rPr>
        <w:t>uture provided it is in the money by at least the risk percentage stipulated in A</w:t>
      </w:r>
      <w:r w:rsidR="004D6E6A" w:rsidRPr="00E4265B">
        <w:rPr>
          <w:rFonts w:ascii="Arial" w:hAnsi="Arial" w:cs="Arial"/>
          <w:sz w:val="22"/>
          <w:szCs w:val="22"/>
          <w:lang w:val="en-GB"/>
        </w:rPr>
        <w:t>6</w:t>
      </w:r>
      <w:r w:rsidRPr="00E4265B">
        <w:rPr>
          <w:rFonts w:ascii="Arial" w:hAnsi="Arial" w:cs="Arial"/>
          <w:sz w:val="22"/>
          <w:szCs w:val="22"/>
          <w:lang w:val="en-GB"/>
        </w:rPr>
        <w:t>.3.31; and</w:t>
      </w:r>
    </w:p>
    <w:p w14:paraId="20155BBD" w14:textId="77777777" w:rsidR="00E22FF2" w:rsidRPr="00E4265B" w:rsidRDefault="00E22FF2" w:rsidP="00750BBF">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a company issued </w:t>
      </w:r>
      <w:r w:rsidR="00040A6A" w:rsidRPr="00E4265B">
        <w:rPr>
          <w:rFonts w:ascii="Arial" w:hAnsi="Arial" w:cs="Arial"/>
          <w:sz w:val="22"/>
          <w:szCs w:val="22"/>
          <w:lang w:val="en-GB"/>
        </w:rPr>
        <w:t>W</w:t>
      </w:r>
      <w:r w:rsidRPr="00E4265B">
        <w:rPr>
          <w:rFonts w:ascii="Arial" w:hAnsi="Arial" w:cs="Arial"/>
          <w:sz w:val="22"/>
          <w:szCs w:val="22"/>
          <w:lang w:val="en-GB"/>
        </w:rPr>
        <w:t>arrant which relates to an equity, basket of equities or equity index provided it is in the money by at least the risk percentage stipulated in A</w:t>
      </w:r>
      <w:r w:rsidR="004D6E6A" w:rsidRPr="00E4265B">
        <w:rPr>
          <w:rFonts w:ascii="Arial" w:hAnsi="Arial" w:cs="Arial"/>
          <w:sz w:val="22"/>
          <w:szCs w:val="22"/>
          <w:lang w:val="en-GB"/>
        </w:rPr>
        <w:t>6</w:t>
      </w:r>
      <w:r w:rsidRPr="00E4265B">
        <w:rPr>
          <w:rFonts w:ascii="Arial" w:hAnsi="Arial" w:cs="Arial"/>
          <w:sz w:val="22"/>
          <w:szCs w:val="22"/>
          <w:lang w:val="en-GB"/>
        </w:rPr>
        <w:t>.3.31.</w:t>
      </w:r>
    </w:p>
    <w:p w14:paraId="6E6D1FD7" w14:textId="77777777" w:rsidR="00E22FF2" w:rsidRPr="00E4265B" w:rsidRDefault="00E22FF2" w:rsidP="00750BBF">
      <w:pPr>
        <w:pStyle w:val="TitleL5"/>
        <w:rPr>
          <w:rFonts w:ascii="Arial" w:hAnsi="Arial" w:cs="Arial"/>
          <w:sz w:val="22"/>
          <w:szCs w:val="22"/>
          <w:lang w:val="en-GB"/>
        </w:rPr>
      </w:pPr>
      <w:r w:rsidRPr="00E4265B">
        <w:rPr>
          <w:rFonts w:ascii="Arial" w:hAnsi="Arial" w:cs="Arial"/>
          <w:sz w:val="22"/>
          <w:szCs w:val="22"/>
          <w:lang w:val="en-GB"/>
        </w:rPr>
        <w:t>Guidance</w:t>
      </w:r>
    </w:p>
    <w:p w14:paraId="6B6B62EB"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If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an investment in a leveraged Collective Investment Fund, it should seek guidance from the Regulator in respect of the appropriate prudential treatment.</w:t>
      </w:r>
    </w:p>
    <w:p w14:paraId="11BEB182" w14:textId="32062793" w:rsidR="00E22FF2" w:rsidRPr="00E4265B" w:rsidRDefault="00E22FF2" w:rsidP="00844ADC">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In respect of </w:t>
      </w:r>
      <w:r w:rsidR="00BC49E0" w:rsidRPr="00E4265B">
        <w:rPr>
          <w:rFonts w:ascii="Arial" w:hAnsi="Arial" w:cs="Arial"/>
          <w:sz w:val="22"/>
          <w:szCs w:val="22"/>
          <w:lang w:val="en-GB"/>
        </w:rPr>
        <w:t>Option</w:t>
      </w:r>
      <w:r w:rsidRPr="00E4265B">
        <w:rPr>
          <w:rFonts w:ascii="Arial" w:hAnsi="Arial" w:cs="Arial"/>
          <w:sz w:val="22"/>
          <w:szCs w:val="22"/>
          <w:lang w:val="en-GB"/>
        </w:rPr>
        <w:t xml:space="preserve">s that are out of the money,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t>
      </w:r>
      <w:r w:rsidR="00844ADC" w:rsidRPr="00E4265B">
        <w:rPr>
          <w:rFonts w:ascii="Arial" w:hAnsi="Arial" w:cs="Arial"/>
          <w:sz w:val="22"/>
          <w:szCs w:val="22"/>
          <w:lang w:val="en-GB"/>
        </w:rPr>
        <w:t>must</w:t>
      </w:r>
      <w:r w:rsidRPr="00E4265B">
        <w:rPr>
          <w:rFonts w:ascii="Arial" w:hAnsi="Arial" w:cs="Arial"/>
          <w:sz w:val="22"/>
          <w:szCs w:val="22"/>
          <w:lang w:val="en-GB"/>
        </w:rPr>
        <w:t xml:space="preserve"> apply the requirements of Section 5.8.</w:t>
      </w:r>
    </w:p>
    <w:p w14:paraId="5BAC7D80" w14:textId="77777777" w:rsidR="00E22FF2" w:rsidRPr="00E4265B" w:rsidRDefault="004D6E6A"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.3.4</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calculate either an Equity Risk Capital Requirement or an Option Risk Capital Requirement for a Trading Book position in the equity leg of an equity s</w:t>
      </w:r>
      <w:r w:rsidRPr="00E4265B">
        <w:rPr>
          <w:rFonts w:ascii="Arial" w:hAnsi="Arial" w:cs="Arial"/>
          <w:sz w:val="22"/>
          <w:szCs w:val="22"/>
          <w:lang w:val="en-GB"/>
        </w:rPr>
        <w:t>wap in accordance with Rule A6</w:t>
      </w:r>
      <w:r w:rsidR="00E22FF2" w:rsidRPr="00E4265B">
        <w:rPr>
          <w:rFonts w:ascii="Arial" w:hAnsi="Arial" w:cs="Arial"/>
          <w:sz w:val="22"/>
          <w:szCs w:val="22"/>
          <w:lang w:val="en-GB"/>
        </w:rPr>
        <w:t>.3.12.</w:t>
      </w:r>
    </w:p>
    <w:p w14:paraId="035776F6"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4D6E6A" w:rsidRPr="00E4265B">
        <w:rPr>
          <w:rFonts w:ascii="Arial" w:hAnsi="Arial" w:cs="Arial"/>
          <w:b/>
          <w:bCs/>
          <w:sz w:val="22"/>
          <w:szCs w:val="22"/>
          <w:lang w:val="en-GB"/>
        </w:rPr>
        <w:t>6</w:t>
      </w:r>
      <w:r w:rsidRPr="00E4265B">
        <w:rPr>
          <w:rFonts w:ascii="Arial" w:hAnsi="Arial" w:cs="Arial"/>
          <w:b/>
          <w:bCs/>
          <w:sz w:val="22"/>
          <w:szCs w:val="22"/>
          <w:lang w:val="en-GB"/>
        </w:rPr>
        <w:t>.3.5</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either an Equity Risk Capital Requirement or Interest Rate Risk Capital Requirement for a Trading Book position in a Convert</w:t>
      </w:r>
      <w:r w:rsidR="004D6E6A" w:rsidRPr="00E4265B">
        <w:rPr>
          <w:rFonts w:ascii="Arial" w:hAnsi="Arial" w:cs="Arial"/>
          <w:sz w:val="22"/>
          <w:szCs w:val="22"/>
          <w:lang w:val="en-GB"/>
        </w:rPr>
        <w:t>ible in accordance with Rules A6.3.6 and A6</w:t>
      </w:r>
      <w:r w:rsidRPr="00E4265B">
        <w:rPr>
          <w:rFonts w:ascii="Arial" w:hAnsi="Arial" w:cs="Arial"/>
          <w:sz w:val="22"/>
          <w:szCs w:val="22"/>
          <w:lang w:val="en-GB"/>
        </w:rPr>
        <w:t>.3.7.</w:t>
      </w:r>
    </w:p>
    <w:p w14:paraId="4D7B7E94" w14:textId="77777777" w:rsidR="00E22FF2" w:rsidRPr="00E4265B" w:rsidRDefault="004D6E6A"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.3.6</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treat a Convertible as the underlying equity into which it converts, where:</w:t>
      </w:r>
    </w:p>
    <w:p w14:paraId="15B3CAF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first date at which conversion can take place is less than three months ahead, or the next such date (where the first has passed) is less than a year ahead; and</w:t>
      </w:r>
    </w:p>
    <w:p w14:paraId="2D7EE98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Convertible is trading at a premium of less than 10% to the underlying equity.</w:t>
      </w:r>
    </w:p>
    <w:p w14:paraId="78D0F066" w14:textId="69BBF456" w:rsidR="00E22FF2" w:rsidRPr="00E4265B" w:rsidRDefault="004D6E6A"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.3.7</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 xml:space="preserve">An </w:t>
      </w:r>
      <w:r w:rsidR="00363CED" w:rsidRPr="00E4265B">
        <w:rPr>
          <w:rFonts w:ascii="Arial" w:hAnsi="Arial" w:cs="Arial"/>
          <w:sz w:val="22"/>
          <w:szCs w:val="22"/>
          <w:lang w:val="en-GB"/>
        </w:rPr>
        <w:t>Authorised Person which</w:t>
      </w:r>
      <w:r w:rsidR="00E22FF2" w:rsidRPr="00E4265B">
        <w:rPr>
          <w:rFonts w:ascii="Arial" w:hAnsi="Arial" w:cs="Arial"/>
          <w:sz w:val="22"/>
          <w:szCs w:val="22"/>
          <w:lang w:val="en-GB"/>
        </w:rPr>
        <w:t xml:space="preserve"> treats a Convertible as an equity must make an adjustment to the capital component as follows:</w:t>
      </w:r>
    </w:p>
    <w:p w14:paraId="02A3608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an addition equal to any loss on conversion; or</w:t>
      </w:r>
    </w:p>
    <w:p w14:paraId="50BB1566"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 deduction equal to any profit on conversion (subject to a maximum reduction to zero).</w:t>
      </w:r>
    </w:p>
    <w:p w14:paraId="3430DBA6" w14:textId="77777777" w:rsidR="00E22FF2" w:rsidRPr="00E4265B" w:rsidRDefault="00E22FF2" w:rsidP="00750BBF">
      <w:pPr>
        <w:pStyle w:val="A1List"/>
        <w:rPr>
          <w:rFonts w:ascii="Arial" w:hAnsi="Arial" w:cs="Arial"/>
          <w:sz w:val="22"/>
          <w:szCs w:val="22"/>
          <w:lang w:val="en-GB"/>
        </w:rPr>
      </w:pPr>
      <w:r w:rsidRPr="00E4265B">
        <w:rPr>
          <w:rFonts w:ascii="Arial" w:hAnsi="Arial" w:cs="Arial"/>
          <w:b/>
          <w:bCs/>
          <w:sz w:val="22"/>
          <w:szCs w:val="22"/>
          <w:lang w:val="en-GB"/>
        </w:rPr>
        <w:t>A</w:t>
      </w:r>
      <w:r w:rsidR="004B34C6" w:rsidRPr="00E4265B">
        <w:rPr>
          <w:rFonts w:ascii="Arial" w:hAnsi="Arial" w:cs="Arial"/>
          <w:b/>
          <w:bCs/>
          <w:sz w:val="22"/>
          <w:szCs w:val="22"/>
          <w:lang w:val="en-GB"/>
        </w:rPr>
        <w:t>6</w:t>
      </w:r>
      <w:r w:rsidRPr="00E4265B">
        <w:rPr>
          <w:rFonts w:ascii="Arial" w:hAnsi="Arial" w:cs="Arial"/>
          <w:b/>
          <w:bCs/>
          <w:sz w:val="22"/>
          <w:szCs w:val="22"/>
          <w:lang w:val="en-GB"/>
        </w:rPr>
        <w:t>.3.8</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not calculate an Equity Risk Capital Requirement for a Trading Book position in:</w:t>
      </w:r>
    </w:p>
    <w:p w14:paraId="516747D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material holdings deducted under Chapter 3 for the purposes of calculating an </w:t>
      </w:r>
      <w:r w:rsidR="000D1A90" w:rsidRPr="00E4265B">
        <w:rPr>
          <w:rFonts w:ascii="Arial" w:hAnsi="Arial" w:cs="Arial"/>
          <w:sz w:val="22"/>
          <w:szCs w:val="22"/>
          <w:lang w:val="en-GB"/>
        </w:rPr>
        <w:t>Authorised Person</w:t>
      </w:r>
      <w:r w:rsidRPr="00E4265B">
        <w:rPr>
          <w:rFonts w:ascii="Arial" w:hAnsi="Arial" w:cs="Arial"/>
          <w:sz w:val="22"/>
          <w:szCs w:val="22"/>
          <w:lang w:val="en-GB"/>
        </w:rPr>
        <w:t>'s Capital Resources;</w:t>
      </w:r>
    </w:p>
    <w:p w14:paraId="023D045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interest rate</w:t>
      </w:r>
      <w:r w:rsidR="00E911B6" w:rsidRPr="00E4265B">
        <w:rPr>
          <w:rFonts w:ascii="Arial" w:hAnsi="Arial" w:cs="Arial"/>
          <w:sz w:val="22"/>
          <w:szCs w:val="22"/>
          <w:lang w:val="en-GB"/>
        </w:rPr>
        <w:t xml:space="preserve"> leg of an equity swap, equity F</w:t>
      </w:r>
      <w:r w:rsidRPr="00E4265B">
        <w:rPr>
          <w:rFonts w:ascii="Arial" w:hAnsi="Arial" w:cs="Arial"/>
          <w:sz w:val="22"/>
          <w:szCs w:val="22"/>
          <w:lang w:val="en-GB"/>
        </w:rPr>
        <w:t xml:space="preserve">uture or forward, or equity based </w:t>
      </w:r>
      <w:r w:rsidR="00BC49E0" w:rsidRPr="00E4265B">
        <w:rPr>
          <w:rFonts w:ascii="Arial" w:hAnsi="Arial" w:cs="Arial"/>
          <w:sz w:val="22"/>
          <w:szCs w:val="22"/>
          <w:lang w:val="en-GB"/>
        </w:rPr>
        <w:t>Option</w:t>
      </w:r>
      <w:r w:rsidRPr="00E4265B">
        <w:rPr>
          <w:rFonts w:ascii="Arial" w:hAnsi="Arial" w:cs="Arial"/>
          <w:sz w:val="22"/>
          <w:szCs w:val="22"/>
          <w:lang w:val="en-GB"/>
        </w:rPr>
        <w:t>; or</w:t>
      </w:r>
    </w:p>
    <w:p w14:paraId="79DB43C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a non</w:t>
      </w:r>
      <w:r w:rsidRPr="00E4265B">
        <w:rPr>
          <w:rFonts w:ascii="Arial" w:hAnsi="Arial" w:cs="Arial"/>
          <w:sz w:val="22"/>
          <w:szCs w:val="22"/>
          <w:lang w:val="en-GB"/>
        </w:rPr>
        <w:noBreakHyphen/>
        <w:t>Convertible preference security.</w:t>
      </w:r>
    </w:p>
    <w:p w14:paraId="6BC43DE0" w14:textId="77777777" w:rsidR="00E22FF2" w:rsidRPr="00E4265B" w:rsidRDefault="00E22FF2" w:rsidP="00750BBF">
      <w:pPr>
        <w:pStyle w:val="TitleL5"/>
        <w:rPr>
          <w:rFonts w:ascii="Arial" w:hAnsi="Arial" w:cs="Arial"/>
          <w:sz w:val="22"/>
          <w:szCs w:val="22"/>
          <w:lang w:val="en-GB"/>
        </w:rPr>
      </w:pPr>
      <w:r w:rsidRPr="00E4265B">
        <w:rPr>
          <w:rFonts w:ascii="Arial" w:hAnsi="Arial" w:cs="Arial"/>
          <w:sz w:val="22"/>
          <w:szCs w:val="22"/>
          <w:lang w:val="en-GB"/>
        </w:rPr>
        <w:lastRenderedPageBreak/>
        <w:t>Derivation of notional positions</w:t>
      </w:r>
    </w:p>
    <w:p w14:paraId="6286B2A2"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195B3A" w:rsidRPr="00E4265B">
        <w:rPr>
          <w:rFonts w:ascii="Arial" w:hAnsi="Arial" w:cs="Arial"/>
          <w:b/>
          <w:bCs/>
          <w:sz w:val="22"/>
          <w:szCs w:val="22"/>
          <w:lang w:val="en-GB"/>
        </w:rPr>
        <w:t>6</w:t>
      </w:r>
      <w:r w:rsidRPr="00E4265B">
        <w:rPr>
          <w:rFonts w:ascii="Arial" w:hAnsi="Arial" w:cs="Arial"/>
          <w:b/>
          <w:bCs/>
          <w:sz w:val="22"/>
          <w:szCs w:val="22"/>
          <w:lang w:val="en-GB"/>
        </w:rPr>
        <w:t>.3.9</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before Netting, derive a notional position for a</w:t>
      </w:r>
      <w:r w:rsidR="00E911B6" w:rsidRPr="00E4265B">
        <w:rPr>
          <w:rFonts w:ascii="Arial" w:hAnsi="Arial" w:cs="Arial"/>
          <w:sz w:val="22"/>
          <w:szCs w:val="22"/>
          <w:lang w:val="en-GB"/>
        </w:rPr>
        <w:t xml:space="preserve"> depository receipt, a swap, a F</w:t>
      </w:r>
      <w:r w:rsidRPr="00E4265B">
        <w:rPr>
          <w:rFonts w:ascii="Arial" w:hAnsi="Arial" w:cs="Arial"/>
          <w:sz w:val="22"/>
          <w:szCs w:val="22"/>
          <w:lang w:val="en-GB"/>
        </w:rPr>
        <w:t xml:space="preserve">uture, a forward, an </w:t>
      </w:r>
      <w:r w:rsidR="00BC49E0" w:rsidRPr="00E4265B">
        <w:rPr>
          <w:rFonts w:ascii="Arial" w:hAnsi="Arial" w:cs="Arial"/>
          <w:sz w:val="22"/>
          <w:szCs w:val="22"/>
          <w:lang w:val="en-GB"/>
        </w:rPr>
        <w:t>Option</w:t>
      </w:r>
      <w:r w:rsidR="00040A6A" w:rsidRPr="00E4265B">
        <w:rPr>
          <w:rFonts w:ascii="Arial" w:hAnsi="Arial" w:cs="Arial"/>
          <w:sz w:val="22"/>
          <w:szCs w:val="22"/>
          <w:lang w:val="en-GB"/>
        </w:rPr>
        <w:t xml:space="preserve"> and a company issued W</w:t>
      </w:r>
      <w:r w:rsidRPr="00E4265B">
        <w:rPr>
          <w:rFonts w:ascii="Arial" w:hAnsi="Arial" w:cs="Arial"/>
          <w:sz w:val="22"/>
          <w:szCs w:val="22"/>
          <w:lang w:val="en-GB"/>
        </w:rPr>
        <w:t>arrant in the calculation of its Equity Risk Capital Requirement.</w:t>
      </w:r>
    </w:p>
    <w:p w14:paraId="647FDF38" w14:textId="77777777" w:rsidR="00E22FF2" w:rsidRPr="00E4265B" w:rsidRDefault="00E22FF2" w:rsidP="00750BBF">
      <w:pPr>
        <w:pStyle w:val="TitleL5"/>
        <w:rPr>
          <w:rFonts w:ascii="Arial" w:hAnsi="Arial" w:cs="Arial"/>
          <w:sz w:val="22"/>
          <w:szCs w:val="22"/>
          <w:lang w:val="en-GB"/>
        </w:rPr>
      </w:pPr>
      <w:r w:rsidRPr="00E4265B">
        <w:rPr>
          <w:rFonts w:ascii="Arial" w:hAnsi="Arial" w:cs="Arial"/>
          <w:sz w:val="22"/>
          <w:szCs w:val="22"/>
          <w:lang w:val="en-GB"/>
        </w:rPr>
        <w:t>Depository receipts</w:t>
      </w:r>
    </w:p>
    <w:p w14:paraId="18A3568A" w14:textId="77777777" w:rsidR="00E22FF2" w:rsidRPr="00E4265B" w:rsidRDefault="00195B3A"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.3.10</w:t>
      </w:r>
      <w:r w:rsidR="00E22FF2" w:rsidRPr="00E4265B">
        <w:rPr>
          <w:rFonts w:ascii="Arial" w:hAnsi="Arial" w:cs="Arial"/>
          <w:b/>
          <w:bCs/>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treat a depository receipt as a notional position in the underlying equity.</w:t>
      </w:r>
    </w:p>
    <w:p w14:paraId="4D3BB4E3" w14:textId="77777777" w:rsidR="00E22FF2" w:rsidRPr="00E4265B" w:rsidRDefault="00195B3A"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.3.11</w:t>
      </w:r>
      <w:r w:rsidR="00E22FF2" w:rsidRPr="00E4265B">
        <w:rPr>
          <w:rFonts w:ascii="Arial" w:hAnsi="Arial" w:cs="Arial"/>
          <w:b/>
          <w:bCs/>
          <w:sz w:val="22"/>
          <w:szCs w:val="22"/>
          <w:lang w:val="en-GB"/>
        </w:rPr>
        <w:tab/>
      </w:r>
      <w:r w:rsidR="00E22FF2" w:rsidRPr="00E4265B">
        <w:rPr>
          <w:rFonts w:ascii="Arial" w:hAnsi="Arial" w:cs="Arial"/>
          <w:sz w:val="22"/>
          <w:szCs w:val="22"/>
          <w:lang w:val="en-GB"/>
        </w:rPr>
        <w:t>A position in a depository receipt must only be netted against a position in the underlying equity if the equity is deliverable against the depository receipt.</w:t>
      </w:r>
    </w:p>
    <w:p w14:paraId="0697509E" w14:textId="77777777" w:rsidR="00E22FF2" w:rsidRPr="00E4265B" w:rsidRDefault="00E22FF2" w:rsidP="00750BBF">
      <w:pPr>
        <w:pStyle w:val="TitleL5"/>
        <w:rPr>
          <w:rFonts w:ascii="Arial" w:hAnsi="Arial" w:cs="Arial"/>
          <w:sz w:val="22"/>
          <w:szCs w:val="22"/>
          <w:lang w:val="en-GB"/>
        </w:rPr>
      </w:pPr>
      <w:r w:rsidRPr="00E4265B">
        <w:rPr>
          <w:rFonts w:ascii="Arial" w:hAnsi="Arial" w:cs="Arial"/>
          <w:sz w:val="22"/>
          <w:szCs w:val="22"/>
          <w:lang w:val="en-GB"/>
        </w:rPr>
        <w:t>Equity swaps</w:t>
      </w:r>
    </w:p>
    <w:p w14:paraId="75FC834E"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195B3A" w:rsidRPr="00E4265B">
        <w:rPr>
          <w:rFonts w:ascii="Arial" w:hAnsi="Arial" w:cs="Arial"/>
          <w:b/>
          <w:bCs/>
          <w:sz w:val="22"/>
          <w:szCs w:val="22"/>
          <w:lang w:val="en-GB"/>
        </w:rPr>
        <w:t>6</w:t>
      </w:r>
      <w:r w:rsidRPr="00E4265B">
        <w:rPr>
          <w:rFonts w:ascii="Arial" w:hAnsi="Arial" w:cs="Arial"/>
          <w:b/>
          <w:bCs/>
          <w:sz w:val="22"/>
          <w:szCs w:val="22"/>
          <w:lang w:val="en-GB"/>
        </w:rPr>
        <w:t>.3.12</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treat an equity swap as two notional positions: an interest rate leg and an equity leg, as follows:</w:t>
      </w:r>
    </w:p>
    <w:p w14:paraId="7346333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interest rate leg must be included in the Interest Rate Risk Calculation and treated as a notional government </w:t>
      </w:r>
      <w:r w:rsidR="00877CEA" w:rsidRPr="00E4265B">
        <w:rPr>
          <w:rFonts w:ascii="Arial" w:hAnsi="Arial" w:cs="Arial"/>
          <w:sz w:val="22"/>
          <w:szCs w:val="22"/>
          <w:lang w:val="en-GB"/>
        </w:rPr>
        <w:t>Security</w:t>
      </w:r>
      <w:r w:rsidRPr="00E4265B">
        <w:rPr>
          <w:rFonts w:ascii="Arial" w:hAnsi="Arial" w:cs="Arial"/>
          <w:sz w:val="22"/>
          <w:szCs w:val="22"/>
          <w:lang w:val="en-GB"/>
        </w:rPr>
        <w:t xml:space="preserve"> in accordance with the provisions for interest rate swaps in Section 5.4; and.</w:t>
      </w:r>
    </w:p>
    <w:p w14:paraId="67284DDA"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equity leg must be treated as a long or short position in:</w:t>
      </w:r>
    </w:p>
    <w:p w14:paraId="103F81EF" w14:textId="77777777" w:rsidR="00E22FF2" w:rsidRPr="00E4265B" w:rsidRDefault="00E22FF2" w:rsidP="00750BBF">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where the payout or receipt of funds is based on, respectively, the appreciation or depreciation in price</w:t>
      </w:r>
      <w:r w:rsidR="00E911B6" w:rsidRPr="00E4265B">
        <w:rPr>
          <w:rFonts w:ascii="Arial" w:hAnsi="Arial" w:cs="Arial"/>
          <w:sz w:val="22"/>
          <w:szCs w:val="22"/>
          <w:lang w:val="en-GB"/>
        </w:rPr>
        <w:t xml:space="preserve"> of the underlying equities, a F</w:t>
      </w:r>
      <w:r w:rsidRPr="00E4265B">
        <w:rPr>
          <w:rFonts w:ascii="Arial" w:hAnsi="Arial" w:cs="Arial"/>
          <w:sz w:val="22"/>
          <w:szCs w:val="22"/>
          <w:lang w:val="en-GB"/>
        </w:rPr>
        <w:t>uture; or</w:t>
      </w:r>
    </w:p>
    <w:p w14:paraId="6F686A37" w14:textId="77777777" w:rsidR="00E22FF2" w:rsidRPr="00E4265B" w:rsidRDefault="00E22FF2" w:rsidP="00750BBF">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where the payout is the appreciation in price of the underlying equities, an </w:t>
      </w:r>
      <w:r w:rsidR="00BC49E0" w:rsidRPr="00E4265B">
        <w:rPr>
          <w:rFonts w:ascii="Arial" w:hAnsi="Arial" w:cs="Arial"/>
          <w:sz w:val="22"/>
          <w:szCs w:val="22"/>
          <w:lang w:val="en-GB"/>
        </w:rPr>
        <w:t>Option</w:t>
      </w:r>
      <w:r w:rsidRPr="00E4265B">
        <w:rPr>
          <w:rFonts w:ascii="Arial" w:hAnsi="Arial" w:cs="Arial"/>
          <w:sz w:val="22"/>
          <w:szCs w:val="22"/>
          <w:lang w:val="en-GB"/>
        </w:rPr>
        <w:t xml:space="preserve">, in which case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an Option Risk Capital Requirement in accordance with Section 5.8.</w:t>
      </w:r>
    </w:p>
    <w:p w14:paraId="13BFA942" w14:textId="77777777" w:rsidR="00E22FF2" w:rsidRPr="00E4265B" w:rsidRDefault="00E911B6" w:rsidP="00750BBF">
      <w:pPr>
        <w:pStyle w:val="TitleL5"/>
        <w:rPr>
          <w:rFonts w:ascii="Arial" w:hAnsi="Arial" w:cs="Arial"/>
          <w:sz w:val="22"/>
          <w:szCs w:val="22"/>
          <w:lang w:val="en-GB"/>
        </w:rPr>
      </w:pPr>
      <w:r w:rsidRPr="00E4265B">
        <w:rPr>
          <w:rFonts w:ascii="Arial" w:hAnsi="Arial" w:cs="Arial"/>
          <w:sz w:val="22"/>
          <w:szCs w:val="22"/>
          <w:lang w:val="en-GB"/>
        </w:rPr>
        <w:t>Equity F</w:t>
      </w:r>
      <w:r w:rsidR="00E22FF2" w:rsidRPr="00E4265B">
        <w:rPr>
          <w:rFonts w:ascii="Arial" w:hAnsi="Arial" w:cs="Arial"/>
          <w:sz w:val="22"/>
          <w:szCs w:val="22"/>
          <w:lang w:val="en-GB"/>
        </w:rPr>
        <w:t>utures and forwards</w:t>
      </w:r>
    </w:p>
    <w:p w14:paraId="3ACD0465"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.3.13</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911B6" w:rsidRPr="00E4265B">
        <w:rPr>
          <w:rFonts w:ascii="Arial" w:hAnsi="Arial" w:cs="Arial"/>
          <w:sz w:val="22"/>
          <w:szCs w:val="22"/>
          <w:lang w:val="en-GB"/>
        </w:rPr>
        <w:t xml:space="preserve"> must treat a F</w:t>
      </w:r>
      <w:r w:rsidRPr="00E4265B">
        <w:rPr>
          <w:rFonts w:ascii="Arial" w:hAnsi="Arial" w:cs="Arial"/>
          <w:sz w:val="22"/>
          <w:szCs w:val="22"/>
          <w:lang w:val="en-GB"/>
        </w:rPr>
        <w:t>uture or forward on a single equity as a notional position in the underlying equity. In addition, an interest rate leg must be included in the interest rate risk calculation in Section 5.4 as a notional government security.</w:t>
      </w:r>
    </w:p>
    <w:p w14:paraId="662E721A"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.3.14</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911B6" w:rsidRPr="00E4265B">
        <w:rPr>
          <w:rFonts w:ascii="Arial" w:hAnsi="Arial" w:cs="Arial"/>
          <w:sz w:val="22"/>
          <w:szCs w:val="22"/>
          <w:lang w:val="en-GB"/>
        </w:rPr>
        <w:t xml:space="preserve"> must treat a F</w:t>
      </w:r>
      <w:r w:rsidRPr="00E4265B">
        <w:rPr>
          <w:rFonts w:ascii="Arial" w:hAnsi="Arial" w:cs="Arial"/>
          <w:sz w:val="22"/>
          <w:szCs w:val="22"/>
          <w:lang w:val="en-GB"/>
        </w:rPr>
        <w:t>uture or forward on a single country equity index as either:</w:t>
      </w:r>
    </w:p>
    <w:p w14:paraId="1EDC405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notional positions in the constituent equities; or</w:t>
      </w:r>
    </w:p>
    <w:p w14:paraId="029DFF5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 single notional position.</w:t>
      </w:r>
    </w:p>
    <w:p w14:paraId="025A4285"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.3.15</w:t>
      </w:r>
      <w:r w:rsidRPr="00E4265B">
        <w:rPr>
          <w:rFonts w:ascii="Arial" w:hAnsi="Arial" w:cs="Arial"/>
          <w:b/>
          <w:bCs/>
          <w:sz w:val="22"/>
          <w:szCs w:val="22"/>
          <w:lang w:val="en-GB"/>
        </w:rPr>
        <w:tab/>
      </w:r>
      <w:r w:rsidRPr="00E4265B">
        <w:rPr>
          <w:rFonts w:ascii="Arial" w:hAnsi="Arial" w:cs="Arial"/>
          <w:sz w:val="22"/>
          <w:szCs w:val="22"/>
          <w:lang w:val="en-GB"/>
        </w:rPr>
        <w:t>Where Rule A</w:t>
      </w:r>
      <w:r w:rsidR="00632B7F" w:rsidRPr="00E4265B">
        <w:rPr>
          <w:rFonts w:ascii="Arial" w:hAnsi="Arial" w:cs="Arial"/>
          <w:sz w:val="22"/>
          <w:szCs w:val="22"/>
          <w:lang w:val="en-GB"/>
        </w:rPr>
        <w:t>6</w:t>
      </w:r>
      <w:r w:rsidRPr="00E4265B">
        <w:rPr>
          <w:rFonts w:ascii="Arial" w:hAnsi="Arial" w:cs="Arial"/>
          <w:sz w:val="22"/>
          <w:szCs w:val="22"/>
          <w:lang w:val="en-GB"/>
        </w:rPr>
        <w:t xml:space="preserve">.3.14(b) applies,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apply the highest risk percentage to the single notional position that would apply to any one of its constituents.</w:t>
      </w:r>
    </w:p>
    <w:p w14:paraId="5BB6907B" w14:textId="77777777" w:rsidR="00E22FF2" w:rsidRPr="00E4265B" w:rsidRDefault="00632B7F"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.3.16</w:t>
      </w:r>
      <w:r w:rsidR="00E22FF2" w:rsidRPr="00E4265B">
        <w:rPr>
          <w:rFonts w:ascii="Arial" w:hAnsi="Arial" w:cs="Arial"/>
          <w:b/>
          <w:bCs/>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911B6" w:rsidRPr="00E4265B">
        <w:rPr>
          <w:rFonts w:ascii="Arial" w:hAnsi="Arial" w:cs="Arial"/>
          <w:sz w:val="22"/>
          <w:szCs w:val="22"/>
          <w:lang w:val="en-GB"/>
        </w:rPr>
        <w:t xml:space="preserve"> must treat a F</w:t>
      </w:r>
      <w:r w:rsidR="00E22FF2" w:rsidRPr="00E4265B">
        <w:rPr>
          <w:rFonts w:ascii="Arial" w:hAnsi="Arial" w:cs="Arial"/>
          <w:sz w:val="22"/>
          <w:szCs w:val="22"/>
          <w:lang w:val="en-GB"/>
        </w:rPr>
        <w:t>uture or forward on a multiple country equity index as either:</w:t>
      </w:r>
    </w:p>
    <w:p w14:paraId="05D196F3"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notional positions in the constituent equities; or</w:t>
      </w:r>
    </w:p>
    <w:p w14:paraId="5498930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(b)</w:t>
      </w:r>
      <w:r w:rsidRPr="00E4265B">
        <w:rPr>
          <w:rFonts w:ascii="Arial" w:hAnsi="Arial" w:cs="Arial"/>
          <w:sz w:val="22"/>
          <w:szCs w:val="22"/>
          <w:lang w:val="en-GB"/>
        </w:rPr>
        <w:tab/>
        <w:t>a number of notional positions being one for each of the countries which is represented in the index, in the proportion of that country's representation in the index.</w:t>
      </w:r>
    </w:p>
    <w:p w14:paraId="7C4E9BC9"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.3.17</w:t>
      </w:r>
      <w:r w:rsidRPr="00E4265B">
        <w:rPr>
          <w:rFonts w:ascii="Arial" w:hAnsi="Arial" w:cs="Arial"/>
          <w:b/>
          <w:bCs/>
          <w:sz w:val="22"/>
          <w:szCs w:val="22"/>
          <w:lang w:val="en-GB"/>
        </w:rPr>
        <w:tab/>
      </w:r>
      <w:r w:rsidRPr="00E4265B">
        <w:rPr>
          <w:rFonts w:ascii="Arial" w:hAnsi="Arial" w:cs="Arial"/>
          <w:sz w:val="22"/>
          <w:szCs w:val="22"/>
          <w:lang w:val="en-GB"/>
        </w:rPr>
        <w:t>Where Rule A</w:t>
      </w:r>
      <w:r w:rsidR="00632B7F" w:rsidRPr="00E4265B">
        <w:rPr>
          <w:rFonts w:ascii="Arial" w:hAnsi="Arial" w:cs="Arial"/>
          <w:sz w:val="22"/>
          <w:szCs w:val="22"/>
          <w:lang w:val="en-GB"/>
        </w:rPr>
        <w:t>6</w:t>
      </w:r>
      <w:r w:rsidRPr="00E4265B">
        <w:rPr>
          <w:rFonts w:ascii="Arial" w:hAnsi="Arial" w:cs="Arial"/>
          <w:sz w:val="22"/>
          <w:szCs w:val="22"/>
          <w:lang w:val="en-GB"/>
        </w:rPr>
        <w:t xml:space="preserve">.3.16(b) applies,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apply the highest risk percentage to each notional position that would apply to any one of its constituents.</w:t>
      </w:r>
    </w:p>
    <w:p w14:paraId="6EBB5917" w14:textId="77777777" w:rsidR="00E22FF2" w:rsidRPr="00E4265B" w:rsidRDefault="00E22FF2" w:rsidP="00750BBF">
      <w:pPr>
        <w:pStyle w:val="TitleL5"/>
        <w:rPr>
          <w:rFonts w:ascii="Arial" w:hAnsi="Arial" w:cs="Arial"/>
          <w:sz w:val="22"/>
          <w:szCs w:val="22"/>
          <w:lang w:val="en-GB"/>
        </w:rPr>
      </w:pPr>
      <w:r w:rsidRPr="00E4265B">
        <w:rPr>
          <w:rFonts w:ascii="Arial" w:hAnsi="Arial" w:cs="Arial"/>
          <w:sz w:val="22"/>
          <w:szCs w:val="22"/>
          <w:lang w:val="en-GB"/>
        </w:rPr>
        <w:t xml:space="preserve">Equity </w:t>
      </w:r>
      <w:r w:rsidR="00BC49E0" w:rsidRPr="00E4265B">
        <w:rPr>
          <w:rFonts w:ascii="Arial" w:hAnsi="Arial" w:cs="Arial"/>
          <w:sz w:val="22"/>
          <w:szCs w:val="22"/>
          <w:lang w:val="en-GB"/>
        </w:rPr>
        <w:t>Option</w:t>
      </w:r>
      <w:r w:rsidR="00040A6A" w:rsidRPr="00E4265B">
        <w:rPr>
          <w:rFonts w:ascii="Arial" w:hAnsi="Arial" w:cs="Arial"/>
          <w:sz w:val="22"/>
          <w:szCs w:val="22"/>
          <w:lang w:val="en-GB"/>
        </w:rPr>
        <w:t>s and company issued W</w:t>
      </w:r>
      <w:r w:rsidRPr="00E4265B">
        <w:rPr>
          <w:rFonts w:ascii="Arial" w:hAnsi="Arial" w:cs="Arial"/>
          <w:sz w:val="22"/>
          <w:szCs w:val="22"/>
          <w:lang w:val="en-GB"/>
        </w:rPr>
        <w:t>arrants</w:t>
      </w:r>
    </w:p>
    <w:p w14:paraId="2455B6ED" w14:textId="77777777" w:rsidR="00E22FF2" w:rsidRPr="00E4265B" w:rsidRDefault="00632B7F"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.3.18</w:t>
      </w:r>
      <w:r w:rsidR="00E22FF2" w:rsidRPr="00E4265B">
        <w:rPr>
          <w:rFonts w:ascii="Arial" w:hAnsi="Arial" w:cs="Arial"/>
          <w:b/>
          <w:bCs/>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treat an </w:t>
      </w:r>
      <w:r w:rsidR="00BC49E0" w:rsidRPr="00E4265B">
        <w:rPr>
          <w:rFonts w:ascii="Arial" w:hAnsi="Arial" w:cs="Arial"/>
          <w:sz w:val="22"/>
          <w:szCs w:val="22"/>
          <w:lang w:val="en-GB"/>
        </w:rPr>
        <w:t>Option</w:t>
      </w:r>
      <w:r w:rsidR="00040A6A" w:rsidRPr="00E4265B">
        <w:rPr>
          <w:rFonts w:ascii="Arial" w:hAnsi="Arial" w:cs="Arial"/>
          <w:sz w:val="22"/>
          <w:szCs w:val="22"/>
          <w:lang w:val="en-GB"/>
        </w:rPr>
        <w:t xml:space="preserve"> or company issued W</w:t>
      </w:r>
      <w:r w:rsidR="00E22FF2" w:rsidRPr="00E4265B">
        <w:rPr>
          <w:rFonts w:ascii="Arial" w:hAnsi="Arial" w:cs="Arial"/>
          <w:sz w:val="22"/>
          <w:szCs w:val="22"/>
          <w:lang w:val="en-GB"/>
        </w:rPr>
        <w:t>arrant on an equity, basket of equities or equity index that is eligible to be included in the equity method as a notional position in the underlying equity or equities as follows:</w:t>
      </w:r>
    </w:p>
    <w:p w14:paraId="0757676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 purchased call </w:t>
      </w:r>
      <w:r w:rsidR="00BC49E0" w:rsidRPr="00E4265B">
        <w:rPr>
          <w:rFonts w:ascii="Arial" w:hAnsi="Arial" w:cs="Arial"/>
          <w:sz w:val="22"/>
          <w:szCs w:val="22"/>
          <w:lang w:val="en-GB"/>
        </w:rPr>
        <w:t>Option</w:t>
      </w:r>
      <w:r w:rsidRPr="00E4265B">
        <w:rPr>
          <w:rFonts w:ascii="Arial" w:hAnsi="Arial" w:cs="Arial"/>
          <w:sz w:val="22"/>
          <w:szCs w:val="22"/>
          <w:lang w:val="en-GB"/>
        </w:rPr>
        <w:t xml:space="preserve"> and a written put </w:t>
      </w:r>
      <w:r w:rsidR="00BC49E0" w:rsidRPr="00E4265B">
        <w:rPr>
          <w:rFonts w:ascii="Arial" w:hAnsi="Arial" w:cs="Arial"/>
          <w:sz w:val="22"/>
          <w:szCs w:val="22"/>
          <w:lang w:val="en-GB"/>
        </w:rPr>
        <w:t>Option</w:t>
      </w:r>
      <w:r w:rsidRPr="00E4265B">
        <w:rPr>
          <w:rFonts w:ascii="Arial" w:hAnsi="Arial" w:cs="Arial"/>
          <w:sz w:val="22"/>
          <w:szCs w:val="22"/>
          <w:lang w:val="en-GB"/>
        </w:rPr>
        <w:t xml:space="preserve"> must be treated as a long position; and</w:t>
      </w:r>
    </w:p>
    <w:p w14:paraId="3F26DB4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a purchased put </w:t>
      </w:r>
      <w:r w:rsidR="00BC49E0" w:rsidRPr="00E4265B">
        <w:rPr>
          <w:rFonts w:ascii="Arial" w:hAnsi="Arial" w:cs="Arial"/>
          <w:sz w:val="22"/>
          <w:szCs w:val="22"/>
          <w:lang w:val="en-GB"/>
        </w:rPr>
        <w:t>Option</w:t>
      </w:r>
      <w:r w:rsidRPr="00E4265B">
        <w:rPr>
          <w:rFonts w:ascii="Arial" w:hAnsi="Arial" w:cs="Arial"/>
          <w:sz w:val="22"/>
          <w:szCs w:val="22"/>
          <w:lang w:val="en-GB"/>
        </w:rPr>
        <w:t xml:space="preserve"> and a written call </w:t>
      </w:r>
      <w:r w:rsidR="00BC49E0" w:rsidRPr="00E4265B">
        <w:rPr>
          <w:rFonts w:ascii="Arial" w:hAnsi="Arial" w:cs="Arial"/>
          <w:sz w:val="22"/>
          <w:szCs w:val="22"/>
          <w:lang w:val="en-GB"/>
        </w:rPr>
        <w:t>Option</w:t>
      </w:r>
      <w:r w:rsidRPr="00E4265B">
        <w:rPr>
          <w:rFonts w:ascii="Arial" w:hAnsi="Arial" w:cs="Arial"/>
          <w:sz w:val="22"/>
          <w:szCs w:val="22"/>
          <w:lang w:val="en-GB"/>
        </w:rPr>
        <w:t xml:space="preserve"> must be treated as a short position.</w:t>
      </w:r>
    </w:p>
    <w:p w14:paraId="50B7B645" w14:textId="77777777" w:rsidR="00E22FF2" w:rsidRPr="00E4265B" w:rsidRDefault="00E22FF2" w:rsidP="00750BBF">
      <w:pPr>
        <w:pStyle w:val="TitleL5"/>
        <w:rPr>
          <w:rFonts w:ascii="Arial" w:hAnsi="Arial" w:cs="Arial"/>
          <w:sz w:val="22"/>
          <w:szCs w:val="22"/>
          <w:lang w:val="en-GB"/>
        </w:rPr>
      </w:pPr>
      <w:r w:rsidRPr="00E4265B">
        <w:rPr>
          <w:rFonts w:ascii="Arial" w:hAnsi="Arial" w:cs="Arial"/>
          <w:sz w:val="22"/>
          <w:szCs w:val="22"/>
          <w:lang w:val="en-GB"/>
        </w:rPr>
        <w:t>Netting</w:t>
      </w:r>
    </w:p>
    <w:p w14:paraId="32D84FBB" w14:textId="77777777" w:rsidR="00E22FF2" w:rsidRPr="00E4265B" w:rsidRDefault="00E22FF2" w:rsidP="00750BBF">
      <w:pPr>
        <w:pStyle w:val="TitleL5"/>
        <w:rPr>
          <w:rFonts w:ascii="Arial" w:hAnsi="Arial" w:cs="Arial"/>
          <w:sz w:val="22"/>
          <w:szCs w:val="22"/>
          <w:lang w:val="en-GB"/>
        </w:rPr>
      </w:pPr>
      <w:r w:rsidRPr="00E4265B">
        <w:rPr>
          <w:rFonts w:ascii="Arial" w:hAnsi="Arial" w:cs="Arial"/>
          <w:sz w:val="22"/>
          <w:szCs w:val="22"/>
          <w:lang w:val="en-GB"/>
        </w:rPr>
        <w:t>Guidance</w:t>
      </w:r>
    </w:p>
    <w:p w14:paraId="2F778A8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Before calculating the Equity Risk Capital Requirement, positions may be netted in order to produce the individual net position.</w:t>
      </w:r>
    </w:p>
    <w:p w14:paraId="180A55D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Since the Netting of positions for Equity Risk Capital Requirement purposes does not involve legal or contractual issues, this material appears here rather than in the Netting Section of the Credit Risk Chapter.</w:t>
      </w:r>
    </w:p>
    <w:p w14:paraId="5F8B785C" w14:textId="77777777" w:rsidR="00E22FF2" w:rsidRPr="00E4265B" w:rsidRDefault="00632B7F" w:rsidP="00750BBF">
      <w:pPr>
        <w:pStyle w:val="List2TabStops"/>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.3.19</w:t>
      </w:r>
      <w:r w:rsidR="00E22FF2" w:rsidRPr="00E4265B">
        <w:rPr>
          <w:rFonts w:ascii="Arial" w:hAnsi="Arial" w:cs="Arial"/>
          <w:b/>
          <w:bCs/>
          <w:sz w:val="22"/>
          <w:szCs w:val="22"/>
          <w:lang w:val="en-GB"/>
        </w:rPr>
        <w:tab/>
      </w:r>
      <w:r w:rsidR="00E22FF2" w:rsidRPr="00E4265B">
        <w:rPr>
          <w:rFonts w:ascii="Arial" w:hAnsi="Arial" w:cs="Arial"/>
          <w:sz w:val="22"/>
          <w:szCs w:val="22"/>
          <w:lang w:val="en-GB"/>
        </w:rPr>
        <w:t>(1)</w:t>
      </w:r>
      <w:r w:rsidR="00E22FF2"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may only net equity positions when:</w:t>
      </w:r>
    </w:p>
    <w:p w14:paraId="0495532B" w14:textId="77777777" w:rsidR="00E22FF2" w:rsidRPr="00E4265B" w:rsidRDefault="00E22FF2" w:rsidP="00750BBF">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long and short (including notional) positions are in the same tranche of the same equity; and</w:t>
      </w:r>
    </w:p>
    <w:p w14:paraId="6FA441C1" w14:textId="77777777" w:rsidR="00E22FF2" w:rsidRPr="00E4265B" w:rsidRDefault="00E22FF2" w:rsidP="00750BBF">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long and short (including notional) positions are in different tranches of the same equity where the tranches enjoy the same rights in all respects and become fungible within 180 days, and thereafter the equity of one tranche can be delivered in settlement of the equity of the other tranche.</w:t>
      </w:r>
    </w:p>
    <w:p w14:paraId="0B7B7E9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For the purposes of (1)(a), an equity is the same as another, only if they enjoy the same rights in all respects and are fungible with each other.</w:t>
      </w:r>
    </w:p>
    <w:p w14:paraId="1BB4AC98" w14:textId="77777777" w:rsidR="00E22FF2" w:rsidRPr="00E4265B" w:rsidRDefault="00E22FF2" w:rsidP="00750BBF">
      <w:pPr>
        <w:pStyle w:val="TitleL5"/>
        <w:rPr>
          <w:rFonts w:ascii="Arial" w:hAnsi="Arial" w:cs="Arial"/>
          <w:sz w:val="22"/>
          <w:szCs w:val="22"/>
          <w:lang w:val="en-GB"/>
        </w:rPr>
      </w:pPr>
      <w:r w:rsidRPr="00E4265B">
        <w:rPr>
          <w:rFonts w:ascii="Arial" w:hAnsi="Arial" w:cs="Arial"/>
          <w:sz w:val="22"/>
          <w:szCs w:val="22"/>
          <w:lang w:val="en-GB"/>
        </w:rPr>
        <w:t>Calculation of the Equity Risk Capital Requirement</w:t>
      </w:r>
    </w:p>
    <w:p w14:paraId="7D4E041A" w14:textId="77777777" w:rsidR="00E22FF2" w:rsidRPr="00E4265B" w:rsidRDefault="00E22FF2" w:rsidP="00750BBF">
      <w:pPr>
        <w:pStyle w:val="TitleL5"/>
        <w:rPr>
          <w:rFonts w:ascii="Arial" w:hAnsi="Arial" w:cs="Arial"/>
          <w:sz w:val="22"/>
          <w:szCs w:val="22"/>
          <w:lang w:val="en-GB"/>
        </w:rPr>
      </w:pPr>
      <w:r w:rsidRPr="00E4265B">
        <w:rPr>
          <w:rFonts w:ascii="Arial" w:hAnsi="Arial" w:cs="Arial"/>
          <w:sz w:val="22"/>
          <w:szCs w:val="22"/>
          <w:lang w:val="en-GB"/>
        </w:rPr>
        <w:t>Guidance</w:t>
      </w:r>
    </w:p>
    <w:p w14:paraId="35006530" w14:textId="3CFD7AD8" w:rsidR="00E22FF2" w:rsidRPr="00E4265B" w:rsidRDefault="00E22FF2" w:rsidP="00844ADC">
      <w:pPr>
        <w:pStyle w:val="UK12Block05"/>
        <w:rPr>
          <w:rFonts w:ascii="Arial" w:hAnsi="Arial" w:cs="Arial"/>
          <w:sz w:val="22"/>
          <w:szCs w:val="22"/>
          <w:lang w:val="en-GB"/>
        </w:rPr>
      </w:pPr>
      <w:r w:rsidRPr="00E4265B">
        <w:rPr>
          <w:rFonts w:ascii="Arial" w:hAnsi="Arial" w:cs="Arial"/>
          <w:sz w:val="22"/>
          <w:szCs w:val="22"/>
          <w:lang w:val="en-GB"/>
        </w:rPr>
        <w:t xml:space="preserve">There are two methods for calculating the Equity Risk Capital Requirement: the standard method and the simplified method. The standard method requires two separate calculations. The first is Specific Risk and the second is General Market Risk. The simplified method is easier to calculate but usually results in a higher Capital Requirement than the standard method. In addition, </w:t>
      </w:r>
      <w:r w:rsidR="000D1A90" w:rsidRPr="00E4265B">
        <w:rPr>
          <w:rFonts w:ascii="Arial" w:hAnsi="Arial" w:cs="Arial"/>
          <w:sz w:val="22"/>
          <w:szCs w:val="22"/>
          <w:lang w:val="en-GB"/>
        </w:rPr>
        <w:t xml:space="preserve">Authorised </w:t>
      </w:r>
      <w:r w:rsidR="000D1A90" w:rsidRPr="00E4265B">
        <w:rPr>
          <w:rFonts w:ascii="Arial" w:hAnsi="Arial" w:cs="Arial"/>
          <w:sz w:val="22"/>
          <w:szCs w:val="22"/>
          <w:lang w:val="en-GB"/>
        </w:rPr>
        <w:lastRenderedPageBreak/>
        <w:t>Person</w:t>
      </w:r>
      <w:r w:rsidRPr="00E4265B">
        <w:rPr>
          <w:rFonts w:ascii="Arial" w:hAnsi="Arial" w:cs="Arial"/>
          <w:sz w:val="22"/>
          <w:szCs w:val="22"/>
          <w:lang w:val="en-GB"/>
        </w:rPr>
        <w:t xml:space="preserve">s </w:t>
      </w:r>
      <w:r w:rsidR="00844ADC" w:rsidRPr="00E4265B">
        <w:rPr>
          <w:rFonts w:ascii="Arial" w:hAnsi="Arial" w:cs="Arial"/>
          <w:sz w:val="22"/>
          <w:szCs w:val="22"/>
          <w:lang w:val="en-GB"/>
        </w:rPr>
        <w:t>must</w:t>
      </w:r>
      <w:r w:rsidRPr="00E4265B">
        <w:rPr>
          <w:rFonts w:ascii="Arial" w:hAnsi="Arial" w:cs="Arial"/>
          <w:sz w:val="22"/>
          <w:szCs w:val="22"/>
          <w:lang w:val="en-GB"/>
        </w:rPr>
        <w:t xml:space="preserve"> calculate an Interest Rate Risk Capita</w:t>
      </w:r>
      <w:r w:rsidR="00E911B6" w:rsidRPr="00E4265B">
        <w:rPr>
          <w:rFonts w:ascii="Arial" w:hAnsi="Arial" w:cs="Arial"/>
          <w:sz w:val="22"/>
          <w:szCs w:val="22"/>
          <w:lang w:val="en-GB"/>
        </w:rPr>
        <w:t>l Requirement for a forward, a F</w:t>
      </w:r>
      <w:r w:rsidRPr="00E4265B">
        <w:rPr>
          <w:rFonts w:ascii="Arial" w:hAnsi="Arial" w:cs="Arial"/>
          <w:sz w:val="22"/>
          <w:szCs w:val="22"/>
          <w:lang w:val="en-GB"/>
        </w:rPr>
        <w:t xml:space="preserve">uture, an </w:t>
      </w:r>
      <w:r w:rsidR="00BC49E0" w:rsidRPr="00E4265B">
        <w:rPr>
          <w:rFonts w:ascii="Arial" w:hAnsi="Arial" w:cs="Arial"/>
          <w:sz w:val="22"/>
          <w:szCs w:val="22"/>
          <w:lang w:val="en-GB"/>
        </w:rPr>
        <w:t>Option</w:t>
      </w:r>
      <w:r w:rsidR="00040A6A" w:rsidRPr="00E4265B">
        <w:rPr>
          <w:rFonts w:ascii="Arial" w:hAnsi="Arial" w:cs="Arial"/>
          <w:sz w:val="22"/>
          <w:szCs w:val="22"/>
          <w:lang w:val="en-GB"/>
        </w:rPr>
        <w:t xml:space="preserve"> or a company issued W</w:t>
      </w:r>
      <w:r w:rsidRPr="00E4265B">
        <w:rPr>
          <w:rFonts w:ascii="Arial" w:hAnsi="Arial" w:cs="Arial"/>
          <w:sz w:val="22"/>
          <w:szCs w:val="22"/>
          <w:lang w:val="en-GB"/>
        </w:rPr>
        <w:t>arrant.</w:t>
      </w:r>
    </w:p>
    <w:p w14:paraId="6B36B322" w14:textId="77777777" w:rsidR="00E22FF2" w:rsidRPr="00E4265B" w:rsidRDefault="00632B7F" w:rsidP="008116CE">
      <w:pPr>
        <w:pStyle w:val="List2TabStops"/>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.3.20</w:t>
      </w:r>
      <w:r w:rsidR="00E22FF2" w:rsidRPr="00E4265B">
        <w:rPr>
          <w:rFonts w:ascii="Arial" w:hAnsi="Arial" w:cs="Arial"/>
          <w:b/>
          <w:bCs/>
          <w:sz w:val="22"/>
          <w:szCs w:val="22"/>
          <w:lang w:val="en-GB"/>
        </w:rPr>
        <w:tab/>
      </w:r>
      <w:r w:rsidR="00E22FF2" w:rsidRPr="00E4265B">
        <w:rPr>
          <w:rFonts w:ascii="Arial" w:hAnsi="Arial" w:cs="Arial"/>
          <w:sz w:val="22"/>
          <w:szCs w:val="22"/>
          <w:lang w:val="en-GB"/>
        </w:rPr>
        <w:t>(1)</w:t>
      </w:r>
      <w:r w:rsidR="00E22FF2"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allocate an equity position or notional position to the country in which the equity is listed.</w:t>
      </w:r>
    </w:p>
    <w:p w14:paraId="2C83113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An equity listed in more than one country must be allocated to one of the countries in which it is listed.</w:t>
      </w:r>
    </w:p>
    <w:p w14:paraId="3B3954F6" w14:textId="77777777" w:rsidR="00E22FF2" w:rsidRPr="00E4265B" w:rsidRDefault="00632B7F"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.3.21</w:t>
      </w:r>
      <w:r w:rsidR="00E22FF2" w:rsidRPr="00E4265B">
        <w:rPr>
          <w:rFonts w:ascii="Arial" w:hAnsi="Arial" w:cs="Arial"/>
          <w:b/>
          <w:bCs/>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allocate an unlisted equity to the country in which it is issued.</w:t>
      </w:r>
    </w:p>
    <w:p w14:paraId="217D2840" w14:textId="77777777" w:rsidR="00E22FF2" w:rsidRPr="00E4265B" w:rsidRDefault="00E22FF2" w:rsidP="008116CE">
      <w:pPr>
        <w:pStyle w:val="TitleL5"/>
        <w:rPr>
          <w:rFonts w:ascii="Arial" w:hAnsi="Arial" w:cs="Arial"/>
          <w:sz w:val="22"/>
          <w:szCs w:val="22"/>
          <w:lang w:val="en-GB"/>
        </w:rPr>
      </w:pPr>
      <w:r w:rsidRPr="00E4265B">
        <w:rPr>
          <w:rFonts w:ascii="Arial" w:hAnsi="Arial" w:cs="Arial"/>
          <w:sz w:val="22"/>
          <w:szCs w:val="22"/>
          <w:lang w:val="en-GB"/>
        </w:rPr>
        <w:t>The concentration test</w:t>
      </w:r>
    </w:p>
    <w:p w14:paraId="597DF2A5" w14:textId="77777777" w:rsidR="00E22FF2" w:rsidRPr="00E4265B" w:rsidRDefault="00632B7F"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.3.22</w:t>
      </w:r>
      <w:r w:rsidR="00E22FF2" w:rsidRPr="00E4265B">
        <w:rPr>
          <w:rFonts w:ascii="Arial" w:hAnsi="Arial" w:cs="Arial"/>
          <w:b/>
          <w:bCs/>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apply either the standard method or simplified method to an equity position, except that where an individual net position exceeds 20% of the sum of the long and short positions (ignoring the sign) of its country portfolio, the simplified method must be applied to the excess.</w:t>
      </w:r>
    </w:p>
    <w:p w14:paraId="4FD28426" w14:textId="77777777" w:rsidR="00E22FF2" w:rsidRPr="00E4265B" w:rsidRDefault="00E22FF2" w:rsidP="008116CE">
      <w:pPr>
        <w:pStyle w:val="TitleL5"/>
        <w:rPr>
          <w:rFonts w:ascii="Arial" w:hAnsi="Arial" w:cs="Arial"/>
          <w:sz w:val="22"/>
          <w:szCs w:val="22"/>
          <w:lang w:val="en-GB"/>
        </w:rPr>
      </w:pPr>
      <w:r w:rsidRPr="00E4265B">
        <w:rPr>
          <w:rFonts w:ascii="Arial" w:hAnsi="Arial" w:cs="Arial"/>
          <w:sz w:val="22"/>
          <w:szCs w:val="22"/>
          <w:lang w:val="en-GB"/>
        </w:rPr>
        <w:t>Guidance</w:t>
      </w:r>
    </w:p>
    <w:p w14:paraId="5A248856" w14:textId="77777777" w:rsidR="00E22FF2" w:rsidRPr="00E4265B" w:rsidRDefault="00E22FF2" w:rsidP="006752D9">
      <w:pPr>
        <w:pStyle w:val="UK12Block05"/>
        <w:rPr>
          <w:rFonts w:ascii="Arial" w:hAnsi="Arial" w:cs="Arial"/>
          <w:sz w:val="22"/>
          <w:szCs w:val="22"/>
          <w:lang w:val="en-GB"/>
        </w:rPr>
      </w:pPr>
      <w:r w:rsidRPr="00E4265B">
        <w:rPr>
          <w:rFonts w:ascii="Arial" w:hAnsi="Arial" w:cs="Arial"/>
          <w:sz w:val="22"/>
          <w:szCs w:val="22"/>
          <w:lang w:val="en-GB"/>
        </w:rPr>
        <w:t>The part of the individual net position that does not exceed 20% may be treated under the simplified or standard method.</w:t>
      </w:r>
    </w:p>
    <w:p w14:paraId="468F1F9D" w14:textId="77777777" w:rsidR="00E22FF2" w:rsidRPr="00E4265B" w:rsidRDefault="00E22FF2" w:rsidP="008116CE">
      <w:pPr>
        <w:pStyle w:val="TitleL5"/>
        <w:rPr>
          <w:rFonts w:ascii="Arial" w:hAnsi="Arial" w:cs="Arial"/>
          <w:sz w:val="22"/>
          <w:szCs w:val="22"/>
          <w:lang w:val="en-GB"/>
        </w:rPr>
      </w:pPr>
      <w:r w:rsidRPr="00E4265B">
        <w:rPr>
          <w:rFonts w:ascii="Arial" w:hAnsi="Arial" w:cs="Arial"/>
          <w:sz w:val="22"/>
          <w:szCs w:val="22"/>
          <w:lang w:val="en-GB"/>
        </w:rPr>
        <w:t>Standard method</w:t>
      </w:r>
    </w:p>
    <w:p w14:paraId="7BBC91BD" w14:textId="77777777" w:rsidR="00E22FF2" w:rsidRPr="00E4265B" w:rsidRDefault="00632B7F"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.3.23</w:t>
      </w:r>
      <w:r w:rsidR="00E22FF2" w:rsidRPr="00E4265B">
        <w:rPr>
          <w:rFonts w:ascii="Arial" w:hAnsi="Arial" w:cs="Arial"/>
          <w:b/>
          <w:bCs/>
          <w:sz w:val="22"/>
          <w:szCs w:val="22"/>
          <w:lang w:val="en-GB"/>
        </w:rPr>
        <w:tab/>
      </w:r>
      <w:r w:rsidR="00E22FF2" w:rsidRPr="00E4265B">
        <w:rPr>
          <w:rFonts w:ascii="Arial" w:hAnsi="Arial" w:cs="Arial"/>
          <w:sz w:val="22"/>
          <w:szCs w:val="22"/>
          <w:lang w:val="en-GB"/>
        </w:rPr>
        <w:t>Under the standard method, the total Equity Risk Capital Requirement is the sum of the Specific Risk requirements for all individual net equity positions and the General Market Risk requirements calculated separately for each country.</w:t>
      </w:r>
    </w:p>
    <w:p w14:paraId="0C2FF959" w14:textId="77777777" w:rsidR="00E22FF2" w:rsidRPr="00E4265B" w:rsidRDefault="00B62CE8" w:rsidP="008116CE">
      <w:pPr>
        <w:pStyle w:val="TitleL5"/>
        <w:rPr>
          <w:rFonts w:ascii="Arial" w:hAnsi="Arial" w:cs="Arial"/>
          <w:sz w:val="22"/>
          <w:szCs w:val="22"/>
          <w:lang w:val="en-GB"/>
        </w:rPr>
      </w:pPr>
      <w:r w:rsidRPr="00E4265B">
        <w:rPr>
          <w:rFonts w:ascii="Arial" w:hAnsi="Arial" w:cs="Arial"/>
          <w:sz w:val="22"/>
          <w:szCs w:val="22"/>
          <w:lang w:val="en-GB"/>
        </w:rPr>
        <w:t>Specific R</w:t>
      </w:r>
      <w:r w:rsidR="00E22FF2" w:rsidRPr="00E4265B">
        <w:rPr>
          <w:rFonts w:ascii="Arial" w:hAnsi="Arial" w:cs="Arial"/>
          <w:sz w:val="22"/>
          <w:szCs w:val="22"/>
          <w:lang w:val="en-GB"/>
        </w:rPr>
        <w:t>isk</w:t>
      </w:r>
    </w:p>
    <w:p w14:paraId="277D7E36"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.3.24</w:t>
      </w:r>
      <w:r w:rsidRPr="00E4265B">
        <w:rPr>
          <w:rFonts w:ascii="Arial" w:hAnsi="Arial" w:cs="Arial"/>
          <w:b/>
          <w:bCs/>
          <w:sz w:val="22"/>
          <w:szCs w:val="22"/>
          <w:lang w:val="en-GB"/>
        </w:rPr>
        <w:tab/>
      </w:r>
      <w:r w:rsidRPr="00E4265B">
        <w:rPr>
          <w:rFonts w:ascii="Arial" w:hAnsi="Arial" w:cs="Arial"/>
          <w:sz w:val="22"/>
          <w:szCs w:val="22"/>
          <w:lang w:val="en-GB"/>
        </w:rPr>
        <w:t>Specific Risk must be calculated for each net position in an individual equity.</w:t>
      </w:r>
    </w:p>
    <w:p w14:paraId="145F9DE9"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.3.25</w:t>
      </w:r>
      <w:r w:rsidRPr="00E4265B">
        <w:rPr>
          <w:rFonts w:ascii="Arial" w:hAnsi="Arial" w:cs="Arial"/>
          <w:b/>
          <w:bCs/>
          <w:sz w:val="22"/>
          <w:szCs w:val="22"/>
          <w:lang w:val="en-GB"/>
        </w:rPr>
        <w:tab/>
      </w:r>
      <w:r w:rsidRPr="00E4265B">
        <w:rPr>
          <w:rFonts w:ascii="Arial" w:hAnsi="Arial" w:cs="Arial"/>
          <w:sz w:val="22"/>
          <w:szCs w:val="22"/>
          <w:lang w:val="en-GB"/>
        </w:rPr>
        <w:t>The Specific Risk of each individual net equity position is its market value (ignoring the sign) multiplied by 8%.</w:t>
      </w:r>
    </w:p>
    <w:p w14:paraId="3339A147"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.3.26</w:t>
      </w:r>
      <w:r w:rsidRPr="00E4265B">
        <w:rPr>
          <w:rFonts w:ascii="Arial" w:hAnsi="Arial" w:cs="Arial"/>
          <w:b/>
          <w:bCs/>
          <w:sz w:val="22"/>
          <w:szCs w:val="22"/>
          <w:lang w:val="en-GB"/>
        </w:rPr>
        <w:tab/>
      </w:r>
      <w:r w:rsidRPr="00E4265B">
        <w:rPr>
          <w:rFonts w:ascii="Arial" w:hAnsi="Arial" w:cs="Arial"/>
          <w:sz w:val="22"/>
          <w:szCs w:val="22"/>
          <w:lang w:val="en-GB"/>
        </w:rPr>
        <w:t>[Reserved]</w:t>
      </w:r>
    </w:p>
    <w:p w14:paraId="44ECEC05"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.3.27</w:t>
      </w:r>
      <w:r w:rsidRPr="00E4265B">
        <w:rPr>
          <w:rFonts w:ascii="Arial" w:hAnsi="Arial" w:cs="Arial"/>
          <w:b/>
          <w:bCs/>
          <w:sz w:val="22"/>
          <w:szCs w:val="22"/>
          <w:lang w:val="en-GB"/>
        </w:rPr>
        <w:tab/>
      </w:r>
      <w:r w:rsidRPr="00E4265B">
        <w:rPr>
          <w:rFonts w:ascii="Arial" w:hAnsi="Arial" w:cs="Arial"/>
          <w:sz w:val="22"/>
          <w:szCs w:val="22"/>
          <w:lang w:val="en-GB"/>
        </w:rPr>
        <w:t>[Reserved]</w:t>
      </w:r>
    </w:p>
    <w:p w14:paraId="502763BE"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.3.28</w:t>
      </w:r>
      <w:r w:rsidRPr="00E4265B">
        <w:rPr>
          <w:rFonts w:ascii="Arial" w:hAnsi="Arial" w:cs="Arial"/>
          <w:b/>
          <w:bCs/>
          <w:sz w:val="22"/>
          <w:szCs w:val="22"/>
          <w:lang w:val="en-GB"/>
        </w:rPr>
        <w:tab/>
      </w:r>
      <w:r w:rsidRPr="00E4265B">
        <w:rPr>
          <w:rFonts w:ascii="Arial" w:hAnsi="Arial" w:cs="Arial"/>
          <w:sz w:val="22"/>
          <w:szCs w:val="22"/>
          <w:lang w:val="en-GB"/>
        </w:rPr>
        <w:t>[Reserved]</w:t>
      </w:r>
    </w:p>
    <w:p w14:paraId="122A4765"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.3.29</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General Market Risk on a country</w:t>
      </w:r>
      <w:r w:rsidRPr="00E4265B">
        <w:rPr>
          <w:rFonts w:ascii="Arial" w:hAnsi="Arial" w:cs="Arial"/>
          <w:sz w:val="22"/>
          <w:szCs w:val="22"/>
          <w:lang w:val="en-GB"/>
        </w:rPr>
        <w:noBreakHyphen/>
        <w:t>by</w:t>
      </w:r>
      <w:r w:rsidRPr="00E4265B">
        <w:rPr>
          <w:rFonts w:ascii="Arial" w:hAnsi="Arial" w:cs="Arial"/>
          <w:sz w:val="22"/>
          <w:szCs w:val="22"/>
          <w:lang w:val="en-GB"/>
        </w:rPr>
        <w:noBreakHyphen/>
        <w:t>country basis.</w:t>
      </w:r>
    </w:p>
    <w:p w14:paraId="7B019939"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.3.30</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the General Market Risk for each country in the following way:</w:t>
      </w:r>
    </w:p>
    <w:p w14:paraId="07600E0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all individual net positions are multiplied by 8%;</w:t>
      </w:r>
    </w:p>
    <w:p w14:paraId="0B05FE3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long and short positions in each country portfolio are netted; and </w:t>
      </w:r>
    </w:p>
    <w:p w14:paraId="7FF6C3F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if the net equity position is negative, the sign must be reversed.</w:t>
      </w:r>
    </w:p>
    <w:p w14:paraId="38C802B1" w14:textId="77777777" w:rsidR="00E22FF2" w:rsidRPr="00E4265B" w:rsidRDefault="00E22FF2" w:rsidP="005720BF">
      <w:pPr>
        <w:pStyle w:val="TitleL5"/>
        <w:rPr>
          <w:rFonts w:ascii="Arial" w:hAnsi="Arial" w:cs="Arial"/>
          <w:sz w:val="22"/>
          <w:szCs w:val="22"/>
          <w:lang w:val="en-GB"/>
        </w:rPr>
      </w:pPr>
      <w:r w:rsidRPr="00E4265B">
        <w:rPr>
          <w:rFonts w:ascii="Arial" w:hAnsi="Arial" w:cs="Arial"/>
          <w:sz w:val="22"/>
          <w:szCs w:val="22"/>
          <w:lang w:val="en-GB"/>
        </w:rPr>
        <w:lastRenderedPageBreak/>
        <w:t>Simplified method</w:t>
      </w:r>
    </w:p>
    <w:p w14:paraId="6C1C09CE" w14:textId="1FF77975" w:rsidR="003F567B"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.3.31</w:t>
      </w:r>
      <w:r w:rsidRPr="00E4265B">
        <w:rPr>
          <w:rFonts w:ascii="Arial" w:hAnsi="Arial" w:cs="Arial"/>
          <w:b/>
          <w:bCs/>
          <w:sz w:val="22"/>
          <w:szCs w:val="22"/>
          <w:lang w:val="en-GB"/>
        </w:rPr>
        <w:tab/>
      </w:r>
      <w:r w:rsidRPr="00E4265B">
        <w:rPr>
          <w:rFonts w:ascii="Arial" w:hAnsi="Arial" w:cs="Arial"/>
          <w:sz w:val="22"/>
          <w:szCs w:val="22"/>
          <w:lang w:val="en-GB"/>
        </w:rPr>
        <w:t>The Equity Risk Capital Requirement for each country is the sum of the market value of all individual net positions (ignoring the sign) multiplied by the appropriate risk percentage in the table below:</w:t>
      </w:r>
    </w:p>
    <w:tbl>
      <w:tblPr>
        <w:tblStyle w:val="TableGrid"/>
        <w:tblW w:w="0" w:type="auto"/>
        <w:tblInd w:w="1098" w:type="dxa"/>
        <w:tblLook w:val="04A0" w:firstRow="1" w:lastRow="0" w:firstColumn="1" w:lastColumn="0" w:noHBand="0" w:noVBand="1"/>
      </w:tblPr>
      <w:tblGrid>
        <w:gridCol w:w="4542"/>
        <w:gridCol w:w="3377"/>
      </w:tblGrid>
      <w:tr w:rsidR="00E22FF2" w:rsidRPr="00E4265B" w14:paraId="53D59219" w14:textId="77777777" w:rsidTr="00351330">
        <w:tc>
          <w:tcPr>
            <w:tcW w:w="4542" w:type="dxa"/>
            <w:shd w:val="clear" w:color="auto" w:fill="D9D9D9" w:themeFill="background1" w:themeFillShade="D9"/>
          </w:tcPr>
          <w:p w14:paraId="0AB104F2" w14:textId="0D36EDF3" w:rsidR="00E22FF2" w:rsidRPr="00E4265B" w:rsidRDefault="00324D13" w:rsidP="00324D13">
            <w:pPr>
              <w:rPr>
                <w:rFonts w:ascii="Arial" w:hAnsi="Arial" w:cs="Arial"/>
                <w:b/>
                <w:bCs/>
                <w:sz w:val="22"/>
                <w:szCs w:val="22"/>
                <w:lang w:val="en-GB"/>
              </w:rPr>
            </w:pPr>
            <w:r w:rsidRPr="00E4265B">
              <w:rPr>
                <w:rFonts w:ascii="Arial" w:hAnsi="Arial" w:cs="Arial"/>
                <w:b/>
                <w:bCs/>
                <w:sz w:val="22"/>
                <w:szCs w:val="22"/>
                <w:lang w:val="en-GB"/>
              </w:rPr>
              <w:t>Position</w:t>
            </w:r>
          </w:p>
        </w:tc>
        <w:tc>
          <w:tcPr>
            <w:tcW w:w="3377" w:type="dxa"/>
            <w:shd w:val="clear" w:color="auto" w:fill="D9D9D9" w:themeFill="background1" w:themeFillShade="D9"/>
          </w:tcPr>
          <w:p w14:paraId="44177AFA" w14:textId="77777777" w:rsidR="00E22FF2" w:rsidRPr="00E4265B" w:rsidRDefault="00E22FF2" w:rsidP="008116CE">
            <w:pPr>
              <w:jc w:val="center"/>
              <w:rPr>
                <w:rFonts w:ascii="Arial" w:hAnsi="Arial" w:cs="Arial"/>
                <w:b/>
                <w:sz w:val="22"/>
                <w:szCs w:val="22"/>
                <w:lang w:val="en-GB"/>
              </w:rPr>
            </w:pPr>
            <w:r w:rsidRPr="00E4265B">
              <w:rPr>
                <w:rFonts w:ascii="Arial" w:hAnsi="Arial" w:cs="Arial"/>
                <w:b/>
                <w:sz w:val="22"/>
                <w:szCs w:val="22"/>
                <w:lang w:val="en-GB"/>
              </w:rPr>
              <w:t>Percentage risk</w:t>
            </w:r>
          </w:p>
        </w:tc>
      </w:tr>
      <w:tr w:rsidR="00E22FF2" w:rsidRPr="00E4265B" w14:paraId="04D73418" w14:textId="77777777" w:rsidTr="00351330">
        <w:tc>
          <w:tcPr>
            <w:tcW w:w="4542" w:type="dxa"/>
          </w:tcPr>
          <w:p w14:paraId="4352BBA6" w14:textId="77777777" w:rsidR="00E22FF2" w:rsidRPr="00E4265B" w:rsidRDefault="00E22FF2" w:rsidP="008116CE">
            <w:pPr>
              <w:rPr>
                <w:rFonts w:ascii="Arial" w:hAnsi="Arial" w:cs="Arial"/>
                <w:sz w:val="22"/>
                <w:szCs w:val="22"/>
                <w:lang w:val="en-GB"/>
              </w:rPr>
            </w:pPr>
            <w:r w:rsidRPr="00E4265B">
              <w:rPr>
                <w:rFonts w:ascii="Arial" w:hAnsi="Arial" w:cs="Arial"/>
                <w:sz w:val="22"/>
                <w:szCs w:val="22"/>
                <w:lang w:val="en-GB"/>
              </w:rPr>
              <w:t>Single equities</w:t>
            </w:r>
          </w:p>
        </w:tc>
        <w:tc>
          <w:tcPr>
            <w:tcW w:w="3377" w:type="dxa"/>
          </w:tcPr>
          <w:p w14:paraId="57F59EBA" w14:textId="77777777" w:rsidR="00E22FF2" w:rsidRPr="00E4265B" w:rsidRDefault="00E22FF2" w:rsidP="00844ADC">
            <w:pPr>
              <w:jc w:val="center"/>
              <w:rPr>
                <w:rFonts w:ascii="Arial" w:hAnsi="Arial" w:cs="Arial"/>
                <w:sz w:val="22"/>
                <w:szCs w:val="22"/>
                <w:lang w:val="en-GB"/>
              </w:rPr>
            </w:pPr>
            <w:r w:rsidRPr="00E4265B">
              <w:rPr>
                <w:rFonts w:ascii="Arial" w:hAnsi="Arial" w:cs="Arial"/>
                <w:sz w:val="22"/>
                <w:szCs w:val="22"/>
                <w:lang w:val="en-GB"/>
              </w:rPr>
              <w:t>16%</w:t>
            </w:r>
          </w:p>
        </w:tc>
      </w:tr>
      <w:tr w:rsidR="00E22FF2" w:rsidRPr="00E4265B" w14:paraId="5CBC589D" w14:textId="77777777" w:rsidTr="00351330">
        <w:tc>
          <w:tcPr>
            <w:tcW w:w="4542" w:type="dxa"/>
          </w:tcPr>
          <w:p w14:paraId="4EF62D1F" w14:textId="77777777" w:rsidR="00E22FF2" w:rsidRPr="00E4265B" w:rsidRDefault="00E22FF2" w:rsidP="008116CE">
            <w:pPr>
              <w:rPr>
                <w:rFonts w:ascii="Arial" w:hAnsi="Arial" w:cs="Arial"/>
                <w:sz w:val="22"/>
                <w:szCs w:val="22"/>
                <w:lang w:val="en-GB"/>
              </w:rPr>
            </w:pPr>
            <w:r w:rsidRPr="00E4265B">
              <w:rPr>
                <w:rFonts w:ascii="Arial" w:hAnsi="Arial" w:cs="Arial"/>
                <w:sz w:val="22"/>
                <w:szCs w:val="22"/>
                <w:lang w:val="en-GB"/>
              </w:rPr>
              <w:t>Broad</w:t>
            </w:r>
            <w:r w:rsidRPr="00E4265B">
              <w:rPr>
                <w:rFonts w:ascii="Arial" w:hAnsi="Arial" w:cs="Arial"/>
                <w:sz w:val="22"/>
                <w:szCs w:val="22"/>
                <w:lang w:val="en-GB"/>
              </w:rPr>
              <w:noBreakHyphen/>
              <w:t>based indices (not broken down into constituent equities)</w:t>
            </w:r>
          </w:p>
        </w:tc>
        <w:tc>
          <w:tcPr>
            <w:tcW w:w="3377" w:type="dxa"/>
          </w:tcPr>
          <w:p w14:paraId="552DE523" w14:textId="77777777" w:rsidR="00E22FF2" w:rsidRPr="00E4265B" w:rsidRDefault="00E22FF2" w:rsidP="00844ADC">
            <w:pPr>
              <w:jc w:val="center"/>
              <w:rPr>
                <w:rFonts w:ascii="Arial" w:hAnsi="Arial" w:cs="Arial"/>
                <w:sz w:val="22"/>
                <w:szCs w:val="22"/>
                <w:lang w:val="en-GB"/>
              </w:rPr>
            </w:pPr>
            <w:r w:rsidRPr="00E4265B">
              <w:rPr>
                <w:rFonts w:ascii="Arial" w:hAnsi="Arial" w:cs="Arial"/>
                <w:sz w:val="22"/>
                <w:szCs w:val="22"/>
                <w:lang w:val="en-GB"/>
              </w:rPr>
              <w:t>8%</w:t>
            </w:r>
          </w:p>
        </w:tc>
      </w:tr>
      <w:tr w:rsidR="00E22FF2" w:rsidRPr="00E4265B" w14:paraId="1E469422" w14:textId="77777777" w:rsidTr="00351330">
        <w:tc>
          <w:tcPr>
            <w:tcW w:w="4542" w:type="dxa"/>
          </w:tcPr>
          <w:p w14:paraId="40A06443" w14:textId="77777777" w:rsidR="00E22FF2" w:rsidRPr="00E4265B" w:rsidRDefault="00E22FF2" w:rsidP="008116CE">
            <w:pPr>
              <w:rPr>
                <w:rFonts w:ascii="Arial" w:hAnsi="Arial" w:cs="Arial"/>
                <w:sz w:val="22"/>
                <w:szCs w:val="22"/>
                <w:lang w:val="en-GB"/>
              </w:rPr>
            </w:pPr>
            <w:r w:rsidRPr="00E4265B">
              <w:rPr>
                <w:rFonts w:ascii="Arial" w:hAnsi="Arial" w:cs="Arial"/>
                <w:sz w:val="22"/>
                <w:szCs w:val="22"/>
                <w:lang w:val="en-GB"/>
              </w:rPr>
              <w:t>All other indices (not broken down into constituent equities)</w:t>
            </w:r>
          </w:p>
        </w:tc>
        <w:tc>
          <w:tcPr>
            <w:tcW w:w="3377" w:type="dxa"/>
          </w:tcPr>
          <w:p w14:paraId="64334763" w14:textId="77777777" w:rsidR="00E22FF2" w:rsidRPr="00E4265B" w:rsidRDefault="00E22FF2" w:rsidP="00844ADC">
            <w:pPr>
              <w:jc w:val="center"/>
              <w:rPr>
                <w:rFonts w:ascii="Arial" w:hAnsi="Arial" w:cs="Arial"/>
                <w:sz w:val="22"/>
                <w:szCs w:val="22"/>
                <w:lang w:val="en-GB"/>
              </w:rPr>
            </w:pPr>
            <w:r w:rsidRPr="00E4265B">
              <w:rPr>
                <w:rFonts w:ascii="Arial" w:hAnsi="Arial" w:cs="Arial"/>
                <w:sz w:val="22"/>
                <w:szCs w:val="22"/>
                <w:lang w:val="en-GB"/>
              </w:rPr>
              <w:t>16%</w:t>
            </w:r>
          </w:p>
        </w:tc>
      </w:tr>
    </w:tbl>
    <w:p w14:paraId="14AD96CC" w14:textId="77777777" w:rsidR="00E22FF2" w:rsidRPr="00E4265B" w:rsidRDefault="00E22FF2" w:rsidP="008116CE">
      <w:pPr>
        <w:rPr>
          <w:rFonts w:ascii="Arial" w:hAnsi="Arial" w:cs="Arial"/>
          <w:sz w:val="22"/>
          <w:szCs w:val="22"/>
          <w:lang w:val="en-GB"/>
        </w:rPr>
      </w:pPr>
    </w:p>
    <w:p w14:paraId="627EDDA9"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.3.32</w:t>
      </w:r>
      <w:r w:rsidRPr="00E4265B">
        <w:rPr>
          <w:rFonts w:ascii="Arial" w:hAnsi="Arial" w:cs="Arial"/>
          <w:b/>
          <w:bCs/>
          <w:sz w:val="22"/>
          <w:szCs w:val="22"/>
          <w:lang w:val="en-GB"/>
        </w:rPr>
        <w:tab/>
      </w:r>
      <w:r w:rsidRPr="00E4265B">
        <w:rPr>
          <w:rFonts w:ascii="Arial" w:hAnsi="Arial" w:cs="Arial"/>
          <w:sz w:val="22"/>
          <w:szCs w:val="22"/>
          <w:lang w:val="en-GB"/>
        </w:rPr>
        <w:t>For the purposes of Rule A</w:t>
      </w:r>
      <w:r w:rsidR="00632B7F" w:rsidRPr="00E4265B">
        <w:rPr>
          <w:rFonts w:ascii="Arial" w:hAnsi="Arial" w:cs="Arial"/>
          <w:sz w:val="22"/>
          <w:szCs w:val="22"/>
          <w:lang w:val="en-GB"/>
        </w:rPr>
        <w:t>6</w:t>
      </w:r>
      <w:r w:rsidRPr="00E4265B">
        <w:rPr>
          <w:rFonts w:ascii="Arial" w:hAnsi="Arial" w:cs="Arial"/>
          <w:sz w:val="22"/>
          <w:szCs w:val="22"/>
          <w:lang w:val="en-GB"/>
        </w:rPr>
        <w:t>.3.31, a broad</w:t>
      </w:r>
      <w:r w:rsidRPr="00E4265B">
        <w:rPr>
          <w:rFonts w:ascii="Arial" w:hAnsi="Arial" w:cs="Arial"/>
          <w:sz w:val="22"/>
          <w:szCs w:val="22"/>
          <w:lang w:val="en-GB"/>
        </w:rPr>
        <w:noBreakHyphen/>
        <w:t>based index means an index specified in the table under (c) or an index that satisfies the following criteria:</w:t>
      </w:r>
    </w:p>
    <w:p w14:paraId="380A7629" w14:textId="27D030DE" w:rsidR="00E22FF2" w:rsidRPr="00E4265B" w:rsidRDefault="00E22FF2" w:rsidP="00423209">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index contains at least </w:t>
      </w:r>
      <w:r w:rsidR="00423209" w:rsidRPr="00E4265B">
        <w:rPr>
          <w:rFonts w:ascii="Arial" w:hAnsi="Arial" w:cs="Arial"/>
          <w:sz w:val="22"/>
          <w:szCs w:val="22"/>
          <w:lang w:val="en-GB"/>
        </w:rPr>
        <w:t>twenty</w:t>
      </w:r>
      <w:r w:rsidRPr="00E4265B">
        <w:rPr>
          <w:rFonts w:ascii="Arial" w:hAnsi="Arial" w:cs="Arial"/>
          <w:sz w:val="22"/>
          <w:szCs w:val="22"/>
          <w:lang w:val="en-GB"/>
        </w:rPr>
        <w:t> </w:t>
      </w:r>
      <w:r w:rsidR="00202EF6" w:rsidRPr="00E4265B">
        <w:rPr>
          <w:rFonts w:ascii="Arial" w:hAnsi="Arial" w:cs="Arial"/>
          <w:sz w:val="22"/>
          <w:szCs w:val="22"/>
          <w:lang w:val="en-GB"/>
        </w:rPr>
        <w:t>Share</w:t>
      </w:r>
      <w:r w:rsidRPr="00E4265B">
        <w:rPr>
          <w:rFonts w:ascii="Arial" w:hAnsi="Arial" w:cs="Arial"/>
          <w:sz w:val="22"/>
          <w:szCs w:val="22"/>
          <w:lang w:val="en-GB"/>
        </w:rPr>
        <w:t>s;</w:t>
      </w:r>
    </w:p>
    <w:p w14:paraId="0463CD9A"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weighting of the largest company is not greater than 20% of the total index; and</w:t>
      </w:r>
    </w:p>
    <w:p w14:paraId="03D3441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weighting of the largest five companies is not greater than 60% of the total index.</w:t>
      </w:r>
    </w:p>
    <w:tbl>
      <w:tblPr>
        <w:tblStyle w:val="TableGrid"/>
        <w:tblW w:w="0" w:type="auto"/>
        <w:tblInd w:w="1098" w:type="dxa"/>
        <w:tblLook w:val="04A0" w:firstRow="1" w:lastRow="0" w:firstColumn="1" w:lastColumn="0" w:noHBand="0" w:noVBand="1"/>
      </w:tblPr>
      <w:tblGrid>
        <w:gridCol w:w="2590"/>
        <w:gridCol w:w="5329"/>
      </w:tblGrid>
      <w:tr w:rsidR="00530967" w:rsidRPr="00E4265B" w14:paraId="3E4137A5" w14:textId="77777777" w:rsidTr="00530967">
        <w:tc>
          <w:tcPr>
            <w:tcW w:w="2609" w:type="dxa"/>
            <w:shd w:val="clear" w:color="auto" w:fill="D9D9D9" w:themeFill="background1" w:themeFillShade="D9"/>
          </w:tcPr>
          <w:p w14:paraId="5AE81A91" w14:textId="3AE2B0B4" w:rsidR="00530967" w:rsidRPr="00E4265B" w:rsidRDefault="00530967" w:rsidP="00530967">
            <w:pPr>
              <w:spacing w:line="276" w:lineRule="auto"/>
              <w:ind w:left="162"/>
              <w:rPr>
                <w:rFonts w:ascii="Arial" w:hAnsi="Arial" w:cs="Arial"/>
                <w:b/>
                <w:bCs/>
                <w:sz w:val="22"/>
                <w:szCs w:val="22"/>
                <w:lang w:val="en-GB"/>
              </w:rPr>
            </w:pPr>
            <w:r w:rsidRPr="00E4265B">
              <w:rPr>
                <w:rFonts w:ascii="Arial" w:hAnsi="Arial" w:cs="Arial"/>
                <w:b/>
                <w:bCs/>
                <w:sz w:val="22"/>
                <w:szCs w:val="22"/>
                <w:lang w:val="en-GB"/>
              </w:rPr>
              <w:t>Country</w:t>
            </w:r>
          </w:p>
        </w:tc>
        <w:tc>
          <w:tcPr>
            <w:tcW w:w="5401" w:type="dxa"/>
            <w:shd w:val="clear" w:color="auto" w:fill="D9D9D9" w:themeFill="background1" w:themeFillShade="D9"/>
          </w:tcPr>
          <w:p w14:paraId="15502251" w14:textId="7504AFDA" w:rsidR="00530967" w:rsidRPr="00E4265B" w:rsidRDefault="00530967" w:rsidP="00530967">
            <w:pPr>
              <w:spacing w:line="276" w:lineRule="auto"/>
              <w:rPr>
                <w:rFonts w:ascii="Arial" w:hAnsi="Arial" w:cs="Arial"/>
                <w:b/>
                <w:bCs/>
                <w:sz w:val="22"/>
                <w:szCs w:val="22"/>
                <w:lang w:val="en-GB"/>
              </w:rPr>
            </w:pPr>
            <w:r w:rsidRPr="00E4265B">
              <w:rPr>
                <w:rFonts w:ascii="Arial" w:hAnsi="Arial" w:cs="Arial"/>
                <w:b/>
                <w:bCs/>
                <w:sz w:val="22"/>
                <w:szCs w:val="22"/>
                <w:lang w:val="en-GB"/>
              </w:rPr>
              <w:t>Index</w:t>
            </w:r>
          </w:p>
        </w:tc>
      </w:tr>
      <w:tr w:rsidR="00530967" w:rsidRPr="00E4265B" w14:paraId="23ABB1CC" w14:textId="77777777" w:rsidTr="00530967">
        <w:tc>
          <w:tcPr>
            <w:tcW w:w="2609" w:type="dxa"/>
          </w:tcPr>
          <w:p w14:paraId="06238945" w14:textId="5ADAC40D"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Australia</w:t>
            </w:r>
          </w:p>
        </w:tc>
        <w:tc>
          <w:tcPr>
            <w:tcW w:w="5401" w:type="dxa"/>
          </w:tcPr>
          <w:p w14:paraId="1C55D3D1" w14:textId="2A379252"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All Ordinaries</w:t>
            </w:r>
          </w:p>
        </w:tc>
      </w:tr>
      <w:tr w:rsidR="00530967" w:rsidRPr="00E4265B" w14:paraId="46E0DA5C" w14:textId="77777777" w:rsidTr="00530967">
        <w:tc>
          <w:tcPr>
            <w:tcW w:w="2609" w:type="dxa"/>
          </w:tcPr>
          <w:p w14:paraId="670093F3"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Austria</w:t>
            </w:r>
          </w:p>
        </w:tc>
        <w:tc>
          <w:tcPr>
            <w:tcW w:w="5401" w:type="dxa"/>
          </w:tcPr>
          <w:p w14:paraId="1C38B768" w14:textId="43F0A431"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Austrian Traded Index</w:t>
            </w:r>
          </w:p>
        </w:tc>
      </w:tr>
      <w:tr w:rsidR="00530967" w:rsidRPr="00E4265B" w14:paraId="793B0CB4" w14:textId="77777777" w:rsidTr="00530967">
        <w:tc>
          <w:tcPr>
            <w:tcW w:w="2609" w:type="dxa"/>
          </w:tcPr>
          <w:p w14:paraId="3B25E37F"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Belgium</w:t>
            </w:r>
          </w:p>
        </w:tc>
        <w:tc>
          <w:tcPr>
            <w:tcW w:w="5401" w:type="dxa"/>
          </w:tcPr>
          <w:p w14:paraId="37956471" w14:textId="4FD9BE53"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BEL 20</w:t>
            </w:r>
          </w:p>
        </w:tc>
      </w:tr>
      <w:tr w:rsidR="00530967" w:rsidRPr="00E4265B" w14:paraId="1A750000" w14:textId="77777777" w:rsidTr="00530967">
        <w:tc>
          <w:tcPr>
            <w:tcW w:w="2609" w:type="dxa"/>
          </w:tcPr>
          <w:p w14:paraId="6963446F"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Canada</w:t>
            </w:r>
          </w:p>
        </w:tc>
        <w:tc>
          <w:tcPr>
            <w:tcW w:w="5401" w:type="dxa"/>
          </w:tcPr>
          <w:p w14:paraId="204537A9" w14:textId="6A1E4451"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TSE 35, TSE 100, TSE 300</w:t>
            </w:r>
          </w:p>
        </w:tc>
      </w:tr>
      <w:tr w:rsidR="00530967" w:rsidRPr="00E4265B" w14:paraId="7045A7E2" w14:textId="77777777" w:rsidTr="00530967">
        <w:tc>
          <w:tcPr>
            <w:tcW w:w="2609" w:type="dxa"/>
          </w:tcPr>
          <w:p w14:paraId="158DBCEB"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France</w:t>
            </w:r>
          </w:p>
        </w:tc>
        <w:tc>
          <w:tcPr>
            <w:tcW w:w="5401" w:type="dxa"/>
          </w:tcPr>
          <w:p w14:paraId="799550B2" w14:textId="1111B3F6"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CAC 40, SBF 250</w:t>
            </w:r>
          </w:p>
        </w:tc>
      </w:tr>
      <w:tr w:rsidR="00530967" w:rsidRPr="00E4265B" w14:paraId="68E2ECEC" w14:textId="77777777" w:rsidTr="00530967">
        <w:tc>
          <w:tcPr>
            <w:tcW w:w="2609" w:type="dxa"/>
          </w:tcPr>
          <w:p w14:paraId="3B46869B"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Germany</w:t>
            </w:r>
          </w:p>
        </w:tc>
        <w:tc>
          <w:tcPr>
            <w:tcW w:w="5401" w:type="dxa"/>
          </w:tcPr>
          <w:p w14:paraId="1BA6CBBE" w14:textId="5DD73CEA"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DAX</w:t>
            </w:r>
          </w:p>
        </w:tc>
      </w:tr>
      <w:tr w:rsidR="00530967" w:rsidRPr="00E4265B" w14:paraId="03C1C8F5" w14:textId="77777777" w:rsidTr="00530967">
        <w:tc>
          <w:tcPr>
            <w:tcW w:w="2609" w:type="dxa"/>
          </w:tcPr>
          <w:p w14:paraId="64A7FCB6"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European</w:t>
            </w:r>
          </w:p>
        </w:tc>
        <w:tc>
          <w:tcPr>
            <w:tcW w:w="5401" w:type="dxa"/>
          </w:tcPr>
          <w:p w14:paraId="1B96D04D" w14:textId="311BE8C7"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Dow Jones Stoxx 50 Index, FTSE Eurotop 300,</w:t>
            </w:r>
            <w:r w:rsidRPr="00E4265B">
              <w:rPr>
                <w:rFonts w:ascii="Arial" w:hAnsi="Arial" w:cs="Arial"/>
                <w:sz w:val="22"/>
                <w:szCs w:val="22"/>
                <w:lang w:val="en-GB"/>
              </w:rPr>
              <w:br/>
              <w:t>MSCI Euro Index</w:t>
            </w:r>
          </w:p>
        </w:tc>
      </w:tr>
      <w:tr w:rsidR="00530967" w:rsidRPr="00E4265B" w14:paraId="455E4AAE" w14:textId="77777777" w:rsidTr="00530967">
        <w:tc>
          <w:tcPr>
            <w:tcW w:w="2609" w:type="dxa"/>
          </w:tcPr>
          <w:p w14:paraId="3C470E36"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Hong Kong</w:t>
            </w:r>
          </w:p>
        </w:tc>
        <w:tc>
          <w:tcPr>
            <w:tcW w:w="5401" w:type="dxa"/>
          </w:tcPr>
          <w:p w14:paraId="0CF8F1BB" w14:textId="6288E7C1"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Hang Seng</w:t>
            </w:r>
          </w:p>
        </w:tc>
      </w:tr>
      <w:tr w:rsidR="00530967" w:rsidRPr="00E4265B" w14:paraId="088F7F36" w14:textId="77777777" w:rsidTr="00530967">
        <w:tc>
          <w:tcPr>
            <w:tcW w:w="2609" w:type="dxa"/>
          </w:tcPr>
          <w:p w14:paraId="4D63D472"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Italy</w:t>
            </w:r>
          </w:p>
        </w:tc>
        <w:tc>
          <w:tcPr>
            <w:tcW w:w="5401" w:type="dxa"/>
          </w:tcPr>
          <w:p w14:paraId="09D9EE16" w14:textId="79E0018E"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MIB 30</w:t>
            </w:r>
          </w:p>
        </w:tc>
      </w:tr>
      <w:tr w:rsidR="00530967" w:rsidRPr="00E4265B" w14:paraId="3369014E" w14:textId="77777777" w:rsidTr="00530967">
        <w:tc>
          <w:tcPr>
            <w:tcW w:w="2609" w:type="dxa"/>
          </w:tcPr>
          <w:p w14:paraId="040FFD75"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Japan</w:t>
            </w:r>
          </w:p>
        </w:tc>
        <w:tc>
          <w:tcPr>
            <w:tcW w:w="5401" w:type="dxa"/>
          </w:tcPr>
          <w:p w14:paraId="747B25E0" w14:textId="5AD86CF5"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Nikkei 225, Nikkei 300, TOPIX</w:t>
            </w:r>
          </w:p>
        </w:tc>
      </w:tr>
      <w:tr w:rsidR="00530967" w:rsidRPr="00E4265B" w14:paraId="15B568D4" w14:textId="77777777" w:rsidTr="00530967">
        <w:tc>
          <w:tcPr>
            <w:tcW w:w="2609" w:type="dxa"/>
          </w:tcPr>
          <w:p w14:paraId="5E63DBC9"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Korea</w:t>
            </w:r>
          </w:p>
        </w:tc>
        <w:tc>
          <w:tcPr>
            <w:tcW w:w="5401" w:type="dxa"/>
          </w:tcPr>
          <w:p w14:paraId="37F38EAE" w14:textId="09735269"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Kospi</w:t>
            </w:r>
          </w:p>
        </w:tc>
      </w:tr>
      <w:tr w:rsidR="00530967" w:rsidRPr="00E4265B" w14:paraId="2E7C4BF6" w14:textId="77777777" w:rsidTr="00530967">
        <w:tc>
          <w:tcPr>
            <w:tcW w:w="2609" w:type="dxa"/>
          </w:tcPr>
          <w:p w14:paraId="6B8348A8"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Netherlands</w:t>
            </w:r>
          </w:p>
        </w:tc>
        <w:tc>
          <w:tcPr>
            <w:tcW w:w="5401" w:type="dxa"/>
          </w:tcPr>
          <w:p w14:paraId="2687455A" w14:textId="67CC542B"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AEX</w:t>
            </w:r>
          </w:p>
        </w:tc>
      </w:tr>
      <w:tr w:rsidR="00530967" w:rsidRPr="00E4265B" w14:paraId="73B5FEBB" w14:textId="77777777" w:rsidTr="00530967">
        <w:tc>
          <w:tcPr>
            <w:tcW w:w="2609" w:type="dxa"/>
          </w:tcPr>
          <w:p w14:paraId="717AF408"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Singapore</w:t>
            </w:r>
          </w:p>
        </w:tc>
        <w:tc>
          <w:tcPr>
            <w:tcW w:w="5401" w:type="dxa"/>
          </w:tcPr>
          <w:p w14:paraId="14F0C4AE" w14:textId="55CE3B5B"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Straits Times Index</w:t>
            </w:r>
          </w:p>
        </w:tc>
      </w:tr>
      <w:tr w:rsidR="00530967" w:rsidRPr="00E4265B" w14:paraId="55BD8BFC" w14:textId="77777777" w:rsidTr="00530967">
        <w:tc>
          <w:tcPr>
            <w:tcW w:w="2609" w:type="dxa"/>
          </w:tcPr>
          <w:p w14:paraId="27FA3CA1"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Spain</w:t>
            </w:r>
          </w:p>
        </w:tc>
        <w:tc>
          <w:tcPr>
            <w:tcW w:w="5401" w:type="dxa"/>
          </w:tcPr>
          <w:p w14:paraId="45F4A728" w14:textId="071F0ED3"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IBEX 35</w:t>
            </w:r>
          </w:p>
        </w:tc>
      </w:tr>
      <w:tr w:rsidR="00530967" w:rsidRPr="00E4265B" w14:paraId="48180BC6" w14:textId="77777777" w:rsidTr="00530967">
        <w:tc>
          <w:tcPr>
            <w:tcW w:w="2609" w:type="dxa"/>
          </w:tcPr>
          <w:p w14:paraId="63B0364F"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Sweden</w:t>
            </w:r>
          </w:p>
        </w:tc>
        <w:tc>
          <w:tcPr>
            <w:tcW w:w="5401" w:type="dxa"/>
          </w:tcPr>
          <w:p w14:paraId="7A2066E3" w14:textId="07BE8CC1"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OMX</w:t>
            </w:r>
          </w:p>
        </w:tc>
      </w:tr>
      <w:tr w:rsidR="00530967" w:rsidRPr="00E4265B" w14:paraId="3305C82D" w14:textId="77777777" w:rsidTr="00530967">
        <w:tc>
          <w:tcPr>
            <w:tcW w:w="2609" w:type="dxa"/>
          </w:tcPr>
          <w:p w14:paraId="5D8887C4"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Switzerland</w:t>
            </w:r>
          </w:p>
        </w:tc>
        <w:tc>
          <w:tcPr>
            <w:tcW w:w="5401" w:type="dxa"/>
          </w:tcPr>
          <w:p w14:paraId="59CD4610" w14:textId="5EA2ECB4"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SMI</w:t>
            </w:r>
          </w:p>
        </w:tc>
      </w:tr>
      <w:tr w:rsidR="00530967" w:rsidRPr="00E4265B" w14:paraId="491FFFB7" w14:textId="77777777" w:rsidTr="00530967">
        <w:tc>
          <w:tcPr>
            <w:tcW w:w="2609" w:type="dxa"/>
          </w:tcPr>
          <w:p w14:paraId="7FDD438E"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UK</w:t>
            </w:r>
          </w:p>
        </w:tc>
        <w:tc>
          <w:tcPr>
            <w:tcW w:w="5401" w:type="dxa"/>
          </w:tcPr>
          <w:p w14:paraId="66759D4A" w14:textId="10030E33"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FTSE 100, FTSE Mid 250, FTSE All Share</w:t>
            </w:r>
          </w:p>
        </w:tc>
      </w:tr>
      <w:tr w:rsidR="00530967" w:rsidRPr="00E4265B" w14:paraId="4639B482" w14:textId="77777777" w:rsidTr="00530967">
        <w:tc>
          <w:tcPr>
            <w:tcW w:w="2609" w:type="dxa"/>
          </w:tcPr>
          <w:p w14:paraId="6BA1F588" w14:textId="77777777" w:rsidR="00530967" w:rsidRPr="00E4265B" w:rsidRDefault="00530967" w:rsidP="00530967">
            <w:pPr>
              <w:spacing w:line="276" w:lineRule="auto"/>
              <w:ind w:left="162"/>
              <w:rPr>
                <w:rFonts w:ascii="Arial" w:hAnsi="Arial" w:cs="Arial"/>
                <w:sz w:val="22"/>
                <w:szCs w:val="22"/>
                <w:lang w:val="en-GB"/>
              </w:rPr>
            </w:pPr>
            <w:r w:rsidRPr="00E4265B">
              <w:rPr>
                <w:rFonts w:ascii="Arial" w:hAnsi="Arial" w:cs="Arial"/>
                <w:sz w:val="22"/>
                <w:szCs w:val="22"/>
                <w:lang w:val="en-GB"/>
              </w:rPr>
              <w:t>US</w:t>
            </w:r>
          </w:p>
        </w:tc>
        <w:tc>
          <w:tcPr>
            <w:tcW w:w="5401" w:type="dxa"/>
          </w:tcPr>
          <w:p w14:paraId="3F554B62" w14:textId="6B08A4B1" w:rsidR="00530967" w:rsidRPr="00E4265B" w:rsidRDefault="00530967" w:rsidP="00530967">
            <w:pPr>
              <w:spacing w:line="276" w:lineRule="auto"/>
              <w:rPr>
                <w:rFonts w:ascii="Arial" w:hAnsi="Arial" w:cs="Arial"/>
                <w:sz w:val="22"/>
                <w:szCs w:val="22"/>
                <w:lang w:val="en-GB"/>
              </w:rPr>
            </w:pPr>
            <w:r w:rsidRPr="00E4265B">
              <w:rPr>
                <w:rFonts w:ascii="Arial" w:hAnsi="Arial" w:cs="Arial"/>
                <w:sz w:val="22"/>
                <w:szCs w:val="22"/>
                <w:lang w:val="en-GB"/>
              </w:rPr>
              <w:t>S&amp;P 500, Dow Jones Industrial Average,</w:t>
            </w:r>
            <w:r w:rsidRPr="00E4265B">
              <w:rPr>
                <w:rFonts w:ascii="Arial" w:hAnsi="Arial" w:cs="Arial"/>
                <w:sz w:val="22"/>
                <w:szCs w:val="22"/>
                <w:lang w:val="en-GB"/>
              </w:rPr>
              <w:br/>
              <w:t>NASDAQ Composite, Russell 2000</w:t>
            </w:r>
          </w:p>
        </w:tc>
      </w:tr>
    </w:tbl>
    <w:p w14:paraId="2ECECB20" w14:textId="77777777" w:rsidR="00E22FF2" w:rsidRPr="00E4265B" w:rsidRDefault="00E22FF2" w:rsidP="008116CE">
      <w:pPr>
        <w:rPr>
          <w:rFonts w:ascii="Arial" w:hAnsi="Arial" w:cs="Arial"/>
          <w:sz w:val="22"/>
          <w:szCs w:val="22"/>
          <w:lang w:val="en-GB"/>
        </w:rPr>
      </w:pPr>
    </w:p>
    <w:p w14:paraId="4E5353AE" w14:textId="77777777" w:rsidR="00E22FF2" w:rsidRPr="00E4265B" w:rsidRDefault="00E22FF2" w:rsidP="004F0272">
      <w:pPr>
        <w:pStyle w:val="UK12Title2"/>
        <w:rPr>
          <w:rFonts w:ascii="Arial" w:hAnsi="Arial" w:cs="Arial"/>
          <w:sz w:val="22"/>
          <w:szCs w:val="22"/>
        </w:rPr>
      </w:pPr>
      <w:bookmarkStart w:id="991" w:name="_Toc33622499"/>
      <w:r w:rsidRPr="00E4265B">
        <w:rPr>
          <w:rFonts w:ascii="Arial" w:hAnsi="Arial" w:cs="Arial"/>
          <w:sz w:val="22"/>
          <w:szCs w:val="22"/>
        </w:rPr>
        <w:lastRenderedPageBreak/>
        <w:t>A</w:t>
      </w:r>
      <w:r w:rsidR="00632B7F" w:rsidRPr="00E4265B">
        <w:rPr>
          <w:rFonts w:ascii="Arial" w:hAnsi="Arial" w:cs="Arial"/>
          <w:sz w:val="22"/>
          <w:szCs w:val="22"/>
        </w:rPr>
        <w:t>6</w:t>
      </w:r>
      <w:r w:rsidRPr="00E4265B">
        <w:rPr>
          <w:rFonts w:ascii="Arial" w:hAnsi="Arial" w:cs="Arial"/>
          <w:sz w:val="22"/>
          <w:szCs w:val="22"/>
        </w:rPr>
        <w:t>.4</w:t>
      </w:r>
      <w:r w:rsidRPr="00E4265B">
        <w:rPr>
          <w:rFonts w:ascii="Arial" w:hAnsi="Arial" w:cs="Arial"/>
          <w:sz w:val="22"/>
          <w:szCs w:val="22"/>
        </w:rPr>
        <w:tab/>
        <w:t>Foreign Exchange Risk Capital Requirement</w:t>
      </w:r>
      <w:bookmarkEnd w:id="991"/>
    </w:p>
    <w:p w14:paraId="6DBE17DE" w14:textId="77777777" w:rsidR="00E22FF2" w:rsidRPr="00E4265B" w:rsidRDefault="00E22FF2" w:rsidP="008116CE">
      <w:pPr>
        <w:pStyle w:val="TitleL5"/>
        <w:rPr>
          <w:rFonts w:ascii="Arial" w:hAnsi="Arial" w:cs="Arial"/>
          <w:sz w:val="22"/>
          <w:szCs w:val="22"/>
          <w:lang w:val="en-GB"/>
        </w:rPr>
      </w:pPr>
      <w:r w:rsidRPr="00E4265B">
        <w:rPr>
          <w:rFonts w:ascii="Arial" w:hAnsi="Arial" w:cs="Arial"/>
          <w:sz w:val="22"/>
          <w:szCs w:val="22"/>
          <w:lang w:val="en-GB"/>
        </w:rPr>
        <w:t>Guidance</w:t>
      </w:r>
    </w:p>
    <w:p w14:paraId="30A6A1CD" w14:textId="4599BC87" w:rsidR="00E22FF2" w:rsidRPr="00E4265B" w:rsidRDefault="00E22FF2" w:rsidP="00B44E90">
      <w:pPr>
        <w:pStyle w:val="UK12Block05"/>
        <w:rPr>
          <w:rFonts w:ascii="Arial" w:hAnsi="Arial" w:cs="Arial"/>
          <w:sz w:val="22"/>
          <w:szCs w:val="22"/>
          <w:lang w:val="en-GB"/>
        </w:rPr>
      </w:pPr>
      <w:r w:rsidRPr="00E4265B">
        <w:rPr>
          <w:rFonts w:ascii="Arial" w:hAnsi="Arial" w:cs="Arial"/>
          <w:sz w:val="22"/>
          <w:szCs w:val="22"/>
          <w:lang w:val="en-GB"/>
        </w:rPr>
        <w:t>Section A</w:t>
      </w:r>
      <w:r w:rsidR="00B44E90" w:rsidRPr="00E4265B">
        <w:rPr>
          <w:rFonts w:ascii="Arial" w:hAnsi="Arial" w:cs="Arial"/>
          <w:sz w:val="22"/>
          <w:szCs w:val="22"/>
          <w:lang w:val="en-GB"/>
        </w:rPr>
        <w:t>6</w:t>
      </w:r>
      <w:r w:rsidRPr="00E4265B">
        <w:rPr>
          <w:rFonts w:ascii="Arial" w:hAnsi="Arial" w:cs="Arial"/>
          <w:sz w:val="22"/>
          <w:szCs w:val="22"/>
          <w:lang w:val="en-GB"/>
        </w:rPr>
        <w:t>.4 presents the method for the calculation of Foreign Exchange Risk Capital Requirement for the purpose of Rule 5.6.1(b).</w:t>
      </w:r>
    </w:p>
    <w:p w14:paraId="0399FC95" w14:textId="1F1BF005" w:rsidR="00E22FF2" w:rsidRPr="00E4265B" w:rsidRDefault="00E22FF2" w:rsidP="008116CE">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.4.1</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calculates its Foreign Exchange Risk Capital Requirement in accordance with Rule 5.6.1(b) must apply the Rules in this Section.</w:t>
      </w:r>
    </w:p>
    <w:p w14:paraId="457BA211"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.4.2</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its Foreign Exchange Risk Capital Requirement by using the standard method as follows:</w:t>
      </w:r>
    </w:p>
    <w:p w14:paraId="33053A06"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calculating its net open position in each currency and in gold;</w:t>
      </w:r>
    </w:p>
    <w:p w14:paraId="6A8FB57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calculating its overall net open position in accordance with Rule A</w:t>
      </w:r>
      <w:r w:rsidR="00632B7F" w:rsidRPr="00E4265B">
        <w:rPr>
          <w:rFonts w:ascii="Arial" w:hAnsi="Arial" w:cs="Arial"/>
          <w:sz w:val="22"/>
          <w:szCs w:val="22"/>
          <w:lang w:val="en-GB"/>
        </w:rPr>
        <w:t>6</w:t>
      </w:r>
      <w:r w:rsidRPr="00E4265B">
        <w:rPr>
          <w:rFonts w:ascii="Arial" w:hAnsi="Arial" w:cs="Arial"/>
          <w:sz w:val="22"/>
          <w:szCs w:val="22"/>
          <w:lang w:val="en-GB"/>
        </w:rPr>
        <w:t>.4.4; and</w:t>
      </w:r>
    </w:p>
    <w:p w14:paraId="2631ACC3"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multiplying the overall net open position by the percentage provided in Rule A</w:t>
      </w:r>
      <w:r w:rsidR="00632B7F" w:rsidRPr="00E4265B">
        <w:rPr>
          <w:rFonts w:ascii="Arial" w:hAnsi="Arial" w:cs="Arial"/>
          <w:sz w:val="22"/>
          <w:szCs w:val="22"/>
          <w:lang w:val="en-GB"/>
        </w:rPr>
        <w:t>6</w:t>
      </w:r>
      <w:r w:rsidRPr="00E4265B">
        <w:rPr>
          <w:rFonts w:ascii="Arial" w:hAnsi="Arial" w:cs="Arial"/>
          <w:sz w:val="22"/>
          <w:szCs w:val="22"/>
          <w:lang w:val="en-GB"/>
        </w:rPr>
        <w:t>.4.5.</w:t>
      </w:r>
    </w:p>
    <w:p w14:paraId="5ABD8B75" w14:textId="77777777" w:rsidR="00E22FF2" w:rsidRPr="00E4265B" w:rsidRDefault="00E22FF2" w:rsidP="008116CE">
      <w:pPr>
        <w:pStyle w:val="TitleL5"/>
        <w:rPr>
          <w:rFonts w:ascii="Arial" w:hAnsi="Arial" w:cs="Arial"/>
          <w:sz w:val="22"/>
          <w:szCs w:val="22"/>
          <w:lang w:val="en-GB"/>
        </w:rPr>
      </w:pPr>
      <w:r w:rsidRPr="00E4265B">
        <w:rPr>
          <w:rFonts w:ascii="Arial" w:hAnsi="Arial" w:cs="Arial"/>
          <w:sz w:val="22"/>
          <w:szCs w:val="22"/>
          <w:lang w:val="en-GB"/>
        </w:rPr>
        <w:t>Measuring the net open position in a single currency</w:t>
      </w:r>
    </w:p>
    <w:p w14:paraId="349BE072" w14:textId="77777777" w:rsidR="00E22FF2" w:rsidRPr="00E4265B" w:rsidRDefault="00632B7F"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.4.3</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calculate its net open position in each currency, and in gold, by summing:</w:t>
      </w:r>
    </w:p>
    <w:p w14:paraId="5AFE403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net spot position, being all asset items less all liability items, including accrued interest, denominated in the currency in question;</w:t>
      </w:r>
    </w:p>
    <w:p w14:paraId="66F17C4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net forward position, being all amounts to be received less all amounts to be paid under forward foreign exchange tr</w:t>
      </w:r>
      <w:r w:rsidR="00E911B6" w:rsidRPr="00E4265B">
        <w:rPr>
          <w:rFonts w:ascii="Arial" w:hAnsi="Arial" w:cs="Arial"/>
          <w:sz w:val="22"/>
          <w:szCs w:val="22"/>
          <w:lang w:val="en-GB"/>
        </w:rPr>
        <w:t>ansactions, including currency F</w:t>
      </w:r>
      <w:r w:rsidRPr="00E4265B">
        <w:rPr>
          <w:rFonts w:ascii="Arial" w:hAnsi="Arial" w:cs="Arial"/>
          <w:sz w:val="22"/>
          <w:szCs w:val="22"/>
          <w:lang w:val="en-GB"/>
        </w:rPr>
        <w:t>utures and the principal on currency swaps not included in the spot position;</w:t>
      </w:r>
    </w:p>
    <w:p w14:paraId="59399FE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guarantees and similar instruments that are certain to be called and are likely to be irrecoverable;</w:t>
      </w:r>
    </w:p>
    <w:p w14:paraId="12B7971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net future income/expenses not yet accrued but already fully hedged, at the discretion of the </w:t>
      </w:r>
      <w:r w:rsidR="000D1A90" w:rsidRPr="00E4265B">
        <w:rPr>
          <w:rFonts w:ascii="Arial" w:hAnsi="Arial" w:cs="Arial"/>
          <w:sz w:val="22"/>
          <w:szCs w:val="22"/>
          <w:lang w:val="en-GB"/>
        </w:rPr>
        <w:t>Authorised Person</w:t>
      </w:r>
      <w:r w:rsidRPr="00E4265B">
        <w:rPr>
          <w:rFonts w:ascii="Arial" w:hAnsi="Arial" w:cs="Arial"/>
          <w:sz w:val="22"/>
          <w:szCs w:val="22"/>
          <w:lang w:val="en-GB"/>
        </w:rPr>
        <w:t>; and</w:t>
      </w:r>
    </w:p>
    <w:p w14:paraId="282D109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any other item representing a profit or loss in Foreign Currencies.</w:t>
      </w:r>
    </w:p>
    <w:p w14:paraId="63E287FC" w14:textId="77777777" w:rsidR="00E22FF2" w:rsidRPr="00E4265B" w:rsidRDefault="00E22FF2" w:rsidP="008116CE">
      <w:pPr>
        <w:pStyle w:val="TitleL5"/>
        <w:rPr>
          <w:rFonts w:ascii="Arial" w:hAnsi="Arial" w:cs="Arial"/>
          <w:sz w:val="22"/>
          <w:szCs w:val="22"/>
          <w:lang w:val="en-GB"/>
        </w:rPr>
      </w:pPr>
      <w:r w:rsidRPr="00E4265B">
        <w:rPr>
          <w:rFonts w:ascii="Arial" w:hAnsi="Arial" w:cs="Arial"/>
          <w:sz w:val="22"/>
          <w:szCs w:val="22"/>
          <w:lang w:val="en-GB"/>
        </w:rPr>
        <w:t>Measuring the overall net open position</w:t>
      </w:r>
    </w:p>
    <w:p w14:paraId="0487B68D" w14:textId="77777777" w:rsidR="00E22FF2" w:rsidRPr="00E4265B" w:rsidRDefault="00E22FF2" w:rsidP="008116CE">
      <w:pPr>
        <w:pStyle w:val="List2TabStops"/>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.4.4</w:t>
      </w:r>
      <w:r w:rsidRPr="00E4265B">
        <w:rPr>
          <w:rFonts w:ascii="Arial" w:hAnsi="Arial" w:cs="Arial"/>
          <w:sz w:val="22"/>
          <w:szCs w:val="22"/>
          <w:lang w:val="en-GB"/>
        </w:rPr>
        <w:tab/>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convert the net position in each Foreign Currency and in gold at spot rates into the reporting currency.</w:t>
      </w:r>
    </w:p>
    <w:p w14:paraId="6572F73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overall net open position is measured by aggregating:</w:t>
      </w:r>
    </w:p>
    <w:p w14:paraId="068206F2" w14:textId="77777777" w:rsidR="00E22FF2" w:rsidRPr="00E4265B" w:rsidRDefault="00E22FF2" w:rsidP="008116CE">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sum of the net short positions or the sum of the net long positions, whichever is the greater; plus</w:t>
      </w:r>
    </w:p>
    <w:p w14:paraId="455113DB" w14:textId="77777777" w:rsidR="00E22FF2" w:rsidRPr="00E4265B" w:rsidRDefault="00E22FF2" w:rsidP="008116CE">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net position (short or long) in gold, regardless of sign.</w:t>
      </w:r>
    </w:p>
    <w:p w14:paraId="52739D43" w14:textId="77777777" w:rsidR="00E22FF2" w:rsidRPr="00E4265B" w:rsidRDefault="00E22FF2" w:rsidP="007D7B3D">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.4.5</w:t>
      </w:r>
      <w:r w:rsidRPr="00E4265B">
        <w:rPr>
          <w:rFonts w:ascii="Arial" w:eastAsia="Arial" w:hAnsi="Arial" w:cs="Arial"/>
          <w:b/>
          <w:bCs/>
          <w:sz w:val="22"/>
          <w:szCs w:val="22"/>
          <w:lang w:val="en-GB"/>
        </w:rPr>
        <w:tab/>
      </w:r>
      <w:r w:rsidRPr="00E4265B">
        <w:rPr>
          <w:rFonts w:ascii="Arial" w:hAnsi="Arial" w:cs="Arial"/>
          <w:sz w:val="22"/>
          <w:szCs w:val="22"/>
          <w:lang w:val="en-GB"/>
        </w:rPr>
        <w:t>The Foreign Exchange Risk Capital Charge is 8% of the overall net open position.</w:t>
      </w:r>
    </w:p>
    <w:p w14:paraId="3864F1FA" w14:textId="77777777" w:rsidR="00E22FF2" w:rsidRPr="00E4265B" w:rsidRDefault="00E22FF2" w:rsidP="007D7B3D">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13A3C71C" w14:textId="77777777" w:rsidR="00E22FF2" w:rsidRPr="00E4265B" w:rsidRDefault="00E22FF2" w:rsidP="007D7B3D">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An example of how to calculate the overall net open position is as follows:</w:t>
      </w:r>
    </w:p>
    <w:tbl>
      <w:tblPr>
        <w:tblStyle w:val="TableGrid"/>
        <w:tblW w:w="0" w:type="auto"/>
        <w:tblInd w:w="1908" w:type="dxa"/>
        <w:tblLook w:val="04A0" w:firstRow="1" w:lastRow="0" w:firstColumn="1" w:lastColumn="0" w:noHBand="0" w:noVBand="1"/>
      </w:tblPr>
      <w:tblGrid>
        <w:gridCol w:w="880"/>
        <w:gridCol w:w="905"/>
        <w:gridCol w:w="887"/>
        <w:gridCol w:w="277"/>
        <w:gridCol w:w="1350"/>
        <w:gridCol w:w="963"/>
        <w:gridCol w:w="277"/>
        <w:gridCol w:w="1570"/>
      </w:tblGrid>
      <w:tr w:rsidR="00E22FF2" w:rsidRPr="00E4265B" w14:paraId="5A932BD5" w14:textId="77777777" w:rsidTr="003F567B">
        <w:tc>
          <w:tcPr>
            <w:tcW w:w="914" w:type="dxa"/>
            <w:shd w:val="pct20" w:color="auto" w:fill="auto"/>
            <w:vAlign w:val="center"/>
          </w:tcPr>
          <w:p w14:paraId="0D1A34FF" w14:textId="77777777" w:rsidR="00E22FF2" w:rsidRPr="00E4265B" w:rsidRDefault="00E22FF2" w:rsidP="003F567B">
            <w:pPr>
              <w:spacing w:after="240"/>
              <w:jc w:val="center"/>
              <w:rPr>
                <w:rFonts w:ascii="Arial" w:hAnsi="Arial" w:cs="Arial"/>
                <w:b/>
                <w:bCs/>
                <w:sz w:val="22"/>
                <w:szCs w:val="22"/>
                <w:lang w:val="en-GB"/>
              </w:rPr>
            </w:pPr>
            <w:r w:rsidRPr="00E4265B">
              <w:rPr>
                <w:rFonts w:ascii="Arial" w:hAnsi="Arial" w:cs="Arial"/>
                <w:b/>
                <w:bCs/>
                <w:sz w:val="22"/>
                <w:szCs w:val="22"/>
                <w:lang w:val="en-GB"/>
              </w:rPr>
              <w:t>YEN</w:t>
            </w:r>
          </w:p>
        </w:tc>
        <w:tc>
          <w:tcPr>
            <w:tcW w:w="914" w:type="dxa"/>
            <w:shd w:val="pct20" w:color="auto" w:fill="auto"/>
            <w:vAlign w:val="center"/>
          </w:tcPr>
          <w:p w14:paraId="416FDA7A" w14:textId="77777777" w:rsidR="00E22FF2" w:rsidRPr="00E4265B" w:rsidRDefault="00E22FF2" w:rsidP="003F567B">
            <w:pPr>
              <w:spacing w:after="240"/>
              <w:jc w:val="center"/>
              <w:rPr>
                <w:rFonts w:ascii="Arial" w:hAnsi="Arial" w:cs="Arial"/>
                <w:b/>
                <w:bCs/>
                <w:sz w:val="22"/>
                <w:szCs w:val="22"/>
                <w:lang w:val="en-GB"/>
              </w:rPr>
            </w:pPr>
            <w:r w:rsidRPr="00E4265B">
              <w:rPr>
                <w:rFonts w:ascii="Arial" w:hAnsi="Arial" w:cs="Arial"/>
                <w:b/>
                <w:bCs/>
                <w:sz w:val="22"/>
                <w:szCs w:val="22"/>
                <w:lang w:val="en-GB"/>
              </w:rPr>
              <w:t>EURO</w:t>
            </w:r>
          </w:p>
        </w:tc>
        <w:tc>
          <w:tcPr>
            <w:tcW w:w="915" w:type="dxa"/>
            <w:tcBorders>
              <w:right w:val="single" w:sz="4" w:space="0" w:color="auto"/>
            </w:tcBorders>
            <w:shd w:val="pct20" w:color="auto" w:fill="auto"/>
            <w:vAlign w:val="center"/>
          </w:tcPr>
          <w:p w14:paraId="7B1D4ADD" w14:textId="0A307537" w:rsidR="00E22FF2" w:rsidRPr="00E4265B" w:rsidRDefault="00E22FF2" w:rsidP="003F567B">
            <w:pPr>
              <w:spacing w:after="240"/>
              <w:jc w:val="center"/>
              <w:rPr>
                <w:rFonts w:ascii="Arial" w:hAnsi="Arial" w:cs="Arial"/>
                <w:b/>
                <w:bCs/>
                <w:sz w:val="22"/>
                <w:szCs w:val="22"/>
                <w:lang w:val="en-GB"/>
              </w:rPr>
            </w:pPr>
            <w:r w:rsidRPr="00E4265B">
              <w:rPr>
                <w:rFonts w:ascii="Arial" w:hAnsi="Arial" w:cs="Arial"/>
                <w:b/>
                <w:bCs/>
                <w:sz w:val="22"/>
                <w:szCs w:val="22"/>
                <w:lang w:val="en-GB"/>
              </w:rPr>
              <w:t>GB</w:t>
            </w:r>
            <w:r w:rsidR="003F567B" w:rsidRPr="00E4265B">
              <w:rPr>
                <w:rFonts w:ascii="Arial" w:hAnsi="Arial" w:cs="Arial"/>
                <w:b/>
                <w:bCs/>
                <w:sz w:val="22"/>
                <w:szCs w:val="22"/>
                <w:lang w:val="en-GB"/>
              </w:rPr>
              <w:t>P</w:t>
            </w:r>
          </w:p>
        </w:tc>
        <w:tc>
          <w:tcPr>
            <w:tcW w:w="230" w:type="dxa"/>
            <w:tcBorders>
              <w:top w:val="nil"/>
              <w:left w:val="single" w:sz="4" w:space="0" w:color="auto"/>
              <w:bottom w:val="nil"/>
              <w:right w:val="single" w:sz="4" w:space="0" w:color="auto"/>
            </w:tcBorders>
            <w:shd w:val="clear" w:color="auto" w:fill="auto"/>
          </w:tcPr>
          <w:p w14:paraId="2DCE0A9B" w14:textId="77777777" w:rsidR="00E22FF2" w:rsidRPr="00E4265B" w:rsidRDefault="00E22FF2" w:rsidP="007D7B3D">
            <w:pPr>
              <w:spacing w:after="240"/>
              <w:rPr>
                <w:rFonts w:ascii="Arial" w:hAnsi="Arial" w:cs="Arial"/>
                <w:sz w:val="22"/>
                <w:szCs w:val="22"/>
                <w:lang w:val="en-GB"/>
              </w:rPr>
            </w:pPr>
          </w:p>
        </w:tc>
        <w:tc>
          <w:tcPr>
            <w:tcW w:w="1437" w:type="dxa"/>
            <w:tcBorders>
              <w:left w:val="single" w:sz="4" w:space="0" w:color="auto"/>
            </w:tcBorders>
            <w:shd w:val="pct20" w:color="auto" w:fill="auto"/>
            <w:vAlign w:val="center"/>
          </w:tcPr>
          <w:p w14:paraId="54799BC6" w14:textId="77777777" w:rsidR="00E22FF2" w:rsidRPr="00E4265B" w:rsidRDefault="00E22FF2" w:rsidP="003F567B">
            <w:pPr>
              <w:spacing w:after="240"/>
              <w:jc w:val="center"/>
              <w:rPr>
                <w:rFonts w:ascii="Arial" w:hAnsi="Arial" w:cs="Arial"/>
                <w:b/>
                <w:bCs/>
                <w:sz w:val="22"/>
                <w:szCs w:val="22"/>
                <w:lang w:val="en-GB"/>
              </w:rPr>
            </w:pPr>
            <w:r w:rsidRPr="00E4265B">
              <w:rPr>
                <w:rFonts w:ascii="Arial" w:hAnsi="Arial" w:cs="Arial"/>
                <w:b/>
                <w:bCs/>
                <w:sz w:val="22"/>
                <w:szCs w:val="22"/>
                <w:lang w:val="en-GB"/>
              </w:rPr>
              <w:t>Saudi Riyal</w:t>
            </w:r>
          </w:p>
        </w:tc>
        <w:tc>
          <w:tcPr>
            <w:tcW w:w="1025" w:type="dxa"/>
            <w:shd w:val="pct20" w:color="auto" w:fill="auto"/>
            <w:vAlign w:val="center"/>
          </w:tcPr>
          <w:p w14:paraId="5859CF00" w14:textId="77777777" w:rsidR="00E22FF2" w:rsidRPr="00E4265B" w:rsidRDefault="00E22FF2" w:rsidP="003F567B">
            <w:pPr>
              <w:spacing w:after="240"/>
              <w:jc w:val="center"/>
              <w:rPr>
                <w:rFonts w:ascii="Arial" w:hAnsi="Arial" w:cs="Arial"/>
                <w:b/>
                <w:bCs/>
                <w:sz w:val="22"/>
                <w:szCs w:val="22"/>
                <w:lang w:val="en-GB"/>
              </w:rPr>
            </w:pPr>
            <w:r w:rsidRPr="00E4265B">
              <w:rPr>
                <w:rFonts w:ascii="Arial" w:hAnsi="Arial" w:cs="Arial"/>
                <w:b/>
                <w:bCs/>
                <w:sz w:val="22"/>
                <w:szCs w:val="22"/>
                <w:lang w:val="en-GB"/>
              </w:rPr>
              <w:t>$</w:t>
            </w:r>
          </w:p>
        </w:tc>
        <w:tc>
          <w:tcPr>
            <w:tcW w:w="230" w:type="dxa"/>
            <w:tcBorders>
              <w:top w:val="nil"/>
              <w:bottom w:val="nil"/>
            </w:tcBorders>
            <w:shd w:val="clear" w:color="auto" w:fill="auto"/>
          </w:tcPr>
          <w:p w14:paraId="08670533" w14:textId="77777777" w:rsidR="00E22FF2" w:rsidRPr="00E4265B" w:rsidRDefault="00E22FF2" w:rsidP="007D7B3D">
            <w:pPr>
              <w:spacing w:after="240"/>
              <w:rPr>
                <w:rFonts w:ascii="Arial" w:hAnsi="Arial" w:cs="Arial"/>
                <w:sz w:val="22"/>
                <w:szCs w:val="22"/>
                <w:lang w:val="en-GB"/>
              </w:rPr>
            </w:pPr>
          </w:p>
        </w:tc>
        <w:tc>
          <w:tcPr>
            <w:tcW w:w="1670" w:type="dxa"/>
            <w:shd w:val="pct20" w:color="auto" w:fill="auto"/>
            <w:vAlign w:val="center"/>
          </w:tcPr>
          <w:p w14:paraId="733F32F7" w14:textId="77777777" w:rsidR="00E22FF2" w:rsidRPr="00E4265B" w:rsidRDefault="00E22FF2" w:rsidP="003F567B">
            <w:pPr>
              <w:spacing w:after="240"/>
              <w:jc w:val="center"/>
              <w:rPr>
                <w:rFonts w:ascii="Arial" w:hAnsi="Arial" w:cs="Arial"/>
                <w:b/>
                <w:bCs/>
                <w:sz w:val="22"/>
                <w:szCs w:val="22"/>
                <w:lang w:val="en-GB"/>
              </w:rPr>
            </w:pPr>
            <w:r w:rsidRPr="00E4265B">
              <w:rPr>
                <w:rFonts w:ascii="Arial" w:hAnsi="Arial" w:cs="Arial"/>
                <w:b/>
                <w:bCs/>
                <w:color w:val="000000"/>
                <w:sz w:val="22"/>
                <w:szCs w:val="22"/>
                <w:lang w:val="en-GB"/>
              </w:rPr>
              <w:t>Gold</w:t>
            </w:r>
          </w:p>
        </w:tc>
      </w:tr>
      <w:tr w:rsidR="00E22FF2" w:rsidRPr="00E4265B" w14:paraId="637F75C4" w14:textId="77777777" w:rsidTr="003F567B">
        <w:tc>
          <w:tcPr>
            <w:tcW w:w="914" w:type="dxa"/>
            <w:vAlign w:val="center"/>
          </w:tcPr>
          <w:p w14:paraId="5B057F31" w14:textId="77777777" w:rsidR="00E22FF2" w:rsidRPr="00E4265B" w:rsidRDefault="00E22FF2" w:rsidP="003F567B">
            <w:pPr>
              <w:spacing w:after="240"/>
              <w:jc w:val="center"/>
              <w:rPr>
                <w:rFonts w:ascii="Arial" w:hAnsi="Arial" w:cs="Arial"/>
                <w:sz w:val="22"/>
                <w:szCs w:val="22"/>
                <w:lang w:val="en-GB"/>
              </w:rPr>
            </w:pPr>
            <w:r w:rsidRPr="00E4265B">
              <w:rPr>
                <w:rFonts w:ascii="Arial" w:hAnsi="Arial" w:cs="Arial"/>
                <w:sz w:val="22"/>
                <w:szCs w:val="22"/>
                <w:lang w:val="en-GB"/>
              </w:rPr>
              <w:t>+50</w:t>
            </w:r>
          </w:p>
        </w:tc>
        <w:tc>
          <w:tcPr>
            <w:tcW w:w="914" w:type="dxa"/>
            <w:vAlign w:val="center"/>
          </w:tcPr>
          <w:p w14:paraId="7CED5B74" w14:textId="77777777" w:rsidR="00E22FF2" w:rsidRPr="00E4265B" w:rsidRDefault="00E22FF2" w:rsidP="003F567B">
            <w:pPr>
              <w:spacing w:after="240"/>
              <w:jc w:val="center"/>
              <w:rPr>
                <w:rFonts w:ascii="Arial" w:hAnsi="Arial" w:cs="Arial"/>
                <w:sz w:val="22"/>
                <w:szCs w:val="22"/>
                <w:lang w:val="en-GB"/>
              </w:rPr>
            </w:pPr>
            <w:r w:rsidRPr="00E4265B">
              <w:rPr>
                <w:rFonts w:ascii="Arial" w:hAnsi="Arial" w:cs="Arial"/>
                <w:sz w:val="22"/>
                <w:szCs w:val="22"/>
                <w:lang w:val="en-GB"/>
              </w:rPr>
              <w:t>+100</w:t>
            </w:r>
          </w:p>
        </w:tc>
        <w:tc>
          <w:tcPr>
            <w:tcW w:w="915" w:type="dxa"/>
            <w:tcBorders>
              <w:right w:val="single" w:sz="4" w:space="0" w:color="auto"/>
            </w:tcBorders>
            <w:vAlign w:val="center"/>
          </w:tcPr>
          <w:p w14:paraId="38DA7D7B" w14:textId="77777777" w:rsidR="00E22FF2" w:rsidRPr="00E4265B" w:rsidRDefault="00E22FF2" w:rsidP="003F567B">
            <w:pPr>
              <w:spacing w:after="240"/>
              <w:jc w:val="center"/>
              <w:rPr>
                <w:rFonts w:ascii="Arial" w:hAnsi="Arial" w:cs="Arial"/>
                <w:sz w:val="22"/>
                <w:szCs w:val="22"/>
                <w:lang w:val="en-GB"/>
              </w:rPr>
            </w:pPr>
            <w:r w:rsidRPr="00E4265B">
              <w:rPr>
                <w:rFonts w:ascii="Arial" w:hAnsi="Arial" w:cs="Arial"/>
                <w:sz w:val="22"/>
                <w:szCs w:val="22"/>
                <w:lang w:val="en-GB"/>
              </w:rPr>
              <w:t>+150</w:t>
            </w:r>
          </w:p>
        </w:tc>
        <w:tc>
          <w:tcPr>
            <w:tcW w:w="230" w:type="dxa"/>
            <w:tcBorders>
              <w:top w:val="nil"/>
              <w:left w:val="single" w:sz="4" w:space="0" w:color="auto"/>
              <w:bottom w:val="nil"/>
              <w:right w:val="single" w:sz="4" w:space="0" w:color="auto"/>
            </w:tcBorders>
          </w:tcPr>
          <w:p w14:paraId="310CB9C4" w14:textId="77777777" w:rsidR="00E22FF2" w:rsidRPr="00E4265B" w:rsidRDefault="00E22FF2" w:rsidP="007D7B3D">
            <w:pPr>
              <w:spacing w:after="240"/>
              <w:rPr>
                <w:rFonts w:ascii="Arial" w:hAnsi="Arial" w:cs="Arial"/>
                <w:sz w:val="22"/>
                <w:szCs w:val="22"/>
                <w:lang w:val="en-GB"/>
              </w:rPr>
            </w:pPr>
          </w:p>
        </w:tc>
        <w:tc>
          <w:tcPr>
            <w:tcW w:w="1437" w:type="dxa"/>
            <w:tcBorders>
              <w:left w:val="single" w:sz="4" w:space="0" w:color="auto"/>
            </w:tcBorders>
            <w:vAlign w:val="center"/>
          </w:tcPr>
          <w:p w14:paraId="503F6520" w14:textId="77777777" w:rsidR="00E22FF2" w:rsidRPr="00E4265B" w:rsidRDefault="00E22FF2" w:rsidP="003F567B">
            <w:pPr>
              <w:spacing w:after="240"/>
              <w:jc w:val="center"/>
              <w:rPr>
                <w:rFonts w:ascii="Arial" w:hAnsi="Arial" w:cs="Arial"/>
                <w:sz w:val="22"/>
                <w:szCs w:val="22"/>
                <w:lang w:val="en-GB"/>
              </w:rPr>
            </w:pPr>
            <w:r w:rsidRPr="00E4265B">
              <w:rPr>
                <w:rFonts w:ascii="Arial" w:hAnsi="Arial" w:cs="Arial"/>
                <w:sz w:val="22"/>
                <w:szCs w:val="22"/>
                <w:lang w:val="en-GB"/>
              </w:rPr>
              <w:t>-20</w:t>
            </w:r>
          </w:p>
        </w:tc>
        <w:tc>
          <w:tcPr>
            <w:tcW w:w="1025" w:type="dxa"/>
            <w:vAlign w:val="center"/>
          </w:tcPr>
          <w:p w14:paraId="2B175D0F" w14:textId="77777777" w:rsidR="00E22FF2" w:rsidRPr="00E4265B" w:rsidRDefault="00E22FF2" w:rsidP="003F567B">
            <w:pPr>
              <w:spacing w:after="240"/>
              <w:jc w:val="center"/>
              <w:rPr>
                <w:rFonts w:ascii="Arial" w:hAnsi="Arial" w:cs="Arial"/>
                <w:sz w:val="22"/>
                <w:szCs w:val="22"/>
                <w:lang w:val="en-GB"/>
              </w:rPr>
            </w:pPr>
            <w:r w:rsidRPr="00E4265B">
              <w:rPr>
                <w:rFonts w:ascii="Arial" w:hAnsi="Arial" w:cs="Arial"/>
                <w:sz w:val="22"/>
                <w:szCs w:val="22"/>
                <w:lang w:val="en-GB"/>
              </w:rPr>
              <w:t>-180</w:t>
            </w:r>
          </w:p>
        </w:tc>
        <w:tc>
          <w:tcPr>
            <w:tcW w:w="230" w:type="dxa"/>
            <w:tcBorders>
              <w:top w:val="nil"/>
              <w:bottom w:val="nil"/>
            </w:tcBorders>
          </w:tcPr>
          <w:p w14:paraId="3A59D986" w14:textId="77777777" w:rsidR="00E22FF2" w:rsidRPr="00E4265B" w:rsidRDefault="00E22FF2" w:rsidP="007D7B3D">
            <w:pPr>
              <w:spacing w:after="240"/>
              <w:rPr>
                <w:rFonts w:ascii="Arial" w:hAnsi="Arial" w:cs="Arial"/>
                <w:sz w:val="22"/>
                <w:szCs w:val="22"/>
                <w:lang w:val="en-GB"/>
              </w:rPr>
            </w:pPr>
          </w:p>
        </w:tc>
        <w:tc>
          <w:tcPr>
            <w:tcW w:w="1670" w:type="dxa"/>
            <w:vAlign w:val="center"/>
          </w:tcPr>
          <w:p w14:paraId="23FAB1B0" w14:textId="77777777" w:rsidR="00E22FF2" w:rsidRPr="00E4265B" w:rsidRDefault="00E22FF2" w:rsidP="003F567B">
            <w:pPr>
              <w:spacing w:after="240"/>
              <w:jc w:val="center"/>
              <w:rPr>
                <w:rFonts w:ascii="Arial" w:hAnsi="Arial" w:cs="Arial"/>
                <w:sz w:val="22"/>
                <w:szCs w:val="22"/>
                <w:lang w:val="en-GB"/>
              </w:rPr>
            </w:pPr>
            <w:r w:rsidRPr="00E4265B">
              <w:rPr>
                <w:rFonts w:ascii="Arial" w:hAnsi="Arial" w:cs="Arial"/>
                <w:sz w:val="22"/>
                <w:szCs w:val="22"/>
                <w:lang w:val="en-GB"/>
              </w:rPr>
              <w:t>-35</w:t>
            </w:r>
          </w:p>
        </w:tc>
      </w:tr>
      <w:tr w:rsidR="00E22FF2" w:rsidRPr="00E4265B" w14:paraId="76C57E9D" w14:textId="77777777" w:rsidTr="003F567B">
        <w:tc>
          <w:tcPr>
            <w:tcW w:w="2743" w:type="dxa"/>
            <w:gridSpan w:val="3"/>
            <w:tcBorders>
              <w:right w:val="single" w:sz="4" w:space="0" w:color="auto"/>
            </w:tcBorders>
            <w:vAlign w:val="center"/>
          </w:tcPr>
          <w:p w14:paraId="2BD5CF53" w14:textId="77777777" w:rsidR="00E22FF2" w:rsidRPr="00E4265B" w:rsidRDefault="00E22FF2" w:rsidP="003F567B">
            <w:pPr>
              <w:spacing w:after="240"/>
              <w:jc w:val="center"/>
              <w:rPr>
                <w:rFonts w:ascii="Arial" w:hAnsi="Arial" w:cs="Arial"/>
                <w:sz w:val="22"/>
                <w:szCs w:val="22"/>
                <w:lang w:val="en-GB"/>
              </w:rPr>
            </w:pPr>
            <w:r w:rsidRPr="00E4265B">
              <w:rPr>
                <w:rFonts w:ascii="Arial" w:hAnsi="Arial" w:cs="Arial"/>
                <w:b/>
                <w:bCs/>
                <w:sz w:val="22"/>
                <w:szCs w:val="22"/>
                <w:lang w:val="en-GB"/>
              </w:rPr>
              <w:t>TOTAL +300</w:t>
            </w:r>
          </w:p>
        </w:tc>
        <w:tc>
          <w:tcPr>
            <w:tcW w:w="230" w:type="dxa"/>
            <w:tcBorders>
              <w:top w:val="nil"/>
              <w:left w:val="single" w:sz="4" w:space="0" w:color="auto"/>
              <w:bottom w:val="nil"/>
              <w:right w:val="single" w:sz="4" w:space="0" w:color="auto"/>
            </w:tcBorders>
          </w:tcPr>
          <w:p w14:paraId="447F64F0" w14:textId="77777777" w:rsidR="00E22FF2" w:rsidRPr="00E4265B" w:rsidRDefault="00E22FF2" w:rsidP="007D7B3D">
            <w:pPr>
              <w:spacing w:after="240"/>
              <w:jc w:val="center"/>
              <w:rPr>
                <w:rFonts w:ascii="Arial" w:hAnsi="Arial" w:cs="Arial"/>
                <w:sz w:val="22"/>
                <w:szCs w:val="22"/>
                <w:lang w:val="en-GB"/>
              </w:rPr>
            </w:pPr>
          </w:p>
        </w:tc>
        <w:tc>
          <w:tcPr>
            <w:tcW w:w="2462" w:type="dxa"/>
            <w:gridSpan w:val="2"/>
            <w:tcBorders>
              <w:left w:val="single" w:sz="4" w:space="0" w:color="auto"/>
            </w:tcBorders>
            <w:vAlign w:val="center"/>
          </w:tcPr>
          <w:p w14:paraId="66503775" w14:textId="60B3FBBD" w:rsidR="00E22FF2" w:rsidRPr="00E4265B" w:rsidRDefault="00E22FF2" w:rsidP="003F567B">
            <w:pPr>
              <w:spacing w:after="240"/>
              <w:jc w:val="center"/>
              <w:rPr>
                <w:rFonts w:ascii="Arial" w:hAnsi="Arial" w:cs="Arial"/>
                <w:b/>
                <w:bCs/>
                <w:sz w:val="22"/>
                <w:szCs w:val="22"/>
                <w:lang w:val="en-GB"/>
              </w:rPr>
            </w:pPr>
            <w:r w:rsidRPr="00E4265B">
              <w:rPr>
                <w:rFonts w:ascii="Arial" w:hAnsi="Arial" w:cs="Arial"/>
                <w:b/>
                <w:bCs/>
                <w:sz w:val="22"/>
                <w:szCs w:val="22"/>
                <w:lang w:val="en-GB"/>
              </w:rPr>
              <w:t>TOTAL</w:t>
            </w:r>
            <w:r w:rsidR="00530967" w:rsidRPr="00E4265B">
              <w:rPr>
                <w:rFonts w:ascii="Arial" w:hAnsi="Arial" w:cs="Arial"/>
                <w:b/>
                <w:bCs/>
                <w:sz w:val="22"/>
                <w:szCs w:val="22"/>
                <w:lang w:val="en-GB"/>
              </w:rPr>
              <w:t xml:space="preserve"> </w:t>
            </w:r>
            <w:r w:rsidRPr="00E4265B">
              <w:rPr>
                <w:rFonts w:ascii="Arial" w:hAnsi="Arial" w:cs="Arial"/>
                <w:b/>
                <w:bCs/>
                <w:sz w:val="22"/>
                <w:szCs w:val="22"/>
                <w:lang w:val="en-GB"/>
              </w:rPr>
              <w:t>-200</w:t>
            </w:r>
          </w:p>
        </w:tc>
        <w:tc>
          <w:tcPr>
            <w:tcW w:w="230" w:type="dxa"/>
            <w:tcBorders>
              <w:top w:val="nil"/>
              <w:bottom w:val="nil"/>
            </w:tcBorders>
          </w:tcPr>
          <w:p w14:paraId="2E6C6F67" w14:textId="77777777" w:rsidR="00E22FF2" w:rsidRPr="00E4265B" w:rsidRDefault="00E22FF2" w:rsidP="007D7B3D">
            <w:pPr>
              <w:spacing w:after="240"/>
              <w:jc w:val="center"/>
              <w:rPr>
                <w:rFonts w:ascii="Arial" w:hAnsi="Arial" w:cs="Arial"/>
                <w:b/>
                <w:bCs/>
                <w:sz w:val="22"/>
                <w:szCs w:val="22"/>
                <w:lang w:val="en-GB"/>
              </w:rPr>
            </w:pPr>
          </w:p>
        </w:tc>
        <w:tc>
          <w:tcPr>
            <w:tcW w:w="1670" w:type="dxa"/>
            <w:vAlign w:val="center"/>
          </w:tcPr>
          <w:p w14:paraId="10FA8B7A" w14:textId="77777777" w:rsidR="00E22FF2" w:rsidRPr="00E4265B" w:rsidRDefault="00E22FF2" w:rsidP="003F567B">
            <w:pPr>
              <w:spacing w:after="240"/>
              <w:jc w:val="center"/>
              <w:rPr>
                <w:rFonts w:ascii="Arial" w:hAnsi="Arial" w:cs="Arial"/>
                <w:b/>
                <w:bCs/>
                <w:sz w:val="22"/>
                <w:szCs w:val="22"/>
                <w:lang w:val="en-GB"/>
              </w:rPr>
            </w:pPr>
            <w:r w:rsidRPr="00E4265B">
              <w:rPr>
                <w:rFonts w:ascii="Arial" w:hAnsi="Arial" w:cs="Arial"/>
                <w:b/>
                <w:bCs/>
                <w:sz w:val="22"/>
                <w:szCs w:val="22"/>
                <w:lang w:val="en-GB"/>
              </w:rPr>
              <w:t>TOTAL 35</w:t>
            </w:r>
          </w:p>
        </w:tc>
      </w:tr>
    </w:tbl>
    <w:p w14:paraId="11974F30" w14:textId="77777777" w:rsidR="00E22FF2" w:rsidRPr="00E4265B" w:rsidRDefault="00E22FF2" w:rsidP="007D7B3D">
      <w:pPr>
        <w:rPr>
          <w:rFonts w:ascii="Arial" w:hAnsi="Arial" w:cs="Arial"/>
          <w:sz w:val="22"/>
          <w:szCs w:val="22"/>
          <w:lang w:val="en-GB"/>
        </w:rPr>
      </w:pPr>
    </w:p>
    <w:p w14:paraId="74C5AB8B" w14:textId="160A1295" w:rsidR="00E22FF2" w:rsidRPr="00E4265B" w:rsidRDefault="00E22FF2" w:rsidP="00530967">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Foreign Exchange Risk Capital Charge would be 8% of the </w:t>
      </w:r>
      <w:r w:rsidR="00530967" w:rsidRPr="00E4265B">
        <w:rPr>
          <w:rFonts w:ascii="Arial" w:hAnsi="Arial" w:cs="Arial"/>
          <w:sz w:val="22"/>
          <w:szCs w:val="22"/>
          <w:lang w:val="en-GB"/>
        </w:rPr>
        <w:t xml:space="preserve">absolute value of the greater </w:t>
      </w:r>
      <w:r w:rsidRPr="00E4265B">
        <w:rPr>
          <w:rFonts w:ascii="Arial" w:hAnsi="Arial" w:cs="Arial"/>
          <w:sz w:val="22"/>
          <w:szCs w:val="22"/>
          <w:lang w:val="en-GB"/>
        </w:rPr>
        <w:t>of either the net long currency positions or the net short currency positions (i.e. 300</w:t>
      </w:r>
      <w:r w:rsidR="00530967" w:rsidRPr="00E4265B">
        <w:rPr>
          <w:rFonts w:ascii="Arial" w:hAnsi="Arial" w:cs="Arial"/>
          <w:sz w:val="22"/>
          <w:szCs w:val="22"/>
          <w:lang w:val="en-GB"/>
        </w:rPr>
        <w:t xml:space="preserve"> in this example</w:t>
      </w:r>
      <w:r w:rsidRPr="00E4265B">
        <w:rPr>
          <w:rFonts w:ascii="Arial" w:hAnsi="Arial" w:cs="Arial"/>
          <w:sz w:val="22"/>
          <w:szCs w:val="22"/>
          <w:lang w:val="en-GB"/>
        </w:rPr>
        <w:t>)</w:t>
      </w:r>
      <w:r w:rsidR="00530967" w:rsidRPr="00E4265B">
        <w:rPr>
          <w:rFonts w:ascii="Arial" w:hAnsi="Arial" w:cs="Arial"/>
          <w:sz w:val="22"/>
          <w:szCs w:val="22"/>
          <w:lang w:val="en-GB"/>
        </w:rPr>
        <w:t xml:space="preserve"> </w:t>
      </w:r>
      <w:r w:rsidRPr="00E4265B">
        <w:rPr>
          <w:rFonts w:ascii="Arial" w:hAnsi="Arial" w:cs="Arial"/>
          <w:sz w:val="22"/>
          <w:szCs w:val="22"/>
          <w:lang w:val="en-GB"/>
        </w:rPr>
        <w:t>plus the net position in gold (35) = 335 x 8%=26.8.</w:t>
      </w:r>
    </w:p>
    <w:p w14:paraId="5E52DBCB" w14:textId="0CB8F413"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Forward currency and gold positions will normally be valued at current spot market exchange rates. Using forward exchange rates would be inappropriate since it would result in the measured positions reflecting to some extent current interest rate differentials. However, 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bases its normal management accounting on net present values is expected to use the net present values of each position, discounted using current interest rates and valued at current spot rates, for measuring its forward currency and gold positions.</w:t>
      </w:r>
    </w:p>
    <w:p w14:paraId="2BC6F4F5" w14:textId="77777777" w:rsidR="00E22FF2" w:rsidRPr="00E4265B" w:rsidRDefault="00E22FF2" w:rsidP="00AD7B61">
      <w:pPr>
        <w:pStyle w:val="TitleL5"/>
        <w:rPr>
          <w:rFonts w:ascii="Arial" w:hAnsi="Arial" w:cs="Arial"/>
          <w:sz w:val="22"/>
          <w:szCs w:val="22"/>
          <w:lang w:val="en-GB"/>
        </w:rPr>
      </w:pPr>
      <w:r w:rsidRPr="00E4265B">
        <w:rPr>
          <w:rFonts w:ascii="Arial" w:hAnsi="Arial" w:cs="Arial"/>
          <w:sz w:val="22"/>
          <w:szCs w:val="22"/>
          <w:lang w:val="en-GB"/>
        </w:rPr>
        <w:t>Treatment of accrued interest and expenses, forwards, and structural positions</w:t>
      </w:r>
    </w:p>
    <w:p w14:paraId="0AB0184D" w14:textId="77777777" w:rsidR="00E22FF2" w:rsidRPr="00E4265B" w:rsidRDefault="00632B7F" w:rsidP="00AD7B61">
      <w:pPr>
        <w:pStyle w:val="List2TabStops"/>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.4.6</w:t>
      </w:r>
      <w:r w:rsidR="00E22FF2" w:rsidRPr="00E4265B">
        <w:rPr>
          <w:rFonts w:ascii="Arial" w:hAnsi="Arial" w:cs="Arial"/>
          <w:sz w:val="22"/>
          <w:szCs w:val="22"/>
          <w:lang w:val="en-GB"/>
        </w:rPr>
        <w:tab/>
        <w:t>(1)</w:t>
      </w:r>
      <w:r w:rsidR="00E22FF2"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include interest accrued and accrued expenses as a position.</w:t>
      </w:r>
    </w:p>
    <w:p w14:paraId="20A0E56A"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includes future income/expenses it must do so on a consistent basis and not include only those expected future flows that reduce its position.</w:t>
      </w:r>
    </w:p>
    <w:p w14:paraId="578DEA20"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exclude any positions which it has deliberately taken in order to hedge partially or totally against the adverse effect of the exchange rate on its Capital Resources, from the calculation of net open currency positions, if each of the following conditions is met:</w:t>
      </w:r>
    </w:p>
    <w:p w14:paraId="7A5BA690" w14:textId="77777777"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positions are of a structure that is of a non</w:t>
      </w:r>
      <w:r w:rsidRPr="00E4265B">
        <w:rPr>
          <w:rFonts w:ascii="Arial" w:hAnsi="Arial" w:cs="Arial"/>
          <w:sz w:val="22"/>
          <w:szCs w:val="22"/>
          <w:lang w:val="en-GB"/>
        </w:rPr>
        <w:noBreakHyphen/>
        <w:t>dealing nature;</w:t>
      </w:r>
    </w:p>
    <w:p w14:paraId="2911D375" w14:textId="77777777" w:rsidR="00E22FF2" w:rsidRPr="00E4265B" w:rsidRDefault="00E22FF2" w:rsidP="00B40809">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notified the Regulator in writing of its intention to rely upon this Rule; and</w:t>
      </w:r>
    </w:p>
    <w:p w14:paraId="2BE9EDC5" w14:textId="77777777"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any exclusion of the position must be applied consistently, with the treatment of the hedge remaining the same for the life of the assets or other items.</w:t>
      </w:r>
    </w:p>
    <w:p w14:paraId="4853763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need not include positions related to:</w:t>
      </w:r>
    </w:p>
    <w:p w14:paraId="44EBA334" w14:textId="77777777"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t>items which are deducted from its capital when calculating its Capital Resources, including investments in non</w:t>
      </w:r>
      <w:r w:rsidRPr="00E4265B">
        <w:rPr>
          <w:rFonts w:ascii="Arial" w:hAnsi="Arial" w:cs="Arial"/>
          <w:sz w:val="22"/>
          <w:szCs w:val="22"/>
          <w:lang w:val="en-GB"/>
        </w:rPr>
        <w:noBreakHyphen/>
        <w:t>consolidated subsidiaries; or</w:t>
      </w:r>
    </w:p>
    <w:p w14:paraId="1EE0DFB4" w14:textId="77777777"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other long</w:t>
      </w:r>
      <w:r w:rsidRPr="00E4265B">
        <w:rPr>
          <w:rFonts w:ascii="Arial" w:hAnsi="Arial" w:cs="Arial"/>
          <w:sz w:val="22"/>
          <w:szCs w:val="22"/>
          <w:lang w:val="en-GB"/>
        </w:rPr>
        <w:noBreakHyphen/>
        <w:t>term participations denominated in Foreign Currencies which are reported in the published accounts at historic cost.</w:t>
      </w:r>
    </w:p>
    <w:p w14:paraId="33F2BFC1" w14:textId="77777777" w:rsidR="00E22FF2" w:rsidRPr="00E4265B" w:rsidRDefault="00E22FF2" w:rsidP="004F0272">
      <w:pPr>
        <w:pStyle w:val="UK12Title2"/>
        <w:rPr>
          <w:rFonts w:ascii="Arial" w:hAnsi="Arial" w:cs="Arial"/>
          <w:sz w:val="22"/>
          <w:szCs w:val="22"/>
        </w:rPr>
      </w:pPr>
      <w:bookmarkStart w:id="992" w:name="_Toc33622500"/>
      <w:r w:rsidRPr="00E4265B">
        <w:rPr>
          <w:rFonts w:ascii="Arial" w:hAnsi="Arial" w:cs="Arial"/>
          <w:sz w:val="22"/>
          <w:szCs w:val="22"/>
        </w:rPr>
        <w:t>A</w:t>
      </w:r>
      <w:r w:rsidR="00632B7F" w:rsidRPr="00E4265B">
        <w:rPr>
          <w:rFonts w:ascii="Arial" w:hAnsi="Arial" w:cs="Arial"/>
          <w:sz w:val="22"/>
          <w:szCs w:val="22"/>
        </w:rPr>
        <w:t>6</w:t>
      </w:r>
      <w:r w:rsidRPr="00E4265B">
        <w:rPr>
          <w:rFonts w:ascii="Arial" w:hAnsi="Arial" w:cs="Arial"/>
          <w:sz w:val="22"/>
          <w:szCs w:val="22"/>
        </w:rPr>
        <w:t>.5</w:t>
      </w:r>
      <w:r w:rsidRPr="00E4265B">
        <w:rPr>
          <w:rFonts w:ascii="Arial" w:hAnsi="Arial" w:cs="Arial"/>
          <w:sz w:val="22"/>
          <w:szCs w:val="22"/>
        </w:rPr>
        <w:tab/>
        <w:t>Commodities Risk Capital Requirement</w:t>
      </w:r>
      <w:bookmarkEnd w:id="992"/>
    </w:p>
    <w:p w14:paraId="02B30DE8" w14:textId="77777777" w:rsidR="00E22FF2" w:rsidRPr="00E4265B" w:rsidRDefault="00E22FF2" w:rsidP="00AD7B61">
      <w:pPr>
        <w:pStyle w:val="TitleL5"/>
        <w:rPr>
          <w:rFonts w:ascii="Arial" w:hAnsi="Arial" w:cs="Arial"/>
          <w:sz w:val="22"/>
          <w:szCs w:val="22"/>
          <w:lang w:val="en-GB"/>
        </w:rPr>
      </w:pPr>
      <w:r w:rsidRPr="00E4265B">
        <w:rPr>
          <w:rFonts w:ascii="Arial" w:hAnsi="Arial" w:cs="Arial"/>
          <w:sz w:val="22"/>
          <w:szCs w:val="22"/>
          <w:lang w:val="en-GB"/>
        </w:rPr>
        <w:t>Guidance</w:t>
      </w:r>
    </w:p>
    <w:p w14:paraId="2A293900" w14:textId="77777777" w:rsidR="00E22FF2" w:rsidRPr="00E4265B" w:rsidRDefault="00632B7F" w:rsidP="00AD7B61">
      <w:pPr>
        <w:pStyle w:val="UK12Block05"/>
        <w:rPr>
          <w:rFonts w:ascii="Arial" w:hAnsi="Arial" w:cs="Arial"/>
          <w:sz w:val="22"/>
          <w:szCs w:val="22"/>
          <w:lang w:val="en-GB"/>
        </w:rPr>
      </w:pPr>
      <w:r w:rsidRPr="00E4265B">
        <w:rPr>
          <w:rFonts w:ascii="Arial" w:hAnsi="Arial" w:cs="Arial"/>
          <w:sz w:val="22"/>
          <w:szCs w:val="22"/>
          <w:lang w:val="en-GB"/>
        </w:rPr>
        <w:t>Section A6</w:t>
      </w:r>
      <w:r w:rsidR="00E22FF2" w:rsidRPr="00E4265B">
        <w:rPr>
          <w:rFonts w:ascii="Arial" w:hAnsi="Arial" w:cs="Arial"/>
          <w:sz w:val="22"/>
          <w:szCs w:val="22"/>
          <w:lang w:val="en-GB"/>
        </w:rPr>
        <w:t>.5 presents the method for the calculation of Commodities Risk Capital Requirement for the purpose of Rule 5.7.1(b).</w:t>
      </w:r>
    </w:p>
    <w:p w14:paraId="0A7C85EE" w14:textId="54D6400C"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.5.1</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calculates its Commodities Risk Capital Requirements in accordance with Rule 5.7.1(b) must apply the Rules in this Section.</w:t>
      </w:r>
    </w:p>
    <w:p w14:paraId="662AA62B" w14:textId="77777777" w:rsidR="00E22FF2" w:rsidRPr="00E4265B" w:rsidRDefault="00E22FF2" w:rsidP="00AD7B61">
      <w:pPr>
        <w:pStyle w:val="TitleL5"/>
        <w:rPr>
          <w:rFonts w:ascii="Arial" w:hAnsi="Arial" w:cs="Arial"/>
          <w:sz w:val="22"/>
          <w:szCs w:val="22"/>
          <w:lang w:val="en-GB"/>
        </w:rPr>
      </w:pPr>
      <w:r w:rsidRPr="00E4265B">
        <w:rPr>
          <w:rFonts w:ascii="Arial" w:hAnsi="Arial" w:cs="Arial"/>
          <w:sz w:val="22"/>
          <w:szCs w:val="22"/>
          <w:lang w:val="en-GB"/>
        </w:rPr>
        <w:t>Calculation of Commodities Risk Capital Requirement</w:t>
      </w:r>
    </w:p>
    <w:p w14:paraId="0D35ADFE" w14:textId="77777777" w:rsidR="00E22FF2" w:rsidRPr="00E4265B" w:rsidRDefault="00E22FF2" w:rsidP="00AD7B61">
      <w:pPr>
        <w:pStyle w:val="List2TabStops"/>
        <w:rPr>
          <w:rFonts w:ascii="Arial" w:hAnsi="Arial" w:cs="Arial"/>
          <w:sz w:val="22"/>
          <w:szCs w:val="22"/>
          <w:lang w:val="en-GB"/>
        </w:rPr>
      </w:pPr>
      <w:r w:rsidRPr="00E4265B">
        <w:rPr>
          <w:rFonts w:ascii="Arial" w:hAnsi="Arial" w:cs="Arial"/>
          <w:b/>
          <w:bCs/>
          <w:sz w:val="22"/>
          <w:szCs w:val="22"/>
          <w:lang w:val="en-GB"/>
        </w:rPr>
        <w:t>A</w:t>
      </w:r>
      <w:r w:rsidR="00632B7F" w:rsidRPr="00E4265B">
        <w:rPr>
          <w:rFonts w:ascii="Arial" w:hAnsi="Arial" w:cs="Arial"/>
          <w:b/>
          <w:bCs/>
          <w:sz w:val="22"/>
          <w:szCs w:val="22"/>
          <w:lang w:val="en-GB"/>
        </w:rPr>
        <w:t>6</w:t>
      </w:r>
      <w:r w:rsidRPr="00E4265B">
        <w:rPr>
          <w:rFonts w:ascii="Arial" w:hAnsi="Arial" w:cs="Arial"/>
          <w:b/>
          <w:bCs/>
          <w:sz w:val="22"/>
          <w:szCs w:val="22"/>
          <w:lang w:val="en-GB"/>
        </w:rPr>
        <w:t>.5.2</w:t>
      </w:r>
      <w:r w:rsidRPr="00E4265B">
        <w:rPr>
          <w:rFonts w:ascii="Arial" w:eastAsia="Arial" w:hAnsi="Arial" w:cs="Arial"/>
          <w:b/>
          <w:bCs/>
          <w:sz w:val="22"/>
          <w:szCs w:val="22"/>
          <w:lang w:val="en-GB"/>
        </w:rPr>
        <w:tab/>
      </w: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its Commodities Risk Capital Requirement by applying the Maturity Ladder approach in Rule A</w:t>
      </w:r>
      <w:r w:rsidR="00632B7F" w:rsidRPr="00E4265B">
        <w:rPr>
          <w:rFonts w:ascii="Arial" w:hAnsi="Arial" w:cs="Arial"/>
          <w:sz w:val="22"/>
          <w:szCs w:val="22"/>
          <w:lang w:val="en-GB"/>
        </w:rPr>
        <w:t>6</w:t>
      </w:r>
      <w:r w:rsidRPr="00E4265B">
        <w:rPr>
          <w:rFonts w:ascii="Arial" w:hAnsi="Arial" w:cs="Arial"/>
          <w:sz w:val="22"/>
          <w:szCs w:val="22"/>
          <w:lang w:val="en-GB"/>
        </w:rPr>
        <w:t>.5.5 or the Simplified Approach in Rule A</w:t>
      </w:r>
      <w:r w:rsidR="00632B7F" w:rsidRPr="00E4265B">
        <w:rPr>
          <w:rFonts w:ascii="Arial" w:hAnsi="Arial" w:cs="Arial"/>
          <w:sz w:val="22"/>
          <w:szCs w:val="22"/>
          <w:lang w:val="en-GB"/>
        </w:rPr>
        <w:t>6</w:t>
      </w:r>
      <w:r w:rsidRPr="00E4265B">
        <w:rPr>
          <w:rFonts w:ascii="Arial" w:hAnsi="Arial" w:cs="Arial"/>
          <w:sz w:val="22"/>
          <w:szCs w:val="22"/>
          <w:lang w:val="en-GB"/>
        </w:rPr>
        <w:t>.5.6 to all Non</w:t>
      </w:r>
      <w:r w:rsidRPr="00E4265B">
        <w:rPr>
          <w:rFonts w:ascii="Arial" w:hAnsi="Arial" w:cs="Arial"/>
          <w:sz w:val="22"/>
          <w:szCs w:val="22"/>
          <w:lang w:val="en-GB"/>
        </w:rPr>
        <w:noBreakHyphen/>
        <w:t>Trading and Trading Book:</w:t>
      </w:r>
    </w:p>
    <w:p w14:paraId="5F60B21A" w14:textId="77777777"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commodity positions;</w:t>
      </w:r>
    </w:p>
    <w:p w14:paraId="1B9D7E91" w14:textId="77777777"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commodity </w:t>
      </w:r>
      <w:r w:rsidR="005F3B3B" w:rsidRPr="00E4265B">
        <w:rPr>
          <w:rFonts w:ascii="Arial" w:hAnsi="Arial" w:cs="Arial"/>
          <w:sz w:val="22"/>
          <w:szCs w:val="22"/>
          <w:lang w:val="en-GB"/>
        </w:rPr>
        <w:t>Derivative</w:t>
      </w:r>
      <w:r w:rsidRPr="00E4265B">
        <w:rPr>
          <w:rFonts w:ascii="Arial" w:hAnsi="Arial" w:cs="Arial"/>
          <w:sz w:val="22"/>
          <w:szCs w:val="22"/>
          <w:lang w:val="en-GB"/>
        </w:rPr>
        <w:t>s and off</w:t>
      </w:r>
      <w:r w:rsidRPr="00E4265B">
        <w:rPr>
          <w:rFonts w:ascii="Arial" w:hAnsi="Arial" w:cs="Arial"/>
          <w:sz w:val="22"/>
          <w:szCs w:val="22"/>
          <w:lang w:val="en-GB"/>
        </w:rPr>
        <w:noBreakHyphen/>
        <w:t>balance sheet positions that are affected by changes in commodity prices, having derived notional commodity positions; and</w:t>
      </w:r>
    </w:p>
    <w:p w14:paraId="040D4278" w14:textId="77777777"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other positions against which no other Market or Credit Risk Capital Requirement has been applied.</w:t>
      </w:r>
    </w:p>
    <w:p w14:paraId="0BBB952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determine notional commodity positions by converting the commodity </w:t>
      </w:r>
      <w:r w:rsidR="005F3B3B" w:rsidRPr="00E4265B">
        <w:rPr>
          <w:rFonts w:ascii="Arial" w:hAnsi="Arial" w:cs="Arial"/>
          <w:sz w:val="22"/>
          <w:szCs w:val="22"/>
          <w:lang w:val="en-GB"/>
        </w:rPr>
        <w:t>Derivative</w:t>
      </w:r>
      <w:r w:rsidRPr="00E4265B">
        <w:rPr>
          <w:rFonts w:ascii="Arial" w:hAnsi="Arial" w:cs="Arial"/>
          <w:sz w:val="22"/>
          <w:szCs w:val="22"/>
          <w:lang w:val="en-GB"/>
        </w:rPr>
        <w:t>s into notional underlying commodity positions and assigning appropriate matur</w:t>
      </w:r>
      <w:r w:rsidR="00632B7F" w:rsidRPr="00E4265B">
        <w:rPr>
          <w:rFonts w:ascii="Arial" w:hAnsi="Arial" w:cs="Arial"/>
          <w:sz w:val="22"/>
          <w:szCs w:val="22"/>
          <w:lang w:val="en-GB"/>
        </w:rPr>
        <w:t>ities in accordance with Rule A6</w:t>
      </w:r>
      <w:r w:rsidRPr="00E4265B">
        <w:rPr>
          <w:rFonts w:ascii="Arial" w:hAnsi="Arial" w:cs="Arial"/>
          <w:sz w:val="22"/>
          <w:szCs w:val="22"/>
          <w:lang w:val="en-GB"/>
        </w:rPr>
        <w:t>.5.3.</w:t>
      </w:r>
    </w:p>
    <w:p w14:paraId="36554B9D" w14:textId="77777777" w:rsidR="00E22FF2" w:rsidRPr="00E4265B" w:rsidRDefault="00E22FF2" w:rsidP="00AD7B61">
      <w:pPr>
        <w:pStyle w:val="TitleL5"/>
        <w:rPr>
          <w:rFonts w:ascii="Arial" w:hAnsi="Arial" w:cs="Arial"/>
          <w:sz w:val="22"/>
          <w:szCs w:val="22"/>
          <w:lang w:val="en-GB"/>
        </w:rPr>
      </w:pPr>
      <w:r w:rsidRPr="00E4265B">
        <w:rPr>
          <w:rFonts w:ascii="Arial" w:hAnsi="Arial" w:cs="Arial"/>
          <w:sz w:val="22"/>
          <w:szCs w:val="22"/>
          <w:lang w:val="en-GB"/>
        </w:rPr>
        <w:t xml:space="preserve">Treatment of commodity </w:t>
      </w:r>
      <w:r w:rsidR="005F3B3B" w:rsidRPr="00E4265B">
        <w:rPr>
          <w:rFonts w:ascii="Arial" w:hAnsi="Arial" w:cs="Arial"/>
          <w:sz w:val="22"/>
          <w:szCs w:val="22"/>
          <w:lang w:val="en-GB"/>
        </w:rPr>
        <w:t>Derivative</w:t>
      </w:r>
      <w:r w:rsidRPr="00E4265B">
        <w:rPr>
          <w:rFonts w:ascii="Arial" w:hAnsi="Arial" w:cs="Arial"/>
          <w:sz w:val="22"/>
          <w:szCs w:val="22"/>
          <w:lang w:val="en-GB"/>
        </w:rPr>
        <w:t>s</w:t>
      </w:r>
    </w:p>
    <w:p w14:paraId="01428F18" w14:textId="77777777" w:rsidR="00E22FF2" w:rsidRPr="00E4265B" w:rsidRDefault="00632B7F"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.5.3</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w:t>
      </w:r>
    </w:p>
    <w:p w14:paraId="71784303" w14:textId="77777777" w:rsidR="00E22FF2" w:rsidRPr="00E4265B" w:rsidRDefault="00E911B6"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incorporate all F</w:t>
      </w:r>
      <w:r w:rsidR="00E22FF2" w:rsidRPr="00E4265B">
        <w:rPr>
          <w:rFonts w:ascii="Arial" w:hAnsi="Arial" w:cs="Arial"/>
          <w:sz w:val="22"/>
          <w:szCs w:val="22"/>
          <w:lang w:val="en-GB"/>
        </w:rPr>
        <w:t>utures and forward contracts relating to individual commodities in the measurement system as notional amounts and assigned a maturity with reference to the expiry date;</w:t>
      </w:r>
    </w:p>
    <w:p w14:paraId="2DAFCC3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incorporate commodity swaps where one leg is a fixed price and the other the current market price as a series of positions equal to the notional amount of the contract, with one position corresponding to each payment on the swap and slotted into the Maturity Ladder accordingly. The positions will be long positions if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paying fixed and receiving floating, and short positions if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receiving fixed and paying floating; and</w:t>
      </w:r>
    </w:p>
    <w:p w14:paraId="4C3B392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(c)</w:t>
      </w:r>
      <w:r w:rsidRPr="00E4265B">
        <w:rPr>
          <w:rFonts w:ascii="Arial" w:hAnsi="Arial" w:cs="Arial"/>
          <w:sz w:val="22"/>
          <w:szCs w:val="22"/>
          <w:lang w:val="en-GB"/>
        </w:rPr>
        <w:tab/>
        <w:t>incorporate commodity swaps where the legs are in different commodities in the relevant Maturity Ladder. No offsetting will be allowed in this regard except where the commodities belong to the same sub</w:t>
      </w:r>
      <w:r w:rsidRPr="00E4265B">
        <w:rPr>
          <w:rFonts w:ascii="Arial" w:hAnsi="Arial" w:cs="Arial"/>
          <w:sz w:val="22"/>
          <w:szCs w:val="22"/>
          <w:lang w:val="en-GB"/>
        </w:rPr>
        <w:noBreakHyphen/>
        <w:t>category.</w:t>
      </w:r>
    </w:p>
    <w:p w14:paraId="170D0DE0" w14:textId="77777777" w:rsidR="00E22FF2" w:rsidRPr="00E4265B" w:rsidRDefault="00BA32C3" w:rsidP="00AD7B61">
      <w:pPr>
        <w:pStyle w:val="List2TabStops"/>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.5.4</w:t>
      </w:r>
      <w:r w:rsidR="00E22FF2" w:rsidRPr="00E4265B">
        <w:rPr>
          <w:rFonts w:ascii="Arial" w:hAnsi="Arial" w:cs="Arial"/>
          <w:sz w:val="22"/>
          <w:szCs w:val="22"/>
          <w:lang w:val="en-GB"/>
        </w:rPr>
        <w:tab/>
        <w:t>(1)</w:t>
      </w:r>
      <w:r w:rsidR="00E22FF2" w:rsidRPr="00E4265B">
        <w:rPr>
          <w:rFonts w:ascii="Arial" w:hAnsi="Arial" w:cs="Arial"/>
          <w:sz w:val="22"/>
          <w:szCs w:val="22"/>
          <w:lang w:val="en-GB"/>
        </w:rPr>
        <w:tab/>
        <w:t xml:space="preserve">Subject to (2),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not net positions in different commodities for the purpose of calculating open positions.</w:t>
      </w:r>
    </w:p>
    <w:p w14:paraId="6ADA0963"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net positions in different commodities where those commodities:</w:t>
      </w:r>
    </w:p>
    <w:p w14:paraId="49A711F3" w14:textId="77777777"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are deliverable against each other; and</w:t>
      </w:r>
    </w:p>
    <w:p w14:paraId="29688234" w14:textId="77777777"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are in one or more sub</w:t>
      </w:r>
      <w:r w:rsidRPr="00E4265B">
        <w:rPr>
          <w:rFonts w:ascii="Arial" w:hAnsi="Arial" w:cs="Arial"/>
          <w:sz w:val="22"/>
          <w:szCs w:val="22"/>
          <w:lang w:val="en-GB"/>
        </w:rPr>
        <w:noBreakHyphen/>
        <w:t>categories of the same category;</w:t>
      </w:r>
    </w:p>
    <w:p w14:paraId="2957C016" w14:textId="77777777" w:rsidR="00E22FF2" w:rsidRPr="00E4265B" w:rsidRDefault="00E22FF2" w:rsidP="00AD7B61">
      <w:pPr>
        <w:pStyle w:val="TitleL5"/>
        <w:rPr>
          <w:rFonts w:ascii="Arial" w:hAnsi="Arial" w:cs="Arial"/>
          <w:sz w:val="22"/>
          <w:szCs w:val="22"/>
          <w:lang w:val="en-GB"/>
        </w:rPr>
      </w:pPr>
      <w:r w:rsidRPr="00E4265B">
        <w:rPr>
          <w:rFonts w:ascii="Arial" w:hAnsi="Arial" w:cs="Arial"/>
          <w:sz w:val="22"/>
          <w:szCs w:val="22"/>
          <w:lang w:val="en-GB"/>
        </w:rPr>
        <w:t>Guidance</w:t>
      </w:r>
    </w:p>
    <w:p w14:paraId="2670D280"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For the purposes of Rule A</w:t>
      </w:r>
      <w:r w:rsidR="00BA32C3" w:rsidRPr="00E4265B">
        <w:rPr>
          <w:rFonts w:ascii="Arial" w:hAnsi="Arial" w:cs="Arial"/>
          <w:sz w:val="22"/>
          <w:szCs w:val="22"/>
          <w:lang w:val="en-GB"/>
        </w:rPr>
        <w:t>6</w:t>
      </w:r>
      <w:r w:rsidRPr="00E4265B">
        <w:rPr>
          <w:rFonts w:ascii="Arial" w:hAnsi="Arial" w:cs="Arial"/>
          <w:sz w:val="22"/>
          <w:szCs w:val="22"/>
          <w:lang w:val="en-GB"/>
        </w:rPr>
        <w:t>.5.4, an example of a category is oil. An example of a sub</w:t>
      </w:r>
      <w:r w:rsidRPr="00E4265B">
        <w:rPr>
          <w:rFonts w:ascii="Arial" w:hAnsi="Arial" w:cs="Arial"/>
          <w:sz w:val="22"/>
          <w:szCs w:val="22"/>
          <w:lang w:val="en-GB"/>
        </w:rPr>
        <w:noBreakHyphen/>
        <w:t>category is Brent.</w:t>
      </w:r>
    </w:p>
    <w:p w14:paraId="51484F6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For the Simplified Approach and the Maturity Ladder approach, long and short positions in each commodity may be reported on a net basis for the purposes of calculating open positions.</w:t>
      </w:r>
    </w:p>
    <w:p w14:paraId="5E1B8A52" w14:textId="77777777" w:rsidR="00E22FF2" w:rsidRPr="00E4265B" w:rsidRDefault="00E22FF2" w:rsidP="00AD7B61">
      <w:pPr>
        <w:pStyle w:val="TitleL5"/>
        <w:rPr>
          <w:rFonts w:ascii="Arial" w:hAnsi="Arial" w:cs="Arial"/>
          <w:sz w:val="22"/>
          <w:szCs w:val="22"/>
          <w:lang w:val="en-GB"/>
        </w:rPr>
      </w:pPr>
      <w:r w:rsidRPr="00E4265B">
        <w:rPr>
          <w:rFonts w:ascii="Arial" w:hAnsi="Arial" w:cs="Arial"/>
          <w:sz w:val="22"/>
          <w:szCs w:val="22"/>
          <w:lang w:val="en-GB"/>
        </w:rPr>
        <w:t>Maturity Ladder approach</w:t>
      </w:r>
    </w:p>
    <w:p w14:paraId="61964C72" w14:textId="254F4687" w:rsidR="00E22FF2" w:rsidRPr="00E4265B" w:rsidRDefault="00E22FF2" w:rsidP="00AD7B61">
      <w:pPr>
        <w:pStyle w:val="List2TabStops"/>
        <w:rPr>
          <w:rFonts w:ascii="Arial" w:hAnsi="Arial" w:cs="Arial"/>
          <w:sz w:val="22"/>
          <w:szCs w:val="22"/>
          <w:lang w:val="en-GB"/>
        </w:rPr>
      </w:pPr>
      <w:r w:rsidRPr="00E4265B">
        <w:rPr>
          <w:rFonts w:ascii="Arial" w:hAnsi="Arial" w:cs="Arial"/>
          <w:b/>
          <w:bCs/>
          <w:sz w:val="22"/>
          <w:szCs w:val="22"/>
          <w:lang w:val="en-GB"/>
        </w:rPr>
        <w:t>A</w:t>
      </w:r>
      <w:r w:rsidR="00BA32C3" w:rsidRPr="00E4265B">
        <w:rPr>
          <w:rFonts w:ascii="Arial" w:hAnsi="Arial" w:cs="Arial"/>
          <w:b/>
          <w:bCs/>
          <w:sz w:val="22"/>
          <w:szCs w:val="22"/>
          <w:lang w:val="en-GB"/>
        </w:rPr>
        <w:t>6</w:t>
      </w:r>
      <w:r w:rsidRPr="00E4265B">
        <w:rPr>
          <w:rFonts w:ascii="Arial" w:hAnsi="Arial" w:cs="Arial"/>
          <w:b/>
          <w:bCs/>
          <w:sz w:val="22"/>
          <w:szCs w:val="22"/>
          <w:lang w:val="en-GB"/>
        </w:rPr>
        <w:t>.5.5</w:t>
      </w:r>
      <w:r w:rsidRPr="00E4265B">
        <w:rPr>
          <w:rFonts w:ascii="Arial" w:eastAsia="Arial" w:hAnsi="Arial" w:cs="Arial"/>
          <w:b/>
          <w:bCs/>
          <w:sz w:val="22"/>
          <w:szCs w:val="22"/>
          <w:lang w:val="en-GB"/>
        </w:rPr>
        <w:tab/>
      </w:r>
      <w:r w:rsidRPr="00E4265B">
        <w:rPr>
          <w:rFonts w:ascii="Arial" w:hAnsi="Arial" w:cs="Arial"/>
          <w:sz w:val="22"/>
          <w:szCs w:val="22"/>
          <w:lang w:val="en-GB"/>
        </w:rPr>
        <w:t>(1)</w:t>
      </w:r>
      <w:r w:rsidRPr="00E4265B">
        <w:rPr>
          <w:rFonts w:ascii="Arial" w:hAnsi="Arial" w:cs="Arial"/>
          <w:sz w:val="22"/>
          <w:szCs w:val="22"/>
          <w:lang w:val="en-GB"/>
        </w:rPr>
        <w:tab/>
        <w:t xml:space="preserve">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uses the Maturity Ladder approach to calculate the Commodities Risk Capital Requirement must:</w:t>
      </w:r>
    </w:p>
    <w:p w14:paraId="5DFF9764" w14:textId="77777777"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express each commodity position (spot and forward) in terms of the standard unit of measurement and net long and short positions maturing on the same day or maturing within ten business days of each other in the case of contracts traded in markets with daily delivery dates;</w:t>
      </w:r>
    </w:p>
    <w:p w14:paraId="315FB956" w14:textId="77777777"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allocate the positions remaining after taking the steps in (a) to the appropriate maturity band in the following table:</w:t>
      </w:r>
    </w:p>
    <w:tbl>
      <w:tblPr>
        <w:tblStyle w:val="TableGrid"/>
        <w:tblW w:w="0" w:type="auto"/>
        <w:tblInd w:w="2628" w:type="dxa"/>
        <w:tblLook w:val="04A0" w:firstRow="1" w:lastRow="0" w:firstColumn="1" w:lastColumn="0" w:noHBand="0" w:noVBand="1"/>
      </w:tblPr>
      <w:tblGrid>
        <w:gridCol w:w="1933"/>
        <w:gridCol w:w="4456"/>
      </w:tblGrid>
      <w:tr w:rsidR="00E22FF2" w:rsidRPr="00E4265B" w14:paraId="01646F8C" w14:textId="77777777" w:rsidTr="00AD7B61">
        <w:trPr>
          <w:tblHeader/>
        </w:trPr>
        <w:tc>
          <w:tcPr>
            <w:tcW w:w="1993" w:type="dxa"/>
            <w:shd w:val="clear" w:color="auto" w:fill="D9D9D9" w:themeFill="background1" w:themeFillShade="D9"/>
          </w:tcPr>
          <w:p w14:paraId="4055E232" w14:textId="77777777" w:rsidR="00E22FF2" w:rsidRPr="00E4265B" w:rsidRDefault="00E22FF2" w:rsidP="00530967">
            <w:pPr>
              <w:spacing w:line="276" w:lineRule="auto"/>
              <w:jc w:val="center"/>
              <w:rPr>
                <w:rFonts w:ascii="Arial" w:eastAsia="Arial" w:hAnsi="Arial" w:cs="Arial"/>
                <w:b/>
                <w:sz w:val="22"/>
                <w:szCs w:val="22"/>
                <w:lang w:val="en-GB"/>
              </w:rPr>
            </w:pPr>
            <w:r w:rsidRPr="00E4265B">
              <w:rPr>
                <w:rFonts w:ascii="Arial" w:hAnsi="Arial" w:cs="Arial"/>
                <w:b/>
                <w:sz w:val="22"/>
                <w:szCs w:val="22"/>
                <w:lang w:val="en-GB"/>
              </w:rPr>
              <w:t>Band</w:t>
            </w:r>
          </w:p>
        </w:tc>
        <w:tc>
          <w:tcPr>
            <w:tcW w:w="4622" w:type="dxa"/>
            <w:shd w:val="clear" w:color="auto" w:fill="D9D9D9" w:themeFill="background1" w:themeFillShade="D9"/>
          </w:tcPr>
          <w:p w14:paraId="39D37CB8" w14:textId="77777777" w:rsidR="00E22FF2" w:rsidRPr="00E4265B" w:rsidRDefault="00E22FF2" w:rsidP="00530967">
            <w:pPr>
              <w:spacing w:line="276" w:lineRule="auto"/>
              <w:jc w:val="center"/>
              <w:rPr>
                <w:rFonts w:ascii="Arial" w:hAnsi="Arial" w:cs="Arial"/>
                <w:b/>
                <w:sz w:val="22"/>
                <w:szCs w:val="22"/>
                <w:lang w:val="en-GB"/>
              </w:rPr>
            </w:pPr>
            <w:r w:rsidRPr="00E4265B">
              <w:rPr>
                <w:rFonts w:ascii="Arial" w:hAnsi="Arial" w:cs="Arial"/>
                <w:b/>
                <w:sz w:val="22"/>
                <w:szCs w:val="22"/>
                <w:lang w:val="en-GB"/>
              </w:rPr>
              <w:t>Maturity of Position</w:t>
            </w:r>
          </w:p>
        </w:tc>
      </w:tr>
      <w:tr w:rsidR="00E22FF2" w:rsidRPr="00E4265B" w14:paraId="754B21C6" w14:textId="77777777" w:rsidTr="00AD7B61">
        <w:tc>
          <w:tcPr>
            <w:tcW w:w="1993" w:type="dxa"/>
          </w:tcPr>
          <w:p w14:paraId="0517F307" w14:textId="560C3AC3" w:rsidR="00E22FF2" w:rsidRPr="00E4265B" w:rsidRDefault="00E22FF2" w:rsidP="00530967">
            <w:pPr>
              <w:spacing w:line="276" w:lineRule="auto"/>
              <w:jc w:val="center"/>
              <w:rPr>
                <w:rFonts w:ascii="Arial" w:hAnsi="Arial" w:cs="Arial"/>
                <w:sz w:val="22"/>
                <w:szCs w:val="22"/>
                <w:lang w:val="en-GB"/>
              </w:rPr>
            </w:pPr>
            <w:r w:rsidRPr="00E4265B">
              <w:rPr>
                <w:rFonts w:ascii="Arial" w:hAnsi="Arial" w:cs="Arial"/>
                <w:sz w:val="22"/>
                <w:szCs w:val="22"/>
                <w:lang w:val="en-GB"/>
              </w:rPr>
              <w:t>1</w:t>
            </w:r>
          </w:p>
        </w:tc>
        <w:tc>
          <w:tcPr>
            <w:tcW w:w="4622" w:type="dxa"/>
          </w:tcPr>
          <w:p w14:paraId="02D30A9F" w14:textId="5AA0CF29" w:rsidR="00E22FF2" w:rsidRPr="00E4265B" w:rsidRDefault="00E22FF2" w:rsidP="00530967">
            <w:pPr>
              <w:spacing w:line="276" w:lineRule="auto"/>
              <w:jc w:val="center"/>
              <w:rPr>
                <w:rFonts w:ascii="Arial" w:hAnsi="Arial" w:cs="Arial"/>
                <w:sz w:val="22"/>
                <w:szCs w:val="22"/>
                <w:lang w:val="en-GB"/>
              </w:rPr>
            </w:pPr>
            <w:r w:rsidRPr="00E4265B">
              <w:rPr>
                <w:rFonts w:ascii="Arial" w:hAnsi="Arial" w:cs="Arial"/>
                <w:sz w:val="22"/>
                <w:szCs w:val="22"/>
                <w:lang w:val="en-GB"/>
              </w:rPr>
              <w:t>0</w:t>
            </w:r>
            <w:r w:rsidR="00530967" w:rsidRPr="00E4265B">
              <w:rPr>
                <w:rFonts w:ascii="Arial" w:hAnsi="Arial" w:cs="Arial"/>
                <w:sz w:val="22"/>
                <w:szCs w:val="22"/>
                <w:lang w:val="en-GB"/>
              </w:rPr>
              <w:t xml:space="preserve"> to </w:t>
            </w:r>
            <w:r w:rsidRPr="00E4265B">
              <w:rPr>
                <w:rFonts w:ascii="Arial" w:hAnsi="Arial" w:cs="Arial"/>
                <w:sz w:val="22"/>
                <w:szCs w:val="22"/>
                <w:lang w:val="en-GB"/>
              </w:rPr>
              <w:t>1 month</w:t>
            </w:r>
          </w:p>
        </w:tc>
      </w:tr>
      <w:tr w:rsidR="00E22FF2" w:rsidRPr="00E4265B" w14:paraId="453B46C3" w14:textId="77777777" w:rsidTr="00AD7B61">
        <w:tc>
          <w:tcPr>
            <w:tcW w:w="1993" w:type="dxa"/>
          </w:tcPr>
          <w:p w14:paraId="5E5BA9B5" w14:textId="2E371D0A" w:rsidR="00E22FF2" w:rsidRPr="00E4265B" w:rsidRDefault="00E22FF2" w:rsidP="00530967">
            <w:pPr>
              <w:spacing w:line="276" w:lineRule="auto"/>
              <w:jc w:val="center"/>
              <w:rPr>
                <w:rFonts w:ascii="Arial" w:hAnsi="Arial" w:cs="Arial"/>
                <w:sz w:val="22"/>
                <w:szCs w:val="22"/>
                <w:lang w:val="en-GB"/>
              </w:rPr>
            </w:pPr>
            <w:r w:rsidRPr="00E4265B">
              <w:rPr>
                <w:rFonts w:ascii="Arial" w:hAnsi="Arial" w:cs="Arial"/>
                <w:sz w:val="22"/>
                <w:szCs w:val="22"/>
                <w:lang w:val="en-GB"/>
              </w:rPr>
              <w:t>2</w:t>
            </w:r>
          </w:p>
        </w:tc>
        <w:tc>
          <w:tcPr>
            <w:tcW w:w="4622" w:type="dxa"/>
          </w:tcPr>
          <w:p w14:paraId="7D8A7F1C" w14:textId="0326028B" w:rsidR="00E22FF2" w:rsidRPr="00E4265B" w:rsidRDefault="00E22FF2" w:rsidP="00530967">
            <w:pPr>
              <w:spacing w:line="276" w:lineRule="auto"/>
              <w:jc w:val="center"/>
              <w:rPr>
                <w:rFonts w:ascii="Arial" w:hAnsi="Arial" w:cs="Arial"/>
                <w:sz w:val="22"/>
                <w:szCs w:val="22"/>
                <w:lang w:val="en-GB"/>
              </w:rPr>
            </w:pPr>
            <w:r w:rsidRPr="00E4265B">
              <w:rPr>
                <w:rFonts w:ascii="Arial" w:hAnsi="Arial" w:cs="Arial"/>
                <w:sz w:val="22"/>
                <w:szCs w:val="22"/>
                <w:lang w:val="en-GB"/>
              </w:rPr>
              <w:t>1 </w:t>
            </w:r>
            <w:r w:rsidR="00530967" w:rsidRPr="00E4265B">
              <w:rPr>
                <w:rFonts w:ascii="Arial" w:hAnsi="Arial" w:cs="Arial"/>
                <w:sz w:val="22"/>
                <w:szCs w:val="22"/>
                <w:lang w:val="en-GB"/>
              </w:rPr>
              <w:t>to</w:t>
            </w:r>
            <w:r w:rsidRPr="00E4265B">
              <w:rPr>
                <w:rFonts w:ascii="Arial" w:hAnsi="Arial" w:cs="Arial"/>
                <w:sz w:val="22"/>
                <w:szCs w:val="22"/>
                <w:lang w:val="en-GB"/>
              </w:rPr>
              <w:t xml:space="preserve"> 3 months</w:t>
            </w:r>
          </w:p>
        </w:tc>
      </w:tr>
      <w:tr w:rsidR="00E22FF2" w:rsidRPr="00E4265B" w14:paraId="6607CEEF" w14:textId="77777777" w:rsidTr="00AD7B61">
        <w:tc>
          <w:tcPr>
            <w:tcW w:w="1993" w:type="dxa"/>
          </w:tcPr>
          <w:p w14:paraId="0E168EC5" w14:textId="1361C614" w:rsidR="00E22FF2" w:rsidRPr="00E4265B" w:rsidRDefault="00E22FF2" w:rsidP="00530967">
            <w:pPr>
              <w:spacing w:line="276" w:lineRule="auto"/>
              <w:jc w:val="center"/>
              <w:rPr>
                <w:rFonts w:ascii="Arial" w:hAnsi="Arial" w:cs="Arial"/>
                <w:sz w:val="22"/>
                <w:szCs w:val="22"/>
                <w:lang w:val="en-GB"/>
              </w:rPr>
            </w:pPr>
            <w:r w:rsidRPr="00E4265B">
              <w:rPr>
                <w:rFonts w:ascii="Arial" w:hAnsi="Arial" w:cs="Arial"/>
                <w:sz w:val="22"/>
                <w:szCs w:val="22"/>
                <w:lang w:val="en-GB"/>
              </w:rPr>
              <w:t>3</w:t>
            </w:r>
          </w:p>
        </w:tc>
        <w:tc>
          <w:tcPr>
            <w:tcW w:w="4622" w:type="dxa"/>
          </w:tcPr>
          <w:p w14:paraId="126FCC93" w14:textId="77E0F1F0" w:rsidR="00E22FF2" w:rsidRPr="00E4265B" w:rsidRDefault="00E22FF2" w:rsidP="00530967">
            <w:pPr>
              <w:spacing w:line="276" w:lineRule="auto"/>
              <w:jc w:val="center"/>
              <w:rPr>
                <w:rFonts w:ascii="Arial" w:hAnsi="Arial" w:cs="Arial"/>
                <w:sz w:val="22"/>
                <w:szCs w:val="22"/>
                <w:lang w:val="en-GB"/>
              </w:rPr>
            </w:pPr>
            <w:r w:rsidRPr="00E4265B">
              <w:rPr>
                <w:rFonts w:ascii="Arial" w:hAnsi="Arial" w:cs="Arial"/>
                <w:sz w:val="22"/>
                <w:szCs w:val="22"/>
                <w:lang w:val="en-GB"/>
              </w:rPr>
              <w:t>3 </w:t>
            </w:r>
            <w:r w:rsidR="00530967" w:rsidRPr="00E4265B">
              <w:rPr>
                <w:rFonts w:ascii="Arial" w:hAnsi="Arial" w:cs="Arial"/>
                <w:sz w:val="22"/>
                <w:szCs w:val="22"/>
                <w:lang w:val="en-GB"/>
              </w:rPr>
              <w:t>to</w:t>
            </w:r>
            <w:r w:rsidRPr="00E4265B">
              <w:rPr>
                <w:rFonts w:ascii="Arial" w:hAnsi="Arial" w:cs="Arial"/>
                <w:sz w:val="22"/>
                <w:szCs w:val="22"/>
                <w:lang w:val="en-GB"/>
              </w:rPr>
              <w:t xml:space="preserve"> 6 months</w:t>
            </w:r>
          </w:p>
        </w:tc>
      </w:tr>
      <w:tr w:rsidR="00E22FF2" w:rsidRPr="00E4265B" w14:paraId="3E0E0080" w14:textId="77777777" w:rsidTr="00AD7B61">
        <w:tc>
          <w:tcPr>
            <w:tcW w:w="1993" w:type="dxa"/>
          </w:tcPr>
          <w:p w14:paraId="549A951E" w14:textId="28F89EA5" w:rsidR="00E22FF2" w:rsidRPr="00E4265B" w:rsidRDefault="00E22FF2" w:rsidP="00530967">
            <w:pPr>
              <w:spacing w:line="276" w:lineRule="auto"/>
              <w:jc w:val="center"/>
              <w:rPr>
                <w:rFonts w:ascii="Arial" w:hAnsi="Arial" w:cs="Arial"/>
                <w:sz w:val="22"/>
                <w:szCs w:val="22"/>
                <w:lang w:val="en-GB"/>
              </w:rPr>
            </w:pPr>
            <w:r w:rsidRPr="00E4265B">
              <w:rPr>
                <w:rFonts w:ascii="Arial" w:hAnsi="Arial" w:cs="Arial"/>
                <w:sz w:val="22"/>
                <w:szCs w:val="22"/>
                <w:lang w:val="en-GB"/>
              </w:rPr>
              <w:t>4</w:t>
            </w:r>
          </w:p>
        </w:tc>
        <w:tc>
          <w:tcPr>
            <w:tcW w:w="4622" w:type="dxa"/>
          </w:tcPr>
          <w:p w14:paraId="49578820" w14:textId="3EFA7A98" w:rsidR="00E22FF2" w:rsidRPr="00E4265B" w:rsidRDefault="00E22FF2" w:rsidP="00530967">
            <w:pPr>
              <w:spacing w:line="276" w:lineRule="auto"/>
              <w:jc w:val="center"/>
              <w:rPr>
                <w:rFonts w:ascii="Arial" w:hAnsi="Arial" w:cs="Arial"/>
                <w:sz w:val="22"/>
                <w:szCs w:val="22"/>
                <w:lang w:val="en-GB"/>
              </w:rPr>
            </w:pPr>
            <w:r w:rsidRPr="00E4265B">
              <w:rPr>
                <w:rFonts w:ascii="Arial" w:hAnsi="Arial" w:cs="Arial"/>
                <w:sz w:val="22"/>
                <w:szCs w:val="22"/>
                <w:lang w:val="en-GB"/>
              </w:rPr>
              <w:t>6 </w:t>
            </w:r>
            <w:r w:rsidR="00530967" w:rsidRPr="00E4265B">
              <w:rPr>
                <w:rFonts w:ascii="Arial" w:hAnsi="Arial" w:cs="Arial"/>
                <w:sz w:val="22"/>
                <w:szCs w:val="22"/>
                <w:lang w:val="en-GB"/>
              </w:rPr>
              <w:t>to</w:t>
            </w:r>
            <w:r w:rsidRPr="00E4265B">
              <w:rPr>
                <w:rFonts w:ascii="Arial" w:hAnsi="Arial" w:cs="Arial"/>
                <w:sz w:val="22"/>
                <w:szCs w:val="22"/>
                <w:lang w:val="en-GB"/>
              </w:rPr>
              <w:t xml:space="preserve"> 12 months</w:t>
            </w:r>
          </w:p>
        </w:tc>
      </w:tr>
      <w:tr w:rsidR="00E22FF2" w:rsidRPr="00E4265B" w14:paraId="797B43D8" w14:textId="77777777" w:rsidTr="00AD7B61">
        <w:tc>
          <w:tcPr>
            <w:tcW w:w="1993" w:type="dxa"/>
          </w:tcPr>
          <w:p w14:paraId="3A361647" w14:textId="64EAEE51" w:rsidR="00E22FF2" w:rsidRPr="00E4265B" w:rsidRDefault="00E22FF2" w:rsidP="00530967">
            <w:pPr>
              <w:spacing w:line="276" w:lineRule="auto"/>
              <w:jc w:val="center"/>
              <w:rPr>
                <w:rFonts w:ascii="Arial" w:hAnsi="Arial" w:cs="Arial"/>
                <w:sz w:val="22"/>
                <w:szCs w:val="22"/>
                <w:lang w:val="en-GB"/>
              </w:rPr>
            </w:pPr>
            <w:r w:rsidRPr="00E4265B">
              <w:rPr>
                <w:rFonts w:ascii="Arial" w:hAnsi="Arial" w:cs="Arial"/>
                <w:sz w:val="22"/>
                <w:szCs w:val="22"/>
                <w:lang w:val="en-GB"/>
              </w:rPr>
              <w:t>5</w:t>
            </w:r>
          </w:p>
        </w:tc>
        <w:tc>
          <w:tcPr>
            <w:tcW w:w="4622" w:type="dxa"/>
          </w:tcPr>
          <w:p w14:paraId="48016B39" w14:textId="23A58F04" w:rsidR="00E22FF2" w:rsidRPr="00E4265B" w:rsidRDefault="00E22FF2" w:rsidP="00530967">
            <w:pPr>
              <w:spacing w:line="276" w:lineRule="auto"/>
              <w:jc w:val="center"/>
              <w:rPr>
                <w:rFonts w:ascii="Arial" w:hAnsi="Arial" w:cs="Arial"/>
                <w:sz w:val="22"/>
                <w:szCs w:val="22"/>
                <w:lang w:val="en-GB"/>
              </w:rPr>
            </w:pPr>
            <w:r w:rsidRPr="00E4265B">
              <w:rPr>
                <w:rFonts w:ascii="Arial" w:hAnsi="Arial" w:cs="Arial"/>
                <w:sz w:val="22"/>
                <w:szCs w:val="22"/>
                <w:lang w:val="en-GB"/>
              </w:rPr>
              <w:t>1 </w:t>
            </w:r>
            <w:r w:rsidR="00530967" w:rsidRPr="00E4265B">
              <w:rPr>
                <w:rFonts w:ascii="Arial" w:hAnsi="Arial" w:cs="Arial"/>
                <w:sz w:val="22"/>
                <w:szCs w:val="22"/>
                <w:lang w:val="en-GB"/>
              </w:rPr>
              <w:t>to</w:t>
            </w:r>
            <w:r w:rsidRPr="00E4265B">
              <w:rPr>
                <w:rFonts w:ascii="Arial" w:hAnsi="Arial" w:cs="Arial"/>
                <w:sz w:val="22"/>
                <w:szCs w:val="22"/>
                <w:lang w:val="en-GB"/>
              </w:rPr>
              <w:t xml:space="preserve"> 2 years</w:t>
            </w:r>
          </w:p>
        </w:tc>
      </w:tr>
      <w:tr w:rsidR="00E22FF2" w:rsidRPr="00E4265B" w14:paraId="4BF5EDE3" w14:textId="77777777" w:rsidTr="00AD7B61">
        <w:tc>
          <w:tcPr>
            <w:tcW w:w="1993" w:type="dxa"/>
          </w:tcPr>
          <w:p w14:paraId="08E6A305" w14:textId="23C5731E" w:rsidR="00E22FF2" w:rsidRPr="00E4265B" w:rsidRDefault="00E22FF2" w:rsidP="00530967">
            <w:pPr>
              <w:spacing w:line="276" w:lineRule="auto"/>
              <w:jc w:val="center"/>
              <w:rPr>
                <w:rFonts w:ascii="Arial" w:hAnsi="Arial" w:cs="Arial"/>
                <w:sz w:val="22"/>
                <w:szCs w:val="22"/>
                <w:lang w:val="en-GB"/>
              </w:rPr>
            </w:pPr>
            <w:r w:rsidRPr="00E4265B">
              <w:rPr>
                <w:rFonts w:ascii="Arial" w:hAnsi="Arial" w:cs="Arial"/>
                <w:sz w:val="22"/>
                <w:szCs w:val="22"/>
                <w:lang w:val="en-GB"/>
              </w:rPr>
              <w:t>6</w:t>
            </w:r>
          </w:p>
        </w:tc>
        <w:tc>
          <w:tcPr>
            <w:tcW w:w="4622" w:type="dxa"/>
          </w:tcPr>
          <w:p w14:paraId="13089983" w14:textId="50E03F01" w:rsidR="00E22FF2" w:rsidRPr="00E4265B" w:rsidRDefault="00E22FF2" w:rsidP="00530967">
            <w:pPr>
              <w:spacing w:line="276" w:lineRule="auto"/>
              <w:jc w:val="center"/>
              <w:rPr>
                <w:rFonts w:ascii="Arial" w:hAnsi="Arial" w:cs="Arial"/>
                <w:sz w:val="22"/>
                <w:szCs w:val="22"/>
                <w:lang w:val="en-GB"/>
              </w:rPr>
            </w:pPr>
            <w:r w:rsidRPr="00E4265B">
              <w:rPr>
                <w:rFonts w:ascii="Arial" w:hAnsi="Arial" w:cs="Arial"/>
                <w:sz w:val="22"/>
                <w:szCs w:val="22"/>
                <w:lang w:val="en-GB"/>
              </w:rPr>
              <w:t>2 </w:t>
            </w:r>
            <w:r w:rsidR="00530967" w:rsidRPr="00E4265B">
              <w:rPr>
                <w:rFonts w:ascii="Arial" w:hAnsi="Arial" w:cs="Arial"/>
                <w:sz w:val="22"/>
                <w:szCs w:val="22"/>
                <w:lang w:val="en-GB"/>
              </w:rPr>
              <w:t>to</w:t>
            </w:r>
            <w:r w:rsidRPr="00E4265B">
              <w:rPr>
                <w:rFonts w:ascii="Arial" w:hAnsi="Arial" w:cs="Arial"/>
                <w:sz w:val="22"/>
                <w:szCs w:val="22"/>
                <w:lang w:val="en-GB"/>
              </w:rPr>
              <w:t xml:space="preserve"> 3 years</w:t>
            </w:r>
          </w:p>
        </w:tc>
      </w:tr>
      <w:tr w:rsidR="00E22FF2" w:rsidRPr="00E4265B" w14:paraId="510F1046" w14:textId="77777777" w:rsidTr="00AD7B61">
        <w:tc>
          <w:tcPr>
            <w:tcW w:w="1993" w:type="dxa"/>
          </w:tcPr>
          <w:p w14:paraId="34B3F941" w14:textId="68DE09A2" w:rsidR="00E22FF2" w:rsidRPr="00E4265B" w:rsidRDefault="00E22FF2" w:rsidP="00530967">
            <w:pPr>
              <w:spacing w:line="276" w:lineRule="auto"/>
              <w:jc w:val="center"/>
              <w:rPr>
                <w:rFonts w:ascii="Arial" w:hAnsi="Arial" w:cs="Arial"/>
                <w:sz w:val="22"/>
                <w:szCs w:val="22"/>
                <w:lang w:val="en-GB"/>
              </w:rPr>
            </w:pPr>
            <w:r w:rsidRPr="00E4265B">
              <w:rPr>
                <w:rFonts w:ascii="Arial" w:hAnsi="Arial" w:cs="Arial"/>
                <w:sz w:val="22"/>
                <w:szCs w:val="22"/>
                <w:lang w:val="en-GB"/>
              </w:rPr>
              <w:t>7</w:t>
            </w:r>
          </w:p>
        </w:tc>
        <w:tc>
          <w:tcPr>
            <w:tcW w:w="4622" w:type="dxa"/>
          </w:tcPr>
          <w:p w14:paraId="776DF9A4" w14:textId="77777777" w:rsidR="00E22FF2" w:rsidRPr="00E4265B" w:rsidRDefault="00E22FF2" w:rsidP="00530967">
            <w:pPr>
              <w:spacing w:line="276" w:lineRule="auto"/>
              <w:jc w:val="center"/>
              <w:rPr>
                <w:rFonts w:ascii="Arial" w:hAnsi="Arial" w:cs="Arial"/>
                <w:sz w:val="22"/>
                <w:szCs w:val="22"/>
                <w:lang w:val="en-GB"/>
              </w:rPr>
            </w:pPr>
            <w:r w:rsidRPr="00E4265B">
              <w:rPr>
                <w:rFonts w:ascii="Arial" w:hAnsi="Arial" w:cs="Arial"/>
                <w:sz w:val="22"/>
                <w:szCs w:val="22"/>
                <w:lang w:val="en-GB"/>
              </w:rPr>
              <w:t>Over 3 years</w:t>
            </w:r>
          </w:p>
        </w:tc>
      </w:tr>
    </w:tbl>
    <w:p w14:paraId="49F02578" w14:textId="77777777" w:rsidR="00E22FF2" w:rsidRPr="00E4265B" w:rsidRDefault="00E22FF2" w:rsidP="00AD7B61">
      <w:pPr>
        <w:rPr>
          <w:rFonts w:ascii="Arial" w:hAnsi="Arial" w:cs="Arial"/>
          <w:sz w:val="22"/>
          <w:szCs w:val="22"/>
          <w:lang w:val="en-GB"/>
        </w:rPr>
      </w:pPr>
    </w:p>
    <w:p w14:paraId="1CDA56D8" w14:textId="2887DB1D"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calculate the spread charge each time long and short positions are matched within each band. In each instance, the spread charge equals the matched amount multiplied first by the </w:t>
      </w:r>
      <w:r w:rsidR="004B3140" w:rsidRPr="00E4265B">
        <w:rPr>
          <w:rFonts w:ascii="Arial" w:hAnsi="Arial" w:cs="Arial"/>
          <w:sz w:val="22"/>
          <w:szCs w:val="22"/>
          <w:lang w:val="en-GB"/>
        </w:rPr>
        <w:t xml:space="preserve">unit </w:t>
      </w:r>
      <w:r w:rsidRPr="00E4265B">
        <w:rPr>
          <w:rFonts w:ascii="Arial" w:hAnsi="Arial" w:cs="Arial"/>
          <w:sz w:val="22"/>
          <w:szCs w:val="22"/>
          <w:lang w:val="en-GB"/>
        </w:rPr>
        <w:t>spot price for the commodity and then by a spread rate of 1.5%;</w:t>
      </w:r>
    </w:p>
    <w:p w14:paraId="7F4265AC" w14:textId="7EEDAFC3"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calculate a carry charge for each position that is carried across to another maturity band. In each instance, the carry charge equals </w:t>
      </w:r>
      <w:r w:rsidRPr="00E4265B">
        <w:rPr>
          <w:rFonts w:ascii="Arial" w:hAnsi="Arial" w:cs="Arial"/>
          <w:sz w:val="22"/>
          <w:szCs w:val="22"/>
          <w:lang w:val="en-GB"/>
        </w:rPr>
        <w:lastRenderedPageBreak/>
        <w:t xml:space="preserve">the carried position multiplied first by the </w:t>
      </w:r>
      <w:r w:rsidR="004B3140" w:rsidRPr="00E4265B">
        <w:rPr>
          <w:rFonts w:ascii="Arial" w:hAnsi="Arial" w:cs="Arial"/>
          <w:sz w:val="22"/>
          <w:szCs w:val="22"/>
          <w:lang w:val="en-GB"/>
        </w:rPr>
        <w:t xml:space="preserve">unit </w:t>
      </w:r>
      <w:r w:rsidRPr="00E4265B">
        <w:rPr>
          <w:rFonts w:ascii="Arial" w:hAnsi="Arial" w:cs="Arial"/>
          <w:sz w:val="22"/>
          <w:szCs w:val="22"/>
          <w:lang w:val="en-GB"/>
        </w:rPr>
        <w:t>spot price for the commodity, then by the carry rate of 0.6% and finally by the number of bands by which the position is carried;</w:t>
      </w:r>
    </w:p>
    <w:p w14:paraId="31436315" w14:textId="77777777"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repeat (c) if necessary;</w:t>
      </w:r>
    </w:p>
    <w:p w14:paraId="013CF02E" w14:textId="7F7CCFEF"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 xml:space="preserve">calculate the outright charge by multiplying all remaining unmatched positions (long plus short, ignoring the sign) by the </w:t>
      </w:r>
      <w:r w:rsidR="004B3140" w:rsidRPr="00E4265B">
        <w:rPr>
          <w:rFonts w:ascii="Arial" w:hAnsi="Arial" w:cs="Arial"/>
          <w:sz w:val="22"/>
          <w:szCs w:val="22"/>
          <w:lang w:val="en-GB"/>
        </w:rPr>
        <w:t xml:space="preserve">unit </w:t>
      </w:r>
      <w:r w:rsidRPr="00E4265B">
        <w:rPr>
          <w:rFonts w:ascii="Arial" w:hAnsi="Arial" w:cs="Arial"/>
          <w:sz w:val="22"/>
          <w:szCs w:val="22"/>
          <w:lang w:val="en-GB"/>
        </w:rPr>
        <w:t>spot price for the commodity, then by 15%; and</w:t>
      </w:r>
    </w:p>
    <w:p w14:paraId="19D6B622" w14:textId="77777777"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sum the totals for Bands 2 to 7 referred to in (b), to reach the total requirement.</w:t>
      </w:r>
    </w:p>
    <w:p w14:paraId="5D15EA4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For the purposes of (1)(b),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w:t>
      </w:r>
    </w:p>
    <w:p w14:paraId="2CC9866A" w14:textId="77777777"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allocate physical stocks to the first maturity band; and</w:t>
      </w:r>
    </w:p>
    <w:p w14:paraId="4A365FC8" w14:textId="77777777" w:rsidR="00E22FF2" w:rsidRPr="00E4265B" w:rsidRDefault="00E22FF2" w:rsidP="00AD7B61">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set a separate Maturity Ladder for each commodity.</w:t>
      </w:r>
    </w:p>
    <w:p w14:paraId="23055C3E" w14:textId="77777777" w:rsidR="00E22FF2" w:rsidRPr="00E4265B" w:rsidRDefault="00E22FF2" w:rsidP="00AD7B61">
      <w:pPr>
        <w:pStyle w:val="TitleL5"/>
        <w:rPr>
          <w:rFonts w:ascii="Arial" w:hAnsi="Arial" w:cs="Arial"/>
          <w:sz w:val="22"/>
          <w:szCs w:val="22"/>
          <w:lang w:val="en-GB"/>
        </w:rPr>
      </w:pPr>
      <w:r w:rsidRPr="00E4265B">
        <w:rPr>
          <w:rFonts w:ascii="Arial" w:hAnsi="Arial" w:cs="Arial"/>
          <w:sz w:val="22"/>
          <w:szCs w:val="22"/>
          <w:lang w:val="en-GB"/>
        </w:rPr>
        <w:t>Guidance</w:t>
      </w:r>
    </w:p>
    <w:p w14:paraId="1FB06F2C" w14:textId="77777777" w:rsidR="00E22FF2" w:rsidRPr="00E4265B" w:rsidRDefault="00E22FF2" w:rsidP="00AD7B61">
      <w:pPr>
        <w:pStyle w:val="UK12Block05"/>
        <w:rPr>
          <w:rFonts w:ascii="Arial" w:hAnsi="Arial" w:cs="Arial"/>
          <w:sz w:val="22"/>
          <w:szCs w:val="22"/>
          <w:lang w:val="en-GB"/>
        </w:rPr>
      </w:pPr>
      <w:r w:rsidRPr="00E4265B">
        <w:rPr>
          <w:rFonts w:ascii="Arial" w:hAnsi="Arial" w:cs="Arial"/>
          <w:sz w:val="22"/>
          <w:szCs w:val="22"/>
          <w:lang w:val="en-GB"/>
        </w:rPr>
        <w:t>The table below illustrates the calculation of the Commodity Risk Capital Requirement on an individual commodity using the Maturity Ladder approach.</w:t>
      </w:r>
    </w:p>
    <w:p w14:paraId="4EA5AABF" w14:textId="77777777" w:rsidR="00E22FF2" w:rsidRPr="00E4265B" w:rsidRDefault="00E22FF2">
      <w:pPr>
        <w:rPr>
          <w:rFonts w:ascii="Arial" w:eastAsia="Times New Roman" w:hAnsi="Arial" w:cs="Arial"/>
          <w:sz w:val="22"/>
          <w:szCs w:val="22"/>
          <w:lang w:val="en-GB"/>
        </w:rPr>
      </w:pPr>
      <w:r w:rsidRPr="00E4265B">
        <w:rPr>
          <w:rFonts w:ascii="Arial" w:hAnsi="Arial" w:cs="Arial"/>
          <w:sz w:val="22"/>
          <w:szCs w:val="22"/>
          <w:lang w:val="en-GB"/>
        </w:rPr>
        <w:br w:type="page"/>
      </w:r>
    </w:p>
    <w:p w14:paraId="44945154" w14:textId="0DE7EDDC" w:rsidR="00E22FF2" w:rsidRPr="00E4265B" w:rsidRDefault="00E22FF2" w:rsidP="00AD7B61">
      <w:pPr>
        <w:pStyle w:val="UK12Block05"/>
        <w:rPr>
          <w:rFonts w:ascii="Arial" w:hAnsi="Arial" w:cs="Arial"/>
          <w:sz w:val="22"/>
          <w:szCs w:val="22"/>
          <w:lang w:val="en-GB"/>
        </w:rPr>
      </w:pPr>
    </w:p>
    <w:tbl>
      <w:tblPr>
        <w:tblStyle w:val="TableGrid"/>
        <w:tblW w:w="0" w:type="auto"/>
        <w:tblLook w:val="04A0" w:firstRow="1" w:lastRow="0" w:firstColumn="1" w:lastColumn="0" w:noHBand="0" w:noVBand="1"/>
      </w:tblPr>
      <w:tblGrid>
        <w:gridCol w:w="1634"/>
        <w:gridCol w:w="1414"/>
        <w:gridCol w:w="1485"/>
        <w:gridCol w:w="1712"/>
        <w:gridCol w:w="1402"/>
        <w:gridCol w:w="1370"/>
      </w:tblGrid>
      <w:tr w:rsidR="00E22FF2" w:rsidRPr="00E4265B" w14:paraId="035AE52A" w14:textId="77777777" w:rsidTr="002A510C">
        <w:tc>
          <w:tcPr>
            <w:tcW w:w="9243" w:type="dxa"/>
            <w:gridSpan w:val="6"/>
            <w:shd w:val="clear" w:color="auto" w:fill="D9D9D9" w:themeFill="background1" w:themeFillShade="D9"/>
          </w:tcPr>
          <w:p w14:paraId="0900EB98" w14:textId="5FD2D626" w:rsidR="00E22FF2" w:rsidRPr="00E4265B" w:rsidRDefault="00E22FF2" w:rsidP="00B44E90">
            <w:pPr>
              <w:spacing w:after="240"/>
              <w:rPr>
                <w:rFonts w:ascii="Arial" w:hAnsi="Arial" w:cs="Arial"/>
                <w:sz w:val="22"/>
                <w:szCs w:val="22"/>
                <w:lang w:val="en-GB"/>
              </w:rPr>
            </w:pPr>
            <w:r w:rsidRPr="00E4265B">
              <w:rPr>
                <w:rFonts w:ascii="Arial" w:hAnsi="Arial" w:cs="Arial"/>
                <w:sz w:val="22"/>
                <w:szCs w:val="22"/>
                <w:lang w:val="en-GB"/>
              </w:rPr>
              <w:t>After a firm has carried out the pre-processing required by A</w:t>
            </w:r>
            <w:r w:rsidR="00955AE0" w:rsidRPr="00E4265B">
              <w:rPr>
                <w:rFonts w:ascii="Arial" w:hAnsi="Arial" w:cs="Arial"/>
                <w:sz w:val="22"/>
                <w:szCs w:val="22"/>
                <w:lang w:val="en-GB"/>
              </w:rPr>
              <w:t>6</w:t>
            </w:r>
            <w:r w:rsidRPr="00E4265B">
              <w:rPr>
                <w:rFonts w:ascii="Arial" w:hAnsi="Arial" w:cs="Arial"/>
                <w:sz w:val="22"/>
                <w:szCs w:val="22"/>
                <w:lang w:val="en-GB"/>
              </w:rPr>
              <w:t>.5.5(1)(a), it follows the steps required by Rule A</w:t>
            </w:r>
            <w:r w:rsidR="00B44E90" w:rsidRPr="00E4265B">
              <w:rPr>
                <w:rFonts w:ascii="Arial" w:hAnsi="Arial" w:cs="Arial"/>
                <w:sz w:val="22"/>
                <w:szCs w:val="22"/>
                <w:lang w:val="en-GB"/>
              </w:rPr>
              <w:t>6</w:t>
            </w:r>
            <w:r w:rsidRPr="00E4265B">
              <w:rPr>
                <w:rFonts w:ascii="Arial" w:hAnsi="Arial" w:cs="Arial"/>
                <w:sz w:val="22"/>
                <w:szCs w:val="22"/>
                <w:lang w:val="en-GB"/>
              </w:rPr>
              <w:t xml:space="preserve">.5.5(1)(a) to (g). The spread rate is 1.5%, the carry rate is 0.6% and the outright rate is 15%. The example assumes that the </w:t>
            </w:r>
            <w:r w:rsidR="004B3140" w:rsidRPr="00E4265B">
              <w:rPr>
                <w:rFonts w:ascii="Arial" w:hAnsi="Arial" w:cs="Arial"/>
                <w:sz w:val="22"/>
                <w:szCs w:val="22"/>
                <w:lang w:val="en-GB"/>
              </w:rPr>
              <w:t xml:space="preserve">unit </w:t>
            </w:r>
            <w:r w:rsidRPr="00E4265B">
              <w:rPr>
                <w:rFonts w:ascii="Arial" w:hAnsi="Arial" w:cs="Arial"/>
                <w:sz w:val="22"/>
                <w:szCs w:val="22"/>
                <w:lang w:val="en-GB"/>
              </w:rPr>
              <w:t>spot price for the commodity is $20</w:t>
            </w:r>
          </w:p>
        </w:tc>
      </w:tr>
      <w:tr w:rsidR="002A510C" w:rsidRPr="00E4265B" w14:paraId="36CFE90D" w14:textId="77777777" w:rsidTr="002A510C">
        <w:tc>
          <w:tcPr>
            <w:tcW w:w="1859" w:type="dxa"/>
            <w:shd w:val="clear" w:color="auto" w:fill="D9D9D9" w:themeFill="background1" w:themeFillShade="D9"/>
          </w:tcPr>
          <w:p w14:paraId="2DD2267E" w14:textId="77777777" w:rsidR="002A510C" w:rsidRPr="00E4265B" w:rsidRDefault="002A510C" w:rsidP="00B44E90">
            <w:pPr>
              <w:spacing w:after="240"/>
              <w:rPr>
                <w:rFonts w:ascii="Arial" w:hAnsi="Arial" w:cs="Arial"/>
                <w:sz w:val="22"/>
                <w:szCs w:val="22"/>
                <w:lang w:val="en-GB"/>
              </w:rPr>
            </w:pPr>
          </w:p>
        </w:tc>
        <w:tc>
          <w:tcPr>
            <w:tcW w:w="7384" w:type="dxa"/>
            <w:gridSpan w:val="5"/>
            <w:shd w:val="clear" w:color="auto" w:fill="D9D9D9" w:themeFill="background1" w:themeFillShade="D9"/>
            <w:vAlign w:val="center"/>
          </w:tcPr>
          <w:p w14:paraId="57A02C4A" w14:textId="29FD7FAC" w:rsidR="002A510C" w:rsidRPr="00E4265B" w:rsidRDefault="002A510C" w:rsidP="002A510C">
            <w:pPr>
              <w:spacing w:after="240"/>
              <w:rPr>
                <w:rFonts w:ascii="Arial" w:hAnsi="Arial" w:cs="Arial"/>
                <w:b/>
                <w:bCs/>
                <w:sz w:val="22"/>
                <w:szCs w:val="22"/>
                <w:lang w:val="en-GB"/>
              </w:rPr>
            </w:pPr>
            <w:r w:rsidRPr="00E4265B">
              <w:rPr>
                <w:rFonts w:ascii="Arial" w:hAnsi="Arial" w:cs="Arial"/>
                <w:b/>
                <w:bCs/>
                <w:sz w:val="22"/>
                <w:szCs w:val="22"/>
                <w:lang w:val="en-GB"/>
              </w:rPr>
              <w:t xml:space="preserve">STEPS </w:t>
            </w:r>
            <w:r w:rsidRPr="00E4265B">
              <w:rPr>
                <w:rFonts w:ascii="Arial" w:hAnsi="Arial" w:cs="Arial"/>
                <w:b/>
                <w:bCs/>
                <w:sz w:val="22"/>
                <w:szCs w:val="22"/>
                <w:lang w:val="en-GB"/>
              </w:rPr>
              <w:sym w:font="Wingdings" w:char="F0E8"/>
            </w:r>
          </w:p>
        </w:tc>
      </w:tr>
      <w:tr w:rsidR="00E22FF2" w:rsidRPr="00E4265B" w14:paraId="60F0503E" w14:textId="77777777" w:rsidTr="002A510C">
        <w:tc>
          <w:tcPr>
            <w:tcW w:w="1859" w:type="dxa"/>
            <w:shd w:val="clear" w:color="auto" w:fill="D9D9D9" w:themeFill="background1" w:themeFillShade="D9"/>
          </w:tcPr>
          <w:p w14:paraId="51161F8C" w14:textId="77777777" w:rsidR="00E22FF2" w:rsidRPr="00E4265B" w:rsidRDefault="00E22FF2" w:rsidP="008702C6">
            <w:pPr>
              <w:spacing w:after="240"/>
              <w:rPr>
                <w:rFonts w:ascii="Arial" w:hAnsi="Arial" w:cs="Arial"/>
                <w:b/>
                <w:bCs/>
                <w:sz w:val="22"/>
                <w:szCs w:val="22"/>
                <w:lang w:val="en-GB"/>
              </w:rPr>
            </w:pPr>
            <w:r w:rsidRPr="00E4265B">
              <w:rPr>
                <w:rFonts w:ascii="Arial" w:hAnsi="Arial" w:cs="Arial"/>
                <w:b/>
                <w:bCs/>
                <w:sz w:val="22"/>
                <w:szCs w:val="22"/>
                <w:lang w:val="en-GB"/>
              </w:rPr>
              <w:t>Band</w:t>
            </w:r>
          </w:p>
        </w:tc>
        <w:tc>
          <w:tcPr>
            <w:tcW w:w="1309" w:type="dxa"/>
            <w:shd w:val="clear" w:color="auto" w:fill="D9D9D9" w:themeFill="background1" w:themeFillShade="D9"/>
          </w:tcPr>
          <w:p w14:paraId="58C52CE7" w14:textId="7A018A82" w:rsidR="00E22FF2" w:rsidRPr="00E4265B" w:rsidRDefault="00E22FF2" w:rsidP="00955AE0">
            <w:pPr>
              <w:spacing w:after="240"/>
              <w:rPr>
                <w:rFonts w:ascii="Arial" w:hAnsi="Arial" w:cs="Arial"/>
                <w:sz w:val="22"/>
                <w:szCs w:val="22"/>
                <w:lang w:val="en-GB"/>
              </w:rPr>
            </w:pPr>
            <w:r w:rsidRPr="00E4265B">
              <w:rPr>
                <w:rFonts w:ascii="Arial" w:hAnsi="Arial" w:cs="Arial"/>
                <w:b/>
                <w:bCs/>
                <w:sz w:val="22"/>
                <w:szCs w:val="22"/>
                <w:lang w:val="en-GB"/>
              </w:rPr>
              <w:t>A</w:t>
            </w:r>
            <w:r w:rsidR="00955AE0" w:rsidRPr="00E4265B">
              <w:rPr>
                <w:rFonts w:ascii="Arial" w:hAnsi="Arial" w:cs="Arial"/>
                <w:b/>
                <w:bCs/>
                <w:sz w:val="22"/>
                <w:szCs w:val="22"/>
                <w:lang w:val="en-GB"/>
              </w:rPr>
              <w:t>6</w:t>
            </w:r>
            <w:r w:rsidRPr="00E4265B">
              <w:rPr>
                <w:rFonts w:ascii="Arial" w:hAnsi="Arial" w:cs="Arial"/>
                <w:b/>
                <w:bCs/>
                <w:sz w:val="22"/>
                <w:szCs w:val="22"/>
                <w:lang w:val="en-GB"/>
              </w:rPr>
              <w:t>.5.5(1)(b)</w:t>
            </w:r>
            <w:r w:rsidRPr="00E4265B">
              <w:rPr>
                <w:rFonts w:ascii="Arial" w:hAnsi="Arial" w:cs="Arial"/>
                <w:b/>
                <w:bCs/>
                <w:sz w:val="22"/>
                <w:szCs w:val="22"/>
                <w:lang w:val="en-GB"/>
              </w:rPr>
              <w:br/>
            </w:r>
            <w:r w:rsidRPr="00E4265B">
              <w:rPr>
                <w:rFonts w:ascii="Arial" w:hAnsi="Arial" w:cs="Arial"/>
                <w:bCs/>
                <w:sz w:val="22"/>
                <w:szCs w:val="22"/>
                <w:lang w:val="en-GB"/>
              </w:rPr>
              <w:br/>
            </w:r>
            <w:r w:rsidRPr="00E4265B">
              <w:rPr>
                <w:rFonts w:ascii="Arial" w:hAnsi="Arial" w:cs="Arial"/>
                <w:sz w:val="22"/>
                <w:szCs w:val="22"/>
                <w:lang w:val="en-GB"/>
              </w:rPr>
              <w:t>Allocate remaining positions to appropriate maturity bands</w:t>
            </w:r>
          </w:p>
        </w:tc>
        <w:tc>
          <w:tcPr>
            <w:tcW w:w="1512" w:type="dxa"/>
            <w:shd w:val="clear" w:color="auto" w:fill="D9D9D9" w:themeFill="background1" w:themeFillShade="D9"/>
          </w:tcPr>
          <w:p w14:paraId="1F587B1A" w14:textId="18BC5F38" w:rsidR="00E22FF2" w:rsidRPr="00E4265B" w:rsidRDefault="00955AE0" w:rsidP="008702C6">
            <w:pPr>
              <w:spacing w:after="240"/>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.5.5(1)(c)</w:t>
            </w:r>
            <w:r w:rsidR="00E22FF2" w:rsidRPr="00E4265B">
              <w:rPr>
                <w:rFonts w:ascii="Arial" w:hAnsi="Arial" w:cs="Arial"/>
                <w:b/>
                <w:bCs/>
                <w:sz w:val="22"/>
                <w:szCs w:val="22"/>
                <w:lang w:val="en-GB"/>
              </w:rPr>
              <w:br/>
            </w:r>
            <w:r w:rsidR="00E22FF2" w:rsidRPr="00E4265B">
              <w:rPr>
                <w:rFonts w:ascii="Arial" w:hAnsi="Arial" w:cs="Arial"/>
                <w:bCs/>
                <w:sz w:val="22"/>
                <w:szCs w:val="22"/>
                <w:lang w:val="en-GB"/>
              </w:rPr>
              <w:br/>
            </w:r>
            <w:r w:rsidR="00E22FF2" w:rsidRPr="00E4265B">
              <w:rPr>
                <w:rFonts w:ascii="Arial" w:hAnsi="Arial" w:cs="Arial"/>
                <w:sz w:val="22"/>
                <w:szCs w:val="22"/>
                <w:lang w:val="en-GB"/>
              </w:rPr>
              <w:t xml:space="preserve">Match within bands. Each matched amount incurs a </w:t>
            </w:r>
            <w:r w:rsidR="00E22FF2" w:rsidRPr="00E4265B">
              <w:rPr>
                <w:rFonts w:ascii="Arial" w:hAnsi="Arial" w:cs="Arial"/>
                <w:b/>
                <w:bCs/>
                <w:sz w:val="22"/>
                <w:szCs w:val="22"/>
                <w:lang w:val="en-GB"/>
              </w:rPr>
              <w:t>spread charge</w:t>
            </w:r>
          </w:p>
        </w:tc>
        <w:tc>
          <w:tcPr>
            <w:tcW w:w="1808" w:type="dxa"/>
            <w:shd w:val="clear" w:color="auto" w:fill="D9D9D9" w:themeFill="background1" w:themeFillShade="D9"/>
          </w:tcPr>
          <w:p w14:paraId="20775E7A" w14:textId="77777777" w:rsidR="00E22FF2" w:rsidRPr="00E4265B" w:rsidRDefault="00955AE0" w:rsidP="008702C6">
            <w:pPr>
              <w:spacing w:after="240"/>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.5.5(1)(d)</w:t>
            </w:r>
            <w:r w:rsidR="00E22FF2" w:rsidRPr="00E4265B">
              <w:rPr>
                <w:rFonts w:ascii="Arial" w:hAnsi="Arial" w:cs="Arial"/>
                <w:bCs/>
                <w:sz w:val="22"/>
                <w:szCs w:val="22"/>
                <w:lang w:val="en-GB"/>
              </w:rPr>
              <w:br/>
            </w:r>
            <w:r w:rsidR="00E22FF2" w:rsidRPr="00E4265B">
              <w:rPr>
                <w:rFonts w:ascii="Arial" w:hAnsi="Arial" w:cs="Arial"/>
                <w:bCs/>
                <w:sz w:val="22"/>
                <w:szCs w:val="22"/>
                <w:lang w:val="en-GB"/>
              </w:rPr>
              <w:br/>
            </w:r>
            <w:r w:rsidR="00E22FF2" w:rsidRPr="00E4265B">
              <w:rPr>
                <w:rFonts w:ascii="Arial" w:hAnsi="Arial" w:cs="Arial"/>
                <w:sz w:val="22"/>
                <w:szCs w:val="22"/>
                <w:lang w:val="en-GB"/>
              </w:rPr>
              <w:t xml:space="preserve">Carry across bands. Each carried amount incurs a </w:t>
            </w:r>
            <w:r w:rsidR="00E22FF2" w:rsidRPr="00E4265B">
              <w:rPr>
                <w:rFonts w:ascii="Arial" w:hAnsi="Arial" w:cs="Arial"/>
                <w:b/>
                <w:bCs/>
                <w:sz w:val="22"/>
                <w:szCs w:val="22"/>
                <w:lang w:val="en-GB"/>
              </w:rPr>
              <w:t>carry charge</w:t>
            </w:r>
          </w:p>
        </w:tc>
        <w:tc>
          <w:tcPr>
            <w:tcW w:w="1380" w:type="dxa"/>
            <w:shd w:val="clear" w:color="auto" w:fill="D9D9D9" w:themeFill="background1" w:themeFillShade="D9"/>
          </w:tcPr>
          <w:p w14:paraId="1E70337B" w14:textId="77777777" w:rsidR="00E22FF2" w:rsidRPr="00E4265B" w:rsidRDefault="00955AE0" w:rsidP="008702C6">
            <w:pPr>
              <w:spacing w:after="240"/>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.5.5(1)(e)</w:t>
            </w:r>
            <w:r w:rsidR="00E22FF2" w:rsidRPr="00E4265B">
              <w:rPr>
                <w:rFonts w:ascii="Arial" w:hAnsi="Arial" w:cs="Arial"/>
                <w:bCs/>
                <w:sz w:val="22"/>
                <w:szCs w:val="22"/>
                <w:lang w:val="en-GB"/>
              </w:rPr>
              <w:br/>
            </w:r>
            <w:r w:rsidR="00E22FF2" w:rsidRPr="00E4265B">
              <w:rPr>
                <w:rFonts w:ascii="Arial" w:hAnsi="Arial" w:cs="Arial"/>
                <w:bCs/>
                <w:sz w:val="22"/>
                <w:szCs w:val="22"/>
                <w:lang w:val="en-GB"/>
              </w:rPr>
              <w:br/>
            </w:r>
            <w:r w:rsidR="00E22FF2" w:rsidRPr="00E4265B">
              <w:rPr>
                <w:rFonts w:ascii="Arial" w:hAnsi="Arial" w:cs="Arial"/>
                <w:sz w:val="22"/>
                <w:szCs w:val="22"/>
                <w:lang w:val="en-GB"/>
              </w:rPr>
              <w:t xml:space="preserve">Match within band. Each matched amount incurs a </w:t>
            </w:r>
            <w:r w:rsidR="00E22FF2" w:rsidRPr="00E4265B">
              <w:rPr>
                <w:rFonts w:ascii="Arial" w:hAnsi="Arial" w:cs="Arial"/>
                <w:b/>
                <w:bCs/>
                <w:sz w:val="22"/>
                <w:szCs w:val="22"/>
                <w:lang w:val="en-GB"/>
              </w:rPr>
              <w:t>spread charge</w:t>
            </w:r>
          </w:p>
        </w:tc>
        <w:tc>
          <w:tcPr>
            <w:tcW w:w="1375" w:type="dxa"/>
            <w:shd w:val="clear" w:color="auto" w:fill="D9D9D9" w:themeFill="background1" w:themeFillShade="D9"/>
          </w:tcPr>
          <w:p w14:paraId="5173C242" w14:textId="3D5E7D42" w:rsidR="00E22FF2" w:rsidRPr="00E4265B" w:rsidRDefault="00955AE0" w:rsidP="004B3140">
            <w:pPr>
              <w:spacing w:after="240"/>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.5.5(1)(</w:t>
            </w:r>
            <w:r w:rsidR="004B3140" w:rsidRPr="00E4265B">
              <w:rPr>
                <w:rFonts w:ascii="Arial" w:hAnsi="Arial" w:cs="Arial"/>
                <w:b/>
                <w:bCs/>
                <w:sz w:val="22"/>
                <w:szCs w:val="22"/>
                <w:lang w:val="en-GB"/>
              </w:rPr>
              <w:t>f</w:t>
            </w:r>
            <w:r w:rsidR="00E22FF2" w:rsidRPr="00E4265B">
              <w:rPr>
                <w:rFonts w:ascii="Arial" w:hAnsi="Arial" w:cs="Arial"/>
                <w:b/>
                <w:bCs/>
                <w:sz w:val="22"/>
                <w:szCs w:val="22"/>
                <w:lang w:val="en-GB"/>
              </w:rPr>
              <w:t>)</w:t>
            </w:r>
            <w:r w:rsidR="00E22FF2" w:rsidRPr="00E4265B">
              <w:rPr>
                <w:rFonts w:ascii="Arial" w:hAnsi="Arial" w:cs="Arial"/>
                <w:bCs/>
                <w:sz w:val="22"/>
                <w:szCs w:val="22"/>
                <w:lang w:val="en-GB"/>
              </w:rPr>
              <w:br/>
            </w:r>
            <w:r w:rsidR="00E22FF2" w:rsidRPr="00E4265B">
              <w:rPr>
                <w:rFonts w:ascii="Arial" w:hAnsi="Arial" w:cs="Arial"/>
                <w:bCs/>
                <w:sz w:val="22"/>
                <w:szCs w:val="22"/>
                <w:lang w:val="en-GB"/>
              </w:rPr>
              <w:br/>
            </w:r>
            <w:r w:rsidR="00E22FF2" w:rsidRPr="00E4265B">
              <w:rPr>
                <w:rFonts w:ascii="Arial" w:hAnsi="Arial" w:cs="Arial"/>
                <w:sz w:val="22"/>
                <w:szCs w:val="22"/>
                <w:lang w:val="en-GB"/>
              </w:rPr>
              <w:t xml:space="preserve">Remaining unmatched position(s) incur an </w:t>
            </w:r>
            <w:r w:rsidR="00E22FF2" w:rsidRPr="00E4265B">
              <w:rPr>
                <w:rFonts w:ascii="Arial" w:hAnsi="Arial" w:cs="Arial"/>
                <w:b/>
                <w:bCs/>
                <w:sz w:val="22"/>
                <w:szCs w:val="22"/>
                <w:lang w:val="en-GB"/>
              </w:rPr>
              <w:t>outright charge</w:t>
            </w:r>
          </w:p>
        </w:tc>
      </w:tr>
      <w:tr w:rsidR="00E22FF2" w:rsidRPr="00E4265B" w14:paraId="70419D0D" w14:textId="77777777" w:rsidTr="002A510C">
        <w:tc>
          <w:tcPr>
            <w:tcW w:w="1859" w:type="dxa"/>
            <w:shd w:val="clear" w:color="auto" w:fill="D9D9D9" w:themeFill="background1" w:themeFillShade="D9"/>
            <w:vAlign w:val="center"/>
          </w:tcPr>
          <w:p w14:paraId="7E43346F" w14:textId="728870B8" w:rsidR="00E22FF2" w:rsidRPr="00E4265B" w:rsidRDefault="00E22FF2" w:rsidP="007722DD">
            <w:pPr>
              <w:spacing w:after="360"/>
              <w:rPr>
                <w:rFonts w:ascii="Arial" w:hAnsi="Arial" w:cs="Arial"/>
                <w:sz w:val="22"/>
                <w:szCs w:val="22"/>
                <w:lang w:val="en-GB"/>
              </w:rPr>
            </w:pPr>
            <w:r w:rsidRPr="00E4265B">
              <w:rPr>
                <w:rFonts w:ascii="Arial" w:hAnsi="Arial" w:cs="Arial"/>
                <w:sz w:val="22"/>
                <w:szCs w:val="22"/>
                <w:lang w:val="en-GB"/>
              </w:rPr>
              <w:t xml:space="preserve">0 </w:t>
            </w:r>
            <w:r w:rsidR="00324D13" w:rsidRPr="00E4265B">
              <w:rPr>
                <w:rFonts w:ascii="Arial" w:hAnsi="Arial" w:cs="Arial"/>
                <w:sz w:val="22"/>
                <w:szCs w:val="22"/>
                <w:lang w:val="en-GB"/>
              </w:rPr>
              <w:t>and ≤</w:t>
            </w:r>
            <w:r w:rsidRPr="00E4265B">
              <w:rPr>
                <w:rFonts w:ascii="Arial" w:hAnsi="Arial" w:cs="Arial"/>
                <w:sz w:val="22"/>
                <w:szCs w:val="22"/>
                <w:lang w:val="en-GB"/>
              </w:rPr>
              <w:t xml:space="preserve"> 1 month</w:t>
            </w:r>
          </w:p>
        </w:tc>
        <w:tc>
          <w:tcPr>
            <w:tcW w:w="1309" w:type="dxa"/>
            <w:vAlign w:val="center"/>
          </w:tcPr>
          <w:p w14:paraId="733F8553" w14:textId="55BE6006" w:rsidR="00E22FF2" w:rsidRPr="00E4265B" w:rsidRDefault="00E22FF2" w:rsidP="008702C6">
            <w:pPr>
              <w:spacing w:after="360"/>
              <w:rPr>
                <w:rFonts w:ascii="Arial" w:hAnsi="Arial" w:cs="Arial"/>
                <w:sz w:val="22"/>
                <w:szCs w:val="22"/>
                <w:lang w:val="en-GB"/>
              </w:rPr>
            </w:pPr>
          </w:p>
        </w:tc>
        <w:tc>
          <w:tcPr>
            <w:tcW w:w="1512" w:type="dxa"/>
          </w:tcPr>
          <w:p w14:paraId="66EABCDB" w14:textId="5B4A8221" w:rsidR="00E22FF2" w:rsidRPr="00E4265B" w:rsidRDefault="00E22FF2" w:rsidP="008702C6">
            <w:pPr>
              <w:spacing w:after="360"/>
              <w:rPr>
                <w:rFonts w:ascii="Arial" w:hAnsi="Arial" w:cs="Arial"/>
                <w:sz w:val="22"/>
                <w:szCs w:val="22"/>
                <w:lang w:val="en-GB"/>
              </w:rPr>
            </w:pPr>
          </w:p>
        </w:tc>
        <w:tc>
          <w:tcPr>
            <w:tcW w:w="1808" w:type="dxa"/>
            <w:vMerge w:val="restart"/>
          </w:tcPr>
          <w:p w14:paraId="565C1990" w14:textId="3761CA1F" w:rsidR="00E22FF2" w:rsidRPr="00E4265B" w:rsidRDefault="005E15D6" w:rsidP="008702C6">
            <w:pPr>
              <w:rPr>
                <w:rFonts w:ascii="Arial" w:hAnsi="Arial" w:cs="Arial"/>
                <w:sz w:val="22"/>
                <w:szCs w:val="22"/>
                <w:lang w:val="en-GB"/>
              </w:rPr>
            </w:pPr>
            <w:r w:rsidRPr="00E4265B">
              <w:rPr>
                <w:rFonts w:ascii="Arial" w:hAnsi="Arial" w:cs="Arial"/>
                <w:noProof/>
                <w:sz w:val="22"/>
                <w:szCs w:val="22"/>
                <w:lang w:val="en-GB" w:eastAsia="en-GB"/>
              </w:rPr>
              <mc:AlternateContent>
                <mc:Choice Requires="wps">
                  <w:drawing>
                    <wp:anchor distT="0" distB="0" distL="114300" distR="114300" simplePos="0" relativeHeight="251673088" behindDoc="0" locked="0" layoutInCell="1" allowOverlap="1" wp14:anchorId="5E27280E" wp14:editId="28F188AB">
                      <wp:simplePos x="0" y="0"/>
                      <wp:positionH relativeFrom="column">
                        <wp:posOffset>-21590</wp:posOffset>
                      </wp:positionH>
                      <wp:positionV relativeFrom="paragraph">
                        <wp:posOffset>3588385</wp:posOffset>
                      </wp:positionV>
                      <wp:extent cx="1022985" cy="0"/>
                      <wp:effectExtent l="0" t="0" r="0" b="19050"/>
                      <wp:wrapNone/>
                      <wp:docPr id="25" name="Straight Connector 25"/>
                      <wp:cNvGraphicFramePr/>
                      <a:graphic xmlns:a="http://schemas.openxmlformats.org/drawingml/2006/main">
                        <a:graphicData uri="http://schemas.microsoft.com/office/word/2010/wordprocessingShape">
                          <wps:wsp>
                            <wps:cNvCnPr/>
                            <wps:spPr>
                              <a:xfrm>
                                <a:off x="0" y="0"/>
                                <a:ext cx="1022985"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4EFAE" id="Straight Connector 25"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1.7pt,282.55pt" to="78.85pt,2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" strokecolor="black [3213]">
                      <v:stroke dashstyle="longDash"/>
                    </v:line>
                  </w:pict>
                </mc:Fallback>
              </mc:AlternateContent>
            </w:r>
            <w:r w:rsidRPr="00E4265B">
              <w:rPr>
                <w:rFonts w:ascii="Arial" w:hAnsi="Arial" w:cs="Arial"/>
                <w:noProof/>
                <w:sz w:val="22"/>
                <w:szCs w:val="22"/>
                <w:lang w:val="en-GB" w:eastAsia="en-GB"/>
              </w:rPr>
              <mc:AlternateContent>
                <mc:Choice Requires="wps">
                  <w:drawing>
                    <wp:anchor distT="0" distB="0" distL="114300" distR="114300" simplePos="0" relativeHeight="251668992" behindDoc="0" locked="0" layoutInCell="1" allowOverlap="1" wp14:anchorId="30F3B73E" wp14:editId="5514DCF0">
                      <wp:simplePos x="0" y="0"/>
                      <wp:positionH relativeFrom="column">
                        <wp:posOffset>-21590</wp:posOffset>
                      </wp:positionH>
                      <wp:positionV relativeFrom="paragraph">
                        <wp:posOffset>3044734</wp:posOffset>
                      </wp:positionV>
                      <wp:extent cx="1022985"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1022985"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1E84F" id="Straight Connector 22"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7pt,239.75pt" to="78.85pt,2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" strokecolor="black [3213]">
                      <v:stroke dashstyle="longDash"/>
                    </v:line>
                  </w:pict>
                </mc:Fallback>
              </mc:AlternateContent>
            </w:r>
            <w:r w:rsidR="002A510C" w:rsidRPr="00E4265B">
              <w:rPr>
                <w:rFonts w:ascii="Arial" w:hAnsi="Arial" w:cs="Arial"/>
                <w:noProof/>
                <w:sz w:val="22"/>
                <w:szCs w:val="22"/>
                <w:lang w:val="en-GB" w:eastAsia="en-GB"/>
              </w:rPr>
              <mc:AlternateContent>
                <mc:Choice Requires="wps">
                  <w:drawing>
                    <wp:anchor distT="0" distB="0" distL="114300" distR="114300" simplePos="0" relativeHeight="251646464" behindDoc="0" locked="0" layoutInCell="1" allowOverlap="1" wp14:anchorId="60D73DD5" wp14:editId="1C6CD4B5">
                      <wp:simplePos x="0" y="0"/>
                      <wp:positionH relativeFrom="column">
                        <wp:posOffset>-70485</wp:posOffset>
                      </wp:positionH>
                      <wp:positionV relativeFrom="paragraph">
                        <wp:posOffset>795564</wp:posOffset>
                      </wp:positionV>
                      <wp:extent cx="1155065" cy="1773555"/>
                      <wp:effectExtent l="57150" t="38100" r="83185" b="93345"/>
                      <wp:wrapNone/>
                      <wp:docPr id="7" name="Down Arrow 7"/>
                      <wp:cNvGraphicFramePr/>
                      <a:graphic xmlns:a="http://schemas.openxmlformats.org/drawingml/2006/main">
                        <a:graphicData uri="http://schemas.microsoft.com/office/word/2010/wordprocessingShape">
                          <wps:wsp>
                            <wps:cNvSpPr/>
                            <wps:spPr>
                              <a:xfrm>
                                <a:off x="0" y="0"/>
                                <a:ext cx="1155065" cy="1773555"/>
                              </a:xfrm>
                              <a:prstGeom prst="downArrow">
                                <a:avLst>
                                  <a:gd name="adj1" fmla="val 73049"/>
                                  <a:gd name="adj2" fmla="val 50000"/>
                                </a:avLst>
                              </a:prstGeom>
                            </wps:spPr>
                            <wps:style>
                              <a:lnRef idx="1">
                                <a:schemeClr val="dk1"/>
                              </a:lnRef>
                              <a:fillRef idx="2">
                                <a:schemeClr val="dk1"/>
                              </a:fillRef>
                              <a:effectRef idx="1">
                                <a:schemeClr val="dk1"/>
                              </a:effectRef>
                              <a:fontRef idx="minor">
                                <a:schemeClr val="dk1"/>
                              </a:fontRef>
                            </wps:style>
                            <wps:txbx>
                              <w:txbxContent>
                                <w:p w14:paraId="4D9F0F33" w14:textId="0CC33DA5" w:rsidR="006A2FD1" w:rsidRPr="007A18D4" w:rsidRDefault="006A2FD1" w:rsidP="002A510C">
                                  <w:pPr>
                                    <w:jc w:val="center"/>
                                    <w:rPr>
                                      <w:rFonts w:ascii="Calibri" w:hAnsi="Calibri" w:cs="Calibri"/>
                                      <w:sz w:val="18"/>
                                      <w:szCs w:val="18"/>
                                    </w:rPr>
                                  </w:pPr>
                                  <w:r>
                                    <w:rPr>
                                      <w:rFonts w:ascii="Calibri" w:hAnsi="Calibri" w:cs="Calibri"/>
                                      <w:sz w:val="18"/>
                                      <w:szCs w:val="18"/>
                                    </w:rPr>
                                    <w:t>Unmatched</w:t>
                                  </w:r>
                                  <w:r w:rsidRPr="007A18D4">
                                    <w:rPr>
                                      <w:rFonts w:ascii="Calibri" w:hAnsi="Calibri" w:cs="Calibri"/>
                                      <w:sz w:val="18"/>
                                      <w:szCs w:val="18"/>
                                    </w:rPr>
                                    <w:t xml:space="preserve"> 300 long</w:t>
                                  </w:r>
                                  <w:r>
                                    <w:rPr>
                                      <w:rFonts w:ascii="Calibri" w:hAnsi="Calibri" w:cs="Calibri"/>
                                      <w:sz w:val="18"/>
                                      <w:szCs w:val="18"/>
                                    </w:rPr>
                                    <w:t xml:space="preserve"> c</w:t>
                                  </w:r>
                                  <w:r w:rsidRPr="007A18D4">
                                    <w:rPr>
                                      <w:rFonts w:ascii="Calibri" w:hAnsi="Calibri" w:cs="Calibri"/>
                                      <w:sz w:val="18"/>
                                      <w:szCs w:val="18"/>
                                    </w:rPr>
                                    <w:t>arried</w:t>
                                  </w:r>
                                  <w:r>
                                    <w:rPr>
                                      <w:rFonts w:ascii="Calibri" w:hAnsi="Calibri" w:cs="Calibri"/>
                                      <w:sz w:val="18"/>
                                      <w:szCs w:val="18"/>
                                    </w:rPr>
                                    <w:t xml:space="preserve"> across three bands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73DD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5.55pt;margin-top:62.65pt;width:90.95pt;height:139.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" adj="14566,2911" fillcolor="gray [1616]" strokecolor="black [3040]">
                      <v:fill color2="#d9d9d9 [496]" rotate="t" angle="180" colors="0 #bcbcbc;22938f #d0d0d0;1 #ededed" focus="100%" type="gradient"/>
                      <v:shadow on="t" color="black" opacity="24903f" origin=",.5" offset="0,.55556mm"/>
                      <v:textbox>
                        <w:txbxContent>
                          <w:p w14:paraId="4D9F0F33" w14:textId="0CC33DA5" w:rsidR="006A2FD1" w:rsidRPr="007A18D4" w:rsidRDefault="006A2FD1" w:rsidP="002A510C">
                            <w:pPr>
                              <w:jc w:val="center"/>
                              <w:rPr>
                                <w:rFonts w:ascii="Calibri" w:hAnsi="Calibri" w:cs="Calibri"/>
                                <w:sz w:val="18"/>
                                <w:szCs w:val="18"/>
                              </w:rPr>
                            </w:pPr>
                            <w:r>
                              <w:rPr>
                                <w:rFonts w:ascii="Calibri" w:hAnsi="Calibri" w:cs="Calibri"/>
                                <w:sz w:val="18"/>
                                <w:szCs w:val="18"/>
                              </w:rPr>
                              <w:t>Unmatched</w:t>
                            </w:r>
                            <w:r w:rsidRPr="007A18D4">
                              <w:rPr>
                                <w:rFonts w:ascii="Calibri" w:hAnsi="Calibri" w:cs="Calibri"/>
                                <w:sz w:val="18"/>
                                <w:szCs w:val="18"/>
                              </w:rPr>
                              <w:t xml:space="preserve"> 300 long</w:t>
                            </w:r>
                            <w:r>
                              <w:rPr>
                                <w:rFonts w:ascii="Calibri" w:hAnsi="Calibri" w:cs="Calibri"/>
                                <w:sz w:val="18"/>
                                <w:szCs w:val="18"/>
                              </w:rPr>
                              <w:t xml:space="preserve"> c</w:t>
                            </w:r>
                            <w:r w:rsidRPr="007A18D4">
                              <w:rPr>
                                <w:rFonts w:ascii="Calibri" w:hAnsi="Calibri" w:cs="Calibri"/>
                                <w:sz w:val="18"/>
                                <w:szCs w:val="18"/>
                              </w:rPr>
                              <w:t>arried</w:t>
                            </w:r>
                            <w:r>
                              <w:rPr>
                                <w:rFonts w:ascii="Calibri" w:hAnsi="Calibri" w:cs="Calibri"/>
                                <w:sz w:val="18"/>
                                <w:szCs w:val="18"/>
                              </w:rPr>
                              <w:t xml:space="preserve"> across three bands</w:t>
                            </w:r>
                          </w:p>
                        </w:txbxContent>
                      </v:textbox>
                    </v:shape>
                  </w:pict>
                </mc:Fallback>
              </mc:AlternateContent>
            </w:r>
            <w:r w:rsidR="002A510C" w:rsidRPr="00E4265B">
              <w:rPr>
                <w:rFonts w:ascii="Arial" w:hAnsi="Arial" w:cs="Arial"/>
                <w:noProof/>
                <w:sz w:val="22"/>
                <w:szCs w:val="22"/>
                <w:lang w:val="en-GB" w:eastAsia="en-GB"/>
              </w:rPr>
              <mc:AlternateContent>
                <mc:Choice Requires="wps">
                  <w:drawing>
                    <wp:anchor distT="0" distB="0" distL="114300" distR="114300" simplePos="0" relativeHeight="251664896" behindDoc="0" locked="0" layoutInCell="1" allowOverlap="1" wp14:anchorId="68CDC135" wp14:editId="1628DE5A">
                      <wp:simplePos x="0" y="0"/>
                      <wp:positionH relativeFrom="column">
                        <wp:posOffset>-21590</wp:posOffset>
                      </wp:positionH>
                      <wp:positionV relativeFrom="paragraph">
                        <wp:posOffset>1081314</wp:posOffset>
                      </wp:positionV>
                      <wp:extent cx="1022985"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1022985"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9CE41" id="Straight Connector 20"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7pt,85.15pt" to="78.8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" strokecolor="black [3213]">
                      <v:stroke dashstyle="longDash"/>
                    </v:line>
                  </w:pict>
                </mc:Fallback>
              </mc:AlternateContent>
            </w:r>
            <w:r w:rsidR="002A510C" w:rsidRPr="00E4265B">
              <w:rPr>
                <w:rFonts w:ascii="Arial" w:hAnsi="Arial" w:cs="Arial"/>
                <w:noProof/>
                <w:sz w:val="22"/>
                <w:szCs w:val="22"/>
                <w:lang w:val="en-GB" w:eastAsia="en-GB"/>
              </w:rPr>
              <mc:AlternateContent>
                <mc:Choice Requires="wps">
                  <w:drawing>
                    <wp:anchor distT="0" distB="0" distL="114300" distR="114300" simplePos="0" relativeHeight="251660800" behindDoc="0" locked="0" layoutInCell="1" allowOverlap="1" wp14:anchorId="694DB02C" wp14:editId="38E6D7D2">
                      <wp:simplePos x="0" y="0"/>
                      <wp:positionH relativeFrom="column">
                        <wp:posOffset>0</wp:posOffset>
                      </wp:positionH>
                      <wp:positionV relativeFrom="paragraph">
                        <wp:posOffset>2171428</wp:posOffset>
                      </wp:positionV>
                      <wp:extent cx="1023257" cy="0"/>
                      <wp:effectExtent l="0" t="0" r="0" b="19050"/>
                      <wp:wrapNone/>
                      <wp:docPr id="18" name="Straight Connector 18"/>
                      <wp:cNvGraphicFramePr/>
                      <a:graphic xmlns:a="http://schemas.openxmlformats.org/drawingml/2006/main">
                        <a:graphicData uri="http://schemas.microsoft.com/office/word/2010/wordprocessingShape">
                          <wps:wsp>
                            <wps:cNvCnPr/>
                            <wps:spPr>
                              <a:xfrm>
                                <a:off x="0" y="0"/>
                                <a:ext cx="1023257"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A470F" id="Straight Connector 18"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0,171pt" to="80.5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" strokecolor="black [3213]">
                      <v:stroke dashstyle="longDash"/>
                    </v:line>
                  </w:pict>
                </mc:Fallback>
              </mc:AlternateContent>
            </w:r>
            <w:r w:rsidR="002A510C" w:rsidRPr="00E4265B">
              <w:rPr>
                <w:rFonts w:ascii="Arial" w:hAnsi="Arial" w:cs="Arial"/>
                <w:noProof/>
                <w:sz w:val="22"/>
                <w:szCs w:val="22"/>
                <w:lang w:val="en-GB" w:eastAsia="en-GB"/>
              </w:rPr>
              <mc:AlternateContent>
                <mc:Choice Requires="wps">
                  <w:drawing>
                    <wp:anchor distT="0" distB="0" distL="114300" distR="114300" simplePos="0" relativeHeight="251655680" behindDoc="0" locked="0" layoutInCell="1" allowOverlap="1" wp14:anchorId="5984F486" wp14:editId="0AF264D1">
                      <wp:simplePos x="0" y="0"/>
                      <wp:positionH relativeFrom="column">
                        <wp:posOffset>-21772</wp:posOffset>
                      </wp:positionH>
                      <wp:positionV relativeFrom="paragraph">
                        <wp:posOffset>1638027</wp:posOffset>
                      </wp:positionV>
                      <wp:extent cx="1023257" cy="0"/>
                      <wp:effectExtent l="0" t="0" r="0" b="19050"/>
                      <wp:wrapNone/>
                      <wp:docPr id="16" name="Straight Connector 16"/>
                      <wp:cNvGraphicFramePr/>
                      <a:graphic xmlns:a="http://schemas.openxmlformats.org/drawingml/2006/main">
                        <a:graphicData uri="http://schemas.microsoft.com/office/word/2010/wordprocessingShape">
                          <wps:wsp>
                            <wps:cNvCnPr/>
                            <wps:spPr>
                              <a:xfrm>
                                <a:off x="0" y="0"/>
                                <a:ext cx="1023257"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B04CE6" id="Straight Connector 16"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129pt" to="78.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" strokecolor="black [3213]">
                      <v:stroke dashstyle="longDash"/>
                    </v:line>
                  </w:pict>
                </mc:Fallback>
              </mc:AlternateContent>
            </w:r>
          </w:p>
        </w:tc>
        <w:tc>
          <w:tcPr>
            <w:tcW w:w="1380" w:type="dxa"/>
          </w:tcPr>
          <w:p w14:paraId="264D9AC1" w14:textId="77777777" w:rsidR="00E22FF2" w:rsidRPr="00E4265B" w:rsidRDefault="00E22FF2" w:rsidP="008702C6">
            <w:pPr>
              <w:spacing w:after="360"/>
              <w:rPr>
                <w:rFonts w:ascii="Arial" w:hAnsi="Arial" w:cs="Arial"/>
                <w:sz w:val="22"/>
                <w:szCs w:val="22"/>
                <w:lang w:val="en-GB"/>
              </w:rPr>
            </w:pPr>
          </w:p>
        </w:tc>
        <w:tc>
          <w:tcPr>
            <w:tcW w:w="1375" w:type="dxa"/>
          </w:tcPr>
          <w:p w14:paraId="0A36B81B" w14:textId="77777777" w:rsidR="00E22FF2" w:rsidRPr="00E4265B" w:rsidRDefault="00E22FF2" w:rsidP="008702C6">
            <w:pPr>
              <w:spacing w:after="360"/>
              <w:rPr>
                <w:rFonts w:ascii="Arial" w:hAnsi="Arial" w:cs="Arial"/>
                <w:sz w:val="22"/>
                <w:szCs w:val="22"/>
                <w:lang w:val="en-GB"/>
              </w:rPr>
            </w:pPr>
          </w:p>
        </w:tc>
      </w:tr>
      <w:tr w:rsidR="00E22FF2" w:rsidRPr="00E4265B" w14:paraId="7E9E6360" w14:textId="77777777" w:rsidTr="002A510C">
        <w:tc>
          <w:tcPr>
            <w:tcW w:w="1859" w:type="dxa"/>
            <w:shd w:val="clear" w:color="auto" w:fill="D9D9D9" w:themeFill="background1" w:themeFillShade="D9"/>
            <w:vAlign w:val="center"/>
          </w:tcPr>
          <w:p w14:paraId="2032F33C" w14:textId="4F76C36B" w:rsidR="00E22FF2" w:rsidRPr="00E4265B" w:rsidRDefault="00E22FF2" w:rsidP="007722DD">
            <w:pPr>
              <w:spacing w:after="360"/>
              <w:rPr>
                <w:rFonts w:ascii="Arial" w:hAnsi="Arial" w:cs="Arial"/>
                <w:sz w:val="22"/>
                <w:szCs w:val="22"/>
                <w:lang w:val="en-GB"/>
              </w:rPr>
            </w:pPr>
            <w:r w:rsidRPr="00E4265B">
              <w:rPr>
                <w:rFonts w:ascii="Arial" w:hAnsi="Arial" w:cs="Arial"/>
                <w:sz w:val="22"/>
                <w:szCs w:val="22"/>
                <w:lang w:val="en-GB"/>
              </w:rPr>
              <w:t xml:space="preserve">&gt;1 month </w:t>
            </w:r>
            <w:r w:rsidR="00324D13" w:rsidRPr="00E4265B">
              <w:rPr>
                <w:rFonts w:ascii="Arial" w:hAnsi="Arial" w:cs="Arial"/>
                <w:sz w:val="22"/>
                <w:szCs w:val="22"/>
                <w:lang w:val="en-GB"/>
              </w:rPr>
              <w:t>and ≤</w:t>
            </w:r>
            <w:r w:rsidRPr="00E4265B">
              <w:rPr>
                <w:rFonts w:ascii="Arial" w:hAnsi="Arial" w:cs="Arial"/>
                <w:sz w:val="22"/>
                <w:szCs w:val="22"/>
                <w:lang w:val="en-GB"/>
              </w:rPr>
              <w:t xml:space="preserve"> 3 months</w:t>
            </w:r>
          </w:p>
        </w:tc>
        <w:tc>
          <w:tcPr>
            <w:tcW w:w="1309" w:type="dxa"/>
            <w:vAlign w:val="center"/>
          </w:tcPr>
          <w:p w14:paraId="5DAA13D8" w14:textId="1C324296" w:rsidR="00E22FF2" w:rsidRPr="00E4265B" w:rsidRDefault="002A510C" w:rsidP="002A510C">
            <w:pPr>
              <w:spacing w:after="360"/>
              <w:rPr>
                <w:rFonts w:ascii="Arial" w:hAnsi="Arial" w:cs="Arial"/>
                <w:sz w:val="22"/>
                <w:szCs w:val="22"/>
                <w:lang w:val="en-GB"/>
              </w:rPr>
            </w:pPr>
            <w:r w:rsidRPr="00E4265B">
              <w:rPr>
                <w:rFonts w:ascii="Arial" w:hAnsi="Arial" w:cs="Arial"/>
                <w:sz w:val="22"/>
                <w:szCs w:val="22"/>
                <w:lang w:val="en-GB"/>
              </w:rPr>
              <w:t xml:space="preserve">(i) </w:t>
            </w:r>
            <w:r w:rsidR="00E22FF2" w:rsidRPr="00E4265B">
              <w:rPr>
                <w:rFonts w:ascii="Arial" w:hAnsi="Arial" w:cs="Arial"/>
                <w:sz w:val="22"/>
                <w:szCs w:val="22"/>
                <w:lang w:val="en-GB"/>
              </w:rPr>
              <w:t>1100 long</w:t>
            </w:r>
            <w:r w:rsidR="00E22FF2" w:rsidRPr="00E4265B">
              <w:rPr>
                <w:rFonts w:ascii="Arial" w:hAnsi="Arial" w:cs="Arial"/>
                <w:sz w:val="22"/>
                <w:szCs w:val="22"/>
                <w:lang w:val="en-GB"/>
              </w:rPr>
              <w:br/>
            </w:r>
            <w:r w:rsidRPr="00E4265B">
              <w:rPr>
                <w:rFonts w:ascii="Arial" w:hAnsi="Arial" w:cs="Arial"/>
                <w:sz w:val="22"/>
                <w:szCs w:val="22"/>
                <w:lang w:val="en-GB"/>
              </w:rPr>
              <w:t xml:space="preserve">(ii) </w:t>
            </w:r>
            <w:r w:rsidR="00E22FF2" w:rsidRPr="00E4265B">
              <w:rPr>
                <w:rFonts w:ascii="Arial" w:hAnsi="Arial" w:cs="Arial"/>
                <w:sz w:val="22"/>
                <w:szCs w:val="22"/>
                <w:lang w:val="en-GB"/>
              </w:rPr>
              <w:t>800 short</w:t>
            </w:r>
          </w:p>
        </w:tc>
        <w:tc>
          <w:tcPr>
            <w:tcW w:w="1512" w:type="dxa"/>
            <w:vAlign w:val="center"/>
          </w:tcPr>
          <w:p w14:paraId="60C83782" w14:textId="5A571A23" w:rsidR="00E22FF2" w:rsidRPr="00E4265B" w:rsidRDefault="00E22FF2" w:rsidP="002A510C">
            <w:pPr>
              <w:spacing w:after="360"/>
              <w:rPr>
                <w:rFonts w:ascii="Arial" w:hAnsi="Arial" w:cs="Arial"/>
                <w:sz w:val="22"/>
                <w:szCs w:val="22"/>
                <w:lang w:val="en-GB"/>
              </w:rPr>
            </w:pPr>
            <w:r w:rsidRPr="00E4265B">
              <w:rPr>
                <w:rFonts w:ascii="Arial" w:hAnsi="Arial" w:cs="Arial"/>
                <w:sz w:val="22"/>
                <w:szCs w:val="22"/>
                <w:lang w:val="en-GB"/>
              </w:rPr>
              <w:br/>
            </w:r>
            <w:r w:rsidR="002A510C" w:rsidRPr="00E4265B">
              <w:rPr>
                <w:rFonts w:ascii="Arial" w:hAnsi="Arial" w:cs="Arial"/>
                <w:sz w:val="22"/>
                <w:szCs w:val="22"/>
                <w:lang w:val="en-GB"/>
              </w:rPr>
              <w:sym w:font="Wingdings" w:char="F0E8"/>
            </w:r>
            <w:r w:rsidR="002A510C" w:rsidRPr="00E4265B">
              <w:rPr>
                <w:rFonts w:ascii="Arial" w:hAnsi="Arial" w:cs="Arial"/>
                <w:sz w:val="22"/>
                <w:szCs w:val="22"/>
                <w:lang w:val="en-GB"/>
              </w:rPr>
              <w:t xml:space="preserve"> 800 </w:t>
            </w:r>
            <w:r w:rsidRPr="00E4265B">
              <w:rPr>
                <w:rFonts w:ascii="Arial" w:hAnsi="Arial" w:cs="Arial"/>
                <w:sz w:val="22"/>
                <w:szCs w:val="22"/>
                <w:lang w:val="en-GB"/>
              </w:rPr>
              <w:t>matched</w:t>
            </w:r>
          </w:p>
        </w:tc>
        <w:tc>
          <w:tcPr>
            <w:tcW w:w="1808" w:type="dxa"/>
            <w:vMerge/>
          </w:tcPr>
          <w:p w14:paraId="7C066198" w14:textId="77777777" w:rsidR="00E22FF2" w:rsidRPr="00E4265B" w:rsidRDefault="00E22FF2" w:rsidP="008702C6">
            <w:pPr>
              <w:spacing w:after="360"/>
              <w:rPr>
                <w:rFonts w:ascii="Arial" w:hAnsi="Arial" w:cs="Arial"/>
                <w:sz w:val="22"/>
                <w:szCs w:val="22"/>
                <w:lang w:val="en-GB"/>
              </w:rPr>
            </w:pPr>
          </w:p>
        </w:tc>
        <w:tc>
          <w:tcPr>
            <w:tcW w:w="1380" w:type="dxa"/>
          </w:tcPr>
          <w:p w14:paraId="1BDB0F97" w14:textId="77777777" w:rsidR="00E22FF2" w:rsidRPr="00E4265B" w:rsidRDefault="00E22FF2" w:rsidP="008702C6">
            <w:pPr>
              <w:spacing w:after="360"/>
              <w:rPr>
                <w:rFonts w:ascii="Arial" w:hAnsi="Arial" w:cs="Arial"/>
                <w:sz w:val="22"/>
                <w:szCs w:val="22"/>
                <w:lang w:val="en-GB"/>
              </w:rPr>
            </w:pPr>
          </w:p>
        </w:tc>
        <w:tc>
          <w:tcPr>
            <w:tcW w:w="1375" w:type="dxa"/>
          </w:tcPr>
          <w:p w14:paraId="3DF1C1A3" w14:textId="77777777" w:rsidR="00E22FF2" w:rsidRPr="00E4265B" w:rsidRDefault="00E22FF2" w:rsidP="008702C6">
            <w:pPr>
              <w:spacing w:after="360"/>
              <w:rPr>
                <w:rFonts w:ascii="Arial" w:hAnsi="Arial" w:cs="Arial"/>
                <w:sz w:val="22"/>
                <w:szCs w:val="22"/>
                <w:lang w:val="en-GB"/>
              </w:rPr>
            </w:pPr>
          </w:p>
        </w:tc>
      </w:tr>
      <w:tr w:rsidR="00E22FF2" w:rsidRPr="00E4265B" w14:paraId="07A7E33B" w14:textId="77777777" w:rsidTr="002A510C">
        <w:tc>
          <w:tcPr>
            <w:tcW w:w="1859" w:type="dxa"/>
            <w:shd w:val="clear" w:color="auto" w:fill="D9D9D9" w:themeFill="background1" w:themeFillShade="D9"/>
            <w:vAlign w:val="center"/>
          </w:tcPr>
          <w:p w14:paraId="1D575FED" w14:textId="4DD867BF" w:rsidR="00E22FF2" w:rsidRPr="00E4265B" w:rsidRDefault="00E22FF2" w:rsidP="007722DD">
            <w:pPr>
              <w:spacing w:after="360"/>
              <w:rPr>
                <w:rFonts w:ascii="Arial" w:hAnsi="Arial" w:cs="Arial"/>
                <w:sz w:val="22"/>
                <w:szCs w:val="22"/>
                <w:lang w:val="en-GB"/>
              </w:rPr>
            </w:pPr>
            <w:r w:rsidRPr="00E4265B">
              <w:rPr>
                <w:rFonts w:ascii="Arial" w:hAnsi="Arial" w:cs="Arial"/>
                <w:sz w:val="22"/>
                <w:szCs w:val="22"/>
                <w:lang w:val="en-GB"/>
              </w:rPr>
              <w:t xml:space="preserve">&gt;3 months </w:t>
            </w:r>
            <w:r w:rsidR="00324D13" w:rsidRPr="00E4265B">
              <w:rPr>
                <w:rFonts w:ascii="Arial" w:hAnsi="Arial" w:cs="Arial"/>
                <w:sz w:val="22"/>
                <w:szCs w:val="22"/>
                <w:lang w:val="en-GB"/>
              </w:rPr>
              <w:t>and ≤</w:t>
            </w:r>
            <w:r w:rsidRPr="00E4265B">
              <w:rPr>
                <w:rFonts w:ascii="Arial" w:hAnsi="Arial" w:cs="Arial"/>
                <w:sz w:val="22"/>
                <w:szCs w:val="22"/>
                <w:lang w:val="en-GB"/>
              </w:rPr>
              <w:t xml:space="preserve"> 6 months</w:t>
            </w:r>
          </w:p>
        </w:tc>
        <w:tc>
          <w:tcPr>
            <w:tcW w:w="1309" w:type="dxa"/>
            <w:vAlign w:val="center"/>
          </w:tcPr>
          <w:p w14:paraId="3C07B8ED" w14:textId="77777777" w:rsidR="00E22FF2" w:rsidRPr="00E4265B" w:rsidRDefault="00E22FF2" w:rsidP="008702C6">
            <w:pPr>
              <w:spacing w:after="360"/>
              <w:rPr>
                <w:rFonts w:ascii="Arial" w:hAnsi="Arial" w:cs="Arial"/>
                <w:sz w:val="22"/>
                <w:szCs w:val="22"/>
                <w:lang w:val="en-GB"/>
              </w:rPr>
            </w:pPr>
          </w:p>
        </w:tc>
        <w:tc>
          <w:tcPr>
            <w:tcW w:w="1512" w:type="dxa"/>
          </w:tcPr>
          <w:p w14:paraId="0F4E2DEC" w14:textId="0E0951FC" w:rsidR="00E22FF2" w:rsidRPr="00E4265B" w:rsidRDefault="00E22FF2" w:rsidP="008702C6">
            <w:pPr>
              <w:spacing w:after="360"/>
              <w:rPr>
                <w:rFonts w:ascii="Arial" w:hAnsi="Arial" w:cs="Arial"/>
                <w:sz w:val="22"/>
                <w:szCs w:val="22"/>
                <w:lang w:val="en-GB"/>
              </w:rPr>
            </w:pPr>
          </w:p>
        </w:tc>
        <w:tc>
          <w:tcPr>
            <w:tcW w:w="1808" w:type="dxa"/>
            <w:vMerge/>
          </w:tcPr>
          <w:p w14:paraId="454477B2" w14:textId="77777777" w:rsidR="00E22FF2" w:rsidRPr="00E4265B" w:rsidRDefault="00E22FF2" w:rsidP="008702C6">
            <w:pPr>
              <w:spacing w:after="360"/>
              <w:rPr>
                <w:rFonts w:ascii="Arial" w:hAnsi="Arial" w:cs="Arial"/>
                <w:sz w:val="22"/>
                <w:szCs w:val="22"/>
                <w:lang w:val="en-GB"/>
              </w:rPr>
            </w:pPr>
          </w:p>
        </w:tc>
        <w:tc>
          <w:tcPr>
            <w:tcW w:w="1380" w:type="dxa"/>
          </w:tcPr>
          <w:p w14:paraId="6EB0D402" w14:textId="77777777" w:rsidR="00E22FF2" w:rsidRPr="00E4265B" w:rsidRDefault="00E22FF2" w:rsidP="008702C6">
            <w:pPr>
              <w:spacing w:after="360"/>
              <w:rPr>
                <w:rFonts w:ascii="Arial" w:hAnsi="Arial" w:cs="Arial"/>
                <w:sz w:val="22"/>
                <w:szCs w:val="22"/>
                <w:lang w:val="en-GB"/>
              </w:rPr>
            </w:pPr>
          </w:p>
        </w:tc>
        <w:tc>
          <w:tcPr>
            <w:tcW w:w="1375" w:type="dxa"/>
          </w:tcPr>
          <w:p w14:paraId="10C24398" w14:textId="77777777" w:rsidR="00E22FF2" w:rsidRPr="00E4265B" w:rsidRDefault="00E22FF2" w:rsidP="008702C6">
            <w:pPr>
              <w:spacing w:after="360"/>
              <w:rPr>
                <w:rFonts w:ascii="Arial" w:hAnsi="Arial" w:cs="Arial"/>
                <w:sz w:val="22"/>
                <w:szCs w:val="22"/>
                <w:lang w:val="en-GB"/>
              </w:rPr>
            </w:pPr>
          </w:p>
        </w:tc>
      </w:tr>
      <w:tr w:rsidR="00E22FF2" w:rsidRPr="00E4265B" w14:paraId="4256FF6B" w14:textId="77777777" w:rsidTr="002A510C">
        <w:tc>
          <w:tcPr>
            <w:tcW w:w="1859" w:type="dxa"/>
            <w:shd w:val="clear" w:color="auto" w:fill="D9D9D9" w:themeFill="background1" w:themeFillShade="D9"/>
            <w:vAlign w:val="center"/>
          </w:tcPr>
          <w:p w14:paraId="4EC50D13" w14:textId="5BE84410" w:rsidR="00E22FF2" w:rsidRPr="00E4265B" w:rsidRDefault="00E22FF2" w:rsidP="007722DD">
            <w:pPr>
              <w:spacing w:after="360"/>
              <w:rPr>
                <w:rFonts w:ascii="Arial" w:hAnsi="Arial" w:cs="Arial"/>
                <w:sz w:val="22"/>
                <w:szCs w:val="22"/>
                <w:lang w:val="en-GB"/>
              </w:rPr>
            </w:pPr>
            <w:r w:rsidRPr="00E4265B">
              <w:rPr>
                <w:rFonts w:ascii="Arial" w:hAnsi="Arial" w:cs="Arial"/>
                <w:sz w:val="22"/>
                <w:szCs w:val="22"/>
                <w:lang w:val="en-GB"/>
              </w:rPr>
              <w:t xml:space="preserve">&gt;6 months </w:t>
            </w:r>
            <w:r w:rsidR="00324D13" w:rsidRPr="00E4265B">
              <w:rPr>
                <w:rFonts w:ascii="Arial" w:hAnsi="Arial" w:cs="Arial"/>
                <w:sz w:val="22"/>
                <w:szCs w:val="22"/>
                <w:lang w:val="en-GB"/>
              </w:rPr>
              <w:t>and ≤</w:t>
            </w:r>
            <w:r w:rsidRPr="00E4265B">
              <w:rPr>
                <w:rFonts w:ascii="Arial" w:hAnsi="Arial" w:cs="Arial"/>
                <w:sz w:val="22"/>
                <w:szCs w:val="22"/>
                <w:lang w:val="en-GB"/>
              </w:rPr>
              <w:t xml:space="preserve"> 1 year</w:t>
            </w:r>
          </w:p>
        </w:tc>
        <w:tc>
          <w:tcPr>
            <w:tcW w:w="1309" w:type="dxa"/>
            <w:vAlign w:val="center"/>
          </w:tcPr>
          <w:p w14:paraId="7893660B" w14:textId="77777777" w:rsidR="00E22FF2" w:rsidRPr="00E4265B" w:rsidRDefault="00E22FF2" w:rsidP="008702C6">
            <w:pPr>
              <w:spacing w:after="360"/>
              <w:rPr>
                <w:rFonts w:ascii="Arial" w:hAnsi="Arial" w:cs="Arial"/>
                <w:sz w:val="22"/>
                <w:szCs w:val="22"/>
                <w:lang w:val="en-GB"/>
              </w:rPr>
            </w:pPr>
          </w:p>
        </w:tc>
        <w:tc>
          <w:tcPr>
            <w:tcW w:w="1512" w:type="dxa"/>
          </w:tcPr>
          <w:p w14:paraId="49BEB386" w14:textId="09405828" w:rsidR="00E22FF2" w:rsidRPr="00E4265B" w:rsidRDefault="00E22FF2" w:rsidP="008702C6">
            <w:pPr>
              <w:spacing w:after="360"/>
              <w:rPr>
                <w:rFonts w:ascii="Arial" w:hAnsi="Arial" w:cs="Arial"/>
                <w:sz w:val="22"/>
                <w:szCs w:val="22"/>
                <w:lang w:val="en-GB"/>
              </w:rPr>
            </w:pPr>
          </w:p>
        </w:tc>
        <w:tc>
          <w:tcPr>
            <w:tcW w:w="1808" w:type="dxa"/>
            <w:vMerge/>
          </w:tcPr>
          <w:p w14:paraId="33F9FB84" w14:textId="77777777" w:rsidR="00E22FF2" w:rsidRPr="00E4265B" w:rsidRDefault="00E22FF2" w:rsidP="008702C6">
            <w:pPr>
              <w:spacing w:after="360"/>
              <w:rPr>
                <w:rFonts w:ascii="Arial" w:hAnsi="Arial" w:cs="Arial"/>
                <w:sz w:val="22"/>
                <w:szCs w:val="22"/>
                <w:lang w:val="en-GB"/>
              </w:rPr>
            </w:pPr>
          </w:p>
        </w:tc>
        <w:tc>
          <w:tcPr>
            <w:tcW w:w="1380" w:type="dxa"/>
          </w:tcPr>
          <w:p w14:paraId="1832B6A5" w14:textId="77777777" w:rsidR="00E22FF2" w:rsidRPr="00E4265B" w:rsidRDefault="00E22FF2" w:rsidP="008702C6">
            <w:pPr>
              <w:spacing w:after="360"/>
              <w:rPr>
                <w:rFonts w:ascii="Arial" w:hAnsi="Arial" w:cs="Arial"/>
                <w:sz w:val="22"/>
                <w:szCs w:val="22"/>
                <w:lang w:val="en-GB"/>
              </w:rPr>
            </w:pPr>
          </w:p>
        </w:tc>
        <w:tc>
          <w:tcPr>
            <w:tcW w:w="1375" w:type="dxa"/>
          </w:tcPr>
          <w:p w14:paraId="6C959A8D" w14:textId="77777777" w:rsidR="00E22FF2" w:rsidRPr="00E4265B" w:rsidRDefault="00E22FF2" w:rsidP="008702C6">
            <w:pPr>
              <w:spacing w:after="360"/>
              <w:rPr>
                <w:rFonts w:ascii="Arial" w:hAnsi="Arial" w:cs="Arial"/>
                <w:sz w:val="22"/>
                <w:szCs w:val="22"/>
                <w:lang w:val="en-GB"/>
              </w:rPr>
            </w:pPr>
          </w:p>
        </w:tc>
      </w:tr>
      <w:tr w:rsidR="00E22FF2" w:rsidRPr="00E4265B" w14:paraId="0C3A0DE2" w14:textId="77777777" w:rsidTr="002A510C">
        <w:tc>
          <w:tcPr>
            <w:tcW w:w="1859" w:type="dxa"/>
            <w:shd w:val="clear" w:color="auto" w:fill="D9D9D9" w:themeFill="background1" w:themeFillShade="D9"/>
            <w:vAlign w:val="center"/>
          </w:tcPr>
          <w:p w14:paraId="1E9190CD" w14:textId="12E8D2DB" w:rsidR="00E22FF2" w:rsidRPr="00E4265B" w:rsidRDefault="00E22FF2" w:rsidP="007722DD">
            <w:pPr>
              <w:spacing w:after="360"/>
              <w:rPr>
                <w:rFonts w:ascii="Arial" w:hAnsi="Arial" w:cs="Arial"/>
                <w:sz w:val="22"/>
                <w:szCs w:val="22"/>
                <w:lang w:val="en-GB"/>
              </w:rPr>
            </w:pPr>
            <w:r w:rsidRPr="00E4265B">
              <w:rPr>
                <w:rFonts w:ascii="Arial" w:hAnsi="Arial" w:cs="Arial"/>
                <w:sz w:val="22"/>
                <w:szCs w:val="22"/>
                <w:lang w:val="en-GB"/>
              </w:rPr>
              <w:t xml:space="preserve">&gt;1 year </w:t>
            </w:r>
            <w:r w:rsidR="00324D13" w:rsidRPr="00E4265B">
              <w:rPr>
                <w:rFonts w:ascii="Arial" w:hAnsi="Arial" w:cs="Arial"/>
                <w:sz w:val="22"/>
                <w:szCs w:val="22"/>
                <w:lang w:val="en-GB"/>
              </w:rPr>
              <w:t>and ≤</w:t>
            </w:r>
            <w:r w:rsidRPr="00E4265B">
              <w:rPr>
                <w:rFonts w:ascii="Arial" w:hAnsi="Arial" w:cs="Arial"/>
                <w:sz w:val="22"/>
                <w:szCs w:val="22"/>
                <w:lang w:val="en-GB"/>
              </w:rPr>
              <w:t>2 years</w:t>
            </w:r>
          </w:p>
        </w:tc>
        <w:tc>
          <w:tcPr>
            <w:tcW w:w="1309" w:type="dxa"/>
            <w:vAlign w:val="center"/>
          </w:tcPr>
          <w:p w14:paraId="516CD5A6" w14:textId="77777777" w:rsidR="00E22FF2" w:rsidRPr="00E4265B" w:rsidRDefault="00E22FF2" w:rsidP="008702C6">
            <w:pPr>
              <w:spacing w:after="360"/>
              <w:rPr>
                <w:rFonts w:ascii="Arial" w:hAnsi="Arial" w:cs="Arial"/>
                <w:sz w:val="22"/>
                <w:szCs w:val="22"/>
                <w:lang w:val="en-GB"/>
              </w:rPr>
            </w:pPr>
            <w:r w:rsidRPr="00E4265B">
              <w:rPr>
                <w:rFonts w:ascii="Arial" w:hAnsi="Arial" w:cs="Arial"/>
                <w:sz w:val="22"/>
                <w:szCs w:val="22"/>
                <w:lang w:val="en-GB"/>
              </w:rPr>
              <w:t>400 short</w:t>
            </w:r>
          </w:p>
        </w:tc>
        <w:tc>
          <w:tcPr>
            <w:tcW w:w="1512" w:type="dxa"/>
          </w:tcPr>
          <w:p w14:paraId="574D1E97" w14:textId="07D1FDEB" w:rsidR="00E22FF2" w:rsidRPr="00E4265B" w:rsidRDefault="005E15D6" w:rsidP="002A510C">
            <w:pPr>
              <w:tabs>
                <w:tab w:val="left" w:pos="252"/>
              </w:tabs>
              <w:spacing w:after="360"/>
              <w:ind w:left="-18" w:firstLine="18"/>
              <w:rPr>
                <w:rFonts w:ascii="Arial" w:hAnsi="Arial" w:cs="Arial"/>
                <w:sz w:val="22"/>
                <w:szCs w:val="22"/>
                <w:lang w:val="en-GB"/>
              </w:rPr>
            </w:pPr>
            <w:r w:rsidRPr="00E4265B">
              <w:rPr>
                <w:rFonts w:ascii="Arial" w:hAnsi="Arial" w:cs="Arial"/>
                <w:noProof/>
                <w:sz w:val="22"/>
                <w:szCs w:val="22"/>
                <w:lang w:val="en-GB" w:eastAsia="en-GB"/>
              </w:rPr>
              <mc:AlternateContent>
                <mc:Choice Requires="wps">
                  <w:drawing>
                    <wp:anchor distT="0" distB="0" distL="114300" distR="114300" simplePos="0" relativeHeight="251650560" behindDoc="0" locked="0" layoutInCell="1" allowOverlap="1" wp14:anchorId="135F6EDD" wp14:editId="10124B05">
                      <wp:simplePos x="0" y="0"/>
                      <wp:positionH relativeFrom="column">
                        <wp:posOffset>883285</wp:posOffset>
                      </wp:positionH>
                      <wp:positionV relativeFrom="paragraph">
                        <wp:posOffset>521244</wp:posOffset>
                      </wp:positionV>
                      <wp:extent cx="1133475" cy="1186180"/>
                      <wp:effectExtent l="57150" t="38100" r="85725" b="90170"/>
                      <wp:wrapNone/>
                      <wp:docPr id="1" name="Up Arrow 1"/>
                      <wp:cNvGraphicFramePr/>
                      <a:graphic xmlns:a="http://schemas.openxmlformats.org/drawingml/2006/main">
                        <a:graphicData uri="http://schemas.microsoft.com/office/word/2010/wordprocessingShape">
                          <wps:wsp>
                            <wps:cNvSpPr/>
                            <wps:spPr>
                              <a:xfrm>
                                <a:off x="0" y="0"/>
                                <a:ext cx="1133475" cy="1186180"/>
                              </a:xfrm>
                              <a:prstGeom prst="upArrow">
                                <a:avLst>
                                  <a:gd name="adj1" fmla="val 71128"/>
                                  <a:gd name="adj2" fmla="val 50000"/>
                                </a:avLst>
                              </a:prstGeom>
                            </wps:spPr>
                            <wps:style>
                              <a:lnRef idx="1">
                                <a:schemeClr val="dk1"/>
                              </a:lnRef>
                              <a:fillRef idx="2">
                                <a:schemeClr val="dk1"/>
                              </a:fillRef>
                              <a:effectRef idx="1">
                                <a:schemeClr val="dk1"/>
                              </a:effectRef>
                              <a:fontRef idx="minor">
                                <a:schemeClr val="dk1"/>
                              </a:fontRef>
                            </wps:style>
                            <wps:txbx>
                              <w:txbxContent>
                                <w:p w14:paraId="7E13571D" w14:textId="70EE508D" w:rsidR="006A2FD1" w:rsidRPr="007A18D4" w:rsidRDefault="006A2FD1" w:rsidP="003F567B">
                                  <w:pPr>
                                    <w:jc w:val="center"/>
                                    <w:rPr>
                                      <w:rFonts w:ascii="Calibri" w:hAnsi="Calibri" w:cs="Calibri"/>
                                      <w:sz w:val="18"/>
                                      <w:szCs w:val="18"/>
                                    </w:rPr>
                                  </w:pPr>
                                  <w:r w:rsidRPr="007A18D4">
                                    <w:rPr>
                                      <w:rFonts w:ascii="Calibri" w:hAnsi="Calibri" w:cs="Calibri"/>
                                      <w:sz w:val="18"/>
                                      <w:szCs w:val="18"/>
                                    </w:rPr>
                                    <w:t>200 long carried</w:t>
                                  </w:r>
                                  <w:r>
                                    <w:rPr>
                                      <w:rFonts w:ascii="Calibri" w:hAnsi="Calibri" w:cs="Calibri"/>
                                      <w:sz w:val="18"/>
                                      <w:szCs w:val="18"/>
                                    </w:rPr>
                                    <w:t xml:space="preserve"> across two bands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F6ED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 o:spid="_x0000_s1027" type="#_x0000_t68" style="position:absolute;left:0;text-align:left;margin-left:69.55pt;margin-top:41.05pt;width:89.25pt;height:93.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" adj="10320,3118" fillcolor="gray [1616]" strokecolor="black [3040]">
                      <v:fill color2="#d9d9d9 [496]" rotate="t" angle="180" colors="0 #bcbcbc;22938f #d0d0d0;1 #ededed" focus="100%" type="gradient"/>
                      <v:shadow on="t" color="black" opacity="24903f" origin=",.5" offset="0,.55556mm"/>
                      <v:textbox>
                        <w:txbxContent>
                          <w:p w14:paraId="7E13571D" w14:textId="70EE508D" w:rsidR="006A2FD1" w:rsidRPr="007A18D4" w:rsidRDefault="006A2FD1" w:rsidP="003F567B">
                            <w:pPr>
                              <w:jc w:val="center"/>
                              <w:rPr>
                                <w:rFonts w:ascii="Calibri" w:hAnsi="Calibri" w:cs="Calibri"/>
                                <w:sz w:val="18"/>
                                <w:szCs w:val="18"/>
                              </w:rPr>
                            </w:pPr>
                            <w:r w:rsidRPr="007A18D4">
                              <w:rPr>
                                <w:rFonts w:ascii="Calibri" w:hAnsi="Calibri" w:cs="Calibri"/>
                                <w:sz w:val="18"/>
                                <w:szCs w:val="18"/>
                              </w:rPr>
                              <w:t>200 long carried</w:t>
                            </w:r>
                            <w:r>
                              <w:rPr>
                                <w:rFonts w:ascii="Calibri" w:hAnsi="Calibri" w:cs="Calibri"/>
                                <w:sz w:val="18"/>
                                <w:szCs w:val="18"/>
                              </w:rPr>
                              <w:t xml:space="preserve"> across two bands</w:t>
                            </w:r>
                          </w:p>
                        </w:txbxContent>
                      </v:textbox>
                    </v:shape>
                  </w:pict>
                </mc:Fallback>
              </mc:AlternateContent>
            </w:r>
            <w:r w:rsidR="002A510C" w:rsidRPr="00E4265B">
              <w:rPr>
                <w:rFonts w:ascii="Arial" w:hAnsi="Arial" w:cs="Arial"/>
                <w:sz w:val="22"/>
                <w:szCs w:val="22"/>
                <w:lang w:val="en-GB"/>
              </w:rPr>
              <w:br/>
            </w:r>
            <w:r w:rsidR="002A510C" w:rsidRPr="00E4265B">
              <w:rPr>
                <w:rFonts w:ascii="Arial" w:hAnsi="Arial" w:cs="Arial"/>
                <w:sz w:val="22"/>
                <w:szCs w:val="22"/>
                <w:lang w:val="en-GB"/>
              </w:rPr>
              <w:sym w:font="Wingdings" w:char="F0E8"/>
            </w:r>
            <w:r w:rsidR="002A510C" w:rsidRPr="00E4265B">
              <w:rPr>
                <w:rFonts w:ascii="Arial" w:hAnsi="Arial" w:cs="Arial"/>
                <w:sz w:val="22"/>
                <w:szCs w:val="22"/>
                <w:lang w:val="en-GB"/>
              </w:rPr>
              <w:tab/>
              <w:t>n</w:t>
            </w:r>
            <w:r w:rsidR="00E22FF2" w:rsidRPr="00E4265B">
              <w:rPr>
                <w:rFonts w:ascii="Arial" w:hAnsi="Arial" w:cs="Arial"/>
                <w:sz w:val="22"/>
                <w:szCs w:val="22"/>
                <w:lang w:val="en-GB"/>
              </w:rPr>
              <w:t>othing matched</w:t>
            </w:r>
          </w:p>
        </w:tc>
        <w:tc>
          <w:tcPr>
            <w:tcW w:w="1808" w:type="dxa"/>
            <w:vMerge/>
          </w:tcPr>
          <w:p w14:paraId="449B662A" w14:textId="77777777" w:rsidR="00E22FF2" w:rsidRPr="00E4265B" w:rsidRDefault="00E22FF2" w:rsidP="008702C6">
            <w:pPr>
              <w:spacing w:after="360"/>
              <w:rPr>
                <w:rFonts w:ascii="Arial" w:hAnsi="Arial" w:cs="Arial"/>
                <w:sz w:val="22"/>
                <w:szCs w:val="22"/>
                <w:lang w:val="en-GB"/>
              </w:rPr>
            </w:pPr>
          </w:p>
        </w:tc>
        <w:tc>
          <w:tcPr>
            <w:tcW w:w="1380" w:type="dxa"/>
          </w:tcPr>
          <w:p w14:paraId="18AB34E6" w14:textId="530753A6" w:rsidR="00E22FF2" w:rsidRPr="00E4265B" w:rsidRDefault="002A510C" w:rsidP="00390ED2">
            <w:pPr>
              <w:spacing w:after="360"/>
              <w:rPr>
                <w:rFonts w:ascii="Arial" w:hAnsi="Arial" w:cs="Arial"/>
                <w:sz w:val="22"/>
                <w:szCs w:val="22"/>
                <w:lang w:val="en-GB"/>
              </w:rPr>
            </w:pPr>
            <w:r w:rsidRPr="00E4265B">
              <w:rPr>
                <w:rFonts w:ascii="Arial" w:hAnsi="Arial" w:cs="Arial"/>
                <w:sz w:val="22"/>
                <w:szCs w:val="22"/>
                <w:lang w:val="en-GB"/>
              </w:rPr>
              <w:br/>
            </w:r>
            <w:r w:rsidRPr="00E4265B">
              <w:rPr>
                <w:rFonts w:ascii="Arial" w:hAnsi="Arial" w:cs="Arial"/>
                <w:sz w:val="22"/>
                <w:szCs w:val="22"/>
                <w:lang w:val="en-GB"/>
              </w:rPr>
              <w:sym w:font="Wingdings" w:char="F0E8"/>
            </w:r>
            <w:r w:rsidRPr="00E4265B">
              <w:rPr>
                <w:rFonts w:ascii="Arial" w:hAnsi="Arial" w:cs="Arial"/>
                <w:sz w:val="22"/>
                <w:szCs w:val="22"/>
                <w:lang w:val="en-GB"/>
              </w:rPr>
              <w:t xml:space="preserve"> </w:t>
            </w:r>
            <w:r w:rsidR="00E22FF2" w:rsidRPr="00E4265B">
              <w:rPr>
                <w:rFonts w:ascii="Arial" w:hAnsi="Arial" w:cs="Arial"/>
                <w:sz w:val="22"/>
                <w:szCs w:val="22"/>
                <w:lang w:val="en-GB"/>
              </w:rPr>
              <w:t>400 matched</w:t>
            </w:r>
          </w:p>
        </w:tc>
        <w:tc>
          <w:tcPr>
            <w:tcW w:w="1375" w:type="dxa"/>
          </w:tcPr>
          <w:p w14:paraId="7B1914A6" w14:textId="5598F9C5" w:rsidR="00E22FF2" w:rsidRPr="00E4265B" w:rsidRDefault="002A510C" w:rsidP="008702C6">
            <w:pPr>
              <w:spacing w:after="360"/>
              <w:rPr>
                <w:rFonts w:ascii="Arial" w:hAnsi="Arial" w:cs="Arial"/>
                <w:sz w:val="22"/>
                <w:szCs w:val="22"/>
                <w:lang w:val="en-GB"/>
              </w:rPr>
            </w:pPr>
            <w:r w:rsidRPr="00E4265B">
              <w:rPr>
                <w:rFonts w:ascii="Arial" w:hAnsi="Arial" w:cs="Arial"/>
                <w:sz w:val="22"/>
                <w:szCs w:val="22"/>
                <w:lang w:val="en-GB"/>
              </w:rPr>
              <w:br/>
            </w:r>
            <w:r w:rsidRPr="00E4265B">
              <w:rPr>
                <w:rFonts w:ascii="Arial" w:hAnsi="Arial" w:cs="Arial"/>
                <w:sz w:val="22"/>
                <w:szCs w:val="22"/>
                <w:lang w:val="en-GB"/>
              </w:rPr>
              <w:sym w:font="Wingdings" w:char="F0E8"/>
            </w:r>
            <w:r w:rsidRPr="00E4265B">
              <w:rPr>
                <w:rFonts w:ascii="Arial" w:hAnsi="Arial" w:cs="Arial"/>
                <w:sz w:val="22"/>
                <w:szCs w:val="22"/>
                <w:lang w:val="en-GB"/>
              </w:rPr>
              <w:t xml:space="preserve"> </w:t>
            </w:r>
            <w:r w:rsidR="00E22FF2" w:rsidRPr="00E4265B">
              <w:rPr>
                <w:rFonts w:ascii="Arial" w:hAnsi="Arial" w:cs="Arial"/>
                <w:sz w:val="22"/>
                <w:szCs w:val="22"/>
                <w:lang w:val="en-GB"/>
              </w:rPr>
              <w:t>100 long remains unmatched</w:t>
            </w:r>
          </w:p>
        </w:tc>
      </w:tr>
      <w:tr w:rsidR="00E22FF2" w:rsidRPr="00E4265B" w14:paraId="4D900B72" w14:textId="77777777" w:rsidTr="002A510C">
        <w:tc>
          <w:tcPr>
            <w:tcW w:w="1859" w:type="dxa"/>
            <w:shd w:val="clear" w:color="auto" w:fill="D9D9D9" w:themeFill="background1" w:themeFillShade="D9"/>
            <w:vAlign w:val="center"/>
          </w:tcPr>
          <w:p w14:paraId="2A334808" w14:textId="6CF8167B" w:rsidR="00E22FF2" w:rsidRPr="00E4265B" w:rsidRDefault="00E22FF2" w:rsidP="007722DD">
            <w:pPr>
              <w:spacing w:after="360"/>
              <w:rPr>
                <w:rFonts w:ascii="Arial" w:hAnsi="Arial" w:cs="Arial"/>
                <w:sz w:val="22"/>
                <w:szCs w:val="22"/>
                <w:lang w:val="en-GB"/>
              </w:rPr>
            </w:pPr>
            <w:r w:rsidRPr="00E4265B">
              <w:rPr>
                <w:rFonts w:ascii="Arial" w:hAnsi="Arial" w:cs="Arial"/>
                <w:sz w:val="22"/>
                <w:szCs w:val="22"/>
                <w:lang w:val="en-GB"/>
              </w:rPr>
              <w:t>&gt;2 years</w:t>
            </w:r>
            <w:r w:rsidR="004B3140" w:rsidRPr="00E4265B">
              <w:rPr>
                <w:rFonts w:ascii="Arial" w:hAnsi="Arial" w:cs="Arial"/>
                <w:sz w:val="22"/>
                <w:szCs w:val="22"/>
                <w:lang w:val="en-GB"/>
              </w:rPr>
              <w:t xml:space="preserve"> </w:t>
            </w:r>
            <w:r w:rsidR="00324D13" w:rsidRPr="00E4265B">
              <w:rPr>
                <w:rFonts w:ascii="Arial" w:hAnsi="Arial" w:cs="Arial"/>
                <w:sz w:val="22"/>
                <w:szCs w:val="22"/>
                <w:lang w:val="en-GB"/>
              </w:rPr>
              <w:t>and ≤</w:t>
            </w:r>
            <w:r w:rsidRPr="00E4265B">
              <w:rPr>
                <w:rFonts w:ascii="Arial" w:hAnsi="Arial" w:cs="Arial"/>
                <w:sz w:val="22"/>
                <w:szCs w:val="22"/>
                <w:lang w:val="en-GB"/>
              </w:rPr>
              <w:t xml:space="preserve"> 3 years</w:t>
            </w:r>
          </w:p>
        </w:tc>
        <w:tc>
          <w:tcPr>
            <w:tcW w:w="1309" w:type="dxa"/>
            <w:vAlign w:val="center"/>
          </w:tcPr>
          <w:p w14:paraId="0C5F25D7" w14:textId="77777777" w:rsidR="00E22FF2" w:rsidRPr="00E4265B" w:rsidRDefault="00E22FF2" w:rsidP="008702C6">
            <w:pPr>
              <w:spacing w:after="360"/>
              <w:rPr>
                <w:rFonts w:ascii="Arial" w:hAnsi="Arial" w:cs="Arial"/>
                <w:sz w:val="22"/>
                <w:szCs w:val="22"/>
                <w:lang w:val="en-GB"/>
              </w:rPr>
            </w:pPr>
          </w:p>
        </w:tc>
        <w:tc>
          <w:tcPr>
            <w:tcW w:w="1512" w:type="dxa"/>
          </w:tcPr>
          <w:p w14:paraId="393B4ECC" w14:textId="77777777" w:rsidR="00E22FF2" w:rsidRPr="00E4265B" w:rsidRDefault="00E22FF2" w:rsidP="008702C6">
            <w:pPr>
              <w:spacing w:after="360"/>
              <w:rPr>
                <w:rFonts w:ascii="Arial" w:hAnsi="Arial" w:cs="Arial"/>
                <w:sz w:val="22"/>
                <w:szCs w:val="22"/>
                <w:lang w:val="en-GB"/>
              </w:rPr>
            </w:pPr>
          </w:p>
        </w:tc>
        <w:tc>
          <w:tcPr>
            <w:tcW w:w="1808" w:type="dxa"/>
            <w:vMerge/>
          </w:tcPr>
          <w:p w14:paraId="334AA999" w14:textId="77777777" w:rsidR="00E22FF2" w:rsidRPr="00E4265B" w:rsidRDefault="00E22FF2" w:rsidP="008702C6">
            <w:pPr>
              <w:spacing w:after="360"/>
              <w:rPr>
                <w:rFonts w:ascii="Arial" w:hAnsi="Arial" w:cs="Arial"/>
                <w:sz w:val="22"/>
                <w:szCs w:val="22"/>
                <w:lang w:val="en-GB"/>
              </w:rPr>
            </w:pPr>
          </w:p>
        </w:tc>
        <w:tc>
          <w:tcPr>
            <w:tcW w:w="1380" w:type="dxa"/>
          </w:tcPr>
          <w:p w14:paraId="525922FB" w14:textId="77777777" w:rsidR="00E22FF2" w:rsidRPr="00E4265B" w:rsidRDefault="00E22FF2" w:rsidP="008702C6">
            <w:pPr>
              <w:spacing w:after="360"/>
              <w:rPr>
                <w:rFonts w:ascii="Arial" w:hAnsi="Arial" w:cs="Arial"/>
                <w:sz w:val="22"/>
                <w:szCs w:val="22"/>
                <w:lang w:val="en-GB"/>
              </w:rPr>
            </w:pPr>
          </w:p>
        </w:tc>
        <w:tc>
          <w:tcPr>
            <w:tcW w:w="1375" w:type="dxa"/>
          </w:tcPr>
          <w:p w14:paraId="409FCD34" w14:textId="77777777" w:rsidR="00E22FF2" w:rsidRPr="00E4265B" w:rsidRDefault="00E22FF2" w:rsidP="008702C6">
            <w:pPr>
              <w:spacing w:after="360"/>
              <w:rPr>
                <w:rFonts w:ascii="Arial" w:hAnsi="Arial" w:cs="Arial"/>
                <w:sz w:val="22"/>
                <w:szCs w:val="22"/>
                <w:lang w:val="en-GB"/>
              </w:rPr>
            </w:pPr>
          </w:p>
        </w:tc>
      </w:tr>
      <w:tr w:rsidR="00E22FF2" w:rsidRPr="00E4265B" w14:paraId="757E8181" w14:textId="77777777" w:rsidTr="002A510C">
        <w:tc>
          <w:tcPr>
            <w:tcW w:w="1859" w:type="dxa"/>
            <w:shd w:val="clear" w:color="auto" w:fill="D9D9D9" w:themeFill="background1" w:themeFillShade="D9"/>
            <w:vAlign w:val="center"/>
          </w:tcPr>
          <w:p w14:paraId="2A14002A" w14:textId="77777777" w:rsidR="00E22FF2" w:rsidRPr="00E4265B" w:rsidRDefault="00E22FF2" w:rsidP="007722DD">
            <w:pPr>
              <w:spacing w:after="360"/>
              <w:rPr>
                <w:rFonts w:ascii="Arial" w:hAnsi="Arial" w:cs="Arial"/>
                <w:sz w:val="22"/>
                <w:szCs w:val="22"/>
                <w:lang w:val="en-GB"/>
              </w:rPr>
            </w:pPr>
            <w:r w:rsidRPr="00E4265B">
              <w:rPr>
                <w:rFonts w:ascii="Arial" w:hAnsi="Arial" w:cs="Arial"/>
                <w:sz w:val="22"/>
                <w:szCs w:val="22"/>
                <w:lang w:val="en-GB"/>
              </w:rPr>
              <w:t>&gt; 3 years</w:t>
            </w:r>
          </w:p>
        </w:tc>
        <w:tc>
          <w:tcPr>
            <w:tcW w:w="1309" w:type="dxa"/>
            <w:vAlign w:val="center"/>
          </w:tcPr>
          <w:p w14:paraId="5C570660" w14:textId="77777777" w:rsidR="00E22FF2" w:rsidRPr="00E4265B" w:rsidRDefault="00E22FF2" w:rsidP="008702C6">
            <w:pPr>
              <w:spacing w:after="360"/>
              <w:rPr>
                <w:rFonts w:ascii="Arial" w:hAnsi="Arial" w:cs="Arial"/>
                <w:sz w:val="22"/>
                <w:szCs w:val="22"/>
                <w:lang w:val="en-GB"/>
              </w:rPr>
            </w:pPr>
            <w:r w:rsidRPr="00E4265B">
              <w:rPr>
                <w:rFonts w:ascii="Arial" w:hAnsi="Arial" w:cs="Arial"/>
                <w:sz w:val="22"/>
                <w:szCs w:val="22"/>
                <w:lang w:val="en-GB"/>
              </w:rPr>
              <w:t>200 long</w:t>
            </w:r>
          </w:p>
        </w:tc>
        <w:tc>
          <w:tcPr>
            <w:tcW w:w="1512" w:type="dxa"/>
          </w:tcPr>
          <w:p w14:paraId="119C76C8" w14:textId="620BDAA0" w:rsidR="00E22FF2" w:rsidRPr="00E4265B" w:rsidRDefault="002A510C" w:rsidP="002A510C">
            <w:pPr>
              <w:spacing w:after="360"/>
              <w:rPr>
                <w:rFonts w:ascii="Arial" w:hAnsi="Arial" w:cs="Arial"/>
                <w:sz w:val="22"/>
                <w:szCs w:val="22"/>
                <w:lang w:val="en-GB"/>
              </w:rPr>
            </w:pPr>
            <w:r w:rsidRPr="00E4265B">
              <w:rPr>
                <w:rFonts w:ascii="Arial" w:hAnsi="Arial" w:cs="Arial"/>
                <w:sz w:val="22"/>
                <w:szCs w:val="22"/>
                <w:lang w:val="en-GB"/>
              </w:rPr>
              <w:br/>
            </w:r>
            <w:r w:rsidRPr="00E4265B">
              <w:rPr>
                <w:rFonts w:ascii="Arial" w:hAnsi="Arial" w:cs="Arial"/>
                <w:sz w:val="22"/>
                <w:szCs w:val="22"/>
                <w:lang w:val="en-GB"/>
              </w:rPr>
              <w:sym w:font="Wingdings" w:char="F0E8"/>
            </w:r>
            <w:r w:rsidRPr="00E4265B">
              <w:rPr>
                <w:rFonts w:ascii="Arial" w:hAnsi="Arial" w:cs="Arial"/>
                <w:sz w:val="22"/>
                <w:szCs w:val="22"/>
                <w:lang w:val="en-GB"/>
              </w:rPr>
              <w:t xml:space="preserve"> n</w:t>
            </w:r>
            <w:r w:rsidR="00E22FF2" w:rsidRPr="00E4265B">
              <w:rPr>
                <w:rFonts w:ascii="Arial" w:hAnsi="Arial" w:cs="Arial"/>
                <w:sz w:val="22"/>
                <w:szCs w:val="22"/>
                <w:lang w:val="en-GB"/>
              </w:rPr>
              <w:t>othing matched</w:t>
            </w:r>
          </w:p>
        </w:tc>
        <w:tc>
          <w:tcPr>
            <w:tcW w:w="1808" w:type="dxa"/>
            <w:vMerge/>
          </w:tcPr>
          <w:p w14:paraId="3A858B55" w14:textId="77777777" w:rsidR="00E22FF2" w:rsidRPr="00E4265B" w:rsidRDefault="00E22FF2" w:rsidP="008702C6">
            <w:pPr>
              <w:spacing w:after="360"/>
              <w:rPr>
                <w:rFonts w:ascii="Arial" w:hAnsi="Arial" w:cs="Arial"/>
                <w:sz w:val="22"/>
                <w:szCs w:val="22"/>
                <w:lang w:val="en-GB"/>
              </w:rPr>
            </w:pPr>
          </w:p>
        </w:tc>
        <w:tc>
          <w:tcPr>
            <w:tcW w:w="1380" w:type="dxa"/>
          </w:tcPr>
          <w:p w14:paraId="303F09F5" w14:textId="77777777" w:rsidR="00E22FF2" w:rsidRPr="00E4265B" w:rsidRDefault="00E22FF2" w:rsidP="008702C6">
            <w:pPr>
              <w:spacing w:after="360"/>
              <w:rPr>
                <w:rFonts w:ascii="Arial" w:hAnsi="Arial" w:cs="Arial"/>
                <w:sz w:val="22"/>
                <w:szCs w:val="22"/>
                <w:lang w:val="en-GB"/>
              </w:rPr>
            </w:pPr>
          </w:p>
        </w:tc>
        <w:tc>
          <w:tcPr>
            <w:tcW w:w="1375" w:type="dxa"/>
          </w:tcPr>
          <w:p w14:paraId="7D6DB9D1" w14:textId="77777777" w:rsidR="00E22FF2" w:rsidRPr="00E4265B" w:rsidRDefault="00E22FF2" w:rsidP="008702C6">
            <w:pPr>
              <w:spacing w:after="360"/>
              <w:rPr>
                <w:rFonts w:ascii="Arial" w:hAnsi="Arial" w:cs="Arial"/>
                <w:sz w:val="22"/>
                <w:szCs w:val="22"/>
                <w:lang w:val="en-GB"/>
              </w:rPr>
            </w:pPr>
          </w:p>
        </w:tc>
      </w:tr>
      <w:tr w:rsidR="00E22FF2" w:rsidRPr="00E4265B" w14:paraId="27EDFD10" w14:textId="77777777" w:rsidTr="002A510C">
        <w:tc>
          <w:tcPr>
            <w:tcW w:w="9243" w:type="dxa"/>
            <w:gridSpan w:val="6"/>
          </w:tcPr>
          <w:p w14:paraId="525346A1" w14:textId="77777777" w:rsidR="000816A1" w:rsidRPr="00E4265B" w:rsidRDefault="00E22FF2" w:rsidP="004B3140">
            <w:pPr>
              <w:tabs>
                <w:tab w:val="left" w:pos="1800"/>
                <w:tab w:val="left" w:pos="3060"/>
                <w:tab w:val="left" w:pos="3345"/>
              </w:tabs>
              <w:rPr>
                <w:rFonts w:ascii="Arial" w:hAnsi="Arial" w:cs="Arial"/>
                <w:sz w:val="22"/>
                <w:szCs w:val="22"/>
                <w:lang w:val="en-GB"/>
              </w:rPr>
            </w:pPr>
            <w:r w:rsidRPr="00E4265B">
              <w:rPr>
                <w:rFonts w:ascii="Arial" w:hAnsi="Arial" w:cs="Arial"/>
                <w:b/>
                <w:bCs/>
                <w:sz w:val="22"/>
                <w:szCs w:val="22"/>
                <w:lang w:val="en-GB"/>
              </w:rPr>
              <w:t>Spread charge</w:t>
            </w:r>
            <w:r w:rsidRPr="00E4265B">
              <w:rPr>
                <w:rFonts w:ascii="Arial" w:hAnsi="Arial" w:cs="Arial"/>
                <w:sz w:val="22"/>
                <w:szCs w:val="22"/>
                <w:lang w:val="en-GB"/>
              </w:rPr>
              <w:tab/>
            </w:r>
            <w:r w:rsidR="003F567B" w:rsidRPr="00E4265B">
              <w:rPr>
                <w:rFonts w:ascii="Arial" w:hAnsi="Arial" w:cs="Arial"/>
                <w:sz w:val="22"/>
                <w:szCs w:val="22"/>
                <w:lang w:val="en-GB"/>
              </w:rPr>
              <w:t>(</w:t>
            </w:r>
            <w:r w:rsidRPr="00E4265B">
              <w:rPr>
                <w:rFonts w:ascii="Arial" w:hAnsi="Arial" w:cs="Arial"/>
                <w:sz w:val="22"/>
                <w:szCs w:val="22"/>
                <w:lang w:val="en-GB"/>
              </w:rPr>
              <w:t>800x$20x1.5%</w:t>
            </w:r>
            <w:r w:rsidR="003F567B" w:rsidRPr="00E4265B">
              <w:rPr>
                <w:rFonts w:ascii="Arial" w:hAnsi="Arial" w:cs="Arial"/>
                <w:sz w:val="22"/>
                <w:szCs w:val="22"/>
                <w:lang w:val="en-GB"/>
              </w:rPr>
              <w:t>)</w:t>
            </w:r>
            <w:r w:rsidRPr="00E4265B">
              <w:rPr>
                <w:rFonts w:ascii="Arial" w:hAnsi="Arial" w:cs="Arial"/>
                <w:sz w:val="22"/>
                <w:szCs w:val="22"/>
                <w:lang w:val="en-GB"/>
              </w:rPr>
              <w:tab/>
              <w:t>+</w:t>
            </w:r>
            <w:r w:rsidRPr="00E4265B">
              <w:rPr>
                <w:rFonts w:ascii="Arial" w:hAnsi="Arial" w:cs="Arial"/>
                <w:sz w:val="22"/>
                <w:szCs w:val="22"/>
                <w:lang w:val="en-GB"/>
              </w:rPr>
              <w:tab/>
            </w:r>
            <w:r w:rsidR="003F567B" w:rsidRPr="00E4265B">
              <w:rPr>
                <w:rFonts w:ascii="Arial" w:hAnsi="Arial" w:cs="Arial"/>
                <w:sz w:val="22"/>
                <w:szCs w:val="22"/>
                <w:lang w:val="en-GB"/>
              </w:rPr>
              <w:t>(</w:t>
            </w:r>
            <w:r w:rsidRPr="00E4265B">
              <w:rPr>
                <w:rFonts w:ascii="Arial" w:hAnsi="Arial" w:cs="Arial"/>
                <w:sz w:val="22"/>
                <w:szCs w:val="22"/>
                <w:lang w:val="en-GB"/>
              </w:rPr>
              <w:t>400x $20x1.5%</w:t>
            </w:r>
            <w:r w:rsidR="003F567B" w:rsidRPr="00E4265B">
              <w:rPr>
                <w:rFonts w:ascii="Arial" w:hAnsi="Arial" w:cs="Arial"/>
                <w:sz w:val="22"/>
                <w:szCs w:val="22"/>
                <w:lang w:val="en-GB"/>
              </w:rPr>
              <w:t>)</w:t>
            </w:r>
            <w:r w:rsidR="004B3140" w:rsidRPr="00E4265B">
              <w:rPr>
                <w:rFonts w:ascii="Arial" w:hAnsi="Arial" w:cs="Arial"/>
                <w:sz w:val="22"/>
                <w:szCs w:val="22"/>
                <w:lang w:val="en-GB"/>
              </w:rPr>
              <w:tab/>
              <w:t>=</w:t>
            </w:r>
            <w:r w:rsidR="004B3140" w:rsidRPr="00E4265B">
              <w:rPr>
                <w:rFonts w:ascii="Arial" w:hAnsi="Arial" w:cs="Arial"/>
                <w:sz w:val="22"/>
                <w:szCs w:val="22"/>
                <w:lang w:val="en-GB"/>
              </w:rPr>
              <w:tab/>
              <w:t>$360</w:t>
            </w:r>
          </w:p>
          <w:p w14:paraId="4DB6E48C" w14:textId="77777777" w:rsidR="000816A1" w:rsidRPr="00E4265B" w:rsidRDefault="000816A1" w:rsidP="004B3140">
            <w:pPr>
              <w:tabs>
                <w:tab w:val="left" w:pos="1800"/>
                <w:tab w:val="left" w:pos="3060"/>
                <w:tab w:val="left" w:pos="3345"/>
              </w:tabs>
              <w:rPr>
                <w:rFonts w:ascii="Arial" w:hAnsi="Arial" w:cs="Arial"/>
                <w:sz w:val="22"/>
                <w:szCs w:val="22"/>
                <w:lang w:val="en-GB"/>
              </w:rPr>
            </w:pPr>
          </w:p>
          <w:p w14:paraId="24AE177E" w14:textId="77777777" w:rsidR="000816A1" w:rsidRPr="00E4265B" w:rsidRDefault="004B3140" w:rsidP="004B3140">
            <w:pPr>
              <w:tabs>
                <w:tab w:val="left" w:pos="1800"/>
                <w:tab w:val="left" w:pos="3060"/>
                <w:tab w:val="left" w:pos="3345"/>
              </w:tabs>
              <w:rPr>
                <w:rFonts w:ascii="Arial" w:hAnsi="Arial" w:cs="Arial"/>
                <w:sz w:val="22"/>
                <w:szCs w:val="22"/>
                <w:lang w:val="en-GB"/>
              </w:rPr>
            </w:pPr>
            <w:r w:rsidRPr="00E4265B">
              <w:rPr>
                <w:rFonts w:ascii="Arial" w:hAnsi="Arial" w:cs="Arial"/>
                <w:b/>
                <w:bCs/>
                <w:sz w:val="22"/>
                <w:szCs w:val="22"/>
                <w:lang w:val="en-GB"/>
              </w:rPr>
              <w:t>Carry charge</w:t>
            </w:r>
            <w:r w:rsidR="00E22FF2" w:rsidRPr="00E4265B">
              <w:rPr>
                <w:rFonts w:ascii="Arial" w:hAnsi="Arial" w:cs="Arial"/>
                <w:sz w:val="22"/>
                <w:szCs w:val="22"/>
                <w:lang w:val="en-GB"/>
              </w:rPr>
              <w:tab/>
            </w:r>
            <w:r w:rsidR="003F567B" w:rsidRPr="00E4265B">
              <w:rPr>
                <w:rFonts w:ascii="Arial" w:hAnsi="Arial" w:cs="Arial"/>
                <w:sz w:val="22"/>
                <w:szCs w:val="22"/>
                <w:lang w:val="en-GB"/>
              </w:rPr>
              <w:t>(</w:t>
            </w:r>
            <w:r w:rsidR="00E22FF2" w:rsidRPr="00E4265B">
              <w:rPr>
                <w:rFonts w:ascii="Arial" w:hAnsi="Arial" w:cs="Arial"/>
                <w:sz w:val="22"/>
                <w:szCs w:val="22"/>
                <w:lang w:val="en-GB"/>
              </w:rPr>
              <w:t>300x$20x0.6%x3</w:t>
            </w:r>
            <w:r w:rsidR="003F567B" w:rsidRPr="00E4265B">
              <w:rPr>
                <w:rFonts w:ascii="Arial" w:hAnsi="Arial" w:cs="Arial"/>
                <w:sz w:val="22"/>
                <w:szCs w:val="22"/>
                <w:lang w:val="en-GB"/>
              </w:rPr>
              <w:t>)</w:t>
            </w:r>
            <w:r w:rsidR="00E22FF2" w:rsidRPr="00E4265B">
              <w:rPr>
                <w:rFonts w:ascii="Arial" w:hAnsi="Arial" w:cs="Arial"/>
                <w:sz w:val="22"/>
                <w:szCs w:val="22"/>
                <w:lang w:val="en-GB"/>
              </w:rPr>
              <w:t xml:space="preserve"> </w:t>
            </w:r>
            <w:r w:rsidR="00E22FF2" w:rsidRPr="00E4265B">
              <w:rPr>
                <w:rFonts w:ascii="Arial" w:hAnsi="Arial" w:cs="Arial"/>
                <w:sz w:val="22"/>
                <w:szCs w:val="22"/>
                <w:lang w:val="en-GB"/>
              </w:rPr>
              <w:tab/>
              <w:t>+</w:t>
            </w:r>
            <w:r w:rsidR="00E22FF2" w:rsidRPr="00E4265B">
              <w:rPr>
                <w:rFonts w:ascii="Arial" w:hAnsi="Arial" w:cs="Arial"/>
                <w:sz w:val="22"/>
                <w:szCs w:val="22"/>
                <w:lang w:val="en-GB"/>
              </w:rPr>
              <w:tab/>
            </w:r>
            <w:r w:rsidR="003F567B" w:rsidRPr="00E4265B">
              <w:rPr>
                <w:rFonts w:ascii="Arial" w:hAnsi="Arial" w:cs="Arial"/>
                <w:sz w:val="22"/>
                <w:szCs w:val="22"/>
                <w:lang w:val="en-GB"/>
              </w:rPr>
              <w:t>(</w:t>
            </w:r>
            <w:r w:rsidR="00E22FF2" w:rsidRPr="00E4265B">
              <w:rPr>
                <w:rFonts w:ascii="Arial" w:hAnsi="Arial" w:cs="Arial"/>
                <w:sz w:val="22"/>
                <w:szCs w:val="22"/>
                <w:lang w:val="en-GB"/>
              </w:rPr>
              <w:t>200x$20x0.6%x2</w:t>
            </w:r>
            <w:r w:rsidR="003F567B" w:rsidRPr="00E4265B">
              <w:rPr>
                <w:rFonts w:ascii="Arial" w:hAnsi="Arial" w:cs="Arial"/>
                <w:sz w:val="22"/>
                <w:szCs w:val="22"/>
                <w:lang w:val="en-GB"/>
              </w:rPr>
              <w:t>)</w:t>
            </w:r>
            <w:r w:rsidR="00E22FF2" w:rsidRPr="00E4265B">
              <w:rPr>
                <w:rFonts w:ascii="Arial" w:hAnsi="Arial" w:cs="Arial"/>
                <w:sz w:val="22"/>
                <w:szCs w:val="22"/>
                <w:lang w:val="en-GB"/>
              </w:rPr>
              <w:t>=</w:t>
            </w:r>
            <w:r w:rsidR="00E22FF2" w:rsidRPr="00E4265B">
              <w:rPr>
                <w:rFonts w:ascii="Arial" w:hAnsi="Arial" w:cs="Arial"/>
                <w:sz w:val="22"/>
                <w:szCs w:val="22"/>
                <w:lang w:val="en-GB"/>
              </w:rPr>
              <w:tab/>
              <w:t>$156</w:t>
            </w:r>
          </w:p>
          <w:p w14:paraId="24808018" w14:textId="77777777" w:rsidR="000816A1" w:rsidRPr="00E4265B" w:rsidRDefault="000816A1" w:rsidP="004B3140">
            <w:pPr>
              <w:tabs>
                <w:tab w:val="left" w:pos="1800"/>
                <w:tab w:val="left" w:pos="3060"/>
                <w:tab w:val="left" w:pos="3345"/>
              </w:tabs>
              <w:rPr>
                <w:rFonts w:ascii="Arial" w:hAnsi="Arial" w:cs="Arial"/>
                <w:sz w:val="22"/>
                <w:szCs w:val="22"/>
                <w:lang w:val="en-GB"/>
              </w:rPr>
            </w:pPr>
          </w:p>
          <w:p w14:paraId="64C313C8" w14:textId="77777777" w:rsidR="000816A1" w:rsidRPr="00E4265B" w:rsidRDefault="00E22FF2" w:rsidP="004B3140">
            <w:pPr>
              <w:tabs>
                <w:tab w:val="left" w:pos="1800"/>
                <w:tab w:val="left" w:pos="3060"/>
                <w:tab w:val="left" w:pos="3345"/>
              </w:tabs>
              <w:rPr>
                <w:rFonts w:ascii="Arial" w:hAnsi="Arial" w:cs="Arial"/>
                <w:sz w:val="22"/>
                <w:szCs w:val="22"/>
                <w:lang w:val="en-GB"/>
              </w:rPr>
            </w:pPr>
            <w:r w:rsidRPr="00E4265B">
              <w:rPr>
                <w:rFonts w:ascii="Arial" w:hAnsi="Arial" w:cs="Arial"/>
                <w:b/>
                <w:bCs/>
                <w:sz w:val="22"/>
                <w:szCs w:val="22"/>
                <w:lang w:val="en-GB"/>
              </w:rPr>
              <w:lastRenderedPageBreak/>
              <w:t>Outright charge</w:t>
            </w:r>
            <w:r w:rsidRPr="00E4265B">
              <w:rPr>
                <w:rFonts w:ascii="Arial" w:hAnsi="Arial" w:cs="Arial"/>
                <w:sz w:val="22"/>
                <w:szCs w:val="22"/>
                <w:lang w:val="en-GB"/>
              </w:rPr>
              <w:tab/>
            </w:r>
            <w:r w:rsidR="003F567B" w:rsidRPr="00E4265B">
              <w:rPr>
                <w:rFonts w:ascii="Arial" w:hAnsi="Arial" w:cs="Arial"/>
                <w:sz w:val="22"/>
                <w:szCs w:val="22"/>
                <w:lang w:val="en-GB"/>
              </w:rPr>
              <w:t>(</w:t>
            </w:r>
            <w:r w:rsidRPr="00E4265B">
              <w:rPr>
                <w:rFonts w:ascii="Arial" w:hAnsi="Arial" w:cs="Arial"/>
                <w:sz w:val="22"/>
                <w:szCs w:val="22"/>
                <w:lang w:val="en-GB"/>
              </w:rPr>
              <w:t>100x$20x15%</w:t>
            </w:r>
            <w:r w:rsidR="003F567B" w:rsidRPr="00E4265B">
              <w:rPr>
                <w:rFonts w:ascii="Arial" w:hAnsi="Arial" w:cs="Arial"/>
                <w:sz w:val="22"/>
                <w:szCs w:val="22"/>
                <w:lang w:val="en-GB"/>
              </w:rPr>
              <w:t>)</w:t>
            </w:r>
            <w:r w:rsidRPr="00E4265B">
              <w:rPr>
                <w:rFonts w:ascii="Arial" w:hAnsi="Arial" w:cs="Arial"/>
                <w:sz w:val="22"/>
                <w:szCs w:val="22"/>
                <w:lang w:val="en-GB"/>
              </w:rPr>
              <w:tab/>
            </w:r>
            <w:r w:rsidRPr="00E4265B">
              <w:rPr>
                <w:rFonts w:ascii="Arial" w:hAnsi="Arial" w:cs="Arial"/>
                <w:sz w:val="22"/>
                <w:szCs w:val="22"/>
                <w:lang w:val="en-GB"/>
              </w:rPr>
              <w:tab/>
            </w:r>
            <w:r w:rsidR="003F567B" w:rsidRPr="00E4265B">
              <w:rPr>
                <w:rFonts w:ascii="Arial" w:hAnsi="Arial" w:cs="Arial"/>
                <w:sz w:val="22"/>
                <w:szCs w:val="22"/>
                <w:lang w:val="en-GB"/>
              </w:rPr>
              <w:tab/>
            </w:r>
            <w:r w:rsidR="003F567B" w:rsidRPr="00E4265B">
              <w:rPr>
                <w:rFonts w:ascii="Arial" w:hAnsi="Arial" w:cs="Arial"/>
                <w:sz w:val="22"/>
                <w:szCs w:val="22"/>
                <w:lang w:val="en-GB"/>
              </w:rPr>
              <w:tab/>
            </w:r>
            <w:r w:rsidR="003F567B" w:rsidRPr="00E4265B">
              <w:rPr>
                <w:rFonts w:ascii="Arial" w:hAnsi="Arial" w:cs="Arial"/>
                <w:sz w:val="22"/>
                <w:szCs w:val="22"/>
                <w:lang w:val="en-GB"/>
              </w:rPr>
              <w:tab/>
            </w:r>
            <w:r w:rsidRPr="00E4265B">
              <w:rPr>
                <w:rFonts w:ascii="Arial" w:hAnsi="Arial" w:cs="Arial"/>
                <w:sz w:val="22"/>
                <w:szCs w:val="22"/>
                <w:lang w:val="en-GB"/>
              </w:rPr>
              <w:t>=</w:t>
            </w:r>
            <w:r w:rsidRPr="00E4265B">
              <w:rPr>
                <w:rFonts w:ascii="Arial" w:hAnsi="Arial" w:cs="Arial"/>
                <w:sz w:val="22"/>
                <w:szCs w:val="22"/>
                <w:lang w:val="en-GB"/>
              </w:rPr>
              <w:tab/>
            </w:r>
            <w:r w:rsidRPr="00E4265B">
              <w:rPr>
                <w:rFonts w:ascii="Arial" w:hAnsi="Arial" w:cs="Arial"/>
                <w:sz w:val="22"/>
                <w:szCs w:val="22"/>
                <w:u w:val="double"/>
                <w:lang w:val="en-GB"/>
              </w:rPr>
              <w:t xml:space="preserve">$300 </w:t>
            </w:r>
          </w:p>
          <w:p w14:paraId="24168E4B" w14:textId="77777777" w:rsidR="000816A1" w:rsidRPr="00E4265B" w:rsidRDefault="000816A1" w:rsidP="004B3140">
            <w:pPr>
              <w:tabs>
                <w:tab w:val="left" w:pos="1800"/>
                <w:tab w:val="left" w:pos="3060"/>
                <w:tab w:val="left" w:pos="3345"/>
              </w:tabs>
              <w:rPr>
                <w:rFonts w:ascii="Arial" w:hAnsi="Arial" w:cs="Arial"/>
                <w:sz w:val="22"/>
                <w:szCs w:val="22"/>
                <w:lang w:val="en-GB"/>
              </w:rPr>
            </w:pPr>
          </w:p>
          <w:p w14:paraId="113B385D" w14:textId="2ADAB9CC" w:rsidR="00E22FF2" w:rsidRPr="00E4265B" w:rsidRDefault="00E22FF2" w:rsidP="004B3140">
            <w:pPr>
              <w:tabs>
                <w:tab w:val="left" w:pos="1800"/>
                <w:tab w:val="left" w:pos="3060"/>
                <w:tab w:val="left" w:pos="3345"/>
              </w:tabs>
              <w:rPr>
                <w:rFonts w:ascii="Arial" w:hAnsi="Arial" w:cs="Arial"/>
                <w:sz w:val="22"/>
                <w:szCs w:val="22"/>
                <w:lang w:val="en-GB"/>
              </w:rPr>
            </w:pPr>
            <w:r w:rsidRPr="00E4265B">
              <w:rPr>
                <w:rFonts w:ascii="Arial" w:hAnsi="Arial" w:cs="Arial"/>
                <w:b/>
                <w:bCs/>
                <w:sz w:val="22"/>
                <w:szCs w:val="22"/>
                <w:lang w:val="en-GB"/>
              </w:rPr>
              <w:t>Total</w:t>
            </w:r>
            <w:r w:rsidRPr="00E4265B">
              <w:rPr>
                <w:rFonts w:ascii="Arial" w:hAnsi="Arial" w:cs="Arial"/>
                <w:sz w:val="22"/>
                <w:szCs w:val="22"/>
                <w:lang w:val="en-GB"/>
              </w:rPr>
              <w:tab/>
            </w:r>
            <w:r w:rsidR="007D16A4" w:rsidRPr="00E4265B">
              <w:rPr>
                <w:rFonts w:ascii="Arial" w:hAnsi="Arial" w:cs="Arial"/>
                <w:sz w:val="22"/>
                <w:szCs w:val="22"/>
                <w:lang w:val="en-GB"/>
              </w:rPr>
              <w:tab/>
            </w:r>
            <w:r w:rsidR="007D16A4" w:rsidRPr="00E4265B">
              <w:rPr>
                <w:rFonts w:ascii="Arial" w:hAnsi="Arial" w:cs="Arial"/>
                <w:sz w:val="22"/>
                <w:szCs w:val="22"/>
                <w:lang w:val="en-GB"/>
              </w:rPr>
              <w:tab/>
            </w:r>
            <w:r w:rsidR="007D16A4" w:rsidRPr="00E4265B">
              <w:rPr>
                <w:rFonts w:ascii="Arial" w:hAnsi="Arial" w:cs="Arial"/>
                <w:sz w:val="22"/>
                <w:szCs w:val="22"/>
                <w:lang w:val="en-GB"/>
              </w:rPr>
              <w:tab/>
            </w:r>
            <w:r w:rsidR="007D16A4" w:rsidRPr="00E4265B">
              <w:rPr>
                <w:rFonts w:ascii="Arial" w:hAnsi="Arial" w:cs="Arial"/>
                <w:sz w:val="22"/>
                <w:szCs w:val="22"/>
                <w:lang w:val="en-GB"/>
              </w:rPr>
              <w:tab/>
            </w:r>
            <w:r w:rsidR="007D16A4" w:rsidRPr="00E4265B">
              <w:rPr>
                <w:rFonts w:ascii="Arial" w:hAnsi="Arial" w:cs="Arial"/>
                <w:sz w:val="22"/>
                <w:szCs w:val="22"/>
                <w:lang w:val="en-GB"/>
              </w:rPr>
              <w:tab/>
            </w:r>
            <w:r w:rsidR="007D16A4" w:rsidRPr="00E4265B">
              <w:rPr>
                <w:rFonts w:ascii="Arial" w:hAnsi="Arial" w:cs="Arial"/>
                <w:sz w:val="22"/>
                <w:szCs w:val="22"/>
                <w:lang w:val="en-GB"/>
              </w:rPr>
              <w:tab/>
            </w:r>
            <w:r w:rsidRPr="00E4265B">
              <w:rPr>
                <w:rFonts w:ascii="Arial" w:hAnsi="Arial" w:cs="Arial"/>
                <w:sz w:val="22"/>
                <w:szCs w:val="22"/>
                <w:lang w:val="en-GB"/>
              </w:rPr>
              <w:t>$816</w:t>
            </w:r>
          </w:p>
        </w:tc>
      </w:tr>
    </w:tbl>
    <w:p w14:paraId="701207E8" w14:textId="77777777" w:rsidR="00E22FF2" w:rsidRPr="00E4265B" w:rsidRDefault="00E22FF2" w:rsidP="008702C6">
      <w:pPr>
        <w:rPr>
          <w:rFonts w:ascii="Arial" w:hAnsi="Arial" w:cs="Arial"/>
          <w:sz w:val="22"/>
          <w:szCs w:val="22"/>
          <w:lang w:val="en-GB"/>
        </w:rPr>
      </w:pPr>
    </w:p>
    <w:p w14:paraId="7EC638DA" w14:textId="77777777" w:rsidR="00E22FF2" w:rsidRPr="00E4265B" w:rsidRDefault="00E22FF2" w:rsidP="003C2D76">
      <w:pPr>
        <w:pStyle w:val="TitleL5"/>
        <w:rPr>
          <w:rFonts w:ascii="Arial" w:hAnsi="Arial" w:cs="Arial"/>
          <w:sz w:val="22"/>
          <w:szCs w:val="22"/>
          <w:lang w:val="en-GB"/>
        </w:rPr>
      </w:pPr>
      <w:r w:rsidRPr="00E4265B">
        <w:rPr>
          <w:rFonts w:ascii="Arial" w:hAnsi="Arial" w:cs="Arial"/>
          <w:sz w:val="22"/>
          <w:szCs w:val="22"/>
          <w:lang w:val="en-GB"/>
        </w:rPr>
        <w:t>Simplified Approach</w:t>
      </w:r>
    </w:p>
    <w:p w14:paraId="158000DA" w14:textId="77777777" w:rsidR="00E22FF2" w:rsidRPr="00E4265B" w:rsidRDefault="00E22FF2" w:rsidP="003C2D76">
      <w:pPr>
        <w:pStyle w:val="A1List"/>
        <w:rPr>
          <w:rFonts w:ascii="Arial" w:hAnsi="Arial" w:cs="Arial"/>
          <w:sz w:val="22"/>
          <w:szCs w:val="22"/>
          <w:lang w:val="en-GB"/>
        </w:rPr>
      </w:pPr>
      <w:r w:rsidRPr="00E4265B">
        <w:rPr>
          <w:rFonts w:ascii="Arial" w:hAnsi="Arial" w:cs="Arial"/>
          <w:b/>
          <w:bCs/>
          <w:sz w:val="22"/>
          <w:szCs w:val="22"/>
          <w:lang w:val="en-GB"/>
        </w:rPr>
        <w:t>A</w:t>
      </w:r>
      <w:r w:rsidR="00BE1595" w:rsidRPr="00E4265B">
        <w:rPr>
          <w:rFonts w:ascii="Arial" w:hAnsi="Arial" w:cs="Arial"/>
          <w:b/>
          <w:bCs/>
          <w:sz w:val="22"/>
          <w:szCs w:val="22"/>
          <w:lang w:val="en-GB"/>
        </w:rPr>
        <w:t>6</w:t>
      </w:r>
      <w:r w:rsidRPr="00E4265B">
        <w:rPr>
          <w:rFonts w:ascii="Arial" w:hAnsi="Arial" w:cs="Arial"/>
          <w:b/>
          <w:bCs/>
          <w:sz w:val="22"/>
          <w:szCs w:val="22"/>
          <w:lang w:val="en-GB"/>
        </w:rPr>
        <w:t>.5.6</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using the Simplified Approach to calculate the Commodities Risk Capital Requirement must sum:</w:t>
      </w:r>
    </w:p>
    <w:p w14:paraId="6AAD763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15% of the net position multiplied by the spot price for the commodity; and</w:t>
      </w:r>
    </w:p>
    <w:p w14:paraId="1B9C558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3% of the gross position (long plus short, ignoring the sign) multiplied by the spot price of the commodity.</w:t>
      </w:r>
    </w:p>
    <w:p w14:paraId="578ABF96" w14:textId="77777777" w:rsidR="00E22FF2" w:rsidRPr="00E4265B" w:rsidRDefault="00E22FF2" w:rsidP="004F0272">
      <w:pPr>
        <w:pStyle w:val="UK12Title2"/>
        <w:rPr>
          <w:rFonts w:ascii="Arial" w:hAnsi="Arial" w:cs="Arial"/>
          <w:sz w:val="22"/>
          <w:szCs w:val="22"/>
        </w:rPr>
      </w:pPr>
      <w:bookmarkStart w:id="993" w:name="_Toc33622501"/>
      <w:r w:rsidRPr="00E4265B">
        <w:rPr>
          <w:rFonts w:ascii="Arial" w:hAnsi="Arial" w:cs="Arial"/>
          <w:sz w:val="22"/>
          <w:szCs w:val="22"/>
        </w:rPr>
        <w:t>A</w:t>
      </w:r>
      <w:r w:rsidR="00E40186" w:rsidRPr="00E4265B">
        <w:rPr>
          <w:rFonts w:ascii="Arial" w:hAnsi="Arial" w:cs="Arial"/>
          <w:sz w:val="22"/>
          <w:szCs w:val="22"/>
        </w:rPr>
        <w:t>6</w:t>
      </w:r>
      <w:r w:rsidRPr="00E4265B">
        <w:rPr>
          <w:rFonts w:ascii="Arial" w:hAnsi="Arial" w:cs="Arial"/>
          <w:sz w:val="22"/>
          <w:szCs w:val="22"/>
        </w:rPr>
        <w:t>.6</w:t>
      </w:r>
      <w:r w:rsidRPr="00E4265B">
        <w:rPr>
          <w:rFonts w:ascii="Arial" w:hAnsi="Arial" w:cs="Arial"/>
          <w:sz w:val="22"/>
          <w:szCs w:val="22"/>
        </w:rPr>
        <w:tab/>
        <w:t>Option Risk Capital Requirement</w:t>
      </w:r>
      <w:bookmarkEnd w:id="993"/>
    </w:p>
    <w:p w14:paraId="00E4D4A2" w14:textId="77777777" w:rsidR="00E22FF2" w:rsidRPr="00E4265B" w:rsidRDefault="00E22FF2" w:rsidP="003C2D76">
      <w:pPr>
        <w:pStyle w:val="TitleL5"/>
        <w:rPr>
          <w:rFonts w:ascii="Arial" w:hAnsi="Arial" w:cs="Arial"/>
          <w:sz w:val="22"/>
          <w:szCs w:val="22"/>
          <w:lang w:val="en-GB"/>
        </w:rPr>
      </w:pPr>
      <w:r w:rsidRPr="00E4265B">
        <w:rPr>
          <w:rFonts w:ascii="Arial" w:hAnsi="Arial" w:cs="Arial"/>
          <w:sz w:val="22"/>
          <w:szCs w:val="22"/>
          <w:lang w:val="en-GB"/>
        </w:rPr>
        <w:t>Guidance</w:t>
      </w:r>
    </w:p>
    <w:p w14:paraId="65BDF6FB" w14:textId="77777777" w:rsidR="00E22FF2" w:rsidRPr="00E4265B" w:rsidRDefault="00E22FF2" w:rsidP="002166A5">
      <w:pPr>
        <w:pStyle w:val="UK12Block05"/>
        <w:rPr>
          <w:rFonts w:ascii="Arial" w:hAnsi="Arial" w:cs="Arial"/>
          <w:sz w:val="22"/>
          <w:szCs w:val="22"/>
          <w:lang w:val="en-GB"/>
        </w:rPr>
      </w:pPr>
      <w:r w:rsidRPr="00E4265B">
        <w:rPr>
          <w:rFonts w:ascii="Arial" w:hAnsi="Arial" w:cs="Arial"/>
          <w:sz w:val="22"/>
          <w:szCs w:val="22"/>
          <w:lang w:val="en-GB"/>
        </w:rPr>
        <w:t>Section A</w:t>
      </w:r>
      <w:r w:rsidR="00E40186" w:rsidRPr="00E4265B">
        <w:rPr>
          <w:rFonts w:ascii="Arial" w:hAnsi="Arial" w:cs="Arial"/>
          <w:sz w:val="22"/>
          <w:szCs w:val="22"/>
          <w:lang w:val="en-GB"/>
        </w:rPr>
        <w:t>6</w:t>
      </w:r>
      <w:r w:rsidRPr="00E4265B">
        <w:rPr>
          <w:rFonts w:ascii="Arial" w:hAnsi="Arial" w:cs="Arial"/>
          <w:sz w:val="22"/>
          <w:szCs w:val="22"/>
          <w:lang w:val="en-GB"/>
        </w:rPr>
        <w:t>.6 presents the method for the calculation of Option Risk Capital Requirement for the purpose of Rule 5.8.1(b).</w:t>
      </w:r>
    </w:p>
    <w:p w14:paraId="43B8FADD" w14:textId="6AA3EEF2" w:rsidR="00E22FF2" w:rsidRPr="00E4265B" w:rsidRDefault="00E40186"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.6.1</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 xml:space="preserve">An </w:t>
      </w:r>
      <w:r w:rsidR="00363CED" w:rsidRPr="00E4265B">
        <w:rPr>
          <w:rFonts w:ascii="Arial" w:hAnsi="Arial" w:cs="Arial"/>
          <w:sz w:val="22"/>
          <w:szCs w:val="22"/>
          <w:lang w:val="en-GB"/>
        </w:rPr>
        <w:t>Authorised Person which</w:t>
      </w:r>
      <w:r w:rsidR="00E22FF2" w:rsidRPr="00E4265B">
        <w:rPr>
          <w:rFonts w:ascii="Arial" w:hAnsi="Arial" w:cs="Arial"/>
          <w:sz w:val="22"/>
          <w:szCs w:val="22"/>
          <w:lang w:val="en-GB"/>
        </w:rPr>
        <w:t xml:space="preserve"> calculates its Option Risk Capital Requirement in accordance with Rule 5.8.1(b) must apply the Rules in this Section.</w:t>
      </w:r>
    </w:p>
    <w:p w14:paraId="2A7CC302" w14:textId="77777777" w:rsidR="00E22FF2" w:rsidRPr="00E4265B" w:rsidRDefault="00E22FF2" w:rsidP="003C2D76">
      <w:pPr>
        <w:pStyle w:val="TitleL5"/>
        <w:rPr>
          <w:rFonts w:ascii="Arial" w:hAnsi="Arial" w:cs="Arial"/>
          <w:sz w:val="22"/>
          <w:szCs w:val="22"/>
          <w:lang w:val="en-GB"/>
        </w:rPr>
      </w:pPr>
      <w:r w:rsidRPr="00E4265B">
        <w:rPr>
          <w:rFonts w:ascii="Arial" w:hAnsi="Arial" w:cs="Arial"/>
          <w:sz w:val="22"/>
          <w:szCs w:val="22"/>
          <w:lang w:val="en-GB"/>
        </w:rPr>
        <w:t>Calculation of Option Risk Capital Requirement</w:t>
      </w:r>
    </w:p>
    <w:p w14:paraId="0F51EB96" w14:textId="77777777" w:rsidR="00E22FF2" w:rsidRPr="00E4265B" w:rsidRDefault="00E40186" w:rsidP="003C2D76">
      <w:pPr>
        <w:pStyle w:val="List2TabStops"/>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.6.2</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(1)</w:t>
      </w:r>
      <w:r w:rsidR="00E22FF2"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may use the Simplified Approach set out in Rule A</w:t>
      </w:r>
      <w:r w:rsidRPr="00E4265B">
        <w:rPr>
          <w:rFonts w:ascii="Arial" w:hAnsi="Arial" w:cs="Arial"/>
          <w:sz w:val="22"/>
          <w:szCs w:val="22"/>
          <w:lang w:val="en-GB"/>
        </w:rPr>
        <w:t>6</w:t>
      </w:r>
      <w:r w:rsidR="00E22FF2" w:rsidRPr="00E4265B">
        <w:rPr>
          <w:rFonts w:ascii="Arial" w:hAnsi="Arial" w:cs="Arial"/>
          <w:sz w:val="22"/>
          <w:szCs w:val="22"/>
          <w:lang w:val="en-GB"/>
        </w:rPr>
        <w:t>.6.3 to calculate its Option Risk Capital Requirement only if:</w:t>
      </w:r>
    </w:p>
    <w:p w14:paraId="54C79463" w14:textId="2C8D2274" w:rsidR="00E22FF2" w:rsidRPr="00E4265B" w:rsidRDefault="00E40186" w:rsidP="007D16A4">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r>
      <w:r w:rsidR="007D16A4" w:rsidRPr="00E4265B">
        <w:rPr>
          <w:rFonts w:ascii="Arial" w:hAnsi="Arial" w:cs="Arial"/>
          <w:sz w:val="22"/>
          <w:szCs w:val="22"/>
          <w:lang w:val="en-GB"/>
        </w:rPr>
        <w:t>it</w:t>
      </w:r>
      <w:r w:rsidR="00E22FF2" w:rsidRPr="00E4265B">
        <w:rPr>
          <w:rFonts w:ascii="Arial" w:hAnsi="Arial" w:cs="Arial"/>
          <w:sz w:val="22"/>
          <w:szCs w:val="22"/>
          <w:lang w:val="en-GB"/>
        </w:rPr>
        <w:t xml:space="preserve"> does not write </w:t>
      </w:r>
      <w:r w:rsidR="00BC49E0" w:rsidRPr="00E4265B">
        <w:rPr>
          <w:rFonts w:ascii="Arial" w:hAnsi="Arial" w:cs="Arial"/>
          <w:sz w:val="22"/>
          <w:szCs w:val="22"/>
          <w:lang w:val="en-GB"/>
        </w:rPr>
        <w:t>Option</w:t>
      </w:r>
      <w:r w:rsidR="00E22FF2" w:rsidRPr="00E4265B">
        <w:rPr>
          <w:rFonts w:ascii="Arial" w:hAnsi="Arial" w:cs="Arial"/>
          <w:sz w:val="22"/>
          <w:szCs w:val="22"/>
          <w:lang w:val="en-GB"/>
        </w:rPr>
        <w:t>s; or</w:t>
      </w:r>
    </w:p>
    <w:p w14:paraId="07946AF7" w14:textId="77777777" w:rsidR="00E22FF2" w:rsidRPr="00E4265B" w:rsidRDefault="00E22FF2" w:rsidP="003C2D76">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where it writes </w:t>
      </w:r>
      <w:r w:rsidR="00BC49E0" w:rsidRPr="00E4265B">
        <w:rPr>
          <w:rFonts w:ascii="Arial" w:hAnsi="Arial" w:cs="Arial"/>
          <w:sz w:val="22"/>
          <w:szCs w:val="22"/>
          <w:lang w:val="en-GB"/>
        </w:rPr>
        <w:t>Option</w:t>
      </w:r>
      <w:r w:rsidRPr="00E4265B">
        <w:rPr>
          <w:rFonts w:ascii="Arial" w:hAnsi="Arial" w:cs="Arial"/>
          <w:sz w:val="22"/>
          <w:szCs w:val="22"/>
          <w:lang w:val="en-GB"/>
        </w:rPr>
        <w:t>s, all written </w:t>
      </w:r>
      <w:r w:rsidR="00BC49E0" w:rsidRPr="00E4265B">
        <w:rPr>
          <w:rFonts w:ascii="Arial" w:hAnsi="Arial" w:cs="Arial"/>
          <w:sz w:val="22"/>
          <w:szCs w:val="22"/>
          <w:lang w:val="en-GB"/>
        </w:rPr>
        <w:t>Option</w:t>
      </w:r>
      <w:r w:rsidRPr="00E4265B">
        <w:rPr>
          <w:rFonts w:ascii="Arial" w:hAnsi="Arial" w:cs="Arial"/>
          <w:sz w:val="22"/>
          <w:szCs w:val="22"/>
          <w:lang w:val="en-GB"/>
        </w:rPr>
        <w:t xml:space="preserve">s are hedged by perfectly matched long positions in exactly the same </w:t>
      </w:r>
      <w:r w:rsidR="00BC49E0" w:rsidRPr="00E4265B">
        <w:rPr>
          <w:rFonts w:ascii="Arial" w:hAnsi="Arial" w:cs="Arial"/>
          <w:sz w:val="22"/>
          <w:szCs w:val="22"/>
          <w:lang w:val="en-GB"/>
        </w:rPr>
        <w:t>Option</w:t>
      </w:r>
      <w:r w:rsidRPr="00E4265B">
        <w:rPr>
          <w:rFonts w:ascii="Arial" w:hAnsi="Arial" w:cs="Arial"/>
          <w:sz w:val="22"/>
          <w:szCs w:val="22"/>
          <w:lang w:val="en-GB"/>
        </w:rPr>
        <w:t>s.</w:t>
      </w:r>
    </w:p>
    <w:p w14:paraId="63D846C4" w14:textId="1B6491A6"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writes </w:t>
      </w:r>
      <w:r w:rsidR="00BC49E0" w:rsidRPr="00E4265B">
        <w:rPr>
          <w:rFonts w:ascii="Arial" w:hAnsi="Arial" w:cs="Arial"/>
          <w:sz w:val="22"/>
          <w:szCs w:val="22"/>
          <w:lang w:val="en-GB"/>
        </w:rPr>
        <w:t>Option</w:t>
      </w:r>
      <w:r w:rsidRPr="00E4265B">
        <w:rPr>
          <w:rFonts w:ascii="Arial" w:hAnsi="Arial" w:cs="Arial"/>
          <w:sz w:val="22"/>
          <w:szCs w:val="22"/>
          <w:lang w:val="en-GB"/>
        </w:rPr>
        <w:t>s must, unless (1) applies, use the advanced approach known as the Delta</w:t>
      </w:r>
      <w:r w:rsidRPr="00E4265B">
        <w:rPr>
          <w:rFonts w:ascii="Arial" w:hAnsi="Arial" w:cs="Arial"/>
          <w:sz w:val="22"/>
          <w:szCs w:val="22"/>
          <w:lang w:val="en-GB"/>
        </w:rPr>
        <w:noBreakHyphen/>
        <w:t>plus method set out in Rule A</w:t>
      </w:r>
      <w:r w:rsidR="00E40186" w:rsidRPr="00E4265B">
        <w:rPr>
          <w:rFonts w:ascii="Arial" w:hAnsi="Arial" w:cs="Arial"/>
          <w:sz w:val="22"/>
          <w:szCs w:val="22"/>
          <w:lang w:val="en-GB"/>
        </w:rPr>
        <w:t>6</w:t>
      </w:r>
      <w:r w:rsidRPr="00E4265B">
        <w:rPr>
          <w:rFonts w:ascii="Arial" w:hAnsi="Arial" w:cs="Arial"/>
          <w:sz w:val="22"/>
          <w:szCs w:val="22"/>
          <w:lang w:val="en-GB"/>
        </w:rPr>
        <w:t>.6.5 to calculate its Option Risk Capital Requirement.</w:t>
      </w:r>
    </w:p>
    <w:p w14:paraId="7B1FC084" w14:textId="77777777" w:rsidR="00E22FF2" w:rsidRPr="00E4265B" w:rsidRDefault="00E22FF2" w:rsidP="003C2D76">
      <w:pPr>
        <w:pStyle w:val="TitleL5"/>
        <w:rPr>
          <w:rFonts w:ascii="Arial" w:hAnsi="Arial" w:cs="Arial"/>
          <w:sz w:val="22"/>
          <w:szCs w:val="22"/>
          <w:lang w:val="en-GB"/>
        </w:rPr>
      </w:pPr>
      <w:r w:rsidRPr="00E4265B">
        <w:rPr>
          <w:rFonts w:ascii="Arial" w:hAnsi="Arial" w:cs="Arial"/>
          <w:sz w:val="22"/>
          <w:szCs w:val="22"/>
          <w:lang w:val="en-GB"/>
        </w:rPr>
        <w:t>Simplified Approach</w:t>
      </w:r>
    </w:p>
    <w:p w14:paraId="0C2976B3"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E40186" w:rsidRPr="00E4265B">
        <w:rPr>
          <w:rFonts w:ascii="Arial" w:hAnsi="Arial" w:cs="Arial"/>
          <w:b/>
          <w:bCs/>
          <w:sz w:val="22"/>
          <w:szCs w:val="22"/>
          <w:lang w:val="en-GB"/>
        </w:rPr>
        <w:t>6</w:t>
      </w:r>
      <w:r w:rsidRPr="00E4265B">
        <w:rPr>
          <w:rFonts w:ascii="Arial" w:hAnsi="Arial" w:cs="Arial"/>
          <w:b/>
          <w:bCs/>
          <w:sz w:val="22"/>
          <w:szCs w:val="22"/>
          <w:lang w:val="en-GB"/>
        </w:rPr>
        <w:t>.6.3</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using the Simplified Approach must treat the positions for the </w:t>
      </w:r>
      <w:r w:rsidR="00BC49E0" w:rsidRPr="00E4265B">
        <w:rPr>
          <w:rFonts w:ascii="Arial" w:hAnsi="Arial" w:cs="Arial"/>
          <w:sz w:val="22"/>
          <w:szCs w:val="22"/>
          <w:lang w:val="en-GB"/>
        </w:rPr>
        <w:t>Option</w:t>
      </w:r>
      <w:r w:rsidRPr="00E4265B">
        <w:rPr>
          <w:rFonts w:ascii="Arial" w:hAnsi="Arial" w:cs="Arial"/>
          <w:sz w:val="22"/>
          <w:szCs w:val="22"/>
          <w:lang w:val="en-GB"/>
        </w:rPr>
        <w:t>s and the associated underlying instrument, cash or forward, and calculate the capital charge for each position, by reference to the following table:</w:t>
      </w:r>
    </w:p>
    <w:tbl>
      <w:tblPr>
        <w:tblStyle w:val="TableGrid"/>
        <w:tblW w:w="4406" w:type="pct"/>
        <w:tblInd w:w="1098" w:type="dxa"/>
        <w:tblLook w:val="04A0" w:firstRow="1" w:lastRow="0" w:firstColumn="1" w:lastColumn="0" w:noHBand="0" w:noVBand="1"/>
      </w:tblPr>
      <w:tblGrid>
        <w:gridCol w:w="3436"/>
        <w:gridCol w:w="4510"/>
      </w:tblGrid>
      <w:tr w:rsidR="00E22FF2" w:rsidRPr="00E4265B" w14:paraId="7A6BF8EA" w14:textId="77777777" w:rsidTr="00D35FDF">
        <w:trPr>
          <w:trHeight w:val="390"/>
          <w:tblHeader/>
        </w:trPr>
        <w:tc>
          <w:tcPr>
            <w:tcW w:w="2162" w:type="pct"/>
            <w:shd w:val="clear" w:color="auto" w:fill="D9D9D9" w:themeFill="background1" w:themeFillShade="D9"/>
          </w:tcPr>
          <w:p w14:paraId="2DBB767D" w14:textId="77777777" w:rsidR="00E22FF2" w:rsidRPr="00E4265B" w:rsidRDefault="00E22FF2" w:rsidP="003C2D76">
            <w:pPr>
              <w:rPr>
                <w:rFonts w:ascii="Arial" w:eastAsia="Arial" w:hAnsi="Arial" w:cs="Arial"/>
                <w:b/>
                <w:sz w:val="22"/>
                <w:szCs w:val="22"/>
                <w:lang w:val="en-GB"/>
              </w:rPr>
            </w:pPr>
            <w:r w:rsidRPr="00E4265B">
              <w:rPr>
                <w:rFonts w:ascii="Arial" w:hAnsi="Arial" w:cs="Arial"/>
                <w:b/>
                <w:sz w:val="22"/>
                <w:szCs w:val="22"/>
                <w:lang w:val="en-GB"/>
              </w:rPr>
              <w:t>Position</w:t>
            </w:r>
          </w:p>
        </w:tc>
        <w:tc>
          <w:tcPr>
            <w:tcW w:w="2838" w:type="pct"/>
            <w:shd w:val="clear" w:color="auto" w:fill="D9D9D9" w:themeFill="background1" w:themeFillShade="D9"/>
          </w:tcPr>
          <w:p w14:paraId="0BBD5B80" w14:textId="77777777" w:rsidR="00E22FF2" w:rsidRPr="00E4265B" w:rsidRDefault="00E22FF2" w:rsidP="003C2D76">
            <w:pPr>
              <w:rPr>
                <w:rFonts w:ascii="Arial" w:hAnsi="Arial" w:cs="Arial"/>
                <w:b/>
                <w:sz w:val="22"/>
                <w:szCs w:val="22"/>
                <w:lang w:val="en-GB"/>
              </w:rPr>
            </w:pPr>
            <w:r w:rsidRPr="00E4265B">
              <w:rPr>
                <w:rFonts w:ascii="Arial" w:hAnsi="Arial" w:cs="Arial"/>
                <w:b/>
                <w:sz w:val="22"/>
                <w:szCs w:val="22"/>
                <w:lang w:val="en-GB"/>
              </w:rPr>
              <w:t>Treatment</w:t>
            </w:r>
          </w:p>
        </w:tc>
      </w:tr>
      <w:tr w:rsidR="00E22FF2" w:rsidRPr="00E4265B" w14:paraId="423375FA" w14:textId="77777777" w:rsidTr="003C2D76">
        <w:tc>
          <w:tcPr>
            <w:tcW w:w="2162" w:type="pct"/>
          </w:tcPr>
          <w:p w14:paraId="1B392AC9" w14:textId="77777777" w:rsidR="00E22FF2" w:rsidRPr="00E4265B" w:rsidRDefault="00E22FF2" w:rsidP="003C2D76">
            <w:pPr>
              <w:rPr>
                <w:rFonts w:ascii="Arial" w:hAnsi="Arial" w:cs="Arial"/>
                <w:sz w:val="22"/>
                <w:szCs w:val="22"/>
                <w:lang w:val="en-GB"/>
              </w:rPr>
            </w:pPr>
            <w:r w:rsidRPr="00E4265B">
              <w:rPr>
                <w:rFonts w:ascii="Arial" w:hAnsi="Arial" w:cs="Arial"/>
                <w:sz w:val="22"/>
                <w:szCs w:val="22"/>
                <w:lang w:val="en-GB"/>
              </w:rPr>
              <w:t>Long cash and long put or short cash and long call.</w:t>
            </w:r>
          </w:p>
        </w:tc>
        <w:tc>
          <w:tcPr>
            <w:tcW w:w="2838" w:type="pct"/>
          </w:tcPr>
          <w:p w14:paraId="7B2B2B92" w14:textId="77777777" w:rsidR="00E22FF2" w:rsidRPr="00E4265B" w:rsidRDefault="00E22FF2" w:rsidP="003C2D76">
            <w:pPr>
              <w:rPr>
                <w:rFonts w:ascii="Arial" w:hAnsi="Arial" w:cs="Arial"/>
                <w:sz w:val="22"/>
                <w:szCs w:val="22"/>
                <w:lang w:val="en-GB"/>
              </w:rPr>
            </w:pPr>
            <w:r w:rsidRPr="00E4265B">
              <w:rPr>
                <w:rFonts w:ascii="Arial" w:hAnsi="Arial" w:cs="Arial"/>
                <w:sz w:val="22"/>
                <w:szCs w:val="22"/>
                <w:lang w:val="en-GB"/>
              </w:rPr>
              <w:t xml:space="preserve">The capital charge is the market value of the underlying instrument multiplied by the sum of Specific and General Market Risk percentages for the underlying Instrument less the amount the </w:t>
            </w:r>
            <w:r w:rsidR="00BC49E0" w:rsidRPr="00E4265B">
              <w:rPr>
                <w:rFonts w:ascii="Arial" w:hAnsi="Arial" w:cs="Arial"/>
                <w:sz w:val="22"/>
                <w:szCs w:val="22"/>
                <w:lang w:val="en-GB"/>
              </w:rPr>
              <w:t>Option</w:t>
            </w:r>
            <w:r w:rsidRPr="00E4265B">
              <w:rPr>
                <w:rFonts w:ascii="Arial" w:hAnsi="Arial" w:cs="Arial"/>
                <w:sz w:val="22"/>
                <w:szCs w:val="22"/>
                <w:lang w:val="en-GB"/>
              </w:rPr>
              <w:t xml:space="preserve"> is in the money, if any, bounded at zero.</w:t>
            </w:r>
          </w:p>
        </w:tc>
      </w:tr>
      <w:tr w:rsidR="00E22FF2" w:rsidRPr="00E4265B" w14:paraId="2FE316F6" w14:textId="77777777" w:rsidTr="003C2D76">
        <w:tc>
          <w:tcPr>
            <w:tcW w:w="2162" w:type="pct"/>
          </w:tcPr>
          <w:p w14:paraId="4B41CE10" w14:textId="77777777" w:rsidR="00E22FF2" w:rsidRPr="00E4265B" w:rsidRDefault="00E22FF2" w:rsidP="003C2D76">
            <w:pPr>
              <w:rPr>
                <w:rFonts w:ascii="Arial" w:hAnsi="Arial" w:cs="Arial"/>
                <w:sz w:val="22"/>
                <w:szCs w:val="22"/>
                <w:lang w:val="en-GB"/>
              </w:rPr>
            </w:pPr>
            <w:r w:rsidRPr="00E4265B">
              <w:rPr>
                <w:rFonts w:ascii="Arial" w:hAnsi="Arial" w:cs="Arial"/>
                <w:sz w:val="22"/>
                <w:szCs w:val="22"/>
                <w:lang w:val="en-GB"/>
              </w:rPr>
              <w:t>Long call or long put.</w:t>
            </w:r>
          </w:p>
        </w:tc>
        <w:tc>
          <w:tcPr>
            <w:tcW w:w="2838" w:type="pct"/>
          </w:tcPr>
          <w:p w14:paraId="368B1846" w14:textId="77777777" w:rsidR="00E22FF2" w:rsidRPr="00E4265B" w:rsidRDefault="00E22FF2" w:rsidP="003C2D76">
            <w:pPr>
              <w:rPr>
                <w:rFonts w:ascii="Arial" w:hAnsi="Arial" w:cs="Arial"/>
                <w:sz w:val="22"/>
                <w:szCs w:val="22"/>
                <w:lang w:val="en-GB"/>
              </w:rPr>
            </w:pPr>
            <w:r w:rsidRPr="00E4265B">
              <w:rPr>
                <w:rFonts w:ascii="Arial" w:hAnsi="Arial" w:cs="Arial"/>
                <w:sz w:val="22"/>
                <w:szCs w:val="22"/>
                <w:lang w:val="en-GB"/>
              </w:rPr>
              <w:t>The capital charge will be the lesser of:</w:t>
            </w:r>
          </w:p>
          <w:p w14:paraId="112F14D1" w14:textId="77777777" w:rsidR="00E22FF2" w:rsidRPr="00E4265B" w:rsidRDefault="00E22FF2" w:rsidP="00380411">
            <w:pPr>
              <w:pStyle w:val="ListParagraph"/>
              <w:numPr>
                <w:ilvl w:val="0"/>
                <w:numId w:val="30"/>
              </w:numPr>
              <w:ind w:left="420" w:hanging="420"/>
              <w:rPr>
                <w:rFonts w:ascii="Arial" w:hAnsi="Arial" w:cs="Arial"/>
                <w:sz w:val="22"/>
                <w:szCs w:val="22"/>
                <w:lang w:val="en-GB"/>
              </w:rPr>
            </w:pPr>
            <w:r w:rsidRPr="00E4265B">
              <w:rPr>
                <w:rFonts w:ascii="Arial" w:hAnsi="Arial" w:cs="Arial"/>
                <w:sz w:val="22"/>
                <w:szCs w:val="22"/>
                <w:lang w:val="en-GB"/>
              </w:rPr>
              <w:t xml:space="preserve">the market value of the underlying instrument multiplied by the sum of </w:t>
            </w:r>
            <w:r w:rsidRPr="00E4265B">
              <w:rPr>
                <w:rFonts w:ascii="Arial" w:hAnsi="Arial" w:cs="Arial"/>
                <w:sz w:val="22"/>
                <w:szCs w:val="22"/>
                <w:lang w:val="en-GB"/>
              </w:rPr>
              <w:lastRenderedPageBreak/>
              <w:t>Specific and General Market Risk percentages for the underlying instrument; or</w:t>
            </w:r>
          </w:p>
          <w:p w14:paraId="563E522B" w14:textId="77777777" w:rsidR="00E22FF2" w:rsidRPr="00E4265B" w:rsidRDefault="00E22FF2" w:rsidP="00380411">
            <w:pPr>
              <w:pStyle w:val="ListParagraph"/>
              <w:numPr>
                <w:ilvl w:val="0"/>
                <w:numId w:val="30"/>
              </w:numPr>
              <w:ind w:left="420" w:hanging="420"/>
              <w:rPr>
                <w:rFonts w:ascii="Arial" w:hAnsi="Arial" w:cs="Arial"/>
                <w:sz w:val="22"/>
                <w:szCs w:val="22"/>
                <w:lang w:val="en-GB"/>
              </w:rPr>
            </w:pPr>
            <w:r w:rsidRPr="00E4265B">
              <w:rPr>
                <w:rFonts w:ascii="Arial" w:hAnsi="Arial" w:cs="Arial"/>
                <w:sz w:val="22"/>
                <w:szCs w:val="22"/>
                <w:lang w:val="en-GB"/>
              </w:rPr>
              <w:t xml:space="preserve">the market value of the </w:t>
            </w:r>
            <w:r w:rsidR="00BC49E0" w:rsidRPr="00E4265B">
              <w:rPr>
                <w:rFonts w:ascii="Arial" w:hAnsi="Arial" w:cs="Arial"/>
                <w:sz w:val="22"/>
                <w:szCs w:val="22"/>
                <w:lang w:val="en-GB"/>
              </w:rPr>
              <w:t>Option</w:t>
            </w:r>
            <w:r w:rsidRPr="00E4265B">
              <w:rPr>
                <w:rFonts w:ascii="Arial" w:hAnsi="Arial" w:cs="Arial"/>
                <w:sz w:val="22"/>
                <w:szCs w:val="22"/>
                <w:lang w:val="en-GB"/>
              </w:rPr>
              <w:t>s.</w:t>
            </w:r>
          </w:p>
        </w:tc>
      </w:tr>
    </w:tbl>
    <w:p w14:paraId="35F49EF4" w14:textId="77777777" w:rsidR="00E22FF2" w:rsidRPr="00E4265B" w:rsidRDefault="00E22FF2" w:rsidP="003C2D76">
      <w:pPr>
        <w:rPr>
          <w:rFonts w:ascii="Arial" w:hAnsi="Arial" w:cs="Arial"/>
          <w:sz w:val="22"/>
          <w:szCs w:val="22"/>
          <w:lang w:val="en-GB"/>
        </w:rPr>
      </w:pPr>
    </w:p>
    <w:p w14:paraId="0482CA57" w14:textId="77777777" w:rsidR="00E22FF2" w:rsidRPr="00E4265B" w:rsidRDefault="00E22FF2" w:rsidP="00E408BA">
      <w:pPr>
        <w:pStyle w:val="1List"/>
        <w:keepNext/>
        <w:rPr>
          <w:rFonts w:ascii="Arial" w:hAnsi="Arial" w:cs="Arial"/>
          <w:sz w:val="22"/>
          <w:szCs w:val="22"/>
          <w:lang w:val="en-GB"/>
        </w:rPr>
      </w:pPr>
      <w:r w:rsidRPr="00E4265B">
        <w:rPr>
          <w:rFonts w:ascii="Arial" w:hAnsi="Arial" w:cs="Arial"/>
          <w:b/>
          <w:bCs/>
          <w:sz w:val="22"/>
          <w:szCs w:val="22"/>
          <w:lang w:val="en-GB"/>
        </w:rPr>
        <w:t>Guidance</w:t>
      </w:r>
    </w:p>
    <w:p w14:paraId="28991AF6" w14:textId="77777777" w:rsidR="00E22FF2" w:rsidRPr="00E4265B" w:rsidRDefault="00E22FF2" w:rsidP="00E408BA">
      <w:pPr>
        <w:pStyle w:val="UK12Block05"/>
        <w:keepNext/>
        <w:rPr>
          <w:rFonts w:ascii="Arial" w:hAnsi="Arial" w:cs="Arial"/>
          <w:sz w:val="22"/>
          <w:szCs w:val="22"/>
          <w:lang w:val="en-GB"/>
        </w:rPr>
      </w:pPr>
      <w:r w:rsidRPr="00E4265B">
        <w:rPr>
          <w:rFonts w:ascii="Arial" w:hAnsi="Arial" w:cs="Arial"/>
          <w:sz w:val="22"/>
          <w:szCs w:val="22"/>
          <w:lang w:val="en-GB"/>
        </w:rPr>
        <w:t>As an example of how the calculation would work, if a holder of 100 </w:t>
      </w:r>
      <w:r w:rsidR="00202EF6" w:rsidRPr="00E4265B">
        <w:rPr>
          <w:rFonts w:ascii="Arial" w:hAnsi="Arial" w:cs="Arial"/>
          <w:sz w:val="22"/>
          <w:szCs w:val="22"/>
          <w:lang w:val="en-GB"/>
        </w:rPr>
        <w:t>Share</w:t>
      </w:r>
      <w:r w:rsidRPr="00E4265B">
        <w:rPr>
          <w:rFonts w:ascii="Arial" w:hAnsi="Arial" w:cs="Arial"/>
          <w:sz w:val="22"/>
          <w:szCs w:val="22"/>
          <w:lang w:val="en-GB"/>
        </w:rPr>
        <w:t xml:space="preserve">s currently valued at $10 each holds an equivalent put </w:t>
      </w:r>
      <w:r w:rsidR="00BC49E0" w:rsidRPr="00E4265B">
        <w:rPr>
          <w:rFonts w:ascii="Arial" w:hAnsi="Arial" w:cs="Arial"/>
          <w:sz w:val="22"/>
          <w:szCs w:val="22"/>
          <w:lang w:val="en-GB"/>
        </w:rPr>
        <w:t>Option</w:t>
      </w:r>
      <w:r w:rsidRPr="00E4265B">
        <w:rPr>
          <w:rFonts w:ascii="Arial" w:hAnsi="Arial" w:cs="Arial"/>
          <w:sz w:val="22"/>
          <w:szCs w:val="22"/>
          <w:lang w:val="en-GB"/>
        </w:rPr>
        <w:t xml:space="preserve"> with a strike price of $11, the capital charge would be: $1,000 x 16% (i.e., 8% specific plus 8% General Market Risk) = $160, less the amount the </w:t>
      </w:r>
      <w:r w:rsidR="00BC49E0" w:rsidRPr="00E4265B">
        <w:rPr>
          <w:rFonts w:ascii="Arial" w:hAnsi="Arial" w:cs="Arial"/>
          <w:sz w:val="22"/>
          <w:szCs w:val="22"/>
          <w:lang w:val="en-GB"/>
        </w:rPr>
        <w:t>Option</w:t>
      </w:r>
      <w:r w:rsidRPr="00E4265B">
        <w:rPr>
          <w:rFonts w:ascii="Arial" w:hAnsi="Arial" w:cs="Arial"/>
          <w:sz w:val="22"/>
          <w:szCs w:val="22"/>
          <w:lang w:val="en-GB"/>
        </w:rPr>
        <w:t xml:space="preserve"> is in the money ($11– $10) x 100 = $100, i.e., the capital charge would be $60. A similar methodology applies for </w:t>
      </w:r>
      <w:r w:rsidR="00BC49E0" w:rsidRPr="00E4265B">
        <w:rPr>
          <w:rFonts w:ascii="Arial" w:hAnsi="Arial" w:cs="Arial"/>
          <w:sz w:val="22"/>
          <w:szCs w:val="22"/>
          <w:lang w:val="en-GB"/>
        </w:rPr>
        <w:t>Option</w:t>
      </w:r>
      <w:r w:rsidRPr="00E4265B">
        <w:rPr>
          <w:rFonts w:ascii="Arial" w:hAnsi="Arial" w:cs="Arial"/>
          <w:sz w:val="22"/>
          <w:szCs w:val="22"/>
          <w:lang w:val="en-GB"/>
        </w:rPr>
        <w:t>s whose underlying instrument is a Foreign Currency, an interest rate related instrument or a commodity.</w:t>
      </w:r>
    </w:p>
    <w:p w14:paraId="14AC216B" w14:textId="77777777" w:rsidR="00E22FF2" w:rsidRPr="00E4265B" w:rsidRDefault="00E22FF2" w:rsidP="00D45B14">
      <w:pPr>
        <w:pStyle w:val="List2TabStops"/>
        <w:rPr>
          <w:rFonts w:ascii="Arial" w:hAnsi="Arial" w:cs="Arial"/>
          <w:sz w:val="22"/>
          <w:szCs w:val="22"/>
          <w:lang w:val="en-GB"/>
        </w:rPr>
      </w:pPr>
      <w:r w:rsidRPr="00E4265B">
        <w:rPr>
          <w:rFonts w:ascii="Arial" w:hAnsi="Arial" w:cs="Arial"/>
          <w:b/>
          <w:bCs/>
          <w:sz w:val="22"/>
          <w:szCs w:val="22"/>
          <w:lang w:val="en-GB"/>
        </w:rPr>
        <w:t>A</w:t>
      </w:r>
      <w:r w:rsidR="00AF07D5" w:rsidRPr="00E4265B">
        <w:rPr>
          <w:rFonts w:ascii="Arial" w:hAnsi="Arial" w:cs="Arial"/>
          <w:b/>
          <w:bCs/>
          <w:sz w:val="22"/>
          <w:szCs w:val="22"/>
          <w:lang w:val="en-GB"/>
        </w:rPr>
        <w:t>6</w:t>
      </w:r>
      <w:r w:rsidRPr="00E4265B">
        <w:rPr>
          <w:rFonts w:ascii="Arial" w:hAnsi="Arial" w:cs="Arial"/>
          <w:b/>
          <w:bCs/>
          <w:sz w:val="22"/>
          <w:szCs w:val="22"/>
          <w:lang w:val="en-GB"/>
        </w:rPr>
        <w:t>.6.4</w:t>
      </w:r>
      <w:r w:rsidRPr="00E4265B">
        <w:rPr>
          <w:rFonts w:ascii="Arial" w:eastAsia="Arial" w:hAnsi="Arial" w:cs="Arial"/>
          <w:b/>
          <w:bCs/>
          <w:sz w:val="22"/>
          <w:szCs w:val="22"/>
          <w:lang w:val="en-GB"/>
        </w:rPr>
        <w:tab/>
      </w:r>
      <w:r w:rsidRPr="00E4265B">
        <w:rPr>
          <w:rFonts w:ascii="Arial" w:hAnsi="Arial" w:cs="Arial"/>
          <w:sz w:val="22"/>
          <w:szCs w:val="22"/>
          <w:lang w:val="en-GB"/>
        </w:rPr>
        <w:t>(1)</w:t>
      </w:r>
      <w:r w:rsidRPr="00E4265B">
        <w:rPr>
          <w:rFonts w:ascii="Arial" w:hAnsi="Arial" w:cs="Arial"/>
          <w:sz w:val="22"/>
          <w:szCs w:val="22"/>
          <w:lang w:val="en-GB"/>
        </w:rPr>
        <w:tab/>
        <w:t>For the purposes of Rule A</w:t>
      </w:r>
      <w:r w:rsidR="00AF07D5" w:rsidRPr="00E4265B">
        <w:rPr>
          <w:rFonts w:ascii="Arial" w:hAnsi="Arial" w:cs="Arial"/>
          <w:sz w:val="22"/>
          <w:szCs w:val="22"/>
          <w:lang w:val="en-GB"/>
        </w:rPr>
        <w:t>6</w:t>
      </w:r>
      <w:r w:rsidRPr="00E4265B">
        <w:rPr>
          <w:rFonts w:ascii="Arial" w:hAnsi="Arial" w:cs="Arial"/>
          <w:sz w:val="22"/>
          <w:szCs w:val="22"/>
          <w:lang w:val="en-GB"/>
        </w:rPr>
        <w:t xml:space="preserve">.6.3, the Specific Risk percentage for: </w:t>
      </w:r>
    </w:p>
    <w:p w14:paraId="2A8AB561" w14:textId="77777777" w:rsidR="00E22FF2" w:rsidRPr="00E4265B" w:rsidRDefault="00E22FF2" w:rsidP="007722DD">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 currency </w:t>
      </w:r>
      <w:r w:rsidR="00BC49E0" w:rsidRPr="00E4265B">
        <w:rPr>
          <w:rFonts w:ascii="Arial" w:hAnsi="Arial" w:cs="Arial"/>
          <w:sz w:val="22"/>
          <w:szCs w:val="22"/>
          <w:lang w:val="en-GB"/>
        </w:rPr>
        <w:t>Option</w:t>
      </w:r>
      <w:r w:rsidRPr="00E4265B">
        <w:rPr>
          <w:rFonts w:ascii="Arial" w:hAnsi="Arial" w:cs="Arial"/>
          <w:sz w:val="22"/>
          <w:szCs w:val="22"/>
          <w:lang w:val="en-GB"/>
        </w:rPr>
        <w:t xml:space="preserve"> is 8%; and</w:t>
      </w:r>
    </w:p>
    <w:p w14:paraId="265D03DC" w14:textId="77777777" w:rsidR="00E22FF2" w:rsidRPr="00E4265B" w:rsidRDefault="00E22FF2" w:rsidP="00D45B14">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an </w:t>
      </w:r>
      <w:r w:rsidR="00BC49E0" w:rsidRPr="00E4265B">
        <w:rPr>
          <w:rFonts w:ascii="Arial" w:hAnsi="Arial" w:cs="Arial"/>
          <w:sz w:val="22"/>
          <w:szCs w:val="22"/>
          <w:lang w:val="en-GB"/>
        </w:rPr>
        <w:t>Option</w:t>
      </w:r>
      <w:r w:rsidRPr="00E4265B">
        <w:rPr>
          <w:rFonts w:ascii="Arial" w:hAnsi="Arial" w:cs="Arial"/>
          <w:sz w:val="22"/>
          <w:szCs w:val="22"/>
          <w:lang w:val="en-GB"/>
        </w:rPr>
        <w:t xml:space="preserve"> on commodities is 15%.</w:t>
      </w:r>
    </w:p>
    <w:p w14:paraId="5969DC8C" w14:textId="77777777" w:rsidR="00E22FF2" w:rsidRPr="00E4265B" w:rsidRDefault="00AF07D5"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For the purposes of Rule A6</w:t>
      </w:r>
      <w:r w:rsidR="00E22FF2" w:rsidRPr="00E4265B">
        <w:rPr>
          <w:rFonts w:ascii="Arial" w:hAnsi="Arial" w:cs="Arial"/>
          <w:sz w:val="22"/>
          <w:szCs w:val="22"/>
          <w:lang w:val="en-GB"/>
        </w:rPr>
        <w:t xml:space="preserve">.6.3, in the case of an </w:t>
      </w:r>
      <w:r w:rsidR="00BC49E0" w:rsidRPr="00E4265B">
        <w:rPr>
          <w:rFonts w:ascii="Arial" w:hAnsi="Arial" w:cs="Arial"/>
          <w:sz w:val="22"/>
          <w:szCs w:val="22"/>
          <w:lang w:val="en-GB"/>
        </w:rPr>
        <w:t>Option</w:t>
      </w:r>
      <w:r w:rsidR="00E22FF2" w:rsidRPr="00E4265B">
        <w:rPr>
          <w:rFonts w:ascii="Arial" w:hAnsi="Arial" w:cs="Arial"/>
          <w:sz w:val="22"/>
          <w:szCs w:val="22"/>
          <w:lang w:val="en-GB"/>
        </w:rPr>
        <w:t xml:space="preserve"> with a residual maturity of more than six months, the strike price must be compared with the forward, not current price, or if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w:t>
      </w:r>
      <w:r w:rsidR="005D344E" w:rsidRPr="00E4265B">
        <w:rPr>
          <w:rFonts w:ascii="Arial" w:hAnsi="Arial" w:cs="Arial"/>
          <w:sz w:val="22"/>
          <w:szCs w:val="22"/>
          <w:lang w:val="en-GB"/>
        </w:rPr>
        <w:t>is unable to do this, then the M</w:t>
      </w:r>
      <w:r w:rsidR="00E22FF2" w:rsidRPr="00E4265B">
        <w:rPr>
          <w:rFonts w:ascii="Arial" w:hAnsi="Arial" w:cs="Arial"/>
          <w:sz w:val="22"/>
          <w:szCs w:val="22"/>
          <w:lang w:val="en-GB"/>
        </w:rPr>
        <w:t>oney amount must be taken to be zero.</w:t>
      </w:r>
    </w:p>
    <w:p w14:paraId="4D3EC797" w14:textId="77777777" w:rsidR="00E22FF2" w:rsidRPr="00E4265B" w:rsidRDefault="00E22FF2" w:rsidP="00D45B14">
      <w:pPr>
        <w:pStyle w:val="TitleL5"/>
        <w:rPr>
          <w:rFonts w:ascii="Arial" w:hAnsi="Arial" w:cs="Arial"/>
          <w:sz w:val="22"/>
          <w:szCs w:val="22"/>
          <w:lang w:val="en-GB"/>
        </w:rPr>
      </w:pPr>
      <w:r w:rsidRPr="00E4265B">
        <w:rPr>
          <w:rFonts w:ascii="Arial" w:hAnsi="Arial" w:cs="Arial"/>
          <w:sz w:val="22"/>
          <w:szCs w:val="22"/>
          <w:lang w:val="en-GB"/>
        </w:rPr>
        <w:t>Delta</w:t>
      </w:r>
      <w:r w:rsidRPr="00E4265B">
        <w:rPr>
          <w:rFonts w:ascii="Arial" w:hAnsi="Arial" w:cs="Arial"/>
          <w:sz w:val="22"/>
          <w:szCs w:val="22"/>
          <w:lang w:val="en-GB"/>
        </w:rPr>
        <w:noBreakHyphen/>
        <w:t>plus method</w:t>
      </w:r>
    </w:p>
    <w:p w14:paraId="7C7BD8CC" w14:textId="77777777" w:rsidR="00E22FF2" w:rsidRPr="00E4265B" w:rsidRDefault="00E22FF2" w:rsidP="00D45B14">
      <w:pPr>
        <w:pStyle w:val="TitleL5"/>
        <w:rPr>
          <w:rFonts w:ascii="Arial" w:hAnsi="Arial" w:cs="Arial"/>
          <w:sz w:val="22"/>
          <w:szCs w:val="22"/>
          <w:lang w:val="en-GB"/>
        </w:rPr>
      </w:pPr>
      <w:r w:rsidRPr="00E4265B">
        <w:rPr>
          <w:rFonts w:ascii="Arial" w:hAnsi="Arial" w:cs="Arial"/>
          <w:sz w:val="22"/>
          <w:szCs w:val="22"/>
          <w:lang w:val="en-GB"/>
        </w:rPr>
        <w:t>Guidance</w:t>
      </w:r>
    </w:p>
    <w:p w14:paraId="36390E5C" w14:textId="77777777" w:rsidR="00E22FF2" w:rsidRPr="00E4265B" w:rsidRDefault="00E22FF2" w:rsidP="00D45B14">
      <w:pPr>
        <w:pStyle w:val="UK12Block05"/>
        <w:rPr>
          <w:rFonts w:ascii="Arial" w:hAnsi="Arial" w:cs="Arial"/>
          <w:sz w:val="22"/>
          <w:szCs w:val="22"/>
          <w:lang w:val="en-GB"/>
        </w:rPr>
      </w:pPr>
      <w:r w:rsidRPr="00E4265B">
        <w:rPr>
          <w:rFonts w:ascii="Arial" w:hAnsi="Arial" w:cs="Arial"/>
          <w:sz w:val="22"/>
          <w:szCs w:val="22"/>
          <w:lang w:val="en-GB"/>
        </w:rPr>
        <w:t>The Delta</w:t>
      </w:r>
      <w:r w:rsidRPr="00E4265B">
        <w:rPr>
          <w:rFonts w:ascii="Arial" w:hAnsi="Arial" w:cs="Arial"/>
          <w:sz w:val="22"/>
          <w:szCs w:val="22"/>
          <w:lang w:val="en-GB"/>
        </w:rPr>
        <w:noBreakHyphen/>
        <w:t xml:space="preserve">plus method uses the sensitivity parameters or "Greek letters" associated with </w:t>
      </w:r>
      <w:r w:rsidR="00BC49E0" w:rsidRPr="00E4265B">
        <w:rPr>
          <w:rFonts w:ascii="Arial" w:hAnsi="Arial" w:cs="Arial"/>
          <w:sz w:val="22"/>
          <w:szCs w:val="22"/>
          <w:lang w:val="en-GB"/>
        </w:rPr>
        <w:t>Option</w:t>
      </w:r>
      <w:r w:rsidRPr="00E4265B">
        <w:rPr>
          <w:rFonts w:ascii="Arial" w:hAnsi="Arial" w:cs="Arial"/>
          <w:sz w:val="22"/>
          <w:szCs w:val="22"/>
          <w:lang w:val="en-GB"/>
        </w:rPr>
        <w:t>s to measure their Option Risk Capital Requirement. Under this method, the Delta</w:t>
      </w:r>
      <w:r w:rsidRPr="00E4265B">
        <w:rPr>
          <w:rFonts w:ascii="Arial" w:hAnsi="Arial" w:cs="Arial"/>
          <w:sz w:val="22"/>
          <w:szCs w:val="22"/>
          <w:lang w:val="en-GB"/>
        </w:rPr>
        <w:noBreakHyphen/>
        <w:t xml:space="preserve">equivalent position of each </w:t>
      </w:r>
      <w:r w:rsidR="00BC49E0" w:rsidRPr="00E4265B">
        <w:rPr>
          <w:rFonts w:ascii="Arial" w:hAnsi="Arial" w:cs="Arial"/>
          <w:sz w:val="22"/>
          <w:szCs w:val="22"/>
          <w:lang w:val="en-GB"/>
        </w:rPr>
        <w:t>Option</w:t>
      </w:r>
      <w:r w:rsidRPr="00E4265B">
        <w:rPr>
          <w:rFonts w:ascii="Arial" w:hAnsi="Arial" w:cs="Arial"/>
          <w:sz w:val="22"/>
          <w:szCs w:val="22"/>
          <w:lang w:val="en-GB"/>
        </w:rPr>
        <w:t xml:space="preserve"> becomes part of the standardised methodology set out in Sections 5.4 to 5.7 with the Delta</w:t>
      </w:r>
      <w:r w:rsidRPr="00E4265B">
        <w:rPr>
          <w:rFonts w:ascii="Arial" w:hAnsi="Arial" w:cs="Arial"/>
          <w:sz w:val="22"/>
          <w:szCs w:val="22"/>
          <w:lang w:val="en-GB"/>
        </w:rPr>
        <w:noBreakHyphen/>
        <w:t xml:space="preserve">equivalent amount subject to the applicable General Market Risk requirements. Separate capital charges are then applied to the Gamma and Vega risks of the </w:t>
      </w:r>
      <w:r w:rsidR="00BC49E0" w:rsidRPr="00E4265B">
        <w:rPr>
          <w:rFonts w:ascii="Arial" w:hAnsi="Arial" w:cs="Arial"/>
          <w:sz w:val="22"/>
          <w:szCs w:val="22"/>
          <w:lang w:val="en-GB"/>
        </w:rPr>
        <w:t>Option</w:t>
      </w:r>
      <w:r w:rsidRPr="00E4265B">
        <w:rPr>
          <w:rFonts w:ascii="Arial" w:hAnsi="Arial" w:cs="Arial"/>
          <w:sz w:val="22"/>
          <w:szCs w:val="22"/>
          <w:lang w:val="en-GB"/>
        </w:rPr>
        <w:t xml:space="preserve"> positions.</w:t>
      </w:r>
    </w:p>
    <w:p w14:paraId="45E8A9D3" w14:textId="4C0B183B" w:rsidR="00E22FF2" w:rsidRPr="00E4265B" w:rsidRDefault="00E22FF2" w:rsidP="007D16A4">
      <w:pPr>
        <w:pStyle w:val="List2TabStops"/>
        <w:rPr>
          <w:rFonts w:ascii="Arial" w:hAnsi="Arial" w:cs="Arial"/>
          <w:sz w:val="22"/>
          <w:szCs w:val="22"/>
          <w:lang w:val="en-GB"/>
        </w:rPr>
      </w:pPr>
      <w:r w:rsidRPr="00E4265B">
        <w:rPr>
          <w:rFonts w:ascii="Arial" w:hAnsi="Arial" w:cs="Arial"/>
          <w:b/>
          <w:bCs/>
          <w:sz w:val="22"/>
          <w:szCs w:val="22"/>
          <w:lang w:val="en-GB"/>
        </w:rPr>
        <w:t>A</w:t>
      </w:r>
      <w:r w:rsidR="00AF07D5" w:rsidRPr="00E4265B">
        <w:rPr>
          <w:rFonts w:ascii="Arial" w:hAnsi="Arial" w:cs="Arial"/>
          <w:b/>
          <w:bCs/>
          <w:sz w:val="22"/>
          <w:szCs w:val="22"/>
          <w:lang w:val="en-GB"/>
        </w:rPr>
        <w:t>6</w:t>
      </w:r>
      <w:r w:rsidRPr="00E4265B">
        <w:rPr>
          <w:rFonts w:ascii="Arial" w:hAnsi="Arial" w:cs="Arial"/>
          <w:b/>
          <w:bCs/>
          <w:sz w:val="22"/>
          <w:szCs w:val="22"/>
          <w:lang w:val="en-GB"/>
        </w:rPr>
        <w:t>.6.5</w:t>
      </w:r>
      <w:r w:rsidRPr="00E4265B">
        <w:rPr>
          <w:rFonts w:ascii="Arial" w:hAnsi="Arial" w:cs="Arial"/>
          <w:sz w:val="22"/>
          <w:szCs w:val="22"/>
          <w:lang w:val="en-GB"/>
        </w:rPr>
        <w:tab/>
        <w:t>(1)</w:t>
      </w:r>
      <w:r w:rsidRPr="00E4265B">
        <w:rPr>
          <w:rFonts w:ascii="Arial" w:hAnsi="Arial" w:cs="Arial"/>
          <w:sz w:val="22"/>
          <w:szCs w:val="22"/>
          <w:lang w:val="en-GB"/>
        </w:rPr>
        <w:tab/>
        <w:t xml:space="preserve">An </w:t>
      </w:r>
      <w:r w:rsidR="00363CED" w:rsidRPr="00E4265B">
        <w:rPr>
          <w:rFonts w:ascii="Arial" w:hAnsi="Arial" w:cs="Arial"/>
          <w:sz w:val="22"/>
          <w:szCs w:val="22"/>
          <w:lang w:val="en-GB"/>
        </w:rPr>
        <w:t xml:space="preserve">Authorised Person </w:t>
      </w:r>
      <w:r w:rsidR="007D16A4" w:rsidRPr="00E4265B">
        <w:rPr>
          <w:rFonts w:ascii="Arial" w:hAnsi="Arial" w:cs="Arial"/>
          <w:sz w:val="22"/>
          <w:szCs w:val="22"/>
          <w:lang w:val="en-GB"/>
        </w:rPr>
        <w:t>that</w:t>
      </w:r>
      <w:r w:rsidRPr="00E4265B">
        <w:rPr>
          <w:rFonts w:ascii="Arial" w:hAnsi="Arial" w:cs="Arial"/>
          <w:sz w:val="22"/>
          <w:szCs w:val="22"/>
          <w:lang w:val="en-GB"/>
        </w:rPr>
        <w:t xml:space="preserve"> writes or purchases </w:t>
      </w:r>
      <w:r w:rsidR="00BC49E0" w:rsidRPr="00E4265B">
        <w:rPr>
          <w:rFonts w:ascii="Arial" w:hAnsi="Arial" w:cs="Arial"/>
          <w:sz w:val="22"/>
          <w:szCs w:val="22"/>
          <w:lang w:val="en-GB"/>
        </w:rPr>
        <w:t>Option</w:t>
      </w:r>
      <w:r w:rsidRPr="00E4265B">
        <w:rPr>
          <w:rFonts w:ascii="Arial" w:hAnsi="Arial" w:cs="Arial"/>
          <w:sz w:val="22"/>
          <w:szCs w:val="22"/>
          <w:lang w:val="en-GB"/>
        </w:rPr>
        <w:t>s may include Delta</w:t>
      </w:r>
      <w:r w:rsidRPr="00E4265B">
        <w:rPr>
          <w:rFonts w:ascii="Arial" w:hAnsi="Arial" w:cs="Arial"/>
          <w:sz w:val="22"/>
          <w:szCs w:val="22"/>
          <w:lang w:val="en-GB"/>
        </w:rPr>
        <w:noBreakHyphen/>
        <w:t xml:space="preserve">weighted </w:t>
      </w:r>
      <w:r w:rsidR="00BC49E0" w:rsidRPr="00E4265B">
        <w:rPr>
          <w:rFonts w:ascii="Arial" w:hAnsi="Arial" w:cs="Arial"/>
          <w:sz w:val="22"/>
          <w:szCs w:val="22"/>
          <w:lang w:val="en-GB"/>
        </w:rPr>
        <w:t>Option</w:t>
      </w:r>
      <w:r w:rsidRPr="00E4265B">
        <w:rPr>
          <w:rFonts w:ascii="Arial" w:hAnsi="Arial" w:cs="Arial"/>
          <w:sz w:val="22"/>
          <w:szCs w:val="22"/>
          <w:lang w:val="en-GB"/>
        </w:rPr>
        <w:t>s positions within the standardised methodology set out in Sections A</w:t>
      </w:r>
      <w:r w:rsidR="00AF07D5" w:rsidRPr="00E4265B">
        <w:rPr>
          <w:rFonts w:ascii="Arial" w:hAnsi="Arial" w:cs="Arial"/>
          <w:sz w:val="22"/>
          <w:szCs w:val="22"/>
          <w:lang w:val="en-GB"/>
        </w:rPr>
        <w:t>6</w:t>
      </w:r>
      <w:r w:rsidRPr="00E4265B">
        <w:rPr>
          <w:rFonts w:ascii="Arial" w:hAnsi="Arial" w:cs="Arial"/>
          <w:sz w:val="22"/>
          <w:szCs w:val="22"/>
          <w:lang w:val="en-GB"/>
        </w:rPr>
        <w:t>.2 to A</w:t>
      </w:r>
      <w:r w:rsidR="00AF07D5" w:rsidRPr="00E4265B">
        <w:rPr>
          <w:rFonts w:ascii="Arial" w:hAnsi="Arial" w:cs="Arial"/>
          <w:sz w:val="22"/>
          <w:szCs w:val="22"/>
          <w:lang w:val="en-GB"/>
        </w:rPr>
        <w:t>6</w:t>
      </w:r>
      <w:r w:rsidRPr="00E4265B">
        <w:rPr>
          <w:rFonts w:ascii="Arial" w:hAnsi="Arial" w:cs="Arial"/>
          <w:sz w:val="22"/>
          <w:szCs w:val="22"/>
          <w:lang w:val="en-GB"/>
        </w:rPr>
        <w:t xml:space="preserve">.5. Such </w:t>
      </w:r>
      <w:r w:rsidR="00BC49E0" w:rsidRPr="00E4265B">
        <w:rPr>
          <w:rFonts w:ascii="Arial" w:hAnsi="Arial" w:cs="Arial"/>
          <w:sz w:val="22"/>
          <w:szCs w:val="22"/>
          <w:lang w:val="en-GB"/>
        </w:rPr>
        <w:t>Option</w:t>
      </w:r>
      <w:r w:rsidRPr="00E4265B">
        <w:rPr>
          <w:rFonts w:ascii="Arial" w:hAnsi="Arial" w:cs="Arial"/>
          <w:sz w:val="22"/>
          <w:szCs w:val="22"/>
          <w:lang w:val="en-GB"/>
        </w:rPr>
        <w:t>s must be reported as a position equal to the market value of the underlying instrument multiplied by the Delta.</w:t>
      </w:r>
    </w:p>
    <w:p w14:paraId="09C7EBA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also required to measure and Vega risks in order to calculate the total capital charge. These sensitivities will be calculated according to an approved proprietary </w:t>
      </w:r>
      <w:r w:rsidR="00BC49E0" w:rsidRPr="00E4265B">
        <w:rPr>
          <w:rFonts w:ascii="Arial" w:hAnsi="Arial" w:cs="Arial"/>
          <w:sz w:val="22"/>
          <w:szCs w:val="22"/>
          <w:lang w:val="en-GB"/>
        </w:rPr>
        <w:t>Option</w:t>
      </w:r>
      <w:r w:rsidRPr="00E4265B">
        <w:rPr>
          <w:rFonts w:ascii="Arial" w:hAnsi="Arial" w:cs="Arial"/>
          <w:sz w:val="22"/>
          <w:szCs w:val="22"/>
          <w:lang w:val="en-GB"/>
        </w:rPr>
        <w:t>s pricing model.</w:t>
      </w:r>
    </w:p>
    <w:p w14:paraId="55A84400"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Delta</w:t>
      </w:r>
      <w:r w:rsidRPr="00E4265B">
        <w:rPr>
          <w:rFonts w:ascii="Arial" w:hAnsi="Arial" w:cs="Arial"/>
          <w:sz w:val="22"/>
          <w:szCs w:val="22"/>
          <w:lang w:val="en-GB"/>
        </w:rPr>
        <w:noBreakHyphen/>
        <w:t xml:space="preserve">weighted positions with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or interest rates as the underlying instrument must be inserted into the interest rate timebands, as set out in Section A</w:t>
      </w:r>
      <w:r w:rsidR="00DF046E" w:rsidRPr="00E4265B">
        <w:rPr>
          <w:rFonts w:ascii="Arial" w:hAnsi="Arial" w:cs="Arial"/>
          <w:sz w:val="22"/>
          <w:szCs w:val="22"/>
          <w:lang w:val="en-GB"/>
        </w:rPr>
        <w:t>6</w:t>
      </w:r>
      <w:r w:rsidRPr="00E4265B">
        <w:rPr>
          <w:rFonts w:ascii="Arial" w:hAnsi="Arial" w:cs="Arial"/>
          <w:sz w:val="22"/>
          <w:szCs w:val="22"/>
          <w:lang w:val="en-GB"/>
        </w:rPr>
        <w:t>.2. A two</w:t>
      </w:r>
      <w:r w:rsidRPr="00E4265B">
        <w:rPr>
          <w:rFonts w:ascii="Arial" w:hAnsi="Arial" w:cs="Arial"/>
          <w:sz w:val="22"/>
          <w:szCs w:val="22"/>
          <w:lang w:val="en-GB"/>
        </w:rPr>
        <w:noBreakHyphen/>
        <w:t xml:space="preserve">legged approach must be used as for other </w:t>
      </w:r>
      <w:r w:rsidR="005F3B3B" w:rsidRPr="00E4265B">
        <w:rPr>
          <w:rFonts w:ascii="Arial" w:hAnsi="Arial" w:cs="Arial"/>
          <w:sz w:val="22"/>
          <w:szCs w:val="22"/>
          <w:lang w:val="en-GB"/>
        </w:rPr>
        <w:t>Derivative</w:t>
      </w:r>
      <w:r w:rsidRPr="00E4265B">
        <w:rPr>
          <w:rFonts w:ascii="Arial" w:hAnsi="Arial" w:cs="Arial"/>
          <w:sz w:val="22"/>
          <w:szCs w:val="22"/>
          <w:lang w:val="en-GB"/>
        </w:rPr>
        <w:t xml:space="preserve">s, requiring one entry at the time the underlying instrument takes effect and a second at the time the underlying instrument matures. Floating </w:t>
      </w:r>
      <w:r w:rsidRPr="00E4265B">
        <w:rPr>
          <w:rFonts w:ascii="Arial" w:hAnsi="Arial" w:cs="Arial"/>
          <w:sz w:val="22"/>
          <w:szCs w:val="22"/>
          <w:lang w:val="en-GB"/>
        </w:rPr>
        <w:lastRenderedPageBreak/>
        <w:t xml:space="preserve">rate instruments with caps or floors must be treated as a combination of floating rate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and a series of European</w:t>
      </w:r>
      <w:r w:rsidRPr="00E4265B">
        <w:rPr>
          <w:rFonts w:ascii="Arial" w:hAnsi="Arial" w:cs="Arial"/>
          <w:sz w:val="22"/>
          <w:szCs w:val="22"/>
          <w:lang w:val="en-GB"/>
        </w:rPr>
        <w:noBreakHyphen/>
        <w:t xml:space="preserve">style </w:t>
      </w:r>
      <w:r w:rsidR="00BC49E0" w:rsidRPr="00E4265B">
        <w:rPr>
          <w:rFonts w:ascii="Arial" w:hAnsi="Arial" w:cs="Arial"/>
          <w:sz w:val="22"/>
          <w:szCs w:val="22"/>
          <w:lang w:val="en-GB"/>
        </w:rPr>
        <w:t>Option</w:t>
      </w:r>
      <w:r w:rsidRPr="00E4265B">
        <w:rPr>
          <w:rFonts w:ascii="Arial" w:hAnsi="Arial" w:cs="Arial"/>
          <w:sz w:val="22"/>
          <w:szCs w:val="22"/>
          <w:lang w:val="en-GB"/>
        </w:rPr>
        <w:t>s.</w:t>
      </w:r>
    </w:p>
    <w:p w14:paraId="3345A82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The capital charge for </w:t>
      </w:r>
      <w:r w:rsidR="00BC49E0" w:rsidRPr="00E4265B">
        <w:rPr>
          <w:rFonts w:ascii="Arial" w:hAnsi="Arial" w:cs="Arial"/>
          <w:sz w:val="22"/>
          <w:szCs w:val="22"/>
          <w:lang w:val="en-GB"/>
        </w:rPr>
        <w:t>Option</w:t>
      </w:r>
      <w:r w:rsidRPr="00E4265B">
        <w:rPr>
          <w:rFonts w:ascii="Arial" w:hAnsi="Arial" w:cs="Arial"/>
          <w:sz w:val="22"/>
          <w:szCs w:val="22"/>
          <w:lang w:val="en-GB"/>
        </w:rPr>
        <w:t>s with equities as the underlying instrument must also be based on the Delta</w:t>
      </w:r>
      <w:r w:rsidRPr="00E4265B">
        <w:rPr>
          <w:rFonts w:ascii="Arial" w:hAnsi="Arial" w:cs="Arial"/>
          <w:sz w:val="22"/>
          <w:szCs w:val="22"/>
          <w:lang w:val="en-GB"/>
        </w:rPr>
        <w:noBreakHyphen/>
        <w:t>weighted positions which must be incorporated in the measure of Equity Risk Capital Requirement described in Section A</w:t>
      </w:r>
      <w:r w:rsidR="00DF046E" w:rsidRPr="00E4265B">
        <w:rPr>
          <w:rFonts w:ascii="Arial" w:hAnsi="Arial" w:cs="Arial"/>
          <w:sz w:val="22"/>
          <w:szCs w:val="22"/>
          <w:lang w:val="en-GB"/>
        </w:rPr>
        <w:t>6</w:t>
      </w:r>
      <w:r w:rsidRPr="00E4265B">
        <w:rPr>
          <w:rFonts w:ascii="Arial" w:hAnsi="Arial" w:cs="Arial"/>
          <w:sz w:val="22"/>
          <w:szCs w:val="22"/>
          <w:lang w:val="en-GB"/>
        </w:rPr>
        <w:t>.3. For purposes of this calculation, each national market must be treated as a separate underlying instrument.</w:t>
      </w:r>
    </w:p>
    <w:p w14:paraId="12503563"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 xml:space="preserve">The capital charge for </w:t>
      </w:r>
      <w:r w:rsidR="00BC49E0" w:rsidRPr="00E4265B">
        <w:rPr>
          <w:rFonts w:ascii="Arial" w:hAnsi="Arial" w:cs="Arial"/>
          <w:sz w:val="22"/>
          <w:szCs w:val="22"/>
          <w:lang w:val="en-GB"/>
        </w:rPr>
        <w:t>Option</w:t>
      </w:r>
      <w:r w:rsidRPr="00E4265B">
        <w:rPr>
          <w:rFonts w:ascii="Arial" w:hAnsi="Arial" w:cs="Arial"/>
          <w:sz w:val="22"/>
          <w:szCs w:val="22"/>
          <w:lang w:val="en-GB"/>
        </w:rPr>
        <w:t>s on commodities, foreign currency (including gold) positions must be based on the method set out in Section 5.8. For Delta risk, the net Delta</w:t>
      </w:r>
      <w:r w:rsidRPr="00E4265B">
        <w:rPr>
          <w:rFonts w:ascii="Arial" w:hAnsi="Arial" w:cs="Arial"/>
          <w:sz w:val="22"/>
          <w:szCs w:val="22"/>
          <w:lang w:val="en-GB"/>
        </w:rPr>
        <w:noBreakHyphen/>
        <w:t>based equivalent of the commodities, foreign currency including gold)</w:t>
      </w:r>
      <w:r w:rsidR="00BC49E0" w:rsidRPr="00E4265B">
        <w:rPr>
          <w:rFonts w:ascii="Arial" w:hAnsi="Arial" w:cs="Arial"/>
          <w:sz w:val="22"/>
          <w:szCs w:val="22"/>
          <w:lang w:val="en-GB"/>
        </w:rPr>
        <w:t xml:space="preserve"> Option</w:t>
      </w:r>
      <w:r w:rsidRPr="00E4265B">
        <w:rPr>
          <w:rFonts w:ascii="Arial" w:hAnsi="Arial" w:cs="Arial"/>
          <w:sz w:val="22"/>
          <w:szCs w:val="22"/>
          <w:lang w:val="en-GB"/>
        </w:rPr>
        <w:t>s must be incorporated into the measurement of the Exposure for the respective currency (or gold) position.</w:t>
      </w:r>
    </w:p>
    <w:p w14:paraId="2A1CD54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(6)</w:t>
      </w:r>
      <w:r w:rsidRPr="00E4265B">
        <w:rPr>
          <w:rFonts w:ascii="Arial" w:hAnsi="Arial" w:cs="Arial"/>
          <w:sz w:val="22"/>
          <w:szCs w:val="22"/>
          <w:lang w:val="en-GB"/>
        </w:rPr>
        <w:tab/>
        <w:t>Individual net Delta positions as described above must be treated as the underlying instrumen</w:t>
      </w:r>
      <w:r w:rsidR="00DF046E" w:rsidRPr="00E4265B">
        <w:rPr>
          <w:rFonts w:ascii="Arial" w:hAnsi="Arial" w:cs="Arial"/>
          <w:sz w:val="22"/>
          <w:szCs w:val="22"/>
          <w:lang w:val="en-GB"/>
        </w:rPr>
        <w:t>t in accordance with Sections A6.4 to A6</w:t>
      </w:r>
      <w:r w:rsidRPr="00E4265B">
        <w:rPr>
          <w:rFonts w:ascii="Arial" w:hAnsi="Arial" w:cs="Arial"/>
          <w:sz w:val="22"/>
          <w:szCs w:val="22"/>
          <w:lang w:val="en-GB"/>
        </w:rPr>
        <w:t>.5.</w:t>
      </w:r>
    </w:p>
    <w:p w14:paraId="2F2FEFF9" w14:textId="77777777" w:rsidR="00E22FF2" w:rsidRPr="00E4265B" w:rsidRDefault="00DF046E" w:rsidP="00D45B14">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.6.6</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using the Delta</w:t>
      </w:r>
      <w:r w:rsidR="00E22FF2" w:rsidRPr="00E4265B">
        <w:rPr>
          <w:rFonts w:ascii="Arial" w:hAnsi="Arial" w:cs="Arial"/>
          <w:sz w:val="22"/>
          <w:szCs w:val="22"/>
          <w:lang w:val="en-GB"/>
        </w:rPr>
        <w:noBreakHyphen/>
        <w:t xml:space="preserve">plus method must calculate its Market Risk Capital Requirement for </w:t>
      </w:r>
      <w:r w:rsidR="00BC49E0" w:rsidRPr="00E4265B">
        <w:rPr>
          <w:rFonts w:ascii="Arial" w:hAnsi="Arial" w:cs="Arial"/>
          <w:sz w:val="22"/>
          <w:szCs w:val="22"/>
          <w:lang w:val="en-GB"/>
        </w:rPr>
        <w:t>Option</w:t>
      </w:r>
      <w:r w:rsidR="00E22FF2" w:rsidRPr="00E4265B">
        <w:rPr>
          <w:rFonts w:ascii="Arial" w:hAnsi="Arial" w:cs="Arial"/>
          <w:sz w:val="22"/>
          <w:szCs w:val="22"/>
          <w:lang w:val="en-GB"/>
        </w:rPr>
        <w:t>s by:</w:t>
      </w:r>
    </w:p>
    <w:p w14:paraId="5D15E6B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calculating the Delta</w:t>
      </w:r>
      <w:r w:rsidRPr="00E4265B">
        <w:rPr>
          <w:rFonts w:ascii="Arial" w:hAnsi="Arial" w:cs="Arial"/>
          <w:sz w:val="22"/>
          <w:szCs w:val="22"/>
          <w:lang w:val="en-GB"/>
        </w:rPr>
        <w:noBreakHyphen/>
        <w:t xml:space="preserve">weighted position of each </w:t>
      </w:r>
      <w:r w:rsidR="00BC49E0" w:rsidRPr="00E4265B">
        <w:rPr>
          <w:rFonts w:ascii="Arial" w:hAnsi="Arial" w:cs="Arial"/>
          <w:sz w:val="22"/>
          <w:szCs w:val="22"/>
          <w:lang w:val="en-GB"/>
        </w:rPr>
        <w:t>Option</w:t>
      </w:r>
      <w:r w:rsidRPr="00E4265B">
        <w:rPr>
          <w:rFonts w:ascii="Arial" w:hAnsi="Arial" w:cs="Arial"/>
          <w:sz w:val="22"/>
          <w:szCs w:val="22"/>
          <w:lang w:val="en-GB"/>
        </w:rPr>
        <w:t xml:space="preserve"> in accordance with Rule A</w:t>
      </w:r>
      <w:r w:rsidR="00354F5F" w:rsidRPr="00E4265B">
        <w:rPr>
          <w:rFonts w:ascii="Arial" w:hAnsi="Arial" w:cs="Arial"/>
          <w:sz w:val="22"/>
          <w:szCs w:val="22"/>
          <w:lang w:val="en-GB"/>
        </w:rPr>
        <w:t>6</w:t>
      </w:r>
      <w:r w:rsidRPr="00E4265B">
        <w:rPr>
          <w:rFonts w:ascii="Arial" w:hAnsi="Arial" w:cs="Arial"/>
          <w:sz w:val="22"/>
          <w:szCs w:val="22"/>
          <w:lang w:val="en-GB"/>
        </w:rPr>
        <w:t>.6.7 and adding these Delta</w:t>
      </w:r>
      <w:r w:rsidRPr="00E4265B">
        <w:rPr>
          <w:rFonts w:ascii="Arial" w:hAnsi="Arial" w:cs="Arial"/>
          <w:sz w:val="22"/>
          <w:szCs w:val="22"/>
          <w:lang w:val="en-GB"/>
        </w:rPr>
        <w:noBreakHyphen/>
        <w:t>weighted positions to the net positions in the relevant risk category referred in Sections A</w:t>
      </w:r>
      <w:r w:rsidR="009108B6" w:rsidRPr="00E4265B">
        <w:rPr>
          <w:rFonts w:ascii="Arial" w:hAnsi="Arial" w:cs="Arial"/>
          <w:sz w:val="22"/>
          <w:szCs w:val="22"/>
          <w:lang w:val="en-GB"/>
        </w:rPr>
        <w:t>6</w:t>
      </w:r>
      <w:r w:rsidRPr="00E4265B">
        <w:rPr>
          <w:rFonts w:ascii="Arial" w:hAnsi="Arial" w:cs="Arial"/>
          <w:sz w:val="22"/>
          <w:szCs w:val="22"/>
          <w:lang w:val="en-GB"/>
        </w:rPr>
        <w:t>.2 to A</w:t>
      </w:r>
      <w:r w:rsidR="009108B6" w:rsidRPr="00E4265B">
        <w:rPr>
          <w:rFonts w:ascii="Arial" w:hAnsi="Arial" w:cs="Arial"/>
          <w:sz w:val="22"/>
          <w:szCs w:val="22"/>
          <w:lang w:val="en-GB"/>
        </w:rPr>
        <w:t>6</w:t>
      </w:r>
      <w:r w:rsidRPr="00E4265B">
        <w:rPr>
          <w:rFonts w:ascii="Arial" w:hAnsi="Arial" w:cs="Arial"/>
          <w:sz w:val="22"/>
          <w:szCs w:val="22"/>
          <w:lang w:val="en-GB"/>
        </w:rPr>
        <w:t>.6 for the purpose of calculating the Specific Risk and General Market Risk Capital Requirements;</w:t>
      </w:r>
    </w:p>
    <w:p w14:paraId="2C41E536"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calculating the Capital Requirement for Gamma risk of its </w:t>
      </w:r>
      <w:r w:rsidR="00BC49E0" w:rsidRPr="00E4265B">
        <w:rPr>
          <w:rFonts w:ascii="Arial" w:hAnsi="Arial" w:cs="Arial"/>
          <w:sz w:val="22"/>
          <w:szCs w:val="22"/>
          <w:lang w:val="en-GB"/>
        </w:rPr>
        <w:t>Option</w:t>
      </w:r>
      <w:r w:rsidRPr="00E4265B">
        <w:rPr>
          <w:rFonts w:ascii="Arial" w:hAnsi="Arial" w:cs="Arial"/>
          <w:sz w:val="22"/>
          <w:szCs w:val="22"/>
          <w:lang w:val="en-GB"/>
        </w:rPr>
        <w:t xml:space="preserve"> positions (including hedge positions) based on the </w:t>
      </w:r>
      <w:r w:rsidR="00BC49E0" w:rsidRPr="00E4265B">
        <w:rPr>
          <w:rFonts w:ascii="Arial" w:hAnsi="Arial" w:cs="Arial"/>
          <w:sz w:val="22"/>
          <w:szCs w:val="22"/>
          <w:lang w:val="en-GB"/>
        </w:rPr>
        <w:t>Option</w:t>
      </w:r>
      <w:r w:rsidRPr="00E4265B">
        <w:rPr>
          <w:rFonts w:ascii="Arial" w:hAnsi="Arial" w:cs="Arial"/>
          <w:sz w:val="22"/>
          <w:szCs w:val="22"/>
          <w:lang w:val="en-GB"/>
        </w:rPr>
        <w:t xml:space="preserve">s pricing model of the an </w:t>
      </w:r>
      <w:r w:rsidR="000D1A90" w:rsidRPr="00E4265B">
        <w:rPr>
          <w:rFonts w:ascii="Arial" w:hAnsi="Arial" w:cs="Arial"/>
          <w:sz w:val="22"/>
          <w:szCs w:val="22"/>
          <w:lang w:val="en-GB"/>
        </w:rPr>
        <w:t>Authorised Person</w:t>
      </w:r>
      <w:r w:rsidRPr="00E4265B">
        <w:rPr>
          <w:rFonts w:ascii="Arial" w:hAnsi="Arial" w:cs="Arial"/>
          <w:sz w:val="22"/>
          <w:szCs w:val="22"/>
          <w:lang w:val="en-GB"/>
        </w:rPr>
        <w:t>, in accordance with Rules A</w:t>
      </w:r>
      <w:r w:rsidR="009108B6" w:rsidRPr="00E4265B">
        <w:rPr>
          <w:rFonts w:ascii="Arial" w:hAnsi="Arial" w:cs="Arial"/>
          <w:sz w:val="22"/>
          <w:szCs w:val="22"/>
          <w:lang w:val="en-GB"/>
        </w:rPr>
        <w:t>6</w:t>
      </w:r>
      <w:r w:rsidRPr="00E4265B">
        <w:rPr>
          <w:rFonts w:ascii="Arial" w:hAnsi="Arial" w:cs="Arial"/>
          <w:sz w:val="22"/>
          <w:szCs w:val="22"/>
          <w:lang w:val="en-GB"/>
        </w:rPr>
        <w:t>.6.8 to A</w:t>
      </w:r>
      <w:r w:rsidR="009108B6" w:rsidRPr="00E4265B">
        <w:rPr>
          <w:rFonts w:ascii="Arial" w:hAnsi="Arial" w:cs="Arial"/>
          <w:sz w:val="22"/>
          <w:szCs w:val="22"/>
          <w:lang w:val="en-GB"/>
        </w:rPr>
        <w:t>6</w:t>
      </w:r>
      <w:r w:rsidRPr="00E4265B">
        <w:rPr>
          <w:rFonts w:ascii="Arial" w:hAnsi="Arial" w:cs="Arial"/>
          <w:sz w:val="22"/>
          <w:szCs w:val="22"/>
          <w:lang w:val="en-GB"/>
        </w:rPr>
        <w:t>.6.9;</w:t>
      </w:r>
    </w:p>
    <w:p w14:paraId="7703087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calculating the Capital Requirement for Vega risk of its </w:t>
      </w:r>
      <w:r w:rsidR="00BC49E0" w:rsidRPr="00E4265B">
        <w:rPr>
          <w:rFonts w:ascii="Arial" w:hAnsi="Arial" w:cs="Arial"/>
          <w:sz w:val="22"/>
          <w:szCs w:val="22"/>
          <w:lang w:val="en-GB"/>
        </w:rPr>
        <w:t>Option</w:t>
      </w:r>
      <w:r w:rsidRPr="00E4265B">
        <w:rPr>
          <w:rFonts w:ascii="Arial" w:hAnsi="Arial" w:cs="Arial"/>
          <w:sz w:val="22"/>
          <w:szCs w:val="22"/>
          <w:lang w:val="en-GB"/>
        </w:rPr>
        <w:t xml:space="preserve"> positions (including hedge positions) based on the </w:t>
      </w:r>
      <w:r w:rsidR="00BC49E0" w:rsidRPr="00E4265B">
        <w:rPr>
          <w:rFonts w:ascii="Arial" w:hAnsi="Arial" w:cs="Arial"/>
          <w:sz w:val="22"/>
          <w:szCs w:val="22"/>
          <w:lang w:val="en-GB"/>
        </w:rPr>
        <w:t>Option</w:t>
      </w:r>
      <w:r w:rsidRPr="00E4265B">
        <w:rPr>
          <w:rFonts w:ascii="Arial" w:hAnsi="Arial" w:cs="Arial"/>
          <w:sz w:val="22"/>
          <w:szCs w:val="22"/>
          <w:lang w:val="en-GB"/>
        </w:rPr>
        <w:t xml:space="preserve">s pricing model of an </w:t>
      </w:r>
      <w:r w:rsidR="000D1A90" w:rsidRPr="00E4265B">
        <w:rPr>
          <w:rFonts w:ascii="Arial" w:hAnsi="Arial" w:cs="Arial"/>
          <w:sz w:val="22"/>
          <w:szCs w:val="22"/>
          <w:lang w:val="en-GB"/>
        </w:rPr>
        <w:t>Authorised Person</w:t>
      </w:r>
      <w:r w:rsidRPr="00E4265B">
        <w:rPr>
          <w:rFonts w:ascii="Arial" w:hAnsi="Arial" w:cs="Arial"/>
          <w:sz w:val="22"/>
          <w:szCs w:val="22"/>
          <w:lang w:val="en-GB"/>
        </w:rPr>
        <w:t>, in accordance with Rule</w:t>
      </w:r>
      <w:r w:rsidR="009108B6" w:rsidRPr="00E4265B">
        <w:rPr>
          <w:rFonts w:ascii="Arial" w:hAnsi="Arial" w:cs="Arial"/>
          <w:sz w:val="22"/>
          <w:szCs w:val="22"/>
          <w:lang w:val="en-GB"/>
        </w:rPr>
        <w:t> A6</w:t>
      </w:r>
      <w:r w:rsidRPr="00E4265B">
        <w:rPr>
          <w:rFonts w:ascii="Arial" w:hAnsi="Arial" w:cs="Arial"/>
          <w:sz w:val="22"/>
          <w:szCs w:val="22"/>
          <w:lang w:val="en-GB"/>
        </w:rPr>
        <w:t>.6.10; and</w:t>
      </w:r>
    </w:p>
    <w:p w14:paraId="4A68410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summing the Capital Requirements determined in (b) and (c).</w:t>
      </w:r>
    </w:p>
    <w:p w14:paraId="1C9473C1"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9108B6" w:rsidRPr="00E4265B">
        <w:rPr>
          <w:rFonts w:ascii="Arial" w:hAnsi="Arial" w:cs="Arial"/>
          <w:b/>
          <w:bCs/>
          <w:sz w:val="22"/>
          <w:szCs w:val="22"/>
          <w:lang w:val="en-GB"/>
        </w:rPr>
        <w:t>6</w:t>
      </w:r>
      <w:r w:rsidRPr="00E4265B">
        <w:rPr>
          <w:rFonts w:ascii="Arial" w:hAnsi="Arial" w:cs="Arial"/>
          <w:b/>
          <w:bCs/>
          <w:sz w:val="22"/>
          <w:szCs w:val="22"/>
          <w:lang w:val="en-GB"/>
        </w:rPr>
        <w:t>.6.7</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its Delta</w:t>
      </w:r>
      <w:r w:rsidRPr="00E4265B">
        <w:rPr>
          <w:rFonts w:ascii="Arial" w:hAnsi="Arial" w:cs="Arial"/>
          <w:sz w:val="22"/>
          <w:szCs w:val="22"/>
          <w:lang w:val="en-GB"/>
        </w:rPr>
        <w:noBreakHyphen/>
        <w:t xml:space="preserve">weighted position for each </w:t>
      </w:r>
      <w:r w:rsidR="00BC49E0" w:rsidRPr="00E4265B">
        <w:rPr>
          <w:rFonts w:ascii="Arial" w:hAnsi="Arial" w:cs="Arial"/>
          <w:sz w:val="22"/>
          <w:szCs w:val="22"/>
          <w:lang w:val="en-GB"/>
        </w:rPr>
        <w:t>Option</w:t>
      </w:r>
      <w:r w:rsidRPr="00E4265B">
        <w:rPr>
          <w:rFonts w:ascii="Arial" w:hAnsi="Arial" w:cs="Arial"/>
          <w:sz w:val="22"/>
          <w:szCs w:val="22"/>
          <w:lang w:val="en-GB"/>
        </w:rPr>
        <w:t xml:space="preserve"> as follows:</w:t>
      </w:r>
    </w:p>
    <w:p w14:paraId="06297966" w14:textId="7631052B" w:rsidR="00E22FF2" w:rsidRPr="00E4265B" w:rsidRDefault="009108B6" w:rsidP="007D16A4">
      <w:pPr>
        <w:pStyle w:val="UK12Block05"/>
        <w:ind w:left="3870" w:hanging="2934"/>
        <w:rPr>
          <w:rFonts w:ascii="Arial" w:hAnsi="Arial" w:cs="Arial"/>
          <w:sz w:val="22"/>
          <w:szCs w:val="22"/>
          <w:lang w:val="en-GB"/>
        </w:rPr>
      </w:pPr>
      <w:r w:rsidRPr="00E4265B">
        <w:rPr>
          <w:rFonts w:ascii="Arial" w:hAnsi="Arial" w:cs="Arial"/>
          <w:sz w:val="22"/>
          <w:szCs w:val="22"/>
          <w:lang w:val="en-GB"/>
        </w:rPr>
        <w:t>Delta</w:t>
      </w:r>
      <w:r w:rsidR="007D16A4" w:rsidRPr="00E4265B">
        <w:rPr>
          <w:rFonts w:ascii="Arial" w:hAnsi="Arial" w:cs="Arial"/>
          <w:sz w:val="22"/>
          <w:szCs w:val="22"/>
          <w:lang w:val="en-GB"/>
        </w:rPr>
        <w:t>-</w:t>
      </w:r>
      <w:r w:rsidR="00E22FF2" w:rsidRPr="00E4265B">
        <w:rPr>
          <w:rFonts w:ascii="Arial" w:hAnsi="Arial" w:cs="Arial"/>
          <w:sz w:val="22"/>
          <w:szCs w:val="22"/>
          <w:lang w:val="en-GB"/>
        </w:rPr>
        <w:t>weighted position = Market value of the underlying instrument or commodities x Delta</w:t>
      </w:r>
    </w:p>
    <w:p w14:paraId="00230012"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F5338D" w:rsidRPr="00E4265B">
        <w:rPr>
          <w:rFonts w:ascii="Arial" w:hAnsi="Arial" w:cs="Arial"/>
          <w:b/>
          <w:bCs/>
          <w:sz w:val="22"/>
          <w:szCs w:val="22"/>
          <w:lang w:val="en-GB"/>
        </w:rPr>
        <w:t>6</w:t>
      </w:r>
      <w:r w:rsidRPr="00E4265B">
        <w:rPr>
          <w:rFonts w:ascii="Arial" w:hAnsi="Arial" w:cs="Arial"/>
          <w:b/>
          <w:bCs/>
          <w:sz w:val="22"/>
          <w:szCs w:val="22"/>
          <w:lang w:val="en-GB"/>
        </w:rPr>
        <w:t>.6.8</w:t>
      </w:r>
      <w:r w:rsidRPr="00E4265B">
        <w:rPr>
          <w:rFonts w:ascii="Arial" w:eastAsia="Arial" w:hAnsi="Arial" w:cs="Arial"/>
          <w:b/>
          <w:bCs/>
          <w:sz w:val="22"/>
          <w:szCs w:val="22"/>
          <w:lang w:val="en-GB"/>
        </w:rPr>
        <w:tab/>
      </w:r>
      <w:r w:rsidRPr="00E4265B">
        <w:rPr>
          <w:rFonts w:ascii="Arial" w:hAnsi="Arial" w:cs="Arial"/>
          <w:sz w:val="22"/>
          <w:szCs w:val="22"/>
          <w:lang w:val="en-GB"/>
        </w:rPr>
        <w:t>In addition to the capita</w:t>
      </w:r>
      <w:r w:rsidR="00F5338D" w:rsidRPr="00E4265B">
        <w:rPr>
          <w:rFonts w:ascii="Arial" w:hAnsi="Arial" w:cs="Arial"/>
          <w:sz w:val="22"/>
          <w:szCs w:val="22"/>
          <w:lang w:val="en-GB"/>
        </w:rPr>
        <w:t>l charges referred to in Rule A6</w:t>
      </w:r>
      <w:r w:rsidRPr="00E4265B">
        <w:rPr>
          <w:rFonts w:ascii="Arial" w:hAnsi="Arial" w:cs="Arial"/>
          <w:sz w:val="22"/>
          <w:szCs w:val="22"/>
          <w:lang w:val="en-GB"/>
        </w:rPr>
        <w:t xml:space="preserve">.6.5, arising from Delta risk,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the Gamma for each </w:t>
      </w:r>
      <w:r w:rsidR="00BC49E0" w:rsidRPr="00E4265B">
        <w:rPr>
          <w:rFonts w:ascii="Arial" w:hAnsi="Arial" w:cs="Arial"/>
          <w:sz w:val="22"/>
          <w:szCs w:val="22"/>
          <w:lang w:val="en-GB"/>
        </w:rPr>
        <w:t>Option</w:t>
      </w:r>
      <w:r w:rsidRPr="00E4265B">
        <w:rPr>
          <w:rFonts w:ascii="Arial" w:hAnsi="Arial" w:cs="Arial"/>
          <w:sz w:val="22"/>
          <w:szCs w:val="22"/>
          <w:lang w:val="en-GB"/>
        </w:rPr>
        <w:t xml:space="preserve"> position, including hedge positions in the following way:</w:t>
      </w:r>
    </w:p>
    <w:p w14:paraId="59C666FD" w14:textId="38DA6F37" w:rsidR="00E22FF2" w:rsidRPr="00E4265B" w:rsidRDefault="00E22FF2" w:rsidP="0019712D">
      <w:pPr>
        <w:pStyle w:val="Heading5"/>
        <w:numPr>
          <w:ilvl w:val="4"/>
          <w:numId w:val="77"/>
        </w:numPr>
        <w:rPr>
          <w:rFonts w:ascii="Arial" w:hAnsi="Arial" w:cs="Arial"/>
          <w:sz w:val="22"/>
          <w:szCs w:val="22"/>
        </w:rPr>
      </w:pPr>
      <w:r w:rsidRPr="00E4265B">
        <w:rPr>
          <w:rFonts w:ascii="Arial" w:hAnsi="Arial" w:cs="Arial"/>
          <w:sz w:val="22"/>
          <w:szCs w:val="22"/>
        </w:rPr>
        <w:t xml:space="preserve">for each individual </w:t>
      </w:r>
      <w:r w:rsidR="00BC49E0" w:rsidRPr="00E4265B">
        <w:rPr>
          <w:rFonts w:ascii="Arial" w:hAnsi="Arial" w:cs="Arial"/>
          <w:sz w:val="22"/>
          <w:szCs w:val="22"/>
        </w:rPr>
        <w:t>Option</w:t>
      </w:r>
      <w:r w:rsidRPr="00E4265B">
        <w:rPr>
          <w:rFonts w:ascii="Arial" w:hAnsi="Arial" w:cs="Arial"/>
          <w:sz w:val="22"/>
          <w:szCs w:val="22"/>
        </w:rPr>
        <w:t xml:space="preserve"> a "Gamma impact" must be calculated as:</w:t>
      </w:r>
    </w:p>
    <w:p w14:paraId="2B69D772" w14:textId="77777777" w:rsidR="00E22FF2" w:rsidRPr="00E4265B" w:rsidRDefault="00E22FF2" w:rsidP="006A3DC3">
      <w:pPr>
        <w:pStyle w:val="UK12Block10"/>
        <w:jc w:val="center"/>
        <w:rPr>
          <w:rFonts w:ascii="Arial" w:hAnsi="Arial" w:cs="Arial"/>
          <w:sz w:val="22"/>
          <w:szCs w:val="22"/>
          <w:lang w:val="en-GB"/>
        </w:rPr>
      </w:pPr>
      <w:r w:rsidRPr="00E4265B">
        <w:rPr>
          <w:rFonts w:ascii="Arial" w:hAnsi="Arial" w:cs="Arial"/>
          <w:sz w:val="22"/>
          <w:szCs w:val="22"/>
          <w:lang w:val="en-GB"/>
        </w:rPr>
        <w:t>Gamma impact = ½ x Gamma x VU²</w:t>
      </w:r>
    </w:p>
    <w:p w14:paraId="167B08FB" w14:textId="77777777" w:rsidR="00E22FF2" w:rsidRPr="00E4265B" w:rsidRDefault="00E22FF2" w:rsidP="00547FDF">
      <w:pPr>
        <w:pStyle w:val="UK12Block10"/>
        <w:ind w:firstLine="180"/>
        <w:rPr>
          <w:rFonts w:ascii="Arial" w:hAnsi="Arial" w:cs="Arial"/>
          <w:sz w:val="22"/>
          <w:szCs w:val="22"/>
          <w:lang w:val="en-GB"/>
        </w:rPr>
      </w:pPr>
      <w:r w:rsidRPr="00E4265B">
        <w:rPr>
          <w:rFonts w:ascii="Arial" w:hAnsi="Arial" w:cs="Arial"/>
          <w:sz w:val="22"/>
          <w:szCs w:val="22"/>
          <w:lang w:val="en-GB"/>
        </w:rPr>
        <w:t xml:space="preserve">where VU = Variation of the underlying instrument of the </w:t>
      </w:r>
      <w:r w:rsidR="00BC49E0" w:rsidRPr="00E4265B">
        <w:rPr>
          <w:rFonts w:ascii="Arial" w:hAnsi="Arial" w:cs="Arial"/>
          <w:sz w:val="22"/>
          <w:szCs w:val="22"/>
          <w:lang w:val="en-GB"/>
        </w:rPr>
        <w:t>Option</w:t>
      </w:r>
      <w:r w:rsidRPr="00E4265B">
        <w:rPr>
          <w:rFonts w:ascii="Arial" w:hAnsi="Arial" w:cs="Arial"/>
          <w:sz w:val="22"/>
          <w:szCs w:val="22"/>
          <w:lang w:val="en-GB"/>
        </w:rPr>
        <w:t xml:space="preserve">; </w:t>
      </w:r>
    </w:p>
    <w:p w14:paraId="0914537D" w14:textId="77777777" w:rsidR="00E22FF2" w:rsidRPr="00E4265B" w:rsidRDefault="00E22FF2" w:rsidP="00D45B14">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VU must be calculated as follows:</w:t>
      </w:r>
    </w:p>
    <w:p w14:paraId="6BD38EC4" w14:textId="77777777" w:rsidR="00E22FF2" w:rsidRPr="00E4265B" w:rsidRDefault="00E22FF2" w:rsidP="00D45B14">
      <w:pPr>
        <w:pStyle w:val="aList"/>
        <w:rPr>
          <w:rFonts w:ascii="Arial" w:hAnsi="Arial" w:cs="Arial"/>
          <w:sz w:val="22"/>
          <w:szCs w:val="22"/>
          <w:lang w:val="en-GB"/>
        </w:rPr>
      </w:pPr>
      <w:r w:rsidRPr="00E4265B">
        <w:rPr>
          <w:rFonts w:ascii="Arial" w:hAnsi="Arial" w:cs="Arial"/>
          <w:sz w:val="22"/>
          <w:szCs w:val="22"/>
          <w:lang w:val="en-GB"/>
        </w:rPr>
        <w:lastRenderedPageBreak/>
        <w:t>(i)</w:t>
      </w:r>
      <w:r w:rsidRPr="00E4265B">
        <w:rPr>
          <w:rFonts w:ascii="Arial" w:hAnsi="Arial" w:cs="Arial"/>
          <w:sz w:val="22"/>
          <w:szCs w:val="22"/>
          <w:lang w:val="en-GB"/>
        </w:rPr>
        <w:tab/>
        <w:t xml:space="preserve">for interest rate </w:t>
      </w:r>
      <w:r w:rsidR="00BC49E0" w:rsidRPr="00E4265B">
        <w:rPr>
          <w:rFonts w:ascii="Arial" w:hAnsi="Arial" w:cs="Arial"/>
          <w:sz w:val="22"/>
          <w:szCs w:val="22"/>
          <w:lang w:val="en-GB"/>
        </w:rPr>
        <w:t>Option</w:t>
      </w:r>
      <w:r w:rsidRPr="00E4265B">
        <w:rPr>
          <w:rFonts w:ascii="Arial" w:hAnsi="Arial" w:cs="Arial"/>
          <w:sz w:val="22"/>
          <w:szCs w:val="22"/>
          <w:lang w:val="en-GB"/>
        </w:rPr>
        <w:t>s if the underlying instrument is a bond, the market value of the underlying instrument should be multiplied by the risk weights set out in Section 5.4 for the underlying instrument. An equivalent calculation should be carried out where the underlying instrument is an interest rate, again based on the assumed changes in the corresponding yield in Rule A</w:t>
      </w:r>
      <w:r w:rsidR="00F5338D" w:rsidRPr="00E4265B">
        <w:rPr>
          <w:rFonts w:ascii="Arial" w:hAnsi="Arial" w:cs="Arial"/>
          <w:sz w:val="22"/>
          <w:szCs w:val="22"/>
          <w:lang w:val="en-GB"/>
        </w:rPr>
        <w:t>6</w:t>
      </w:r>
      <w:r w:rsidRPr="00E4265B">
        <w:rPr>
          <w:rFonts w:ascii="Arial" w:hAnsi="Arial" w:cs="Arial"/>
          <w:sz w:val="22"/>
          <w:szCs w:val="22"/>
          <w:lang w:val="en-GB"/>
        </w:rPr>
        <w:t>.2.16;</w:t>
      </w:r>
    </w:p>
    <w:p w14:paraId="2E18E36D" w14:textId="77777777" w:rsidR="00E22FF2" w:rsidRPr="00E4265B" w:rsidRDefault="00E22FF2" w:rsidP="00D45B14">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for </w:t>
      </w:r>
      <w:r w:rsidR="00BC49E0" w:rsidRPr="00E4265B">
        <w:rPr>
          <w:rFonts w:ascii="Arial" w:hAnsi="Arial" w:cs="Arial"/>
          <w:sz w:val="22"/>
          <w:szCs w:val="22"/>
          <w:lang w:val="en-GB"/>
        </w:rPr>
        <w:t>Option</w:t>
      </w:r>
      <w:r w:rsidRPr="00E4265B">
        <w:rPr>
          <w:rFonts w:ascii="Arial" w:hAnsi="Arial" w:cs="Arial"/>
          <w:sz w:val="22"/>
          <w:szCs w:val="22"/>
          <w:lang w:val="en-GB"/>
        </w:rPr>
        <w:t>s on equities and equity indices, the market value of the underlying instrument should be multiplied by 8%;</w:t>
      </w:r>
    </w:p>
    <w:p w14:paraId="0BD98792" w14:textId="77777777" w:rsidR="00E22FF2" w:rsidRPr="00E4265B" w:rsidRDefault="00E22FF2" w:rsidP="00D45B14">
      <w:pPr>
        <w:pStyle w:val="a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for foreign exchange and gold </w:t>
      </w:r>
      <w:r w:rsidR="00BC49E0" w:rsidRPr="00E4265B">
        <w:rPr>
          <w:rFonts w:ascii="Arial" w:hAnsi="Arial" w:cs="Arial"/>
          <w:sz w:val="22"/>
          <w:szCs w:val="22"/>
          <w:lang w:val="en-GB"/>
        </w:rPr>
        <w:t>Option</w:t>
      </w:r>
      <w:r w:rsidRPr="00E4265B">
        <w:rPr>
          <w:rFonts w:ascii="Arial" w:hAnsi="Arial" w:cs="Arial"/>
          <w:sz w:val="22"/>
          <w:szCs w:val="22"/>
          <w:lang w:val="en-GB"/>
        </w:rPr>
        <w:t>s, the market value of the underlying instrument should be multiplied by 8%; and</w:t>
      </w:r>
    </w:p>
    <w:p w14:paraId="33329DA5" w14:textId="77777777" w:rsidR="00E22FF2" w:rsidRPr="00E4265B" w:rsidRDefault="00E22FF2" w:rsidP="00D45B14">
      <w:pPr>
        <w:pStyle w:val="aList"/>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 xml:space="preserve">for </w:t>
      </w:r>
      <w:r w:rsidR="00BC49E0" w:rsidRPr="00E4265B">
        <w:rPr>
          <w:rFonts w:ascii="Arial" w:hAnsi="Arial" w:cs="Arial"/>
          <w:sz w:val="22"/>
          <w:szCs w:val="22"/>
          <w:lang w:val="en-GB"/>
        </w:rPr>
        <w:t>Option</w:t>
      </w:r>
      <w:r w:rsidRPr="00E4265B">
        <w:rPr>
          <w:rFonts w:ascii="Arial" w:hAnsi="Arial" w:cs="Arial"/>
          <w:sz w:val="22"/>
          <w:szCs w:val="22"/>
          <w:lang w:val="en-GB"/>
        </w:rPr>
        <w:t>s on commodities, the market value of the underlying instrument should be multiplied by 15%; and</w:t>
      </w:r>
    </w:p>
    <w:p w14:paraId="37D67FD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for the purpose of this calculation the following positions must be treated as the same underlying instrument:</w:t>
      </w:r>
    </w:p>
    <w:p w14:paraId="3AF3E840" w14:textId="77777777" w:rsidR="00E22FF2" w:rsidRPr="00E4265B" w:rsidRDefault="00E22FF2" w:rsidP="00D45B14">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for interest rates, each timeband as set out in Rule A</w:t>
      </w:r>
      <w:r w:rsidR="00F5338D" w:rsidRPr="00E4265B">
        <w:rPr>
          <w:rFonts w:ascii="Arial" w:hAnsi="Arial" w:cs="Arial"/>
          <w:sz w:val="22"/>
          <w:szCs w:val="22"/>
          <w:lang w:val="en-GB"/>
        </w:rPr>
        <w:t>6</w:t>
      </w:r>
      <w:r w:rsidRPr="00E4265B">
        <w:rPr>
          <w:rFonts w:ascii="Arial" w:hAnsi="Arial" w:cs="Arial"/>
          <w:sz w:val="22"/>
          <w:szCs w:val="22"/>
          <w:lang w:val="en-GB"/>
        </w:rPr>
        <w:t>.2.16;</w:t>
      </w:r>
    </w:p>
    <w:p w14:paraId="3A21A41C" w14:textId="77777777" w:rsidR="00E22FF2" w:rsidRPr="00E4265B" w:rsidRDefault="00E22FF2" w:rsidP="00D45B14">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for equities and stock indices, each national market;</w:t>
      </w:r>
    </w:p>
    <w:p w14:paraId="37A19D3D" w14:textId="77777777" w:rsidR="00E22FF2" w:rsidRPr="00E4265B" w:rsidRDefault="00E22FF2" w:rsidP="00D45B14">
      <w:pPr>
        <w:pStyle w:val="a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for foreign currencies and gold, each currency pair and gold; and</w:t>
      </w:r>
    </w:p>
    <w:p w14:paraId="4E1A098C" w14:textId="77777777" w:rsidR="00E22FF2" w:rsidRPr="00E4265B" w:rsidRDefault="00E22FF2" w:rsidP="00D45B14">
      <w:pPr>
        <w:pStyle w:val="aList"/>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for commodities, positions in the same individual commodity as defined in Section A</w:t>
      </w:r>
      <w:r w:rsidR="00F5338D" w:rsidRPr="00E4265B">
        <w:rPr>
          <w:rFonts w:ascii="Arial" w:hAnsi="Arial" w:cs="Arial"/>
          <w:sz w:val="22"/>
          <w:szCs w:val="22"/>
          <w:lang w:val="en-GB"/>
        </w:rPr>
        <w:t>6</w:t>
      </w:r>
      <w:r w:rsidRPr="00E4265B">
        <w:rPr>
          <w:rFonts w:ascii="Arial" w:hAnsi="Arial" w:cs="Arial"/>
          <w:sz w:val="22"/>
          <w:szCs w:val="22"/>
          <w:lang w:val="en-GB"/>
        </w:rPr>
        <w:t>.5 for Commodities Risk Capital Requirement.</w:t>
      </w:r>
    </w:p>
    <w:p w14:paraId="57ED1846"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F5338D" w:rsidRPr="00E4265B">
        <w:rPr>
          <w:rFonts w:ascii="Arial" w:hAnsi="Arial" w:cs="Arial"/>
          <w:b/>
          <w:bCs/>
          <w:sz w:val="22"/>
          <w:szCs w:val="22"/>
          <w:lang w:val="en-GB"/>
        </w:rPr>
        <w:t>6</w:t>
      </w:r>
      <w:r w:rsidRPr="00E4265B">
        <w:rPr>
          <w:rFonts w:ascii="Arial" w:hAnsi="Arial" w:cs="Arial"/>
          <w:b/>
          <w:bCs/>
          <w:sz w:val="22"/>
          <w:szCs w:val="22"/>
          <w:lang w:val="en-GB"/>
        </w:rPr>
        <w:t>.6.9</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its Capital Requirement for Gamma risk by:</w:t>
      </w:r>
    </w:p>
    <w:p w14:paraId="3DC91C2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calculating the net Gamma impact in respect of each underlying </w:t>
      </w:r>
      <w:r w:rsidR="00690BF6" w:rsidRPr="00E4265B">
        <w:rPr>
          <w:rFonts w:ascii="Arial" w:hAnsi="Arial" w:cs="Arial"/>
          <w:sz w:val="22"/>
          <w:szCs w:val="22"/>
          <w:lang w:val="en-GB"/>
        </w:rPr>
        <w:t>Financial Instrument</w:t>
      </w:r>
      <w:r w:rsidRPr="00E4265B">
        <w:rPr>
          <w:rFonts w:ascii="Arial" w:hAnsi="Arial" w:cs="Arial"/>
          <w:sz w:val="22"/>
          <w:szCs w:val="22"/>
          <w:lang w:val="en-GB"/>
        </w:rPr>
        <w:t xml:space="preserve"> or commodity by aggregating the individual Gamma impacts for each </w:t>
      </w:r>
      <w:r w:rsidR="00BC49E0" w:rsidRPr="00E4265B">
        <w:rPr>
          <w:rFonts w:ascii="Arial" w:hAnsi="Arial" w:cs="Arial"/>
          <w:sz w:val="22"/>
          <w:szCs w:val="22"/>
          <w:lang w:val="en-GB"/>
        </w:rPr>
        <w:t>Option</w:t>
      </w:r>
      <w:r w:rsidRPr="00E4265B">
        <w:rPr>
          <w:rFonts w:ascii="Arial" w:hAnsi="Arial" w:cs="Arial"/>
          <w:sz w:val="22"/>
          <w:szCs w:val="22"/>
          <w:lang w:val="en-GB"/>
        </w:rPr>
        <w:t xml:space="preserve"> position in respect of that underlying </w:t>
      </w:r>
      <w:r w:rsidR="00690BF6" w:rsidRPr="00E4265B">
        <w:rPr>
          <w:rFonts w:ascii="Arial" w:hAnsi="Arial" w:cs="Arial"/>
          <w:sz w:val="22"/>
          <w:szCs w:val="22"/>
          <w:lang w:val="en-GB"/>
        </w:rPr>
        <w:t>Financial Instrument</w:t>
      </w:r>
      <w:r w:rsidRPr="00E4265B">
        <w:rPr>
          <w:rFonts w:ascii="Arial" w:hAnsi="Arial" w:cs="Arial"/>
          <w:sz w:val="22"/>
          <w:szCs w:val="22"/>
          <w:lang w:val="en-GB"/>
        </w:rPr>
        <w:t xml:space="preserve"> or commodity (which may be either positive or negative); and</w:t>
      </w:r>
    </w:p>
    <w:p w14:paraId="674A057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aggregating the absolute value of the net Gamma impacts that are negative.</w:t>
      </w:r>
    </w:p>
    <w:p w14:paraId="1DC1A03F"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Guidance</w:t>
      </w:r>
    </w:p>
    <w:p w14:paraId="282D52D3"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The underlying </w:t>
      </w:r>
      <w:r w:rsidR="00690BF6" w:rsidRPr="00E4265B">
        <w:rPr>
          <w:rFonts w:ascii="Arial" w:hAnsi="Arial" w:cs="Arial"/>
          <w:sz w:val="22"/>
          <w:szCs w:val="22"/>
          <w:lang w:val="en-GB"/>
        </w:rPr>
        <w:t>Financial Instrument</w:t>
      </w:r>
      <w:r w:rsidRPr="00E4265B">
        <w:rPr>
          <w:rFonts w:ascii="Arial" w:hAnsi="Arial" w:cs="Arial"/>
          <w:sz w:val="22"/>
          <w:szCs w:val="22"/>
          <w:lang w:val="en-GB"/>
        </w:rPr>
        <w:t xml:space="preserve"> or commodity should be taken to be the asset which would be received if the </w:t>
      </w:r>
      <w:r w:rsidR="00BC49E0" w:rsidRPr="00E4265B">
        <w:rPr>
          <w:rFonts w:ascii="Arial" w:hAnsi="Arial" w:cs="Arial"/>
          <w:sz w:val="22"/>
          <w:szCs w:val="22"/>
          <w:lang w:val="en-GB"/>
        </w:rPr>
        <w:t>Option</w:t>
      </w:r>
      <w:r w:rsidRPr="00E4265B">
        <w:rPr>
          <w:rFonts w:ascii="Arial" w:hAnsi="Arial" w:cs="Arial"/>
          <w:sz w:val="22"/>
          <w:szCs w:val="22"/>
          <w:lang w:val="en-GB"/>
        </w:rPr>
        <w:t xml:space="preserve"> were exercised. In addition, the notional value should be used for items where the market value of the underlying </w:t>
      </w:r>
      <w:r w:rsidR="00690BF6" w:rsidRPr="00E4265B">
        <w:rPr>
          <w:rFonts w:ascii="Arial" w:hAnsi="Arial" w:cs="Arial"/>
          <w:sz w:val="22"/>
          <w:szCs w:val="22"/>
          <w:lang w:val="en-GB"/>
        </w:rPr>
        <w:t>Financial Instrument</w:t>
      </w:r>
      <w:r w:rsidRPr="00E4265B">
        <w:rPr>
          <w:rFonts w:ascii="Arial" w:hAnsi="Arial" w:cs="Arial"/>
          <w:sz w:val="22"/>
          <w:szCs w:val="22"/>
          <w:lang w:val="en-GB"/>
        </w:rPr>
        <w:t xml:space="preserve"> or commodity could be zero (e.g. caps and floors, swaptions). Certain notional positions in zero</w:t>
      </w:r>
      <w:r w:rsidRPr="00E4265B">
        <w:rPr>
          <w:rFonts w:ascii="Arial" w:hAnsi="Arial" w:cs="Arial"/>
          <w:sz w:val="22"/>
          <w:szCs w:val="22"/>
          <w:lang w:val="en-GB"/>
        </w:rPr>
        <w:noBreakHyphen/>
        <w:t>specific</w:t>
      </w:r>
      <w:r w:rsidRPr="00E4265B">
        <w:rPr>
          <w:rFonts w:ascii="Arial" w:hAnsi="Arial" w:cs="Arial"/>
          <w:sz w:val="22"/>
          <w:szCs w:val="22"/>
          <w:lang w:val="en-GB"/>
        </w:rPr>
        <w:noBreakHyphen/>
        <w:t xml:space="preserve">risk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do not attract Specific Risk, e.g. interest rate and currency swaps, Forward Rate Agreement (FRA), forward foreign exc</w:t>
      </w:r>
      <w:r w:rsidR="00E911B6" w:rsidRPr="00E4265B">
        <w:rPr>
          <w:rFonts w:ascii="Arial" w:hAnsi="Arial" w:cs="Arial"/>
          <w:sz w:val="22"/>
          <w:szCs w:val="22"/>
          <w:lang w:val="en-GB"/>
        </w:rPr>
        <w:t>hange contracts, interest rate Futures and F</w:t>
      </w:r>
      <w:r w:rsidRPr="00E4265B">
        <w:rPr>
          <w:rFonts w:ascii="Arial" w:hAnsi="Arial" w:cs="Arial"/>
          <w:sz w:val="22"/>
          <w:szCs w:val="22"/>
          <w:lang w:val="en-GB"/>
        </w:rPr>
        <w:t xml:space="preserve">utures on an interest rate index. Similarly, </w:t>
      </w:r>
      <w:r w:rsidR="00BC49E0" w:rsidRPr="00E4265B">
        <w:rPr>
          <w:rFonts w:ascii="Arial" w:hAnsi="Arial" w:cs="Arial"/>
          <w:sz w:val="22"/>
          <w:szCs w:val="22"/>
          <w:lang w:val="en-GB"/>
        </w:rPr>
        <w:t>Option</w:t>
      </w:r>
      <w:r w:rsidRPr="00E4265B">
        <w:rPr>
          <w:rFonts w:ascii="Arial" w:hAnsi="Arial" w:cs="Arial"/>
          <w:sz w:val="22"/>
          <w:szCs w:val="22"/>
          <w:lang w:val="en-GB"/>
        </w:rPr>
        <w:t>s on such zero</w:t>
      </w:r>
      <w:r w:rsidRPr="00E4265B">
        <w:rPr>
          <w:rFonts w:ascii="Arial" w:hAnsi="Arial" w:cs="Arial"/>
          <w:sz w:val="22"/>
          <w:szCs w:val="22"/>
          <w:lang w:val="en-GB"/>
        </w:rPr>
        <w:noBreakHyphen/>
        <w:t>specific</w:t>
      </w:r>
      <w:r w:rsidRPr="00E4265B">
        <w:rPr>
          <w:rFonts w:ascii="Arial" w:hAnsi="Arial" w:cs="Arial"/>
          <w:sz w:val="22"/>
          <w:szCs w:val="22"/>
          <w:lang w:val="en-GB"/>
        </w:rPr>
        <w:noBreakHyphen/>
        <w:t xml:space="preserve">risk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also bear no Specific Risk. For the purposes of this sub</w:t>
      </w:r>
      <w:r w:rsidRPr="00E4265B">
        <w:rPr>
          <w:rFonts w:ascii="Arial" w:hAnsi="Arial" w:cs="Arial"/>
          <w:sz w:val="22"/>
          <w:szCs w:val="22"/>
          <w:lang w:val="en-GB"/>
        </w:rPr>
        <w:noBreakHyphen/>
        <w:t>paragraph:</w:t>
      </w:r>
    </w:p>
    <w:p w14:paraId="6DCF3C7F"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specific and general risk weights in respect of </w:t>
      </w:r>
      <w:r w:rsidR="00BC49E0" w:rsidRPr="00E4265B">
        <w:rPr>
          <w:rFonts w:ascii="Arial" w:hAnsi="Arial" w:cs="Arial"/>
          <w:sz w:val="22"/>
          <w:szCs w:val="22"/>
          <w:lang w:val="en-GB"/>
        </w:rPr>
        <w:t>Option</w:t>
      </w:r>
      <w:r w:rsidRPr="00E4265B">
        <w:rPr>
          <w:rFonts w:ascii="Arial" w:hAnsi="Arial" w:cs="Arial"/>
          <w:sz w:val="22"/>
          <w:szCs w:val="22"/>
          <w:lang w:val="en-GB"/>
        </w:rPr>
        <w:t>s on interest rate</w:t>
      </w:r>
      <w:r w:rsidRPr="00E4265B">
        <w:rPr>
          <w:rFonts w:ascii="Arial" w:hAnsi="Arial" w:cs="Arial"/>
          <w:sz w:val="22"/>
          <w:szCs w:val="22"/>
          <w:lang w:val="en-GB"/>
        </w:rPr>
        <w:noBreakHyphen/>
        <w:t>related instruments are determined in accordance with Section A</w:t>
      </w:r>
      <w:r w:rsidR="005F7CCD" w:rsidRPr="00E4265B">
        <w:rPr>
          <w:rFonts w:ascii="Arial" w:hAnsi="Arial" w:cs="Arial"/>
          <w:sz w:val="22"/>
          <w:szCs w:val="22"/>
          <w:lang w:val="en-GB"/>
        </w:rPr>
        <w:t>6</w:t>
      </w:r>
      <w:r w:rsidRPr="00E4265B">
        <w:rPr>
          <w:rFonts w:ascii="Arial" w:hAnsi="Arial" w:cs="Arial"/>
          <w:sz w:val="22"/>
          <w:szCs w:val="22"/>
          <w:lang w:val="en-GB"/>
        </w:rPr>
        <w:t>.2;</w:t>
      </w:r>
    </w:p>
    <w:p w14:paraId="4250B7CB"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lastRenderedPageBreak/>
        <w:t>b.</w:t>
      </w:r>
      <w:r w:rsidRPr="00E4265B">
        <w:rPr>
          <w:rFonts w:ascii="Arial" w:hAnsi="Arial" w:cs="Arial"/>
          <w:sz w:val="22"/>
          <w:szCs w:val="22"/>
          <w:lang w:val="en-GB"/>
        </w:rPr>
        <w:tab/>
        <w:t xml:space="preserve">the specific and general risk weights in respect of </w:t>
      </w:r>
      <w:r w:rsidR="00BC49E0" w:rsidRPr="00E4265B">
        <w:rPr>
          <w:rFonts w:ascii="Arial" w:hAnsi="Arial" w:cs="Arial"/>
          <w:sz w:val="22"/>
          <w:szCs w:val="22"/>
          <w:lang w:val="en-GB"/>
        </w:rPr>
        <w:t>Option</w:t>
      </w:r>
      <w:r w:rsidRPr="00E4265B">
        <w:rPr>
          <w:rFonts w:ascii="Arial" w:hAnsi="Arial" w:cs="Arial"/>
          <w:sz w:val="22"/>
          <w:szCs w:val="22"/>
          <w:lang w:val="en-GB"/>
        </w:rPr>
        <w:t>s on equities and equity indices are determined in accordance with Section A</w:t>
      </w:r>
      <w:r w:rsidR="005F7CCD" w:rsidRPr="00E4265B">
        <w:rPr>
          <w:rFonts w:ascii="Arial" w:hAnsi="Arial" w:cs="Arial"/>
          <w:sz w:val="22"/>
          <w:szCs w:val="22"/>
          <w:lang w:val="en-GB"/>
        </w:rPr>
        <w:t>6</w:t>
      </w:r>
      <w:r w:rsidRPr="00E4265B">
        <w:rPr>
          <w:rFonts w:ascii="Arial" w:hAnsi="Arial" w:cs="Arial"/>
          <w:sz w:val="22"/>
          <w:szCs w:val="22"/>
          <w:lang w:val="en-GB"/>
        </w:rPr>
        <w:t>.3;</w:t>
      </w:r>
    </w:p>
    <w:p w14:paraId="2DA7B0B4"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the risk weight in respect of foreign currency and gold </w:t>
      </w:r>
      <w:r w:rsidR="00BC49E0" w:rsidRPr="00E4265B">
        <w:rPr>
          <w:rFonts w:ascii="Arial" w:hAnsi="Arial" w:cs="Arial"/>
          <w:sz w:val="22"/>
          <w:szCs w:val="22"/>
          <w:lang w:val="en-GB"/>
        </w:rPr>
        <w:t>Option</w:t>
      </w:r>
      <w:r w:rsidRPr="00E4265B">
        <w:rPr>
          <w:rFonts w:ascii="Arial" w:hAnsi="Arial" w:cs="Arial"/>
          <w:sz w:val="22"/>
          <w:szCs w:val="22"/>
          <w:lang w:val="en-GB"/>
        </w:rPr>
        <w:t xml:space="preserve">s is 8%; and </w:t>
      </w:r>
    </w:p>
    <w:p w14:paraId="1532A796"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the risk weight in respect of </w:t>
      </w:r>
      <w:r w:rsidR="00BC49E0" w:rsidRPr="00E4265B">
        <w:rPr>
          <w:rFonts w:ascii="Arial" w:hAnsi="Arial" w:cs="Arial"/>
          <w:sz w:val="22"/>
          <w:szCs w:val="22"/>
          <w:lang w:val="en-GB"/>
        </w:rPr>
        <w:t>Option</w:t>
      </w:r>
      <w:r w:rsidRPr="00E4265B">
        <w:rPr>
          <w:rFonts w:ascii="Arial" w:hAnsi="Arial" w:cs="Arial"/>
          <w:sz w:val="22"/>
          <w:szCs w:val="22"/>
          <w:lang w:val="en-GB"/>
        </w:rPr>
        <w:t>s on commodities is 15%.</w:t>
      </w:r>
    </w:p>
    <w:p w14:paraId="5353CFD3" w14:textId="77777777" w:rsidR="00E22FF2" w:rsidRPr="00E4265B" w:rsidRDefault="00E22FF2" w:rsidP="00386DD2">
      <w:pPr>
        <w:pStyle w:val="UK12Block05"/>
        <w:rPr>
          <w:rFonts w:ascii="Arial" w:hAnsi="Arial" w:cs="Arial"/>
          <w:sz w:val="22"/>
          <w:szCs w:val="22"/>
          <w:lang w:val="en-GB"/>
        </w:rPr>
      </w:pPr>
      <w:r w:rsidRPr="00E4265B">
        <w:rPr>
          <w:rFonts w:ascii="Arial" w:hAnsi="Arial" w:cs="Arial"/>
          <w:sz w:val="22"/>
          <w:szCs w:val="22"/>
          <w:lang w:val="en-GB"/>
        </w:rPr>
        <w:t xml:space="preserve">For </w:t>
      </w:r>
      <w:r w:rsidR="00BC49E0" w:rsidRPr="00E4265B">
        <w:rPr>
          <w:rFonts w:ascii="Arial" w:hAnsi="Arial" w:cs="Arial"/>
          <w:sz w:val="22"/>
          <w:szCs w:val="22"/>
          <w:lang w:val="en-GB"/>
        </w:rPr>
        <w:t>Option</w:t>
      </w:r>
      <w:r w:rsidRPr="00E4265B">
        <w:rPr>
          <w:rFonts w:ascii="Arial" w:hAnsi="Arial" w:cs="Arial"/>
          <w:sz w:val="22"/>
          <w:szCs w:val="22"/>
          <w:lang w:val="en-GB"/>
        </w:rPr>
        <w:t xml:space="preserve">s with a residual maturity of more than six months, the strike price should be compared with the forward, and not current, price. 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unable to do this, the in</w:t>
      </w:r>
      <w:r w:rsidRPr="00E4265B">
        <w:rPr>
          <w:rFonts w:ascii="Arial" w:hAnsi="Arial" w:cs="Arial"/>
          <w:sz w:val="22"/>
          <w:szCs w:val="22"/>
          <w:lang w:val="en-GB"/>
        </w:rPr>
        <w:noBreakHyphen/>
        <w:t>the</w:t>
      </w:r>
      <w:r w:rsidRPr="00E4265B">
        <w:rPr>
          <w:rFonts w:ascii="Arial" w:hAnsi="Arial" w:cs="Arial"/>
          <w:sz w:val="22"/>
          <w:szCs w:val="22"/>
          <w:lang w:val="en-GB"/>
        </w:rPr>
        <w:noBreakHyphen/>
        <w:t>money amount would be zero.</w:t>
      </w:r>
    </w:p>
    <w:p w14:paraId="5158C38B" w14:textId="725D28E8"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trades in exotic </w:t>
      </w:r>
      <w:r w:rsidR="00BC49E0" w:rsidRPr="00E4265B">
        <w:rPr>
          <w:rFonts w:ascii="Arial" w:hAnsi="Arial" w:cs="Arial"/>
          <w:sz w:val="22"/>
          <w:szCs w:val="22"/>
          <w:lang w:val="en-GB"/>
        </w:rPr>
        <w:t>Option</w:t>
      </w:r>
      <w:r w:rsidRPr="00E4265B">
        <w:rPr>
          <w:rFonts w:ascii="Arial" w:hAnsi="Arial" w:cs="Arial"/>
          <w:sz w:val="22"/>
          <w:szCs w:val="22"/>
          <w:lang w:val="en-GB"/>
        </w:rPr>
        <w:t xml:space="preserve">s (e.g. barriers, digitals) would use either the scenario approach or the Internal Models Approach (IMA) to calculate its Market Risk Capital Requirement for such </w:t>
      </w:r>
      <w:r w:rsidR="00BC49E0" w:rsidRPr="00E4265B">
        <w:rPr>
          <w:rFonts w:ascii="Arial" w:hAnsi="Arial" w:cs="Arial"/>
          <w:sz w:val="22"/>
          <w:szCs w:val="22"/>
          <w:lang w:val="en-GB"/>
        </w:rPr>
        <w:t>Option</w:t>
      </w:r>
      <w:r w:rsidRPr="00E4265B">
        <w:rPr>
          <w:rFonts w:ascii="Arial" w:hAnsi="Arial" w:cs="Arial"/>
          <w:sz w:val="22"/>
          <w:szCs w:val="22"/>
          <w:lang w:val="en-GB"/>
        </w:rPr>
        <w:t>s, unless it is able to demonstrate to the Regulator that the Delta</w:t>
      </w:r>
      <w:r w:rsidRPr="00E4265B">
        <w:rPr>
          <w:rFonts w:ascii="Arial" w:hAnsi="Arial" w:cs="Arial"/>
          <w:sz w:val="22"/>
          <w:szCs w:val="22"/>
          <w:lang w:val="en-GB"/>
        </w:rPr>
        <w:noBreakHyphen/>
        <w:t xml:space="preserve">plus method is appropriate. In the case of </w:t>
      </w:r>
      <w:r w:rsidR="00BC49E0" w:rsidRPr="00E4265B">
        <w:rPr>
          <w:rFonts w:ascii="Arial" w:hAnsi="Arial" w:cs="Arial"/>
          <w:sz w:val="22"/>
          <w:szCs w:val="22"/>
          <w:lang w:val="en-GB"/>
        </w:rPr>
        <w:t>Option</w:t>
      </w:r>
      <w:r w:rsidRPr="00E4265B">
        <w:rPr>
          <w:rFonts w:ascii="Arial" w:hAnsi="Arial" w:cs="Arial"/>
          <w:sz w:val="22"/>
          <w:szCs w:val="22"/>
          <w:lang w:val="en-GB"/>
        </w:rPr>
        <w:t xml:space="preserve">s on </w:t>
      </w:r>
      <w:r w:rsidR="00E911B6" w:rsidRPr="00E4265B">
        <w:rPr>
          <w:rFonts w:ascii="Arial" w:hAnsi="Arial" w:cs="Arial"/>
          <w:sz w:val="22"/>
          <w:szCs w:val="22"/>
          <w:lang w:val="en-GB"/>
        </w:rPr>
        <w:t>F</w:t>
      </w:r>
      <w:r w:rsidRPr="00E4265B">
        <w:rPr>
          <w:rFonts w:ascii="Arial" w:hAnsi="Arial" w:cs="Arial"/>
          <w:sz w:val="22"/>
          <w:szCs w:val="22"/>
          <w:lang w:val="en-GB"/>
        </w:rPr>
        <w:t>utures or forwards, the relevant u</w:t>
      </w:r>
      <w:r w:rsidR="00E911B6" w:rsidRPr="00E4265B">
        <w:rPr>
          <w:rFonts w:ascii="Arial" w:hAnsi="Arial" w:cs="Arial"/>
          <w:sz w:val="22"/>
          <w:szCs w:val="22"/>
          <w:lang w:val="en-GB"/>
        </w:rPr>
        <w:t>nderlying is that on which the F</w:t>
      </w:r>
      <w:r w:rsidRPr="00E4265B">
        <w:rPr>
          <w:rFonts w:ascii="Arial" w:hAnsi="Arial" w:cs="Arial"/>
          <w:sz w:val="22"/>
          <w:szCs w:val="22"/>
          <w:lang w:val="en-GB"/>
        </w:rPr>
        <w:t>uture or forward is based (e.g. for a bought call</w:t>
      </w:r>
      <w:r w:rsidR="00E911B6" w:rsidRPr="00E4265B">
        <w:rPr>
          <w:rFonts w:ascii="Arial" w:hAnsi="Arial" w:cs="Arial"/>
          <w:sz w:val="22"/>
          <w:szCs w:val="22"/>
          <w:lang w:val="en-GB"/>
        </w:rPr>
        <w:t xml:space="preserve"> </w:t>
      </w:r>
      <w:r w:rsidR="00BC49E0" w:rsidRPr="00E4265B">
        <w:rPr>
          <w:rFonts w:ascii="Arial" w:hAnsi="Arial" w:cs="Arial"/>
          <w:sz w:val="22"/>
          <w:szCs w:val="22"/>
          <w:lang w:val="en-GB"/>
        </w:rPr>
        <w:t>Option</w:t>
      </w:r>
      <w:r w:rsidR="00E911B6" w:rsidRPr="00E4265B">
        <w:rPr>
          <w:rFonts w:ascii="Arial" w:hAnsi="Arial" w:cs="Arial"/>
          <w:sz w:val="22"/>
          <w:szCs w:val="22"/>
          <w:lang w:val="en-GB"/>
        </w:rPr>
        <w:t xml:space="preserve"> on a June 3</w:t>
      </w:r>
      <w:r w:rsidR="00E911B6" w:rsidRPr="00E4265B">
        <w:rPr>
          <w:rFonts w:ascii="Arial" w:hAnsi="Arial" w:cs="Arial"/>
          <w:sz w:val="22"/>
          <w:szCs w:val="22"/>
          <w:lang w:val="en-GB"/>
        </w:rPr>
        <w:noBreakHyphen/>
        <w:t>month bill F</w:t>
      </w:r>
      <w:r w:rsidRPr="00E4265B">
        <w:rPr>
          <w:rFonts w:ascii="Arial" w:hAnsi="Arial" w:cs="Arial"/>
          <w:sz w:val="22"/>
          <w:szCs w:val="22"/>
          <w:lang w:val="en-GB"/>
        </w:rPr>
        <w:t>uture, the relevant underlying is the 3</w:t>
      </w:r>
      <w:r w:rsidRPr="00E4265B">
        <w:rPr>
          <w:rFonts w:ascii="Arial" w:hAnsi="Arial" w:cs="Arial"/>
          <w:sz w:val="22"/>
          <w:szCs w:val="22"/>
          <w:lang w:val="en-GB"/>
        </w:rPr>
        <w:noBreakHyphen/>
        <w:t>month bill).</w:t>
      </w:r>
    </w:p>
    <w:p w14:paraId="555288EE"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5F7CCD" w:rsidRPr="00E4265B">
        <w:rPr>
          <w:rFonts w:ascii="Arial" w:hAnsi="Arial" w:cs="Arial"/>
          <w:b/>
          <w:bCs/>
          <w:sz w:val="22"/>
          <w:szCs w:val="22"/>
          <w:lang w:val="en-GB"/>
        </w:rPr>
        <w:t>6</w:t>
      </w:r>
      <w:r w:rsidRPr="00E4265B">
        <w:rPr>
          <w:rFonts w:ascii="Arial" w:hAnsi="Arial" w:cs="Arial"/>
          <w:b/>
          <w:bCs/>
          <w:sz w:val="22"/>
          <w:szCs w:val="22"/>
          <w:lang w:val="en-GB"/>
        </w:rPr>
        <w:t>.6.10</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its Capital Requirement for Vega risk by:</w:t>
      </w:r>
    </w:p>
    <w:p w14:paraId="5A5BFFB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multiplying the sum of the Vegas for all </w:t>
      </w:r>
      <w:r w:rsidR="00BC49E0" w:rsidRPr="00E4265B">
        <w:rPr>
          <w:rFonts w:ascii="Arial" w:hAnsi="Arial" w:cs="Arial"/>
          <w:sz w:val="22"/>
          <w:szCs w:val="22"/>
          <w:lang w:val="en-GB"/>
        </w:rPr>
        <w:t>Option</w:t>
      </w:r>
      <w:r w:rsidRPr="00E4265B">
        <w:rPr>
          <w:rFonts w:ascii="Arial" w:hAnsi="Arial" w:cs="Arial"/>
          <w:sz w:val="22"/>
          <w:szCs w:val="22"/>
          <w:lang w:val="en-GB"/>
        </w:rPr>
        <w:t xml:space="preserve"> positions in respect of the same underlying </w:t>
      </w:r>
      <w:r w:rsidR="00690BF6" w:rsidRPr="00E4265B">
        <w:rPr>
          <w:rFonts w:ascii="Arial" w:hAnsi="Arial" w:cs="Arial"/>
          <w:sz w:val="22"/>
          <w:szCs w:val="22"/>
          <w:lang w:val="en-GB"/>
        </w:rPr>
        <w:t>Financial Instrument</w:t>
      </w:r>
      <w:r w:rsidRPr="00E4265B">
        <w:rPr>
          <w:rFonts w:ascii="Arial" w:hAnsi="Arial" w:cs="Arial"/>
          <w:sz w:val="22"/>
          <w:szCs w:val="22"/>
          <w:lang w:val="en-GB"/>
        </w:rPr>
        <w:t xml:space="preserve"> or commodity, as defined in the Rule 5.6.8(c), by a proportional shift in volatility of ±25%; and</w:t>
      </w:r>
    </w:p>
    <w:p w14:paraId="166D962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aggregating the absolute value of the individual Capital Requirements which have been calculated for Vega risk.</w:t>
      </w:r>
    </w:p>
    <w:p w14:paraId="05261004" w14:textId="77777777" w:rsidR="00E22FF2" w:rsidRPr="00E4265B" w:rsidRDefault="00E22FF2" w:rsidP="00770DE0">
      <w:pPr>
        <w:pStyle w:val="UK12Title2"/>
        <w:rPr>
          <w:rFonts w:ascii="Arial" w:hAnsi="Arial" w:cs="Arial"/>
          <w:sz w:val="22"/>
          <w:szCs w:val="22"/>
        </w:rPr>
      </w:pPr>
      <w:bookmarkStart w:id="994" w:name="_Toc33622502"/>
      <w:r w:rsidRPr="00E4265B">
        <w:rPr>
          <w:rFonts w:ascii="Arial" w:hAnsi="Arial" w:cs="Arial"/>
          <w:sz w:val="22"/>
          <w:szCs w:val="22"/>
        </w:rPr>
        <w:t>A</w:t>
      </w:r>
      <w:r w:rsidR="0012582A" w:rsidRPr="00E4265B">
        <w:rPr>
          <w:rFonts w:ascii="Arial" w:hAnsi="Arial" w:cs="Arial"/>
          <w:sz w:val="22"/>
          <w:szCs w:val="22"/>
        </w:rPr>
        <w:t>6</w:t>
      </w:r>
      <w:r w:rsidRPr="00E4265B">
        <w:rPr>
          <w:rFonts w:ascii="Arial" w:hAnsi="Arial" w:cs="Arial"/>
          <w:sz w:val="22"/>
          <w:szCs w:val="22"/>
        </w:rPr>
        <w:t>.7</w:t>
      </w:r>
      <w:r w:rsidRPr="00E4265B">
        <w:rPr>
          <w:rFonts w:ascii="Arial" w:hAnsi="Arial" w:cs="Arial"/>
          <w:sz w:val="22"/>
          <w:szCs w:val="22"/>
        </w:rPr>
        <w:tab/>
        <w:t>Collective Investment Fund Risk Capital Requirement</w:t>
      </w:r>
      <w:bookmarkEnd w:id="994"/>
    </w:p>
    <w:p w14:paraId="2041259F"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Guidance</w:t>
      </w:r>
    </w:p>
    <w:p w14:paraId="7E4D1921" w14:textId="77777777" w:rsidR="00E22FF2" w:rsidRPr="00E4265B" w:rsidRDefault="00E22FF2" w:rsidP="00386DD2">
      <w:pPr>
        <w:pStyle w:val="UK12Block05"/>
        <w:rPr>
          <w:rFonts w:ascii="Arial" w:hAnsi="Arial" w:cs="Arial"/>
          <w:sz w:val="22"/>
          <w:szCs w:val="22"/>
          <w:lang w:val="en-GB"/>
        </w:rPr>
      </w:pPr>
      <w:r w:rsidRPr="00E4265B">
        <w:rPr>
          <w:rFonts w:ascii="Arial" w:hAnsi="Arial" w:cs="Arial"/>
          <w:sz w:val="22"/>
          <w:szCs w:val="22"/>
          <w:lang w:val="en-GB"/>
        </w:rPr>
        <w:t>This Section presents the method for the calculation of Collective Investment Fund Risk Capital Requirement for the purpose of Rule 5.9.1(b).</w:t>
      </w:r>
    </w:p>
    <w:p w14:paraId="6EC9F50E" w14:textId="79E81DB1" w:rsidR="00E22FF2" w:rsidRPr="00E4265B" w:rsidRDefault="00E22FF2" w:rsidP="00386DD2">
      <w:pPr>
        <w:pStyle w:val="A1List"/>
        <w:rPr>
          <w:rFonts w:ascii="Arial" w:hAnsi="Arial" w:cs="Arial"/>
          <w:sz w:val="22"/>
          <w:szCs w:val="22"/>
          <w:lang w:val="en-GB"/>
        </w:rPr>
      </w:pPr>
      <w:r w:rsidRPr="00E4265B">
        <w:rPr>
          <w:rFonts w:ascii="Arial" w:hAnsi="Arial" w:cs="Arial"/>
          <w:b/>
          <w:bCs/>
          <w:sz w:val="22"/>
          <w:szCs w:val="22"/>
          <w:lang w:val="en-GB"/>
        </w:rPr>
        <w:t>A</w:t>
      </w:r>
      <w:r w:rsidR="0012582A" w:rsidRPr="00E4265B">
        <w:rPr>
          <w:rFonts w:ascii="Arial" w:hAnsi="Arial" w:cs="Arial"/>
          <w:b/>
          <w:bCs/>
          <w:sz w:val="22"/>
          <w:szCs w:val="22"/>
          <w:lang w:val="en-GB"/>
        </w:rPr>
        <w:t>6</w:t>
      </w:r>
      <w:r w:rsidRPr="00E4265B">
        <w:rPr>
          <w:rFonts w:ascii="Arial" w:hAnsi="Arial" w:cs="Arial"/>
          <w:b/>
          <w:bCs/>
          <w:sz w:val="22"/>
          <w:szCs w:val="22"/>
          <w:lang w:val="en-GB"/>
        </w:rPr>
        <w:t>.7.1</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calculates its Collective Investment Fund Risk Capital Requirement in accordance with Rule 5.9.1(b) must apply the Rules in this Section.</w:t>
      </w:r>
    </w:p>
    <w:p w14:paraId="54CB13D8" w14:textId="77777777" w:rsidR="00E22FF2" w:rsidRPr="00E4265B" w:rsidRDefault="0012582A" w:rsidP="00386DD2">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.7.2</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calculate its Collective Investment Fund Risk Capital Requirement by:</w:t>
      </w:r>
    </w:p>
    <w:p w14:paraId="0DC525C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identifying all applicable positions in Funds within the scope of the requirement, including notional positions derived from certain instruments;</w:t>
      </w:r>
    </w:p>
    <w:p w14:paraId="5F46203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identifying the positions in Funds which will be subject to the risk Capital Requirements specified under this Section;</w:t>
      </w:r>
    </w:p>
    <w:p w14:paraId="20500780"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converting on a daily basis net positions in every Fund to the </w:t>
      </w:r>
      <w:r w:rsidR="000D1A90" w:rsidRPr="00E4265B">
        <w:rPr>
          <w:rFonts w:ascii="Arial" w:hAnsi="Arial" w:cs="Arial"/>
          <w:sz w:val="22"/>
          <w:szCs w:val="22"/>
          <w:lang w:val="en-GB"/>
        </w:rPr>
        <w:t>Authorised Person</w:t>
      </w:r>
      <w:r w:rsidRPr="00E4265B">
        <w:rPr>
          <w:rFonts w:ascii="Arial" w:hAnsi="Arial" w:cs="Arial"/>
          <w:sz w:val="22"/>
          <w:szCs w:val="22"/>
          <w:lang w:val="en-GB"/>
        </w:rPr>
        <w:t>'s base currency at the prevailing spot foreign exchange rate;</w:t>
      </w:r>
    </w:p>
    <w:p w14:paraId="393C819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calculating a Collective Investment Fund Risk Capital Requirement for each individual position in a Fund; and</w:t>
      </w:r>
    </w:p>
    <w:p w14:paraId="614400E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(e)</w:t>
      </w:r>
      <w:r w:rsidRPr="00E4265B">
        <w:rPr>
          <w:rFonts w:ascii="Arial" w:hAnsi="Arial" w:cs="Arial"/>
          <w:sz w:val="22"/>
          <w:szCs w:val="22"/>
          <w:lang w:val="en-GB"/>
        </w:rPr>
        <w:tab/>
        <w:t>summing the resultant Capital Requirements calculated in (d).</w:t>
      </w:r>
    </w:p>
    <w:p w14:paraId="08E46F19" w14:textId="77777777" w:rsidR="00E22FF2" w:rsidRPr="00E4265B" w:rsidRDefault="0012582A" w:rsidP="00386DD2">
      <w:pPr>
        <w:pStyle w:val="List2TabStops"/>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.7.3</w:t>
      </w:r>
      <w:r w:rsidR="00E22FF2" w:rsidRPr="00E4265B">
        <w:rPr>
          <w:rFonts w:ascii="Arial" w:hAnsi="Arial" w:cs="Arial"/>
          <w:sz w:val="22"/>
          <w:szCs w:val="22"/>
          <w:lang w:val="en-GB"/>
        </w:rPr>
        <w:tab/>
        <w:t>(1)</w:t>
      </w:r>
      <w:r w:rsidR="00E22FF2" w:rsidRPr="00E4265B">
        <w:rPr>
          <w:rFonts w:ascii="Arial" w:hAnsi="Arial" w:cs="Arial"/>
          <w:sz w:val="22"/>
          <w:szCs w:val="22"/>
          <w:lang w:val="en-GB"/>
        </w:rPr>
        <w:tab/>
        <w:t>For the purposes of Rule A</w:t>
      </w:r>
      <w:r w:rsidRPr="00E4265B">
        <w:rPr>
          <w:rFonts w:ascii="Arial" w:hAnsi="Arial" w:cs="Arial"/>
          <w:sz w:val="22"/>
          <w:szCs w:val="22"/>
          <w:lang w:val="en-GB"/>
        </w:rPr>
        <w:t>6</w:t>
      </w:r>
      <w:r w:rsidR="00E22FF2" w:rsidRPr="00E4265B">
        <w:rPr>
          <w:rFonts w:ascii="Arial" w:hAnsi="Arial" w:cs="Arial"/>
          <w:sz w:val="22"/>
          <w:szCs w:val="22"/>
          <w:lang w:val="en-GB"/>
        </w:rPr>
        <w:t xml:space="preserve">.7.2,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calculate its Collective Investment Fund Risk Capital Requirement for all Trading Book positions in Funds, unless they are covered under one of the Fund look through methods and included in the risk Capital Requirement calculations for the relevant underlying Investments or subject to an Option Risk Capital Requirement.</w:t>
      </w:r>
    </w:p>
    <w:p w14:paraId="3E86D43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also calculate its Collective Investment Fund Risk Capital Requirement for notional positions arising from Trading Book positions in </w:t>
      </w:r>
      <w:r w:rsidR="00BC49E0" w:rsidRPr="00E4265B">
        <w:rPr>
          <w:rFonts w:ascii="Arial" w:hAnsi="Arial" w:cs="Arial"/>
          <w:sz w:val="22"/>
          <w:szCs w:val="22"/>
          <w:lang w:val="en-GB"/>
        </w:rPr>
        <w:t>Option</w:t>
      </w:r>
      <w:r w:rsidR="00040A6A" w:rsidRPr="00E4265B">
        <w:rPr>
          <w:rFonts w:ascii="Arial" w:hAnsi="Arial" w:cs="Arial"/>
          <w:sz w:val="22"/>
          <w:szCs w:val="22"/>
          <w:lang w:val="en-GB"/>
        </w:rPr>
        <w:t>s or W</w:t>
      </w:r>
      <w:r w:rsidRPr="00E4265B">
        <w:rPr>
          <w:rFonts w:ascii="Arial" w:hAnsi="Arial" w:cs="Arial"/>
          <w:sz w:val="22"/>
          <w:szCs w:val="22"/>
          <w:lang w:val="en-GB"/>
        </w:rPr>
        <w:t>arrants on Funds.</w:t>
      </w:r>
    </w:p>
    <w:p w14:paraId="55893746"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Calculation of the Collective Investment Fund Risk Capital Requirement</w:t>
      </w:r>
    </w:p>
    <w:p w14:paraId="0C1A4FBA"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Guidance</w:t>
      </w:r>
    </w:p>
    <w:p w14:paraId="68713722" w14:textId="77777777" w:rsidR="00E22FF2" w:rsidRPr="00E4265B" w:rsidRDefault="00E22FF2" w:rsidP="00386DD2">
      <w:pPr>
        <w:pStyle w:val="UK12Block05"/>
        <w:rPr>
          <w:rFonts w:ascii="Arial" w:hAnsi="Arial" w:cs="Arial"/>
          <w:sz w:val="22"/>
          <w:szCs w:val="22"/>
          <w:lang w:val="en-GB"/>
        </w:rPr>
      </w:pPr>
      <w:r w:rsidRPr="00E4265B">
        <w:rPr>
          <w:rFonts w:ascii="Arial" w:hAnsi="Arial" w:cs="Arial"/>
          <w:sz w:val="22"/>
          <w:szCs w:val="22"/>
          <w:lang w:val="en-GB"/>
        </w:rPr>
        <w:t>There are two main approaches for calculating the Collective Investment Fund Risk Capital Requirement. The first approach involves directly calculating a risk Capital Requirement for any position in any Fund. The second approach involves using a look</w:t>
      </w:r>
      <w:r w:rsidRPr="00E4265B">
        <w:rPr>
          <w:rFonts w:ascii="Arial" w:hAnsi="Arial" w:cs="Arial"/>
          <w:sz w:val="22"/>
          <w:szCs w:val="22"/>
          <w:lang w:val="en-GB"/>
        </w:rPr>
        <w:noBreakHyphen/>
        <w:t xml:space="preserve">though method which involves calculating the risk Capital Requirements for the positions or Exposures in underlying assets or </w:t>
      </w:r>
      <w:r w:rsidR="00834CCE" w:rsidRPr="00E4265B">
        <w:rPr>
          <w:rFonts w:ascii="Arial" w:hAnsi="Arial" w:cs="Arial"/>
          <w:sz w:val="22"/>
          <w:szCs w:val="22"/>
          <w:lang w:val="en-GB"/>
        </w:rPr>
        <w:t>Investment</w:t>
      </w:r>
      <w:r w:rsidRPr="00E4265B">
        <w:rPr>
          <w:rFonts w:ascii="Arial" w:hAnsi="Arial" w:cs="Arial"/>
          <w:sz w:val="22"/>
          <w:szCs w:val="22"/>
          <w:lang w:val="en-GB"/>
        </w:rPr>
        <w:t>s of the Fund, using the relevant or applicable risk Capital Requirement calculation methods. As the name suggests, a look</w:t>
      </w:r>
      <w:r w:rsidRPr="00E4265B">
        <w:rPr>
          <w:rFonts w:ascii="Arial" w:hAnsi="Arial" w:cs="Arial"/>
          <w:sz w:val="22"/>
          <w:szCs w:val="22"/>
          <w:lang w:val="en-GB"/>
        </w:rPr>
        <w:noBreakHyphen/>
        <w:t>through method involves looking through the Fund to identify the underlying positions and trying to calculate the capital required to address the risk of loss arising from volatility in market prices of such underlying positions.</w:t>
      </w:r>
    </w:p>
    <w:p w14:paraId="5A5D05C4"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F02549" w:rsidRPr="00E4265B">
        <w:rPr>
          <w:rFonts w:ascii="Arial" w:hAnsi="Arial" w:cs="Arial"/>
          <w:b/>
          <w:bCs/>
          <w:sz w:val="22"/>
          <w:szCs w:val="22"/>
          <w:lang w:val="en-GB"/>
        </w:rPr>
        <w:t>6</w:t>
      </w:r>
      <w:r w:rsidRPr="00E4265B">
        <w:rPr>
          <w:rFonts w:ascii="Arial" w:hAnsi="Arial" w:cs="Arial"/>
          <w:b/>
          <w:bCs/>
          <w:sz w:val="22"/>
          <w:szCs w:val="22"/>
          <w:lang w:val="en-GB"/>
        </w:rPr>
        <w:t>.7.4</w:t>
      </w:r>
      <w:r w:rsidRPr="00E4265B">
        <w:rPr>
          <w:rFonts w:ascii="Arial" w:eastAsia="Arial" w:hAnsi="Arial" w:cs="Arial"/>
          <w:b/>
          <w:bCs/>
          <w:sz w:val="22"/>
          <w:szCs w:val="22"/>
          <w:lang w:val="en-GB"/>
        </w:rPr>
        <w:tab/>
      </w:r>
      <w:r w:rsidRPr="00E4265B">
        <w:rPr>
          <w:rFonts w:ascii="Arial" w:hAnsi="Arial" w:cs="Arial"/>
          <w:sz w:val="22"/>
          <w:szCs w:val="22"/>
          <w:lang w:val="en-GB"/>
        </w:rPr>
        <w:t>Without prejudice to other provisions in this Section, a position in a Fund is subject to a Collective Investment Fund risk capital charge (General Market Risk and Specific Risk) of 32%, subject to Rules A</w:t>
      </w:r>
      <w:r w:rsidR="00F02549" w:rsidRPr="00E4265B">
        <w:rPr>
          <w:rFonts w:ascii="Arial" w:hAnsi="Arial" w:cs="Arial"/>
          <w:sz w:val="22"/>
          <w:szCs w:val="22"/>
          <w:lang w:val="en-GB"/>
        </w:rPr>
        <w:t>6</w:t>
      </w:r>
      <w:r w:rsidRPr="00E4265B">
        <w:rPr>
          <w:rFonts w:ascii="Arial" w:hAnsi="Arial" w:cs="Arial"/>
          <w:sz w:val="22"/>
          <w:szCs w:val="22"/>
          <w:lang w:val="en-GB"/>
        </w:rPr>
        <w:t>.7.5 and A</w:t>
      </w:r>
      <w:r w:rsidR="00F02549" w:rsidRPr="00E4265B">
        <w:rPr>
          <w:rFonts w:ascii="Arial" w:hAnsi="Arial" w:cs="Arial"/>
          <w:sz w:val="22"/>
          <w:szCs w:val="22"/>
          <w:lang w:val="en-GB"/>
        </w:rPr>
        <w:t>6</w:t>
      </w:r>
      <w:r w:rsidRPr="00E4265B">
        <w:rPr>
          <w:rFonts w:ascii="Arial" w:hAnsi="Arial" w:cs="Arial"/>
          <w:sz w:val="22"/>
          <w:szCs w:val="22"/>
          <w:lang w:val="en-GB"/>
        </w:rPr>
        <w:t>.7.6.</w:t>
      </w:r>
    </w:p>
    <w:p w14:paraId="3DB3180E"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Look through methods</w:t>
      </w:r>
    </w:p>
    <w:p w14:paraId="1AAEA17D"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F02549" w:rsidRPr="00E4265B">
        <w:rPr>
          <w:rFonts w:ascii="Arial" w:hAnsi="Arial" w:cs="Arial"/>
          <w:b/>
          <w:bCs/>
          <w:sz w:val="22"/>
          <w:szCs w:val="22"/>
          <w:lang w:val="en-GB"/>
        </w:rPr>
        <w:t>6</w:t>
      </w:r>
      <w:r w:rsidRPr="00E4265B">
        <w:rPr>
          <w:rFonts w:ascii="Arial" w:hAnsi="Arial" w:cs="Arial"/>
          <w:b/>
          <w:bCs/>
          <w:sz w:val="22"/>
          <w:szCs w:val="22"/>
          <w:lang w:val="en-GB"/>
        </w:rPr>
        <w:t>.7.5</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determine the Collective Investment Fund Risk Capital Requirement for positions in Funds, using the standard Collective Investment Fund look</w:t>
      </w:r>
      <w:r w:rsidRPr="00E4265B">
        <w:rPr>
          <w:rFonts w:ascii="Arial" w:hAnsi="Arial" w:cs="Arial"/>
          <w:sz w:val="22"/>
          <w:szCs w:val="22"/>
          <w:lang w:val="en-GB"/>
        </w:rPr>
        <w:noBreakHyphen/>
        <w:t>through method, provided the relevant positions meet the criteria set out in Rule A</w:t>
      </w:r>
      <w:r w:rsidR="00F02549" w:rsidRPr="00E4265B">
        <w:rPr>
          <w:rFonts w:ascii="Arial" w:hAnsi="Arial" w:cs="Arial"/>
          <w:sz w:val="22"/>
          <w:szCs w:val="22"/>
          <w:lang w:val="en-GB"/>
        </w:rPr>
        <w:t>6</w:t>
      </w:r>
      <w:r w:rsidRPr="00E4265B">
        <w:rPr>
          <w:rFonts w:ascii="Arial" w:hAnsi="Arial" w:cs="Arial"/>
          <w:sz w:val="22"/>
          <w:szCs w:val="22"/>
          <w:lang w:val="en-GB"/>
        </w:rPr>
        <w:t>.7.6.</w:t>
      </w:r>
    </w:p>
    <w:p w14:paraId="3875E811"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F02549" w:rsidRPr="00E4265B">
        <w:rPr>
          <w:rFonts w:ascii="Arial" w:hAnsi="Arial" w:cs="Arial"/>
          <w:b/>
          <w:bCs/>
          <w:sz w:val="22"/>
          <w:szCs w:val="22"/>
          <w:lang w:val="en-GB"/>
        </w:rPr>
        <w:t>6</w:t>
      </w:r>
      <w:r w:rsidRPr="00E4265B">
        <w:rPr>
          <w:rFonts w:ascii="Arial" w:hAnsi="Arial" w:cs="Arial"/>
          <w:b/>
          <w:bCs/>
          <w:sz w:val="22"/>
          <w:szCs w:val="22"/>
          <w:lang w:val="en-GB"/>
        </w:rPr>
        <w:t>.7.6</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use the standard Fund look</w:t>
      </w:r>
      <w:r w:rsidRPr="00E4265B">
        <w:rPr>
          <w:rFonts w:ascii="Arial" w:hAnsi="Arial" w:cs="Arial"/>
          <w:sz w:val="22"/>
          <w:szCs w:val="22"/>
          <w:lang w:val="en-GB"/>
        </w:rPr>
        <w:noBreakHyphen/>
        <w:t>through method, only if the positions are in Funds which meet the following eligibility criteria:</w:t>
      </w:r>
    </w:p>
    <w:p w14:paraId="1E549BB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Fund's prospectus or equivalent document must include:</w:t>
      </w:r>
    </w:p>
    <w:p w14:paraId="2EE740AF"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 categories of assets the Fund is authorised to invest in;</w:t>
      </w:r>
    </w:p>
    <w:p w14:paraId="78A934B1"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if investment limits apply, the relative limits and the methodologies to calculate them;</w:t>
      </w:r>
    </w:p>
    <w:p w14:paraId="0E575035"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if leverage is allowed, the maximum level of leverage; and</w:t>
      </w:r>
    </w:p>
    <w:p w14:paraId="46ACB5EE"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 xml:space="preserve">if investment in OTC financial </w:t>
      </w:r>
      <w:r w:rsidR="005F3B3B" w:rsidRPr="00E4265B">
        <w:rPr>
          <w:rFonts w:ascii="Arial" w:hAnsi="Arial" w:cs="Arial"/>
          <w:sz w:val="22"/>
          <w:szCs w:val="22"/>
          <w:lang w:val="en-GB"/>
        </w:rPr>
        <w:t>Derivative</w:t>
      </w:r>
      <w:r w:rsidRPr="00E4265B">
        <w:rPr>
          <w:rFonts w:ascii="Arial" w:hAnsi="Arial" w:cs="Arial"/>
          <w:sz w:val="22"/>
          <w:szCs w:val="22"/>
          <w:lang w:val="en-GB"/>
        </w:rPr>
        <w:t>s or repo</w:t>
      </w:r>
      <w:r w:rsidRPr="00E4265B">
        <w:rPr>
          <w:rFonts w:ascii="Arial" w:hAnsi="Arial" w:cs="Arial"/>
          <w:sz w:val="22"/>
          <w:szCs w:val="22"/>
          <w:lang w:val="en-GB"/>
        </w:rPr>
        <w:noBreakHyphen/>
        <w:t>style transactions are allowed, a policy to limit Counterparty Risk arising from these transactions;</w:t>
      </w:r>
    </w:p>
    <w:p w14:paraId="6ACC398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(b)</w:t>
      </w:r>
      <w:r w:rsidRPr="00E4265B">
        <w:rPr>
          <w:rFonts w:ascii="Arial" w:hAnsi="Arial" w:cs="Arial"/>
          <w:sz w:val="22"/>
          <w:szCs w:val="22"/>
          <w:lang w:val="en-GB"/>
        </w:rPr>
        <w:tab/>
        <w:t>the Fund must publish half</w:t>
      </w:r>
      <w:r w:rsidRPr="00E4265B">
        <w:rPr>
          <w:rFonts w:ascii="Arial" w:hAnsi="Arial" w:cs="Arial"/>
          <w:sz w:val="22"/>
          <w:szCs w:val="22"/>
          <w:lang w:val="en-GB"/>
        </w:rPr>
        <w:noBreakHyphen/>
        <w:t>yearly accounts and annual reports to enable an assessment to be made of the assets and liabilities, income and operations over the reporting period;</w:t>
      </w:r>
    </w:p>
    <w:p w14:paraId="37C820F3"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Units of the Fund are redeemable in cash, out of the Fund's assets, on a daily basis at the request of the Unitholder;</w:t>
      </w:r>
    </w:p>
    <w:p w14:paraId="13A4DE93"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r>
      <w:r w:rsidR="00834CCE" w:rsidRPr="00E4265B">
        <w:rPr>
          <w:rFonts w:ascii="Arial" w:hAnsi="Arial" w:cs="Arial"/>
          <w:sz w:val="22"/>
          <w:szCs w:val="22"/>
          <w:lang w:val="en-GB"/>
        </w:rPr>
        <w:t>Investment</w:t>
      </w:r>
      <w:r w:rsidRPr="00E4265B">
        <w:rPr>
          <w:rFonts w:ascii="Arial" w:hAnsi="Arial" w:cs="Arial"/>
          <w:sz w:val="22"/>
          <w:szCs w:val="22"/>
          <w:lang w:val="en-GB"/>
        </w:rPr>
        <w:t>s in the Fund must be segregated from the assets of the Fund Manager; and</w:t>
      </w:r>
    </w:p>
    <w:p w14:paraId="36FB6E2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there must be adequate risk assessment, by the investing firm, of the Fund.</w:t>
      </w:r>
    </w:p>
    <w:p w14:paraId="66BD3284"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F02549" w:rsidRPr="00E4265B">
        <w:rPr>
          <w:rFonts w:ascii="Arial" w:hAnsi="Arial" w:cs="Arial"/>
          <w:b/>
          <w:bCs/>
          <w:sz w:val="22"/>
          <w:szCs w:val="22"/>
          <w:lang w:val="en-GB"/>
        </w:rPr>
        <w:t>6</w:t>
      </w:r>
      <w:r w:rsidRPr="00E4265B">
        <w:rPr>
          <w:rFonts w:ascii="Arial" w:hAnsi="Arial" w:cs="Arial"/>
          <w:b/>
          <w:bCs/>
          <w:sz w:val="22"/>
          <w:szCs w:val="22"/>
          <w:lang w:val="en-GB"/>
        </w:rPr>
        <w:t>.7.7</w:t>
      </w:r>
      <w:r w:rsidRPr="00E4265B">
        <w:rPr>
          <w:rFonts w:ascii="Arial" w:eastAsia="Arial" w:hAnsi="Arial" w:cs="Arial"/>
          <w:b/>
          <w:bCs/>
          <w:sz w:val="22"/>
          <w:szCs w:val="22"/>
          <w:lang w:val="en-GB"/>
        </w:rPr>
        <w:tab/>
      </w:r>
      <w:r w:rsidRPr="00E4265B">
        <w:rPr>
          <w:rFonts w:ascii="Arial" w:hAnsi="Arial" w:cs="Arial"/>
          <w:sz w:val="22"/>
          <w:szCs w:val="22"/>
          <w:lang w:val="en-GB"/>
        </w:rPr>
        <w:t>[Reserved]</w:t>
      </w:r>
    </w:p>
    <w:p w14:paraId="0347F12F" w14:textId="77777777" w:rsidR="00E22FF2" w:rsidRPr="00E4265B" w:rsidRDefault="006E284B" w:rsidP="00386DD2">
      <w:pPr>
        <w:pStyle w:val="TitleL5"/>
        <w:rPr>
          <w:rFonts w:ascii="Arial" w:hAnsi="Arial" w:cs="Arial"/>
          <w:sz w:val="22"/>
          <w:szCs w:val="22"/>
          <w:lang w:val="en-GB"/>
        </w:rPr>
      </w:pPr>
      <w:r w:rsidRPr="00E4265B">
        <w:rPr>
          <w:rFonts w:ascii="Arial" w:hAnsi="Arial" w:cs="Arial"/>
          <w:sz w:val="22"/>
          <w:szCs w:val="22"/>
          <w:lang w:val="en-GB"/>
        </w:rPr>
        <w:t>Standard Collective Investment F</w:t>
      </w:r>
      <w:r w:rsidR="00E22FF2" w:rsidRPr="00E4265B">
        <w:rPr>
          <w:rFonts w:ascii="Arial" w:hAnsi="Arial" w:cs="Arial"/>
          <w:sz w:val="22"/>
          <w:szCs w:val="22"/>
          <w:lang w:val="en-GB"/>
        </w:rPr>
        <w:t>und look through method: General</w:t>
      </w:r>
    </w:p>
    <w:p w14:paraId="79FC5BE2"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F02549" w:rsidRPr="00E4265B">
        <w:rPr>
          <w:rFonts w:ascii="Arial" w:hAnsi="Arial" w:cs="Arial"/>
          <w:b/>
          <w:bCs/>
          <w:sz w:val="22"/>
          <w:szCs w:val="22"/>
          <w:lang w:val="en-GB"/>
        </w:rPr>
        <w:t>6</w:t>
      </w:r>
      <w:r w:rsidRPr="00E4265B">
        <w:rPr>
          <w:rFonts w:ascii="Arial" w:hAnsi="Arial" w:cs="Arial"/>
          <w:b/>
          <w:bCs/>
          <w:sz w:val="22"/>
          <w:szCs w:val="22"/>
          <w:lang w:val="en-GB"/>
        </w:rPr>
        <w:t>.7.8</w:t>
      </w:r>
      <w:r w:rsidRPr="00E4265B">
        <w:rPr>
          <w:rFonts w:ascii="Arial" w:eastAsia="Arial" w:hAnsi="Arial" w:cs="Arial"/>
          <w:b/>
          <w:bCs/>
          <w:sz w:val="22"/>
          <w:szCs w:val="22"/>
          <w:lang w:val="en-GB"/>
        </w:rPr>
        <w:tab/>
      </w:r>
      <w:r w:rsidRPr="00E4265B">
        <w:rPr>
          <w:rFonts w:ascii="Arial" w:hAnsi="Arial" w:cs="Arial"/>
          <w:sz w:val="22"/>
          <w:szCs w:val="22"/>
          <w:lang w:val="en-GB"/>
        </w:rPr>
        <w:t xml:space="preserve">In the case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being aware of the underlying assets or </w:t>
      </w:r>
      <w:r w:rsidR="00834CCE" w:rsidRPr="00E4265B">
        <w:rPr>
          <w:rFonts w:ascii="Arial" w:hAnsi="Arial" w:cs="Arial"/>
          <w:sz w:val="22"/>
          <w:szCs w:val="22"/>
          <w:lang w:val="en-GB"/>
        </w:rPr>
        <w:t>Investment</w:t>
      </w:r>
      <w:r w:rsidRPr="00E4265B">
        <w:rPr>
          <w:rFonts w:ascii="Arial" w:hAnsi="Arial" w:cs="Arial"/>
          <w:sz w:val="22"/>
          <w:szCs w:val="22"/>
          <w:lang w:val="en-GB"/>
        </w:rPr>
        <w:t xml:space="preserve">s of the Fund on a daily basis,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look through to those underlying </w:t>
      </w:r>
      <w:r w:rsidR="00834CCE" w:rsidRPr="00E4265B">
        <w:rPr>
          <w:rFonts w:ascii="Arial" w:hAnsi="Arial" w:cs="Arial"/>
          <w:sz w:val="22"/>
          <w:szCs w:val="22"/>
          <w:lang w:val="en-GB"/>
        </w:rPr>
        <w:t>Investment</w:t>
      </w:r>
      <w:r w:rsidRPr="00E4265B">
        <w:rPr>
          <w:rFonts w:ascii="Arial" w:hAnsi="Arial" w:cs="Arial"/>
          <w:sz w:val="22"/>
          <w:szCs w:val="22"/>
          <w:lang w:val="en-GB"/>
        </w:rPr>
        <w:t>s in order to calculate the Market Risk Capital Requirement (General Market Risk and Specific Risk) for those positions in accordance with the methods set out in the relevant Section of Chapter 5 for calculating the relevant Market Risk Capital Requirement.</w:t>
      </w:r>
    </w:p>
    <w:p w14:paraId="615DD5B4" w14:textId="77777777" w:rsidR="00E22FF2" w:rsidRPr="00E4265B" w:rsidRDefault="00F02549" w:rsidP="00386DD2">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.7.9</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 xml:space="preserve">In this method, positions in Funds must be treated as positions in the underlying </w:t>
      </w:r>
      <w:r w:rsidR="00834CCE" w:rsidRPr="00E4265B">
        <w:rPr>
          <w:rFonts w:ascii="Arial" w:hAnsi="Arial" w:cs="Arial"/>
          <w:sz w:val="22"/>
          <w:szCs w:val="22"/>
          <w:lang w:val="en-GB"/>
        </w:rPr>
        <w:t>Investment</w:t>
      </w:r>
      <w:r w:rsidR="00E22FF2" w:rsidRPr="00E4265B">
        <w:rPr>
          <w:rFonts w:ascii="Arial" w:hAnsi="Arial" w:cs="Arial"/>
          <w:sz w:val="22"/>
          <w:szCs w:val="22"/>
          <w:lang w:val="en-GB"/>
        </w:rPr>
        <w:t xml:space="preserve">s of the Fund. Netting is permitted between positions in the underlying </w:t>
      </w:r>
      <w:r w:rsidR="00834CCE" w:rsidRPr="00E4265B">
        <w:rPr>
          <w:rFonts w:ascii="Arial" w:hAnsi="Arial" w:cs="Arial"/>
          <w:sz w:val="22"/>
          <w:szCs w:val="22"/>
          <w:lang w:val="en-GB"/>
        </w:rPr>
        <w:t>Investment</w:t>
      </w:r>
      <w:r w:rsidR="00E22FF2" w:rsidRPr="00E4265B">
        <w:rPr>
          <w:rFonts w:ascii="Arial" w:hAnsi="Arial" w:cs="Arial"/>
          <w:sz w:val="22"/>
          <w:szCs w:val="22"/>
          <w:lang w:val="en-GB"/>
        </w:rPr>
        <w:t xml:space="preserve">s of the Fund and other positions held by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as long as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holds a sufficient quantity of Units to allow for redemption/creation in exchange for the underlying </w:t>
      </w:r>
      <w:r w:rsidR="00834CCE" w:rsidRPr="00E4265B">
        <w:rPr>
          <w:rFonts w:ascii="Arial" w:hAnsi="Arial" w:cs="Arial"/>
          <w:sz w:val="22"/>
          <w:szCs w:val="22"/>
          <w:lang w:val="en-GB"/>
        </w:rPr>
        <w:t>Investment</w:t>
      </w:r>
      <w:r w:rsidR="00E22FF2" w:rsidRPr="00E4265B">
        <w:rPr>
          <w:rFonts w:ascii="Arial" w:hAnsi="Arial" w:cs="Arial"/>
          <w:sz w:val="22"/>
          <w:szCs w:val="22"/>
          <w:lang w:val="en-GB"/>
        </w:rPr>
        <w:t>s.</w:t>
      </w:r>
    </w:p>
    <w:p w14:paraId="67DC3AD2"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Stan</w:t>
      </w:r>
      <w:r w:rsidR="006E284B" w:rsidRPr="00E4265B">
        <w:rPr>
          <w:rFonts w:ascii="Arial" w:hAnsi="Arial" w:cs="Arial"/>
          <w:sz w:val="22"/>
          <w:szCs w:val="22"/>
          <w:lang w:val="en-GB"/>
        </w:rPr>
        <w:t>dard Collective Investment F</w:t>
      </w:r>
      <w:r w:rsidRPr="00E4265B">
        <w:rPr>
          <w:rFonts w:ascii="Arial" w:hAnsi="Arial" w:cs="Arial"/>
          <w:sz w:val="22"/>
          <w:szCs w:val="22"/>
          <w:lang w:val="en-GB"/>
        </w:rPr>
        <w:t>und look through method: Index or Basket Funds</w:t>
      </w:r>
    </w:p>
    <w:p w14:paraId="06C981BB" w14:textId="77777777" w:rsidR="00E22FF2" w:rsidRPr="00E4265B" w:rsidRDefault="00F02549" w:rsidP="00386DD2">
      <w:pPr>
        <w:pStyle w:val="List2TabStops"/>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.7.10</w:t>
      </w:r>
      <w:r w:rsidR="00E22FF2" w:rsidRPr="00E4265B">
        <w:rPr>
          <w:rFonts w:ascii="Arial" w:hAnsi="Arial" w:cs="Arial"/>
          <w:b/>
          <w:bCs/>
          <w:sz w:val="22"/>
          <w:szCs w:val="22"/>
          <w:lang w:val="en-GB"/>
        </w:rPr>
        <w:tab/>
      </w:r>
      <w:r w:rsidR="00E22FF2" w:rsidRPr="00E4265B">
        <w:rPr>
          <w:rFonts w:ascii="Arial" w:hAnsi="Arial" w:cs="Arial"/>
          <w:sz w:val="22"/>
          <w:szCs w:val="22"/>
          <w:lang w:val="en-GB"/>
        </w:rPr>
        <w:t>(1)</w:t>
      </w:r>
      <w:r w:rsidR="00E22FF2"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may calculate the risk Capital Requirements for positions in Funds in accordance with the methods set out in various Sections of Chapter 5 applicable to various underlying assets or </w:t>
      </w:r>
      <w:r w:rsidR="00834CCE" w:rsidRPr="00E4265B">
        <w:rPr>
          <w:rFonts w:ascii="Arial" w:hAnsi="Arial" w:cs="Arial"/>
          <w:sz w:val="22"/>
          <w:szCs w:val="22"/>
          <w:lang w:val="en-GB"/>
        </w:rPr>
        <w:t>Investment</w:t>
      </w:r>
      <w:r w:rsidR="00E22FF2" w:rsidRPr="00E4265B">
        <w:rPr>
          <w:rFonts w:ascii="Arial" w:hAnsi="Arial" w:cs="Arial"/>
          <w:sz w:val="22"/>
          <w:szCs w:val="22"/>
          <w:lang w:val="en-GB"/>
        </w:rPr>
        <w:t xml:space="preserve">s, on assumed positions representing those necessary to replicate the composition and performance of the externally generated index or fixed basket of equities or debt </w:t>
      </w:r>
      <w:r w:rsidR="00877CEA" w:rsidRPr="00E4265B">
        <w:rPr>
          <w:rFonts w:ascii="Arial" w:hAnsi="Arial" w:cs="Arial"/>
          <w:sz w:val="22"/>
          <w:szCs w:val="22"/>
          <w:lang w:val="en-GB"/>
        </w:rPr>
        <w:t>Securities</w:t>
      </w:r>
      <w:r w:rsidR="00E22FF2" w:rsidRPr="00E4265B">
        <w:rPr>
          <w:rFonts w:ascii="Arial" w:hAnsi="Arial" w:cs="Arial"/>
          <w:sz w:val="22"/>
          <w:szCs w:val="22"/>
          <w:lang w:val="en-GB"/>
        </w:rPr>
        <w:t>, subject to the following conditions:</w:t>
      </w:r>
    </w:p>
    <w:p w14:paraId="7B828493"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Fund's mandate is to replicate the composition and performance of an externally generated index or fixed basket of equities or debt </w:t>
      </w:r>
      <w:r w:rsidR="00877CEA" w:rsidRPr="00E4265B">
        <w:rPr>
          <w:rFonts w:ascii="Arial" w:hAnsi="Arial" w:cs="Arial"/>
          <w:sz w:val="22"/>
          <w:szCs w:val="22"/>
          <w:lang w:val="en-GB"/>
        </w:rPr>
        <w:t>Securities</w:t>
      </w:r>
      <w:r w:rsidRPr="00E4265B">
        <w:rPr>
          <w:rFonts w:ascii="Arial" w:hAnsi="Arial" w:cs="Arial"/>
          <w:sz w:val="22"/>
          <w:szCs w:val="22"/>
          <w:lang w:val="en-GB"/>
        </w:rPr>
        <w:t>; and</w:t>
      </w:r>
    </w:p>
    <w:p w14:paraId="5924EA98"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a minimum correlation of 0.9 between daily price movements of the Fund and the index or basket of equities or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it tracks, exists over the previous six month period.</w:t>
      </w:r>
    </w:p>
    <w:p w14:paraId="7848B856"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Correlation as referred to in (1)(b) means the correlation coefficient between daily returns on the Fund and that on the index or basket of equities or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it tracks.</w:t>
      </w:r>
    </w:p>
    <w:p w14:paraId="18D4A365" w14:textId="77777777" w:rsidR="00E22FF2" w:rsidRPr="00E4265B" w:rsidRDefault="00F02549" w:rsidP="00770DE0">
      <w:pPr>
        <w:pStyle w:val="UK12Title2"/>
        <w:rPr>
          <w:rFonts w:ascii="Arial" w:hAnsi="Arial" w:cs="Arial"/>
          <w:sz w:val="22"/>
          <w:szCs w:val="22"/>
        </w:rPr>
      </w:pPr>
      <w:bookmarkStart w:id="995" w:name="_Toc33622503"/>
      <w:r w:rsidRPr="00E4265B">
        <w:rPr>
          <w:rFonts w:ascii="Arial" w:hAnsi="Arial" w:cs="Arial"/>
          <w:sz w:val="22"/>
          <w:szCs w:val="22"/>
        </w:rPr>
        <w:lastRenderedPageBreak/>
        <w:t>A6</w:t>
      </w:r>
      <w:r w:rsidR="00E22FF2" w:rsidRPr="00E4265B">
        <w:rPr>
          <w:rFonts w:ascii="Arial" w:hAnsi="Arial" w:cs="Arial"/>
          <w:sz w:val="22"/>
          <w:szCs w:val="22"/>
        </w:rPr>
        <w:t>.8</w:t>
      </w:r>
      <w:r w:rsidR="00E22FF2" w:rsidRPr="00E4265B">
        <w:rPr>
          <w:rFonts w:ascii="Arial" w:hAnsi="Arial" w:cs="Arial"/>
          <w:sz w:val="22"/>
          <w:szCs w:val="22"/>
        </w:rPr>
        <w:tab/>
      </w:r>
      <w:r w:rsidR="00877CEA" w:rsidRPr="00E4265B">
        <w:rPr>
          <w:rFonts w:ascii="Arial" w:hAnsi="Arial" w:cs="Arial"/>
          <w:sz w:val="22"/>
          <w:szCs w:val="22"/>
        </w:rPr>
        <w:t>Securities</w:t>
      </w:r>
      <w:r w:rsidR="00E22FF2" w:rsidRPr="00E4265B">
        <w:rPr>
          <w:rFonts w:ascii="Arial" w:hAnsi="Arial" w:cs="Arial"/>
          <w:sz w:val="22"/>
          <w:szCs w:val="22"/>
        </w:rPr>
        <w:t xml:space="preserve"> Underwriting Risk Capital Requirement</w:t>
      </w:r>
      <w:bookmarkEnd w:id="995"/>
    </w:p>
    <w:p w14:paraId="308D1FC0"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Guidance</w:t>
      </w:r>
    </w:p>
    <w:p w14:paraId="3107DC39" w14:textId="26FA9A40" w:rsidR="00E22FF2" w:rsidRPr="00E4265B" w:rsidRDefault="00F02549" w:rsidP="0083525E">
      <w:pPr>
        <w:pStyle w:val="UK12Block05"/>
        <w:rPr>
          <w:rFonts w:ascii="Arial" w:hAnsi="Arial" w:cs="Arial"/>
          <w:sz w:val="22"/>
          <w:szCs w:val="22"/>
          <w:lang w:val="en-GB"/>
        </w:rPr>
      </w:pPr>
      <w:r w:rsidRPr="00E4265B">
        <w:rPr>
          <w:rFonts w:ascii="Arial" w:hAnsi="Arial" w:cs="Arial"/>
          <w:sz w:val="22"/>
          <w:szCs w:val="22"/>
          <w:lang w:val="en-GB"/>
        </w:rPr>
        <w:t>Section A6</w:t>
      </w:r>
      <w:r w:rsidR="00E22FF2" w:rsidRPr="00E4265B">
        <w:rPr>
          <w:rFonts w:ascii="Arial" w:hAnsi="Arial" w:cs="Arial"/>
          <w:sz w:val="22"/>
          <w:szCs w:val="22"/>
          <w:lang w:val="en-GB"/>
        </w:rPr>
        <w:t>.8 presents the method for calculating a net Underwriting position or reduced net Underwriting position, which is then included in the calculation of Market Risk Capital Requirements as specified in this Chapter. Section A</w:t>
      </w:r>
      <w:r w:rsidRPr="00E4265B">
        <w:rPr>
          <w:rFonts w:ascii="Arial" w:hAnsi="Arial" w:cs="Arial"/>
          <w:sz w:val="22"/>
          <w:szCs w:val="22"/>
          <w:lang w:val="en-GB"/>
        </w:rPr>
        <w:t>6</w:t>
      </w:r>
      <w:r w:rsidR="0083525E" w:rsidRPr="00E4265B">
        <w:rPr>
          <w:rFonts w:ascii="Arial" w:hAnsi="Arial" w:cs="Arial"/>
          <w:sz w:val="22"/>
          <w:szCs w:val="22"/>
          <w:lang w:val="en-GB"/>
        </w:rPr>
        <w:t>.8 also deals with concentration r</w:t>
      </w:r>
      <w:r w:rsidR="00E22FF2" w:rsidRPr="00E4265B">
        <w:rPr>
          <w:rFonts w:ascii="Arial" w:hAnsi="Arial" w:cs="Arial"/>
          <w:sz w:val="22"/>
          <w:szCs w:val="22"/>
          <w:lang w:val="en-GB"/>
        </w:rPr>
        <w:t>isk</w:t>
      </w:r>
      <w:r w:rsidR="0083525E" w:rsidRPr="00E4265B">
        <w:rPr>
          <w:rFonts w:ascii="Arial" w:hAnsi="Arial" w:cs="Arial"/>
          <w:sz w:val="22"/>
          <w:szCs w:val="22"/>
          <w:lang w:val="en-GB"/>
        </w:rPr>
        <w:t>s</w:t>
      </w:r>
      <w:r w:rsidR="00E22FF2" w:rsidRPr="00E4265B">
        <w:rPr>
          <w:rFonts w:ascii="Arial" w:hAnsi="Arial" w:cs="Arial"/>
          <w:sz w:val="22"/>
          <w:szCs w:val="22"/>
          <w:lang w:val="en-GB"/>
        </w:rPr>
        <w:t>.</w:t>
      </w:r>
    </w:p>
    <w:p w14:paraId="15983786" w14:textId="0B3EB9B0" w:rsidR="00E22FF2" w:rsidRPr="00E4265B" w:rsidRDefault="00F02549" w:rsidP="00386DD2">
      <w:pPr>
        <w:pStyle w:val="List2TabStops"/>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.8.1</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(1)</w:t>
      </w:r>
      <w:r w:rsidR="00E22FF2" w:rsidRPr="00E4265B">
        <w:rPr>
          <w:rFonts w:ascii="Arial" w:hAnsi="Arial" w:cs="Arial"/>
          <w:sz w:val="22"/>
          <w:szCs w:val="22"/>
          <w:lang w:val="en-GB"/>
        </w:rPr>
        <w:tab/>
        <w:t xml:space="preserve">An </w:t>
      </w:r>
      <w:r w:rsidR="00363CED" w:rsidRPr="00E4265B">
        <w:rPr>
          <w:rFonts w:ascii="Arial" w:hAnsi="Arial" w:cs="Arial"/>
          <w:sz w:val="22"/>
          <w:szCs w:val="22"/>
          <w:lang w:val="en-GB"/>
        </w:rPr>
        <w:t>Authorised Person which</w:t>
      </w:r>
      <w:r w:rsidR="00E22FF2" w:rsidRPr="00E4265B">
        <w:rPr>
          <w:rFonts w:ascii="Arial" w:hAnsi="Arial" w:cs="Arial"/>
          <w:sz w:val="22"/>
          <w:szCs w:val="22"/>
          <w:lang w:val="en-GB"/>
        </w:rPr>
        <w:t xml:space="preserve"> calculates its </w:t>
      </w:r>
      <w:r w:rsidR="00877CEA" w:rsidRPr="00E4265B">
        <w:rPr>
          <w:rFonts w:ascii="Arial" w:hAnsi="Arial" w:cs="Arial"/>
          <w:sz w:val="22"/>
          <w:szCs w:val="22"/>
          <w:lang w:val="en-GB"/>
        </w:rPr>
        <w:t>Securities</w:t>
      </w:r>
      <w:r w:rsidR="00E22FF2" w:rsidRPr="00E4265B">
        <w:rPr>
          <w:rFonts w:ascii="Arial" w:hAnsi="Arial" w:cs="Arial"/>
          <w:sz w:val="22"/>
          <w:szCs w:val="22"/>
          <w:lang w:val="en-GB"/>
        </w:rPr>
        <w:t xml:space="preserve"> Underwriting Risk Capital Requirement in accordance with Rule 5.10.7(b) must apply the Rules in this Section.</w:t>
      </w:r>
    </w:p>
    <w:p w14:paraId="0B96C7BB" w14:textId="6DDE08B9"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underwrites or sub</w:t>
      </w:r>
      <w:r w:rsidRPr="00E4265B">
        <w:rPr>
          <w:rFonts w:ascii="Arial" w:hAnsi="Arial" w:cs="Arial"/>
          <w:sz w:val="22"/>
          <w:szCs w:val="22"/>
          <w:lang w:val="en-GB"/>
        </w:rPr>
        <w:noBreakHyphen/>
        <w:t xml:space="preserve">underwrites an issue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must, for the purposes of calculating its Market Risk Capital Requirement:</w:t>
      </w:r>
    </w:p>
    <w:p w14:paraId="3278FF51"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identify commitments to underwrite or sub</w:t>
      </w:r>
      <w:r w:rsidRPr="00E4265B">
        <w:rPr>
          <w:rFonts w:ascii="Arial" w:hAnsi="Arial" w:cs="Arial"/>
          <w:sz w:val="22"/>
          <w:szCs w:val="22"/>
          <w:lang w:val="en-GB"/>
        </w:rPr>
        <w:noBreakHyphen/>
        <w:t xml:space="preserve">underwrite which give rise to an </w:t>
      </w:r>
      <w:r w:rsidR="00C033FC" w:rsidRPr="00E4265B">
        <w:rPr>
          <w:rFonts w:ascii="Arial" w:hAnsi="Arial" w:cs="Arial"/>
          <w:sz w:val="22"/>
          <w:szCs w:val="22"/>
          <w:lang w:val="en-GB"/>
        </w:rPr>
        <w:t>Underwriting</w:t>
      </w:r>
      <w:r w:rsidRPr="00E4265B">
        <w:rPr>
          <w:rFonts w:ascii="Arial" w:hAnsi="Arial" w:cs="Arial"/>
          <w:sz w:val="22"/>
          <w:szCs w:val="22"/>
          <w:lang w:val="en-GB"/>
        </w:rPr>
        <w:t xml:space="preserve"> position;</w:t>
      </w:r>
    </w:p>
    <w:p w14:paraId="66E78A9C"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identify the time of initial commitment; and</w:t>
      </w:r>
    </w:p>
    <w:p w14:paraId="5BBD67C0"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calculate the net Underwriting position, reduced net Underwriting position or the net Underwriting Exposure.</w:t>
      </w:r>
    </w:p>
    <w:p w14:paraId="0C420BDE" w14:textId="77777777" w:rsidR="00E22FF2" w:rsidRPr="00E4265B" w:rsidRDefault="00F02549" w:rsidP="00386DD2">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.8.2</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include the net Underwriting position or reduced net Underwriting position where:</w:t>
      </w:r>
    </w:p>
    <w:p w14:paraId="5CCDF25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are being underwritten; </w:t>
      </w:r>
    </w:p>
    <w:p w14:paraId="63D6609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equities are being underwritten; or</w:t>
      </w:r>
    </w:p>
    <w:p w14:paraId="3243BBF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Warrants are being underwritten.</w:t>
      </w:r>
    </w:p>
    <w:p w14:paraId="6B90023F"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Guidance</w:t>
      </w:r>
    </w:p>
    <w:p w14:paraId="0EB31836" w14:textId="7AAA24FE" w:rsidR="00E22FF2" w:rsidRPr="00E4265B" w:rsidRDefault="00E22FF2" w:rsidP="00B44E90">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 xml:space="preserve"> is a commitment given by one firm to someone other than the Issuer or seller of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to sub</w:t>
      </w:r>
      <w:r w:rsidRPr="00E4265B">
        <w:rPr>
          <w:rFonts w:ascii="Arial" w:hAnsi="Arial" w:cs="Arial"/>
          <w:sz w:val="22"/>
          <w:szCs w:val="22"/>
          <w:lang w:val="en-GB"/>
        </w:rPr>
        <w:noBreakHyphen/>
        <w:t xml:space="preserve">underwrite all or part of an issue of </w:t>
      </w:r>
      <w:r w:rsidR="00877CEA" w:rsidRPr="00E4265B">
        <w:rPr>
          <w:rFonts w:ascii="Arial" w:hAnsi="Arial" w:cs="Arial"/>
          <w:sz w:val="22"/>
          <w:szCs w:val="22"/>
          <w:lang w:val="en-GB"/>
        </w:rPr>
        <w:t>Securities</w:t>
      </w:r>
      <w:r w:rsidRPr="00E4265B">
        <w:rPr>
          <w:rFonts w:ascii="Arial" w:hAnsi="Arial" w:cs="Arial"/>
          <w:sz w:val="22"/>
          <w:szCs w:val="22"/>
          <w:lang w:val="en-GB"/>
        </w:rPr>
        <w:t>. The net Underwriting position calculated in Rule A</w:t>
      </w:r>
      <w:r w:rsidR="00B44E90" w:rsidRPr="00E4265B">
        <w:rPr>
          <w:rFonts w:ascii="Arial" w:hAnsi="Arial" w:cs="Arial"/>
          <w:sz w:val="22"/>
          <w:szCs w:val="22"/>
          <w:lang w:val="en-GB"/>
        </w:rPr>
        <w:t>6</w:t>
      </w:r>
      <w:r w:rsidRPr="00E4265B">
        <w:rPr>
          <w:rFonts w:ascii="Arial" w:hAnsi="Arial" w:cs="Arial"/>
          <w:sz w:val="22"/>
          <w:szCs w:val="22"/>
          <w:lang w:val="en-GB"/>
        </w:rPr>
        <w:t>.8.6 will also be used in calculating the net Unde</w:t>
      </w:r>
      <w:r w:rsidR="00F02549" w:rsidRPr="00E4265B">
        <w:rPr>
          <w:rFonts w:ascii="Arial" w:hAnsi="Arial" w:cs="Arial"/>
          <w:sz w:val="22"/>
          <w:szCs w:val="22"/>
          <w:lang w:val="en-GB"/>
        </w:rPr>
        <w:t>rwriting Exposure under Rules A6.8.11 to A6</w:t>
      </w:r>
      <w:r w:rsidRPr="00E4265B">
        <w:rPr>
          <w:rFonts w:ascii="Arial" w:hAnsi="Arial" w:cs="Arial"/>
          <w:sz w:val="22"/>
          <w:szCs w:val="22"/>
          <w:lang w:val="en-GB"/>
        </w:rPr>
        <w:t>.8.14.</w:t>
      </w:r>
    </w:p>
    <w:p w14:paraId="07B483B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net Underwriting position or reduced net Underwriting position arising from Underwriting or 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 xml:space="preserve"> a rights or Warrants issue should be calculated using the current market price of the underlying </w:t>
      </w:r>
      <w:r w:rsidR="00877CEA" w:rsidRPr="00E4265B">
        <w:rPr>
          <w:rFonts w:ascii="Arial" w:hAnsi="Arial" w:cs="Arial"/>
          <w:sz w:val="22"/>
          <w:szCs w:val="22"/>
          <w:lang w:val="en-GB"/>
        </w:rPr>
        <w:t>Security</w:t>
      </w:r>
      <w:r w:rsidRPr="00E4265B">
        <w:rPr>
          <w:rFonts w:ascii="Arial" w:hAnsi="Arial" w:cs="Arial"/>
          <w:sz w:val="22"/>
          <w:szCs w:val="22"/>
          <w:lang w:val="en-GB"/>
        </w:rPr>
        <w:t xml:space="preserve"> for the purposes of the Equity Risk Capital Requirement or Option Risk Capital Requirement. However, the risk Capital Requirements will be limited to the value of the net Underwriting position calculated using the initial issue price of the rights or Warrants. Where there is no market price because the rights or Warrants are in relation to a new class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and the initial price has not been set the net Underwriting position or reduced net Underwriting is the amount of the commitment.</w:t>
      </w:r>
    </w:p>
    <w:p w14:paraId="332D005B"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lastRenderedPageBreak/>
        <w:t xml:space="preserve">Commitment to underwrite </w:t>
      </w:r>
      <w:r w:rsidR="00877CEA" w:rsidRPr="00E4265B">
        <w:rPr>
          <w:rFonts w:ascii="Arial" w:hAnsi="Arial" w:cs="Arial"/>
          <w:sz w:val="22"/>
          <w:szCs w:val="22"/>
          <w:lang w:val="en-GB"/>
        </w:rPr>
        <w:t>Securities</w:t>
      </w:r>
    </w:p>
    <w:p w14:paraId="607381D7" w14:textId="77777777" w:rsidR="00E22FF2" w:rsidRPr="00E4265B" w:rsidRDefault="00E22FF2" w:rsidP="00386DD2">
      <w:pPr>
        <w:pStyle w:val="List2TabStops"/>
        <w:rPr>
          <w:rFonts w:ascii="Arial" w:hAnsi="Arial" w:cs="Arial"/>
          <w:sz w:val="22"/>
          <w:szCs w:val="22"/>
          <w:lang w:val="en-GB"/>
        </w:rPr>
      </w:pPr>
      <w:r w:rsidRPr="00E4265B">
        <w:rPr>
          <w:rFonts w:ascii="Arial" w:hAnsi="Arial" w:cs="Arial"/>
          <w:b/>
          <w:bCs/>
          <w:sz w:val="22"/>
          <w:szCs w:val="22"/>
          <w:lang w:val="en-GB"/>
        </w:rPr>
        <w:t>A</w:t>
      </w:r>
      <w:r w:rsidR="00F02549" w:rsidRPr="00E4265B">
        <w:rPr>
          <w:rFonts w:ascii="Arial" w:hAnsi="Arial" w:cs="Arial"/>
          <w:b/>
          <w:bCs/>
          <w:sz w:val="22"/>
          <w:szCs w:val="22"/>
          <w:lang w:val="en-GB"/>
        </w:rPr>
        <w:t>6</w:t>
      </w:r>
      <w:r w:rsidRPr="00E4265B">
        <w:rPr>
          <w:rFonts w:ascii="Arial" w:hAnsi="Arial" w:cs="Arial"/>
          <w:b/>
          <w:bCs/>
          <w:sz w:val="22"/>
          <w:szCs w:val="22"/>
          <w:lang w:val="en-GB"/>
        </w:rPr>
        <w:t>.8.3</w:t>
      </w:r>
      <w:r w:rsidRPr="00E4265B">
        <w:rPr>
          <w:rFonts w:ascii="Arial" w:eastAsia="Arial" w:hAnsi="Arial" w:cs="Arial"/>
          <w:b/>
          <w:bCs/>
          <w:sz w:val="22"/>
          <w:szCs w:val="22"/>
          <w:lang w:val="en-GB"/>
        </w:rPr>
        <w:tab/>
      </w:r>
      <w:r w:rsidR="00F02549" w:rsidRPr="00E4265B">
        <w:rPr>
          <w:rFonts w:ascii="Arial" w:hAnsi="Arial" w:cs="Arial"/>
          <w:sz w:val="22"/>
          <w:szCs w:val="22"/>
          <w:lang w:val="en-GB"/>
        </w:rPr>
        <w:t>(1)</w:t>
      </w:r>
      <w:r w:rsidR="00F02549" w:rsidRPr="00E4265B">
        <w:rPr>
          <w:rFonts w:ascii="Arial" w:hAnsi="Arial" w:cs="Arial"/>
          <w:sz w:val="22"/>
          <w:szCs w:val="22"/>
          <w:lang w:val="en-GB"/>
        </w:rPr>
        <w:tab/>
        <w:t>For the purpose of Rule A6</w:t>
      </w:r>
      <w:r w:rsidRPr="00E4265B">
        <w:rPr>
          <w:rFonts w:ascii="Arial" w:hAnsi="Arial" w:cs="Arial"/>
          <w:sz w:val="22"/>
          <w:szCs w:val="22"/>
          <w:lang w:val="en-GB"/>
        </w:rPr>
        <w:t xml:space="preserve">.8.1,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underwrites or sub</w:t>
      </w:r>
      <w:r w:rsidRPr="00E4265B">
        <w:rPr>
          <w:rFonts w:ascii="Arial" w:hAnsi="Arial" w:cs="Arial"/>
          <w:sz w:val="22"/>
          <w:szCs w:val="22"/>
          <w:lang w:val="en-GB"/>
        </w:rPr>
        <w:noBreakHyphen/>
        <w:t xml:space="preserve">underwrites an issue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where:</w:t>
      </w:r>
    </w:p>
    <w:p w14:paraId="4A490CB1" w14:textId="44163E02" w:rsidR="00E22FF2" w:rsidRPr="00E4265B" w:rsidRDefault="00F02549" w:rsidP="007D16A4">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r>
      <w:r w:rsidR="007D16A4" w:rsidRPr="00E4265B">
        <w:rPr>
          <w:rFonts w:ascii="Arial" w:hAnsi="Arial" w:cs="Arial"/>
          <w:sz w:val="22"/>
          <w:szCs w:val="22"/>
          <w:lang w:val="en-GB"/>
        </w:rPr>
        <w:t>it</w:t>
      </w:r>
      <w:r w:rsidR="00E22FF2" w:rsidRPr="00E4265B">
        <w:rPr>
          <w:rFonts w:ascii="Arial" w:hAnsi="Arial" w:cs="Arial"/>
          <w:sz w:val="22"/>
          <w:szCs w:val="22"/>
          <w:lang w:val="en-GB"/>
        </w:rPr>
        <w:t xml:space="preserve"> gives a commitment to an Issuer of </w:t>
      </w:r>
      <w:r w:rsidR="00877CEA" w:rsidRPr="00E4265B">
        <w:rPr>
          <w:rFonts w:ascii="Arial" w:hAnsi="Arial" w:cs="Arial"/>
          <w:sz w:val="22"/>
          <w:szCs w:val="22"/>
          <w:lang w:val="en-GB"/>
        </w:rPr>
        <w:t>Securities</w:t>
      </w:r>
      <w:r w:rsidR="00E22FF2" w:rsidRPr="00E4265B">
        <w:rPr>
          <w:rFonts w:ascii="Arial" w:hAnsi="Arial" w:cs="Arial"/>
          <w:sz w:val="22"/>
          <w:szCs w:val="22"/>
          <w:lang w:val="en-GB"/>
        </w:rPr>
        <w:t xml:space="preserve"> to underwrite an issue of </w:t>
      </w:r>
      <w:r w:rsidR="00877CEA" w:rsidRPr="00E4265B">
        <w:rPr>
          <w:rFonts w:ascii="Arial" w:hAnsi="Arial" w:cs="Arial"/>
          <w:sz w:val="22"/>
          <w:szCs w:val="22"/>
          <w:lang w:val="en-GB"/>
        </w:rPr>
        <w:t>Securities</w:t>
      </w:r>
      <w:r w:rsidR="00E22FF2" w:rsidRPr="00E4265B">
        <w:rPr>
          <w:rFonts w:ascii="Arial" w:hAnsi="Arial" w:cs="Arial"/>
          <w:sz w:val="22"/>
          <w:szCs w:val="22"/>
          <w:lang w:val="en-GB"/>
        </w:rPr>
        <w:t>;</w:t>
      </w:r>
    </w:p>
    <w:p w14:paraId="6F78B83E"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in the case of new </w:t>
      </w:r>
      <w:r w:rsidR="00877CEA" w:rsidRPr="00E4265B">
        <w:rPr>
          <w:rFonts w:ascii="Arial" w:hAnsi="Arial" w:cs="Arial"/>
          <w:sz w:val="22"/>
          <w:szCs w:val="22"/>
          <w:lang w:val="en-GB"/>
        </w:rPr>
        <w:t>Securities</w:t>
      </w:r>
      <w:r w:rsidR="00F02549" w:rsidRPr="00E4265B">
        <w:rPr>
          <w:rFonts w:ascii="Arial" w:hAnsi="Arial" w:cs="Arial"/>
          <w:sz w:val="22"/>
          <w:szCs w:val="22"/>
          <w:lang w:val="en-GB"/>
        </w:rPr>
        <w:t xml:space="preserve"> (as defined in Rule A6</w:t>
      </w:r>
      <w:r w:rsidRPr="00E4265B">
        <w:rPr>
          <w:rFonts w:ascii="Arial" w:hAnsi="Arial" w:cs="Arial"/>
          <w:sz w:val="22"/>
          <w:szCs w:val="22"/>
          <w:lang w:val="en-GB"/>
        </w:rPr>
        <w:t xml:space="preserve">.8.4) it gives a commitment to a seller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to underwrite a sale of those </w:t>
      </w:r>
      <w:r w:rsidR="00877CEA" w:rsidRPr="00E4265B">
        <w:rPr>
          <w:rFonts w:ascii="Arial" w:hAnsi="Arial" w:cs="Arial"/>
          <w:sz w:val="22"/>
          <w:szCs w:val="22"/>
          <w:lang w:val="en-GB"/>
        </w:rPr>
        <w:t>Securities</w:t>
      </w:r>
      <w:r w:rsidRPr="00E4265B">
        <w:rPr>
          <w:rFonts w:ascii="Arial" w:hAnsi="Arial" w:cs="Arial"/>
          <w:sz w:val="22"/>
          <w:szCs w:val="22"/>
          <w:lang w:val="en-GB"/>
        </w:rPr>
        <w:t>;</w:t>
      </w:r>
    </w:p>
    <w:p w14:paraId="0541097B" w14:textId="65CEA4D7" w:rsidR="00E22FF2" w:rsidRPr="00E4265B" w:rsidRDefault="00AD7A6A" w:rsidP="00386DD2">
      <w:pPr>
        <w:pStyle w:val="aList"/>
        <w:rPr>
          <w:rFonts w:ascii="Arial" w:hAnsi="Arial" w:cs="Arial"/>
          <w:sz w:val="22"/>
          <w:szCs w:val="22"/>
          <w:lang w:val="en-GB"/>
        </w:rPr>
      </w:pPr>
      <w:r w:rsidRPr="00E4265B">
        <w:rPr>
          <w:rFonts w:ascii="Arial" w:hAnsi="Arial" w:cs="Arial"/>
          <w:sz w:val="22"/>
          <w:szCs w:val="22"/>
          <w:lang w:val="en-GB"/>
        </w:rPr>
        <w:t>(c)</w:t>
      </w:r>
      <w:r w:rsidR="007D16A4" w:rsidRPr="00E4265B">
        <w:rPr>
          <w:rFonts w:ascii="Arial" w:hAnsi="Arial" w:cs="Arial"/>
          <w:sz w:val="22"/>
          <w:szCs w:val="22"/>
          <w:lang w:val="en-GB"/>
        </w:rPr>
        <w:tab/>
        <w:t>it</w:t>
      </w:r>
      <w:r w:rsidR="00E22FF2" w:rsidRPr="00E4265B">
        <w:rPr>
          <w:rFonts w:ascii="Arial" w:hAnsi="Arial" w:cs="Arial"/>
          <w:sz w:val="22"/>
          <w:szCs w:val="22"/>
          <w:lang w:val="en-GB"/>
        </w:rPr>
        <w:t xml:space="preserve"> gives a commitment to a </w:t>
      </w:r>
      <w:r w:rsidR="00FB0EF8" w:rsidRPr="00E4265B">
        <w:rPr>
          <w:rFonts w:ascii="Arial" w:hAnsi="Arial" w:cs="Arial"/>
          <w:sz w:val="22"/>
          <w:szCs w:val="22"/>
          <w:lang w:val="en-GB"/>
        </w:rPr>
        <w:t>Person</w:t>
      </w:r>
      <w:r w:rsidR="00E22FF2" w:rsidRPr="00E4265B">
        <w:rPr>
          <w:rFonts w:ascii="Arial" w:hAnsi="Arial" w:cs="Arial"/>
          <w:sz w:val="22"/>
          <w:szCs w:val="22"/>
          <w:lang w:val="en-GB"/>
        </w:rPr>
        <w:t xml:space="preserve">, other than the Issuer of </w:t>
      </w:r>
      <w:r w:rsidR="00877CEA" w:rsidRPr="00E4265B">
        <w:rPr>
          <w:rFonts w:ascii="Arial" w:hAnsi="Arial" w:cs="Arial"/>
          <w:sz w:val="22"/>
          <w:szCs w:val="22"/>
          <w:lang w:val="en-GB"/>
        </w:rPr>
        <w:t>Securities</w:t>
      </w:r>
      <w:r w:rsidR="00E22FF2" w:rsidRPr="00E4265B">
        <w:rPr>
          <w:rFonts w:ascii="Arial" w:hAnsi="Arial" w:cs="Arial"/>
          <w:sz w:val="22"/>
          <w:szCs w:val="22"/>
          <w:lang w:val="en-GB"/>
        </w:rPr>
        <w:t xml:space="preserve"> or, if (b) applies, the seller of the </w:t>
      </w:r>
      <w:r w:rsidR="00877CEA" w:rsidRPr="00E4265B">
        <w:rPr>
          <w:rFonts w:ascii="Arial" w:hAnsi="Arial" w:cs="Arial"/>
          <w:sz w:val="22"/>
          <w:szCs w:val="22"/>
          <w:lang w:val="en-GB"/>
        </w:rPr>
        <w:t>Securities</w:t>
      </w:r>
      <w:r w:rsidR="00E22FF2" w:rsidRPr="00E4265B">
        <w:rPr>
          <w:rFonts w:ascii="Arial" w:hAnsi="Arial" w:cs="Arial"/>
          <w:sz w:val="22"/>
          <w:szCs w:val="22"/>
          <w:lang w:val="en-GB"/>
        </w:rPr>
        <w:t>, to sub</w:t>
      </w:r>
      <w:r w:rsidR="00E22FF2" w:rsidRPr="00E4265B">
        <w:rPr>
          <w:rFonts w:ascii="Arial" w:hAnsi="Arial" w:cs="Arial"/>
          <w:sz w:val="22"/>
          <w:szCs w:val="22"/>
          <w:lang w:val="en-GB"/>
        </w:rPr>
        <w:noBreakHyphen/>
        <w:t xml:space="preserve">underwrite an issue of </w:t>
      </w:r>
      <w:r w:rsidR="00877CEA" w:rsidRPr="00E4265B">
        <w:rPr>
          <w:rFonts w:ascii="Arial" w:hAnsi="Arial" w:cs="Arial"/>
          <w:sz w:val="22"/>
          <w:szCs w:val="22"/>
          <w:lang w:val="en-GB"/>
        </w:rPr>
        <w:t>Securities</w:t>
      </w:r>
      <w:r w:rsidR="00E22FF2" w:rsidRPr="00E4265B">
        <w:rPr>
          <w:rFonts w:ascii="Arial" w:hAnsi="Arial" w:cs="Arial"/>
          <w:sz w:val="22"/>
          <w:szCs w:val="22"/>
          <w:lang w:val="en-GB"/>
        </w:rPr>
        <w:t>; or</w:t>
      </w:r>
    </w:p>
    <w:p w14:paraId="2B1556FA" w14:textId="075D3016" w:rsidR="00E22FF2" w:rsidRPr="00E4265B" w:rsidRDefault="00AD7A6A" w:rsidP="00386DD2">
      <w:pPr>
        <w:pStyle w:val="aList"/>
        <w:rPr>
          <w:rFonts w:ascii="Arial" w:hAnsi="Arial" w:cs="Arial"/>
          <w:sz w:val="22"/>
          <w:szCs w:val="22"/>
          <w:lang w:val="en-GB"/>
        </w:rPr>
      </w:pPr>
      <w:r w:rsidRPr="00E4265B">
        <w:rPr>
          <w:rFonts w:ascii="Arial" w:hAnsi="Arial" w:cs="Arial"/>
          <w:sz w:val="22"/>
          <w:szCs w:val="22"/>
          <w:lang w:val="en-GB"/>
        </w:rPr>
        <w:t>(d)</w:t>
      </w:r>
      <w:r w:rsidR="007D16A4" w:rsidRPr="00E4265B">
        <w:rPr>
          <w:rFonts w:ascii="Arial" w:hAnsi="Arial" w:cs="Arial"/>
          <w:sz w:val="22"/>
          <w:szCs w:val="22"/>
          <w:lang w:val="en-GB"/>
        </w:rPr>
        <w:tab/>
        <w:t>it</w:t>
      </w:r>
      <w:r w:rsidR="00E22FF2" w:rsidRPr="00E4265B">
        <w:rPr>
          <w:rFonts w:ascii="Arial" w:hAnsi="Arial" w:cs="Arial"/>
          <w:sz w:val="22"/>
          <w:szCs w:val="22"/>
          <w:lang w:val="en-GB"/>
        </w:rPr>
        <w:t xml:space="preserve"> is a member of a syndicate or Group that gives a commitment of the type described in (a) to (c).</w:t>
      </w:r>
    </w:p>
    <w:p w14:paraId="6CB67D80"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Unless a Rule deals with an issue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separately or the context otherwise req</w:t>
      </w:r>
      <w:r w:rsidR="00AD7A6A" w:rsidRPr="00E4265B">
        <w:rPr>
          <w:rFonts w:ascii="Arial" w:hAnsi="Arial" w:cs="Arial"/>
          <w:sz w:val="22"/>
          <w:szCs w:val="22"/>
          <w:lang w:val="en-GB"/>
        </w:rPr>
        <w:t>uires, a provision of Section A6</w:t>
      </w:r>
      <w:r w:rsidRPr="00E4265B">
        <w:rPr>
          <w:rFonts w:ascii="Arial" w:hAnsi="Arial" w:cs="Arial"/>
          <w:sz w:val="22"/>
          <w:szCs w:val="22"/>
          <w:lang w:val="en-GB"/>
        </w:rPr>
        <w:t>.8 that deals with Underwriting also applies to 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w:t>
      </w:r>
    </w:p>
    <w:p w14:paraId="2FF978AF"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Guidance</w:t>
      </w:r>
    </w:p>
    <w:p w14:paraId="10979BAE" w14:textId="77777777" w:rsidR="00E22FF2" w:rsidRPr="00E4265B" w:rsidRDefault="00E22FF2" w:rsidP="00386DD2">
      <w:pPr>
        <w:pStyle w:val="UK12Block05"/>
        <w:rPr>
          <w:rFonts w:ascii="Arial" w:hAnsi="Arial" w:cs="Arial"/>
          <w:sz w:val="22"/>
          <w:szCs w:val="22"/>
          <w:lang w:val="en-GB"/>
        </w:rPr>
      </w:pPr>
      <w:r w:rsidRPr="00E4265B">
        <w:rPr>
          <w:rFonts w:ascii="Arial" w:hAnsi="Arial" w:cs="Arial"/>
          <w:sz w:val="22"/>
          <w:szCs w:val="22"/>
          <w:lang w:val="en-GB"/>
        </w:rPr>
        <w:t xml:space="preserve">Block trades, including bought deals, and private placements are not within the scope of this Chapter because they involve an outright purchase by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of the relevant </w:t>
      </w:r>
      <w:r w:rsidR="00877CEA" w:rsidRPr="00E4265B">
        <w:rPr>
          <w:rFonts w:ascii="Arial" w:hAnsi="Arial" w:cs="Arial"/>
          <w:sz w:val="22"/>
          <w:szCs w:val="22"/>
          <w:lang w:val="en-GB"/>
        </w:rPr>
        <w:t>Securities</w:t>
      </w:r>
      <w:r w:rsidRPr="00E4265B">
        <w:rPr>
          <w:rFonts w:ascii="Arial" w:hAnsi="Arial" w:cs="Arial"/>
          <w:sz w:val="22"/>
          <w:szCs w:val="22"/>
          <w:lang w:val="en-GB"/>
        </w:rPr>
        <w:t>.</w:t>
      </w:r>
    </w:p>
    <w:p w14:paraId="233C2E57" w14:textId="77777777" w:rsidR="00E22FF2" w:rsidRPr="00E4265B" w:rsidRDefault="006A0477"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.8.4</w:t>
      </w:r>
      <w:r w:rsidR="00E22FF2" w:rsidRPr="00E4265B">
        <w:rPr>
          <w:rFonts w:ascii="Arial" w:eastAsia="Arial" w:hAnsi="Arial" w:cs="Arial"/>
          <w:b/>
          <w:bCs/>
          <w:sz w:val="22"/>
          <w:szCs w:val="22"/>
          <w:lang w:val="en-GB"/>
        </w:rPr>
        <w:tab/>
      </w:r>
      <w:r w:rsidRPr="00E4265B">
        <w:rPr>
          <w:rFonts w:ascii="Arial" w:hAnsi="Arial" w:cs="Arial"/>
          <w:sz w:val="22"/>
          <w:szCs w:val="22"/>
          <w:lang w:val="en-GB"/>
        </w:rPr>
        <w:t>For the purposes of Rule A6</w:t>
      </w:r>
      <w:r w:rsidR="00E22FF2" w:rsidRPr="00E4265B">
        <w:rPr>
          <w:rFonts w:ascii="Arial" w:hAnsi="Arial" w:cs="Arial"/>
          <w:sz w:val="22"/>
          <w:szCs w:val="22"/>
          <w:lang w:val="en-GB"/>
        </w:rPr>
        <w:t xml:space="preserve">.8.3(b),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treat </w:t>
      </w:r>
      <w:r w:rsidR="00877CEA" w:rsidRPr="00E4265B">
        <w:rPr>
          <w:rFonts w:ascii="Arial" w:hAnsi="Arial" w:cs="Arial"/>
          <w:sz w:val="22"/>
          <w:szCs w:val="22"/>
          <w:lang w:val="en-GB"/>
        </w:rPr>
        <w:t>Securities</w:t>
      </w:r>
      <w:r w:rsidR="00E22FF2" w:rsidRPr="00E4265B">
        <w:rPr>
          <w:rFonts w:ascii="Arial" w:hAnsi="Arial" w:cs="Arial"/>
          <w:sz w:val="22"/>
          <w:szCs w:val="22"/>
          <w:lang w:val="en-GB"/>
        </w:rPr>
        <w:t xml:space="preserve"> as being new if they are:</w:t>
      </w:r>
    </w:p>
    <w:p w14:paraId="56CA880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r>
      <w:r w:rsidR="00877CEA" w:rsidRPr="00E4265B">
        <w:rPr>
          <w:rFonts w:ascii="Arial" w:hAnsi="Arial" w:cs="Arial"/>
          <w:sz w:val="22"/>
          <w:szCs w:val="22"/>
          <w:lang w:val="en-GB"/>
        </w:rPr>
        <w:t>Securities</w:t>
      </w:r>
      <w:r w:rsidRPr="00E4265B">
        <w:rPr>
          <w:rFonts w:ascii="Arial" w:hAnsi="Arial" w:cs="Arial"/>
          <w:sz w:val="22"/>
          <w:szCs w:val="22"/>
          <w:lang w:val="en-GB"/>
        </w:rPr>
        <w:t xml:space="preserve"> that, prior to the allotment following the Underwriting, were not in issue; or</w:t>
      </w:r>
    </w:p>
    <w:p w14:paraId="32D29A17" w14:textId="77777777" w:rsidR="00E22FF2" w:rsidRPr="00E4265B" w:rsidRDefault="00E22FF2" w:rsidP="00014630">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r>
      <w:r w:rsidR="00877CEA" w:rsidRPr="00E4265B">
        <w:rPr>
          <w:rFonts w:ascii="Arial" w:hAnsi="Arial" w:cs="Arial"/>
          <w:sz w:val="22"/>
          <w:szCs w:val="22"/>
          <w:lang w:val="en-GB"/>
        </w:rPr>
        <w:t>Securities</w:t>
      </w:r>
      <w:r w:rsidRPr="00E4265B">
        <w:rPr>
          <w:rFonts w:ascii="Arial" w:hAnsi="Arial" w:cs="Arial"/>
          <w:sz w:val="22"/>
          <w:szCs w:val="22"/>
          <w:lang w:val="en-GB"/>
        </w:rPr>
        <w:t xml:space="preserve"> that have not previously been offered for sale or subscription to the public and have not been admitted to trading on a market operated by </w:t>
      </w:r>
      <w:r w:rsidR="00014630" w:rsidRPr="00E4265B">
        <w:rPr>
          <w:rFonts w:ascii="Arial" w:hAnsi="Arial" w:cs="Arial"/>
          <w:sz w:val="22"/>
          <w:szCs w:val="22"/>
          <w:lang w:val="en-GB"/>
        </w:rPr>
        <w:t xml:space="preserve">a Recognised Body </w:t>
      </w:r>
      <w:r w:rsidRPr="00E4265B">
        <w:rPr>
          <w:rFonts w:ascii="Arial" w:hAnsi="Arial" w:cs="Arial"/>
          <w:sz w:val="22"/>
          <w:szCs w:val="22"/>
          <w:lang w:val="en-GB"/>
        </w:rPr>
        <w:t>or an overseas investment exchange.</w:t>
      </w:r>
    </w:p>
    <w:p w14:paraId="546E3ABF"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Grey market transactions</w:t>
      </w:r>
    </w:p>
    <w:p w14:paraId="23D09BC9" w14:textId="77777777" w:rsidR="00E22FF2" w:rsidRPr="00E4265B" w:rsidRDefault="006A0477" w:rsidP="00386DD2">
      <w:pPr>
        <w:pStyle w:val="List2TabStops"/>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.8.5</w:t>
      </w:r>
      <w:r w:rsidR="00E22FF2" w:rsidRPr="00E4265B">
        <w:rPr>
          <w:rFonts w:ascii="Arial" w:hAnsi="Arial" w:cs="Arial"/>
          <w:sz w:val="22"/>
          <w:szCs w:val="22"/>
          <w:lang w:val="en-GB"/>
        </w:rPr>
        <w:tab/>
        <w:t>(1)</w:t>
      </w:r>
      <w:r w:rsidR="00E22FF2"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that buys and sells </w:t>
      </w:r>
      <w:r w:rsidR="00877CEA" w:rsidRPr="00E4265B">
        <w:rPr>
          <w:rFonts w:ascii="Arial" w:hAnsi="Arial" w:cs="Arial"/>
          <w:sz w:val="22"/>
          <w:szCs w:val="22"/>
          <w:lang w:val="en-GB"/>
        </w:rPr>
        <w:t>Securities</w:t>
      </w:r>
      <w:r w:rsidR="00E22FF2" w:rsidRPr="00E4265B">
        <w:rPr>
          <w:rFonts w:ascii="Arial" w:hAnsi="Arial" w:cs="Arial"/>
          <w:sz w:val="22"/>
          <w:szCs w:val="22"/>
          <w:lang w:val="en-GB"/>
        </w:rPr>
        <w:t xml:space="preserve"> before issue is dealing in the grey market for the purposes of this Section.</w:t>
      </w:r>
    </w:p>
    <w:p w14:paraId="14F5452A"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w:t>
      </w:r>
      <w:r w:rsidR="006A0477" w:rsidRPr="00E4265B">
        <w:rPr>
          <w:rFonts w:ascii="Arial" w:hAnsi="Arial" w:cs="Arial"/>
          <w:sz w:val="22"/>
          <w:szCs w:val="22"/>
          <w:lang w:val="en-GB"/>
        </w:rPr>
        <w:t>e other Rules in Section A6</w:t>
      </w:r>
      <w:r w:rsidRPr="00E4265B">
        <w:rPr>
          <w:rFonts w:ascii="Arial" w:hAnsi="Arial" w:cs="Arial"/>
          <w:sz w:val="22"/>
          <w:szCs w:val="22"/>
          <w:lang w:val="en-GB"/>
        </w:rPr>
        <w:t xml:space="preserve">.8 do not apply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with respect to its dealings in the grey market unless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206B1940"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has an Underwriting commitment to the Issuer in respect of those </w:t>
      </w:r>
      <w:r w:rsidR="00877CEA" w:rsidRPr="00E4265B">
        <w:rPr>
          <w:rFonts w:ascii="Arial" w:hAnsi="Arial" w:cs="Arial"/>
          <w:sz w:val="22"/>
          <w:szCs w:val="22"/>
          <w:lang w:val="en-GB"/>
        </w:rPr>
        <w:t>Securities</w:t>
      </w:r>
      <w:r w:rsidRPr="00E4265B">
        <w:rPr>
          <w:rFonts w:ascii="Arial" w:hAnsi="Arial" w:cs="Arial"/>
          <w:sz w:val="22"/>
          <w:szCs w:val="22"/>
          <w:lang w:val="en-GB"/>
        </w:rPr>
        <w:t>; or</w:t>
      </w:r>
    </w:p>
    <w:p w14:paraId="47B4808B"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has a 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 xml:space="preserve"> commitment in respect of those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and is using the grey market solely for the purpose of reducing that 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 xml:space="preserve"> commitment.</w:t>
      </w:r>
    </w:p>
    <w:p w14:paraId="72B43B9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w:t>
      </w:r>
      <w:r w:rsidR="006A0477" w:rsidRPr="00E4265B">
        <w:rPr>
          <w:rFonts w:ascii="Arial" w:hAnsi="Arial" w:cs="Arial"/>
          <w:sz w:val="22"/>
          <w:szCs w:val="22"/>
          <w:lang w:val="en-GB"/>
        </w:rPr>
        <w:t>3)</w:t>
      </w:r>
      <w:r w:rsidR="006A0477" w:rsidRPr="00E4265B">
        <w:rPr>
          <w:rFonts w:ascii="Arial" w:hAnsi="Arial" w:cs="Arial"/>
          <w:sz w:val="22"/>
          <w:szCs w:val="22"/>
          <w:lang w:val="en-GB"/>
        </w:rPr>
        <w:tab/>
        <w:t>The other Rules in Section A6</w:t>
      </w:r>
      <w:r w:rsidRPr="00E4265B">
        <w:rPr>
          <w:rFonts w:ascii="Arial" w:hAnsi="Arial" w:cs="Arial"/>
          <w:sz w:val="22"/>
          <w:szCs w:val="22"/>
          <w:lang w:val="en-GB"/>
        </w:rPr>
        <w:t xml:space="preserve">.8 do not apply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with respect to its dealings in the grey market if the transaction is undertaken by the proprietary trading part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or is undertaken for proprietary trading purposes.</w:t>
      </w:r>
    </w:p>
    <w:p w14:paraId="075F3407"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Guidance</w:t>
      </w:r>
    </w:p>
    <w:p w14:paraId="6A5BA31E" w14:textId="77777777" w:rsidR="00E22FF2" w:rsidRPr="00E4265B" w:rsidRDefault="006A0477" w:rsidP="00386DD2">
      <w:pPr>
        <w:pStyle w:val="UK12Block05"/>
        <w:rPr>
          <w:rFonts w:ascii="Arial" w:hAnsi="Arial" w:cs="Arial"/>
          <w:sz w:val="22"/>
          <w:szCs w:val="22"/>
          <w:lang w:val="en-GB"/>
        </w:rPr>
      </w:pPr>
      <w:r w:rsidRPr="00E4265B">
        <w:rPr>
          <w:rFonts w:ascii="Arial" w:hAnsi="Arial" w:cs="Arial"/>
          <w:sz w:val="22"/>
          <w:szCs w:val="22"/>
          <w:lang w:val="en-GB"/>
        </w:rPr>
        <w:t>In Rule A6</w:t>
      </w:r>
      <w:r w:rsidR="00E22FF2" w:rsidRPr="00E4265B">
        <w:rPr>
          <w:rFonts w:ascii="Arial" w:hAnsi="Arial" w:cs="Arial"/>
          <w:sz w:val="22"/>
          <w:szCs w:val="22"/>
          <w:lang w:val="en-GB"/>
        </w:rPr>
        <w:t xml:space="preserve">.8.5, the grey market is the market in which dealers "buy" and "sell" </w:t>
      </w:r>
      <w:r w:rsidR="00877CEA" w:rsidRPr="00E4265B">
        <w:rPr>
          <w:rFonts w:ascii="Arial" w:hAnsi="Arial" w:cs="Arial"/>
          <w:sz w:val="22"/>
          <w:szCs w:val="22"/>
          <w:lang w:val="en-GB"/>
        </w:rPr>
        <w:t>Securities</w:t>
      </w:r>
      <w:r w:rsidR="00E22FF2" w:rsidRPr="00E4265B">
        <w:rPr>
          <w:rFonts w:ascii="Arial" w:hAnsi="Arial" w:cs="Arial"/>
          <w:sz w:val="22"/>
          <w:szCs w:val="22"/>
          <w:lang w:val="en-GB"/>
        </w:rPr>
        <w:t xml:space="preserve"> ahead of issue. In reality the dealers are buying and selling promises to deliver the </w:t>
      </w:r>
      <w:r w:rsidR="00877CEA" w:rsidRPr="00E4265B">
        <w:rPr>
          <w:rFonts w:ascii="Arial" w:hAnsi="Arial" w:cs="Arial"/>
          <w:sz w:val="22"/>
          <w:szCs w:val="22"/>
          <w:lang w:val="en-GB"/>
        </w:rPr>
        <w:t>Securities</w:t>
      </w:r>
      <w:r w:rsidR="00E22FF2" w:rsidRPr="00E4265B">
        <w:rPr>
          <w:rFonts w:ascii="Arial" w:hAnsi="Arial" w:cs="Arial"/>
          <w:sz w:val="22"/>
          <w:szCs w:val="22"/>
          <w:lang w:val="en-GB"/>
        </w:rPr>
        <w:t xml:space="preserve"> when issued.</w:t>
      </w:r>
    </w:p>
    <w:p w14:paraId="588DA70A"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 xml:space="preserve">Calculating the net </w:t>
      </w:r>
      <w:r w:rsidR="00C033FC" w:rsidRPr="00E4265B">
        <w:rPr>
          <w:rFonts w:ascii="Arial" w:hAnsi="Arial" w:cs="Arial"/>
          <w:sz w:val="22"/>
          <w:szCs w:val="22"/>
          <w:lang w:val="en-GB"/>
        </w:rPr>
        <w:t>Underwriting</w:t>
      </w:r>
      <w:r w:rsidRPr="00E4265B">
        <w:rPr>
          <w:rFonts w:ascii="Arial" w:hAnsi="Arial" w:cs="Arial"/>
          <w:sz w:val="22"/>
          <w:szCs w:val="22"/>
          <w:lang w:val="en-GB"/>
        </w:rPr>
        <w:t xml:space="preserve"> position</w:t>
      </w:r>
    </w:p>
    <w:p w14:paraId="4D4E0F1C" w14:textId="77777777" w:rsidR="00E22FF2" w:rsidRPr="00E4265B" w:rsidRDefault="006A0477"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.8.6</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calculate a net Underwriting position from the date of initial commitment until the Underwriting process ends, as the initial gross commitment adjusted for:</w:t>
      </w:r>
    </w:p>
    <w:p w14:paraId="46A6954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Underwriting or 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 xml:space="preserve"> commitments obtained from others since the time of initial commitment;</w:t>
      </w:r>
    </w:p>
    <w:p w14:paraId="7FB9215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purchases or sales of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since the time of initial commitment;</w:t>
      </w:r>
    </w:p>
    <w:p w14:paraId="7C4156C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any allocation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granted or received, arising from the commitment to underwrite the </w:t>
      </w:r>
      <w:r w:rsidR="00877CEA" w:rsidRPr="00E4265B">
        <w:rPr>
          <w:rFonts w:ascii="Arial" w:hAnsi="Arial" w:cs="Arial"/>
          <w:sz w:val="22"/>
          <w:szCs w:val="22"/>
          <w:lang w:val="en-GB"/>
        </w:rPr>
        <w:t>Securities</w:t>
      </w:r>
      <w:r w:rsidRPr="00E4265B">
        <w:rPr>
          <w:rFonts w:ascii="Arial" w:hAnsi="Arial" w:cs="Arial"/>
          <w:sz w:val="22"/>
          <w:szCs w:val="22"/>
          <w:lang w:val="en-GB"/>
        </w:rPr>
        <w:t>, since the time of initial commitment; and</w:t>
      </w:r>
    </w:p>
    <w:p w14:paraId="71AA1B0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in the case of sales in the gr</w:t>
      </w:r>
      <w:r w:rsidR="006A0477" w:rsidRPr="00E4265B">
        <w:rPr>
          <w:rFonts w:ascii="Arial" w:hAnsi="Arial" w:cs="Arial"/>
          <w:sz w:val="22"/>
          <w:szCs w:val="22"/>
          <w:lang w:val="en-GB"/>
        </w:rPr>
        <w:t>ey market, as defined in Rule A6</w:t>
      </w:r>
      <w:r w:rsidRPr="00E4265B">
        <w:rPr>
          <w:rFonts w:ascii="Arial" w:hAnsi="Arial" w:cs="Arial"/>
          <w:sz w:val="22"/>
          <w:szCs w:val="22"/>
          <w:lang w:val="en-GB"/>
        </w:rPr>
        <w:t xml:space="preserve">.8.5, any sales of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as at the time of initial commitment or since the time of initial commitment is subject, in both cases, to the following conditions:</w:t>
      </w:r>
    </w:p>
    <w:p w14:paraId="25DBD18F"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any sales of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as at the time of initial commitment must be confirmed in writing at the time of initial commitment;</w:t>
      </w:r>
    </w:p>
    <w:p w14:paraId="7D0311B8"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sales must be net of any purchases in the grey market; and</w:t>
      </w:r>
    </w:p>
    <w:p w14:paraId="79CBB793" w14:textId="77777777" w:rsidR="00E22FF2" w:rsidRPr="00E4265B" w:rsidRDefault="00E22FF2" w:rsidP="00386DD2">
      <w:pPr>
        <w:pStyle w:val="a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any allocation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granted or received, arising from the commitment to underwrite the </w:t>
      </w:r>
      <w:r w:rsidR="00877CEA" w:rsidRPr="00E4265B">
        <w:rPr>
          <w:rFonts w:ascii="Arial" w:hAnsi="Arial" w:cs="Arial"/>
          <w:sz w:val="22"/>
          <w:szCs w:val="22"/>
          <w:lang w:val="en-GB"/>
        </w:rPr>
        <w:t>Securities</w:t>
      </w:r>
      <w:r w:rsidRPr="00E4265B">
        <w:rPr>
          <w:rFonts w:ascii="Arial" w:hAnsi="Arial" w:cs="Arial"/>
          <w:sz w:val="22"/>
          <w:szCs w:val="22"/>
          <w:lang w:val="en-GB"/>
        </w:rPr>
        <w:t>, since the time of initial commitment.</w:t>
      </w:r>
    </w:p>
    <w:p w14:paraId="174E8CCC"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6A0477" w:rsidRPr="00E4265B">
        <w:rPr>
          <w:rFonts w:ascii="Arial" w:hAnsi="Arial" w:cs="Arial"/>
          <w:b/>
          <w:bCs/>
          <w:sz w:val="22"/>
          <w:szCs w:val="22"/>
          <w:lang w:val="en-GB"/>
        </w:rPr>
        <w:t>6</w:t>
      </w:r>
      <w:r w:rsidRPr="00E4265B">
        <w:rPr>
          <w:rFonts w:ascii="Arial" w:hAnsi="Arial" w:cs="Arial"/>
          <w:b/>
          <w:bCs/>
          <w:sz w:val="22"/>
          <w:szCs w:val="22"/>
          <w:lang w:val="en-GB"/>
        </w:rPr>
        <w:t>.8.7</w:t>
      </w:r>
      <w:r w:rsidRPr="00E4265B">
        <w:rPr>
          <w:rFonts w:ascii="Arial" w:eastAsia="Arial" w:hAnsi="Arial" w:cs="Arial"/>
          <w:b/>
          <w:bCs/>
          <w:sz w:val="22"/>
          <w:szCs w:val="22"/>
          <w:lang w:val="en-GB"/>
        </w:rPr>
        <w:tab/>
      </w:r>
      <w:r w:rsidRPr="00E4265B">
        <w:rPr>
          <w:rFonts w:ascii="Arial" w:hAnsi="Arial" w:cs="Arial"/>
          <w:sz w:val="22"/>
          <w:szCs w:val="22"/>
          <w:lang w:val="en-GB"/>
        </w:rPr>
        <w:t xml:space="preserve">If the allocation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has not been fixed,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the gross amount of its commitment, for the purpose of Rule A</w:t>
      </w:r>
      <w:r w:rsidR="006A0477" w:rsidRPr="00E4265B">
        <w:rPr>
          <w:rFonts w:ascii="Arial" w:hAnsi="Arial" w:cs="Arial"/>
          <w:sz w:val="22"/>
          <w:szCs w:val="22"/>
          <w:lang w:val="en-GB"/>
        </w:rPr>
        <w:t>6</w:t>
      </w:r>
      <w:r w:rsidRPr="00E4265B">
        <w:rPr>
          <w:rFonts w:ascii="Arial" w:hAnsi="Arial" w:cs="Arial"/>
          <w:sz w:val="22"/>
          <w:szCs w:val="22"/>
          <w:lang w:val="en-GB"/>
        </w:rPr>
        <w:t>.8.6, by reference to the maximum amount it has committed to underwrite until the time the allocation is set. An Underwriting commitment may only be reduced under this Rule on the basis of a formal agreement.</w:t>
      </w:r>
    </w:p>
    <w:p w14:paraId="3B7C3478"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Guidance</w:t>
      </w:r>
    </w:p>
    <w:p w14:paraId="26F5A893" w14:textId="77777777" w:rsidR="00E22FF2" w:rsidRPr="00E4265B" w:rsidRDefault="00E22FF2" w:rsidP="00386DD2">
      <w:pPr>
        <w:pStyle w:val="UK12Block05"/>
        <w:rPr>
          <w:rFonts w:ascii="Arial" w:hAnsi="Arial" w:cs="Arial"/>
          <w:sz w:val="22"/>
          <w:szCs w:val="22"/>
          <w:lang w:val="en-GB"/>
        </w:rPr>
      </w:pPr>
      <w:r w:rsidRPr="00E4265B">
        <w:rPr>
          <w:rFonts w:ascii="Arial" w:hAnsi="Arial" w:cs="Arial"/>
          <w:sz w:val="22"/>
          <w:szCs w:val="22"/>
          <w:lang w:val="en-GB"/>
        </w:rPr>
        <w:t xml:space="preserve">Allocations may arise, after date of initial commitment, from the agreement to underwrite. For example, obligations or rights may be allocated to or from the Issuer, the </w:t>
      </w:r>
      <w:r w:rsidR="00C033FC" w:rsidRPr="00E4265B">
        <w:rPr>
          <w:rFonts w:ascii="Arial" w:hAnsi="Arial" w:cs="Arial"/>
          <w:sz w:val="22"/>
          <w:szCs w:val="22"/>
          <w:lang w:val="en-GB"/>
        </w:rPr>
        <w:t>Underwriting</w:t>
      </w:r>
      <w:r w:rsidRPr="00E4265B">
        <w:rPr>
          <w:rFonts w:ascii="Arial" w:hAnsi="Arial" w:cs="Arial"/>
          <w:sz w:val="22"/>
          <w:szCs w:val="22"/>
          <w:lang w:val="en-GB"/>
        </w:rPr>
        <w:t xml:space="preserve"> Group or syndicate.</w:t>
      </w:r>
    </w:p>
    <w:p w14:paraId="3950E618"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Time of initial commitment</w:t>
      </w:r>
    </w:p>
    <w:p w14:paraId="6F9806A0" w14:textId="77777777" w:rsidR="00E22FF2" w:rsidRPr="00E4265B" w:rsidRDefault="006A0477" w:rsidP="00386DD2">
      <w:pPr>
        <w:pStyle w:val="List2TabStops"/>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.8.8</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(1)</w:t>
      </w:r>
      <w:r w:rsidR="00E22FF2" w:rsidRPr="00E4265B">
        <w:rPr>
          <w:rFonts w:ascii="Arial" w:hAnsi="Arial" w:cs="Arial"/>
          <w:sz w:val="22"/>
          <w:szCs w:val="22"/>
          <w:lang w:val="en-GB"/>
        </w:rPr>
        <w:tab/>
        <w:t>Subject to (2), the time of initial commitment is the earlier of:</w:t>
      </w:r>
    </w:p>
    <w:p w14:paraId="36431526"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lastRenderedPageBreak/>
        <w:t>(a)</w:t>
      </w:r>
      <w:r w:rsidRPr="00E4265B">
        <w:rPr>
          <w:rFonts w:ascii="Arial" w:hAnsi="Arial" w:cs="Arial"/>
          <w:sz w:val="22"/>
          <w:szCs w:val="22"/>
          <w:lang w:val="en-GB"/>
        </w:rPr>
        <w:tab/>
        <w:t xml:space="preserve">in the case of Underwriting, the time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agrees with the Issuer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to underwrite those </w:t>
      </w:r>
      <w:r w:rsidR="00877CEA" w:rsidRPr="00E4265B">
        <w:rPr>
          <w:rFonts w:ascii="Arial" w:hAnsi="Arial" w:cs="Arial"/>
          <w:sz w:val="22"/>
          <w:szCs w:val="22"/>
          <w:lang w:val="en-GB"/>
        </w:rPr>
        <w:t>Securities</w:t>
      </w:r>
      <w:r w:rsidRPr="00E4265B">
        <w:rPr>
          <w:rFonts w:ascii="Arial" w:hAnsi="Arial" w:cs="Arial"/>
          <w:sz w:val="22"/>
          <w:szCs w:val="22"/>
          <w:lang w:val="en-GB"/>
        </w:rPr>
        <w:t>;</w:t>
      </w:r>
    </w:p>
    <w:p w14:paraId="468F115F"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in the case of Underwriting falling under Rule A</w:t>
      </w:r>
      <w:r w:rsidR="006A0477" w:rsidRPr="00E4265B">
        <w:rPr>
          <w:rFonts w:ascii="Arial" w:hAnsi="Arial" w:cs="Arial"/>
          <w:sz w:val="22"/>
          <w:szCs w:val="22"/>
          <w:lang w:val="en-GB"/>
        </w:rPr>
        <w:t>6</w:t>
      </w:r>
      <w:r w:rsidRPr="00E4265B">
        <w:rPr>
          <w:rFonts w:ascii="Arial" w:hAnsi="Arial" w:cs="Arial"/>
          <w:sz w:val="22"/>
          <w:szCs w:val="22"/>
          <w:lang w:val="en-GB"/>
        </w:rPr>
        <w:t xml:space="preserve">.8.3(b), the time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agrees with the seller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to underwrite those </w:t>
      </w:r>
      <w:r w:rsidR="00877CEA" w:rsidRPr="00E4265B">
        <w:rPr>
          <w:rFonts w:ascii="Arial" w:hAnsi="Arial" w:cs="Arial"/>
          <w:sz w:val="22"/>
          <w:szCs w:val="22"/>
          <w:lang w:val="en-GB"/>
        </w:rPr>
        <w:t>Securities</w:t>
      </w:r>
      <w:r w:rsidRPr="00E4265B">
        <w:rPr>
          <w:rFonts w:ascii="Arial" w:hAnsi="Arial" w:cs="Arial"/>
          <w:sz w:val="22"/>
          <w:szCs w:val="22"/>
          <w:lang w:val="en-GB"/>
        </w:rPr>
        <w:t>;</w:t>
      </w:r>
    </w:p>
    <w:p w14:paraId="799A36AF"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in the case of 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 xml:space="preserve">, the time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agrees with the Person referred to Rule A</w:t>
      </w:r>
      <w:r w:rsidR="008123BD" w:rsidRPr="00E4265B">
        <w:rPr>
          <w:rFonts w:ascii="Arial" w:hAnsi="Arial" w:cs="Arial"/>
          <w:sz w:val="22"/>
          <w:szCs w:val="22"/>
          <w:lang w:val="en-GB"/>
        </w:rPr>
        <w:t>6</w:t>
      </w:r>
      <w:r w:rsidRPr="00E4265B">
        <w:rPr>
          <w:rFonts w:ascii="Arial" w:hAnsi="Arial" w:cs="Arial"/>
          <w:sz w:val="22"/>
          <w:szCs w:val="22"/>
          <w:lang w:val="en-GB"/>
        </w:rPr>
        <w:t>.8.3(c) to sub</w:t>
      </w:r>
      <w:r w:rsidRPr="00E4265B">
        <w:rPr>
          <w:rFonts w:ascii="Arial" w:hAnsi="Arial" w:cs="Arial"/>
          <w:sz w:val="22"/>
          <w:szCs w:val="22"/>
          <w:lang w:val="en-GB"/>
        </w:rPr>
        <w:noBreakHyphen/>
        <w:t xml:space="preserve">underwrite those </w:t>
      </w:r>
      <w:r w:rsidR="00877CEA" w:rsidRPr="00E4265B">
        <w:rPr>
          <w:rFonts w:ascii="Arial" w:hAnsi="Arial" w:cs="Arial"/>
          <w:sz w:val="22"/>
          <w:szCs w:val="22"/>
          <w:lang w:val="en-GB"/>
        </w:rPr>
        <w:t>Securities</w:t>
      </w:r>
      <w:r w:rsidRPr="00E4265B">
        <w:rPr>
          <w:rFonts w:ascii="Arial" w:hAnsi="Arial" w:cs="Arial"/>
          <w:sz w:val="22"/>
          <w:szCs w:val="22"/>
          <w:lang w:val="en-GB"/>
        </w:rPr>
        <w:t>;</w:t>
      </w:r>
    </w:p>
    <w:p w14:paraId="2C30DB3A"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in the case of Rule A</w:t>
      </w:r>
      <w:r w:rsidR="008123BD" w:rsidRPr="00E4265B">
        <w:rPr>
          <w:rFonts w:ascii="Arial" w:hAnsi="Arial" w:cs="Arial"/>
          <w:sz w:val="22"/>
          <w:szCs w:val="22"/>
          <w:lang w:val="en-GB"/>
        </w:rPr>
        <w:t>6</w:t>
      </w:r>
      <w:r w:rsidRPr="00E4265B">
        <w:rPr>
          <w:rFonts w:ascii="Arial" w:hAnsi="Arial" w:cs="Arial"/>
          <w:sz w:val="22"/>
          <w:szCs w:val="22"/>
          <w:lang w:val="en-GB"/>
        </w:rPr>
        <w:t>.8.3(d), the time the Group or syndicate in question (or a member of that Group or syndicate on behalf of the others) agrees with the Issuer or other Person to whom the commitment is given as referred to in Rule A</w:t>
      </w:r>
      <w:r w:rsidR="008123BD" w:rsidRPr="00E4265B">
        <w:rPr>
          <w:rFonts w:ascii="Arial" w:hAnsi="Arial" w:cs="Arial"/>
          <w:sz w:val="22"/>
          <w:szCs w:val="22"/>
          <w:lang w:val="en-GB"/>
        </w:rPr>
        <w:t>6</w:t>
      </w:r>
      <w:r w:rsidRPr="00E4265B">
        <w:rPr>
          <w:rFonts w:ascii="Arial" w:hAnsi="Arial" w:cs="Arial"/>
          <w:sz w:val="22"/>
          <w:szCs w:val="22"/>
          <w:lang w:val="en-GB"/>
        </w:rPr>
        <w:t>.8.3(d) to underwrite or sub</w:t>
      </w:r>
      <w:r w:rsidRPr="00E4265B">
        <w:rPr>
          <w:rFonts w:ascii="Arial" w:hAnsi="Arial" w:cs="Arial"/>
          <w:sz w:val="22"/>
          <w:szCs w:val="22"/>
          <w:lang w:val="en-GB"/>
        </w:rPr>
        <w:noBreakHyphen/>
        <w:t xml:space="preserve">underwrite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in question; or</w:t>
      </w:r>
    </w:p>
    <w:p w14:paraId="6956F917"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if the firm at that time has a commitment (whether legally or binding or not), the time the price and allocation of the issue or offer are set.</w:t>
      </w:r>
    </w:p>
    <w:p w14:paraId="489EC9F6"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an irrevocable and unfettered right to withdraw from an </w:t>
      </w:r>
      <w:r w:rsidR="00C033FC" w:rsidRPr="00E4265B">
        <w:rPr>
          <w:rFonts w:ascii="Arial" w:hAnsi="Arial" w:cs="Arial"/>
          <w:sz w:val="22"/>
          <w:szCs w:val="22"/>
          <w:lang w:val="en-GB"/>
        </w:rPr>
        <w:t>Underwriting</w:t>
      </w:r>
      <w:r w:rsidRPr="00E4265B">
        <w:rPr>
          <w:rFonts w:ascii="Arial" w:hAnsi="Arial" w:cs="Arial"/>
          <w:sz w:val="22"/>
          <w:szCs w:val="22"/>
          <w:lang w:val="en-GB"/>
        </w:rPr>
        <w:t xml:space="preserve"> commitment, exercisable within a certain period, the commitment commences (and thus the time of initial commitment occurs) when that right expires.</w:t>
      </w:r>
    </w:p>
    <w:p w14:paraId="0EB6BDB5"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Working day 0</w:t>
      </w:r>
    </w:p>
    <w:p w14:paraId="13988C58"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8123BD" w:rsidRPr="00E4265B">
        <w:rPr>
          <w:rFonts w:ascii="Arial" w:hAnsi="Arial" w:cs="Arial"/>
          <w:b/>
          <w:bCs/>
          <w:sz w:val="22"/>
          <w:szCs w:val="22"/>
          <w:lang w:val="en-GB"/>
        </w:rPr>
        <w:t>6</w:t>
      </w:r>
      <w:r w:rsidRPr="00E4265B">
        <w:rPr>
          <w:rFonts w:ascii="Arial" w:hAnsi="Arial" w:cs="Arial"/>
          <w:b/>
          <w:bCs/>
          <w:sz w:val="22"/>
          <w:szCs w:val="22"/>
          <w:lang w:val="en-GB"/>
        </w:rPr>
        <w:t>.8.9</w:t>
      </w:r>
      <w:r w:rsidRPr="00E4265B">
        <w:rPr>
          <w:rFonts w:ascii="Arial" w:eastAsia="Arial" w:hAnsi="Arial" w:cs="Arial"/>
          <w:b/>
          <w:bCs/>
          <w:sz w:val="22"/>
          <w:szCs w:val="22"/>
          <w:lang w:val="en-GB"/>
        </w:rPr>
        <w:tab/>
      </w:r>
      <w:r w:rsidR="008123BD" w:rsidRPr="00E4265B">
        <w:rPr>
          <w:rFonts w:ascii="Arial" w:hAnsi="Arial" w:cs="Arial"/>
          <w:sz w:val="22"/>
          <w:szCs w:val="22"/>
          <w:lang w:val="en-GB"/>
        </w:rPr>
        <w:t>For the purposes of Section A6</w:t>
      </w:r>
      <w:r w:rsidRPr="00E4265B">
        <w:rPr>
          <w:rFonts w:ascii="Arial" w:hAnsi="Arial" w:cs="Arial"/>
          <w:sz w:val="22"/>
          <w:szCs w:val="22"/>
          <w:lang w:val="en-GB"/>
        </w:rPr>
        <w:t>.8, working day 0 is the business day on which a firm that is Underwriting or 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 xml:space="preserve"> becomes unconditionally committed to accepting a known quantity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at a specified price.</w:t>
      </w:r>
    </w:p>
    <w:p w14:paraId="5E4CB94D"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Guidance</w:t>
      </w:r>
    </w:p>
    <w:p w14:paraId="406D94B1" w14:textId="77777777" w:rsidR="00E22FF2" w:rsidRPr="00E4265B" w:rsidRDefault="00E22FF2" w:rsidP="00572832">
      <w:pPr>
        <w:pStyle w:val="UK12Block05"/>
        <w:rPr>
          <w:rFonts w:ascii="Arial" w:hAnsi="Arial" w:cs="Arial"/>
          <w:sz w:val="22"/>
          <w:szCs w:val="22"/>
          <w:lang w:val="en-GB"/>
        </w:rPr>
      </w:pPr>
      <w:r w:rsidRPr="00E4265B">
        <w:rPr>
          <w:rFonts w:ascii="Arial" w:hAnsi="Arial" w:cs="Arial"/>
          <w:sz w:val="22"/>
          <w:szCs w:val="22"/>
          <w:lang w:val="en-GB"/>
        </w:rPr>
        <w:t xml:space="preserve">For debt issues and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which are issued in a similar manner, working day 0 is the later of the date on which the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are allotted and the date on which payment for them is due. For equity issues and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which are issued in a similar manner, working day 0 is the later of the date on which the offer becomes closed for subscriptions and the date on which the allocations are made public. For rights issues, working day 0 is the first day after the date on which the offer becomes closed to acceptances for subscription.</w:t>
      </w:r>
    </w:p>
    <w:p w14:paraId="46EE1C59" w14:textId="77777777" w:rsidR="00E22FF2" w:rsidRPr="00E4265B" w:rsidRDefault="00E22FF2" w:rsidP="00386DD2">
      <w:pPr>
        <w:pStyle w:val="TitleL5"/>
        <w:rPr>
          <w:rFonts w:ascii="Arial" w:hAnsi="Arial" w:cs="Arial"/>
          <w:sz w:val="22"/>
          <w:szCs w:val="22"/>
          <w:lang w:val="en-GB"/>
        </w:rPr>
      </w:pPr>
      <w:r w:rsidRPr="00E4265B">
        <w:rPr>
          <w:rFonts w:ascii="Arial" w:hAnsi="Arial" w:cs="Arial"/>
          <w:sz w:val="22"/>
          <w:szCs w:val="22"/>
          <w:lang w:val="en-GB"/>
        </w:rPr>
        <w:t xml:space="preserve">Calculating the reduced net </w:t>
      </w:r>
      <w:r w:rsidR="00C033FC" w:rsidRPr="00E4265B">
        <w:rPr>
          <w:rFonts w:ascii="Arial" w:hAnsi="Arial" w:cs="Arial"/>
          <w:sz w:val="22"/>
          <w:szCs w:val="22"/>
          <w:lang w:val="en-GB"/>
        </w:rPr>
        <w:t>Underwriting</w:t>
      </w:r>
      <w:r w:rsidRPr="00E4265B">
        <w:rPr>
          <w:rFonts w:ascii="Arial" w:hAnsi="Arial" w:cs="Arial"/>
          <w:sz w:val="22"/>
          <w:szCs w:val="22"/>
          <w:lang w:val="en-GB"/>
        </w:rPr>
        <w:t xml:space="preserve"> position</w:t>
      </w:r>
    </w:p>
    <w:p w14:paraId="37C25833" w14:textId="77777777" w:rsidR="00E22FF2" w:rsidRPr="00E4265B" w:rsidRDefault="0011787E" w:rsidP="00742AC6">
      <w:pPr>
        <w:pStyle w:val="A1Lis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.8.10</w:t>
      </w:r>
      <w:r w:rsidR="00E22FF2" w:rsidRPr="00E4265B">
        <w:rPr>
          <w:rFonts w:ascii="Arial" w:hAnsi="Arial" w:cs="Arial"/>
          <w:b/>
          <w:bCs/>
          <w:sz w:val="22"/>
          <w:szCs w:val="22"/>
          <w:lang w:val="en-GB"/>
        </w:rPr>
        <w:tab/>
      </w:r>
      <w:r w:rsidR="00E22FF2" w:rsidRPr="00E4265B">
        <w:rPr>
          <w:rFonts w:ascii="Arial" w:hAnsi="Arial" w:cs="Arial"/>
          <w:sz w:val="22"/>
          <w:szCs w:val="22"/>
          <w:lang w:val="en-GB"/>
        </w:rPr>
        <w:t xml:space="preserve">To calculate the reduced net Underwriting position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apply the reduction factors in the table below to the net Underwriting p</w:t>
      </w:r>
      <w:r w:rsidRPr="00E4265B">
        <w:rPr>
          <w:rFonts w:ascii="Arial" w:hAnsi="Arial" w:cs="Arial"/>
          <w:sz w:val="22"/>
          <w:szCs w:val="22"/>
          <w:lang w:val="en-GB"/>
        </w:rPr>
        <w:t>osition calculated under Rule A6</w:t>
      </w:r>
      <w:r w:rsidR="00E22FF2" w:rsidRPr="00E4265B">
        <w:rPr>
          <w:rFonts w:ascii="Arial" w:hAnsi="Arial" w:cs="Arial"/>
          <w:sz w:val="22"/>
          <w:szCs w:val="22"/>
          <w:lang w:val="en-GB"/>
        </w:rPr>
        <w:t>.8.6 as follows:</w:t>
      </w:r>
    </w:p>
    <w:p w14:paraId="35BE7C83"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in respect of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two reduced net Underwriting positions; one for inclusion in the </w:t>
      </w:r>
      <w:r w:rsidR="000D1A90" w:rsidRPr="00E4265B">
        <w:rPr>
          <w:rFonts w:ascii="Arial" w:hAnsi="Arial" w:cs="Arial"/>
          <w:sz w:val="22"/>
          <w:szCs w:val="22"/>
          <w:lang w:val="en-GB"/>
        </w:rPr>
        <w:t>Authorised Person</w:t>
      </w:r>
      <w:r w:rsidRPr="00E4265B">
        <w:rPr>
          <w:rFonts w:ascii="Arial" w:hAnsi="Arial" w:cs="Arial"/>
          <w:sz w:val="22"/>
          <w:szCs w:val="22"/>
          <w:lang w:val="en-GB"/>
        </w:rPr>
        <w:t>'s interest rate Specific Risk calculation, the other for inclusion in its interest rate General Market Risk calculation; and</w:t>
      </w:r>
    </w:p>
    <w:p w14:paraId="67BB7B37" w14:textId="77777777" w:rsidR="00D33C4F"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in respect of equities,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only one reduced net Underwriting position, and then include it in the simplified equity method.</w:t>
      </w:r>
    </w:p>
    <w:p w14:paraId="1E72CDB7"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lastRenderedPageBreak/>
        <w:t>Reduction Factors</w:t>
      </w:r>
    </w:p>
    <w:tbl>
      <w:tblPr>
        <w:tblStyle w:val="TableGrid"/>
        <w:tblW w:w="0" w:type="auto"/>
        <w:tblInd w:w="1098" w:type="dxa"/>
        <w:tblLook w:val="04A0" w:firstRow="1" w:lastRow="0" w:firstColumn="1" w:lastColumn="0" w:noHBand="0" w:noVBand="1"/>
      </w:tblPr>
      <w:tblGrid>
        <w:gridCol w:w="2880"/>
        <w:gridCol w:w="1258"/>
        <w:gridCol w:w="1261"/>
        <w:gridCol w:w="1259"/>
        <w:gridCol w:w="1261"/>
      </w:tblGrid>
      <w:tr w:rsidR="006A3DC3" w:rsidRPr="00E4265B" w14:paraId="7F148416" w14:textId="77777777" w:rsidTr="00384436">
        <w:tc>
          <w:tcPr>
            <w:tcW w:w="3018" w:type="dxa"/>
            <w:vMerge w:val="restart"/>
            <w:shd w:val="clear" w:color="auto" w:fill="D9D9D9" w:themeFill="background1" w:themeFillShade="D9"/>
            <w:vAlign w:val="center"/>
          </w:tcPr>
          <w:p w14:paraId="354AAC10" w14:textId="47809024" w:rsidR="006A3DC3" w:rsidRPr="00E4265B" w:rsidRDefault="006A3DC3" w:rsidP="00553790">
            <w:pPr>
              <w:spacing w:line="276" w:lineRule="auto"/>
              <w:rPr>
                <w:rFonts w:ascii="Arial" w:eastAsia="Arial" w:hAnsi="Arial" w:cs="Arial"/>
                <w:b/>
                <w:sz w:val="22"/>
                <w:szCs w:val="22"/>
                <w:lang w:val="en-GB"/>
              </w:rPr>
            </w:pPr>
            <w:r w:rsidRPr="00E4265B">
              <w:rPr>
                <w:rFonts w:ascii="Arial" w:hAnsi="Arial" w:cs="Arial"/>
                <w:b/>
                <w:sz w:val="22"/>
                <w:szCs w:val="22"/>
                <w:lang w:val="en-GB"/>
              </w:rPr>
              <w:t>Underwriting Timeline</w:t>
            </w:r>
          </w:p>
        </w:tc>
        <w:tc>
          <w:tcPr>
            <w:tcW w:w="2563" w:type="dxa"/>
            <w:gridSpan w:val="2"/>
            <w:tcBorders>
              <w:bottom w:val="dotted" w:sz="4" w:space="0" w:color="auto"/>
            </w:tcBorders>
            <w:shd w:val="clear" w:color="auto" w:fill="D9D9D9" w:themeFill="background1" w:themeFillShade="D9"/>
            <w:vAlign w:val="center"/>
          </w:tcPr>
          <w:p w14:paraId="0CB7BFB3" w14:textId="77777777" w:rsidR="006A3DC3" w:rsidRPr="00E4265B" w:rsidRDefault="006A3DC3" w:rsidP="00553790">
            <w:pPr>
              <w:spacing w:line="276" w:lineRule="auto"/>
              <w:jc w:val="center"/>
              <w:rPr>
                <w:rFonts w:ascii="Arial" w:hAnsi="Arial" w:cs="Arial"/>
                <w:b/>
                <w:sz w:val="22"/>
                <w:szCs w:val="22"/>
                <w:lang w:val="en-GB"/>
              </w:rPr>
            </w:pPr>
            <w:r w:rsidRPr="00E4265B">
              <w:rPr>
                <w:rFonts w:ascii="Arial" w:hAnsi="Arial" w:cs="Arial"/>
                <w:b/>
                <w:sz w:val="22"/>
                <w:szCs w:val="22"/>
                <w:lang w:val="en-GB"/>
              </w:rPr>
              <w:t>Debt Issue</w:t>
            </w:r>
          </w:p>
        </w:tc>
        <w:tc>
          <w:tcPr>
            <w:tcW w:w="2564" w:type="dxa"/>
            <w:gridSpan w:val="2"/>
            <w:tcBorders>
              <w:bottom w:val="dotted" w:sz="4" w:space="0" w:color="auto"/>
            </w:tcBorders>
            <w:shd w:val="clear" w:color="auto" w:fill="D9D9D9" w:themeFill="background1" w:themeFillShade="D9"/>
            <w:vAlign w:val="center"/>
          </w:tcPr>
          <w:p w14:paraId="0042005C" w14:textId="77777777" w:rsidR="006A3DC3" w:rsidRPr="00E4265B" w:rsidRDefault="006A3DC3" w:rsidP="00553790">
            <w:pPr>
              <w:spacing w:line="276" w:lineRule="auto"/>
              <w:jc w:val="center"/>
              <w:rPr>
                <w:rFonts w:ascii="Arial" w:hAnsi="Arial" w:cs="Arial"/>
                <w:b/>
                <w:sz w:val="22"/>
                <w:szCs w:val="22"/>
                <w:lang w:val="en-GB"/>
              </w:rPr>
            </w:pPr>
            <w:r w:rsidRPr="00E4265B">
              <w:rPr>
                <w:rFonts w:ascii="Arial" w:hAnsi="Arial" w:cs="Arial"/>
                <w:b/>
                <w:sz w:val="22"/>
                <w:szCs w:val="22"/>
                <w:lang w:val="en-GB"/>
              </w:rPr>
              <w:t>Equity Issue</w:t>
            </w:r>
          </w:p>
        </w:tc>
      </w:tr>
      <w:tr w:rsidR="006A3DC3" w:rsidRPr="00E4265B" w14:paraId="0635B089" w14:textId="77777777" w:rsidTr="00384436">
        <w:tc>
          <w:tcPr>
            <w:tcW w:w="3018" w:type="dxa"/>
            <w:vMerge/>
            <w:shd w:val="clear" w:color="auto" w:fill="D9D9D9" w:themeFill="background1" w:themeFillShade="D9"/>
            <w:vAlign w:val="center"/>
          </w:tcPr>
          <w:p w14:paraId="511C48D0" w14:textId="3BA1C147" w:rsidR="006A3DC3" w:rsidRPr="00E4265B" w:rsidRDefault="006A3DC3" w:rsidP="00553790">
            <w:pPr>
              <w:spacing w:line="276" w:lineRule="auto"/>
              <w:rPr>
                <w:rFonts w:ascii="Arial" w:hAnsi="Arial" w:cs="Arial"/>
                <w:b/>
                <w:sz w:val="22"/>
                <w:szCs w:val="22"/>
                <w:lang w:val="en-GB"/>
              </w:rPr>
            </w:pPr>
          </w:p>
        </w:tc>
        <w:tc>
          <w:tcPr>
            <w:tcW w:w="1281" w:type="dxa"/>
            <w:tcBorders>
              <w:top w:val="dotted" w:sz="4" w:space="0" w:color="auto"/>
            </w:tcBorders>
            <w:shd w:val="clear" w:color="auto" w:fill="D9D9D9" w:themeFill="background1" w:themeFillShade="D9"/>
            <w:vAlign w:val="center"/>
          </w:tcPr>
          <w:p w14:paraId="45222F5A" w14:textId="77777777" w:rsidR="006A3DC3" w:rsidRPr="00E4265B" w:rsidRDefault="006A3DC3" w:rsidP="00553790">
            <w:pPr>
              <w:spacing w:line="276" w:lineRule="auto"/>
              <w:jc w:val="center"/>
              <w:rPr>
                <w:rFonts w:ascii="Arial" w:hAnsi="Arial" w:cs="Arial"/>
                <w:b/>
                <w:sz w:val="22"/>
                <w:szCs w:val="22"/>
                <w:lang w:val="en-GB"/>
              </w:rPr>
            </w:pPr>
            <w:r w:rsidRPr="00E4265B">
              <w:rPr>
                <w:rFonts w:ascii="Arial" w:hAnsi="Arial" w:cs="Arial"/>
                <w:b/>
                <w:sz w:val="22"/>
                <w:szCs w:val="22"/>
                <w:lang w:val="en-GB"/>
              </w:rPr>
              <w:t>General Market risk</w:t>
            </w:r>
          </w:p>
        </w:tc>
        <w:tc>
          <w:tcPr>
            <w:tcW w:w="1282" w:type="dxa"/>
            <w:tcBorders>
              <w:top w:val="dotted" w:sz="4" w:space="0" w:color="auto"/>
            </w:tcBorders>
            <w:shd w:val="clear" w:color="auto" w:fill="D9D9D9" w:themeFill="background1" w:themeFillShade="D9"/>
            <w:vAlign w:val="center"/>
          </w:tcPr>
          <w:p w14:paraId="4B7F56BA" w14:textId="77777777" w:rsidR="006A3DC3" w:rsidRPr="00E4265B" w:rsidRDefault="006A3DC3" w:rsidP="00553790">
            <w:pPr>
              <w:spacing w:line="276" w:lineRule="auto"/>
              <w:jc w:val="center"/>
              <w:rPr>
                <w:rFonts w:ascii="Arial" w:hAnsi="Arial" w:cs="Arial"/>
                <w:b/>
                <w:sz w:val="22"/>
                <w:szCs w:val="22"/>
                <w:lang w:val="en-GB"/>
              </w:rPr>
            </w:pPr>
            <w:r w:rsidRPr="00E4265B">
              <w:rPr>
                <w:rFonts w:ascii="Arial" w:hAnsi="Arial" w:cs="Arial"/>
                <w:b/>
                <w:sz w:val="22"/>
                <w:szCs w:val="22"/>
                <w:lang w:val="en-GB"/>
              </w:rPr>
              <w:t>Specific Risk</w:t>
            </w:r>
          </w:p>
        </w:tc>
        <w:tc>
          <w:tcPr>
            <w:tcW w:w="1282" w:type="dxa"/>
            <w:tcBorders>
              <w:top w:val="dotted" w:sz="4" w:space="0" w:color="auto"/>
            </w:tcBorders>
            <w:shd w:val="clear" w:color="auto" w:fill="D9D9D9" w:themeFill="background1" w:themeFillShade="D9"/>
            <w:vAlign w:val="center"/>
          </w:tcPr>
          <w:p w14:paraId="6F2EFEE6" w14:textId="77777777" w:rsidR="006A3DC3" w:rsidRPr="00E4265B" w:rsidRDefault="006A3DC3" w:rsidP="00553790">
            <w:pPr>
              <w:spacing w:line="276" w:lineRule="auto"/>
              <w:jc w:val="center"/>
              <w:rPr>
                <w:rFonts w:ascii="Arial" w:hAnsi="Arial" w:cs="Arial"/>
                <w:b/>
                <w:sz w:val="22"/>
                <w:szCs w:val="22"/>
                <w:lang w:val="en-GB"/>
              </w:rPr>
            </w:pPr>
            <w:r w:rsidRPr="00E4265B">
              <w:rPr>
                <w:rFonts w:ascii="Arial" w:hAnsi="Arial" w:cs="Arial"/>
                <w:b/>
                <w:sz w:val="22"/>
                <w:szCs w:val="22"/>
                <w:lang w:val="en-GB"/>
              </w:rPr>
              <w:t>General Market Risk</w:t>
            </w:r>
          </w:p>
        </w:tc>
        <w:tc>
          <w:tcPr>
            <w:tcW w:w="1282" w:type="dxa"/>
            <w:tcBorders>
              <w:top w:val="dotted" w:sz="4" w:space="0" w:color="auto"/>
            </w:tcBorders>
            <w:shd w:val="clear" w:color="auto" w:fill="D9D9D9" w:themeFill="background1" w:themeFillShade="D9"/>
            <w:vAlign w:val="center"/>
          </w:tcPr>
          <w:p w14:paraId="78F5BBE1" w14:textId="77777777" w:rsidR="006A3DC3" w:rsidRPr="00E4265B" w:rsidRDefault="006A3DC3" w:rsidP="00553790">
            <w:pPr>
              <w:spacing w:line="276" w:lineRule="auto"/>
              <w:jc w:val="center"/>
              <w:rPr>
                <w:rFonts w:ascii="Arial" w:hAnsi="Arial" w:cs="Arial"/>
                <w:b/>
                <w:sz w:val="22"/>
                <w:szCs w:val="22"/>
                <w:lang w:val="en-GB"/>
              </w:rPr>
            </w:pPr>
            <w:r w:rsidRPr="00E4265B">
              <w:rPr>
                <w:rFonts w:ascii="Arial" w:hAnsi="Arial" w:cs="Arial"/>
                <w:b/>
                <w:sz w:val="22"/>
                <w:szCs w:val="22"/>
                <w:lang w:val="en-GB"/>
              </w:rPr>
              <w:t>Specific Risk</w:t>
            </w:r>
          </w:p>
        </w:tc>
      </w:tr>
      <w:tr w:rsidR="00E22FF2" w:rsidRPr="00E4265B" w14:paraId="78AF7C74" w14:textId="77777777" w:rsidTr="00384436">
        <w:tc>
          <w:tcPr>
            <w:tcW w:w="3018" w:type="dxa"/>
            <w:vAlign w:val="center"/>
          </w:tcPr>
          <w:p w14:paraId="54C22CBE"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Date of initial commitment until working day 0</w:t>
            </w:r>
          </w:p>
        </w:tc>
        <w:tc>
          <w:tcPr>
            <w:tcW w:w="1281" w:type="dxa"/>
            <w:vAlign w:val="center"/>
          </w:tcPr>
          <w:p w14:paraId="383B5EF9"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0%</w:t>
            </w:r>
          </w:p>
        </w:tc>
        <w:tc>
          <w:tcPr>
            <w:tcW w:w="1282" w:type="dxa"/>
            <w:vAlign w:val="center"/>
          </w:tcPr>
          <w:p w14:paraId="58B74A27"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100%</w:t>
            </w:r>
          </w:p>
        </w:tc>
        <w:tc>
          <w:tcPr>
            <w:tcW w:w="1282" w:type="dxa"/>
            <w:vAlign w:val="center"/>
          </w:tcPr>
          <w:p w14:paraId="0AA48FE4"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90%</w:t>
            </w:r>
          </w:p>
        </w:tc>
        <w:tc>
          <w:tcPr>
            <w:tcW w:w="1282" w:type="dxa"/>
            <w:vAlign w:val="center"/>
          </w:tcPr>
          <w:p w14:paraId="6630C982"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90%</w:t>
            </w:r>
          </w:p>
        </w:tc>
      </w:tr>
      <w:tr w:rsidR="00E22FF2" w:rsidRPr="00E4265B" w14:paraId="7D17525F" w14:textId="77777777" w:rsidTr="00384436">
        <w:tc>
          <w:tcPr>
            <w:tcW w:w="3018" w:type="dxa"/>
            <w:vAlign w:val="center"/>
          </w:tcPr>
          <w:p w14:paraId="7F46747C"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Working day 1</w:t>
            </w:r>
          </w:p>
        </w:tc>
        <w:tc>
          <w:tcPr>
            <w:tcW w:w="1281" w:type="dxa"/>
            <w:vAlign w:val="center"/>
          </w:tcPr>
          <w:p w14:paraId="4CEFAD1C"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0%</w:t>
            </w:r>
          </w:p>
        </w:tc>
        <w:tc>
          <w:tcPr>
            <w:tcW w:w="1282" w:type="dxa"/>
            <w:vAlign w:val="center"/>
          </w:tcPr>
          <w:p w14:paraId="21D0F2F3"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90%</w:t>
            </w:r>
          </w:p>
        </w:tc>
        <w:tc>
          <w:tcPr>
            <w:tcW w:w="1282" w:type="dxa"/>
            <w:vAlign w:val="center"/>
          </w:tcPr>
          <w:p w14:paraId="68051DB4"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90%</w:t>
            </w:r>
          </w:p>
        </w:tc>
        <w:tc>
          <w:tcPr>
            <w:tcW w:w="1282" w:type="dxa"/>
            <w:vAlign w:val="center"/>
          </w:tcPr>
          <w:p w14:paraId="275182E5"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90%</w:t>
            </w:r>
          </w:p>
        </w:tc>
      </w:tr>
      <w:tr w:rsidR="00E22FF2" w:rsidRPr="00E4265B" w14:paraId="5043131C" w14:textId="77777777" w:rsidTr="00384436">
        <w:tc>
          <w:tcPr>
            <w:tcW w:w="3018" w:type="dxa"/>
            <w:vAlign w:val="center"/>
          </w:tcPr>
          <w:p w14:paraId="02BFF5C9"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Working day 2</w:t>
            </w:r>
          </w:p>
        </w:tc>
        <w:tc>
          <w:tcPr>
            <w:tcW w:w="1281" w:type="dxa"/>
            <w:vAlign w:val="center"/>
          </w:tcPr>
          <w:p w14:paraId="1944C975"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0%</w:t>
            </w:r>
          </w:p>
        </w:tc>
        <w:tc>
          <w:tcPr>
            <w:tcW w:w="1282" w:type="dxa"/>
            <w:vAlign w:val="center"/>
          </w:tcPr>
          <w:p w14:paraId="7EF15223"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75%</w:t>
            </w:r>
          </w:p>
        </w:tc>
        <w:tc>
          <w:tcPr>
            <w:tcW w:w="1282" w:type="dxa"/>
            <w:vAlign w:val="center"/>
          </w:tcPr>
          <w:p w14:paraId="0AE9083F"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75%</w:t>
            </w:r>
          </w:p>
        </w:tc>
        <w:tc>
          <w:tcPr>
            <w:tcW w:w="1282" w:type="dxa"/>
            <w:vAlign w:val="center"/>
          </w:tcPr>
          <w:p w14:paraId="28EE125C"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75%</w:t>
            </w:r>
          </w:p>
        </w:tc>
      </w:tr>
      <w:tr w:rsidR="00E22FF2" w:rsidRPr="00E4265B" w14:paraId="33ADEDE2" w14:textId="77777777" w:rsidTr="00384436">
        <w:tc>
          <w:tcPr>
            <w:tcW w:w="3018" w:type="dxa"/>
            <w:vAlign w:val="center"/>
          </w:tcPr>
          <w:p w14:paraId="38410226"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Working day 3</w:t>
            </w:r>
          </w:p>
        </w:tc>
        <w:tc>
          <w:tcPr>
            <w:tcW w:w="1281" w:type="dxa"/>
            <w:vAlign w:val="center"/>
          </w:tcPr>
          <w:p w14:paraId="30FC31A4"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0%</w:t>
            </w:r>
          </w:p>
        </w:tc>
        <w:tc>
          <w:tcPr>
            <w:tcW w:w="1282" w:type="dxa"/>
            <w:vAlign w:val="center"/>
          </w:tcPr>
          <w:p w14:paraId="56091F24"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75%</w:t>
            </w:r>
          </w:p>
        </w:tc>
        <w:tc>
          <w:tcPr>
            <w:tcW w:w="1282" w:type="dxa"/>
            <w:vAlign w:val="center"/>
          </w:tcPr>
          <w:p w14:paraId="36FC9B9E"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75%</w:t>
            </w:r>
          </w:p>
        </w:tc>
        <w:tc>
          <w:tcPr>
            <w:tcW w:w="1282" w:type="dxa"/>
            <w:vAlign w:val="center"/>
          </w:tcPr>
          <w:p w14:paraId="13EAD9B0"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75%</w:t>
            </w:r>
          </w:p>
        </w:tc>
      </w:tr>
      <w:tr w:rsidR="00E22FF2" w:rsidRPr="00E4265B" w14:paraId="54A1A5DF" w14:textId="77777777" w:rsidTr="00384436">
        <w:tc>
          <w:tcPr>
            <w:tcW w:w="3018" w:type="dxa"/>
            <w:vAlign w:val="center"/>
          </w:tcPr>
          <w:p w14:paraId="328BD2BD"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Working day 4</w:t>
            </w:r>
          </w:p>
        </w:tc>
        <w:tc>
          <w:tcPr>
            <w:tcW w:w="1281" w:type="dxa"/>
            <w:vAlign w:val="center"/>
          </w:tcPr>
          <w:p w14:paraId="39207C1F"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0%</w:t>
            </w:r>
          </w:p>
        </w:tc>
        <w:tc>
          <w:tcPr>
            <w:tcW w:w="1282" w:type="dxa"/>
            <w:vAlign w:val="center"/>
          </w:tcPr>
          <w:p w14:paraId="2E467479"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50%</w:t>
            </w:r>
          </w:p>
        </w:tc>
        <w:tc>
          <w:tcPr>
            <w:tcW w:w="1282" w:type="dxa"/>
            <w:vAlign w:val="center"/>
          </w:tcPr>
          <w:p w14:paraId="5FEF1D2C"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50%</w:t>
            </w:r>
          </w:p>
        </w:tc>
        <w:tc>
          <w:tcPr>
            <w:tcW w:w="1282" w:type="dxa"/>
            <w:vAlign w:val="center"/>
          </w:tcPr>
          <w:p w14:paraId="733F0B4E"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50%</w:t>
            </w:r>
          </w:p>
        </w:tc>
      </w:tr>
      <w:tr w:rsidR="00E22FF2" w:rsidRPr="00E4265B" w14:paraId="0446FE9D" w14:textId="77777777" w:rsidTr="00384436">
        <w:tc>
          <w:tcPr>
            <w:tcW w:w="3018" w:type="dxa"/>
            <w:vAlign w:val="center"/>
          </w:tcPr>
          <w:p w14:paraId="586543A3"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Working day 5</w:t>
            </w:r>
          </w:p>
        </w:tc>
        <w:tc>
          <w:tcPr>
            <w:tcW w:w="1281" w:type="dxa"/>
            <w:vAlign w:val="center"/>
          </w:tcPr>
          <w:p w14:paraId="3FE0A612"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0%</w:t>
            </w:r>
          </w:p>
        </w:tc>
        <w:tc>
          <w:tcPr>
            <w:tcW w:w="1282" w:type="dxa"/>
            <w:vAlign w:val="center"/>
          </w:tcPr>
          <w:p w14:paraId="284FE2EC"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25%</w:t>
            </w:r>
          </w:p>
        </w:tc>
        <w:tc>
          <w:tcPr>
            <w:tcW w:w="1282" w:type="dxa"/>
            <w:vAlign w:val="center"/>
          </w:tcPr>
          <w:p w14:paraId="1BC13E2B"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25%</w:t>
            </w:r>
          </w:p>
        </w:tc>
        <w:tc>
          <w:tcPr>
            <w:tcW w:w="1282" w:type="dxa"/>
            <w:vAlign w:val="center"/>
          </w:tcPr>
          <w:p w14:paraId="5F7AC791"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25%</w:t>
            </w:r>
          </w:p>
        </w:tc>
      </w:tr>
      <w:tr w:rsidR="00E22FF2" w:rsidRPr="00E4265B" w14:paraId="02919C51" w14:textId="77777777" w:rsidTr="00384436">
        <w:tc>
          <w:tcPr>
            <w:tcW w:w="3018" w:type="dxa"/>
            <w:vAlign w:val="center"/>
          </w:tcPr>
          <w:p w14:paraId="32A286F5"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Working day 6 and onwards</w:t>
            </w:r>
          </w:p>
        </w:tc>
        <w:tc>
          <w:tcPr>
            <w:tcW w:w="1281" w:type="dxa"/>
            <w:vAlign w:val="center"/>
          </w:tcPr>
          <w:p w14:paraId="20202824"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0%</w:t>
            </w:r>
          </w:p>
        </w:tc>
        <w:tc>
          <w:tcPr>
            <w:tcW w:w="1282" w:type="dxa"/>
            <w:vAlign w:val="center"/>
          </w:tcPr>
          <w:p w14:paraId="0CB0BD54"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0%</w:t>
            </w:r>
          </w:p>
        </w:tc>
        <w:tc>
          <w:tcPr>
            <w:tcW w:w="1282" w:type="dxa"/>
            <w:vAlign w:val="center"/>
          </w:tcPr>
          <w:p w14:paraId="735C0798"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0%</w:t>
            </w:r>
          </w:p>
        </w:tc>
        <w:tc>
          <w:tcPr>
            <w:tcW w:w="1282" w:type="dxa"/>
            <w:vAlign w:val="center"/>
          </w:tcPr>
          <w:p w14:paraId="2C9C4862"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0%</w:t>
            </w:r>
          </w:p>
        </w:tc>
      </w:tr>
    </w:tbl>
    <w:p w14:paraId="27267232" w14:textId="77777777" w:rsidR="00E22FF2" w:rsidRPr="00E4265B" w:rsidRDefault="00E22FF2" w:rsidP="00572832">
      <w:pPr>
        <w:rPr>
          <w:rFonts w:ascii="Arial" w:hAnsi="Arial" w:cs="Arial"/>
          <w:sz w:val="22"/>
          <w:szCs w:val="22"/>
          <w:lang w:val="en-GB"/>
        </w:rPr>
      </w:pPr>
    </w:p>
    <w:p w14:paraId="08F7A66F" w14:textId="7B899A71"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Large Exposure</w:t>
      </w:r>
      <w:r w:rsidR="00864017" w:rsidRPr="00E4265B">
        <w:rPr>
          <w:rFonts w:ascii="Arial" w:hAnsi="Arial" w:cs="Arial"/>
          <w:sz w:val="22"/>
          <w:szCs w:val="22"/>
          <w:lang w:val="en-GB"/>
        </w:rPr>
        <w:t>s</w:t>
      </w:r>
      <w:r w:rsidRPr="00E4265B">
        <w:rPr>
          <w:rFonts w:ascii="Arial" w:hAnsi="Arial" w:cs="Arial"/>
          <w:sz w:val="22"/>
          <w:szCs w:val="22"/>
          <w:lang w:val="en-GB"/>
        </w:rPr>
        <w:t xml:space="preserve"> risk from </w:t>
      </w:r>
      <w:r w:rsidR="00C033FC" w:rsidRPr="00E4265B">
        <w:rPr>
          <w:rFonts w:ascii="Arial" w:hAnsi="Arial" w:cs="Arial"/>
          <w:sz w:val="22"/>
          <w:szCs w:val="22"/>
          <w:lang w:val="en-GB"/>
        </w:rPr>
        <w:t>Underwriting</w:t>
      </w:r>
      <w:r w:rsidRPr="00E4265B">
        <w:rPr>
          <w:rFonts w:ascii="Arial" w:hAnsi="Arial" w:cs="Arial"/>
          <w:sz w:val="22"/>
          <w:szCs w:val="22"/>
          <w:lang w:val="en-GB"/>
        </w:rPr>
        <w:t xml:space="preserv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Calculating the net </w:t>
      </w:r>
      <w:r w:rsidR="00C033FC" w:rsidRPr="00E4265B">
        <w:rPr>
          <w:rFonts w:ascii="Arial" w:hAnsi="Arial" w:cs="Arial"/>
          <w:sz w:val="22"/>
          <w:szCs w:val="22"/>
          <w:lang w:val="en-GB"/>
        </w:rPr>
        <w:t>Underwriting</w:t>
      </w:r>
      <w:r w:rsidRPr="00E4265B">
        <w:rPr>
          <w:rFonts w:ascii="Arial" w:hAnsi="Arial" w:cs="Arial"/>
          <w:sz w:val="22"/>
          <w:szCs w:val="22"/>
          <w:lang w:val="en-GB"/>
        </w:rPr>
        <w:t xml:space="preserve"> Exposure</w:t>
      </w:r>
    </w:p>
    <w:p w14:paraId="1FB8B8A2" w14:textId="5A02960C" w:rsidR="00E22FF2" w:rsidRPr="00E4265B" w:rsidRDefault="00E22FF2" w:rsidP="00864017">
      <w:pPr>
        <w:pStyle w:val="A1List"/>
        <w:rPr>
          <w:rFonts w:ascii="Arial" w:hAnsi="Arial" w:cs="Arial"/>
          <w:sz w:val="22"/>
          <w:szCs w:val="22"/>
          <w:lang w:val="en-GB"/>
        </w:rPr>
      </w:pPr>
      <w:r w:rsidRPr="00E4265B">
        <w:rPr>
          <w:rFonts w:ascii="Arial" w:hAnsi="Arial" w:cs="Arial"/>
          <w:b/>
          <w:bCs/>
          <w:sz w:val="22"/>
          <w:szCs w:val="22"/>
          <w:lang w:val="en-GB"/>
        </w:rPr>
        <w:t>A</w:t>
      </w:r>
      <w:r w:rsidR="00326FE7" w:rsidRPr="00E4265B">
        <w:rPr>
          <w:rFonts w:ascii="Arial" w:hAnsi="Arial" w:cs="Arial"/>
          <w:b/>
          <w:bCs/>
          <w:sz w:val="22"/>
          <w:szCs w:val="22"/>
          <w:lang w:val="en-GB"/>
        </w:rPr>
        <w:t>6</w:t>
      </w:r>
      <w:r w:rsidRPr="00E4265B">
        <w:rPr>
          <w:rFonts w:ascii="Arial" w:hAnsi="Arial" w:cs="Arial"/>
          <w:b/>
          <w:bCs/>
          <w:sz w:val="22"/>
          <w:szCs w:val="22"/>
          <w:lang w:val="en-GB"/>
        </w:rPr>
        <w:t>.8.11</w:t>
      </w:r>
      <w:r w:rsidRPr="00E4265B">
        <w:rPr>
          <w:rFonts w:ascii="Arial" w:hAnsi="Arial" w:cs="Arial"/>
          <w:b/>
          <w:bCs/>
          <w:sz w:val="22"/>
          <w:szCs w:val="22"/>
          <w:lang w:val="en-GB"/>
        </w:rPr>
        <w:tab/>
      </w:r>
      <w:r w:rsidRPr="00E4265B">
        <w:rPr>
          <w:rFonts w:ascii="Arial" w:hAnsi="Arial" w:cs="Arial"/>
          <w:sz w:val="22"/>
          <w:szCs w:val="22"/>
          <w:lang w:val="en-GB"/>
        </w:rPr>
        <w:t xml:space="preserve">For </w:t>
      </w:r>
      <w:r w:rsidR="00864017" w:rsidRPr="00E4265B">
        <w:rPr>
          <w:rFonts w:ascii="Arial" w:hAnsi="Arial" w:cs="Arial"/>
          <w:sz w:val="22"/>
          <w:szCs w:val="22"/>
          <w:lang w:val="en-GB"/>
        </w:rPr>
        <w:t>Large Exposures</w:t>
      </w:r>
      <w:r w:rsidRPr="00E4265B">
        <w:rPr>
          <w:rFonts w:ascii="Arial" w:hAnsi="Arial" w:cs="Arial"/>
          <w:sz w:val="22"/>
          <w:szCs w:val="22"/>
          <w:lang w:val="en-GB"/>
        </w:rPr>
        <w:t xml:space="preserve"> purposes, the total amount of an </w:t>
      </w:r>
      <w:r w:rsidR="000D1A90" w:rsidRPr="00E4265B">
        <w:rPr>
          <w:rFonts w:ascii="Arial" w:hAnsi="Arial" w:cs="Arial"/>
          <w:sz w:val="22"/>
          <w:szCs w:val="22"/>
          <w:lang w:val="en-GB"/>
        </w:rPr>
        <w:t>Authorised Person</w:t>
      </w:r>
      <w:r w:rsidRPr="00E4265B">
        <w:rPr>
          <w:rFonts w:ascii="Arial" w:hAnsi="Arial" w:cs="Arial"/>
          <w:sz w:val="22"/>
          <w:szCs w:val="22"/>
          <w:lang w:val="en-GB"/>
        </w:rPr>
        <w:t>'s Trading Book Exposures to any Person must include net Underwriting Exposure to that Person.</w:t>
      </w:r>
    </w:p>
    <w:p w14:paraId="0C8FDD32" w14:textId="54BD52B3" w:rsidR="00E22FF2" w:rsidRPr="00E4265B" w:rsidRDefault="00E22FF2" w:rsidP="00864017">
      <w:pPr>
        <w:pStyle w:val="A1List"/>
        <w:rPr>
          <w:rFonts w:ascii="Arial" w:hAnsi="Arial" w:cs="Arial"/>
          <w:sz w:val="22"/>
          <w:szCs w:val="22"/>
          <w:lang w:val="en-GB"/>
        </w:rPr>
      </w:pPr>
      <w:r w:rsidRPr="00E4265B">
        <w:rPr>
          <w:rFonts w:ascii="Arial" w:hAnsi="Arial" w:cs="Arial"/>
          <w:b/>
          <w:bCs/>
          <w:sz w:val="22"/>
          <w:szCs w:val="22"/>
          <w:lang w:val="en-GB"/>
        </w:rPr>
        <w:t>A</w:t>
      </w:r>
      <w:r w:rsidR="00326FE7" w:rsidRPr="00E4265B">
        <w:rPr>
          <w:rFonts w:ascii="Arial" w:hAnsi="Arial" w:cs="Arial"/>
          <w:b/>
          <w:bCs/>
          <w:sz w:val="22"/>
          <w:szCs w:val="22"/>
          <w:lang w:val="en-GB"/>
        </w:rPr>
        <w:t>6</w:t>
      </w:r>
      <w:r w:rsidRPr="00E4265B">
        <w:rPr>
          <w:rFonts w:ascii="Arial" w:hAnsi="Arial" w:cs="Arial"/>
          <w:b/>
          <w:bCs/>
          <w:sz w:val="22"/>
          <w:szCs w:val="22"/>
          <w:lang w:val="en-GB"/>
        </w:rPr>
        <w:t>.8.12</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include any other Exposures arising out of </w:t>
      </w:r>
      <w:r w:rsidR="00C033FC" w:rsidRPr="00E4265B">
        <w:rPr>
          <w:rFonts w:ascii="Arial" w:hAnsi="Arial" w:cs="Arial"/>
          <w:sz w:val="22"/>
          <w:szCs w:val="22"/>
          <w:lang w:val="en-GB"/>
        </w:rPr>
        <w:t>Underwriting</w:t>
      </w:r>
      <w:r w:rsidRPr="00E4265B">
        <w:rPr>
          <w:rFonts w:ascii="Arial" w:hAnsi="Arial" w:cs="Arial"/>
          <w:sz w:val="22"/>
          <w:szCs w:val="22"/>
          <w:lang w:val="en-GB"/>
        </w:rPr>
        <w:t xml:space="preserve"> (including any Counterparty Exposures to any sub</w:t>
      </w:r>
      <w:r w:rsidRPr="00E4265B">
        <w:rPr>
          <w:rFonts w:ascii="Arial" w:hAnsi="Arial" w:cs="Arial"/>
          <w:sz w:val="22"/>
          <w:szCs w:val="22"/>
          <w:lang w:val="en-GB"/>
        </w:rPr>
        <w:noBreakHyphen/>
        <w:t xml:space="preserve">underwriters) for the purposes of calculating the total amount of its Trading Book Exposures to a Person for </w:t>
      </w:r>
      <w:r w:rsidR="00864017" w:rsidRPr="00E4265B">
        <w:rPr>
          <w:rFonts w:ascii="Arial" w:hAnsi="Arial" w:cs="Arial"/>
          <w:sz w:val="22"/>
          <w:szCs w:val="22"/>
          <w:lang w:val="en-GB"/>
        </w:rPr>
        <w:t>Large Exposures</w:t>
      </w:r>
      <w:r w:rsidRPr="00E4265B">
        <w:rPr>
          <w:rFonts w:ascii="Arial" w:hAnsi="Arial" w:cs="Arial"/>
          <w:sz w:val="22"/>
          <w:szCs w:val="22"/>
          <w:lang w:val="en-GB"/>
        </w:rPr>
        <w:t xml:space="preserve"> purposes.</w:t>
      </w:r>
    </w:p>
    <w:p w14:paraId="06257F70" w14:textId="4E70CEFF" w:rsidR="00E22FF2" w:rsidRPr="00E4265B" w:rsidRDefault="00E22FF2" w:rsidP="00864017">
      <w:pPr>
        <w:pStyle w:val="A1List"/>
        <w:rPr>
          <w:rFonts w:ascii="Arial" w:hAnsi="Arial" w:cs="Arial"/>
          <w:sz w:val="22"/>
          <w:szCs w:val="22"/>
          <w:lang w:val="en-GB"/>
        </w:rPr>
      </w:pPr>
      <w:r w:rsidRPr="00E4265B">
        <w:rPr>
          <w:rFonts w:ascii="Arial" w:hAnsi="Arial" w:cs="Arial"/>
          <w:b/>
          <w:bCs/>
          <w:sz w:val="22"/>
          <w:szCs w:val="22"/>
          <w:lang w:val="en-GB"/>
        </w:rPr>
        <w:t>A</w:t>
      </w:r>
      <w:r w:rsidR="00326FE7" w:rsidRPr="00E4265B">
        <w:rPr>
          <w:rFonts w:ascii="Arial" w:hAnsi="Arial" w:cs="Arial"/>
          <w:b/>
          <w:bCs/>
          <w:sz w:val="22"/>
          <w:szCs w:val="22"/>
          <w:lang w:val="en-GB"/>
        </w:rPr>
        <w:t>6</w:t>
      </w:r>
      <w:r w:rsidRPr="00E4265B">
        <w:rPr>
          <w:rFonts w:ascii="Arial" w:hAnsi="Arial" w:cs="Arial"/>
          <w:b/>
          <w:bCs/>
          <w:sz w:val="22"/>
          <w:szCs w:val="22"/>
          <w:lang w:val="en-GB"/>
        </w:rPr>
        <w:t>.8.13</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before entering into a new Underwriting commitment, must be able to recalculate the Co</w:t>
      </w:r>
      <w:r w:rsidR="00864017" w:rsidRPr="00E4265B">
        <w:rPr>
          <w:rFonts w:ascii="Arial" w:hAnsi="Arial" w:cs="Arial"/>
          <w:sz w:val="22"/>
          <w:szCs w:val="22"/>
          <w:lang w:val="en-GB"/>
        </w:rPr>
        <w:t xml:space="preserve">unterparty Credit </w:t>
      </w:r>
      <w:r w:rsidRPr="00E4265B">
        <w:rPr>
          <w:rFonts w:ascii="Arial" w:hAnsi="Arial" w:cs="Arial"/>
          <w:sz w:val="22"/>
          <w:szCs w:val="22"/>
          <w:lang w:val="en-GB"/>
        </w:rPr>
        <w:t>Risk capital component to the level of detail necessary to ensure that the firm's Capital Resources Requirement does not exceed the firm's Capital Resources.</w:t>
      </w:r>
    </w:p>
    <w:p w14:paraId="6796AEF9"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326FE7" w:rsidRPr="00E4265B">
        <w:rPr>
          <w:rFonts w:ascii="Arial" w:hAnsi="Arial" w:cs="Arial"/>
          <w:b/>
          <w:bCs/>
          <w:sz w:val="22"/>
          <w:szCs w:val="22"/>
          <w:lang w:val="en-GB"/>
        </w:rPr>
        <w:t>6</w:t>
      </w:r>
      <w:r w:rsidRPr="00E4265B">
        <w:rPr>
          <w:rFonts w:ascii="Arial" w:hAnsi="Arial" w:cs="Arial"/>
          <w:b/>
          <w:bCs/>
          <w:sz w:val="22"/>
          <w:szCs w:val="22"/>
          <w:lang w:val="en-GB"/>
        </w:rPr>
        <w:t>.8.14</w:t>
      </w:r>
      <w:r w:rsidRPr="00E4265B">
        <w:rPr>
          <w:rFonts w:ascii="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the net Underwriting Exposure to an Issuer by applying the relevant reduction factors in the table below to its net Underwriting position calculated under Rule A</w:t>
      </w:r>
      <w:r w:rsidR="00326FE7" w:rsidRPr="00E4265B">
        <w:rPr>
          <w:rFonts w:ascii="Arial" w:hAnsi="Arial" w:cs="Arial"/>
          <w:sz w:val="22"/>
          <w:szCs w:val="22"/>
          <w:lang w:val="en-GB"/>
        </w:rPr>
        <w:t>6</w:t>
      </w:r>
      <w:r w:rsidRPr="00E4265B">
        <w:rPr>
          <w:rFonts w:ascii="Arial" w:hAnsi="Arial" w:cs="Arial"/>
          <w:sz w:val="22"/>
          <w:szCs w:val="22"/>
          <w:lang w:val="en-GB"/>
        </w:rPr>
        <w:t>.8.6.</w:t>
      </w:r>
    </w:p>
    <w:tbl>
      <w:tblPr>
        <w:tblStyle w:val="TableGrid"/>
        <w:tblW w:w="0" w:type="auto"/>
        <w:tblInd w:w="1098" w:type="dxa"/>
        <w:tblLook w:val="04A0" w:firstRow="1" w:lastRow="0" w:firstColumn="1" w:lastColumn="0" w:noHBand="0" w:noVBand="1"/>
      </w:tblPr>
      <w:tblGrid>
        <w:gridCol w:w="3956"/>
        <w:gridCol w:w="3963"/>
      </w:tblGrid>
      <w:tr w:rsidR="00E22FF2" w:rsidRPr="00E4265B" w14:paraId="67FB4234" w14:textId="77777777" w:rsidTr="00572832">
        <w:trPr>
          <w:tblHeader/>
        </w:trPr>
        <w:tc>
          <w:tcPr>
            <w:tcW w:w="4072" w:type="dxa"/>
            <w:shd w:val="clear" w:color="auto" w:fill="D9D9D9" w:themeFill="background1" w:themeFillShade="D9"/>
            <w:vAlign w:val="center"/>
          </w:tcPr>
          <w:p w14:paraId="1AC364A5" w14:textId="77777777" w:rsidR="00E22FF2" w:rsidRPr="00E4265B" w:rsidRDefault="00E22FF2" w:rsidP="00553790">
            <w:pPr>
              <w:spacing w:line="276" w:lineRule="auto"/>
              <w:jc w:val="center"/>
              <w:rPr>
                <w:rFonts w:ascii="Arial" w:eastAsia="Arial" w:hAnsi="Arial" w:cs="Arial"/>
                <w:b/>
                <w:sz w:val="22"/>
                <w:szCs w:val="22"/>
                <w:lang w:val="en-GB"/>
              </w:rPr>
            </w:pPr>
            <w:r w:rsidRPr="00E4265B">
              <w:rPr>
                <w:rFonts w:ascii="Arial" w:hAnsi="Arial" w:cs="Arial"/>
                <w:b/>
                <w:sz w:val="22"/>
                <w:szCs w:val="22"/>
                <w:lang w:val="en-GB"/>
              </w:rPr>
              <w:t>Time</w:t>
            </w:r>
          </w:p>
        </w:tc>
        <w:tc>
          <w:tcPr>
            <w:tcW w:w="4073" w:type="dxa"/>
            <w:shd w:val="clear" w:color="auto" w:fill="D9D9D9" w:themeFill="background1" w:themeFillShade="D9"/>
            <w:vAlign w:val="center"/>
          </w:tcPr>
          <w:p w14:paraId="54F8CDC8" w14:textId="77777777" w:rsidR="00E22FF2" w:rsidRPr="00E4265B" w:rsidRDefault="00E22FF2" w:rsidP="00553790">
            <w:pPr>
              <w:spacing w:line="276" w:lineRule="auto"/>
              <w:jc w:val="center"/>
              <w:rPr>
                <w:rFonts w:ascii="Arial" w:hAnsi="Arial" w:cs="Arial"/>
                <w:b/>
                <w:sz w:val="22"/>
                <w:szCs w:val="22"/>
                <w:lang w:val="en-GB"/>
              </w:rPr>
            </w:pPr>
            <w:r w:rsidRPr="00E4265B">
              <w:rPr>
                <w:rFonts w:ascii="Arial" w:hAnsi="Arial" w:cs="Arial"/>
                <w:b/>
                <w:sz w:val="22"/>
                <w:szCs w:val="22"/>
                <w:lang w:val="en-GB"/>
              </w:rPr>
              <w:t xml:space="preserve">Reduction factor to be applied to net </w:t>
            </w:r>
            <w:r w:rsidR="00C033FC" w:rsidRPr="00E4265B">
              <w:rPr>
                <w:rFonts w:ascii="Arial" w:hAnsi="Arial" w:cs="Arial"/>
                <w:b/>
                <w:sz w:val="22"/>
                <w:szCs w:val="22"/>
                <w:lang w:val="en-GB"/>
              </w:rPr>
              <w:t>Underwriting</w:t>
            </w:r>
            <w:r w:rsidRPr="00E4265B">
              <w:rPr>
                <w:rFonts w:ascii="Arial" w:hAnsi="Arial" w:cs="Arial"/>
                <w:b/>
                <w:sz w:val="22"/>
                <w:szCs w:val="22"/>
                <w:lang w:val="en-GB"/>
              </w:rPr>
              <w:t xml:space="preserve"> position</w:t>
            </w:r>
          </w:p>
        </w:tc>
      </w:tr>
      <w:tr w:rsidR="00E22FF2" w:rsidRPr="00E4265B" w14:paraId="45C713F0" w14:textId="77777777" w:rsidTr="00572832">
        <w:tc>
          <w:tcPr>
            <w:tcW w:w="4072" w:type="dxa"/>
          </w:tcPr>
          <w:p w14:paraId="2D27A8D9"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Initial commitment to working day 0</w:t>
            </w:r>
          </w:p>
        </w:tc>
        <w:tc>
          <w:tcPr>
            <w:tcW w:w="4073" w:type="dxa"/>
          </w:tcPr>
          <w:p w14:paraId="65854C25"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100%</w:t>
            </w:r>
          </w:p>
        </w:tc>
      </w:tr>
      <w:tr w:rsidR="00E22FF2" w:rsidRPr="00E4265B" w14:paraId="4FA2847F" w14:textId="77777777" w:rsidTr="00572832">
        <w:tc>
          <w:tcPr>
            <w:tcW w:w="4072" w:type="dxa"/>
          </w:tcPr>
          <w:p w14:paraId="0154B8A1"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Working day 0</w:t>
            </w:r>
          </w:p>
        </w:tc>
        <w:tc>
          <w:tcPr>
            <w:tcW w:w="4073" w:type="dxa"/>
          </w:tcPr>
          <w:p w14:paraId="2A3BB52F"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100%</w:t>
            </w:r>
          </w:p>
        </w:tc>
      </w:tr>
      <w:tr w:rsidR="00E22FF2" w:rsidRPr="00E4265B" w14:paraId="0E1A9D05" w14:textId="77777777" w:rsidTr="00572832">
        <w:tc>
          <w:tcPr>
            <w:tcW w:w="4072" w:type="dxa"/>
          </w:tcPr>
          <w:p w14:paraId="28C1D8DD"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Working day 1</w:t>
            </w:r>
          </w:p>
        </w:tc>
        <w:tc>
          <w:tcPr>
            <w:tcW w:w="4073" w:type="dxa"/>
          </w:tcPr>
          <w:p w14:paraId="2FA9547A"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90%</w:t>
            </w:r>
          </w:p>
        </w:tc>
      </w:tr>
      <w:tr w:rsidR="00E22FF2" w:rsidRPr="00E4265B" w14:paraId="3BEF49AA" w14:textId="77777777" w:rsidTr="00572832">
        <w:tc>
          <w:tcPr>
            <w:tcW w:w="4072" w:type="dxa"/>
          </w:tcPr>
          <w:p w14:paraId="2E069458"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Working day 2</w:t>
            </w:r>
          </w:p>
        </w:tc>
        <w:tc>
          <w:tcPr>
            <w:tcW w:w="4073" w:type="dxa"/>
          </w:tcPr>
          <w:p w14:paraId="4D75D167"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75%</w:t>
            </w:r>
          </w:p>
        </w:tc>
      </w:tr>
      <w:tr w:rsidR="00E22FF2" w:rsidRPr="00E4265B" w14:paraId="0AD7FF69" w14:textId="77777777" w:rsidTr="00572832">
        <w:tc>
          <w:tcPr>
            <w:tcW w:w="4072" w:type="dxa"/>
          </w:tcPr>
          <w:p w14:paraId="65E9D227"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Working day 3</w:t>
            </w:r>
          </w:p>
        </w:tc>
        <w:tc>
          <w:tcPr>
            <w:tcW w:w="4073" w:type="dxa"/>
          </w:tcPr>
          <w:p w14:paraId="56300260"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75%</w:t>
            </w:r>
          </w:p>
        </w:tc>
      </w:tr>
      <w:tr w:rsidR="00E22FF2" w:rsidRPr="00E4265B" w14:paraId="308D5CB2" w14:textId="77777777" w:rsidTr="00572832">
        <w:tc>
          <w:tcPr>
            <w:tcW w:w="4072" w:type="dxa"/>
          </w:tcPr>
          <w:p w14:paraId="1B6E0D27"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Working day 4</w:t>
            </w:r>
          </w:p>
        </w:tc>
        <w:tc>
          <w:tcPr>
            <w:tcW w:w="4073" w:type="dxa"/>
          </w:tcPr>
          <w:p w14:paraId="67FB58DF"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50%</w:t>
            </w:r>
          </w:p>
        </w:tc>
      </w:tr>
      <w:tr w:rsidR="00E22FF2" w:rsidRPr="00E4265B" w14:paraId="79D8E208" w14:textId="77777777" w:rsidTr="00572832">
        <w:tc>
          <w:tcPr>
            <w:tcW w:w="4072" w:type="dxa"/>
          </w:tcPr>
          <w:p w14:paraId="3A29F1E8"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Working day 5</w:t>
            </w:r>
          </w:p>
        </w:tc>
        <w:tc>
          <w:tcPr>
            <w:tcW w:w="4073" w:type="dxa"/>
          </w:tcPr>
          <w:p w14:paraId="76321191"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25%</w:t>
            </w:r>
          </w:p>
        </w:tc>
      </w:tr>
      <w:tr w:rsidR="00E22FF2" w:rsidRPr="00E4265B" w14:paraId="440D64F1" w14:textId="77777777" w:rsidTr="00572832">
        <w:tc>
          <w:tcPr>
            <w:tcW w:w="4072" w:type="dxa"/>
          </w:tcPr>
          <w:p w14:paraId="10643E93"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Working day 6 onwards</w:t>
            </w:r>
          </w:p>
        </w:tc>
        <w:tc>
          <w:tcPr>
            <w:tcW w:w="4073" w:type="dxa"/>
          </w:tcPr>
          <w:p w14:paraId="70C15601"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0%</w:t>
            </w:r>
          </w:p>
        </w:tc>
      </w:tr>
    </w:tbl>
    <w:p w14:paraId="50E63FB3" w14:textId="77777777" w:rsidR="00E22FF2" w:rsidRPr="00E4265B" w:rsidRDefault="00E22FF2" w:rsidP="00572832">
      <w:pPr>
        <w:rPr>
          <w:rFonts w:ascii="Arial" w:hAnsi="Arial" w:cs="Arial"/>
          <w:sz w:val="22"/>
          <w:szCs w:val="22"/>
          <w:lang w:val="en-GB"/>
        </w:rPr>
      </w:pPr>
    </w:p>
    <w:p w14:paraId="2C26A12D"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lastRenderedPageBreak/>
        <w:t>Guidance</w:t>
      </w:r>
    </w:p>
    <w:p w14:paraId="61020B72" w14:textId="59233318" w:rsidR="00E22FF2" w:rsidRPr="00E4265B" w:rsidRDefault="00E22FF2" w:rsidP="00864017">
      <w:pPr>
        <w:pStyle w:val="1List"/>
        <w:ind w:left="993" w:firstLine="0"/>
        <w:rPr>
          <w:rFonts w:ascii="Arial" w:hAnsi="Arial" w:cs="Arial"/>
          <w:sz w:val="22"/>
          <w:szCs w:val="22"/>
          <w:lang w:val="en-GB"/>
        </w:rPr>
      </w:pPr>
      <w:r w:rsidRPr="00E4265B">
        <w:rPr>
          <w:rFonts w:ascii="Arial" w:hAnsi="Arial" w:cs="Arial"/>
          <w:sz w:val="22"/>
          <w:szCs w:val="22"/>
          <w:lang w:val="en-GB"/>
        </w:rPr>
        <w:t>The effect of the Rule and the table above is that there is no concentration limit for net Underwriting</w:t>
      </w:r>
      <w:r w:rsidR="00864017" w:rsidRPr="00E4265B">
        <w:rPr>
          <w:rFonts w:ascii="Arial" w:hAnsi="Arial" w:cs="Arial"/>
          <w:sz w:val="22"/>
          <w:szCs w:val="22"/>
          <w:lang w:val="en-GB"/>
        </w:rPr>
        <w:t>.</w:t>
      </w:r>
    </w:p>
    <w:p w14:paraId="267DF4EC" w14:textId="77777777" w:rsidR="00E22FF2" w:rsidRPr="00E4265B" w:rsidRDefault="00E22FF2" w:rsidP="00864017">
      <w:pPr>
        <w:pStyle w:val="1List"/>
        <w:ind w:hanging="807"/>
        <w:rPr>
          <w:rFonts w:ascii="Arial" w:hAnsi="Arial" w:cs="Arial"/>
          <w:b/>
          <w:bCs/>
          <w:sz w:val="22"/>
          <w:szCs w:val="22"/>
          <w:lang w:val="en-GB"/>
        </w:rPr>
      </w:pPr>
      <w:r w:rsidRPr="00E4265B">
        <w:rPr>
          <w:rFonts w:ascii="Arial" w:hAnsi="Arial" w:cs="Arial"/>
          <w:b/>
          <w:bCs/>
          <w:sz w:val="22"/>
          <w:szCs w:val="22"/>
          <w:lang w:val="en-GB"/>
        </w:rPr>
        <w:t>Exposures between initial commitment and the end of working day 0.</w:t>
      </w:r>
    </w:p>
    <w:p w14:paraId="4929D9C6"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Risk management</w:t>
      </w:r>
    </w:p>
    <w:p w14:paraId="65946B2D" w14:textId="77777777" w:rsidR="00E22FF2" w:rsidRPr="00E4265B" w:rsidRDefault="00326FE7" w:rsidP="00572832">
      <w:pPr>
        <w:pStyle w:val="List2TabStops"/>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.8.15</w:t>
      </w:r>
      <w:r w:rsidR="00E22FF2" w:rsidRPr="00E4265B">
        <w:rPr>
          <w:rFonts w:ascii="Arial" w:hAnsi="Arial" w:cs="Arial"/>
          <w:b/>
          <w:bCs/>
          <w:sz w:val="22"/>
          <w:szCs w:val="22"/>
          <w:lang w:val="en-GB"/>
        </w:rPr>
        <w:tab/>
      </w:r>
      <w:r w:rsidR="00E22FF2" w:rsidRPr="00E4265B">
        <w:rPr>
          <w:rFonts w:ascii="Arial" w:hAnsi="Arial" w:cs="Arial"/>
          <w:sz w:val="22"/>
          <w:szCs w:val="22"/>
          <w:lang w:val="en-GB"/>
        </w:rPr>
        <w:t>(1)</w:t>
      </w:r>
      <w:r w:rsidR="00E22FF2"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take reasonable steps to establish and maintain such systems and controls to monitor and manage its Underwriting and sub</w:t>
      </w:r>
      <w:r w:rsidR="00E22FF2"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00E22FF2" w:rsidRPr="00E4265B">
        <w:rPr>
          <w:rFonts w:ascii="Arial" w:hAnsi="Arial" w:cs="Arial"/>
          <w:sz w:val="22"/>
          <w:szCs w:val="22"/>
          <w:lang w:val="en-GB"/>
        </w:rPr>
        <w:t xml:space="preserve"> business as are appropriate to the nature, scale and complexity of its Underwriting and sub</w:t>
      </w:r>
      <w:r w:rsidR="00E22FF2"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00E22FF2" w:rsidRPr="00E4265B">
        <w:rPr>
          <w:rFonts w:ascii="Arial" w:hAnsi="Arial" w:cs="Arial"/>
          <w:sz w:val="22"/>
          <w:szCs w:val="22"/>
          <w:lang w:val="en-GB"/>
        </w:rPr>
        <w:t xml:space="preserve"> business.</w:t>
      </w:r>
    </w:p>
    <w:p w14:paraId="09E08CE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In particular,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have systems to monitor and control its Underwriting Exposures between the time of the initial commitment and working day one in the light of the nature of the risks incurred in the markets in question.</w:t>
      </w:r>
    </w:p>
    <w:p w14:paraId="068AD89C"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Guidance</w:t>
      </w:r>
    </w:p>
    <w:p w14:paraId="17A485DB" w14:textId="77777777" w:rsidR="00E22FF2" w:rsidRPr="00E4265B" w:rsidRDefault="00E22FF2" w:rsidP="00572832">
      <w:pPr>
        <w:pStyle w:val="UK12Block05"/>
        <w:rPr>
          <w:rFonts w:ascii="Arial" w:hAnsi="Arial" w:cs="Arial"/>
          <w:sz w:val="22"/>
          <w:szCs w:val="22"/>
          <w:lang w:val="en-GB"/>
        </w:rPr>
      </w:pP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take reasonable steps to:</w:t>
      </w:r>
    </w:p>
    <w:p w14:paraId="1DAFEA5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allocate responsibility for the management of its Underwriting and 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 xml:space="preserve"> business;</w:t>
      </w:r>
    </w:p>
    <w:p w14:paraId="00BDE5E6"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allocate adequate resources to monitor and control its Underwriting and 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 xml:space="preserve"> business;</w:t>
      </w:r>
    </w:p>
    <w:p w14:paraId="10295750"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satisfy itself that its systems to monitor Exposure to Counterparties will calculate, revise and update its Exposure to each Counterparty arising from its Underwriting or 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 xml:space="preserve"> business;</w:t>
      </w:r>
    </w:p>
    <w:p w14:paraId="1D0758B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satisfy itself of the suitability of each </w:t>
      </w:r>
      <w:r w:rsidR="00FB0EF8" w:rsidRPr="00E4265B">
        <w:rPr>
          <w:rFonts w:ascii="Arial" w:hAnsi="Arial" w:cs="Arial"/>
          <w:sz w:val="22"/>
          <w:szCs w:val="22"/>
          <w:lang w:val="en-GB"/>
        </w:rPr>
        <w:t>Person</w:t>
      </w:r>
      <w:r w:rsidRPr="00E4265B">
        <w:rPr>
          <w:rFonts w:ascii="Arial" w:hAnsi="Arial" w:cs="Arial"/>
          <w:sz w:val="22"/>
          <w:szCs w:val="22"/>
          <w:lang w:val="en-GB"/>
        </w:rPr>
        <w:t xml:space="preserve"> who performs functions for it in connection with the firm's Underwriting and 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 xml:space="preserve"> business having regard to the </w:t>
      </w:r>
      <w:r w:rsidR="00FB0EF8" w:rsidRPr="00E4265B">
        <w:rPr>
          <w:rFonts w:ascii="Arial" w:hAnsi="Arial" w:cs="Arial"/>
          <w:sz w:val="22"/>
          <w:szCs w:val="22"/>
          <w:lang w:val="en-GB"/>
        </w:rPr>
        <w:t>Person</w:t>
      </w:r>
      <w:r w:rsidRPr="00E4265B">
        <w:rPr>
          <w:rFonts w:ascii="Arial" w:hAnsi="Arial" w:cs="Arial"/>
          <w:sz w:val="22"/>
          <w:szCs w:val="22"/>
          <w:lang w:val="en-GB"/>
        </w:rPr>
        <w:t>'s skill and experience; and</w:t>
      </w:r>
    </w:p>
    <w:p w14:paraId="3DE3B38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satisfy itself that its procedures and controls to monitor and manage its Underwriting business address, on an on</w:t>
      </w:r>
      <w:r w:rsidRPr="00E4265B">
        <w:rPr>
          <w:rFonts w:ascii="Arial" w:hAnsi="Arial" w:cs="Arial"/>
          <w:sz w:val="22"/>
          <w:szCs w:val="22"/>
          <w:lang w:val="en-GB"/>
        </w:rPr>
        <w:noBreakHyphen/>
        <w:t>going basis, the capacity of sub</w:t>
      </w:r>
      <w:r w:rsidRPr="00E4265B">
        <w:rPr>
          <w:rFonts w:ascii="Arial" w:hAnsi="Arial" w:cs="Arial"/>
          <w:sz w:val="22"/>
          <w:szCs w:val="22"/>
          <w:lang w:val="en-GB"/>
        </w:rPr>
        <w:noBreakHyphen/>
        <w:t>underwriters to meet sub</w:t>
      </w:r>
      <w:r w:rsidRPr="00E4265B">
        <w:rPr>
          <w:rFonts w:ascii="Arial" w:hAnsi="Arial" w:cs="Arial"/>
          <w:sz w:val="22"/>
          <w:szCs w:val="22"/>
          <w:lang w:val="en-GB"/>
        </w:rPr>
        <w:noBreakHyphen/>
      </w:r>
      <w:r w:rsidR="00C033FC" w:rsidRPr="00E4265B">
        <w:rPr>
          <w:rFonts w:ascii="Arial" w:hAnsi="Arial" w:cs="Arial"/>
          <w:sz w:val="22"/>
          <w:szCs w:val="22"/>
          <w:lang w:val="en-GB"/>
        </w:rPr>
        <w:t>Underwriting</w:t>
      </w:r>
      <w:r w:rsidRPr="00E4265B">
        <w:rPr>
          <w:rFonts w:ascii="Arial" w:hAnsi="Arial" w:cs="Arial"/>
          <w:sz w:val="22"/>
          <w:szCs w:val="22"/>
          <w:lang w:val="en-GB"/>
        </w:rPr>
        <w:t xml:space="preserve"> commitments.</w:t>
      </w:r>
    </w:p>
    <w:p w14:paraId="636BC721" w14:textId="77777777" w:rsidR="00E22FF2" w:rsidRPr="00E4265B" w:rsidRDefault="00E22FF2" w:rsidP="00770DE0">
      <w:pPr>
        <w:pStyle w:val="UK12Title2"/>
        <w:rPr>
          <w:rFonts w:ascii="Arial" w:hAnsi="Arial" w:cs="Arial"/>
          <w:sz w:val="22"/>
          <w:szCs w:val="22"/>
        </w:rPr>
      </w:pPr>
      <w:bookmarkStart w:id="996" w:name="_Toc33622504"/>
      <w:r w:rsidRPr="00E4265B">
        <w:rPr>
          <w:rFonts w:ascii="Arial" w:hAnsi="Arial" w:cs="Arial"/>
          <w:sz w:val="22"/>
          <w:szCs w:val="22"/>
        </w:rPr>
        <w:t>A</w:t>
      </w:r>
      <w:r w:rsidR="00326FE7" w:rsidRPr="00E4265B">
        <w:rPr>
          <w:rFonts w:ascii="Arial" w:hAnsi="Arial" w:cs="Arial"/>
          <w:sz w:val="22"/>
          <w:szCs w:val="22"/>
        </w:rPr>
        <w:t>6</w:t>
      </w:r>
      <w:r w:rsidRPr="00E4265B">
        <w:rPr>
          <w:rFonts w:ascii="Arial" w:hAnsi="Arial" w:cs="Arial"/>
          <w:sz w:val="22"/>
          <w:szCs w:val="22"/>
        </w:rPr>
        <w:t>.9</w:t>
      </w:r>
      <w:r w:rsidRPr="00E4265B">
        <w:rPr>
          <w:rFonts w:ascii="Arial" w:hAnsi="Arial" w:cs="Arial"/>
          <w:sz w:val="22"/>
          <w:szCs w:val="22"/>
        </w:rPr>
        <w:tab/>
        <w:t>Use of internal models for Market Risk</w:t>
      </w:r>
      <w:bookmarkEnd w:id="996"/>
    </w:p>
    <w:p w14:paraId="38C3273D"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326FE7" w:rsidRPr="00E4265B">
        <w:rPr>
          <w:rFonts w:ascii="Arial" w:hAnsi="Arial" w:cs="Arial"/>
          <w:b/>
          <w:bCs/>
          <w:sz w:val="22"/>
          <w:szCs w:val="22"/>
          <w:lang w:val="en-GB"/>
        </w:rPr>
        <w:t>6</w:t>
      </w:r>
      <w:r w:rsidRPr="00E4265B">
        <w:rPr>
          <w:rFonts w:ascii="Arial" w:hAnsi="Arial" w:cs="Arial"/>
          <w:b/>
          <w:bCs/>
          <w:sz w:val="22"/>
          <w:szCs w:val="22"/>
          <w:lang w:val="en-GB"/>
        </w:rPr>
        <w:t>.9.1</w:t>
      </w:r>
      <w:r w:rsidRPr="00E4265B">
        <w:rPr>
          <w:rFonts w:ascii="Arial" w:hAnsi="Arial" w:cs="Arial"/>
          <w:b/>
          <w:bCs/>
          <w:sz w:val="22"/>
          <w:szCs w:val="22"/>
          <w:lang w:val="en-GB"/>
        </w:rPr>
        <w:tab/>
        <w:t>Criteria for use of internally developed Market Risk models</w:t>
      </w:r>
    </w:p>
    <w:p w14:paraId="31C5185E"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Guidance</w:t>
      </w:r>
    </w:p>
    <w:p w14:paraId="71449361"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Qualitative standards</w:t>
      </w:r>
    </w:p>
    <w:p w14:paraId="6ED6EA2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Any internal model used for purposes of Chapter 5 of these Rules should be conceptually sound and implemented with integrity and, in particular, all of the following qualitative requirements should be met:</w:t>
      </w:r>
    </w:p>
    <w:p w14:paraId="45E17BA9"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any internal model used to calculate Capital Requirements for equity risk, interest rate risk, foreign exchange risk or commodities </w:t>
      </w:r>
      <w:r w:rsidRPr="00E4265B">
        <w:rPr>
          <w:rFonts w:ascii="Arial" w:hAnsi="Arial" w:cs="Arial"/>
          <w:sz w:val="22"/>
          <w:szCs w:val="22"/>
          <w:lang w:val="en-GB"/>
        </w:rPr>
        <w:lastRenderedPageBreak/>
        <w:t>risk should be closely integrated into the daily risk management process set out in (b) and serve as the basis for reporting risk Exposures to senior management;</w:t>
      </w:r>
    </w:p>
    <w:p w14:paraId="7651E3B9"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a risk control unit that is independent from business trading units and reports directly to senior management. The unit should be responsible for designing and implementing any internal model used for purposes of Chapter 5. The unit should conduct the initial and on</w:t>
      </w:r>
      <w:r w:rsidRPr="00E4265B">
        <w:rPr>
          <w:rFonts w:ascii="Arial" w:hAnsi="Arial" w:cs="Arial"/>
          <w:sz w:val="22"/>
          <w:szCs w:val="22"/>
          <w:lang w:val="en-GB"/>
        </w:rPr>
        <w:noBreakHyphen/>
        <w:t>going validation of any internal model used for purposes of Chapter 5. The unit should produce and analyse daily reports on the output of any internal model used for calculating Capital Requirements for position risk, foreign exchange risk and commodities risk, and on the appropriate measures to be taken in terms of trading limits;</w:t>
      </w:r>
    </w:p>
    <w:p w14:paraId="3E9A2E89"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management body and senior management should be actively involved in the risk control process and the daily reports produced by the risk control unit are reviewed by a level of management with sufficient authority to enforce both reductions of positions taken by individual traders as well as in the </w:t>
      </w:r>
      <w:r w:rsidR="000D1A90" w:rsidRPr="00E4265B">
        <w:rPr>
          <w:rFonts w:ascii="Arial" w:hAnsi="Arial" w:cs="Arial"/>
          <w:sz w:val="22"/>
          <w:szCs w:val="22"/>
          <w:lang w:val="en-GB"/>
        </w:rPr>
        <w:t>Authorised Person</w:t>
      </w:r>
      <w:r w:rsidRPr="00E4265B">
        <w:rPr>
          <w:rFonts w:ascii="Arial" w:hAnsi="Arial" w:cs="Arial"/>
          <w:sz w:val="22"/>
          <w:szCs w:val="22"/>
          <w:lang w:val="en-GB"/>
        </w:rPr>
        <w:t>'s overall risk Exposure;</w:t>
      </w:r>
    </w:p>
    <w:p w14:paraId="3BF82133"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sufficient numbers of staff skilled in the use of sophisticated internal models, and including the ones used for purposes of Chapter 5, in the trading, risk</w:t>
      </w:r>
      <w:r w:rsidRPr="00E4265B">
        <w:rPr>
          <w:rFonts w:ascii="Arial" w:hAnsi="Arial" w:cs="Arial"/>
          <w:sz w:val="22"/>
          <w:szCs w:val="22"/>
          <w:lang w:val="en-GB"/>
        </w:rPr>
        <w:noBreakHyphen/>
        <w:t>control, audit and back</w:t>
      </w:r>
      <w:r w:rsidRPr="00E4265B">
        <w:rPr>
          <w:rFonts w:ascii="Arial" w:hAnsi="Arial" w:cs="Arial"/>
          <w:sz w:val="22"/>
          <w:szCs w:val="22"/>
          <w:lang w:val="en-GB"/>
        </w:rPr>
        <w:noBreakHyphen/>
        <w:t>office areas;</w:t>
      </w:r>
    </w:p>
    <w:p w14:paraId="391E7CCA"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established procedures for monitoring and ensuring compliance with a documented set of internal policies and controls concerning the overall operation of its internal models, and including the ones used for purposes of Chapter 5;</w:t>
      </w:r>
    </w:p>
    <w:p w14:paraId="61A6345D"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any internal model used for purposes of Chapter 5 should have a proven track record of reasonable accuracy in measuring risks;</w:t>
      </w:r>
    </w:p>
    <w:p w14:paraId="4033AB9A" w14:textId="36A3AF14" w:rsidR="00E22FF2" w:rsidRPr="00E4265B" w:rsidRDefault="00E22FF2" w:rsidP="00864017">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frequently conduct a rigorous programme of stress testing, including reverse stress tests, which encompasses any internal model used for purposes of Chapter 5 and the results of these stress tests should be reviewed by senior management and reflected in the policies and limits it sets. This process should particularly address illiquidity of markets in stressed market conditions, </w:t>
      </w:r>
      <w:r w:rsidR="00864017" w:rsidRPr="00E4265B">
        <w:rPr>
          <w:rFonts w:ascii="Arial" w:hAnsi="Arial" w:cs="Arial"/>
          <w:sz w:val="22"/>
          <w:szCs w:val="22"/>
          <w:lang w:val="en-GB"/>
        </w:rPr>
        <w:t>Large Exposures and c</w:t>
      </w:r>
      <w:r w:rsidRPr="00E4265B">
        <w:rPr>
          <w:rFonts w:ascii="Arial" w:hAnsi="Arial" w:cs="Arial"/>
          <w:sz w:val="22"/>
          <w:szCs w:val="22"/>
          <w:lang w:val="en-GB"/>
        </w:rPr>
        <w:t xml:space="preserve">oncentration </w:t>
      </w:r>
      <w:r w:rsidR="00864017" w:rsidRPr="00E4265B">
        <w:rPr>
          <w:rFonts w:ascii="Arial" w:hAnsi="Arial" w:cs="Arial"/>
          <w:sz w:val="22"/>
          <w:szCs w:val="22"/>
          <w:lang w:val="en-GB"/>
        </w:rPr>
        <w:t>r</w:t>
      </w:r>
      <w:r w:rsidRPr="00E4265B">
        <w:rPr>
          <w:rFonts w:ascii="Arial" w:hAnsi="Arial" w:cs="Arial"/>
          <w:sz w:val="22"/>
          <w:szCs w:val="22"/>
          <w:lang w:val="en-GB"/>
        </w:rPr>
        <w:t>isk</w:t>
      </w:r>
      <w:r w:rsidR="00864017" w:rsidRPr="00E4265B">
        <w:rPr>
          <w:rFonts w:ascii="Arial" w:hAnsi="Arial" w:cs="Arial"/>
          <w:sz w:val="22"/>
          <w:szCs w:val="22"/>
          <w:lang w:val="en-GB"/>
        </w:rPr>
        <w:t>s</w:t>
      </w:r>
      <w:r w:rsidRPr="00E4265B">
        <w:rPr>
          <w:rFonts w:ascii="Arial" w:hAnsi="Arial" w:cs="Arial"/>
          <w:sz w:val="22"/>
          <w:szCs w:val="22"/>
          <w:lang w:val="en-GB"/>
        </w:rPr>
        <w:t>, one way markets, event and jump</w:t>
      </w:r>
      <w:r w:rsidRPr="00E4265B">
        <w:rPr>
          <w:rFonts w:ascii="Arial" w:hAnsi="Arial" w:cs="Arial"/>
          <w:sz w:val="22"/>
          <w:szCs w:val="22"/>
          <w:lang w:val="en-GB"/>
        </w:rPr>
        <w:noBreakHyphen/>
        <w:t>to</w:t>
      </w:r>
      <w:r w:rsidRPr="00E4265B">
        <w:rPr>
          <w:rFonts w:ascii="Arial" w:hAnsi="Arial" w:cs="Arial"/>
          <w:sz w:val="22"/>
          <w:szCs w:val="22"/>
          <w:lang w:val="en-GB"/>
        </w:rPr>
        <w:noBreakHyphen/>
        <w:t>default risks, non</w:t>
      </w:r>
      <w:r w:rsidRPr="00E4265B">
        <w:rPr>
          <w:rFonts w:ascii="Arial" w:hAnsi="Arial" w:cs="Arial"/>
          <w:sz w:val="22"/>
          <w:szCs w:val="22"/>
          <w:lang w:val="en-GB"/>
        </w:rPr>
        <w:noBreakHyphen/>
        <w:t>linearity of products, deep out</w:t>
      </w:r>
      <w:r w:rsidRPr="00E4265B">
        <w:rPr>
          <w:rFonts w:ascii="Arial" w:hAnsi="Arial" w:cs="Arial"/>
          <w:sz w:val="22"/>
          <w:szCs w:val="22"/>
          <w:lang w:val="en-GB"/>
        </w:rPr>
        <w:noBreakHyphen/>
        <w:t>of</w:t>
      </w:r>
      <w:r w:rsidRPr="00E4265B">
        <w:rPr>
          <w:rFonts w:ascii="Arial" w:hAnsi="Arial" w:cs="Arial"/>
          <w:sz w:val="22"/>
          <w:szCs w:val="22"/>
          <w:lang w:val="en-GB"/>
        </w:rPr>
        <w:noBreakHyphen/>
        <w:t>the</w:t>
      </w:r>
      <w:r w:rsidRPr="00E4265B">
        <w:rPr>
          <w:rFonts w:ascii="Arial" w:hAnsi="Arial" w:cs="Arial"/>
          <w:sz w:val="22"/>
          <w:szCs w:val="22"/>
          <w:lang w:val="en-GB"/>
        </w:rPr>
        <w:noBreakHyphen/>
        <w:t>money positions, positions subject to the gapping of prices and other risks that may not be captured appropriately in the internal models. The shocks applied should reflect the nature of the portfolios and the time it could take to hedge out or manage risks under severe market conditions; and</w:t>
      </w:r>
    </w:p>
    <w:p w14:paraId="194B084B"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h.</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conduct, as part of its regular internal auditing process, an independent review of its internal models, and including the ones used for purposes of Chapter 5.</w:t>
      </w:r>
    </w:p>
    <w:p w14:paraId="6E89D473"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2.</w:t>
      </w:r>
      <w:r w:rsidRPr="00E4265B">
        <w:rPr>
          <w:rFonts w:ascii="Arial" w:hAnsi="Arial" w:cs="Arial"/>
          <w:sz w:val="22"/>
          <w:szCs w:val="22"/>
          <w:lang w:val="en-GB"/>
        </w:rPr>
        <w:tab/>
        <w:t>The review referred to in h. of Guidance note 1 above, should include the activities both of the business trading units and of the independent risk</w:t>
      </w:r>
      <w:r w:rsidRPr="00E4265B">
        <w:rPr>
          <w:rFonts w:ascii="Arial" w:hAnsi="Arial" w:cs="Arial"/>
          <w:sz w:val="22"/>
          <w:szCs w:val="22"/>
          <w:lang w:val="en-GB"/>
        </w:rPr>
        <w:noBreakHyphen/>
        <w:t xml:space="preserve">control unit. At least once a year,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conduct a review of its overall risk management process. The review should consider the following:</w:t>
      </w:r>
    </w:p>
    <w:p w14:paraId="38A82A40"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adequacy of the documentation of the risk</w:t>
      </w:r>
      <w:r w:rsidRPr="00E4265B">
        <w:rPr>
          <w:rFonts w:ascii="Arial" w:hAnsi="Arial" w:cs="Arial"/>
          <w:sz w:val="22"/>
          <w:szCs w:val="22"/>
          <w:lang w:val="en-GB"/>
        </w:rPr>
        <w:noBreakHyphen/>
        <w:t>management system and process and the organisation of the risk</w:t>
      </w:r>
      <w:r w:rsidRPr="00E4265B">
        <w:rPr>
          <w:rFonts w:ascii="Arial" w:hAnsi="Arial" w:cs="Arial"/>
          <w:sz w:val="22"/>
          <w:szCs w:val="22"/>
          <w:lang w:val="en-GB"/>
        </w:rPr>
        <w:noBreakHyphen/>
        <w:t>control unit;</w:t>
      </w:r>
    </w:p>
    <w:p w14:paraId="2669B770"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integration of risk measures into daily risk management and the integrity of the management information system;</w:t>
      </w:r>
    </w:p>
    <w:p w14:paraId="40AF0387"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the process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employs for approving risk</w:t>
      </w:r>
      <w:r w:rsidRPr="00E4265B">
        <w:rPr>
          <w:rFonts w:ascii="Arial" w:hAnsi="Arial" w:cs="Arial"/>
          <w:sz w:val="22"/>
          <w:szCs w:val="22"/>
          <w:lang w:val="en-GB"/>
        </w:rPr>
        <w:noBreakHyphen/>
        <w:t>pricing models and valuation systems that are used by front and back</w:t>
      </w:r>
      <w:r w:rsidRPr="00E4265B">
        <w:rPr>
          <w:rFonts w:ascii="Arial" w:hAnsi="Arial" w:cs="Arial"/>
          <w:sz w:val="22"/>
          <w:szCs w:val="22"/>
          <w:lang w:val="en-GB"/>
        </w:rPr>
        <w:noBreakHyphen/>
        <w:t>office personnel;</w:t>
      </w:r>
    </w:p>
    <w:p w14:paraId="15272298"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the scope of risks captured by the risk</w:t>
      </w:r>
      <w:r w:rsidRPr="00E4265B">
        <w:rPr>
          <w:rFonts w:ascii="Arial" w:hAnsi="Arial" w:cs="Arial"/>
          <w:sz w:val="22"/>
          <w:szCs w:val="22"/>
          <w:lang w:val="en-GB"/>
        </w:rPr>
        <w:noBreakHyphen/>
        <w:t>measurement model and the validation of any significant changes in the risk</w:t>
      </w:r>
      <w:r w:rsidRPr="00E4265B">
        <w:rPr>
          <w:rFonts w:ascii="Arial" w:hAnsi="Arial" w:cs="Arial"/>
          <w:sz w:val="22"/>
          <w:szCs w:val="22"/>
          <w:lang w:val="en-GB"/>
        </w:rPr>
        <w:noBreakHyphen/>
        <w:t>measurement process;</w:t>
      </w:r>
    </w:p>
    <w:p w14:paraId="1966DED0"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the accuracy and completeness of position data, the accuracy and appropriateness of volatility and correlation assumptions, and the accuracy of valuation and risk sensitivity calculations;</w:t>
      </w:r>
    </w:p>
    <w:p w14:paraId="1A7E90E1"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 xml:space="preserve">the verification process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employs to evaluate the consistency, timeliness and reliability of data sources used to run internal models, including the independence of such data sources; and</w:t>
      </w:r>
    </w:p>
    <w:p w14:paraId="0488CDE0"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 xml:space="preserve">the verification process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uses to evaluate back</w:t>
      </w:r>
      <w:r w:rsidRPr="00E4265B">
        <w:rPr>
          <w:rFonts w:ascii="Arial" w:hAnsi="Arial" w:cs="Arial"/>
          <w:sz w:val="22"/>
          <w:szCs w:val="22"/>
          <w:lang w:val="en-GB"/>
        </w:rPr>
        <w:noBreakHyphen/>
        <w:t>testing that is conducted to assess the models' accuracy.</w:t>
      </w:r>
    </w:p>
    <w:p w14:paraId="0F4EBE74"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As techniques and best practices evolve, </w:t>
      </w:r>
      <w:r w:rsidR="000D1A90" w:rsidRPr="00E4265B">
        <w:rPr>
          <w:rFonts w:ascii="Arial" w:hAnsi="Arial" w:cs="Arial"/>
          <w:sz w:val="22"/>
          <w:szCs w:val="22"/>
          <w:lang w:val="en-GB"/>
        </w:rPr>
        <w:t>Authorised Person</w:t>
      </w:r>
      <w:r w:rsidRPr="00E4265B">
        <w:rPr>
          <w:rFonts w:ascii="Arial" w:hAnsi="Arial" w:cs="Arial"/>
          <w:sz w:val="22"/>
          <w:szCs w:val="22"/>
          <w:lang w:val="en-GB"/>
        </w:rPr>
        <w:t>s should apply those new techniques and practices in any internal model used for purposes of Chapter 5.</w:t>
      </w:r>
    </w:p>
    <w:p w14:paraId="5AED24D5"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Specification of Market Risk factors</w:t>
      </w:r>
    </w:p>
    <w:p w14:paraId="56AADE2A"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Any internal model used to calculate Capital Requirements for equity position risk, interest rate risk, foreign exchange risk, commodities risk and any internal model for correlation trading should meet all of the following requirements:</w:t>
      </w:r>
    </w:p>
    <w:p w14:paraId="7419C27A"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model must capture accurately reflect, on a continuous basis, all material price risks, including General Market Risks and, where approval has been granted in relation to Specific Risk, Specific Risks arising on the underlying portfolio, and should ensure that sufficient risk factors are properly specified; and</w:t>
      </w:r>
    </w:p>
    <w:p w14:paraId="1B46BEA1" w14:textId="77777777" w:rsidR="00E22FF2" w:rsidRPr="00E4265B" w:rsidRDefault="00E22FF2" w:rsidP="00B40809">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model should capture a sufficient number of risk factors, depending on the level of activity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the respective markets. The risk factors in the model should be sufficient to capture the risks inherent in the </w:t>
      </w:r>
      <w:r w:rsidR="000D1A90" w:rsidRPr="00E4265B">
        <w:rPr>
          <w:rFonts w:ascii="Arial" w:hAnsi="Arial" w:cs="Arial"/>
          <w:sz w:val="22"/>
          <w:szCs w:val="22"/>
          <w:lang w:val="en-GB"/>
        </w:rPr>
        <w:t>Authorised Person</w:t>
      </w:r>
      <w:r w:rsidRPr="00E4265B">
        <w:rPr>
          <w:rFonts w:ascii="Arial" w:hAnsi="Arial" w:cs="Arial"/>
          <w:sz w:val="22"/>
          <w:szCs w:val="22"/>
          <w:lang w:val="en-GB"/>
        </w:rPr>
        <w:t>'s portfolio of on and off</w:t>
      </w:r>
      <w:r w:rsidRPr="00E4265B">
        <w:rPr>
          <w:rFonts w:ascii="Arial" w:hAnsi="Arial" w:cs="Arial"/>
          <w:sz w:val="22"/>
          <w:szCs w:val="22"/>
          <w:lang w:val="en-GB"/>
        </w:rPr>
        <w:noBreakHyphen/>
        <w:t xml:space="preserve">balance sheet trading positions. The </w:t>
      </w:r>
      <w:r w:rsidR="000D1A90" w:rsidRPr="00E4265B">
        <w:rPr>
          <w:rFonts w:ascii="Arial" w:hAnsi="Arial" w:cs="Arial"/>
          <w:sz w:val="22"/>
          <w:szCs w:val="22"/>
          <w:lang w:val="en-GB"/>
        </w:rPr>
        <w:lastRenderedPageBreak/>
        <w:t>Authorised Person</w:t>
      </w:r>
      <w:r w:rsidRPr="00E4265B">
        <w:rPr>
          <w:rFonts w:ascii="Arial" w:hAnsi="Arial" w:cs="Arial"/>
          <w:sz w:val="22"/>
          <w:szCs w:val="22"/>
          <w:lang w:val="en-GB"/>
        </w:rPr>
        <w:t xml:space="preserve"> should at least incorporate those risk factors in its model that are incorporated into its pricing model. The risk</w:t>
      </w:r>
      <w:r w:rsidRPr="00E4265B">
        <w:rPr>
          <w:rFonts w:ascii="Arial" w:hAnsi="Arial" w:cs="Arial"/>
          <w:sz w:val="22"/>
          <w:szCs w:val="22"/>
          <w:lang w:val="en-GB"/>
        </w:rPr>
        <w:noBreakHyphen/>
        <w:t xml:space="preserve">measurement model should capture nonlinearities for </w:t>
      </w:r>
      <w:r w:rsidR="00BC49E0" w:rsidRPr="00E4265B">
        <w:rPr>
          <w:rFonts w:ascii="Arial" w:hAnsi="Arial" w:cs="Arial"/>
          <w:sz w:val="22"/>
          <w:szCs w:val="22"/>
          <w:lang w:val="en-GB"/>
        </w:rPr>
        <w:t>Option</w:t>
      </w:r>
      <w:r w:rsidRPr="00E4265B">
        <w:rPr>
          <w:rFonts w:ascii="Arial" w:hAnsi="Arial" w:cs="Arial"/>
          <w:sz w:val="22"/>
          <w:szCs w:val="22"/>
          <w:lang w:val="en-GB"/>
        </w:rPr>
        <w:t xml:space="preserve">s and other products as well as correlation risk and basis risk. Where proxies for risk factors are used they should show a good track record for the actual position held. Although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will have some discretion in specifying the risk factors for its internal models, the Regulator expects that such models will meet the criteria specified in the following paragraphs.</w:t>
      </w:r>
    </w:p>
    <w:p w14:paraId="040BE72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Any internal model used to calculate Capital Requirements for position risk, foreign exchange risk or commodities risk should meet all of the following requirements:</w:t>
      </w:r>
    </w:p>
    <w:p w14:paraId="57AF93A4"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model should incorporate a set of risk factors corresponding to the interest rates in each currency in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interest rate sensitive on or off balance sheet positions.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model the yield curves using one of a number of generally accepted approaches, for example, by estimating forward rates of zero</w:t>
      </w:r>
      <w:r w:rsidRPr="00E4265B">
        <w:rPr>
          <w:rFonts w:ascii="Arial" w:hAnsi="Arial" w:cs="Arial"/>
          <w:sz w:val="22"/>
          <w:szCs w:val="22"/>
          <w:lang w:val="en-GB"/>
        </w:rPr>
        <w:noBreakHyphen/>
        <w:t>coupon yields. For material Exposures to interest</w:t>
      </w:r>
      <w:r w:rsidRPr="00E4265B">
        <w:rPr>
          <w:rFonts w:ascii="Arial" w:hAnsi="Arial" w:cs="Arial"/>
          <w:sz w:val="22"/>
          <w:szCs w:val="22"/>
          <w:lang w:val="en-GB"/>
        </w:rPr>
        <w:noBreakHyphen/>
        <w:t>rate risk in the major currencies and markets, the yield curve should be divided into a minimum of six maturity segments, to capture the variations of volatility of rates along the yield curve. The model should also capture the risk of less than perfectly correlated movements between different yield curves. The risk measurement system should incorporate separate risk factors to capture spread risk, for example, between bonds and swaps;</w:t>
      </w:r>
    </w:p>
    <w:p w14:paraId="05BFD791"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model should incorporate risk factors corresponding to gold and to the individual foreign currencies in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positions are denominated. For Collective Investment Funds the actual foreign exchange positions of the Fund should be taken into account.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may rely on third party reporting of the foreign exchange position of the Fund, where the correctness of this report is adequately ensured. If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not aware of the foreign exchange positions of a Fund, this position should be carved out of the model and treated separately;</w:t>
      </w:r>
    </w:p>
    <w:p w14:paraId="2BBD991D"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the model should use a separate risk factor at least for each of the equity markets in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holds significant positions. At a minimum, this will include a risk factor that is designed to capture market</w:t>
      </w:r>
      <w:r w:rsidRPr="00E4265B">
        <w:rPr>
          <w:rFonts w:ascii="Arial" w:hAnsi="Arial" w:cs="Arial"/>
          <w:sz w:val="22"/>
          <w:szCs w:val="22"/>
          <w:lang w:val="en-GB"/>
        </w:rPr>
        <w:noBreakHyphen/>
        <w:t xml:space="preserve">wide movements in equity prices, for example, a market index. Positions in individual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or in sector indices could be expressed in "beta</w:t>
      </w:r>
      <w:r w:rsidRPr="00E4265B">
        <w:rPr>
          <w:rFonts w:ascii="Arial" w:hAnsi="Arial" w:cs="Arial"/>
          <w:sz w:val="22"/>
          <w:szCs w:val="22"/>
          <w:lang w:val="en-GB"/>
        </w:rPr>
        <w:noBreakHyphen/>
        <w:t>equivalents" relative to this market</w:t>
      </w:r>
      <w:r w:rsidRPr="00E4265B">
        <w:rPr>
          <w:rFonts w:ascii="Arial" w:hAnsi="Arial" w:cs="Arial"/>
          <w:sz w:val="22"/>
          <w:szCs w:val="22"/>
          <w:lang w:val="en-GB"/>
        </w:rPr>
        <w:noBreakHyphen/>
        <w:t>wide index. A relatively more detailed approach would be to have risk factors corresponding to various sectors of the overall equity market, for instance, industry sectors or cyclical and non</w:t>
      </w:r>
      <w:r w:rsidRPr="00E4265B">
        <w:rPr>
          <w:rFonts w:ascii="Arial" w:hAnsi="Arial" w:cs="Arial"/>
          <w:sz w:val="22"/>
          <w:szCs w:val="22"/>
          <w:lang w:val="en-GB"/>
        </w:rPr>
        <w:noBreakHyphen/>
        <w:t>cyclical sectors. The most extensive approach would be to have risk factors corresponding to the volatility of individual equity issues;</w:t>
      </w:r>
    </w:p>
    <w:p w14:paraId="23A7B34C"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the model should use a separate risk factor at least for each commodity in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holds significant positions. The model must also capture the risk of less than </w:t>
      </w:r>
      <w:r w:rsidRPr="00E4265B">
        <w:rPr>
          <w:rFonts w:ascii="Arial" w:hAnsi="Arial" w:cs="Arial"/>
          <w:sz w:val="22"/>
          <w:szCs w:val="22"/>
          <w:lang w:val="en-GB"/>
        </w:rPr>
        <w:lastRenderedPageBreak/>
        <w:t xml:space="preserve">perfectly correlated movements between similar, but not identical, commodities and the Exposure to changes in forward prices arising from </w:t>
      </w:r>
      <w:r w:rsidR="005D344E" w:rsidRPr="00E4265B">
        <w:rPr>
          <w:rFonts w:ascii="Arial" w:hAnsi="Arial" w:cs="Arial"/>
          <w:sz w:val="22"/>
          <w:szCs w:val="22"/>
          <w:lang w:val="en-GB"/>
        </w:rPr>
        <w:t>Maturity Mismatch</w:t>
      </w:r>
      <w:r w:rsidRPr="00E4265B">
        <w:rPr>
          <w:rFonts w:ascii="Arial" w:hAnsi="Arial" w:cs="Arial"/>
          <w:sz w:val="22"/>
          <w:szCs w:val="22"/>
          <w:lang w:val="en-GB"/>
        </w:rPr>
        <w:t xml:space="preserve">es. It should also take account of market characteristics, notably delivery dates and the scope provided to traders to close out positions; For more actively traded portfolios, the model should also take account of variation in the "convenience yield" between </w:t>
      </w:r>
      <w:r w:rsidR="005F3B3B" w:rsidRPr="00E4265B">
        <w:rPr>
          <w:rFonts w:ascii="Arial" w:hAnsi="Arial" w:cs="Arial"/>
          <w:sz w:val="22"/>
          <w:szCs w:val="22"/>
          <w:lang w:val="en-GB"/>
        </w:rPr>
        <w:t>Derivative</w:t>
      </w:r>
      <w:r w:rsidRPr="00E4265B">
        <w:rPr>
          <w:rFonts w:ascii="Arial" w:hAnsi="Arial" w:cs="Arial"/>
          <w:sz w:val="22"/>
          <w:szCs w:val="22"/>
          <w:lang w:val="en-GB"/>
        </w:rPr>
        <w:t xml:space="preserve"> positions such as forwards and swaps and cash positions in the commodity; and</w:t>
      </w:r>
    </w:p>
    <w:p w14:paraId="73962234"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's internal model should conservatively assess the risk arising from less liquid positions and positions with limited price transparency under realistic market scenarios. In addition, the internal model should meet minimum data standards. Proxies should be appropriately conservative and should be used only where available data is insufficient or is not reflective of the true volatility of a position or portfolio.</w:t>
      </w:r>
    </w:p>
    <w:p w14:paraId="61AB1C8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6.</w:t>
      </w:r>
      <w:r w:rsidRPr="00E4265B">
        <w:rPr>
          <w:rFonts w:ascii="Arial" w:hAnsi="Arial" w:cs="Arial"/>
          <w:sz w:val="22"/>
          <w:szCs w:val="22"/>
          <w:lang w:val="en-GB"/>
        </w:rPr>
        <w:tab/>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may, in any internal model used for purposes of Chapter 5, use empirical correlations within risk categories and across risk categories only if the </w:t>
      </w:r>
      <w:r w:rsidR="000D1A90" w:rsidRPr="00E4265B">
        <w:rPr>
          <w:rFonts w:ascii="Arial" w:hAnsi="Arial" w:cs="Arial"/>
          <w:sz w:val="22"/>
          <w:szCs w:val="22"/>
          <w:lang w:val="en-GB"/>
        </w:rPr>
        <w:t>Authorised Person</w:t>
      </w:r>
      <w:r w:rsidRPr="00E4265B">
        <w:rPr>
          <w:rFonts w:ascii="Arial" w:hAnsi="Arial" w:cs="Arial"/>
          <w:sz w:val="22"/>
          <w:szCs w:val="22"/>
          <w:lang w:val="en-GB"/>
        </w:rPr>
        <w:t>'s approach for measuring correlations is sound and implemented with integrity.</w:t>
      </w:r>
    </w:p>
    <w:p w14:paraId="7C732A35"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Quantitative standards</w:t>
      </w:r>
    </w:p>
    <w:p w14:paraId="69271D0D"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7.</w:t>
      </w:r>
      <w:r w:rsidRPr="00E4265B">
        <w:rPr>
          <w:rFonts w:ascii="Arial" w:hAnsi="Arial" w:cs="Arial"/>
          <w:sz w:val="22"/>
          <w:szCs w:val="22"/>
          <w:lang w:val="en-GB"/>
        </w:rPr>
        <w:tab/>
        <w:t>The Regulator will usually only approve an internal Value</w:t>
      </w:r>
      <w:r w:rsidRPr="00E4265B">
        <w:rPr>
          <w:rFonts w:ascii="Arial" w:hAnsi="Arial" w:cs="Arial"/>
          <w:sz w:val="22"/>
          <w:szCs w:val="22"/>
          <w:lang w:val="en-GB"/>
        </w:rPr>
        <w:noBreakHyphen/>
        <w:t>at</w:t>
      </w:r>
      <w:r w:rsidRPr="00E4265B">
        <w:rPr>
          <w:rFonts w:ascii="Arial" w:hAnsi="Arial" w:cs="Arial"/>
          <w:sz w:val="22"/>
          <w:szCs w:val="22"/>
          <w:lang w:val="en-GB"/>
        </w:rPr>
        <w:noBreakHyphen/>
        <w:t>Risk (VaR) model or its use when the VaR model meets the following quantitative criteria:</w:t>
      </w:r>
    </w:p>
    <w:p w14:paraId="1C9267D9"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VaR should be computed at least on a daily basis;</w:t>
      </w:r>
    </w:p>
    <w:p w14:paraId="37A6A76E"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in calculating the value</w:t>
      </w:r>
      <w:r w:rsidRPr="00E4265B">
        <w:rPr>
          <w:rFonts w:ascii="Arial" w:hAnsi="Arial" w:cs="Arial"/>
          <w:sz w:val="22"/>
          <w:szCs w:val="22"/>
          <w:lang w:val="en-GB"/>
        </w:rPr>
        <w:noBreakHyphen/>
        <w:t>at</w:t>
      </w:r>
      <w:r w:rsidRPr="00E4265B">
        <w:rPr>
          <w:rFonts w:ascii="Arial" w:hAnsi="Arial" w:cs="Arial"/>
          <w:sz w:val="22"/>
          <w:szCs w:val="22"/>
          <w:lang w:val="en-GB"/>
        </w:rPr>
        <w:noBreakHyphen/>
        <w:t>risk, a 99th percentile, one</w:t>
      </w:r>
      <w:r w:rsidRPr="00E4265B">
        <w:rPr>
          <w:rFonts w:ascii="Arial" w:hAnsi="Arial" w:cs="Arial"/>
          <w:sz w:val="22"/>
          <w:szCs w:val="22"/>
          <w:lang w:val="en-GB"/>
        </w:rPr>
        <w:noBreakHyphen/>
        <w:t>tailed confidence interval is to be used;</w:t>
      </w:r>
    </w:p>
    <w:p w14:paraId="0F71F843"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in calculating VaR, an instantaneous price shock equivalent to a 10 day movement in prices is to be used, i.e., the minimum "holding period" will be ten trading days;</w:t>
      </w:r>
    </w:p>
    <w:p w14:paraId="224DD8E4"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an effective historical observation period of at least one year except where a shorter observation period is justified by a significant upsurge in price volatility; and</w:t>
      </w:r>
    </w:p>
    <w:p w14:paraId="1F865F4C"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its data set is updated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no less frequently than once every month and is reassessed whenever market prices are subject to material changes.</w:t>
      </w:r>
    </w:p>
    <w:p w14:paraId="0102B07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8.</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use VaR numbers calculated according to shorter holding periods than ten days scaled up to ten days by an appropriate methodology that is reviewed periodically.</w:t>
      </w:r>
    </w:p>
    <w:p w14:paraId="5F3988FE"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Qualitative standards</w:t>
      </w:r>
    </w:p>
    <w:p w14:paraId="3D497375" w14:textId="4295B1FA" w:rsidR="00E22FF2" w:rsidRPr="00E4265B" w:rsidRDefault="00E22FF2" w:rsidP="00553790">
      <w:pPr>
        <w:pStyle w:val="1List"/>
        <w:rPr>
          <w:rFonts w:ascii="Arial" w:hAnsi="Arial" w:cs="Arial"/>
          <w:sz w:val="22"/>
          <w:szCs w:val="22"/>
          <w:lang w:val="en-GB"/>
        </w:rPr>
      </w:pPr>
      <w:r w:rsidRPr="00E4265B">
        <w:rPr>
          <w:rFonts w:ascii="Arial" w:hAnsi="Arial" w:cs="Arial"/>
          <w:sz w:val="22"/>
          <w:szCs w:val="22"/>
          <w:lang w:val="en-GB"/>
        </w:rPr>
        <w:t>9.</w:t>
      </w:r>
      <w:r w:rsidRPr="00E4265B">
        <w:rPr>
          <w:rFonts w:ascii="Arial" w:hAnsi="Arial" w:cs="Arial"/>
          <w:sz w:val="22"/>
          <w:szCs w:val="22"/>
          <w:lang w:val="en-GB"/>
        </w:rPr>
        <w:tab/>
        <w:t xml:space="preserve">In addition to </w:t>
      </w:r>
      <w:r w:rsidR="00553790" w:rsidRPr="00E4265B">
        <w:rPr>
          <w:rFonts w:ascii="Arial" w:hAnsi="Arial" w:cs="Arial"/>
          <w:sz w:val="22"/>
          <w:szCs w:val="22"/>
          <w:lang w:val="en-GB"/>
        </w:rPr>
        <w:t xml:space="preserve">the standards outlined under </w:t>
      </w:r>
      <w:r w:rsidRPr="00E4265B">
        <w:rPr>
          <w:rFonts w:ascii="Arial" w:hAnsi="Arial" w:cs="Arial"/>
          <w:sz w:val="22"/>
          <w:szCs w:val="22"/>
          <w:lang w:val="en-GB"/>
        </w:rPr>
        <w:t>7 and 8:</w:t>
      </w:r>
    </w:p>
    <w:p w14:paraId="45DF261F"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no particular type of model is prescribed. So long as each model used captures all the material risks run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t>
      </w:r>
      <w:r w:rsidRPr="00E4265B">
        <w:rPr>
          <w:rFonts w:ascii="Arial" w:hAnsi="Arial" w:cs="Arial"/>
          <w:sz w:val="22"/>
          <w:szCs w:val="22"/>
          <w:lang w:val="en-GB"/>
        </w:rPr>
        <w:lastRenderedPageBreak/>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will be free to use models based, for example, on variance</w:t>
      </w:r>
      <w:r w:rsidRPr="00E4265B">
        <w:rPr>
          <w:rFonts w:ascii="Arial" w:hAnsi="Arial" w:cs="Arial"/>
          <w:sz w:val="22"/>
          <w:szCs w:val="22"/>
          <w:lang w:val="en-GB"/>
        </w:rPr>
        <w:noBreakHyphen/>
        <w:t>covariance matrices, historical simulations, or Monte Carlo simulations;</w:t>
      </w:r>
    </w:p>
    <w:p w14:paraId="1CC64C34"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will have discretion to recognise empirical correlations within broad risk categories, for example, interest rates, exchange rates, equity prices and commodity prices, including related </w:t>
      </w:r>
      <w:r w:rsidR="00BC49E0" w:rsidRPr="00E4265B">
        <w:rPr>
          <w:rFonts w:ascii="Arial" w:hAnsi="Arial" w:cs="Arial"/>
          <w:sz w:val="22"/>
          <w:szCs w:val="22"/>
          <w:lang w:val="en-GB"/>
        </w:rPr>
        <w:t>Option</w:t>
      </w:r>
      <w:r w:rsidRPr="00E4265B">
        <w:rPr>
          <w:rFonts w:ascii="Arial" w:hAnsi="Arial" w:cs="Arial"/>
          <w:sz w:val="22"/>
          <w:szCs w:val="22"/>
          <w:lang w:val="en-GB"/>
        </w:rPr>
        <w:t>s volatilities in each risk factor category;</w:t>
      </w:r>
    </w:p>
    <w:p w14:paraId="7E6631AA"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models should accurately capture the unique risks associated with </w:t>
      </w:r>
      <w:r w:rsidR="00BC49E0" w:rsidRPr="00E4265B">
        <w:rPr>
          <w:rFonts w:ascii="Arial" w:hAnsi="Arial" w:cs="Arial"/>
          <w:sz w:val="22"/>
          <w:szCs w:val="22"/>
          <w:lang w:val="en-GB"/>
        </w:rPr>
        <w:t>Option</w:t>
      </w:r>
      <w:r w:rsidRPr="00E4265B">
        <w:rPr>
          <w:rFonts w:ascii="Arial" w:hAnsi="Arial" w:cs="Arial"/>
          <w:sz w:val="22"/>
          <w:szCs w:val="22"/>
          <w:lang w:val="en-GB"/>
        </w:rPr>
        <w:t>s within each of the broad risk categories; and</w:t>
      </w:r>
    </w:p>
    <w:p w14:paraId="318C519A"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calculate, on a daily basis, its Market Risk Capital Requirement or any component for which an internal model is used, expressed as the higher of (a) its previous day's VaR number measured according to the parameters specified in this Section and (b) an average of the daily VaR measures on each of the preceding 60 business days, multiplied by a multiplication factor.</w:t>
      </w:r>
    </w:p>
    <w:p w14:paraId="6F234ABF"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10.</w:t>
      </w:r>
      <w:r w:rsidRPr="00E4265B">
        <w:rPr>
          <w:rFonts w:ascii="Arial" w:hAnsi="Arial" w:cs="Arial"/>
          <w:sz w:val="22"/>
          <w:szCs w:val="22"/>
          <w:lang w:val="en-GB"/>
        </w:rPr>
        <w:tab/>
        <w:t xml:space="preserve">The Regulator will usually set a multiplication factor of 3 that must be used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where all the qualitative and quantitative criteria are satisfied. This will be imposed as a condition on the approval and may be varied by the Regulator should circumstances require.</w:t>
      </w:r>
    </w:p>
    <w:p w14:paraId="37F77E5E"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11.</w:t>
      </w:r>
      <w:r w:rsidRPr="00E4265B">
        <w:rPr>
          <w:rFonts w:ascii="Arial" w:hAnsi="Arial" w:cs="Arial"/>
          <w:sz w:val="22"/>
          <w:szCs w:val="22"/>
          <w:lang w:val="en-GB"/>
        </w:rPr>
        <w:tab/>
        <w:t xml:space="preserve">In addition to the calculation of VaR,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using internal VaR models,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at least on a weekly basis, calculate a 'Stressed VaR' of the current portfolio, in accordance with the requirements set out in Guidance note 7, with VaR model inputs calibrated to historical data from a continuous 12</w:t>
      </w:r>
      <w:r w:rsidRPr="00E4265B">
        <w:rPr>
          <w:rFonts w:ascii="Arial" w:hAnsi="Arial" w:cs="Arial"/>
          <w:sz w:val="22"/>
          <w:szCs w:val="22"/>
          <w:lang w:val="en-GB"/>
        </w:rPr>
        <w:noBreakHyphen/>
        <w:t xml:space="preserve">month period of significant financial stress relevant to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portfolio. The choice of such historical data should be subject to at least annual review by the </w:t>
      </w:r>
      <w:r w:rsidR="000D1A90" w:rsidRPr="00E4265B">
        <w:rPr>
          <w:rFonts w:ascii="Arial" w:hAnsi="Arial" w:cs="Arial"/>
          <w:sz w:val="22"/>
          <w:szCs w:val="22"/>
          <w:lang w:val="en-GB"/>
        </w:rPr>
        <w:t>Authorised Person</w:t>
      </w:r>
      <w:r w:rsidRPr="00E4265B">
        <w:rPr>
          <w:rFonts w:ascii="Arial" w:hAnsi="Arial" w:cs="Arial"/>
          <w:sz w:val="22"/>
          <w:szCs w:val="22"/>
          <w:lang w:val="en-GB"/>
        </w:rPr>
        <w:t>, which should notify the outcome to the Regulator.</w:t>
      </w:r>
    </w:p>
    <w:p w14:paraId="2CB7B51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using an internal model should calculate Capital Requirement for the relevant risk categories, as the sum of points (a) and (b):</w:t>
      </w:r>
    </w:p>
    <w:p w14:paraId="1EAAFE23"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higher of:</w:t>
      </w:r>
    </w:p>
    <w:p w14:paraId="20E442D5" w14:textId="53A88979" w:rsidR="00E22FF2" w:rsidRPr="00E4265B" w:rsidRDefault="00326FE7" w:rsidP="007D16A4">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r>
      <w:r w:rsidR="007D16A4" w:rsidRPr="00E4265B">
        <w:rPr>
          <w:rFonts w:ascii="Arial" w:hAnsi="Arial" w:cs="Arial"/>
          <w:sz w:val="22"/>
          <w:szCs w:val="22"/>
          <w:lang w:val="en-GB"/>
        </w:rPr>
        <w:t>its</w:t>
      </w:r>
      <w:r w:rsidR="00E22FF2" w:rsidRPr="00E4265B">
        <w:rPr>
          <w:rFonts w:ascii="Arial" w:hAnsi="Arial" w:cs="Arial"/>
          <w:sz w:val="22"/>
          <w:szCs w:val="22"/>
          <w:lang w:val="en-GB"/>
        </w:rPr>
        <w:t xml:space="preserve"> previous day's VaR number calculated in accordance with Guidance note 7 of this guidance under A</w:t>
      </w:r>
      <w:r w:rsidRPr="00E4265B">
        <w:rPr>
          <w:rFonts w:ascii="Arial" w:hAnsi="Arial" w:cs="Arial"/>
          <w:sz w:val="22"/>
          <w:szCs w:val="22"/>
          <w:lang w:val="en-GB"/>
        </w:rPr>
        <w:t>6</w:t>
      </w:r>
      <w:r w:rsidR="00E22FF2" w:rsidRPr="00E4265B">
        <w:rPr>
          <w:rFonts w:ascii="Arial" w:hAnsi="Arial" w:cs="Arial"/>
          <w:sz w:val="22"/>
          <w:szCs w:val="22"/>
          <w:lang w:val="en-GB"/>
        </w:rPr>
        <w:t>.9.1; or</w:t>
      </w:r>
    </w:p>
    <w:p w14:paraId="6FE4AF1B" w14:textId="77777777" w:rsidR="00E22FF2" w:rsidRPr="00E4265B" w:rsidRDefault="00E22FF2" w:rsidP="00572832">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an average of the daily value</w:t>
      </w:r>
      <w:r w:rsidRPr="00E4265B">
        <w:rPr>
          <w:rFonts w:ascii="Arial" w:hAnsi="Arial" w:cs="Arial"/>
          <w:sz w:val="22"/>
          <w:szCs w:val="22"/>
          <w:lang w:val="en-GB"/>
        </w:rPr>
        <w:noBreakHyphen/>
        <w:t>at</w:t>
      </w:r>
      <w:r w:rsidRPr="00E4265B">
        <w:rPr>
          <w:rFonts w:ascii="Arial" w:hAnsi="Arial" w:cs="Arial"/>
          <w:sz w:val="22"/>
          <w:szCs w:val="22"/>
          <w:lang w:val="en-GB"/>
        </w:rPr>
        <w:noBreakHyphen/>
        <w:t>risk numbers calculated in accordance with Guidance note 7 of A</w:t>
      </w:r>
      <w:r w:rsidR="00326FE7" w:rsidRPr="00E4265B">
        <w:rPr>
          <w:rFonts w:ascii="Arial" w:hAnsi="Arial" w:cs="Arial"/>
          <w:sz w:val="22"/>
          <w:szCs w:val="22"/>
          <w:lang w:val="en-GB"/>
        </w:rPr>
        <w:t>6</w:t>
      </w:r>
      <w:r w:rsidRPr="00E4265B">
        <w:rPr>
          <w:rFonts w:ascii="Arial" w:hAnsi="Arial" w:cs="Arial"/>
          <w:sz w:val="22"/>
          <w:szCs w:val="22"/>
          <w:lang w:val="en-GB"/>
        </w:rPr>
        <w:t>.9.1, on each of the preceding 60 business days (VaR</w:t>
      </w:r>
      <w:r w:rsidRPr="00E4265B">
        <w:rPr>
          <w:rFonts w:ascii="Arial" w:hAnsi="Arial" w:cs="Arial"/>
          <w:sz w:val="22"/>
          <w:szCs w:val="22"/>
          <w:vertAlign w:val="subscript"/>
          <w:lang w:val="en-GB"/>
        </w:rPr>
        <w:t>avg</w:t>
      </w:r>
      <w:r w:rsidRPr="00E4265B">
        <w:rPr>
          <w:rFonts w:ascii="Arial" w:hAnsi="Arial" w:cs="Arial"/>
          <w:sz w:val="22"/>
          <w:szCs w:val="22"/>
          <w:lang w:val="en-GB"/>
        </w:rPr>
        <w:t>), multiplied by the multiplication factor referred in Guidance note 8 of A</w:t>
      </w:r>
      <w:r w:rsidR="00326FE7" w:rsidRPr="00E4265B">
        <w:rPr>
          <w:rFonts w:ascii="Arial" w:hAnsi="Arial" w:cs="Arial"/>
          <w:sz w:val="22"/>
          <w:szCs w:val="22"/>
          <w:lang w:val="en-GB"/>
        </w:rPr>
        <w:t>6</w:t>
      </w:r>
      <w:r w:rsidRPr="00E4265B">
        <w:rPr>
          <w:rFonts w:ascii="Arial" w:hAnsi="Arial" w:cs="Arial"/>
          <w:sz w:val="22"/>
          <w:szCs w:val="22"/>
          <w:lang w:val="en-GB"/>
        </w:rPr>
        <w:t>.9.1; plus</w:t>
      </w:r>
    </w:p>
    <w:p w14:paraId="331E94D2" w14:textId="77777777" w:rsidR="00E22FF2" w:rsidRPr="00E4265B" w:rsidRDefault="00E22FF2" w:rsidP="00572832">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higher of:</w:t>
      </w:r>
    </w:p>
    <w:p w14:paraId="3740196D" w14:textId="77777777" w:rsidR="00E22FF2" w:rsidRPr="00E4265B" w:rsidRDefault="00E22FF2" w:rsidP="00572832">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its latest available stressed</w:t>
      </w:r>
      <w:r w:rsidRPr="00E4265B">
        <w:rPr>
          <w:rFonts w:ascii="Arial" w:hAnsi="Arial" w:cs="Arial"/>
          <w:sz w:val="22"/>
          <w:szCs w:val="22"/>
          <w:lang w:val="en-GB"/>
        </w:rPr>
        <w:noBreakHyphen/>
        <w:t>value</w:t>
      </w:r>
      <w:r w:rsidRPr="00E4265B">
        <w:rPr>
          <w:rFonts w:ascii="Arial" w:hAnsi="Arial" w:cs="Arial"/>
          <w:sz w:val="22"/>
          <w:szCs w:val="22"/>
          <w:lang w:val="en-GB"/>
        </w:rPr>
        <w:noBreakHyphen/>
        <w:t>at</w:t>
      </w:r>
      <w:r w:rsidRPr="00E4265B">
        <w:rPr>
          <w:rFonts w:ascii="Arial" w:hAnsi="Arial" w:cs="Arial"/>
          <w:sz w:val="22"/>
          <w:szCs w:val="22"/>
          <w:lang w:val="en-GB"/>
        </w:rPr>
        <w:noBreakHyphen/>
        <w:t>risk number calculated in accordance with Guidance note 9 of A</w:t>
      </w:r>
      <w:r w:rsidR="00326FE7" w:rsidRPr="00E4265B">
        <w:rPr>
          <w:rFonts w:ascii="Arial" w:hAnsi="Arial" w:cs="Arial"/>
          <w:sz w:val="22"/>
          <w:szCs w:val="22"/>
          <w:lang w:val="en-GB"/>
        </w:rPr>
        <w:t>6</w:t>
      </w:r>
      <w:r w:rsidRPr="00E4265B">
        <w:rPr>
          <w:rFonts w:ascii="Arial" w:hAnsi="Arial" w:cs="Arial"/>
          <w:sz w:val="22"/>
          <w:szCs w:val="22"/>
          <w:lang w:val="en-GB"/>
        </w:rPr>
        <w:t>.9.1 (sVaR</w:t>
      </w:r>
      <w:r w:rsidRPr="00E4265B">
        <w:rPr>
          <w:rFonts w:ascii="Arial" w:hAnsi="Arial" w:cs="Arial"/>
          <w:sz w:val="22"/>
          <w:szCs w:val="22"/>
          <w:vertAlign w:val="subscript"/>
          <w:lang w:val="en-GB"/>
        </w:rPr>
        <w:t>t</w:t>
      </w:r>
      <w:r w:rsidRPr="00E4265B">
        <w:rPr>
          <w:rFonts w:ascii="Arial" w:hAnsi="Arial" w:cs="Arial"/>
          <w:sz w:val="22"/>
          <w:szCs w:val="22"/>
          <w:vertAlign w:val="subscript"/>
          <w:lang w:val="en-GB"/>
        </w:rPr>
        <w:noBreakHyphen/>
        <w:t>1</w:t>
      </w:r>
      <w:r w:rsidRPr="00E4265B">
        <w:rPr>
          <w:rFonts w:ascii="Arial" w:hAnsi="Arial" w:cs="Arial"/>
          <w:sz w:val="22"/>
          <w:szCs w:val="22"/>
          <w:lang w:val="en-GB"/>
        </w:rPr>
        <w:t>); or</w:t>
      </w:r>
    </w:p>
    <w:p w14:paraId="311C3BF9" w14:textId="16F7094A" w:rsidR="00E22FF2" w:rsidRPr="00E4265B" w:rsidRDefault="00E22FF2" w:rsidP="00572832">
      <w:pPr>
        <w:pStyle w:val="iList"/>
        <w:rPr>
          <w:rFonts w:ascii="Arial" w:hAnsi="Arial" w:cs="Arial"/>
          <w:sz w:val="22"/>
          <w:szCs w:val="22"/>
          <w:lang w:val="en-GB"/>
        </w:rPr>
      </w:pPr>
      <w:r w:rsidRPr="00E4265B">
        <w:rPr>
          <w:rFonts w:ascii="Arial" w:hAnsi="Arial" w:cs="Arial"/>
          <w:sz w:val="22"/>
          <w:szCs w:val="22"/>
          <w:lang w:val="en-GB"/>
        </w:rPr>
        <w:lastRenderedPageBreak/>
        <w:t>ii.</w:t>
      </w:r>
      <w:r w:rsidRPr="00E4265B">
        <w:rPr>
          <w:rFonts w:ascii="Arial" w:hAnsi="Arial" w:cs="Arial"/>
          <w:sz w:val="22"/>
          <w:szCs w:val="22"/>
          <w:lang w:val="en-GB"/>
        </w:rPr>
        <w:tab/>
        <w:t>an average of the stressed VaR numbers calculated in accordance with Guidance note 9 of A</w:t>
      </w:r>
      <w:r w:rsidR="00326FE7" w:rsidRPr="00E4265B">
        <w:rPr>
          <w:rFonts w:ascii="Arial" w:hAnsi="Arial" w:cs="Arial"/>
          <w:sz w:val="22"/>
          <w:szCs w:val="22"/>
          <w:lang w:val="en-GB"/>
        </w:rPr>
        <w:t>6</w:t>
      </w:r>
      <w:r w:rsidRPr="00E4265B">
        <w:rPr>
          <w:rFonts w:ascii="Arial" w:hAnsi="Arial" w:cs="Arial"/>
          <w:sz w:val="22"/>
          <w:szCs w:val="22"/>
          <w:lang w:val="en-GB"/>
        </w:rPr>
        <w:t>.9.1 during t</w:t>
      </w:r>
      <w:r w:rsidR="00F32BCA" w:rsidRPr="00E4265B">
        <w:rPr>
          <w:rFonts w:ascii="Arial" w:hAnsi="Arial" w:cs="Arial"/>
          <w:sz w:val="22"/>
          <w:szCs w:val="22"/>
          <w:lang w:val="en-GB"/>
        </w:rPr>
        <w:t>he preceding 60 business days (</w:t>
      </w:r>
      <w:r w:rsidR="002510C9" w:rsidRPr="00E4265B">
        <w:rPr>
          <w:rFonts w:ascii="Arial" w:hAnsi="Arial" w:cs="Arial"/>
          <w:sz w:val="22"/>
          <w:szCs w:val="22"/>
          <w:lang w:val="en-GB"/>
        </w:rPr>
        <w:t>s</w:t>
      </w:r>
      <w:r w:rsidRPr="00E4265B">
        <w:rPr>
          <w:rFonts w:ascii="Arial" w:hAnsi="Arial" w:cs="Arial"/>
          <w:sz w:val="22"/>
          <w:szCs w:val="22"/>
          <w:lang w:val="en-GB"/>
        </w:rPr>
        <w:t>VaR</w:t>
      </w:r>
      <w:r w:rsidRPr="00E4265B">
        <w:rPr>
          <w:rFonts w:ascii="Arial" w:hAnsi="Arial" w:cs="Arial"/>
          <w:sz w:val="22"/>
          <w:szCs w:val="22"/>
          <w:vertAlign w:val="subscript"/>
          <w:lang w:val="en-GB"/>
        </w:rPr>
        <w:t>avg</w:t>
      </w:r>
      <w:r w:rsidRPr="00E4265B">
        <w:rPr>
          <w:rFonts w:ascii="Arial" w:hAnsi="Arial" w:cs="Arial"/>
          <w:sz w:val="22"/>
          <w:szCs w:val="22"/>
          <w:lang w:val="en-GB"/>
        </w:rPr>
        <w:t>), multiplied by the multiplication factor (ms) according to Guidance note 10.</w:t>
      </w:r>
    </w:p>
    <w:p w14:paraId="23357CFA"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Regulatory back</w:t>
      </w:r>
      <w:r w:rsidRPr="00E4265B">
        <w:rPr>
          <w:rFonts w:ascii="Arial" w:hAnsi="Arial" w:cs="Arial"/>
          <w:sz w:val="22"/>
          <w:szCs w:val="22"/>
          <w:lang w:val="en-GB"/>
        </w:rPr>
        <w:noBreakHyphen/>
        <w:t>testing and multiplication factors</w:t>
      </w:r>
    </w:p>
    <w:p w14:paraId="56083B2A"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13.</w:t>
      </w:r>
      <w:r w:rsidRPr="00E4265B">
        <w:rPr>
          <w:rFonts w:ascii="Arial" w:hAnsi="Arial" w:cs="Arial"/>
          <w:sz w:val="22"/>
          <w:szCs w:val="22"/>
          <w:lang w:val="en-GB"/>
        </w:rPr>
        <w:tab/>
        <w:t>The results of the Stressed VaR calculations referred to in Guidance note 11 of A</w:t>
      </w:r>
      <w:r w:rsidR="00326FE7" w:rsidRPr="00E4265B">
        <w:rPr>
          <w:rFonts w:ascii="Arial" w:hAnsi="Arial" w:cs="Arial"/>
          <w:sz w:val="22"/>
          <w:szCs w:val="22"/>
          <w:lang w:val="en-GB"/>
        </w:rPr>
        <w:t>6</w:t>
      </w:r>
      <w:r w:rsidRPr="00E4265B">
        <w:rPr>
          <w:rFonts w:ascii="Arial" w:hAnsi="Arial" w:cs="Arial"/>
          <w:sz w:val="22"/>
          <w:szCs w:val="22"/>
          <w:lang w:val="en-GB"/>
        </w:rPr>
        <w:t>.9.1 should be scaled up by the multiplication factors given below.</w:t>
      </w:r>
    </w:p>
    <w:p w14:paraId="14D2AAE1" w14:textId="32F74DC2" w:rsidR="00E22FF2" w:rsidRPr="00E4265B" w:rsidRDefault="00E22FF2" w:rsidP="002510C9">
      <w:pPr>
        <w:pStyle w:val="1List"/>
        <w:rPr>
          <w:rFonts w:ascii="Arial" w:hAnsi="Arial" w:cs="Arial"/>
          <w:sz w:val="22"/>
          <w:szCs w:val="22"/>
          <w:lang w:val="en-GB"/>
        </w:rPr>
      </w:pPr>
      <w:r w:rsidRPr="00E4265B">
        <w:rPr>
          <w:rFonts w:ascii="Arial" w:hAnsi="Arial" w:cs="Arial"/>
          <w:sz w:val="22"/>
          <w:szCs w:val="22"/>
          <w:lang w:val="en-GB"/>
        </w:rPr>
        <w:t>14.</w:t>
      </w:r>
      <w:r w:rsidRPr="00E4265B">
        <w:rPr>
          <w:rFonts w:ascii="Arial" w:hAnsi="Arial" w:cs="Arial"/>
          <w:sz w:val="22"/>
          <w:szCs w:val="22"/>
          <w:lang w:val="en-GB"/>
        </w:rPr>
        <w:tab/>
        <w:t xml:space="preserve">The multiplication factor referred </w:t>
      </w:r>
      <w:r w:rsidR="00F32BCA" w:rsidRPr="00E4265B">
        <w:rPr>
          <w:rFonts w:ascii="Arial" w:hAnsi="Arial" w:cs="Arial"/>
          <w:sz w:val="22"/>
          <w:szCs w:val="22"/>
          <w:lang w:val="en-GB"/>
        </w:rPr>
        <w:t xml:space="preserve">to </w:t>
      </w:r>
      <w:r w:rsidRPr="00E4265B">
        <w:rPr>
          <w:rFonts w:ascii="Arial" w:hAnsi="Arial" w:cs="Arial"/>
          <w:sz w:val="22"/>
          <w:szCs w:val="22"/>
          <w:lang w:val="en-GB"/>
        </w:rPr>
        <w:t xml:space="preserve">above is defined as the sum of 3 and an addend </w:t>
      </w:r>
      <w:r w:rsidR="00F32BCA" w:rsidRPr="00E4265B">
        <w:rPr>
          <w:rFonts w:ascii="Arial" w:hAnsi="Arial" w:cs="Arial"/>
          <w:sz w:val="22"/>
          <w:szCs w:val="22"/>
          <w:lang w:val="en-GB"/>
        </w:rPr>
        <w:t xml:space="preserve">of </w:t>
      </w:r>
      <w:r w:rsidR="002510C9" w:rsidRPr="00E4265B">
        <w:rPr>
          <w:rFonts w:ascii="Arial" w:hAnsi="Arial" w:cs="Arial"/>
          <w:sz w:val="22"/>
          <w:szCs w:val="22"/>
          <w:lang w:val="en-GB"/>
        </w:rPr>
        <w:t>between 0 and 1, where t</w:t>
      </w:r>
      <w:r w:rsidRPr="00E4265B">
        <w:rPr>
          <w:rFonts w:ascii="Arial" w:hAnsi="Arial" w:cs="Arial"/>
          <w:sz w:val="22"/>
          <w:szCs w:val="22"/>
          <w:lang w:val="en-GB"/>
        </w:rPr>
        <w:t xml:space="preserve">hat addend should depend on the number of violations for the most recent 250 business days as evidenced by the </w:t>
      </w:r>
      <w:r w:rsidR="000D1A90" w:rsidRPr="00E4265B">
        <w:rPr>
          <w:rFonts w:ascii="Arial" w:hAnsi="Arial" w:cs="Arial"/>
          <w:sz w:val="22"/>
          <w:szCs w:val="22"/>
          <w:lang w:val="en-GB"/>
        </w:rPr>
        <w:t>Authorised Person</w:t>
      </w:r>
      <w:r w:rsidRPr="00E4265B">
        <w:rPr>
          <w:rFonts w:ascii="Arial" w:hAnsi="Arial" w:cs="Arial"/>
          <w:sz w:val="22"/>
          <w:szCs w:val="22"/>
          <w:lang w:val="en-GB"/>
        </w:rPr>
        <w:t>'s back</w:t>
      </w:r>
      <w:r w:rsidRPr="00E4265B">
        <w:rPr>
          <w:rFonts w:ascii="Arial" w:hAnsi="Arial" w:cs="Arial"/>
          <w:sz w:val="22"/>
          <w:szCs w:val="22"/>
          <w:lang w:val="en-GB"/>
        </w:rPr>
        <w:noBreakHyphen/>
        <w:t>testing of the VaR as set out in Guidance note 7 above.</w:t>
      </w:r>
    </w:p>
    <w:tbl>
      <w:tblPr>
        <w:tblStyle w:val="TableGrid"/>
        <w:tblW w:w="0" w:type="auto"/>
        <w:jc w:val="center"/>
        <w:tblLook w:val="04A0" w:firstRow="1" w:lastRow="0" w:firstColumn="1" w:lastColumn="0" w:noHBand="0" w:noVBand="1"/>
      </w:tblPr>
      <w:tblGrid>
        <w:gridCol w:w="2475"/>
        <w:gridCol w:w="2475"/>
      </w:tblGrid>
      <w:tr w:rsidR="00E22FF2" w:rsidRPr="00E4265B" w14:paraId="6937E5CD" w14:textId="77777777" w:rsidTr="002510C9">
        <w:trPr>
          <w:trHeight w:val="432"/>
          <w:tblHeader/>
          <w:jc w:val="center"/>
        </w:trPr>
        <w:tc>
          <w:tcPr>
            <w:tcW w:w="2475" w:type="dxa"/>
            <w:shd w:val="clear" w:color="auto" w:fill="D9D9D9" w:themeFill="background1" w:themeFillShade="D9"/>
            <w:vAlign w:val="center"/>
          </w:tcPr>
          <w:p w14:paraId="70F22D70" w14:textId="77777777" w:rsidR="00E22FF2" w:rsidRPr="00E4265B" w:rsidRDefault="00E22FF2" w:rsidP="00F32BCA">
            <w:pPr>
              <w:spacing w:line="276" w:lineRule="auto"/>
              <w:ind w:left="14"/>
              <w:jc w:val="center"/>
              <w:rPr>
                <w:rFonts w:ascii="Arial" w:hAnsi="Arial" w:cs="Arial"/>
                <w:b/>
                <w:sz w:val="22"/>
                <w:szCs w:val="22"/>
                <w:lang w:val="en-GB"/>
              </w:rPr>
            </w:pPr>
            <w:r w:rsidRPr="00E4265B">
              <w:rPr>
                <w:rFonts w:ascii="Arial" w:hAnsi="Arial" w:cs="Arial"/>
                <w:b/>
                <w:sz w:val="22"/>
                <w:szCs w:val="22"/>
                <w:lang w:val="en-GB"/>
              </w:rPr>
              <w:t>Number of violations</w:t>
            </w:r>
          </w:p>
        </w:tc>
        <w:tc>
          <w:tcPr>
            <w:tcW w:w="2475" w:type="dxa"/>
            <w:shd w:val="clear" w:color="auto" w:fill="D9D9D9" w:themeFill="background1" w:themeFillShade="D9"/>
            <w:vAlign w:val="center"/>
          </w:tcPr>
          <w:p w14:paraId="15C60844" w14:textId="77777777" w:rsidR="00E22FF2" w:rsidRPr="00E4265B" w:rsidRDefault="00E22FF2" w:rsidP="00F32BCA">
            <w:pPr>
              <w:spacing w:line="276" w:lineRule="auto"/>
              <w:ind w:left="14"/>
              <w:jc w:val="center"/>
              <w:rPr>
                <w:rFonts w:ascii="Arial" w:hAnsi="Arial" w:cs="Arial"/>
                <w:b/>
                <w:sz w:val="22"/>
                <w:szCs w:val="22"/>
                <w:lang w:val="en-GB"/>
              </w:rPr>
            </w:pPr>
            <w:r w:rsidRPr="00E4265B">
              <w:rPr>
                <w:rFonts w:ascii="Arial" w:hAnsi="Arial" w:cs="Arial"/>
                <w:b/>
                <w:sz w:val="22"/>
                <w:szCs w:val="22"/>
                <w:lang w:val="en-GB"/>
              </w:rPr>
              <w:t>addend</w:t>
            </w:r>
          </w:p>
        </w:tc>
      </w:tr>
      <w:tr w:rsidR="00E22FF2" w:rsidRPr="00E4265B" w14:paraId="55A54DD8" w14:textId="77777777" w:rsidTr="002510C9">
        <w:trPr>
          <w:trHeight w:val="432"/>
          <w:jc w:val="center"/>
        </w:trPr>
        <w:tc>
          <w:tcPr>
            <w:tcW w:w="2475" w:type="dxa"/>
            <w:vAlign w:val="center"/>
          </w:tcPr>
          <w:p w14:paraId="2077E628" w14:textId="77777777" w:rsidR="00E22FF2" w:rsidRPr="00E4265B" w:rsidRDefault="00E22FF2" w:rsidP="00F32BCA">
            <w:pPr>
              <w:spacing w:line="276" w:lineRule="auto"/>
              <w:ind w:left="14"/>
              <w:jc w:val="center"/>
              <w:rPr>
                <w:rFonts w:ascii="Arial" w:hAnsi="Arial" w:cs="Arial"/>
                <w:sz w:val="22"/>
                <w:szCs w:val="22"/>
                <w:lang w:val="en-GB"/>
              </w:rPr>
            </w:pPr>
            <w:r w:rsidRPr="00E4265B">
              <w:rPr>
                <w:rFonts w:ascii="Arial" w:hAnsi="Arial" w:cs="Arial"/>
                <w:sz w:val="22"/>
                <w:szCs w:val="22"/>
                <w:lang w:val="en-GB"/>
              </w:rPr>
              <w:t>Fewer than 5</w:t>
            </w:r>
          </w:p>
        </w:tc>
        <w:tc>
          <w:tcPr>
            <w:tcW w:w="2475" w:type="dxa"/>
            <w:vAlign w:val="center"/>
          </w:tcPr>
          <w:p w14:paraId="32C54999" w14:textId="77777777" w:rsidR="00E22FF2" w:rsidRPr="00E4265B" w:rsidRDefault="00E22FF2" w:rsidP="00F32BCA">
            <w:pPr>
              <w:spacing w:line="276" w:lineRule="auto"/>
              <w:ind w:left="14"/>
              <w:jc w:val="center"/>
              <w:rPr>
                <w:rFonts w:ascii="Arial" w:hAnsi="Arial" w:cs="Arial"/>
                <w:sz w:val="22"/>
                <w:szCs w:val="22"/>
                <w:lang w:val="en-GB"/>
              </w:rPr>
            </w:pPr>
            <w:r w:rsidRPr="00E4265B">
              <w:rPr>
                <w:rFonts w:ascii="Arial" w:hAnsi="Arial" w:cs="Arial"/>
                <w:sz w:val="22"/>
                <w:szCs w:val="22"/>
                <w:lang w:val="en-GB"/>
              </w:rPr>
              <w:t>0.00</w:t>
            </w:r>
          </w:p>
        </w:tc>
      </w:tr>
      <w:tr w:rsidR="00E22FF2" w:rsidRPr="00E4265B" w14:paraId="71CA0D8F" w14:textId="77777777" w:rsidTr="002510C9">
        <w:trPr>
          <w:trHeight w:val="432"/>
          <w:jc w:val="center"/>
        </w:trPr>
        <w:tc>
          <w:tcPr>
            <w:tcW w:w="2475" w:type="dxa"/>
            <w:vAlign w:val="center"/>
          </w:tcPr>
          <w:p w14:paraId="41A83A73" w14:textId="77777777" w:rsidR="00E22FF2" w:rsidRPr="00E4265B" w:rsidRDefault="00E22FF2" w:rsidP="00F32BCA">
            <w:pPr>
              <w:spacing w:line="276" w:lineRule="auto"/>
              <w:ind w:left="14"/>
              <w:jc w:val="center"/>
              <w:rPr>
                <w:rFonts w:ascii="Arial" w:hAnsi="Arial" w:cs="Arial"/>
                <w:sz w:val="22"/>
                <w:szCs w:val="22"/>
                <w:lang w:val="en-GB"/>
              </w:rPr>
            </w:pPr>
            <w:r w:rsidRPr="00E4265B">
              <w:rPr>
                <w:rFonts w:ascii="Arial" w:hAnsi="Arial" w:cs="Arial"/>
                <w:sz w:val="22"/>
                <w:szCs w:val="22"/>
                <w:lang w:val="en-GB"/>
              </w:rPr>
              <w:t>5</w:t>
            </w:r>
          </w:p>
        </w:tc>
        <w:tc>
          <w:tcPr>
            <w:tcW w:w="2475" w:type="dxa"/>
            <w:vAlign w:val="center"/>
          </w:tcPr>
          <w:p w14:paraId="6DD72597" w14:textId="77777777" w:rsidR="00E22FF2" w:rsidRPr="00E4265B" w:rsidRDefault="00E22FF2" w:rsidP="00F32BCA">
            <w:pPr>
              <w:spacing w:line="276" w:lineRule="auto"/>
              <w:ind w:left="14"/>
              <w:jc w:val="center"/>
              <w:rPr>
                <w:rFonts w:ascii="Arial" w:hAnsi="Arial" w:cs="Arial"/>
                <w:sz w:val="22"/>
                <w:szCs w:val="22"/>
                <w:lang w:val="en-GB"/>
              </w:rPr>
            </w:pPr>
            <w:r w:rsidRPr="00E4265B">
              <w:rPr>
                <w:rFonts w:ascii="Arial" w:hAnsi="Arial" w:cs="Arial"/>
                <w:sz w:val="22"/>
                <w:szCs w:val="22"/>
                <w:lang w:val="en-GB"/>
              </w:rPr>
              <w:t>0.40</w:t>
            </w:r>
          </w:p>
        </w:tc>
      </w:tr>
      <w:tr w:rsidR="00E22FF2" w:rsidRPr="00E4265B" w14:paraId="2BFECB91" w14:textId="77777777" w:rsidTr="002510C9">
        <w:trPr>
          <w:trHeight w:val="432"/>
          <w:jc w:val="center"/>
        </w:trPr>
        <w:tc>
          <w:tcPr>
            <w:tcW w:w="2475" w:type="dxa"/>
            <w:vAlign w:val="center"/>
          </w:tcPr>
          <w:p w14:paraId="6F7722F4" w14:textId="77777777" w:rsidR="00E22FF2" w:rsidRPr="00E4265B" w:rsidRDefault="00E22FF2" w:rsidP="00F32BCA">
            <w:pPr>
              <w:spacing w:line="276" w:lineRule="auto"/>
              <w:ind w:left="14"/>
              <w:jc w:val="center"/>
              <w:rPr>
                <w:rFonts w:ascii="Arial" w:hAnsi="Arial" w:cs="Arial"/>
                <w:sz w:val="22"/>
                <w:szCs w:val="22"/>
                <w:lang w:val="en-GB"/>
              </w:rPr>
            </w:pPr>
            <w:r w:rsidRPr="00E4265B">
              <w:rPr>
                <w:rFonts w:ascii="Arial" w:hAnsi="Arial" w:cs="Arial"/>
                <w:sz w:val="22"/>
                <w:szCs w:val="22"/>
                <w:lang w:val="en-GB"/>
              </w:rPr>
              <w:t>6</w:t>
            </w:r>
          </w:p>
        </w:tc>
        <w:tc>
          <w:tcPr>
            <w:tcW w:w="2475" w:type="dxa"/>
            <w:vAlign w:val="center"/>
          </w:tcPr>
          <w:p w14:paraId="4884DC28" w14:textId="77777777" w:rsidR="00E22FF2" w:rsidRPr="00E4265B" w:rsidRDefault="00E22FF2" w:rsidP="00F32BCA">
            <w:pPr>
              <w:spacing w:line="276" w:lineRule="auto"/>
              <w:ind w:left="14"/>
              <w:jc w:val="center"/>
              <w:rPr>
                <w:rFonts w:ascii="Arial" w:hAnsi="Arial" w:cs="Arial"/>
                <w:sz w:val="22"/>
                <w:szCs w:val="22"/>
                <w:lang w:val="en-GB"/>
              </w:rPr>
            </w:pPr>
            <w:r w:rsidRPr="00E4265B">
              <w:rPr>
                <w:rFonts w:ascii="Arial" w:hAnsi="Arial" w:cs="Arial"/>
                <w:sz w:val="22"/>
                <w:szCs w:val="22"/>
                <w:lang w:val="en-GB"/>
              </w:rPr>
              <w:t>0.50</w:t>
            </w:r>
          </w:p>
        </w:tc>
      </w:tr>
      <w:tr w:rsidR="00E22FF2" w:rsidRPr="00E4265B" w14:paraId="467C5CEC" w14:textId="77777777" w:rsidTr="002510C9">
        <w:trPr>
          <w:trHeight w:val="432"/>
          <w:jc w:val="center"/>
        </w:trPr>
        <w:tc>
          <w:tcPr>
            <w:tcW w:w="2475" w:type="dxa"/>
            <w:vAlign w:val="center"/>
          </w:tcPr>
          <w:p w14:paraId="68D435C4" w14:textId="77777777" w:rsidR="00E22FF2" w:rsidRPr="00E4265B" w:rsidRDefault="00E22FF2" w:rsidP="00F32BCA">
            <w:pPr>
              <w:spacing w:line="276" w:lineRule="auto"/>
              <w:ind w:left="14"/>
              <w:jc w:val="center"/>
              <w:rPr>
                <w:rFonts w:ascii="Arial" w:hAnsi="Arial" w:cs="Arial"/>
                <w:sz w:val="22"/>
                <w:szCs w:val="22"/>
                <w:lang w:val="en-GB"/>
              </w:rPr>
            </w:pPr>
            <w:r w:rsidRPr="00E4265B">
              <w:rPr>
                <w:rFonts w:ascii="Arial" w:hAnsi="Arial" w:cs="Arial"/>
                <w:sz w:val="22"/>
                <w:szCs w:val="22"/>
                <w:lang w:val="en-GB"/>
              </w:rPr>
              <w:t>7</w:t>
            </w:r>
          </w:p>
        </w:tc>
        <w:tc>
          <w:tcPr>
            <w:tcW w:w="2475" w:type="dxa"/>
            <w:vAlign w:val="center"/>
          </w:tcPr>
          <w:p w14:paraId="301F93F8" w14:textId="77777777" w:rsidR="00E22FF2" w:rsidRPr="00E4265B" w:rsidRDefault="00E22FF2" w:rsidP="00F32BCA">
            <w:pPr>
              <w:spacing w:line="276" w:lineRule="auto"/>
              <w:ind w:left="14"/>
              <w:jc w:val="center"/>
              <w:rPr>
                <w:rFonts w:ascii="Arial" w:hAnsi="Arial" w:cs="Arial"/>
                <w:sz w:val="22"/>
                <w:szCs w:val="22"/>
                <w:lang w:val="en-GB"/>
              </w:rPr>
            </w:pPr>
            <w:r w:rsidRPr="00E4265B">
              <w:rPr>
                <w:rFonts w:ascii="Arial" w:hAnsi="Arial" w:cs="Arial"/>
                <w:sz w:val="22"/>
                <w:szCs w:val="22"/>
                <w:lang w:val="en-GB"/>
              </w:rPr>
              <w:t>0.65</w:t>
            </w:r>
          </w:p>
        </w:tc>
      </w:tr>
      <w:tr w:rsidR="00E22FF2" w:rsidRPr="00E4265B" w14:paraId="5864745A" w14:textId="77777777" w:rsidTr="002510C9">
        <w:trPr>
          <w:trHeight w:val="432"/>
          <w:jc w:val="center"/>
        </w:trPr>
        <w:tc>
          <w:tcPr>
            <w:tcW w:w="2475" w:type="dxa"/>
            <w:vAlign w:val="center"/>
          </w:tcPr>
          <w:p w14:paraId="2C059CAE" w14:textId="77777777" w:rsidR="00E22FF2" w:rsidRPr="00E4265B" w:rsidRDefault="00E22FF2" w:rsidP="00F32BCA">
            <w:pPr>
              <w:spacing w:line="276" w:lineRule="auto"/>
              <w:ind w:left="14"/>
              <w:jc w:val="center"/>
              <w:rPr>
                <w:rFonts w:ascii="Arial" w:hAnsi="Arial" w:cs="Arial"/>
                <w:sz w:val="22"/>
                <w:szCs w:val="22"/>
                <w:lang w:val="en-GB"/>
              </w:rPr>
            </w:pPr>
            <w:r w:rsidRPr="00E4265B">
              <w:rPr>
                <w:rFonts w:ascii="Arial" w:hAnsi="Arial" w:cs="Arial"/>
                <w:sz w:val="22"/>
                <w:szCs w:val="22"/>
                <w:lang w:val="en-GB"/>
              </w:rPr>
              <w:t>8</w:t>
            </w:r>
          </w:p>
        </w:tc>
        <w:tc>
          <w:tcPr>
            <w:tcW w:w="2475" w:type="dxa"/>
            <w:vAlign w:val="center"/>
          </w:tcPr>
          <w:p w14:paraId="6E589BF8" w14:textId="77777777" w:rsidR="00E22FF2" w:rsidRPr="00E4265B" w:rsidRDefault="00E22FF2" w:rsidP="00F32BCA">
            <w:pPr>
              <w:spacing w:line="276" w:lineRule="auto"/>
              <w:ind w:left="14"/>
              <w:jc w:val="center"/>
              <w:rPr>
                <w:rFonts w:ascii="Arial" w:hAnsi="Arial" w:cs="Arial"/>
                <w:sz w:val="22"/>
                <w:szCs w:val="22"/>
                <w:lang w:val="en-GB"/>
              </w:rPr>
            </w:pPr>
            <w:r w:rsidRPr="00E4265B">
              <w:rPr>
                <w:rFonts w:ascii="Arial" w:hAnsi="Arial" w:cs="Arial"/>
                <w:sz w:val="22"/>
                <w:szCs w:val="22"/>
                <w:lang w:val="en-GB"/>
              </w:rPr>
              <w:t>0.75</w:t>
            </w:r>
          </w:p>
        </w:tc>
      </w:tr>
      <w:tr w:rsidR="00E22FF2" w:rsidRPr="00E4265B" w14:paraId="2D24B698" w14:textId="77777777" w:rsidTr="002510C9">
        <w:trPr>
          <w:trHeight w:val="432"/>
          <w:jc w:val="center"/>
        </w:trPr>
        <w:tc>
          <w:tcPr>
            <w:tcW w:w="2475" w:type="dxa"/>
            <w:vAlign w:val="center"/>
          </w:tcPr>
          <w:p w14:paraId="20D072E5" w14:textId="77777777" w:rsidR="00E22FF2" w:rsidRPr="00E4265B" w:rsidRDefault="00E22FF2" w:rsidP="00F32BCA">
            <w:pPr>
              <w:spacing w:line="276" w:lineRule="auto"/>
              <w:ind w:left="14"/>
              <w:jc w:val="center"/>
              <w:rPr>
                <w:rFonts w:ascii="Arial" w:hAnsi="Arial" w:cs="Arial"/>
                <w:sz w:val="22"/>
                <w:szCs w:val="22"/>
                <w:lang w:val="en-GB"/>
              </w:rPr>
            </w:pPr>
            <w:r w:rsidRPr="00E4265B">
              <w:rPr>
                <w:rFonts w:ascii="Arial" w:hAnsi="Arial" w:cs="Arial"/>
                <w:sz w:val="22"/>
                <w:szCs w:val="22"/>
                <w:lang w:val="en-GB"/>
              </w:rPr>
              <w:t>9</w:t>
            </w:r>
          </w:p>
        </w:tc>
        <w:tc>
          <w:tcPr>
            <w:tcW w:w="2475" w:type="dxa"/>
            <w:vAlign w:val="center"/>
          </w:tcPr>
          <w:p w14:paraId="77D478A1" w14:textId="77777777" w:rsidR="00E22FF2" w:rsidRPr="00E4265B" w:rsidRDefault="00E22FF2" w:rsidP="00F32BCA">
            <w:pPr>
              <w:spacing w:line="276" w:lineRule="auto"/>
              <w:ind w:left="14"/>
              <w:jc w:val="center"/>
              <w:rPr>
                <w:rFonts w:ascii="Arial" w:hAnsi="Arial" w:cs="Arial"/>
                <w:sz w:val="22"/>
                <w:szCs w:val="22"/>
                <w:lang w:val="en-GB"/>
              </w:rPr>
            </w:pPr>
            <w:r w:rsidRPr="00E4265B">
              <w:rPr>
                <w:rFonts w:ascii="Arial" w:hAnsi="Arial" w:cs="Arial"/>
                <w:sz w:val="22"/>
                <w:szCs w:val="22"/>
                <w:lang w:val="en-GB"/>
              </w:rPr>
              <w:t>0.85</w:t>
            </w:r>
          </w:p>
        </w:tc>
      </w:tr>
      <w:tr w:rsidR="00E22FF2" w:rsidRPr="00E4265B" w14:paraId="7FFFC36B" w14:textId="77777777" w:rsidTr="002510C9">
        <w:trPr>
          <w:trHeight w:val="432"/>
          <w:jc w:val="center"/>
        </w:trPr>
        <w:tc>
          <w:tcPr>
            <w:tcW w:w="2475" w:type="dxa"/>
            <w:vAlign w:val="center"/>
          </w:tcPr>
          <w:p w14:paraId="747DB3AA" w14:textId="77777777" w:rsidR="00E22FF2" w:rsidRPr="00E4265B" w:rsidRDefault="00E22FF2" w:rsidP="00F32BCA">
            <w:pPr>
              <w:spacing w:line="276" w:lineRule="auto"/>
              <w:ind w:left="14"/>
              <w:jc w:val="center"/>
              <w:rPr>
                <w:rFonts w:ascii="Arial" w:hAnsi="Arial" w:cs="Arial"/>
                <w:sz w:val="22"/>
                <w:szCs w:val="22"/>
                <w:lang w:val="en-GB"/>
              </w:rPr>
            </w:pPr>
            <w:r w:rsidRPr="00E4265B">
              <w:rPr>
                <w:rFonts w:ascii="Arial" w:hAnsi="Arial" w:cs="Arial"/>
                <w:sz w:val="22"/>
                <w:szCs w:val="22"/>
                <w:lang w:val="en-GB"/>
              </w:rPr>
              <w:t>10 or more</w:t>
            </w:r>
          </w:p>
        </w:tc>
        <w:tc>
          <w:tcPr>
            <w:tcW w:w="2475" w:type="dxa"/>
            <w:vAlign w:val="center"/>
          </w:tcPr>
          <w:p w14:paraId="156287C8" w14:textId="77777777" w:rsidR="00E22FF2" w:rsidRPr="00E4265B" w:rsidRDefault="00E22FF2" w:rsidP="00F32BCA">
            <w:pPr>
              <w:spacing w:line="276" w:lineRule="auto"/>
              <w:ind w:left="14"/>
              <w:jc w:val="center"/>
              <w:rPr>
                <w:rFonts w:ascii="Arial" w:hAnsi="Arial" w:cs="Arial"/>
                <w:sz w:val="22"/>
                <w:szCs w:val="22"/>
                <w:lang w:val="en-GB"/>
              </w:rPr>
            </w:pPr>
            <w:r w:rsidRPr="00E4265B">
              <w:rPr>
                <w:rFonts w:ascii="Arial" w:hAnsi="Arial" w:cs="Arial"/>
                <w:sz w:val="22"/>
                <w:szCs w:val="22"/>
                <w:lang w:val="en-GB"/>
              </w:rPr>
              <w:t>1.00</w:t>
            </w:r>
          </w:p>
        </w:tc>
      </w:tr>
    </w:tbl>
    <w:p w14:paraId="11F8CFD1" w14:textId="77777777" w:rsidR="00E22FF2" w:rsidRPr="00E4265B" w:rsidRDefault="00E22FF2" w:rsidP="00572832">
      <w:pPr>
        <w:rPr>
          <w:rFonts w:ascii="Arial" w:hAnsi="Arial" w:cs="Arial"/>
          <w:sz w:val="22"/>
          <w:szCs w:val="22"/>
          <w:lang w:val="en-GB"/>
        </w:rPr>
      </w:pPr>
    </w:p>
    <w:p w14:paraId="114946CA"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15.</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count daily violations on the basis of back</w:t>
      </w:r>
      <w:r w:rsidRPr="00E4265B">
        <w:rPr>
          <w:rFonts w:ascii="Arial" w:hAnsi="Arial" w:cs="Arial"/>
          <w:sz w:val="22"/>
          <w:szCs w:val="22"/>
          <w:lang w:val="en-GB"/>
        </w:rPr>
        <w:noBreakHyphen/>
        <w:t>testing on hypothetical and actual changes in the portfolio's value. A violation for this purpose is defined as a one</w:t>
      </w:r>
      <w:r w:rsidRPr="00E4265B">
        <w:rPr>
          <w:rFonts w:ascii="Arial" w:hAnsi="Arial" w:cs="Arial"/>
          <w:sz w:val="22"/>
          <w:szCs w:val="22"/>
          <w:lang w:val="en-GB"/>
        </w:rPr>
        <w:noBreakHyphen/>
        <w:t>day change in the portfolio's value that exceeds the related one</w:t>
      </w:r>
      <w:r w:rsidRPr="00E4265B">
        <w:rPr>
          <w:rFonts w:ascii="Arial" w:hAnsi="Arial" w:cs="Arial"/>
          <w:sz w:val="22"/>
          <w:szCs w:val="22"/>
          <w:lang w:val="en-GB"/>
        </w:rPr>
        <w:noBreakHyphen/>
        <w:t xml:space="preserve">day VaR number generated by the </w:t>
      </w:r>
      <w:r w:rsidR="000D1A90" w:rsidRPr="00E4265B">
        <w:rPr>
          <w:rFonts w:ascii="Arial" w:hAnsi="Arial" w:cs="Arial"/>
          <w:sz w:val="22"/>
          <w:szCs w:val="22"/>
          <w:lang w:val="en-GB"/>
        </w:rPr>
        <w:t>Authorised Person</w:t>
      </w:r>
      <w:r w:rsidRPr="00E4265B">
        <w:rPr>
          <w:rFonts w:ascii="Arial" w:hAnsi="Arial" w:cs="Arial"/>
          <w:sz w:val="22"/>
          <w:szCs w:val="22"/>
          <w:lang w:val="en-GB"/>
        </w:rPr>
        <w:t>'s model. For the purpose of determining the addend the number of violations should be assessed at least on a quarterly basis and should be equal to the higher of the number of violations under hypothetical and actual changes in the value of the portfolio.</w:t>
      </w:r>
    </w:p>
    <w:p w14:paraId="432D804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16.</w:t>
      </w:r>
      <w:r w:rsidRPr="00E4265B">
        <w:rPr>
          <w:rFonts w:ascii="Arial" w:hAnsi="Arial" w:cs="Arial"/>
          <w:sz w:val="22"/>
          <w:szCs w:val="22"/>
          <w:lang w:val="en-GB"/>
        </w:rPr>
        <w:tab/>
        <w:t>Back</w:t>
      </w:r>
      <w:r w:rsidRPr="00E4265B">
        <w:rPr>
          <w:rFonts w:ascii="Arial" w:hAnsi="Arial" w:cs="Arial"/>
          <w:sz w:val="22"/>
          <w:szCs w:val="22"/>
          <w:lang w:val="en-GB"/>
        </w:rPr>
        <w:noBreakHyphen/>
        <w:t>testing on hypothetical changes in the portfolio's value should be based on a comparison between the portfolio's end</w:t>
      </w:r>
      <w:r w:rsidRPr="00E4265B">
        <w:rPr>
          <w:rFonts w:ascii="Arial" w:hAnsi="Arial" w:cs="Arial"/>
          <w:sz w:val="22"/>
          <w:szCs w:val="22"/>
          <w:lang w:val="en-GB"/>
        </w:rPr>
        <w:noBreakHyphen/>
        <w:t>of</w:t>
      </w:r>
      <w:r w:rsidRPr="00E4265B">
        <w:rPr>
          <w:rFonts w:ascii="Arial" w:hAnsi="Arial" w:cs="Arial"/>
          <w:sz w:val="22"/>
          <w:szCs w:val="22"/>
          <w:lang w:val="en-GB"/>
        </w:rPr>
        <w:noBreakHyphen/>
        <w:t>day value and, assuming unchanged positions, its value at the end of the subsequent day. Back</w:t>
      </w:r>
      <w:r w:rsidRPr="00E4265B">
        <w:rPr>
          <w:rFonts w:ascii="Arial" w:hAnsi="Arial" w:cs="Arial"/>
          <w:sz w:val="22"/>
          <w:szCs w:val="22"/>
          <w:lang w:val="en-GB"/>
        </w:rPr>
        <w:noBreakHyphen/>
        <w:t>testing on actual changes in the portfolio's value should be based on a comparison between the portfolio's end</w:t>
      </w:r>
      <w:r w:rsidRPr="00E4265B">
        <w:rPr>
          <w:rFonts w:ascii="Arial" w:hAnsi="Arial" w:cs="Arial"/>
          <w:sz w:val="22"/>
          <w:szCs w:val="22"/>
          <w:lang w:val="en-GB"/>
        </w:rPr>
        <w:noBreakHyphen/>
        <w:t>of</w:t>
      </w:r>
      <w:r w:rsidRPr="00E4265B">
        <w:rPr>
          <w:rFonts w:ascii="Arial" w:hAnsi="Arial" w:cs="Arial"/>
          <w:sz w:val="22"/>
          <w:szCs w:val="22"/>
          <w:lang w:val="en-GB"/>
        </w:rPr>
        <w:noBreakHyphen/>
        <w:t>day value and its actual value at the end of the subsequent day excluding fees, commissions, and net interest income.</w:t>
      </w:r>
    </w:p>
    <w:p w14:paraId="439E4BC1"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17.</w:t>
      </w:r>
      <w:r w:rsidRPr="00E4265B">
        <w:rPr>
          <w:rFonts w:ascii="Arial" w:hAnsi="Arial" w:cs="Arial"/>
          <w:sz w:val="22"/>
          <w:szCs w:val="22"/>
          <w:lang w:val="en-GB"/>
        </w:rPr>
        <w:tab/>
        <w:t>The Regulator may in individual cases limit the addend to that resulting from violations under hypothetical changes, where the number of violations under actual changes does not result from deficiencies in the internal model.</w:t>
      </w:r>
    </w:p>
    <w:p w14:paraId="2ACCF48B"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lastRenderedPageBreak/>
        <w:t>18.</w:t>
      </w:r>
      <w:r w:rsidRPr="00E4265B">
        <w:rPr>
          <w:rFonts w:ascii="Arial" w:hAnsi="Arial" w:cs="Arial"/>
          <w:sz w:val="22"/>
          <w:szCs w:val="22"/>
          <w:lang w:val="en-GB"/>
        </w:rPr>
        <w:tab/>
        <w:t xml:space="preserve">In order to enable the Regulator to monitor the appropriateness of the multiplication factors on an ongoing basis,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notify promptly, and in any case no later than within five working days, any violations that result from its back</w:t>
      </w:r>
      <w:r w:rsidRPr="00E4265B">
        <w:rPr>
          <w:rFonts w:ascii="Arial" w:hAnsi="Arial" w:cs="Arial"/>
          <w:sz w:val="22"/>
          <w:szCs w:val="22"/>
          <w:lang w:val="en-GB"/>
        </w:rPr>
        <w:noBreakHyphen/>
        <w:t>testing programme.</w:t>
      </w:r>
    </w:p>
    <w:p w14:paraId="13CE52A3"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Internal Validation</w:t>
      </w:r>
    </w:p>
    <w:p w14:paraId="6D44FE6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19.</w:t>
      </w:r>
      <w:r w:rsidRPr="00E4265B">
        <w:rPr>
          <w:rFonts w:ascii="Arial" w:hAnsi="Arial" w:cs="Arial"/>
          <w:sz w:val="22"/>
          <w:szCs w:val="22"/>
          <w:lang w:val="en-GB"/>
        </w:rPr>
        <w:tab/>
      </w:r>
      <w:r w:rsidR="000D1A90" w:rsidRPr="00E4265B">
        <w:rPr>
          <w:rFonts w:ascii="Arial" w:hAnsi="Arial" w:cs="Arial"/>
          <w:sz w:val="22"/>
          <w:szCs w:val="22"/>
          <w:lang w:val="en-GB"/>
        </w:rPr>
        <w:t>Authorised Person</w:t>
      </w:r>
      <w:r w:rsidRPr="00E4265B">
        <w:rPr>
          <w:rFonts w:ascii="Arial" w:hAnsi="Arial" w:cs="Arial"/>
          <w:sz w:val="22"/>
          <w:szCs w:val="22"/>
          <w:lang w:val="en-GB"/>
        </w:rPr>
        <w:t>s should have processes in place to ensure that all their internal models used for purposes of Chapter 5 have been adequately validated by suitably qualified parties independent of the development process to ensure that they are conceptually sound and adequately capture all material risks. The validation should be conducted when the internal model is initially developed and when any significant changes are made to the internal model.</w:t>
      </w:r>
    </w:p>
    <w:p w14:paraId="0AE057F7" w14:textId="77777777" w:rsidR="00E22FF2" w:rsidRPr="00E4265B" w:rsidRDefault="00E22FF2" w:rsidP="00EA45DE">
      <w:pPr>
        <w:pStyle w:val="1List"/>
        <w:ind w:firstLine="0"/>
        <w:rPr>
          <w:rFonts w:ascii="Arial" w:hAnsi="Arial" w:cs="Arial"/>
          <w:sz w:val="22"/>
          <w:szCs w:val="22"/>
          <w:lang w:val="en-GB"/>
        </w:rPr>
      </w:pPr>
      <w:r w:rsidRPr="00E4265B">
        <w:rPr>
          <w:rFonts w:ascii="Arial" w:hAnsi="Arial" w:cs="Arial"/>
          <w:sz w:val="22"/>
          <w:szCs w:val="22"/>
          <w:lang w:val="en-GB"/>
        </w:rPr>
        <w:t xml:space="preserve">The validation should also be conducted on a periodic basis but especially where there have been any significant structural changes in the market or changes to the composition of the portfolio which might lead to the internal model no longer being adequate. As techniques and best practices for internal validation evolve, </w:t>
      </w:r>
      <w:r w:rsidR="000D1A90" w:rsidRPr="00E4265B">
        <w:rPr>
          <w:rFonts w:ascii="Arial" w:hAnsi="Arial" w:cs="Arial"/>
          <w:sz w:val="22"/>
          <w:szCs w:val="22"/>
          <w:lang w:val="en-GB"/>
        </w:rPr>
        <w:t>Authorised Person</w:t>
      </w:r>
      <w:r w:rsidRPr="00E4265B">
        <w:rPr>
          <w:rFonts w:ascii="Arial" w:hAnsi="Arial" w:cs="Arial"/>
          <w:sz w:val="22"/>
          <w:szCs w:val="22"/>
          <w:lang w:val="en-GB"/>
        </w:rPr>
        <w:t>s should apply these advances. Internal model validation should not be limited to back</w:t>
      </w:r>
      <w:r w:rsidRPr="00E4265B">
        <w:rPr>
          <w:rFonts w:ascii="Arial" w:hAnsi="Arial" w:cs="Arial"/>
          <w:sz w:val="22"/>
          <w:szCs w:val="22"/>
          <w:lang w:val="en-GB"/>
        </w:rPr>
        <w:noBreakHyphen/>
        <w:t>testing, but should, at a minimum, also include the following:</w:t>
      </w:r>
    </w:p>
    <w:p w14:paraId="5B9B482A"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tests to demonstrate that any assumptions made within the internal model are appropriate and do not underestimate or overestimate the risk;</w:t>
      </w:r>
    </w:p>
    <w:p w14:paraId="6F2C5E41"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in addition to </w:t>
      </w:r>
      <w:r w:rsidR="00DF7CAF" w:rsidRPr="00E4265B">
        <w:rPr>
          <w:rFonts w:ascii="Arial" w:hAnsi="Arial" w:cs="Arial"/>
          <w:sz w:val="22"/>
          <w:szCs w:val="22"/>
          <w:lang w:val="en-GB"/>
        </w:rPr>
        <w:t xml:space="preserve">regulatory </w:t>
      </w:r>
      <w:r w:rsidRPr="00E4265B">
        <w:rPr>
          <w:rFonts w:ascii="Arial" w:hAnsi="Arial" w:cs="Arial"/>
          <w:sz w:val="22"/>
          <w:szCs w:val="22"/>
          <w:lang w:val="en-GB"/>
        </w:rPr>
        <w:t>back</w:t>
      </w:r>
      <w:r w:rsidRPr="00E4265B">
        <w:rPr>
          <w:rFonts w:ascii="Arial" w:hAnsi="Arial" w:cs="Arial"/>
          <w:sz w:val="22"/>
          <w:szCs w:val="22"/>
          <w:lang w:val="en-GB"/>
        </w:rPr>
        <w:noBreakHyphen/>
        <w:t xml:space="preserve">testing </w:t>
      </w:r>
      <w:r w:rsidR="00DF7CAF" w:rsidRPr="00E4265B">
        <w:rPr>
          <w:rFonts w:ascii="Arial" w:hAnsi="Arial" w:cs="Arial"/>
          <w:sz w:val="22"/>
          <w:szCs w:val="22"/>
          <w:lang w:val="en-GB"/>
        </w:rPr>
        <w:t xml:space="preserve">of </w:t>
      </w:r>
      <w:r w:rsidRPr="00E4265B">
        <w:rPr>
          <w:rFonts w:ascii="Arial" w:hAnsi="Arial" w:cs="Arial"/>
          <w:sz w:val="22"/>
          <w:szCs w:val="22"/>
          <w:lang w:val="en-GB"/>
        </w:rPr>
        <w:t xml:space="preserve">programmes, </w:t>
      </w:r>
      <w:r w:rsidR="000D1A90" w:rsidRPr="00E4265B">
        <w:rPr>
          <w:rFonts w:ascii="Arial" w:hAnsi="Arial" w:cs="Arial"/>
          <w:sz w:val="22"/>
          <w:szCs w:val="22"/>
          <w:lang w:val="en-GB"/>
        </w:rPr>
        <w:t>Authorised Person</w:t>
      </w:r>
      <w:r w:rsidRPr="00E4265B">
        <w:rPr>
          <w:rFonts w:ascii="Arial" w:hAnsi="Arial" w:cs="Arial"/>
          <w:sz w:val="22"/>
          <w:szCs w:val="22"/>
          <w:lang w:val="en-GB"/>
        </w:rPr>
        <w:t>s should carry out their own internal model validation tests, including back</w:t>
      </w:r>
      <w:r w:rsidRPr="00E4265B">
        <w:rPr>
          <w:rFonts w:ascii="Arial" w:hAnsi="Arial" w:cs="Arial"/>
          <w:sz w:val="22"/>
          <w:szCs w:val="22"/>
          <w:lang w:val="en-GB"/>
        </w:rPr>
        <w:noBreakHyphen/>
        <w:t>testing, in relation to the risks and structures of their portfolios; and</w:t>
      </w:r>
    </w:p>
    <w:p w14:paraId="1428CC24" w14:textId="727FEF38"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use of hypothetical portfolios to ensure that the internal model is able to account for particular structural features that may arise, for ex</w:t>
      </w:r>
      <w:r w:rsidR="00615A2F" w:rsidRPr="00E4265B">
        <w:rPr>
          <w:rFonts w:ascii="Arial" w:hAnsi="Arial" w:cs="Arial"/>
          <w:sz w:val="22"/>
          <w:szCs w:val="22"/>
          <w:lang w:val="en-GB"/>
        </w:rPr>
        <w:t>ample material basis risks and concentration r</w:t>
      </w:r>
      <w:r w:rsidRPr="00E4265B">
        <w:rPr>
          <w:rFonts w:ascii="Arial" w:hAnsi="Arial" w:cs="Arial"/>
          <w:sz w:val="22"/>
          <w:szCs w:val="22"/>
          <w:lang w:val="en-GB"/>
        </w:rPr>
        <w:t>isk</w:t>
      </w:r>
      <w:r w:rsidR="00615A2F" w:rsidRPr="00E4265B">
        <w:rPr>
          <w:rFonts w:ascii="Arial" w:hAnsi="Arial" w:cs="Arial"/>
          <w:sz w:val="22"/>
          <w:szCs w:val="22"/>
          <w:lang w:val="en-GB"/>
        </w:rPr>
        <w:t>s</w:t>
      </w:r>
      <w:r w:rsidRPr="00E4265B">
        <w:rPr>
          <w:rFonts w:ascii="Arial" w:hAnsi="Arial" w:cs="Arial"/>
          <w:sz w:val="22"/>
          <w:szCs w:val="22"/>
          <w:lang w:val="en-GB"/>
        </w:rPr>
        <w:t>.</w:t>
      </w:r>
    </w:p>
    <w:p w14:paraId="7C2C438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20.</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perform back</w:t>
      </w:r>
      <w:r w:rsidRPr="00E4265B">
        <w:rPr>
          <w:rFonts w:ascii="Arial" w:hAnsi="Arial" w:cs="Arial"/>
          <w:sz w:val="22"/>
          <w:szCs w:val="22"/>
          <w:lang w:val="en-GB"/>
        </w:rPr>
        <w:noBreakHyphen/>
        <w:t>testing on both actual and hypothetical changes in the portfolio's value.</w:t>
      </w:r>
    </w:p>
    <w:p w14:paraId="4927E364"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Requirements for modelling Specific Risk</w:t>
      </w:r>
    </w:p>
    <w:p w14:paraId="1A4B60A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21.</w:t>
      </w:r>
      <w:r w:rsidRPr="00E4265B">
        <w:rPr>
          <w:rFonts w:ascii="Arial" w:hAnsi="Arial" w:cs="Arial"/>
          <w:sz w:val="22"/>
          <w:szCs w:val="22"/>
          <w:lang w:val="en-GB"/>
        </w:rPr>
        <w:tab/>
        <w:t>An internal model used for calculating Capital Requirements for Specific Risk and an internal model for correlation trading should meet the following additional requirements:</w:t>
      </w:r>
    </w:p>
    <w:p w14:paraId="58C79AAB"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it explains the historical price variation in the portfolio;</w:t>
      </w:r>
    </w:p>
    <w:p w14:paraId="7C856E34"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it captures concentration in terms of magnitude and changes of composition of the portfolio;</w:t>
      </w:r>
    </w:p>
    <w:p w14:paraId="25E1CA29"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it is robust to an adverse environment;</w:t>
      </w:r>
    </w:p>
    <w:p w14:paraId="621557BE"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it is validated through back</w:t>
      </w:r>
      <w:r w:rsidRPr="00E4265B">
        <w:rPr>
          <w:rFonts w:ascii="Arial" w:hAnsi="Arial" w:cs="Arial"/>
          <w:sz w:val="22"/>
          <w:szCs w:val="22"/>
          <w:lang w:val="en-GB"/>
        </w:rPr>
        <w:noBreakHyphen/>
        <w:t xml:space="preserve">testing aimed at assessing whether Specific Risk is being accurately captured. If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t>
      </w:r>
      <w:r w:rsidRPr="00E4265B">
        <w:rPr>
          <w:rFonts w:ascii="Arial" w:hAnsi="Arial" w:cs="Arial"/>
          <w:sz w:val="22"/>
          <w:szCs w:val="22"/>
          <w:lang w:val="en-GB"/>
        </w:rPr>
        <w:lastRenderedPageBreak/>
        <w:t>performs such back</w:t>
      </w:r>
      <w:r w:rsidRPr="00E4265B">
        <w:rPr>
          <w:rFonts w:ascii="Arial" w:hAnsi="Arial" w:cs="Arial"/>
          <w:sz w:val="22"/>
          <w:szCs w:val="22"/>
          <w:lang w:val="en-GB"/>
        </w:rPr>
        <w:noBreakHyphen/>
        <w:t>testing on the basis of relevant sub</w:t>
      </w:r>
      <w:r w:rsidRPr="00E4265B">
        <w:rPr>
          <w:rFonts w:ascii="Arial" w:hAnsi="Arial" w:cs="Arial"/>
          <w:sz w:val="22"/>
          <w:szCs w:val="22"/>
          <w:lang w:val="en-GB"/>
        </w:rPr>
        <w:noBreakHyphen/>
        <w:t>portfolios, these must be chosen in a consistent manner;</w:t>
      </w:r>
    </w:p>
    <w:p w14:paraId="67D3ED7C" w14:textId="77777777" w:rsidR="00461CE0"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it captures name</w:t>
      </w:r>
      <w:r w:rsidRPr="00E4265B">
        <w:rPr>
          <w:rFonts w:ascii="Arial" w:hAnsi="Arial" w:cs="Arial"/>
          <w:sz w:val="22"/>
          <w:szCs w:val="22"/>
          <w:lang w:val="en-GB"/>
        </w:rPr>
        <w:noBreakHyphen/>
        <w:t xml:space="preserve">related basis risk and should in particular be sensitive to material idiosyncratic differences between similar, but not identical, positions; and </w:t>
      </w:r>
    </w:p>
    <w:p w14:paraId="484AA99A"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f.</w:t>
      </w:r>
      <w:r w:rsidR="00461CE0" w:rsidRPr="00E4265B">
        <w:rPr>
          <w:rFonts w:ascii="Arial" w:hAnsi="Arial" w:cs="Arial"/>
          <w:sz w:val="22"/>
          <w:szCs w:val="22"/>
          <w:lang w:val="en-GB"/>
        </w:rPr>
        <w:tab/>
      </w:r>
      <w:r w:rsidRPr="00E4265B">
        <w:rPr>
          <w:rFonts w:ascii="Arial" w:hAnsi="Arial" w:cs="Arial"/>
          <w:sz w:val="22"/>
          <w:szCs w:val="22"/>
          <w:lang w:val="en-GB"/>
        </w:rPr>
        <w:t>it captures event risk.</w:t>
      </w:r>
    </w:p>
    <w:p w14:paraId="735966F0"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Exclusions from Specific Risk models</w:t>
      </w:r>
    </w:p>
    <w:p w14:paraId="47CEF7E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22.</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choose to exclude from the calculation of its Specific Risk Capital Requirement using an internal model those positions for which it fulfils a Capital Requirement for Specific Risk in accordance with relevant Sections of Chapter 5.</w:t>
      </w:r>
    </w:p>
    <w:p w14:paraId="6A09365A"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23.</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choose not to capture default and migration risks for debt instruments in its internal model where it is capturing those risks through internal models for incremental default and migration risk.</w:t>
      </w:r>
    </w:p>
    <w:p w14:paraId="7E7707F0" w14:textId="77777777" w:rsidR="00E22FF2" w:rsidRPr="00E4265B" w:rsidRDefault="00E22FF2" w:rsidP="00DF0ACA">
      <w:pPr>
        <w:pStyle w:val="A1List"/>
        <w:keepNext/>
        <w:rPr>
          <w:rFonts w:ascii="Arial" w:hAnsi="Arial" w:cs="Arial"/>
          <w:sz w:val="22"/>
          <w:szCs w:val="22"/>
          <w:lang w:val="en-GB"/>
        </w:rPr>
      </w:pPr>
      <w:r w:rsidRPr="00E4265B">
        <w:rPr>
          <w:rFonts w:ascii="Arial" w:hAnsi="Arial" w:cs="Arial"/>
          <w:b/>
          <w:bCs/>
          <w:sz w:val="22"/>
          <w:szCs w:val="22"/>
          <w:lang w:val="en-GB"/>
        </w:rPr>
        <w:t>A</w:t>
      </w:r>
      <w:r w:rsidR="00285E15" w:rsidRPr="00E4265B">
        <w:rPr>
          <w:rFonts w:ascii="Arial" w:hAnsi="Arial" w:cs="Arial"/>
          <w:b/>
          <w:bCs/>
          <w:sz w:val="22"/>
          <w:szCs w:val="22"/>
          <w:lang w:val="en-GB"/>
        </w:rPr>
        <w:t>6</w:t>
      </w:r>
      <w:r w:rsidRPr="00E4265B">
        <w:rPr>
          <w:rFonts w:ascii="Arial" w:hAnsi="Arial" w:cs="Arial"/>
          <w:b/>
          <w:bCs/>
          <w:sz w:val="22"/>
          <w:szCs w:val="22"/>
          <w:lang w:val="en-GB"/>
        </w:rPr>
        <w:t>.9.2</w:t>
      </w:r>
      <w:r w:rsidRPr="00E4265B">
        <w:rPr>
          <w:rFonts w:ascii="Arial" w:hAnsi="Arial" w:cs="Arial"/>
          <w:b/>
          <w:bCs/>
          <w:sz w:val="22"/>
          <w:szCs w:val="22"/>
          <w:lang w:val="en-GB"/>
        </w:rPr>
        <w:tab/>
        <w:t>Incremental risk charge (IRC) model</w:t>
      </w:r>
    </w:p>
    <w:p w14:paraId="37787BF2"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Guidance</w:t>
      </w:r>
    </w:p>
    <w:p w14:paraId="2437D333"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that uses an internal model for calculating Capital Requirements for Specific Risk of interest rate risk Exposures should also have an internal incremental default and migration risk (incremental risk charge, or IRC) model in place to capture the default and migration risks of its Trading Book positions that are incremental to the risks captured by the VaR measure as specified in Guidance note 7 of A</w:t>
      </w:r>
      <w:r w:rsidR="00285E15" w:rsidRPr="00E4265B">
        <w:rPr>
          <w:rFonts w:ascii="Arial" w:hAnsi="Arial" w:cs="Arial"/>
          <w:sz w:val="22"/>
          <w:szCs w:val="22"/>
          <w:lang w:val="en-GB"/>
        </w:rPr>
        <w:t>6</w:t>
      </w:r>
      <w:r w:rsidRPr="00E4265B">
        <w:rPr>
          <w:rFonts w:ascii="Arial" w:hAnsi="Arial" w:cs="Arial"/>
          <w:sz w:val="22"/>
          <w:szCs w:val="22"/>
          <w:lang w:val="en-GB"/>
        </w:rPr>
        <w:t xml:space="preserve">.9.1.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demonstrate that its internal model meets soundness standards comparable to the Internal Ratings Based (IRB) approach for Credit Risk under the assumption of a constant level of risk, and adjusted where appropriate to reflect the impact of liquidity, concentrations, hedging and optionality.</w:t>
      </w:r>
    </w:p>
    <w:p w14:paraId="0CAE0EAB"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Scope of the internal IRC model</w:t>
      </w:r>
    </w:p>
    <w:p w14:paraId="0C75600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The internal IRC model should cover all positions subject to a Capital Requirement for specific interest rate risk, including those subject to a 0% Specific Risk capital charge under Rule A</w:t>
      </w:r>
      <w:r w:rsidR="00285E15" w:rsidRPr="00E4265B">
        <w:rPr>
          <w:rFonts w:ascii="Arial" w:hAnsi="Arial" w:cs="Arial"/>
          <w:sz w:val="22"/>
          <w:szCs w:val="22"/>
          <w:lang w:val="en-GB"/>
        </w:rPr>
        <w:t>6</w:t>
      </w:r>
      <w:r w:rsidRPr="00E4265B">
        <w:rPr>
          <w:rFonts w:ascii="Arial" w:hAnsi="Arial" w:cs="Arial"/>
          <w:sz w:val="22"/>
          <w:szCs w:val="22"/>
          <w:lang w:val="en-GB"/>
        </w:rPr>
        <w:t xml:space="preserve">.2.13, but should not cover securitisation positions and </w:t>
      </w:r>
      <w:r w:rsidRPr="00E4265B">
        <w:rPr>
          <w:rFonts w:ascii="Arial" w:hAnsi="Arial" w:cs="Arial"/>
          <w:i/>
          <w:iCs/>
          <w:sz w:val="22"/>
          <w:szCs w:val="22"/>
          <w:lang w:val="en-GB"/>
        </w:rPr>
        <w:t>n</w:t>
      </w:r>
      <w:r w:rsidRPr="00E4265B">
        <w:rPr>
          <w:rFonts w:ascii="Arial" w:hAnsi="Arial" w:cs="Arial"/>
          <w:sz w:val="22"/>
          <w:szCs w:val="22"/>
          <w:vertAlign w:val="superscript"/>
          <w:lang w:val="en-GB"/>
        </w:rPr>
        <w:t>th</w:t>
      </w:r>
      <w:r w:rsidRPr="00E4265B">
        <w:rPr>
          <w:rFonts w:ascii="Arial" w:hAnsi="Arial" w:cs="Arial"/>
          <w:sz w:val="22"/>
          <w:szCs w:val="22"/>
          <w:lang w:val="en-GB"/>
        </w:rPr>
        <w:noBreakHyphen/>
        <w:t>to</w:t>
      </w:r>
      <w:r w:rsidRPr="00E4265B">
        <w:rPr>
          <w:rFonts w:ascii="Arial" w:hAnsi="Arial" w:cs="Arial"/>
          <w:sz w:val="22"/>
          <w:szCs w:val="22"/>
          <w:lang w:val="en-GB"/>
        </w:rPr>
        <w:noBreakHyphen/>
        <w:t>default Credit Derivatives.</w:t>
      </w:r>
    </w:p>
    <w:p w14:paraId="0DF0F4D0"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subject to approval by the Regulator, choose to include consistently all listed equity positions and </w:t>
      </w:r>
      <w:r w:rsidR="005F3B3B" w:rsidRPr="00E4265B">
        <w:rPr>
          <w:rFonts w:ascii="Arial" w:hAnsi="Arial" w:cs="Arial"/>
          <w:sz w:val="22"/>
          <w:szCs w:val="22"/>
          <w:lang w:val="en-GB"/>
        </w:rPr>
        <w:t>Derivative</w:t>
      </w:r>
      <w:r w:rsidRPr="00E4265B">
        <w:rPr>
          <w:rFonts w:ascii="Arial" w:hAnsi="Arial" w:cs="Arial"/>
          <w:sz w:val="22"/>
          <w:szCs w:val="22"/>
          <w:lang w:val="en-GB"/>
        </w:rPr>
        <w:t xml:space="preserve">s positions based on listed equities. The permission will be granted only if such inclusion is consistent with how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internally measures and manages risk.</w:t>
      </w:r>
    </w:p>
    <w:p w14:paraId="6FEC78FF"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Parameters of the internal IRC model</w:t>
      </w:r>
    </w:p>
    <w:p w14:paraId="5DEAB9A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should use the internal model to calculate a number which measures losses due to default and internal or external ratings migration at the 99.9 % confidence interval over a time horizon of one year. </w:t>
      </w:r>
      <w:r w:rsidR="000D1A90" w:rsidRPr="00E4265B">
        <w:rPr>
          <w:rFonts w:ascii="Arial" w:hAnsi="Arial" w:cs="Arial"/>
          <w:sz w:val="22"/>
          <w:szCs w:val="22"/>
          <w:lang w:val="en-GB"/>
        </w:rPr>
        <w:t>Authorised Person</w:t>
      </w:r>
      <w:r w:rsidRPr="00E4265B">
        <w:rPr>
          <w:rFonts w:ascii="Arial" w:hAnsi="Arial" w:cs="Arial"/>
          <w:sz w:val="22"/>
          <w:szCs w:val="22"/>
          <w:lang w:val="en-GB"/>
        </w:rPr>
        <w:t>s should calculate this number at least weekly.</w:t>
      </w:r>
    </w:p>
    <w:p w14:paraId="10E0646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lastRenderedPageBreak/>
        <w:t>5.</w:t>
      </w:r>
      <w:r w:rsidRPr="00E4265B">
        <w:rPr>
          <w:rFonts w:ascii="Arial" w:hAnsi="Arial" w:cs="Arial"/>
          <w:sz w:val="22"/>
          <w:szCs w:val="22"/>
          <w:lang w:val="en-GB"/>
        </w:rPr>
        <w:tab/>
        <w:t xml:space="preserve">Correlation assumptions should be supported by analysis of objective data in a conceptually sound framework. The internal model should appropriately reflect </w:t>
      </w:r>
      <w:r w:rsidR="00B830F4" w:rsidRPr="00E4265B">
        <w:rPr>
          <w:rFonts w:ascii="Arial" w:hAnsi="Arial" w:cs="Arial"/>
          <w:sz w:val="22"/>
          <w:szCs w:val="22"/>
          <w:lang w:val="en-GB"/>
        </w:rPr>
        <w:t>Issuer</w:t>
      </w:r>
      <w:r w:rsidRPr="00E4265B">
        <w:rPr>
          <w:rFonts w:ascii="Arial" w:hAnsi="Arial" w:cs="Arial"/>
          <w:sz w:val="22"/>
          <w:szCs w:val="22"/>
          <w:lang w:val="en-GB"/>
        </w:rPr>
        <w:t xml:space="preserve"> concentrations. Concentrations that can arise within and across product classes under stressed conditions should also be reflected.</w:t>
      </w:r>
    </w:p>
    <w:p w14:paraId="0B779FA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6.</w:t>
      </w:r>
      <w:r w:rsidRPr="00E4265B">
        <w:rPr>
          <w:rFonts w:ascii="Arial" w:hAnsi="Arial" w:cs="Arial"/>
          <w:sz w:val="22"/>
          <w:szCs w:val="22"/>
          <w:lang w:val="en-GB"/>
        </w:rPr>
        <w:tab/>
        <w:t>The internal IRC model should reflect the impact of correlations between default and migration events. The impact of diversification between, on the one hand, default and migration events and, on the other hand, other risk factors should not be reflected.</w:t>
      </w:r>
    </w:p>
    <w:p w14:paraId="0733946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7.</w:t>
      </w:r>
      <w:r w:rsidRPr="00E4265B">
        <w:rPr>
          <w:rFonts w:ascii="Arial" w:hAnsi="Arial" w:cs="Arial"/>
          <w:sz w:val="22"/>
          <w:szCs w:val="22"/>
          <w:lang w:val="en-GB"/>
        </w:rPr>
        <w:tab/>
        <w:t>The internal model should be based on the assumption of a constant level of risk over the one</w:t>
      </w:r>
      <w:r w:rsidRPr="00E4265B">
        <w:rPr>
          <w:rFonts w:ascii="Arial" w:hAnsi="Arial" w:cs="Arial"/>
          <w:sz w:val="22"/>
          <w:szCs w:val="22"/>
          <w:lang w:val="en-GB"/>
        </w:rPr>
        <w:noBreakHyphen/>
        <w:t>year time horizon, implying that given individual Trading Book positions or sets of positions that have experienced default or migration over their liquidity horizon are re</w:t>
      </w:r>
      <w:r w:rsidRPr="00E4265B">
        <w:rPr>
          <w:rFonts w:ascii="Arial" w:hAnsi="Arial" w:cs="Arial"/>
          <w:sz w:val="22"/>
          <w:szCs w:val="22"/>
          <w:lang w:val="en-GB"/>
        </w:rPr>
        <w:noBreakHyphen/>
        <w:t xml:space="preserve">balanced at the end of their liquidity horizon to attain the initial level of risk. Alternatively,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choose to consistently use a one</w:t>
      </w:r>
      <w:r w:rsidRPr="00E4265B">
        <w:rPr>
          <w:rFonts w:ascii="Arial" w:hAnsi="Arial" w:cs="Arial"/>
          <w:sz w:val="22"/>
          <w:szCs w:val="22"/>
          <w:lang w:val="en-GB"/>
        </w:rPr>
        <w:noBreakHyphen/>
        <w:t>year constant position assumption.</w:t>
      </w:r>
    </w:p>
    <w:p w14:paraId="60D197C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8.</w:t>
      </w:r>
      <w:r w:rsidRPr="00E4265B">
        <w:rPr>
          <w:rFonts w:ascii="Arial" w:hAnsi="Arial" w:cs="Arial"/>
          <w:sz w:val="22"/>
          <w:szCs w:val="22"/>
          <w:lang w:val="en-GB"/>
        </w:rPr>
        <w:tab/>
        <w:t>The liquidity horizons should be set according to the time required to sell the position or to hedge all material relevant price risks in a stressed market, having particular regard to the size of the position. Liquidity horizons should reflect actual practice and experience during periods of both systematic and idiosyncratic stresses. The liquidity horizon should be measured under conservative assumptions and should be sufficiently long that the act of selling or hedging, in itself, would not materially affect the price at which the selling or hedging would be executed.</w:t>
      </w:r>
    </w:p>
    <w:p w14:paraId="63B95F86"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9.</w:t>
      </w:r>
      <w:r w:rsidRPr="00E4265B">
        <w:rPr>
          <w:rFonts w:ascii="Arial" w:hAnsi="Arial" w:cs="Arial"/>
          <w:sz w:val="22"/>
          <w:szCs w:val="22"/>
          <w:lang w:val="en-GB"/>
        </w:rPr>
        <w:tab/>
        <w:t>The determination of the appropriate liquidity horizon for a position or set of positions is subject to a floor of three months.</w:t>
      </w:r>
    </w:p>
    <w:p w14:paraId="59927F8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10.</w:t>
      </w:r>
      <w:r w:rsidRPr="00E4265B">
        <w:rPr>
          <w:rFonts w:ascii="Arial" w:hAnsi="Arial" w:cs="Arial"/>
          <w:sz w:val="22"/>
          <w:szCs w:val="22"/>
          <w:lang w:val="en-GB"/>
        </w:rPr>
        <w:tab/>
        <w:t xml:space="preserve">The determination of the appropriate liquidity horizon for a position or set of positions should take into account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internal policies relating to valuation adjustments and the management of stale positions. When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determines liquidity horizons for sets of positions rather than for individual positions, the criteria for defining sets of positions should be defined in a way that meaningfully reflects differences in liquidity. The liquidity horizons should be greater for positions that are concentrated, reflecting the longer period needed to liquidate such positions. The liquidity horizon for a securitisation warehouse should reflect the time to build, sell and securitise the assets, or to hedge the material risk factors, under stressed market conditions.</w:t>
      </w:r>
    </w:p>
    <w:p w14:paraId="643354CD"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Recognition of hedges in the internal IRC model</w:t>
      </w:r>
    </w:p>
    <w:p w14:paraId="204938DB" w14:textId="7408AC71"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11.</w:t>
      </w:r>
      <w:r w:rsidR="007D16A4" w:rsidRPr="00E4265B">
        <w:rPr>
          <w:rFonts w:ascii="Arial" w:hAnsi="Arial" w:cs="Arial"/>
          <w:sz w:val="22"/>
          <w:szCs w:val="22"/>
          <w:lang w:val="en-GB"/>
        </w:rPr>
        <w:tab/>
      </w:r>
      <w:r w:rsidR="00040BF7" w:rsidRPr="00E4265B">
        <w:rPr>
          <w:rFonts w:ascii="Arial" w:hAnsi="Arial" w:cs="Arial"/>
          <w:sz w:val="22"/>
          <w:szCs w:val="22"/>
          <w:lang w:val="en-GB"/>
        </w:rPr>
        <w:t>hedge</w:t>
      </w:r>
      <w:r w:rsidRPr="00E4265B">
        <w:rPr>
          <w:rFonts w:ascii="Arial" w:hAnsi="Arial" w:cs="Arial"/>
          <w:sz w:val="22"/>
          <w:szCs w:val="22"/>
          <w:lang w:val="en-GB"/>
        </w:rPr>
        <w:t xml:space="preserve">s may be incorporated into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internal model to capture the incremental default and migration risks. Positions may be netted when long and short positions refer to the same </w:t>
      </w:r>
      <w:r w:rsidR="00690BF6" w:rsidRPr="00E4265B">
        <w:rPr>
          <w:rFonts w:ascii="Arial" w:hAnsi="Arial" w:cs="Arial"/>
          <w:sz w:val="22"/>
          <w:szCs w:val="22"/>
          <w:lang w:val="en-GB"/>
        </w:rPr>
        <w:t>Financial Instrument</w:t>
      </w:r>
      <w:r w:rsidRPr="00E4265B">
        <w:rPr>
          <w:rFonts w:ascii="Arial" w:hAnsi="Arial" w:cs="Arial"/>
          <w:sz w:val="22"/>
          <w:szCs w:val="22"/>
          <w:lang w:val="en-GB"/>
        </w:rPr>
        <w:t xml:space="preserve">. Hedging or diversification effects associated with long and short positions involving different instruments or different </w:t>
      </w:r>
      <w:r w:rsidR="00690BF6" w:rsidRPr="00E4265B">
        <w:rPr>
          <w:rFonts w:ascii="Arial" w:hAnsi="Arial" w:cs="Arial"/>
          <w:sz w:val="22"/>
          <w:szCs w:val="22"/>
          <w:lang w:val="en-GB"/>
        </w:rPr>
        <w:t xml:space="preserve">Financial Instruments </w:t>
      </w:r>
      <w:r w:rsidRPr="00E4265B">
        <w:rPr>
          <w:rFonts w:ascii="Arial" w:hAnsi="Arial" w:cs="Arial"/>
          <w:sz w:val="22"/>
          <w:szCs w:val="22"/>
          <w:lang w:val="en-GB"/>
        </w:rPr>
        <w:t xml:space="preserve">of the same obligor, as well as long and short positions in different </w:t>
      </w:r>
      <w:r w:rsidR="00B830F4" w:rsidRPr="00E4265B">
        <w:rPr>
          <w:rFonts w:ascii="Arial" w:hAnsi="Arial" w:cs="Arial"/>
          <w:sz w:val="22"/>
          <w:szCs w:val="22"/>
          <w:lang w:val="en-GB"/>
        </w:rPr>
        <w:t>Issuer</w:t>
      </w:r>
      <w:r w:rsidRPr="00E4265B">
        <w:rPr>
          <w:rFonts w:ascii="Arial" w:hAnsi="Arial" w:cs="Arial"/>
          <w:sz w:val="22"/>
          <w:szCs w:val="22"/>
          <w:lang w:val="en-GB"/>
        </w:rPr>
        <w:t xml:space="preserve">s, may only be recognised by explicitly modelling gross long and short positions in the different instruments.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should reflect the impact of material risks that could occur during the interval between the </w:t>
      </w:r>
      <w:r w:rsidRPr="00E4265B">
        <w:rPr>
          <w:rFonts w:ascii="Arial" w:hAnsi="Arial" w:cs="Arial"/>
          <w:sz w:val="22"/>
          <w:szCs w:val="22"/>
          <w:lang w:val="en-GB"/>
        </w:rPr>
        <w:lastRenderedPageBreak/>
        <w:t xml:space="preserve">hedge's maturity and the liquidity horizon as well as the potential for significant basis risks in hedging strategies by product, seniority in the capital structure, internal or external rating, maturity, vintage and other differences in the instruments.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reflect a hedge only to the extent that it can be maintained even as the obligor approaches a credit or other event.</w:t>
      </w:r>
    </w:p>
    <w:p w14:paraId="3416F11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12.</w:t>
      </w:r>
      <w:r w:rsidRPr="00E4265B">
        <w:rPr>
          <w:rFonts w:ascii="Arial" w:hAnsi="Arial" w:cs="Arial"/>
          <w:sz w:val="22"/>
          <w:szCs w:val="22"/>
          <w:lang w:val="en-GB"/>
        </w:rPr>
        <w:tab/>
        <w:t xml:space="preserve">For positions that are hedged via dynamic hedging strategies, a rebalancing of the hedge within the liquidity horizon of the hedged position may be recognised, provided that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6F2CD148"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chooses to model rebalancing of the hedge consistently over the relevant set of Trading Book positions;</w:t>
      </w:r>
    </w:p>
    <w:p w14:paraId="256598A4"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demonstrates that the inclusion of rebalancing results in a better risk measurement; and </w:t>
      </w:r>
    </w:p>
    <w:p w14:paraId="459D8B31"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demonstrates that the markets for the instruments serving as hedges are liquid enough to allow for such rebalancing even during periods of stress. Any residual risks resulting from dynamic hedging strategies must be reflected in the Capital Requirement.</w:t>
      </w:r>
    </w:p>
    <w:p w14:paraId="47F1B8CF"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Additional content of the internal IRC model</w:t>
      </w:r>
    </w:p>
    <w:p w14:paraId="1F4BA72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13.</w:t>
      </w:r>
      <w:r w:rsidRPr="00E4265B">
        <w:rPr>
          <w:rFonts w:ascii="Arial" w:hAnsi="Arial" w:cs="Arial"/>
          <w:sz w:val="22"/>
          <w:szCs w:val="22"/>
          <w:lang w:val="en-GB"/>
        </w:rPr>
        <w:tab/>
        <w:t xml:space="preserve">The internal model to capture the incremental default and migration risks should reflect the nonlinear impact of </w:t>
      </w:r>
      <w:r w:rsidR="00BC49E0" w:rsidRPr="00E4265B">
        <w:rPr>
          <w:rFonts w:ascii="Arial" w:hAnsi="Arial" w:cs="Arial"/>
          <w:sz w:val="22"/>
          <w:szCs w:val="22"/>
          <w:lang w:val="en-GB"/>
        </w:rPr>
        <w:t>Option</w:t>
      </w:r>
      <w:r w:rsidRPr="00E4265B">
        <w:rPr>
          <w:rFonts w:ascii="Arial" w:hAnsi="Arial" w:cs="Arial"/>
          <w:sz w:val="22"/>
          <w:szCs w:val="22"/>
          <w:lang w:val="en-GB"/>
        </w:rPr>
        <w:t xml:space="preserve">s, structured Credit Derivatives and other positions with material nonlinear behaviour with respect to price changes.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also have due regard to the amount of model risk inherent in the valuation and estimation of price risks associated with such products.</w:t>
      </w:r>
    </w:p>
    <w:p w14:paraId="345867B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14.</w:t>
      </w:r>
      <w:r w:rsidRPr="00E4265B">
        <w:rPr>
          <w:rFonts w:ascii="Arial" w:hAnsi="Arial" w:cs="Arial"/>
          <w:sz w:val="22"/>
          <w:szCs w:val="22"/>
          <w:lang w:val="en-GB"/>
        </w:rPr>
        <w:tab/>
        <w:t>The internal model should be based on data that are objective and up</w:t>
      </w:r>
      <w:r w:rsidRPr="00E4265B">
        <w:rPr>
          <w:rFonts w:ascii="Arial" w:hAnsi="Arial" w:cs="Arial"/>
          <w:sz w:val="22"/>
          <w:szCs w:val="22"/>
          <w:lang w:val="en-GB"/>
        </w:rPr>
        <w:noBreakHyphen/>
        <w:t>to</w:t>
      </w:r>
      <w:r w:rsidRPr="00E4265B">
        <w:rPr>
          <w:rFonts w:ascii="Arial" w:hAnsi="Arial" w:cs="Arial"/>
          <w:sz w:val="22"/>
          <w:szCs w:val="22"/>
          <w:lang w:val="en-GB"/>
        </w:rPr>
        <w:noBreakHyphen/>
        <w:t>date.</w:t>
      </w:r>
    </w:p>
    <w:p w14:paraId="3E8FF4E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15.</w:t>
      </w:r>
      <w:r w:rsidRPr="00E4265B">
        <w:rPr>
          <w:rFonts w:ascii="Arial" w:hAnsi="Arial" w:cs="Arial"/>
          <w:sz w:val="22"/>
          <w:szCs w:val="22"/>
          <w:lang w:val="en-GB"/>
        </w:rPr>
        <w:tab/>
        <w:t xml:space="preserve">As part of the independent review and validation of their internal models used for purposes of this Chapter,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in particular do all of the following:</w:t>
      </w:r>
    </w:p>
    <w:p w14:paraId="33B333CF"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validate that its modelling approach for correlations and price changes is appropriate for its portfolio, including the choice and weights of its systematic risk factors;</w:t>
      </w:r>
    </w:p>
    <w:p w14:paraId="7CD769A2"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perform a variety of stress tests, including sensitivity analysis and scenario analysis, to assess the qualitative and quantitative reasonableness of the internal model, particularly with regard to the treatment of concentrations. Such tests should not be limited to the range of events experienced historically; and</w:t>
      </w:r>
    </w:p>
    <w:p w14:paraId="6EFC5918"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apply appropriate quantitative validation, including relevant internal modelling benchmarks.</w:t>
      </w:r>
    </w:p>
    <w:p w14:paraId="61F2E7A0"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16.</w:t>
      </w:r>
      <w:r w:rsidRPr="00E4265B">
        <w:rPr>
          <w:rFonts w:ascii="Arial" w:hAnsi="Arial" w:cs="Arial"/>
          <w:sz w:val="22"/>
          <w:szCs w:val="22"/>
          <w:lang w:val="en-GB"/>
        </w:rPr>
        <w:tab/>
        <w:t xml:space="preserve">The internal model should be consistent with the </w:t>
      </w:r>
      <w:r w:rsidR="000D1A90" w:rsidRPr="00E4265B">
        <w:rPr>
          <w:rFonts w:ascii="Arial" w:hAnsi="Arial" w:cs="Arial"/>
          <w:sz w:val="22"/>
          <w:szCs w:val="22"/>
          <w:lang w:val="en-GB"/>
        </w:rPr>
        <w:t>Authorised Person</w:t>
      </w:r>
      <w:r w:rsidRPr="00E4265B">
        <w:rPr>
          <w:rFonts w:ascii="Arial" w:hAnsi="Arial" w:cs="Arial"/>
          <w:sz w:val="22"/>
          <w:szCs w:val="22"/>
          <w:lang w:val="en-GB"/>
        </w:rPr>
        <w:t>'s internal risk management methodologies for identifying, measuring, and managing trading risks.</w:t>
      </w:r>
    </w:p>
    <w:p w14:paraId="3EACD358" w14:textId="77777777" w:rsidR="00E22FF2" w:rsidRPr="00E4265B" w:rsidRDefault="00E22FF2" w:rsidP="00B40809">
      <w:pPr>
        <w:pStyle w:val="1List"/>
        <w:rPr>
          <w:rFonts w:ascii="Arial" w:hAnsi="Arial" w:cs="Arial"/>
          <w:sz w:val="22"/>
          <w:szCs w:val="22"/>
          <w:lang w:val="en-GB"/>
        </w:rPr>
      </w:pPr>
      <w:r w:rsidRPr="00E4265B">
        <w:rPr>
          <w:rFonts w:ascii="Arial" w:hAnsi="Arial" w:cs="Arial"/>
          <w:sz w:val="22"/>
          <w:szCs w:val="22"/>
          <w:lang w:val="en-GB"/>
        </w:rPr>
        <w:lastRenderedPageBreak/>
        <w:t>17.</w:t>
      </w:r>
      <w:r w:rsidRPr="00E4265B">
        <w:rPr>
          <w:rFonts w:ascii="Arial" w:hAnsi="Arial" w:cs="Arial"/>
          <w:sz w:val="22"/>
          <w:szCs w:val="22"/>
          <w:lang w:val="en-GB"/>
        </w:rPr>
        <w:tab/>
      </w:r>
      <w:r w:rsidR="000D1A90" w:rsidRPr="00E4265B">
        <w:rPr>
          <w:rFonts w:ascii="Arial" w:hAnsi="Arial" w:cs="Arial"/>
          <w:sz w:val="22"/>
          <w:szCs w:val="22"/>
          <w:lang w:val="en-GB"/>
        </w:rPr>
        <w:t>Authorised Person</w:t>
      </w:r>
      <w:r w:rsidRPr="00E4265B">
        <w:rPr>
          <w:rFonts w:ascii="Arial" w:hAnsi="Arial" w:cs="Arial"/>
          <w:sz w:val="22"/>
          <w:szCs w:val="22"/>
          <w:lang w:val="en-GB"/>
        </w:rPr>
        <w:t>s should document their internal models so that their correlation and other modelling assumptions are transparent to the Regulator.</w:t>
      </w:r>
    </w:p>
    <w:p w14:paraId="0734B83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18.</w:t>
      </w:r>
      <w:r w:rsidRPr="00E4265B">
        <w:rPr>
          <w:rFonts w:ascii="Arial" w:hAnsi="Arial" w:cs="Arial"/>
          <w:sz w:val="22"/>
          <w:szCs w:val="22"/>
          <w:lang w:val="en-GB"/>
        </w:rPr>
        <w:tab/>
        <w:t>The internal model should conservatively assess the risk arising from less liquid positions and positions with limited price transparency under realistic market scenarios. In addition, the internal model should meet minimum data standards. Proxies should be appropriately conservative and may be used only where available data is insufficient or is not reflective of the true volatility of a position or portfolio.</w:t>
      </w:r>
    </w:p>
    <w:p w14:paraId="0C8C5A12"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Not fully compliant IRC approaches</w:t>
      </w:r>
    </w:p>
    <w:p w14:paraId="7F682593" w14:textId="1357CCC6" w:rsidR="00E22FF2" w:rsidRPr="00E4265B" w:rsidRDefault="00E22FF2" w:rsidP="00B44E90">
      <w:pPr>
        <w:pStyle w:val="1List"/>
        <w:rPr>
          <w:rFonts w:ascii="Arial" w:hAnsi="Arial" w:cs="Arial"/>
          <w:sz w:val="22"/>
          <w:szCs w:val="22"/>
          <w:lang w:val="en-GB"/>
        </w:rPr>
      </w:pPr>
      <w:r w:rsidRPr="00E4265B">
        <w:rPr>
          <w:rFonts w:ascii="Arial" w:hAnsi="Arial" w:cs="Arial"/>
          <w:sz w:val="22"/>
          <w:szCs w:val="22"/>
          <w:lang w:val="en-GB"/>
        </w:rPr>
        <w:t>19.</w:t>
      </w:r>
      <w:r w:rsidRPr="00E4265B">
        <w:rPr>
          <w:rFonts w:ascii="Arial" w:hAnsi="Arial" w:cs="Arial"/>
          <w:sz w:val="22"/>
          <w:szCs w:val="22"/>
          <w:lang w:val="en-GB"/>
        </w:rPr>
        <w:tab/>
        <w:t xml:space="preserve">If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uses an internal model to capture incremental default and migration risks that does not comply with all requirements specified in Guidance notes 4 to 18 of A</w:t>
      </w:r>
      <w:r w:rsidR="00B44E90" w:rsidRPr="00E4265B">
        <w:rPr>
          <w:rFonts w:ascii="Arial" w:hAnsi="Arial" w:cs="Arial"/>
          <w:sz w:val="22"/>
          <w:szCs w:val="22"/>
          <w:lang w:val="en-GB"/>
        </w:rPr>
        <w:t>6</w:t>
      </w:r>
      <w:r w:rsidRPr="00E4265B">
        <w:rPr>
          <w:rFonts w:ascii="Arial" w:hAnsi="Arial" w:cs="Arial"/>
          <w:sz w:val="22"/>
          <w:szCs w:val="22"/>
          <w:lang w:val="en-GB"/>
        </w:rPr>
        <w:t xml:space="preserve">.9.2, but that is consistent with the </w:t>
      </w:r>
      <w:r w:rsidR="000D1A90" w:rsidRPr="00E4265B">
        <w:rPr>
          <w:rFonts w:ascii="Arial" w:hAnsi="Arial" w:cs="Arial"/>
          <w:sz w:val="22"/>
          <w:szCs w:val="22"/>
          <w:lang w:val="en-GB"/>
        </w:rPr>
        <w:t>Authorised Person</w:t>
      </w:r>
      <w:r w:rsidRPr="00E4265B">
        <w:rPr>
          <w:rFonts w:ascii="Arial" w:hAnsi="Arial" w:cs="Arial"/>
          <w:sz w:val="22"/>
          <w:szCs w:val="22"/>
          <w:lang w:val="en-GB"/>
        </w:rPr>
        <w:t>'s internal methodologies for identifying, measuring and managing incremental default and migration risks, it should be able to demonstrate that its internal model results in a Capital Requirement that is at least as high as if it were based on a model in full compliance with the requirements of the Guidance notes referred above. The Regulator will review compliance with the previous sentence at least annually.</w:t>
      </w:r>
    </w:p>
    <w:p w14:paraId="59766BB7" w14:textId="77777777" w:rsidR="00E22FF2" w:rsidRPr="00E4265B" w:rsidRDefault="00285E15" w:rsidP="00013504">
      <w:pPr>
        <w:pStyle w:val="A1List"/>
        <w:keepNext/>
        <w:rPr>
          <w:rFonts w:ascii="Arial" w:hAnsi="Arial" w:cs="Arial"/>
          <w:sz w:val="22"/>
          <w:szCs w:val="22"/>
          <w:lang w:val="en-GB"/>
        </w:rPr>
      </w:pPr>
      <w:r w:rsidRPr="00E4265B">
        <w:rPr>
          <w:rFonts w:ascii="Arial" w:hAnsi="Arial" w:cs="Arial"/>
          <w:b/>
          <w:bCs/>
          <w:sz w:val="22"/>
          <w:szCs w:val="22"/>
          <w:lang w:val="en-GB"/>
        </w:rPr>
        <w:t>A6</w:t>
      </w:r>
      <w:r w:rsidR="00E22FF2" w:rsidRPr="00E4265B">
        <w:rPr>
          <w:rFonts w:ascii="Arial" w:hAnsi="Arial" w:cs="Arial"/>
          <w:b/>
          <w:bCs/>
          <w:sz w:val="22"/>
          <w:szCs w:val="22"/>
          <w:lang w:val="en-GB"/>
        </w:rPr>
        <w:t>.9.3</w:t>
      </w:r>
      <w:r w:rsidR="00E22FF2" w:rsidRPr="00E4265B">
        <w:rPr>
          <w:rFonts w:ascii="Arial" w:hAnsi="Arial" w:cs="Arial"/>
          <w:b/>
          <w:bCs/>
          <w:sz w:val="22"/>
          <w:szCs w:val="22"/>
          <w:lang w:val="en-GB"/>
        </w:rPr>
        <w:tab/>
        <w:t>Internal model for correlation trading</w:t>
      </w:r>
    </w:p>
    <w:p w14:paraId="2F0F3A4D"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Guidance</w:t>
      </w:r>
    </w:p>
    <w:p w14:paraId="763C683F"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The Regulator will grant permission to use an internal model for calculating the Capital Requirement for a correlation trading portfolio only to </w:t>
      </w:r>
      <w:r w:rsidR="000D1A90" w:rsidRPr="00E4265B">
        <w:rPr>
          <w:rFonts w:ascii="Arial" w:hAnsi="Arial" w:cs="Arial"/>
          <w:sz w:val="22"/>
          <w:szCs w:val="22"/>
          <w:lang w:val="en-GB"/>
        </w:rPr>
        <w:t>Authorised Person</w:t>
      </w:r>
      <w:r w:rsidRPr="00E4265B">
        <w:rPr>
          <w:rFonts w:ascii="Arial" w:hAnsi="Arial" w:cs="Arial"/>
          <w:sz w:val="22"/>
          <w:szCs w:val="22"/>
          <w:lang w:val="en-GB"/>
        </w:rPr>
        <w:t>s that have obtained the Regulator's approval to use an internal model for Specific Risk of interest rate risk Exposures and that meet the requirements for internal models specified earlier in this Section.</w:t>
      </w:r>
    </w:p>
    <w:p w14:paraId="067835A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should use this internal model to calculate a number which adequately measures all price risks at the 99.9 % confidence interval over a time horizon of one year under the assumption of a constant level of risk, and adjusted where appropriate to reflect the impact of liquidity, concentrations, hedging and optionality. </w:t>
      </w:r>
      <w:r w:rsidR="000D1A90" w:rsidRPr="00E4265B">
        <w:rPr>
          <w:rFonts w:ascii="Arial" w:hAnsi="Arial" w:cs="Arial"/>
          <w:sz w:val="22"/>
          <w:szCs w:val="22"/>
          <w:lang w:val="en-GB"/>
        </w:rPr>
        <w:t>Authorised Person</w:t>
      </w:r>
      <w:r w:rsidRPr="00E4265B">
        <w:rPr>
          <w:rFonts w:ascii="Arial" w:hAnsi="Arial" w:cs="Arial"/>
          <w:sz w:val="22"/>
          <w:szCs w:val="22"/>
          <w:lang w:val="en-GB"/>
        </w:rPr>
        <w:t>s should calculate this number at least weekly.</w:t>
      </w:r>
    </w:p>
    <w:p w14:paraId="4CAEBF0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The following risks should be adequately captured by the model referred to in Guidance note 1 of A</w:t>
      </w:r>
      <w:r w:rsidR="00285E15" w:rsidRPr="00E4265B">
        <w:rPr>
          <w:rFonts w:ascii="Arial" w:hAnsi="Arial" w:cs="Arial"/>
          <w:sz w:val="22"/>
          <w:szCs w:val="22"/>
          <w:lang w:val="en-GB"/>
        </w:rPr>
        <w:t>6</w:t>
      </w:r>
      <w:r w:rsidRPr="00E4265B">
        <w:rPr>
          <w:rFonts w:ascii="Arial" w:hAnsi="Arial" w:cs="Arial"/>
          <w:sz w:val="22"/>
          <w:szCs w:val="22"/>
          <w:lang w:val="en-GB"/>
        </w:rPr>
        <w:t>.9.3:</w:t>
      </w:r>
    </w:p>
    <w:p w14:paraId="66E433D5"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cumulative risk arising from multiple defaults, including different ordering of defaults, in tranched products;</w:t>
      </w:r>
    </w:p>
    <w:p w14:paraId="5BA5519D"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cre</w:t>
      </w:r>
      <w:r w:rsidR="00E911B6" w:rsidRPr="00E4265B">
        <w:rPr>
          <w:rFonts w:ascii="Arial" w:hAnsi="Arial" w:cs="Arial"/>
          <w:sz w:val="22"/>
          <w:szCs w:val="22"/>
          <w:lang w:val="en-GB"/>
        </w:rPr>
        <w:t>dit spread risk, including the Gamma and cross</w:t>
      </w:r>
      <w:r w:rsidR="00E911B6" w:rsidRPr="00E4265B">
        <w:rPr>
          <w:rFonts w:ascii="Arial" w:hAnsi="Arial" w:cs="Arial"/>
          <w:sz w:val="22"/>
          <w:szCs w:val="22"/>
          <w:lang w:val="en-GB"/>
        </w:rPr>
        <w:noBreakHyphen/>
        <w:t>G</w:t>
      </w:r>
      <w:r w:rsidRPr="00E4265B">
        <w:rPr>
          <w:rFonts w:ascii="Arial" w:hAnsi="Arial" w:cs="Arial"/>
          <w:sz w:val="22"/>
          <w:szCs w:val="22"/>
          <w:lang w:val="en-GB"/>
        </w:rPr>
        <w:t>amma effects;</w:t>
      </w:r>
    </w:p>
    <w:p w14:paraId="7038C8B4"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volatility of implied correlations, including the cross effect between spreads and correlations;</w:t>
      </w:r>
    </w:p>
    <w:p w14:paraId="4D7884F8"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basis risk, including both of the following:</w:t>
      </w:r>
    </w:p>
    <w:p w14:paraId="2392075F" w14:textId="77777777" w:rsidR="00E22FF2" w:rsidRPr="00E4265B" w:rsidRDefault="00E22FF2" w:rsidP="00EA45DE">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 basis between the spread of an index and those of its constituent single names; and</w:t>
      </w:r>
    </w:p>
    <w:p w14:paraId="343182DB" w14:textId="77777777" w:rsidR="00E22FF2" w:rsidRPr="00E4265B" w:rsidRDefault="00E22FF2" w:rsidP="00EA45DE">
      <w:pPr>
        <w:pStyle w:val="iList"/>
        <w:rPr>
          <w:rFonts w:ascii="Arial" w:hAnsi="Arial" w:cs="Arial"/>
          <w:sz w:val="22"/>
          <w:szCs w:val="22"/>
          <w:lang w:val="en-GB"/>
        </w:rPr>
      </w:pPr>
      <w:r w:rsidRPr="00E4265B">
        <w:rPr>
          <w:rFonts w:ascii="Arial" w:hAnsi="Arial" w:cs="Arial"/>
          <w:sz w:val="22"/>
          <w:szCs w:val="22"/>
          <w:lang w:val="en-GB"/>
        </w:rPr>
        <w:lastRenderedPageBreak/>
        <w:t>ii.</w:t>
      </w:r>
      <w:r w:rsidRPr="00E4265B">
        <w:rPr>
          <w:rFonts w:ascii="Arial" w:hAnsi="Arial" w:cs="Arial"/>
          <w:sz w:val="22"/>
          <w:szCs w:val="22"/>
          <w:lang w:val="en-GB"/>
        </w:rPr>
        <w:tab/>
        <w:t>the basis between the implied correlation of an index and that of bespoke portfolios;</w:t>
      </w:r>
    </w:p>
    <w:p w14:paraId="6A75E000"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recovery rate volatility, as it relates to the propensity for recovery rates to affect tranche prices;</w:t>
      </w:r>
    </w:p>
    <w:p w14:paraId="471F550A"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to the extent the comprehensive risk measure incorporated benefits from dynamic hedging, the risk of hedge slippage and the potential costs of rebalancing such hedges; and</w:t>
      </w:r>
    </w:p>
    <w:p w14:paraId="180E2FD6"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any other material price risks of positions in the correlation trading portfolio.</w:t>
      </w:r>
    </w:p>
    <w:p w14:paraId="734DD7FE"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use sufficient market data within the model referred to in Guidance note 1 in order to ensure that it fully captures the salient risks of those Exposures in its internal approach in accordance with the requirements set out in this guidance in A</w:t>
      </w:r>
      <w:r w:rsidR="00285E15" w:rsidRPr="00E4265B">
        <w:rPr>
          <w:rFonts w:ascii="Arial" w:hAnsi="Arial" w:cs="Arial"/>
          <w:sz w:val="22"/>
          <w:szCs w:val="22"/>
          <w:lang w:val="en-GB"/>
        </w:rPr>
        <w:t>6</w:t>
      </w:r>
      <w:r w:rsidRPr="00E4265B">
        <w:rPr>
          <w:rFonts w:ascii="Arial" w:hAnsi="Arial" w:cs="Arial"/>
          <w:sz w:val="22"/>
          <w:szCs w:val="22"/>
          <w:lang w:val="en-GB"/>
        </w:rPr>
        <w:t>.9.3. It should be able to demonstrate to the Regulator through back testing or other appropriate means that its model can appropriately explain the historical price variation of those products.</w:t>
      </w:r>
    </w:p>
    <w:p w14:paraId="0C640E6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have appropriate policies and procedures in place in order to separate the positions for which it holds permission to incorporate them in the Capital Requirement in acc</w:t>
      </w:r>
      <w:r w:rsidR="00285E15" w:rsidRPr="00E4265B">
        <w:rPr>
          <w:rFonts w:ascii="Arial" w:hAnsi="Arial" w:cs="Arial"/>
          <w:sz w:val="22"/>
          <w:szCs w:val="22"/>
          <w:lang w:val="en-GB"/>
        </w:rPr>
        <w:t>ordance with this guidance in A6</w:t>
      </w:r>
      <w:r w:rsidRPr="00E4265B">
        <w:rPr>
          <w:rFonts w:ascii="Arial" w:hAnsi="Arial" w:cs="Arial"/>
          <w:sz w:val="22"/>
          <w:szCs w:val="22"/>
          <w:lang w:val="en-GB"/>
        </w:rPr>
        <w:t>.9.3 from other positions for which it does not hold such permission.</w:t>
      </w:r>
    </w:p>
    <w:p w14:paraId="75896B3E"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6.</w:t>
      </w:r>
      <w:r w:rsidRPr="00E4265B">
        <w:rPr>
          <w:rFonts w:ascii="Arial" w:hAnsi="Arial" w:cs="Arial"/>
          <w:sz w:val="22"/>
          <w:szCs w:val="22"/>
          <w:lang w:val="en-GB"/>
        </w:rPr>
        <w:tab/>
        <w:t xml:space="preserve">With regard to the portfolio of all the positions incorporated in the model referred to in Guidance note 1,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regularly apply a set of specific, predetermined stress scenarios. Such stress scenarios should examine the effects of stress to default rates, recovery rates, credit spreads, basis risk, correlations and other relevant risk factors on the correlation trading portfolio.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apply stress scenarios at least weekly and report at least quarterly to the Regulator the results, including comparisons with the </w:t>
      </w:r>
      <w:r w:rsidR="000D1A90" w:rsidRPr="00E4265B">
        <w:rPr>
          <w:rFonts w:ascii="Arial" w:hAnsi="Arial" w:cs="Arial"/>
          <w:sz w:val="22"/>
          <w:szCs w:val="22"/>
          <w:lang w:val="en-GB"/>
        </w:rPr>
        <w:t>Authorised Person</w:t>
      </w:r>
      <w:r w:rsidRPr="00E4265B">
        <w:rPr>
          <w:rFonts w:ascii="Arial" w:hAnsi="Arial" w:cs="Arial"/>
          <w:sz w:val="22"/>
          <w:szCs w:val="22"/>
          <w:lang w:val="en-GB"/>
        </w:rPr>
        <w:t>'s Capital Requirement in accordance with this point. Any instances where the stress test results materially exceed the Capital Requirement for the correlation trading portfolio should be reported to the Regulator in a timely manner.</w:t>
      </w:r>
    </w:p>
    <w:p w14:paraId="33E423F5"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7.</w:t>
      </w:r>
      <w:r w:rsidRPr="00E4265B">
        <w:rPr>
          <w:rFonts w:ascii="Arial" w:hAnsi="Arial" w:cs="Arial"/>
          <w:sz w:val="22"/>
          <w:szCs w:val="22"/>
          <w:lang w:val="en-GB"/>
        </w:rPr>
        <w:tab/>
        <w:t>The internal model should conservatively assess the risk arising from less liquid positions and positions with limited price transparency under realistic market scenarios. In addition, the internal model should meet minimum data standards. Proxies should be appropriately conservative and may be used only where available data is insufficient or is not reflective of the true volatility of a position or portfolio.</w:t>
      </w:r>
    </w:p>
    <w:p w14:paraId="52444059" w14:textId="77777777" w:rsidR="00E22FF2" w:rsidRPr="00E4265B" w:rsidRDefault="00E22FF2" w:rsidP="00572832">
      <w:pPr>
        <w:pStyle w:val="TitleL5"/>
        <w:rPr>
          <w:rFonts w:ascii="Arial" w:hAnsi="Arial" w:cs="Arial"/>
          <w:sz w:val="22"/>
          <w:szCs w:val="22"/>
          <w:lang w:val="en-GB"/>
        </w:rPr>
      </w:pPr>
      <w:r w:rsidRPr="00E4265B">
        <w:rPr>
          <w:rFonts w:ascii="Arial" w:hAnsi="Arial" w:cs="Arial"/>
          <w:sz w:val="22"/>
          <w:szCs w:val="22"/>
          <w:lang w:val="en-GB"/>
        </w:rPr>
        <w:t>Stress testing</w:t>
      </w:r>
    </w:p>
    <w:p w14:paraId="1F658813" w14:textId="77777777" w:rsidR="00E22FF2" w:rsidRPr="00E4265B" w:rsidRDefault="00E22FF2" w:rsidP="00EA45DE">
      <w:pPr>
        <w:pStyle w:val="List2TabStops"/>
        <w:rPr>
          <w:rFonts w:ascii="Arial" w:hAnsi="Arial" w:cs="Arial"/>
          <w:sz w:val="22"/>
          <w:szCs w:val="22"/>
          <w:lang w:val="en-GB"/>
        </w:rPr>
      </w:pPr>
      <w:r w:rsidRPr="00E4265B">
        <w:rPr>
          <w:rFonts w:ascii="Arial" w:hAnsi="Arial" w:cs="Arial"/>
          <w:b/>
          <w:bCs/>
          <w:sz w:val="22"/>
          <w:szCs w:val="22"/>
          <w:lang w:val="en-GB"/>
        </w:rPr>
        <w:t>A</w:t>
      </w:r>
      <w:r w:rsidR="00285E15" w:rsidRPr="00E4265B">
        <w:rPr>
          <w:rFonts w:ascii="Arial" w:hAnsi="Arial" w:cs="Arial"/>
          <w:b/>
          <w:bCs/>
          <w:sz w:val="22"/>
          <w:szCs w:val="22"/>
          <w:lang w:val="en-GB"/>
        </w:rPr>
        <w:t>6</w:t>
      </w:r>
      <w:r w:rsidRPr="00E4265B">
        <w:rPr>
          <w:rFonts w:ascii="Arial" w:hAnsi="Arial" w:cs="Arial"/>
          <w:b/>
          <w:bCs/>
          <w:sz w:val="22"/>
          <w:szCs w:val="22"/>
          <w:lang w:val="en-GB"/>
        </w:rPr>
        <w:t>.9.4</w:t>
      </w:r>
      <w:r w:rsidRPr="00E4265B">
        <w:rPr>
          <w:rFonts w:ascii="Arial" w:eastAsia="Arial" w:hAnsi="Arial" w:cs="Arial"/>
          <w:b/>
          <w:bCs/>
          <w:sz w:val="22"/>
          <w:szCs w:val="22"/>
          <w:lang w:val="en-GB"/>
        </w:rPr>
        <w:tab/>
      </w:r>
      <w:r w:rsidRPr="00E4265B">
        <w:rPr>
          <w:rFonts w:ascii="Arial" w:hAnsi="Arial" w:cs="Arial"/>
          <w:sz w:val="22"/>
          <w:szCs w:val="22"/>
          <w:lang w:val="en-GB"/>
        </w:rPr>
        <w:t>(1)</w:t>
      </w:r>
      <w:r w:rsidRPr="00E4265B">
        <w:rPr>
          <w:rFonts w:ascii="Arial" w:hAnsi="Arial" w:cs="Arial"/>
          <w:sz w:val="22"/>
          <w:szCs w:val="22"/>
          <w:lang w:val="en-GB"/>
        </w:rPr>
        <w:tab/>
        <w:t xml:space="preserve">For the purposes of Rule 5.11.3, an </w:t>
      </w:r>
      <w:r w:rsidR="000D1A90" w:rsidRPr="00E4265B">
        <w:rPr>
          <w:rFonts w:ascii="Arial" w:hAnsi="Arial" w:cs="Arial"/>
          <w:sz w:val="22"/>
          <w:szCs w:val="22"/>
          <w:lang w:val="en-GB"/>
        </w:rPr>
        <w:t>Authorised Person</w:t>
      </w:r>
      <w:r w:rsidRPr="00E4265B">
        <w:rPr>
          <w:rFonts w:ascii="Arial" w:hAnsi="Arial" w:cs="Arial"/>
          <w:sz w:val="22"/>
          <w:szCs w:val="22"/>
          <w:lang w:val="en-GB"/>
        </w:rPr>
        <w:t>'s internal model must meet the following criteria:</w:t>
      </w:r>
    </w:p>
    <w:p w14:paraId="15221067"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stress scenarios must cover a range of factors that can create extraordinary losses or gains in trading </w:t>
      </w:r>
      <w:r w:rsidRPr="00E4265B">
        <w:rPr>
          <w:rFonts w:ascii="Arial" w:hAnsi="Arial" w:cs="Arial"/>
          <w:sz w:val="22"/>
          <w:szCs w:val="22"/>
          <w:lang w:val="en-GB"/>
        </w:rPr>
        <w:lastRenderedPageBreak/>
        <w:t>portfolios, or make the control of risk in those portfolios very difficult. These factors include low</w:t>
      </w:r>
      <w:r w:rsidRPr="00E4265B">
        <w:rPr>
          <w:rFonts w:ascii="Arial" w:hAnsi="Arial" w:cs="Arial"/>
          <w:sz w:val="22"/>
          <w:szCs w:val="22"/>
          <w:lang w:val="en-GB"/>
        </w:rPr>
        <w:noBreakHyphen/>
        <w:t>probability events in all major types of risks, including the various components of market, credit, and Operational Risks;</w:t>
      </w:r>
    </w:p>
    <w:p w14:paraId="56DC0E8B"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stress tests must be both of a quantitative and qualitative nature, incorporating both Market Risk and liquidity aspects of market disturbances. Quantitative criteria must identify plausible stress scenarios to which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could be exposed. Qualitative criteria must emphasise that two major goals of stress testing are to evaluate the capacity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capital to absorb potential large losses and to identify steps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can take to reduce its risk and conserve capital; and</w:t>
      </w:r>
    </w:p>
    <w:p w14:paraId="5326BD24" w14:textId="77777777" w:rsidR="00E22FF2" w:rsidRPr="00E4265B" w:rsidRDefault="00E22FF2" w:rsidP="00EA45DE">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combine the use of supervisory stress scenarios with stress tests developed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itself to reflect their Specific Risk characteristics. Information is required in three broad areas:</w:t>
      </w:r>
    </w:p>
    <w:p w14:paraId="1032F555" w14:textId="77777777" w:rsidR="00E22FF2" w:rsidRPr="00E4265B" w:rsidRDefault="00E22FF2" w:rsidP="00EA45DE">
      <w:pPr>
        <w:pStyle w:val="iList"/>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supervisory scenarios requiring no simulations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t>
      </w:r>
      <w:r w:rsidRPr="00E4265B">
        <w:rPr>
          <w:rFonts w:ascii="Arial" w:hAnsi="Arial" w:cs="Arial"/>
          <w:sz w:val="22"/>
          <w:szCs w:val="22"/>
          <w:lang w:val="en-GB"/>
        </w:rPr>
        <w:noBreakHyphen/>
        <w:t xml:space="preserv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have information on the largest losses experienced during the reporting period available for supervisory review. This loss information must be compared to the level of capital that results from an </w:t>
      </w:r>
      <w:r w:rsidR="000D1A90" w:rsidRPr="00E4265B">
        <w:rPr>
          <w:rFonts w:ascii="Arial" w:hAnsi="Arial" w:cs="Arial"/>
          <w:sz w:val="22"/>
          <w:szCs w:val="22"/>
          <w:lang w:val="en-GB"/>
        </w:rPr>
        <w:t>Authorised Person</w:t>
      </w:r>
      <w:r w:rsidRPr="00E4265B">
        <w:rPr>
          <w:rFonts w:ascii="Arial" w:hAnsi="Arial" w:cs="Arial"/>
          <w:sz w:val="22"/>
          <w:szCs w:val="22"/>
          <w:lang w:val="en-GB"/>
        </w:rPr>
        <w:t>'s internal measurement system;</w:t>
      </w:r>
    </w:p>
    <w:p w14:paraId="0DFA7CE6" w14:textId="77777777" w:rsidR="00E22FF2" w:rsidRPr="00E4265B" w:rsidRDefault="00E22FF2" w:rsidP="00D05716">
      <w:pPr>
        <w:pStyle w:val="iList"/>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 xml:space="preserve">supervisory scenarios requiring a simulation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subject its portfolio to a series of simulated stress scenarios and provide the Regulator with the results (e.g., the sensitivity of the </w:t>
      </w:r>
      <w:r w:rsidR="000D1A90" w:rsidRPr="00E4265B">
        <w:rPr>
          <w:rFonts w:ascii="Arial" w:hAnsi="Arial" w:cs="Arial"/>
          <w:sz w:val="22"/>
          <w:szCs w:val="22"/>
          <w:lang w:val="en-GB"/>
        </w:rPr>
        <w:t>Authorised Person</w:t>
      </w:r>
      <w:r w:rsidRPr="00E4265B">
        <w:rPr>
          <w:rFonts w:ascii="Arial" w:hAnsi="Arial" w:cs="Arial"/>
          <w:sz w:val="22"/>
          <w:szCs w:val="22"/>
          <w:lang w:val="en-GB"/>
        </w:rPr>
        <w:t>'s Market Risk Exposure to changes in the assumptions about volatilities and correlations); and</w:t>
      </w:r>
    </w:p>
    <w:p w14:paraId="5D962DD0" w14:textId="77777777" w:rsidR="00E22FF2" w:rsidRPr="00E4265B" w:rsidRDefault="00E22FF2" w:rsidP="00EA45DE">
      <w:pPr>
        <w:pStyle w:val="iList"/>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 xml:space="preserve">scenarios developed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itself to capture the specific characteristics of its portfolio.</w:t>
      </w:r>
    </w:p>
    <w:p w14:paraId="65686F7C"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In addition to the scenarios prescribed under (1)(c),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also develop its own stress tests which it identifies as most adverse, based on the characteristics of its portfolio, for example, problems arising in a key region of the world combined with a sharp move in oil prices.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also provide the Regulator with a description of the methodology used to identify and carry out the scenarios as well as with a description of the results derived from these scenarios.</w:t>
      </w:r>
    </w:p>
    <w:p w14:paraId="7289C99A" w14:textId="77777777" w:rsidR="00E22FF2" w:rsidRPr="00E4265B" w:rsidRDefault="00E22FF2" w:rsidP="00BC03B0">
      <w:pPr>
        <w:rPr>
          <w:rFonts w:ascii="Arial" w:hAnsi="Arial" w:cs="Arial"/>
          <w:sz w:val="22"/>
          <w:szCs w:val="22"/>
          <w:lang w:val="en-GB"/>
        </w:rPr>
      </w:pPr>
    </w:p>
    <w:p w14:paraId="2B0805D1" w14:textId="77777777" w:rsidR="00E22FF2" w:rsidRPr="00E4265B" w:rsidRDefault="00E22FF2">
      <w:pPr>
        <w:rPr>
          <w:rFonts w:ascii="Arial" w:hAnsi="Arial" w:cs="Arial"/>
          <w:sz w:val="22"/>
          <w:szCs w:val="22"/>
          <w:lang w:val="en-GB"/>
        </w:rPr>
      </w:pPr>
      <w:r w:rsidRPr="00E4265B">
        <w:rPr>
          <w:rFonts w:ascii="Arial" w:hAnsi="Arial" w:cs="Arial"/>
          <w:sz w:val="22"/>
          <w:szCs w:val="22"/>
          <w:lang w:val="en-GB"/>
        </w:rPr>
        <w:br w:type="page"/>
      </w:r>
    </w:p>
    <w:p w14:paraId="6DD3F9EA" w14:textId="1D647EF9" w:rsidR="00E22FF2" w:rsidRPr="00E4265B" w:rsidRDefault="00636EF3" w:rsidP="00CA25C3">
      <w:pPr>
        <w:pStyle w:val="UK12Title"/>
        <w:rPr>
          <w:rFonts w:ascii="Arial" w:hAnsi="Arial" w:cs="Arial"/>
          <w:sz w:val="22"/>
          <w:szCs w:val="22"/>
          <w:lang w:val="en-GB"/>
        </w:rPr>
      </w:pPr>
      <w:bookmarkStart w:id="997" w:name="_Toc404624445"/>
      <w:bookmarkStart w:id="998" w:name="_Toc33622505"/>
      <w:r w:rsidRPr="00E4265B">
        <w:rPr>
          <w:rFonts w:ascii="Arial" w:hAnsi="Arial" w:cs="Arial"/>
          <w:sz w:val="22"/>
          <w:szCs w:val="22"/>
          <w:lang w:val="en-GB"/>
        </w:rPr>
        <w:lastRenderedPageBreak/>
        <w:t>APP7</w:t>
      </w:r>
      <w:r w:rsidR="008D19E8" w:rsidRPr="00E4265B">
        <w:rPr>
          <w:rFonts w:ascii="Arial" w:hAnsi="Arial" w:cs="Arial"/>
          <w:sz w:val="22"/>
          <w:szCs w:val="22"/>
          <w:lang w:val="en-GB"/>
        </w:rPr>
        <w:tab/>
      </w:r>
      <w:r w:rsidR="00E22FF2" w:rsidRPr="00E4265B">
        <w:rPr>
          <w:rFonts w:ascii="Arial" w:hAnsi="Arial" w:cs="Arial"/>
          <w:sz w:val="22"/>
          <w:szCs w:val="22"/>
          <w:lang w:val="en-GB"/>
        </w:rPr>
        <w:t>CALCULATING THE OPERATIONAL RISK CAPITAL REQUIREMENT</w:t>
      </w:r>
      <w:bookmarkEnd w:id="997"/>
      <w:bookmarkEnd w:id="998"/>
    </w:p>
    <w:p w14:paraId="782781C9" w14:textId="77777777" w:rsidR="00E22FF2" w:rsidRPr="00E4265B" w:rsidRDefault="00E22FF2" w:rsidP="007230D9">
      <w:pPr>
        <w:pStyle w:val="TitleL5"/>
        <w:rPr>
          <w:rFonts w:ascii="Arial" w:hAnsi="Arial" w:cs="Arial"/>
          <w:sz w:val="22"/>
          <w:szCs w:val="22"/>
          <w:lang w:val="en-GB"/>
        </w:rPr>
      </w:pPr>
      <w:r w:rsidRPr="00E4265B">
        <w:rPr>
          <w:rFonts w:ascii="Arial" w:hAnsi="Arial" w:cs="Arial"/>
          <w:sz w:val="22"/>
          <w:szCs w:val="22"/>
          <w:lang w:val="en-GB"/>
        </w:rPr>
        <w:t>Guidance</w:t>
      </w:r>
      <w:r w:rsidR="00414709" w:rsidRPr="00E4265B">
        <w:rPr>
          <w:rFonts w:ascii="Arial" w:hAnsi="Arial" w:cs="Arial"/>
          <w:sz w:val="22"/>
          <w:szCs w:val="22"/>
          <w:lang w:val="en-GB"/>
        </w:rPr>
        <w:t xml:space="preserve"> </w:t>
      </w:r>
    </w:p>
    <w:p w14:paraId="1EAAFEEC"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Section 6.11 of these Rules provides that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Categories 1, 2, 3A and 5 must use the Basic Indicator Approach to calculate its Operational Risk Capital Requirement, unless the firm has approval from the Regulator to use the Standardised Approach or Alternative Standardised Approach. In this App</w:t>
      </w:r>
      <w:r w:rsidR="008E10A0" w:rsidRPr="00E4265B">
        <w:rPr>
          <w:rFonts w:ascii="Arial" w:hAnsi="Arial" w:cs="Arial"/>
          <w:sz w:val="22"/>
          <w:szCs w:val="22"/>
          <w:lang w:val="en-GB"/>
        </w:rPr>
        <w:t>7</w:t>
      </w:r>
      <w:r w:rsidRPr="00E4265B">
        <w:rPr>
          <w:rFonts w:ascii="Arial" w:hAnsi="Arial" w:cs="Arial"/>
          <w:sz w:val="22"/>
          <w:szCs w:val="22"/>
          <w:lang w:val="en-GB"/>
        </w:rPr>
        <w:t>:</w:t>
      </w:r>
    </w:p>
    <w:p w14:paraId="210263CD" w14:textId="77777777" w:rsidR="00E22FF2" w:rsidRPr="00E4265B" w:rsidRDefault="00E22FF2" w:rsidP="003C4A0E">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Basic Indicator Appr</w:t>
      </w:r>
      <w:r w:rsidR="008E10A0" w:rsidRPr="00E4265B">
        <w:rPr>
          <w:rFonts w:ascii="Arial" w:hAnsi="Arial" w:cs="Arial"/>
          <w:sz w:val="22"/>
          <w:szCs w:val="22"/>
          <w:lang w:val="en-GB"/>
        </w:rPr>
        <w:t>oach is prescribed in Section A7</w:t>
      </w:r>
      <w:r w:rsidRPr="00E4265B">
        <w:rPr>
          <w:rFonts w:ascii="Arial" w:hAnsi="Arial" w:cs="Arial"/>
          <w:sz w:val="22"/>
          <w:szCs w:val="22"/>
          <w:lang w:val="en-GB"/>
        </w:rPr>
        <w:t>.1;</w:t>
      </w:r>
    </w:p>
    <w:p w14:paraId="73BB6E8F" w14:textId="77777777" w:rsidR="00E22FF2" w:rsidRPr="00E4265B" w:rsidRDefault="00E22FF2" w:rsidP="003C4A0E">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Standardised Approach is prescribed in Section A</w:t>
      </w:r>
      <w:r w:rsidR="008E10A0" w:rsidRPr="00E4265B">
        <w:rPr>
          <w:rFonts w:ascii="Arial" w:hAnsi="Arial" w:cs="Arial"/>
          <w:sz w:val="22"/>
          <w:szCs w:val="22"/>
          <w:lang w:val="en-GB"/>
        </w:rPr>
        <w:t>7</w:t>
      </w:r>
      <w:r w:rsidRPr="00E4265B">
        <w:rPr>
          <w:rFonts w:ascii="Arial" w:hAnsi="Arial" w:cs="Arial"/>
          <w:sz w:val="22"/>
          <w:szCs w:val="22"/>
          <w:lang w:val="en-GB"/>
        </w:rPr>
        <w:t>.2; and</w:t>
      </w:r>
    </w:p>
    <w:p w14:paraId="788D61E7" w14:textId="77777777" w:rsidR="00E22FF2" w:rsidRPr="00E4265B" w:rsidRDefault="00E22FF2" w:rsidP="003C4A0E">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Alternative Standardised Approach is prescribed in Section A</w:t>
      </w:r>
      <w:r w:rsidR="008E10A0" w:rsidRPr="00E4265B">
        <w:rPr>
          <w:rFonts w:ascii="Arial" w:hAnsi="Arial" w:cs="Arial"/>
          <w:sz w:val="22"/>
          <w:szCs w:val="22"/>
          <w:lang w:val="en-GB"/>
        </w:rPr>
        <w:t>7</w:t>
      </w:r>
      <w:r w:rsidRPr="00E4265B">
        <w:rPr>
          <w:rFonts w:ascii="Arial" w:hAnsi="Arial" w:cs="Arial"/>
          <w:sz w:val="22"/>
          <w:szCs w:val="22"/>
          <w:lang w:val="en-GB"/>
        </w:rPr>
        <w:t>.3.</w:t>
      </w:r>
    </w:p>
    <w:p w14:paraId="62F1C1C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application of various components of the rules on Operational Risk to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w:t>
      </w:r>
      <w:r w:rsidR="00264F1B" w:rsidRPr="00E4265B">
        <w:rPr>
          <w:rFonts w:ascii="Arial" w:hAnsi="Arial" w:cs="Arial"/>
          <w:sz w:val="22"/>
          <w:szCs w:val="22"/>
          <w:lang w:val="en-GB"/>
        </w:rPr>
        <w:t>with a Financial Services Permission</w:t>
      </w:r>
      <w:r w:rsidRPr="00E4265B">
        <w:rPr>
          <w:rFonts w:ascii="Arial" w:hAnsi="Arial" w:cs="Arial"/>
          <w:sz w:val="22"/>
          <w:szCs w:val="22"/>
          <w:lang w:val="en-GB"/>
        </w:rPr>
        <w:t xml:space="preserve"> to carry out various </w:t>
      </w:r>
      <w:r w:rsidR="006C764B" w:rsidRPr="00E4265B">
        <w:rPr>
          <w:rFonts w:ascii="Arial" w:hAnsi="Arial" w:cs="Arial"/>
          <w:sz w:val="22"/>
          <w:szCs w:val="22"/>
          <w:lang w:val="en-GB"/>
        </w:rPr>
        <w:t>Regulated Activities</w:t>
      </w:r>
      <w:r w:rsidRPr="00E4265B">
        <w:rPr>
          <w:rFonts w:ascii="Arial" w:hAnsi="Arial" w:cs="Arial"/>
          <w:sz w:val="22"/>
          <w:szCs w:val="22"/>
          <w:lang w:val="en-GB"/>
        </w:rPr>
        <w:t xml:space="preserve"> is detailed in the table below:</w:t>
      </w:r>
    </w:p>
    <w:tbl>
      <w:tblPr>
        <w:tblStyle w:val="TableGrid"/>
        <w:tblW w:w="0" w:type="auto"/>
        <w:tblInd w:w="1098" w:type="dxa"/>
        <w:tblLook w:val="04A0" w:firstRow="1" w:lastRow="0" w:firstColumn="1" w:lastColumn="0" w:noHBand="0" w:noVBand="1"/>
      </w:tblPr>
      <w:tblGrid>
        <w:gridCol w:w="2778"/>
        <w:gridCol w:w="1361"/>
        <w:gridCol w:w="1488"/>
        <w:gridCol w:w="1488"/>
        <w:gridCol w:w="804"/>
      </w:tblGrid>
      <w:tr w:rsidR="00CA1F9D" w:rsidRPr="00E4265B" w14:paraId="29962CF9" w14:textId="77777777" w:rsidTr="00553790">
        <w:trPr>
          <w:tblHeader/>
        </w:trPr>
        <w:tc>
          <w:tcPr>
            <w:tcW w:w="2970" w:type="dxa"/>
            <w:shd w:val="pct20" w:color="auto" w:fill="auto"/>
            <w:vAlign w:val="center"/>
          </w:tcPr>
          <w:p w14:paraId="6FA471B8" w14:textId="77777777" w:rsidR="00CA1F9D" w:rsidRPr="00E4265B" w:rsidRDefault="00CA1F9D" w:rsidP="00553790">
            <w:pPr>
              <w:spacing w:before="120" w:after="120"/>
              <w:jc w:val="center"/>
              <w:rPr>
                <w:rFonts w:ascii="Arial" w:hAnsi="Arial" w:cs="Arial"/>
                <w:b/>
                <w:bCs/>
                <w:sz w:val="22"/>
                <w:szCs w:val="22"/>
                <w:lang w:val="en-GB"/>
              </w:rPr>
            </w:pPr>
            <w:r w:rsidRPr="00E4265B">
              <w:rPr>
                <w:rFonts w:ascii="Arial" w:hAnsi="Arial" w:cs="Arial"/>
                <w:b/>
                <w:bCs/>
                <w:sz w:val="22"/>
                <w:szCs w:val="22"/>
                <w:lang w:val="en-GB"/>
              </w:rPr>
              <w:t>Regulated Activities</w:t>
            </w:r>
          </w:p>
        </w:tc>
        <w:tc>
          <w:tcPr>
            <w:tcW w:w="1608" w:type="dxa"/>
            <w:shd w:val="pct20" w:color="auto" w:fill="auto"/>
            <w:vAlign w:val="center"/>
          </w:tcPr>
          <w:p w14:paraId="12AB8C0B" w14:textId="77777777" w:rsidR="00CA1F9D" w:rsidRPr="00E4265B" w:rsidRDefault="00CA1F9D" w:rsidP="00553790">
            <w:pPr>
              <w:spacing w:before="120" w:after="120"/>
              <w:jc w:val="center"/>
              <w:rPr>
                <w:rFonts w:ascii="Arial" w:hAnsi="Arial" w:cs="Arial"/>
                <w:b/>
                <w:sz w:val="22"/>
                <w:szCs w:val="22"/>
                <w:lang w:val="en-GB"/>
              </w:rPr>
            </w:pPr>
            <w:r w:rsidRPr="00E4265B">
              <w:rPr>
                <w:rFonts w:ascii="Arial" w:hAnsi="Arial" w:cs="Arial"/>
                <w:b/>
                <w:sz w:val="22"/>
                <w:szCs w:val="22"/>
                <w:lang w:val="en-GB"/>
              </w:rPr>
              <w:t>Prudential</w:t>
            </w:r>
            <w:r w:rsidRPr="00E4265B">
              <w:rPr>
                <w:rFonts w:ascii="Arial" w:hAnsi="Arial" w:cs="Arial"/>
                <w:b/>
                <w:sz w:val="22"/>
                <w:szCs w:val="22"/>
                <w:lang w:val="en-GB"/>
              </w:rPr>
              <w:br/>
              <w:t>Category</w:t>
            </w:r>
          </w:p>
        </w:tc>
        <w:tc>
          <w:tcPr>
            <w:tcW w:w="0" w:type="auto"/>
            <w:shd w:val="pct20" w:color="auto" w:fill="auto"/>
            <w:vAlign w:val="center"/>
          </w:tcPr>
          <w:p w14:paraId="5A28408F" w14:textId="77777777" w:rsidR="00CA1F9D" w:rsidRPr="00E4265B" w:rsidRDefault="00CA1F9D" w:rsidP="00553790">
            <w:pPr>
              <w:spacing w:before="120" w:after="120"/>
              <w:jc w:val="center"/>
              <w:rPr>
                <w:rFonts w:ascii="Arial" w:hAnsi="Arial" w:cs="Arial"/>
                <w:b/>
                <w:sz w:val="22"/>
                <w:szCs w:val="22"/>
                <w:lang w:val="en-GB"/>
              </w:rPr>
            </w:pPr>
            <w:r w:rsidRPr="00E4265B">
              <w:rPr>
                <w:rFonts w:ascii="Arial" w:hAnsi="Arial" w:cs="Arial"/>
                <w:b/>
                <w:sz w:val="22"/>
                <w:szCs w:val="22"/>
                <w:lang w:val="en-GB"/>
              </w:rPr>
              <w:t>Capital</w:t>
            </w:r>
            <w:r w:rsidRPr="00E4265B">
              <w:rPr>
                <w:rFonts w:ascii="Arial" w:hAnsi="Arial" w:cs="Arial"/>
                <w:b/>
                <w:sz w:val="22"/>
                <w:szCs w:val="22"/>
                <w:lang w:val="en-GB"/>
              </w:rPr>
              <w:br/>
              <w:t>requirement</w:t>
            </w:r>
          </w:p>
        </w:tc>
        <w:tc>
          <w:tcPr>
            <w:tcW w:w="0" w:type="auto"/>
            <w:shd w:val="pct20" w:color="auto" w:fill="auto"/>
            <w:vAlign w:val="center"/>
          </w:tcPr>
          <w:p w14:paraId="5541A17D" w14:textId="77777777" w:rsidR="00CA1F9D" w:rsidRPr="00E4265B" w:rsidRDefault="00CA1F9D" w:rsidP="00553790">
            <w:pPr>
              <w:spacing w:before="120" w:after="120"/>
              <w:jc w:val="center"/>
              <w:rPr>
                <w:rFonts w:ascii="Arial" w:hAnsi="Arial" w:cs="Arial"/>
                <w:b/>
                <w:sz w:val="22"/>
                <w:szCs w:val="22"/>
                <w:lang w:val="en-GB"/>
              </w:rPr>
            </w:pPr>
            <w:r w:rsidRPr="00E4265B">
              <w:rPr>
                <w:rFonts w:ascii="Arial" w:hAnsi="Arial" w:cs="Arial"/>
                <w:b/>
                <w:sz w:val="22"/>
                <w:szCs w:val="22"/>
                <w:lang w:val="en-GB"/>
              </w:rPr>
              <w:t>Systems and</w:t>
            </w:r>
            <w:r w:rsidRPr="00E4265B">
              <w:rPr>
                <w:rFonts w:ascii="Arial" w:hAnsi="Arial" w:cs="Arial"/>
                <w:b/>
                <w:sz w:val="22"/>
                <w:szCs w:val="22"/>
                <w:lang w:val="en-GB"/>
              </w:rPr>
              <w:br/>
              <w:t>controls</w:t>
            </w:r>
            <w:r w:rsidRPr="00E4265B">
              <w:rPr>
                <w:rFonts w:ascii="Arial" w:hAnsi="Arial" w:cs="Arial"/>
                <w:b/>
                <w:sz w:val="22"/>
                <w:szCs w:val="22"/>
                <w:lang w:val="en-GB"/>
              </w:rPr>
              <w:br/>
              <w:t>requirement</w:t>
            </w:r>
          </w:p>
        </w:tc>
        <w:tc>
          <w:tcPr>
            <w:tcW w:w="0" w:type="auto"/>
            <w:shd w:val="pct20" w:color="auto" w:fill="auto"/>
            <w:vAlign w:val="center"/>
          </w:tcPr>
          <w:p w14:paraId="51DD15B2" w14:textId="77777777" w:rsidR="00CA1F9D" w:rsidRPr="00E4265B" w:rsidRDefault="00CA1F9D" w:rsidP="00553790">
            <w:pPr>
              <w:spacing w:before="120" w:after="120"/>
              <w:jc w:val="center"/>
              <w:rPr>
                <w:rFonts w:ascii="Arial" w:hAnsi="Arial" w:cs="Arial"/>
                <w:b/>
                <w:sz w:val="22"/>
                <w:szCs w:val="22"/>
                <w:lang w:val="en-GB"/>
              </w:rPr>
            </w:pPr>
            <w:r w:rsidRPr="00E4265B">
              <w:rPr>
                <w:rFonts w:ascii="Arial" w:hAnsi="Arial" w:cs="Arial"/>
                <w:b/>
                <w:sz w:val="22"/>
                <w:szCs w:val="22"/>
                <w:lang w:val="en-GB"/>
              </w:rPr>
              <w:t>PII cover</w:t>
            </w:r>
          </w:p>
        </w:tc>
      </w:tr>
      <w:tr w:rsidR="00CA1F9D" w:rsidRPr="00E4265B" w14:paraId="0E9AD3E5" w14:textId="77777777" w:rsidTr="00553790">
        <w:tc>
          <w:tcPr>
            <w:tcW w:w="0" w:type="auto"/>
            <w:vAlign w:val="center"/>
          </w:tcPr>
          <w:p w14:paraId="01482819" w14:textId="77777777" w:rsidR="00CA1F9D" w:rsidRPr="00E4265B" w:rsidRDefault="00CA1F9D" w:rsidP="00FC782C">
            <w:pPr>
              <w:spacing w:before="120" w:after="120"/>
              <w:rPr>
                <w:rFonts w:ascii="Arial" w:hAnsi="Arial" w:cs="Arial"/>
                <w:sz w:val="22"/>
                <w:szCs w:val="22"/>
                <w:lang w:val="en-GB"/>
              </w:rPr>
            </w:pPr>
            <w:r w:rsidRPr="00E4265B">
              <w:rPr>
                <w:rFonts w:ascii="Arial" w:hAnsi="Arial" w:cs="Arial"/>
                <w:sz w:val="22"/>
                <w:szCs w:val="22"/>
                <w:lang w:val="en-GB"/>
              </w:rPr>
              <w:t>Accepting Deposits</w:t>
            </w:r>
          </w:p>
        </w:tc>
        <w:tc>
          <w:tcPr>
            <w:tcW w:w="0" w:type="auto"/>
            <w:vAlign w:val="center"/>
          </w:tcPr>
          <w:p w14:paraId="4837002D" w14:textId="77777777" w:rsidR="00CA1F9D" w:rsidRPr="00E4265B" w:rsidRDefault="00CA1F9D" w:rsidP="00FC782C">
            <w:pPr>
              <w:spacing w:before="120" w:after="120"/>
              <w:jc w:val="center"/>
              <w:rPr>
                <w:rFonts w:ascii="Arial" w:hAnsi="Arial" w:cs="Arial"/>
                <w:sz w:val="22"/>
                <w:szCs w:val="22"/>
                <w:lang w:val="en-GB"/>
              </w:rPr>
            </w:pPr>
            <w:r w:rsidRPr="00E4265B">
              <w:rPr>
                <w:rFonts w:ascii="Arial" w:hAnsi="Arial" w:cs="Arial"/>
                <w:sz w:val="22"/>
                <w:szCs w:val="22"/>
                <w:lang w:val="en-GB"/>
              </w:rPr>
              <w:t>1</w:t>
            </w:r>
          </w:p>
        </w:tc>
        <w:tc>
          <w:tcPr>
            <w:tcW w:w="0" w:type="auto"/>
            <w:vAlign w:val="center"/>
          </w:tcPr>
          <w:p w14:paraId="010EA7ED" w14:textId="4914D0C6" w:rsidR="00CA1F9D"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2A4CEB6B" w14:textId="389B143B" w:rsidR="00CA1F9D"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63F023D0" w14:textId="2894A72A" w:rsidR="00CA1F9D"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r>
      <w:tr w:rsidR="00CA1F9D" w:rsidRPr="00E4265B" w14:paraId="25A2902E" w14:textId="77777777" w:rsidTr="00553790">
        <w:tc>
          <w:tcPr>
            <w:tcW w:w="0" w:type="auto"/>
            <w:vAlign w:val="center"/>
          </w:tcPr>
          <w:p w14:paraId="64BFB495" w14:textId="77777777" w:rsidR="00CA1F9D" w:rsidRPr="00E4265B" w:rsidRDefault="00CA1F9D" w:rsidP="00FC782C">
            <w:pPr>
              <w:spacing w:before="120" w:after="120"/>
              <w:rPr>
                <w:rFonts w:ascii="Arial" w:hAnsi="Arial" w:cs="Arial"/>
                <w:sz w:val="22"/>
                <w:szCs w:val="22"/>
                <w:lang w:val="en-GB"/>
              </w:rPr>
            </w:pPr>
            <w:r w:rsidRPr="00E4265B">
              <w:rPr>
                <w:rFonts w:ascii="Arial" w:hAnsi="Arial" w:cs="Arial"/>
                <w:sz w:val="22"/>
                <w:szCs w:val="22"/>
                <w:lang w:val="en-GB"/>
              </w:rPr>
              <w:t>Providing Credit</w:t>
            </w:r>
          </w:p>
        </w:tc>
        <w:tc>
          <w:tcPr>
            <w:tcW w:w="0" w:type="auto"/>
            <w:vAlign w:val="center"/>
          </w:tcPr>
          <w:p w14:paraId="297FA168" w14:textId="77777777" w:rsidR="00CA1F9D" w:rsidRPr="00E4265B" w:rsidRDefault="00CA1F9D" w:rsidP="00FC782C">
            <w:pPr>
              <w:spacing w:before="120" w:after="120"/>
              <w:jc w:val="center"/>
              <w:rPr>
                <w:rFonts w:ascii="Arial" w:hAnsi="Arial" w:cs="Arial"/>
                <w:sz w:val="22"/>
                <w:szCs w:val="22"/>
                <w:lang w:val="en-GB"/>
              </w:rPr>
            </w:pPr>
            <w:r w:rsidRPr="00E4265B">
              <w:rPr>
                <w:rFonts w:ascii="Arial" w:hAnsi="Arial" w:cs="Arial"/>
                <w:sz w:val="22"/>
                <w:szCs w:val="22"/>
                <w:lang w:val="en-GB"/>
              </w:rPr>
              <w:t>2</w:t>
            </w:r>
          </w:p>
        </w:tc>
        <w:tc>
          <w:tcPr>
            <w:tcW w:w="0" w:type="auto"/>
            <w:vAlign w:val="center"/>
          </w:tcPr>
          <w:p w14:paraId="205FCE20" w14:textId="03CE46BD" w:rsidR="00CA1F9D"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16737612" w14:textId="0F46E27D" w:rsidR="00CA1F9D"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66855F36" w14:textId="7AB3A136" w:rsidR="00CA1F9D"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r>
      <w:tr w:rsidR="00CA1F9D" w:rsidRPr="00E4265B" w14:paraId="781630D1" w14:textId="77777777" w:rsidTr="00553790">
        <w:tc>
          <w:tcPr>
            <w:tcW w:w="0" w:type="auto"/>
            <w:vAlign w:val="center"/>
          </w:tcPr>
          <w:p w14:paraId="68820E53" w14:textId="77777777" w:rsidR="00CA1F9D" w:rsidRPr="00E4265B" w:rsidRDefault="00CA1F9D" w:rsidP="00FC782C">
            <w:pPr>
              <w:spacing w:before="120" w:after="120"/>
              <w:rPr>
                <w:rFonts w:ascii="Arial" w:hAnsi="Arial" w:cs="Arial"/>
                <w:sz w:val="22"/>
                <w:szCs w:val="22"/>
                <w:lang w:val="en-GB"/>
              </w:rPr>
            </w:pPr>
            <w:r w:rsidRPr="00E4265B">
              <w:rPr>
                <w:rFonts w:ascii="Arial" w:hAnsi="Arial" w:cs="Arial"/>
                <w:sz w:val="22"/>
                <w:szCs w:val="22"/>
                <w:lang w:val="en-GB"/>
              </w:rPr>
              <w:t>Dealing in Investments as Principal</w:t>
            </w:r>
            <w:r w:rsidR="0093519E" w:rsidRPr="00E4265B">
              <w:rPr>
                <w:rFonts w:ascii="Arial" w:hAnsi="Arial" w:cs="Arial"/>
                <w:sz w:val="22"/>
                <w:szCs w:val="22"/>
                <w:lang w:val="en-GB"/>
              </w:rPr>
              <w:t xml:space="preserve"> (not as a Matched Principal)</w:t>
            </w:r>
          </w:p>
        </w:tc>
        <w:tc>
          <w:tcPr>
            <w:tcW w:w="0" w:type="auto"/>
            <w:vAlign w:val="center"/>
          </w:tcPr>
          <w:p w14:paraId="606C6948" w14:textId="77777777" w:rsidR="00CA1F9D" w:rsidRPr="00E4265B" w:rsidRDefault="00CA1F9D" w:rsidP="00FC782C">
            <w:pPr>
              <w:spacing w:before="120" w:after="120"/>
              <w:jc w:val="center"/>
              <w:rPr>
                <w:rFonts w:ascii="Arial" w:hAnsi="Arial" w:cs="Arial"/>
                <w:sz w:val="22"/>
                <w:szCs w:val="22"/>
                <w:lang w:val="en-GB"/>
              </w:rPr>
            </w:pPr>
            <w:r w:rsidRPr="00E4265B">
              <w:rPr>
                <w:rFonts w:ascii="Arial" w:hAnsi="Arial" w:cs="Arial"/>
                <w:sz w:val="22"/>
                <w:szCs w:val="22"/>
                <w:lang w:val="en-GB"/>
              </w:rPr>
              <w:t>2</w:t>
            </w:r>
          </w:p>
        </w:tc>
        <w:tc>
          <w:tcPr>
            <w:tcW w:w="0" w:type="auto"/>
            <w:vAlign w:val="center"/>
          </w:tcPr>
          <w:p w14:paraId="3A0FD4E9" w14:textId="0FB1B22F" w:rsidR="00CA1F9D"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0C67BBC0" w14:textId="341CB09B" w:rsidR="00CA1F9D"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029A64B5" w14:textId="26DE3159" w:rsidR="00CA1F9D"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r>
      <w:tr w:rsidR="0093519E" w:rsidRPr="00E4265B" w14:paraId="4F66FE6E" w14:textId="77777777" w:rsidTr="00553790">
        <w:tc>
          <w:tcPr>
            <w:tcW w:w="0" w:type="auto"/>
            <w:vAlign w:val="center"/>
          </w:tcPr>
          <w:p w14:paraId="065BC38F" w14:textId="77777777" w:rsidR="0093519E" w:rsidRPr="00E4265B" w:rsidRDefault="0093519E" w:rsidP="00E3544A">
            <w:pPr>
              <w:spacing w:before="120" w:after="120"/>
              <w:rPr>
                <w:rFonts w:ascii="Arial" w:hAnsi="Arial" w:cs="Arial"/>
                <w:sz w:val="22"/>
                <w:szCs w:val="22"/>
                <w:lang w:val="en-GB"/>
              </w:rPr>
            </w:pPr>
            <w:r w:rsidRPr="00E4265B">
              <w:rPr>
                <w:rFonts w:ascii="Arial" w:hAnsi="Arial" w:cs="Arial"/>
                <w:sz w:val="22"/>
                <w:szCs w:val="22"/>
                <w:lang w:val="en-GB"/>
              </w:rPr>
              <w:t>Dealing in Investments as Principal (only as a Matched Principal)</w:t>
            </w:r>
          </w:p>
        </w:tc>
        <w:tc>
          <w:tcPr>
            <w:tcW w:w="0" w:type="auto"/>
            <w:vAlign w:val="center"/>
          </w:tcPr>
          <w:p w14:paraId="0969F249" w14:textId="77777777" w:rsidR="0093519E" w:rsidRPr="00E4265B" w:rsidRDefault="0093519E" w:rsidP="00044C5F">
            <w:pPr>
              <w:spacing w:before="120" w:after="120"/>
              <w:jc w:val="center"/>
              <w:rPr>
                <w:rFonts w:ascii="Arial" w:hAnsi="Arial" w:cs="Arial"/>
                <w:sz w:val="22"/>
                <w:szCs w:val="22"/>
                <w:lang w:val="en-GB"/>
              </w:rPr>
            </w:pPr>
            <w:r w:rsidRPr="00E4265B">
              <w:rPr>
                <w:rFonts w:ascii="Arial" w:hAnsi="Arial" w:cs="Arial"/>
                <w:sz w:val="22"/>
                <w:szCs w:val="22"/>
                <w:lang w:val="en-GB"/>
              </w:rPr>
              <w:t>3A</w:t>
            </w:r>
          </w:p>
        </w:tc>
        <w:tc>
          <w:tcPr>
            <w:tcW w:w="0" w:type="auto"/>
            <w:vAlign w:val="center"/>
          </w:tcPr>
          <w:p w14:paraId="408089E0" w14:textId="39CFE0A9" w:rsidR="0093519E" w:rsidRPr="00E4265B" w:rsidRDefault="00553790" w:rsidP="00044C5F">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1E36286D" w14:textId="1D02C1F3" w:rsidR="0093519E" w:rsidRPr="00E4265B" w:rsidRDefault="00553790" w:rsidP="00044C5F">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1EB98D1B" w14:textId="6ECF3269" w:rsidR="0093519E" w:rsidRPr="00E4265B" w:rsidRDefault="00553790" w:rsidP="00044C5F">
            <w:pPr>
              <w:spacing w:before="120" w:after="120"/>
              <w:jc w:val="center"/>
              <w:rPr>
                <w:rFonts w:ascii="Arial" w:hAnsi="Arial" w:cs="Arial"/>
                <w:sz w:val="22"/>
                <w:szCs w:val="22"/>
                <w:lang w:val="en-GB"/>
              </w:rPr>
            </w:pPr>
            <w:r w:rsidRPr="00E4265B">
              <w:rPr>
                <w:rFonts w:ascii="Arial" w:hAnsi="Arial" w:cs="Arial"/>
                <w:sz w:val="22"/>
                <w:szCs w:val="22"/>
                <w:lang w:val="en-GB"/>
              </w:rPr>
              <w:t>No</w:t>
            </w:r>
          </w:p>
        </w:tc>
      </w:tr>
      <w:tr w:rsidR="0093519E" w:rsidRPr="00E4265B" w14:paraId="2D3203E9" w14:textId="77777777" w:rsidTr="00553790">
        <w:tc>
          <w:tcPr>
            <w:tcW w:w="0" w:type="auto"/>
            <w:vAlign w:val="center"/>
          </w:tcPr>
          <w:p w14:paraId="3D3B8F96" w14:textId="77777777" w:rsidR="0093519E" w:rsidRPr="00E4265B" w:rsidRDefault="0093519E" w:rsidP="00FC782C">
            <w:pPr>
              <w:spacing w:before="120" w:after="120"/>
              <w:rPr>
                <w:rFonts w:ascii="Arial" w:hAnsi="Arial" w:cs="Arial"/>
                <w:sz w:val="22"/>
                <w:szCs w:val="22"/>
                <w:lang w:val="en-GB"/>
              </w:rPr>
            </w:pPr>
            <w:r w:rsidRPr="00E4265B">
              <w:rPr>
                <w:rFonts w:ascii="Arial" w:hAnsi="Arial" w:cs="Arial"/>
                <w:sz w:val="22"/>
                <w:szCs w:val="22"/>
                <w:lang w:val="en-GB"/>
              </w:rPr>
              <w:t>Dealing in Investments as Agent</w:t>
            </w:r>
          </w:p>
        </w:tc>
        <w:tc>
          <w:tcPr>
            <w:tcW w:w="0" w:type="auto"/>
            <w:vAlign w:val="center"/>
          </w:tcPr>
          <w:p w14:paraId="31004E3A" w14:textId="77777777" w:rsidR="0093519E" w:rsidRPr="00E4265B" w:rsidRDefault="0093519E" w:rsidP="00FC782C">
            <w:pPr>
              <w:spacing w:before="120" w:after="120"/>
              <w:jc w:val="center"/>
              <w:rPr>
                <w:rFonts w:ascii="Arial" w:hAnsi="Arial" w:cs="Arial"/>
                <w:sz w:val="22"/>
                <w:szCs w:val="22"/>
                <w:lang w:val="en-GB"/>
              </w:rPr>
            </w:pPr>
            <w:r w:rsidRPr="00E4265B">
              <w:rPr>
                <w:rFonts w:ascii="Arial" w:hAnsi="Arial" w:cs="Arial"/>
                <w:sz w:val="22"/>
                <w:szCs w:val="22"/>
                <w:lang w:val="en-GB"/>
              </w:rPr>
              <w:t>3A</w:t>
            </w:r>
          </w:p>
        </w:tc>
        <w:tc>
          <w:tcPr>
            <w:tcW w:w="0" w:type="auto"/>
            <w:vAlign w:val="center"/>
          </w:tcPr>
          <w:p w14:paraId="73C5CDA6" w14:textId="15D605B3"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066F5D8F" w14:textId="3B9B9930"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7964DAFD" w14:textId="7EBD197E"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r>
      <w:tr w:rsidR="0093519E" w:rsidRPr="00E4265B" w14:paraId="3F0A8598" w14:textId="77777777" w:rsidTr="00553790">
        <w:tc>
          <w:tcPr>
            <w:tcW w:w="0" w:type="auto"/>
            <w:vAlign w:val="center"/>
          </w:tcPr>
          <w:p w14:paraId="72CCDFFA" w14:textId="77777777" w:rsidR="0093519E" w:rsidRPr="00E4265B" w:rsidRDefault="0093519E" w:rsidP="003A5308">
            <w:pPr>
              <w:spacing w:before="120" w:after="120"/>
              <w:rPr>
                <w:rFonts w:ascii="Arial" w:hAnsi="Arial" w:cs="Arial"/>
                <w:sz w:val="22"/>
                <w:szCs w:val="22"/>
                <w:lang w:val="en-GB"/>
              </w:rPr>
            </w:pPr>
            <w:r w:rsidRPr="00E4265B">
              <w:rPr>
                <w:rFonts w:ascii="Arial" w:hAnsi="Arial" w:cs="Arial"/>
                <w:sz w:val="22"/>
                <w:szCs w:val="22"/>
                <w:lang w:val="en-GB"/>
              </w:rPr>
              <w:t>Acting as the Trustee of an Investment Trust</w:t>
            </w:r>
          </w:p>
        </w:tc>
        <w:tc>
          <w:tcPr>
            <w:tcW w:w="0" w:type="auto"/>
            <w:vAlign w:val="center"/>
          </w:tcPr>
          <w:p w14:paraId="38B96DF6" w14:textId="77777777" w:rsidR="0093519E" w:rsidRPr="00E4265B" w:rsidRDefault="0093519E" w:rsidP="003A5308">
            <w:pPr>
              <w:spacing w:before="120" w:after="120"/>
              <w:jc w:val="center"/>
              <w:rPr>
                <w:rFonts w:ascii="Arial" w:hAnsi="Arial" w:cs="Arial"/>
                <w:sz w:val="22"/>
                <w:szCs w:val="22"/>
                <w:lang w:val="en-GB"/>
              </w:rPr>
            </w:pPr>
            <w:r w:rsidRPr="00E4265B">
              <w:rPr>
                <w:rFonts w:ascii="Arial" w:hAnsi="Arial" w:cs="Arial"/>
                <w:sz w:val="22"/>
                <w:szCs w:val="22"/>
                <w:lang w:val="en-GB"/>
              </w:rPr>
              <w:t>3B</w:t>
            </w:r>
          </w:p>
        </w:tc>
        <w:tc>
          <w:tcPr>
            <w:tcW w:w="0" w:type="auto"/>
            <w:vAlign w:val="center"/>
          </w:tcPr>
          <w:p w14:paraId="3CBC3ED3" w14:textId="7576CE03" w:rsidR="0093519E" w:rsidRPr="00E4265B" w:rsidRDefault="00553790" w:rsidP="003A5308">
            <w:pPr>
              <w:spacing w:before="120" w:after="120"/>
              <w:jc w:val="center"/>
              <w:rPr>
                <w:rFonts w:ascii="Arial" w:hAnsi="Arial" w:cs="Arial"/>
                <w:sz w:val="22"/>
                <w:szCs w:val="22"/>
                <w:lang w:val="en-GB"/>
              </w:rPr>
            </w:pPr>
            <w:r w:rsidRPr="00E4265B">
              <w:rPr>
                <w:rFonts w:ascii="Arial" w:hAnsi="Arial" w:cs="Arial"/>
                <w:sz w:val="22"/>
                <w:szCs w:val="22"/>
                <w:lang w:val="en-GB"/>
              </w:rPr>
              <w:t>No</w:t>
            </w:r>
          </w:p>
        </w:tc>
        <w:tc>
          <w:tcPr>
            <w:tcW w:w="0" w:type="auto"/>
            <w:vAlign w:val="center"/>
          </w:tcPr>
          <w:p w14:paraId="1CC2F0EF" w14:textId="3C197862" w:rsidR="0093519E" w:rsidRPr="00E4265B" w:rsidRDefault="00553790" w:rsidP="003A5308">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7DA1B0DA" w14:textId="10003E3E" w:rsidR="0093519E" w:rsidRPr="00E4265B" w:rsidRDefault="00553790" w:rsidP="003A5308">
            <w:pPr>
              <w:spacing w:before="120" w:after="120"/>
              <w:jc w:val="center"/>
              <w:rPr>
                <w:rFonts w:ascii="Arial" w:hAnsi="Arial" w:cs="Arial"/>
                <w:sz w:val="22"/>
                <w:szCs w:val="22"/>
                <w:lang w:val="en-GB"/>
              </w:rPr>
            </w:pPr>
            <w:r w:rsidRPr="00E4265B">
              <w:rPr>
                <w:rFonts w:ascii="Arial" w:hAnsi="Arial" w:cs="Arial"/>
                <w:sz w:val="22"/>
                <w:szCs w:val="22"/>
                <w:lang w:val="en-GB"/>
              </w:rPr>
              <w:t>Yes</w:t>
            </w:r>
          </w:p>
        </w:tc>
      </w:tr>
      <w:tr w:rsidR="0093519E" w:rsidRPr="00E4265B" w14:paraId="0D86A843" w14:textId="77777777" w:rsidTr="00553790">
        <w:tc>
          <w:tcPr>
            <w:tcW w:w="0" w:type="auto"/>
            <w:vAlign w:val="center"/>
          </w:tcPr>
          <w:p w14:paraId="11B3EF5D" w14:textId="77777777" w:rsidR="0093519E" w:rsidRPr="00E4265B" w:rsidRDefault="0093519E" w:rsidP="003A5308">
            <w:pPr>
              <w:spacing w:before="120" w:after="120"/>
              <w:rPr>
                <w:rFonts w:ascii="Arial" w:hAnsi="Arial" w:cs="Arial"/>
                <w:sz w:val="22"/>
                <w:szCs w:val="22"/>
                <w:lang w:val="en-GB"/>
              </w:rPr>
            </w:pPr>
            <w:r w:rsidRPr="00E4265B">
              <w:rPr>
                <w:rFonts w:ascii="Arial" w:hAnsi="Arial" w:cs="Arial"/>
                <w:sz w:val="22"/>
                <w:szCs w:val="22"/>
                <w:lang w:val="en-GB"/>
              </w:rPr>
              <w:t>Providing Custody</w:t>
            </w:r>
          </w:p>
        </w:tc>
        <w:tc>
          <w:tcPr>
            <w:tcW w:w="0" w:type="auto"/>
            <w:vAlign w:val="center"/>
          </w:tcPr>
          <w:p w14:paraId="3EF27FC7" w14:textId="77777777" w:rsidR="0093519E" w:rsidRPr="00E4265B" w:rsidRDefault="0093519E" w:rsidP="003A5308">
            <w:pPr>
              <w:spacing w:before="120" w:after="120"/>
              <w:jc w:val="center"/>
              <w:rPr>
                <w:rFonts w:ascii="Arial" w:hAnsi="Arial" w:cs="Arial"/>
                <w:sz w:val="22"/>
                <w:szCs w:val="22"/>
                <w:lang w:val="en-GB"/>
              </w:rPr>
            </w:pPr>
            <w:r w:rsidRPr="00E4265B">
              <w:rPr>
                <w:rFonts w:ascii="Arial" w:hAnsi="Arial" w:cs="Arial"/>
                <w:sz w:val="22"/>
                <w:szCs w:val="22"/>
                <w:lang w:val="en-GB"/>
              </w:rPr>
              <w:t>3B or 3C</w:t>
            </w:r>
          </w:p>
        </w:tc>
        <w:tc>
          <w:tcPr>
            <w:tcW w:w="0" w:type="auto"/>
            <w:vAlign w:val="center"/>
          </w:tcPr>
          <w:p w14:paraId="781CC996" w14:textId="0D6556DC" w:rsidR="0093519E" w:rsidRPr="00E4265B" w:rsidRDefault="00553790" w:rsidP="003A5308">
            <w:pPr>
              <w:spacing w:before="120" w:after="120"/>
              <w:jc w:val="center"/>
              <w:rPr>
                <w:rFonts w:ascii="Arial" w:hAnsi="Arial" w:cs="Arial"/>
                <w:sz w:val="22"/>
                <w:szCs w:val="22"/>
                <w:lang w:val="en-GB"/>
              </w:rPr>
            </w:pPr>
            <w:r w:rsidRPr="00E4265B">
              <w:rPr>
                <w:rFonts w:ascii="Arial" w:hAnsi="Arial" w:cs="Arial"/>
                <w:sz w:val="22"/>
                <w:szCs w:val="22"/>
                <w:lang w:val="en-GB"/>
              </w:rPr>
              <w:t>No</w:t>
            </w:r>
          </w:p>
        </w:tc>
        <w:tc>
          <w:tcPr>
            <w:tcW w:w="0" w:type="auto"/>
            <w:vAlign w:val="center"/>
          </w:tcPr>
          <w:p w14:paraId="036E6699" w14:textId="381BE9FF" w:rsidR="0093519E" w:rsidRPr="00E4265B" w:rsidRDefault="00553790" w:rsidP="003A5308">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3D62ACA9" w14:textId="10FADAFF" w:rsidR="0093519E" w:rsidRPr="00E4265B" w:rsidRDefault="00553790" w:rsidP="003A5308">
            <w:pPr>
              <w:spacing w:before="120" w:after="120"/>
              <w:jc w:val="center"/>
              <w:rPr>
                <w:rFonts w:ascii="Arial" w:hAnsi="Arial" w:cs="Arial"/>
                <w:sz w:val="22"/>
                <w:szCs w:val="22"/>
                <w:lang w:val="en-GB"/>
              </w:rPr>
            </w:pPr>
            <w:r w:rsidRPr="00E4265B">
              <w:rPr>
                <w:rFonts w:ascii="Arial" w:hAnsi="Arial" w:cs="Arial"/>
                <w:sz w:val="22"/>
                <w:szCs w:val="22"/>
                <w:lang w:val="en-GB"/>
              </w:rPr>
              <w:t>Yes</w:t>
            </w:r>
          </w:p>
        </w:tc>
      </w:tr>
      <w:tr w:rsidR="004B49E3" w:rsidRPr="00E4265B" w14:paraId="220C6967" w14:textId="77777777" w:rsidTr="00553790">
        <w:tc>
          <w:tcPr>
            <w:tcW w:w="0" w:type="auto"/>
            <w:vAlign w:val="center"/>
          </w:tcPr>
          <w:p w14:paraId="01F1D627" w14:textId="77777777" w:rsidR="004B49E3" w:rsidRPr="00E4265B" w:rsidRDefault="004B49E3" w:rsidP="003A5308">
            <w:pPr>
              <w:spacing w:before="120" w:after="120"/>
              <w:rPr>
                <w:rFonts w:ascii="Arial" w:hAnsi="Arial" w:cs="Arial"/>
                <w:sz w:val="22"/>
                <w:szCs w:val="22"/>
                <w:lang w:val="en-GB"/>
              </w:rPr>
            </w:pPr>
            <w:r w:rsidRPr="00E4265B">
              <w:rPr>
                <w:rFonts w:ascii="Arial" w:hAnsi="Arial" w:cs="Arial"/>
                <w:sz w:val="22"/>
                <w:szCs w:val="22"/>
                <w:lang w:val="en-GB"/>
              </w:rPr>
              <w:t>Providing Trust Services</w:t>
            </w:r>
          </w:p>
        </w:tc>
        <w:tc>
          <w:tcPr>
            <w:tcW w:w="0" w:type="auto"/>
            <w:vAlign w:val="center"/>
          </w:tcPr>
          <w:p w14:paraId="35B15868" w14:textId="6E14B863" w:rsidR="004B49E3" w:rsidRPr="00E4265B" w:rsidRDefault="00615A2F" w:rsidP="003A5308">
            <w:pPr>
              <w:spacing w:before="120" w:after="120"/>
              <w:jc w:val="center"/>
              <w:rPr>
                <w:rFonts w:ascii="Arial" w:hAnsi="Arial" w:cs="Arial"/>
                <w:sz w:val="22"/>
                <w:szCs w:val="22"/>
                <w:lang w:val="en-GB"/>
              </w:rPr>
            </w:pPr>
            <w:r w:rsidRPr="00E4265B">
              <w:rPr>
                <w:rFonts w:ascii="Arial" w:hAnsi="Arial" w:cs="Arial"/>
                <w:sz w:val="22"/>
                <w:szCs w:val="22"/>
                <w:lang w:val="en-GB"/>
              </w:rPr>
              <w:t>3C or 4</w:t>
            </w:r>
          </w:p>
        </w:tc>
        <w:tc>
          <w:tcPr>
            <w:tcW w:w="0" w:type="auto"/>
            <w:vAlign w:val="center"/>
          </w:tcPr>
          <w:p w14:paraId="6F995723" w14:textId="4290CF4D" w:rsidR="004B49E3" w:rsidRPr="00E4265B" w:rsidRDefault="00553790" w:rsidP="003A5308">
            <w:pPr>
              <w:spacing w:before="120" w:after="120"/>
              <w:jc w:val="center"/>
              <w:rPr>
                <w:rFonts w:ascii="Arial" w:hAnsi="Arial" w:cs="Arial"/>
                <w:sz w:val="22"/>
                <w:szCs w:val="22"/>
                <w:lang w:val="en-GB"/>
              </w:rPr>
            </w:pPr>
            <w:r w:rsidRPr="00E4265B">
              <w:rPr>
                <w:rFonts w:ascii="Arial" w:hAnsi="Arial" w:cs="Arial"/>
                <w:sz w:val="22"/>
                <w:szCs w:val="22"/>
                <w:lang w:val="en-GB"/>
              </w:rPr>
              <w:t>No</w:t>
            </w:r>
          </w:p>
        </w:tc>
        <w:tc>
          <w:tcPr>
            <w:tcW w:w="0" w:type="auto"/>
            <w:vAlign w:val="center"/>
          </w:tcPr>
          <w:p w14:paraId="68B0C3E3" w14:textId="392216FC" w:rsidR="004B49E3" w:rsidRPr="00E4265B" w:rsidRDefault="00553790" w:rsidP="003A5308">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6057C423" w14:textId="6DB1A5F3" w:rsidR="004B49E3" w:rsidRPr="00E4265B" w:rsidRDefault="00553790" w:rsidP="003A5308">
            <w:pPr>
              <w:spacing w:before="120" w:after="120"/>
              <w:jc w:val="center"/>
              <w:rPr>
                <w:rFonts w:ascii="Arial" w:hAnsi="Arial" w:cs="Arial"/>
                <w:sz w:val="22"/>
                <w:szCs w:val="22"/>
                <w:lang w:val="en-GB"/>
              </w:rPr>
            </w:pPr>
            <w:r w:rsidRPr="00E4265B">
              <w:rPr>
                <w:rFonts w:ascii="Arial" w:hAnsi="Arial" w:cs="Arial"/>
                <w:sz w:val="22"/>
                <w:szCs w:val="22"/>
                <w:lang w:val="en-GB"/>
              </w:rPr>
              <w:t>Yes</w:t>
            </w:r>
          </w:p>
        </w:tc>
      </w:tr>
      <w:tr w:rsidR="0093519E" w:rsidRPr="00E4265B" w14:paraId="0534DDA8" w14:textId="77777777" w:rsidTr="00553790">
        <w:tc>
          <w:tcPr>
            <w:tcW w:w="0" w:type="auto"/>
            <w:vAlign w:val="center"/>
          </w:tcPr>
          <w:p w14:paraId="51346377" w14:textId="77777777" w:rsidR="0093519E" w:rsidRPr="00E4265B" w:rsidRDefault="0093519E" w:rsidP="00FC782C">
            <w:pPr>
              <w:spacing w:before="120" w:after="120"/>
              <w:rPr>
                <w:rFonts w:ascii="Arial" w:hAnsi="Arial" w:cs="Arial"/>
                <w:sz w:val="22"/>
                <w:szCs w:val="22"/>
                <w:lang w:val="en-GB"/>
              </w:rPr>
            </w:pPr>
            <w:r w:rsidRPr="00E4265B">
              <w:rPr>
                <w:rFonts w:ascii="Arial" w:hAnsi="Arial" w:cs="Arial"/>
                <w:sz w:val="22"/>
                <w:szCs w:val="22"/>
                <w:lang w:val="en-GB"/>
              </w:rPr>
              <w:t>Managing Assets</w:t>
            </w:r>
          </w:p>
        </w:tc>
        <w:tc>
          <w:tcPr>
            <w:tcW w:w="0" w:type="auto"/>
            <w:vAlign w:val="center"/>
          </w:tcPr>
          <w:p w14:paraId="61D8BE45" w14:textId="77777777" w:rsidR="0093519E" w:rsidRPr="00E4265B" w:rsidRDefault="0093519E" w:rsidP="00FC782C">
            <w:pPr>
              <w:spacing w:before="120" w:after="120"/>
              <w:jc w:val="center"/>
              <w:rPr>
                <w:rFonts w:ascii="Arial" w:hAnsi="Arial" w:cs="Arial"/>
                <w:sz w:val="22"/>
                <w:szCs w:val="22"/>
                <w:lang w:val="en-GB"/>
              </w:rPr>
            </w:pPr>
            <w:r w:rsidRPr="00E4265B">
              <w:rPr>
                <w:rFonts w:ascii="Arial" w:hAnsi="Arial" w:cs="Arial"/>
                <w:sz w:val="22"/>
                <w:szCs w:val="22"/>
                <w:lang w:val="en-GB"/>
              </w:rPr>
              <w:t>3C</w:t>
            </w:r>
          </w:p>
        </w:tc>
        <w:tc>
          <w:tcPr>
            <w:tcW w:w="0" w:type="auto"/>
            <w:vAlign w:val="center"/>
          </w:tcPr>
          <w:p w14:paraId="53084870" w14:textId="313C4458"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c>
          <w:tcPr>
            <w:tcW w:w="0" w:type="auto"/>
            <w:vAlign w:val="center"/>
          </w:tcPr>
          <w:p w14:paraId="7FCFD5B0" w14:textId="33CF92CB"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6345BB72" w14:textId="40A6619F"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r>
      <w:tr w:rsidR="0093519E" w:rsidRPr="00E4265B" w14:paraId="0DB08B83" w14:textId="77777777" w:rsidTr="00553790">
        <w:tc>
          <w:tcPr>
            <w:tcW w:w="0" w:type="auto"/>
            <w:vAlign w:val="center"/>
          </w:tcPr>
          <w:p w14:paraId="58283652" w14:textId="77777777" w:rsidR="0093519E" w:rsidRPr="00E4265B" w:rsidRDefault="0093519E" w:rsidP="00FC782C">
            <w:pPr>
              <w:spacing w:before="120" w:after="120"/>
              <w:rPr>
                <w:rFonts w:ascii="Arial" w:hAnsi="Arial" w:cs="Arial"/>
                <w:sz w:val="22"/>
                <w:szCs w:val="22"/>
                <w:lang w:val="en-GB"/>
              </w:rPr>
            </w:pPr>
            <w:r w:rsidRPr="00E4265B">
              <w:rPr>
                <w:rFonts w:ascii="Arial" w:hAnsi="Arial" w:cs="Arial"/>
                <w:sz w:val="22"/>
                <w:szCs w:val="22"/>
                <w:lang w:val="en-GB"/>
              </w:rPr>
              <w:t>Managing a Collective Investment Fund</w:t>
            </w:r>
          </w:p>
        </w:tc>
        <w:tc>
          <w:tcPr>
            <w:tcW w:w="0" w:type="auto"/>
            <w:vAlign w:val="center"/>
          </w:tcPr>
          <w:p w14:paraId="19B8BBC9" w14:textId="77777777" w:rsidR="0093519E" w:rsidRPr="00E4265B" w:rsidRDefault="0093519E" w:rsidP="00FC782C">
            <w:pPr>
              <w:spacing w:before="120" w:after="120"/>
              <w:jc w:val="center"/>
              <w:rPr>
                <w:rFonts w:ascii="Arial" w:hAnsi="Arial" w:cs="Arial"/>
                <w:sz w:val="22"/>
                <w:szCs w:val="22"/>
                <w:lang w:val="en-GB"/>
              </w:rPr>
            </w:pPr>
            <w:r w:rsidRPr="00E4265B">
              <w:rPr>
                <w:rFonts w:ascii="Arial" w:hAnsi="Arial" w:cs="Arial"/>
                <w:sz w:val="22"/>
                <w:szCs w:val="22"/>
                <w:lang w:val="en-GB"/>
              </w:rPr>
              <w:t>3C</w:t>
            </w:r>
          </w:p>
        </w:tc>
        <w:tc>
          <w:tcPr>
            <w:tcW w:w="0" w:type="auto"/>
            <w:vAlign w:val="center"/>
          </w:tcPr>
          <w:p w14:paraId="5F08D93F" w14:textId="3357218E"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c>
          <w:tcPr>
            <w:tcW w:w="0" w:type="auto"/>
            <w:vAlign w:val="center"/>
          </w:tcPr>
          <w:p w14:paraId="71832DCF" w14:textId="608F05AD"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50815BEE" w14:textId="5DC7D3A6"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r>
      <w:tr w:rsidR="0093519E" w:rsidRPr="00E4265B" w14:paraId="5C52EADA" w14:textId="77777777" w:rsidTr="00553790">
        <w:trPr>
          <w:trHeight w:val="737"/>
        </w:trPr>
        <w:tc>
          <w:tcPr>
            <w:tcW w:w="0" w:type="auto"/>
            <w:vAlign w:val="center"/>
          </w:tcPr>
          <w:p w14:paraId="48E4D018" w14:textId="77777777" w:rsidR="0093519E" w:rsidRPr="00E4265B" w:rsidRDefault="0093519E" w:rsidP="00C51AC9">
            <w:pPr>
              <w:spacing w:before="120" w:after="120"/>
              <w:rPr>
                <w:rFonts w:ascii="Arial" w:hAnsi="Arial" w:cs="Arial"/>
                <w:sz w:val="22"/>
                <w:szCs w:val="22"/>
                <w:lang w:val="en-GB"/>
              </w:rPr>
            </w:pPr>
            <w:r w:rsidRPr="00E4265B">
              <w:rPr>
                <w:rFonts w:ascii="Arial" w:hAnsi="Arial" w:cs="Arial"/>
                <w:sz w:val="22"/>
                <w:szCs w:val="22"/>
                <w:lang w:val="en-GB"/>
              </w:rPr>
              <w:lastRenderedPageBreak/>
              <w:t>Managing a Profit Sharing Investment Account which is a PSIAr</w:t>
            </w:r>
          </w:p>
        </w:tc>
        <w:tc>
          <w:tcPr>
            <w:tcW w:w="0" w:type="auto"/>
            <w:vAlign w:val="center"/>
          </w:tcPr>
          <w:p w14:paraId="0D1008B5" w14:textId="77777777" w:rsidR="0093519E" w:rsidRPr="00E4265B" w:rsidRDefault="0093519E" w:rsidP="00FC782C">
            <w:pPr>
              <w:spacing w:before="120" w:after="120"/>
              <w:jc w:val="center"/>
              <w:rPr>
                <w:rFonts w:ascii="Arial" w:hAnsi="Arial" w:cs="Arial"/>
                <w:sz w:val="22"/>
                <w:szCs w:val="22"/>
                <w:lang w:val="en-GB"/>
              </w:rPr>
            </w:pPr>
            <w:r w:rsidRPr="00E4265B">
              <w:rPr>
                <w:rFonts w:ascii="Arial" w:hAnsi="Arial" w:cs="Arial"/>
                <w:sz w:val="22"/>
                <w:szCs w:val="22"/>
                <w:lang w:val="en-GB"/>
              </w:rPr>
              <w:t>3C</w:t>
            </w:r>
          </w:p>
        </w:tc>
        <w:tc>
          <w:tcPr>
            <w:tcW w:w="0" w:type="auto"/>
            <w:vAlign w:val="center"/>
          </w:tcPr>
          <w:p w14:paraId="3B2AAF04" w14:textId="45A875E1"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c>
          <w:tcPr>
            <w:tcW w:w="0" w:type="auto"/>
            <w:vAlign w:val="center"/>
          </w:tcPr>
          <w:p w14:paraId="6F890D2F" w14:textId="2887292C"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77CBB104" w14:textId="05EB13E4"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r>
      <w:tr w:rsidR="001D02CB" w:rsidRPr="00E4265B" w14:paraId="7C24FA9C" w14:textId="77777777" w:rsidTr="00553790">
        <w:trPr>
          <w:trHeight w:val="350"/>
        </w:trPr>
        <w:tc>
          <w:tcPr>
            <w:tcW w:w="0" w:type="auto"/>
            <w:vAlign w:val="center"/>
          </w:tcPr>
          <w:p w14:paraId="74088588" w14:textId="77777777" w:rsidR="001D02CB" w:rsidRPr="00E4265B" w:rsidRDefault="001D02CB" w:rsidP="00C51AC9">
            <w:pPr>
              <w:spacing w:before="120" w:after="120"/>
              <w:rPr>
                <w:rFonts w:ascii="Arial" w:hAnsi="Arial" w:cs="Arial"/>
                <w:sz w:val="22"/>
                <w:szCs w:val="22"/>
                <w:lang w:val="en-GB"/>
              </w:rPr>
            </w:pPr>
            <w:r w:rsidRPr="00E4265B">
              <w:rPr>
                <w:rFonts w:ascii="Arial" w:hAnsi="Arial" w:cs="Arial"/>
                <w:sz w:val="22"/>
                <w:szCs w:val="22"/>
                <w:lang w:val="en-GB"/>
              </w:rPr>
              <w:t>Providing Money Services</w:t>
            </w:r>
          </w:p>
        </w:tc>
        <w:tc>
          <w:tcPr>
            <w:tcW w:w="0" w:type="auto"/>
            <w:vAlign w:val="center"/>
          </w:tcPr>
          <w:p w14:paraId="05F7B888" w14:textId="77777777" w:rsidR="001D02CB" w:rsidRPr="00E4265B" w:rsidRDefault="001D02CB" w:rsidP="00FC782C">
            <w:pPr>
              <w:spacing w:before="120" w:after="120"/>
              <w:jc w:val="center"/>
              <w:rPr>
                <w:rFonts w:ascii="Arial" w:hAnsi="Arial" w:cs="Arial"/>
                <w:sz w:val="22"/>
                <w:szCs w:val="22"/>
                <w:lang w:val="en-GB"/>
              </w:rPr>
            </w:pPr>
            <w:r w:rsidRPr="00E4265B">
              <w:rPr>
                <w:rFonts w:ascii="Arial" w:hAnsi="Arial" w:cs="Arial"/>
                <w:sz w:val="22"/>
                <w:szCs w:val="22"/>
                <w:lang w:val="en-GB"/>
              </w:rPr>
              <w:t>3C</w:t>
            </w:r>
          </w:p>
        </w:tc>
        <w:tc>
          <w:tcPr>
            <w:tcW w:w="0" w:type="auto"/>
            <w:vAlign w:val="center"/>
          </w:tcPr>
          <w:p w14:paraId="0B6EF248" w14:textId="3D9A9C10" w:rsidR="001D02CB"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c>
          <w:tcPr>
            <w:tcW w:w="0" w:type="auto"/>
            <w:vAlign w:val="center"/>
          </w:tcPr>
          <w:p w14:paraId="3A516276" w14:textId="4D6A4D00" w:rsidR="001D02CB"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5F3B2C72" w14:textId="10B30D5F" w:rsidR="001D02CB"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r>
      <w:tr w:rsidR="0093519E" w:rsidRPr="00E4265B" w14:paraId="659688A0" w14:textId="77777777" w:rsidTr="00553790">
        <w:tc>
          <w:tcPr>
            <w:tcW w:w="0" w:type="auto"/>
            <w:vAlign w:val="center"/>
          </w:tcPr>
          <w:p w14:paraId="31AF33C6" w14:textId="77777777" w:rsidR="0093519E" w:rsidRPr="00E4265B" w:rsidRDefault="0093519E" w:rsidP="00666691">
            <w:pPr>
              <w:spacing w:before="120" w:after="120"/>
              <w:rPr>
                <w:rFonts w:ascii="Arial" w:hAnsi="Arial" w:cs="Arial"/>
                <w:sz w:val="22"/>
                <w:szCs w:val="22"/>
                <w:lang w:val="en-GB"/>
              </w:rPr>
            </w:pPr>
            <w:r w:rsidRPr="00E4265B">
              <w:rPr>
                <w:rFonts w:ascii="Arial" w:hAnsi="Arial" w:cs="Arial"/>
                <w:sz w:val="22"/>
                <w:szCs w:val="22"/>
                <w:lang w:val="en-GB"/>
              </w:rPr>
              <w:t>Arranging Credit</w:t>
            </w:r>
          </w:p>
        </w:tc>
        <w:tc>
          <w:tcPr>
            <w:tcW w:w="0" w:type="auto"/>
            <w:vAlign w:val="center"/>
          </w:tcPr>
          <w:p w14:paraId="29620B92" w14:textId="77777777" w:rsidR="0093519E" w:rsidRPr="00E4265B" w:rsidRDefault="0093519E" w:rsidP="00FC782C">
            <w:pPr>
              <w:spacing w:before="120" w:after="120"/>
              <w:jc w:val="center"/>
              <w:rPr>
                <w:rFonts w:ascii="Arial" w:hAnsi="Arial" w:cs="Arial"/>
                <w:sz w:val="22"/>
                <w:szCs w:val="22"/>
                <w:lang w:val="en-GB"/>
              </w:rPr>
            </w:pPr>
            <w:r w:rsidRPr="00E4265B">
              <w:rPr>
                <w:rFonts w:ascii="Arial" w:hAnsi="Arial" w:cs="Arial"/>
                <w:sz w:val="22"/>
                <w:szCs w:val="22"/>
                <w:lang w:val="en-GB"/>
              </w:rPr>
              <w:t>4</w:t>
            </w:r>
          </w:p>
        </w:tc>
        <w:tc>
          <w:tcPr>
            <w:tcW w:w="0" w:type="auto"/>
            <w:vAlign w:val="center"/>
          </w:tcPr>
          <w:p w14:paraId="3162B54F" w14:textId="177B1B4C"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c>
          <w:tcPr>
            <w:tcW w:w="0" w:type="auto"/>
            <w:vAlign w:val="center"/>
          </w:tcPr>
          <w:p w14:paraId="32D2664D" w14:textId="741F7505"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4CAB6034" w14:textId="2B63A5C5"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r>
      <w:tr w:rsidR="0093519E" w:rsidRPr="00E4265B" w14:paraId="5CBBF6B0" w14:textId="77777777" w:rsidTr="00553790">
        <w:tc>
          <w:tcPr>
            <w:tcW w:w="0" w:type="auto"/>
            <w:vAlign w:val="center"/>
          </w:tcPr>
          <w:p w14:paraId="5B0444E1" w14:textId="77777777" w:rsidR="0093519E" w:rsidRPr="00E4265B" w:rsidRDefault="0093519E" w:rsidP="00FC782C">
            <w:pPr>
              <w:spacing w:before="120" w:after="120"/>
              <w:rPr>
                <w:rFonts w:ascii="Arial" w:hAnsi="Arial" w:cs="Arial"/>
                <w:sz w:val="22"/>
                <w:szCs w:val="22"/>
                <w:lang w:val="en-GB"/>
              </w:rPr>
            </w:pPr>
            <w:r w:rsidRPr="00E4265B">
              <w:rPr>
                <w:rFonts w:ascii="Arial" w:hAnsi="Arial" w:cs="Arial"/>
                <w:sz w:val="22"/>
                <w:szCs w:val="22"/>
                <w:lang w:val="en-GB"/>
              </w:rPr>
              <w:t>Arranging Deals in Investments</w:t>
            </w:r>
          </w:p>
        </w:tc>
        <w:tc>
          <w:tcPr>
            <w:tcW w:w="0" w:type="auto"/>
            <w:vAlign w:val="center"/>
          </w:tcPr>
          <w:p w14:paraId="4DD35503" w14:textId="77777777" w:rsidR="0093519E" w:rsidRPr="00E4265B" w:rsidRDefault="0093519E" w:rsidP="00044C5F">
            <w:pPr>
              <w:spacing w:before="120" w:after="120"/>
              <w:jc w:val="center"/>
              <w:rPr>
                <w:rFonts w:ascii="Arial" w:hAnsi="Arial" w:cs="Arial"/>
                <w:sz w:val="22"/>
                <w:szCs w:val="22"/>
                <w:lang w:val="en-GB"/>
              </w:rPr>
            </w:pPr>
            <w:r w:rsidRPr="00E4265B">
              <w:rPr>
                <w:rFonts w:ascii="Arial" w:hAnsi="Arial" w:cs="Arial"/>
                <w:sz w:val="22"/>
                <w:szCs w:val="22"/>
                <w:lang w:val="en-GB"/>
              </w:rPr>
              <w:t>4</w:t>
            </w:r>
          </w:p>
        </w:tc>
        <w:tc>
          <w:tcPr>
            <w:tcW w:w="0" w:type="auto"/>
            <w:vAlign w:val="center"/>
          </w:tcPr>
          <w:p w14:paraId="3F7135CC" w14:textId="7CF7357D" w:rsidR="0093519E" w:rsidRPr="00E4265B" w:rsidRDefault="00553790" w:rsidP="00044C5F">
            <w:pPr>
              <w:spacing w:before="120" w:after="120"/>
              <w:jc w:val="center"/>
              <w:rPr>
                <w:rFonts w:ascii="Arial" w:hAnsi="Arial" w:cs="Arial"/>
                <w:sz w:val="22"/>
                <w:szCs w:val="22"/>
                <w:lang w:val="en-GB"/>
              </w:rPr>
            </w:pPr>
            <w:r w:rsidRPr="00E4265B">
              <w:rPr>
                <w:rFonts w:ascii="Arial" w:hAnsi="Arial" w:cs="Arial"/>
                <w:sz w:val="22"/>
                <w:szCs w:val="22"/>
                <w:lang w:val="en-GB"/>
              </w:rPr>
              <w:t>No</w:t>
            </w:r>
          </w:p>
        </w:tc>
        <w:tc>
          <w:tcPr>
            <w:tcW w:w="0" w:type="auto"/>
            <w:vAlign w:val="center"/>
          </w:tcPr>
          <w:p w14:paraId="7529A78D" w14:textId="7FE5003E" w:rsidR="0093519E" w:rsidRPr="00E4265B" w:rsidRDefault="00553790" w:rsidP="00044C5F">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5A0DC142" w14:textId="3EB9BFEB" w:rsidR="0093519E" w:rsidRPr="00E4265B" w:rsidRDefault="00553790" w:rsidP="00044C5F">
            <w:pPr>
              <w:spacing w:before="120" w:after="120"/>
              <w:jc w:val="center"/>
              <w:rPr>
                <w:rFonts w:ascii="Arial" w:hAnsi="Arial" w:cs="Arial"/>
                <w:sz w:val="22"/>
                <w:szCs w:val="22"/>
                <w:lang w:val="en-GB"/>
              </w:rPr>
            </w:pPr>
            <w:r w:rsidRPr="00E4265B">
              <w:rPr>
                <w:rFonts w:ascii="Arial" w:hAnsi="Arial" w:cs="Arial"/>
                <w:sz w:val="22"/>
                <w:szCs w:val="22"/>
                <w:lang w:val="en-GB"/>
              </w:rPr>
              <w:t>Yes</w:t>
            </w:r>
          </w:p>
        </w:tc>
      </w:tr>
      <w:tr w:rsidR="0093519E" w:rsidRPr="00E4265B" w14:paraId="70B1701C" w14:textId="77777777" w:rsidTr="00553790">
        <w:tc>
          <w:tcPr>
            <w:tcW w:w="0" w:type="auto"/>
            <w:vAlign w:val="center"/>
          </w:tcPr>
          <w:p w14:paraId="31F3A57D" w14:textId="77777777" w:rsidR="0093519E" w:rsidRPr="00E4265B" w:rsidRDefault="0093519E" w:rsidP="00D57C6C">
            <w:pPr>
              <w:spacing w:before="120" w:after="120"/>
              <w:rPr>
                <w:rFonts w:ascii="Arial" w:hAnsi="Arial" w:cs="Arial"/>
                <w:sz w:val="22"/>
                <w:szCs w:val="22"/>
                <w:lang w:val="en-GB"/>
              </w:rPr>
            </w:pPr>
            <w:r w:rsidRPr="00E4265B">
              <w:rPr>
                <w:rFonts w:ascii="Arial" w:hAnsi="Arial" w:cs="Arial"/>
                <w:sz w:val="22"/>
                <w:szCs w:val="22"/>
                <w:lang w:val="en-GB"/>
              </w:rPr>
              <w:t>Advising on Investments or Credit</w:t>
            </w:r>
          </w:p>
        </w:tc>
        <w:tc>
          <w:tcPr>
            <w:tcW w:w="0" w:type="auto"/>
            <w:vAlign w:val="center"/>
          </w:tcPr>
          <w:p w14:paraId="6B20874C" w14:textId="77777777" w:rsidR="0093519E" w:rsidRPr="00E4265B" w:rsidRDefault="0093519E" w:rsidP="00FC782C">
            <w:pPr>
              <w:spacing w:before="120" w:after="120"/>
              <w:jc w:val="center"/>
              <w:rPr>
                <w:rFonts w:ascii="Arial" w:hAnsi="Arial" w:cs="Arial"/>
                <w:sz w:val="22"/>
                <w:szCs w:val="22"/>
                <w:lang w:val="en-GB"/>
              </w:rPr>
            </w:pPr>
            <w:r w:rsidRPr="00E4265B">
              <w:rPr>
                <w:rFonts w:ascii="Arial" w:hAnsi="Arial" w:cs="Arial"/>
                <w:sz w:val="22"/>
                <w:szCs w:val="22"/>
                <w:lang w:val="en-GB"/>
              </w:rPr>
              <w:t>4</w:t>
            </w:r>
          </w:p>
        </w:tc>
        <w:tc>
          <w:tcPr>
            <w:tcW w:w="0" w:type="auto"/>
            <w:vAlign w:val="center"/>
          </w:tcPr>
          <w:p w14:paraId="59F3551C" w14:textId="57871AB2"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c>
          <w:tcPr>
            <w:tcW w:w="0" w:type="auto"/>
            <w:vAlign w:val="center"/>
          </w:tcPr>
          <w:p w14:paraId="6714FF97" w14:textId="013E698B"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2B9E3DB1" w14:textId="5437A668"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r>
      <w:tr w:rsidR="0093519E" w:rsidRPr="00E4265B" w14:paraId="4737F92C" w14:textId="77777777" w:rsidTr="00553790">
        <w:tc>
          <w:tcPr>
            <w:tcW w:w="0" w:type="auto"/>
            <w:vAlign w:val="center"/>
          </w:tcPr>
          <w:p w14:paraId="6226E6F1" w14:textId="77777777" w:rsidR="0093519E" w:rsidRPr="00E4265B" w:rsidRDefault="0093519E" w:rsidP="00FC782C">
            <w:pPr>
              <w:spacing w:before="120" w:after="120"/>
              <w:rPr>
                <w:rFonts w:ascii="Arial" w:hAnsi="Arial" w:cs="Arial"/>
                <w:sz w:val="22"/>
                <w:szCs w:val="22"/>
                <w:lang w:val="en-GB"/>
              </w:rPr>
            </w:pPr>
            <w:r w:rsidRPr="00E4265B">
              <w:rPr>
                <w:rFonts w:ascii="Arial" w:hAnsi="Arial" w:cs="Arial"/>
                <w:sz w:val="22"/>
                <w:szCs w:val="22"/>
                <w:lang w:val="en-GB"/>
              </w:rPr>
              <w:t>Arranging Custody</w:t>
            </w:r>
          </w:p>
        </w:tc>
        <w:tc>
          <w:tcPr>
            <w:tcW w:w="0" w:type="auto"/>
            <w:vAlign w:val="center"/>
          </w:tcPr>
          <w:p w14:paraId="0976A6A9" w14:textId="77777777" w:rsidR="0093519E" w:rsidRPr="00E4265B" w:rsidRDefault="0093519E" w:rsidP="00FC782C">
            <w:pPr>
              <w:spacing w:before="120" w:after="120"/>
              <w:jc w:val="center"/>
              <w:rPr>
                <w:rFonts w:ascii="Arial" w:hAnsi="Arial" w:cs="Arial"/>
                <w:sz w:val="22"/>
                <w:szCs w:val="22"/>
                <w:lang w:val="en-GB"/>
              </w:rPr>
            </w:pPr>
            <w:r w:rsidRPr="00E4265B">
              <w:rPr>
                <w:rFonts w:ascii="Arial" w:hAnsi="Arial" w:cs="Arial"/>
                <w:sz w:val="22"/>
                <w:szCs w:val="22"/>
                <w:lang w:val="en-GB"/>
              </w:rPr>
              <w:t>4</w:t>
            </w:r>
          </w:p>
        </w:tc>
        <w:tc>
          <w:tcPr>
            <w:tcW w:w="0" w:type="auto"/>
            <w:vAlign w:val="center"/>
          </w:tcPr>
          <w:p w14:paraId="27E46595" w14:textId="3271AC60"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c>
          <w:tcPr>
            <w:tcW w:w="0" w:type="auto"/>
            <w:vAlign w:val="center"/>
          </w:tcPr>
          <w:p w14:paraId="0019C3D9" w14:textId="3D20E3B3"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777B1094" w14:textId="573A384B"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r>
      <w:tr w:rsidR="0093519E" w:rsidRPr="00E4265B" w14:paraId="2C6BDF47" w14:textId="77777777" w:rsidTr="00553790">
        <w:tc>
          <w:tcPr>
            <w:tcW w:w="0" w:type="auto"/>
            <w:vAlign w:val="center"/>
          </w:tcPr>
          <w:p w14:paraId="495EFAC1" w14:textId="77777777" w:rsidR="0093519E" w:rsidRPr="00E4265B" w:rsidRDefault="0093519E" w:rsidP="00FC782C">
            <w:pPr>
              <w:spacing w:before="120" w:after="120"/>
              <w:rPr>
                <w:rFonts w:ascii="Arial" w:hAnsi="Arial" w:cs="Arial"/>
                <w:sz w:val="22"/>
                <w:szCs w:val="22"/>
                <w:lang w:val="en-GB"/>
              </w:rPr>
            </w:pPr>
            <w:r w:rsidRPr="00E4265B">
              <w:rPr>
                <w:rFonts w:ascii="Arial" w:hAnsi="Arial" w:cs="Arial"/>
                <w:sz w:val="22"/>
                <w:szCs w:val="22"/>
                <w:lang w:val="en-GB"/>
              </w:rPr>
              <w:t>Insurance Intermediation</w:t>
            </w:r>
          </w:p>
        </w:tc>
        <w:tc>
          <w:tcPr>
            <w:tcW w:w="0" w:type="auto"/>
            <w:vAlign w:val="center"/>
          </w:tcPr>
          <w:p w14:paraId="5BC69BEC" w14:textId="77777777" w:rsidR="0093519E" w:rsidRPr="00E4265B" w:rsidRDefault="0093519E" w:rsidP="00FC782C">
            <w:pPr>
              <w:spacing w:before="120" w:after="120"/>
              <w:jc w:val="center"/>
              <w:rPr>
                <w:rFonts w:ascii="Arial" w:hAnsi="Arial" w:cs="Arial"/>
                <w:sz w:val="22"/>
                <w:szCs w:val="22"/>
                <w:lang w:val="en-GB"/>
              </w:rPr>
            </w:pPr>
            <w:r w:rsidRPr="00E4265B">
              <w:rPr>
                <w:rFonts w:ascii="Arial" w:hAnsi="Arial" w:cs="Arial"/>
                <w:sz w:val="22"/>
                <w:szCs w:val="22"/>
                <w:lang w:val="en-GB"/>
              </w:rPr>
              <w:t>4</w:t>
            </w:r>
          </w:p>
        </w:tc>
        <w:tc>
          <w:tcPr>
            <w:tcW w:w="0" w:type="auto"/>
            <w:vAlign w:val="center"/>
          </w:tcPr>
          <w:p w14:paraId="6D589675" w14:textId="484819A5"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c>
          <w:tcPr>
            <w:tcW w:w="0" w:type="auto"/>
            <w:vAlign w:val="center"/>
          </w:tcPr>
          <w:p w14:paraId="7A90EBA7" w14:textId="7FF60867"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24AD6E44" w14:textId="407D46B7"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r>
      <w:tr w:rsidR="0093519E" w:rsidRPr="00E4265B" w14:paraId="5709C13D" w14:textId="77777777" w:rsidTr="00553790">
        <w:tc>
          <w:tcPr>
            <w:tcW w:w="0" w:type="auto"/>
            <w:vAlign w:val="center"/>
          </w:tcPr>
          <w:p w14:paraId="41615F97" w14:textId="77777777" w:rsidR="0093519E" w:rsidRPr="00E4265B" w:rsidRDefault="0093519E" w:rsidP="00FC782C">
            <w:pPr>
              <w:spacing w:before="120" w:after="120"/>
              <w:rPr>
                <w:rFonts w:ascii="Arial" w:hAnsi="Arial" w:cs="Arial"/>
                <w:sz w:val="22"/>
                <w:szCs w:val="22"/>
                <w:lang w:val="en-GB"/>
              </w:rPr>
            </w:pPr>
            <w:r w:rsidRPr="00E4265B">
              <w:rPr>
                <w:rFonts w:ascii="Arial" w:hAnsi="Arial" w:cs="Arial"/>
                <w:sz w:val="22"/>
                <w:szCs w:val="22"/>
                <w:lang w:val="en-GB"/>
              </w:rPr>
              <w:t>Insurance Management</w:t>
            </w:r>
          </w:p>
        </w:tc>
        <w:tc>
          <w:tcPr>
            <w:tcW w:w="0" w:type="auto"/>
            <w:vAlign w:val="center"/>
          </w:tcPr>
          <w:p w14:paraId="4F9CF18E" w14:textId="77777777" w:rsidR="0093519E" w:rsidRPr="00E4265B" w:rsidRDefault="0093519E" w:rsidP="00FC782C">
            <w:pPr>
              <w:spacing w:before="120" w:after="120"/>
              <w:jc w:val="center"/>
              <w:rPr>
                <w:rFonts w:ascii="Arial" w:hAnsi="Arial" w:cs="Arial"/>
                <w:sz w:val="22"/>
                <w:szCs w:val="22"/>
                <w:lang w:val="en-GB"/>
              </w:rPr>
            </w:pPr>
            <w:r w:rsidRPr="00E4265B">
              <w:rPr>
                <w:rFonts w:ascii="Arial" w:hAnsi="Arial" w:cs="Arial"/>
                <w:sz w:val="22"/>
                <w:szCs w:val="22"/>
                <w:lang w:val="en-GB"/>
              </w:rPr>
              <w:t>4</w:t>
            </w:r>
          </w:p>
        </w:tc>
        <w:tc>
          <w:tcPr>
            <w:tcW w:w="0" w:type="auto"/>
            <w:vAlign w:val="center"/>
          </w:tcPr>
          <w:p w14:paraId="52EBBC49" w14:textId="2CF05B20"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c>
          <w:tcPr>
            <w:tcW w:w="0" w:type="auto"/>
            <w:vAlign w:val="center"/>
          </w:tcPr>
          <w:p w14:paraId="38A32558" w14:textId="4E0889DD"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65DC7F3A" w14:textId="16B52311"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r>
      <w:tr w:rsidR="0093519E" w:rsidRPr="00E4265B" w14:paraId="1A08FBDA" w14:textId="77777777" w:rsidTr="00553790">
        <w:tc>
          <w:tcPr>
            <w:tcW w:w="0" w:type="auto"/>
            <w:vAlign w:val="center"/>
          </w:tcPr>
          <w:p w14:paraId="2C4733F4" w14:textId="77777777" w:rsidR="0093519E" w:rsidRPr="00E4265B" w:rsidRDefault="0093519E" w:rsidP="00FC782C">
            <w:pPr>
              <w:spacing w:before="120" w:after="120"/>
              <w:rPr>
                <w:rFonts w:ascii="Arial" w:hAnsi="Arial" w:cs="Arial"/>
                <w:sz w:val="22"/>
                <w:szCs w:val="22"/>
                <w:lang w:val="en-GB"/>
              </w:rPr>
            </w:pPr>
            <w:r w:rsidRPr="00E4265B">
              <w:rPr>
                <w:rFonts w:ascii="Arial" w:hAnsi="Arial" w:cs="Arial"/>
                <w:sz w:val="22"/>
                <w:szCs w:val="22"/>
                <w:lang w:val="en-GB"/>
              </w:rPr>
              <w:t>Acting as the Administrator of a Collective Investment Fund</w:t>
            </w:r>
          </w:p>
        </w:tc>
        <w:tc>
          <w:tcPr>
            <w:tcW w:w="0" w:type="auto"/>
            <w:vAlign w:val="center"/>
          </w:tcPr>
          <w:p w14:paraId="42A0D59B" w14:textId="77777777" w:rsidR="0093519E" w:rsidRPr="00E4265B" w:rsidRDefault="0093519E" w:rsidP="00FC782C">
            <w:pPr>
              <w:spacing w:before="120" w:after="120"/>
              <w:jc w:val="center"/>
              <w:rPr>
                <w:rFonts w:ascii="Arial" w:hAnsi="Arial" w:cs="Arial"/>
                <w:sz w:val="22"/>
                <w:szCs w:val="22"/>
                <w:lang w:val="en-GB"/>
              </w:rPr>
            </w:pPr>
            <w:r w:rsidRPr="00E4265B">
              <w:rPr>
                <w:rFonts w:ascii="Arial" w:hAnsi="Arial" w:cs="Arial"/>
                <w:sz w:val="22"/>
                <w:szCs w:val="22"/>
                <w:lang w:val="en-GB"/>
              </w:rPr>
              <w:t>4</w:t>
            </w:r>
          </w:p>
        </w:tc>
        <w:tc>
          <w:tcPr>
            <w:tcW w:w="0" w:type="auto"/>
            <w:vAlign w:val="center"/>
          </w:tcPr>
          <w:p w14:paraId="2F2F7D77" w14:textId="2BDB79B8"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c>
          <w:tcPr>
            <w:tcW w:w="0" w:type="auto"/>
            <w:vAlign w:val="center"/>
          </w:tcPr>
          <w:p w14:paraId="4BED161F" w14:textId="60D6C24B"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61767F92" w14:textId="5C04144A"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r>
      <w:tr w:rsidR="0093519E" w:rsidRPr="00E4265B" w14:paraId="4D48C100" w14:textId="77777777" w:rsidTr="00553790">
        <w:tc>
          <w:tcPr>
            <w:tcW w:w="0" w:type="auto"/>
            <w:vAlign w:val="center"/>
          </w:tcPr>
          <w:p w14:paraId="65B29EAE" w14:textId="77777777" w:rsidR="0093519E" w:rsidRPr="00E4265B" w:rsidRDefault="0093519E" w:rsidP="00FC782C">
            <w:pPr>
              <w:spacing w:before="120" w:after="120"/>
              <w:rPr>
                <w:rFonts w:ascii="Arial" w:hAnsi="Arial" w:cs="Arial"/>
                <w:sz w:val="22"/>
                <w:szCs w:val="22"/>
                <w:lang w:val="en-GB"/>
              </w:rPr>
            </w:pPr>
            <w:r w:rsidRPr="00E4265B">
              <w:rPr>
                <w:rFonts w:ascii="Arial" w:hAnsi="Arial" w:cs="Arial"/>
                <w:sz w:val="22"/>
                <w:szCs w:val="22"/>
                <w:lang w:val="en-GB"/>
              </w:rPr>
              <w:t>Operating a Multilateral Trading Facility or Organised Trading Facility</w:t>
            </w:r>
          </w:p>
        </w:tc>
        <w:tc>
          <w:tcPr>
            <w:tcW w:w="0" w:type="auto"/>
            <w:vAlign w:val="center"/>
          </w:tcPr>
          <w:p w14:paraId="107E53CD" w14:textId="77777777" w:rsidR="0093519E" w:rsidRPr="00E4265B" w:rsidRDefault="0093519E" w:rsidP="00FC782C">
            <w:pPr>
              <w:spacing w:before="120" w:after="120"/>
              <w:jc w:val="center"/>
              <w:rPr>
                <w:rFonts w:ascii="Arial" w:hAnsi="Arial" w:cs="Arial"/>
                <w:sz w:val="22"/>
                <w:szCs w:val="22"/>
                <w:lang w:val="en-GB"/>
              </w:rPr>
            </w:pPr>
            <w:r w:rsidRPr="00E4265B">
              <w:rPr>
                <w:rFonts w:ascii="Arial" w:hAnsi="Arial" w:cs="Arial"/>
                <w:sz w:val="22"/>
                <w:szCs w:val="22"/>
                <w:lang w:val="en-GB"/>
              </w:rPr>
              <w:t>4</w:t>
            </w:r>
          </w:p>
        </w:tc>
        <w:tc>
          <w:tcPr>
            <w:tcW w:w="0" w:type="auto"/>
            <w:vAlign w:val="center"/>
          </w:tcPr>
          <w:p w14:paraId="5961AA1A" w14:textId="36CD5086"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c>
          <w:tcPr>
            <w:tcW w:w="0" w:type="auto"/>
            <w:vAlign w:val="center"/>
          </w:tcPr>
          <w:p w14:paraId="12C77DFE" w14:textId="30C5741C"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0A3924E3" w14:textId="1445A530"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r>
      <w:tr w:rsidR="0093519E" w:rsidRPr="00E4265B" w14:paraId="2F4E7C6F" w14:textId="77777777" w:rsidTr="00553790">
        <w:tc>
          <w:tcPr>
            <w:tcW w:w="0" w:type="auto"/>
            <w:vAlign w:val="center"/>
          </w:tcPr>
          <w:p w14:paraId="7B21011A" w14:textId="77777777" w:rsidR="0093519E" w:rsidRPr="00E4265B" w:rsidRDefault="0093519E" w:rsidP="00FC782C">
            <w:pPr>
              <w:spacing w:before="120" w:after="120"/>
              <w:rPr>
                <w:rFonts w:ascii="Arial" w:hAnsi="Arial" w:cs="Arial"/>
                <w:sz w:val="22"/>
                <w:szCs w:val="22"/>
                <w:lang w:val="en-GB"/>
              </w:rPr>
            </w:pPr>
            <w:r w:rsidRPr="00E4265B">
              <w:rPr>
                <w:rFonts w:ascii="Arial" w:hAnsi="Arial" w:cs="Arial"/>
                <w:sz w:val="22"/>
                <w:szCs w:val="22"/>
                <w:lang w:val="en-GB"/>
              </w:rPr>
              <w:t>Islamic Financial Business</w:t>
            </w:r>
          </w:p>
        </w:tc>
        <w:tc>
          <w:tcPr>
            <w:tcW w:w="0" w:type="auto"/>
            <w:vAlign w:val="center"/>
          </w:tcPr>
          <w:p w14:paraId="3C34360F" w14:textId="77777777" w:rsidR="0093519E" w:rsidRPr="00E4265B" w:rsidRDefault="0093519E" w:rsidP="00FC782C">
            <w:pPr>
              <w:spacing w:before="120" w:after="120"/>
              <w:jc w:val="center"/>
              <w:rPr>
                <w:rFonts w:ascii="Arial" w:hAnsi="Arial" w:cs="Arial"/>
                <w:sz w:val="22"/>
                <w:szCs w:val="22"/>
                <w:lang w:val="en-GB"/>
              </w:rPr>
            </w:pPr>
            <w:r w:rsidRPr="00E4265B">
              <w:rPr>
                <w:rFonts w:ascii="Arial" w:hAnsi="Arial" w:cs="Arial"/>
                <w:sz w:val="22"/>
                <w:szCs w:val="22"/>
                <w:lang w:val="en-GB"/>
              </w:rPr>
              <w:t>5</w:t>
            </w:r>
          </w:p>
        </w:tc>
        <w:tc>
          <w:tcPr>
            <w:tcW w:w="0" w:type="auto"/>
            <w:vAlign w:val="center"/>
          </w:tcPr>
          <w:p w14:paraId="3A0AC1C7" w14:textId="5961B9E8"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49B8D173" w14:textId="68CD6AA9"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524800AB" w14:textId="23E5CF0B"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r>
      <w:tr w:rsidR="0093519E" w:rsidRPr="00E4265B" w14:paraId="44EEA0D0" w14:textId="77777777" w:rsidTr="00553790">
        <w:tc>
          <w:tcPr>
            <w:tcW w:w="0" w:type="auto"/>
            <w:vAlign w:val="center"/>
          </w:tcPr>
          <w:p w14:paraId="71087FC5" w14:textId="77777777" w:rsidR="0093519E" w:rsidRPr="00E4265B" w:rsidRDefault="0093519E" w:rsidP="009339DD">
            <w:pPr>
              <w:spacing w:before="120" w:after="120"/>
              <w:rPr>
                <w:rFonts w:ascii="Arial" w:hAnsi="Arial" w:cs="Arial"/>
                <w:sz w:val="22"/>
                <w:szCs w:val="22"/>
                <w:lang w:val="en-GB"/>
              </w:rPr>
            </w:pPr>
            <w:r w:rsidRPr="00E4265B">
              <w:rPr>
                <w:rFonts w:ascii="Arial" w:hAnsi="Arial" w:cs="Arial"/>
                <w:sz w:val="22"/>
                <w:szCs w:val="22"/>
                <w:lang w:val="en-GB"/>
              </w:rPr>
              <w:t>Shari’a-compliant Regulated Activities</w:t>
            </w:r>
          </w:p>
        </w:tc>
        <w:tc>
          <w:tcPr>
            <w:tcW w:w="0" w:type="auto"/>
            <w:vAlign w:val="center"/>
          </w:tcPr>
          <w:p w14:paraId="6E1A9369" w14:textId="77777777" w:rsidR="0093519E" w:rsidRPr="00E4265B" w:rsidRDefault="0093519E" w:rsidP="00FC782C">
            <w:pPr>
              <w:spacing w:before="120" w:after="120"/>
              <w:jc w:val="center"/>
              <w:rPr>
                <w:rFonts w:ascii="Arial" w:hAnsi="Arial" w:cs="Arial"/>
                <w:sz w:val="22"/>
                <w:szCs w:val="22"/>
                <w:lang w:val="en-GB"/>
              </w:rPr>
            </w:pPr>
            <w:r w:rsidRPr="00E4265B">
              <w:rPr>
                <w:rFonts w:ascii="Arial" w:hAnsi="Arial" w:cs="Arial"/>
                <w:sz w:val="22"/>
                <w:szCs w:val="22"/>
                <w:lang w:val="en-GB"/>
              </w:rPr>
              <w:t>5</w:t>
            </w:r>
          </w:p>
        </w:tc>
        <w:tc>
          <w:tcPr>
            <w:tcW w:w="0" w:type="auto"/>
            <w:vAlign w:val="center"/>
          </w:tcPr>
          <w:p w14:paraId="0C962440" w14:textId="2ED2416B"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76F95D86" w14:textId="3A021DC4"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5785D94F" w14:textId="5DB92E01"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r>
      <w:tr w:rsidR="0093519E" w:rsidRPr="00E4265B" w14:paraId="0DD16AF3" w14:textId="77777777" w:rsidTr="00553790">
        <w:tc>
          <w:tcPr>
            <w:tcW w:w="0" w:type="auto"/>
            <w:vAlign w:val="center"/>
          </w:tcPr>
          <w:p w14:paraId="119C21BC" w14:textId="77777777" w:rsidR="0093519E" w:rsidRPr="00E4265B" w:rsidRDefault="0093519E" w:rsidP="00C51AC9">
            <w:pPr>
              <w:spacing w:before="120" w:after="120"/>
              <w:rPr>
                <w:rFonts w:ascii="Arial" w:hAnsi="Arial" w:cs="Arial"/>
                <w:sz w:val="22"/>
                <w:szCs w:val="22"/>
                <w:lang w:val="en-GB"/>
              </w:rPr>
            </w:pPr>
            <w:r w:rsidRPr="00E4265B">
              <w:rPr>
                <w:rFonts w:ascii="Arial" w:hAnsi="Arial" w:cs="Arial"/>
                <w:sz w:val="22"/>
                <w:szCs w:val="22"/>
                <w:lang w:val="en-GB"/>
              </w:rPr>
              <w:t>Managing a Profit Sharing Investment Account which is a PSIAu</w:t>
            </w:r>
          </w:p>
        </w:tc>
        <w:tc>
          <w:tcPr>
            <w:tcW w:w="0" w:type="auto"/>
            <w:vAlign w:val="center"/>
          </w:tcPr>
          <w:p w14:paraId="2DC6D86E" w14:textId="77777777" w:rsidR="0093519E" w:rsidRPr="00E4265B" w:rsidRDefault="0093519E" w:rsidP="00FC782C">
            <w:pPr>
              <w:spacing w:before="120" w:after="120"/>
              <w:jc w:val="center"/>
              <w:rPr>
                <w:rFonts w:ascii="Arial" w:hAnsi="Arial" w:cs="Arial"/>
                <w:sz w:val="22"/>
                <w:szCs w:val="22"/>
                <w:lang w:val="en-GB"/>
              </w:rPr>
            </w:pPr>
            <w:r w:rsidRPr="00E4265B">
              <w:rPr>
                <w:rFonts w:ascii="Arial" w:hAnsi="Arial" w:cs="Arial"/>
                <w:sz w:val="22"/>
                <w:szCs w:val="22"/>
                <w:lang w:val="en-GB"/>
              </w:rPr>
              <w:t>5 or 1</w:t>
            </w:r>
          </w:p>
        </w:tc>
        <w:tc>
          <w:tcPr>
            <w:tcW w:w="0" w:type="auto"/>
            <w:vAlign w:val="center"/>
          </w:tcPr>
          <w:p w14:paraId="4069B11A" w14:textId="78D0B57D"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31BC14AD" w14:textId="2676B599"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Yes</w:t>
            </w:r>
          </w:p>
        </w:tc>
        <w:tc>
          <w:tcPr>
            <w:tcW w:w="0" w:type="auto"/>
            <w:vAlign w:val="center"/>
          </w:tcPr>
          <w:p w14:paraId="17720FB6" w14:textId="7C7EF6AE" w:rsidR="0093519E" w:rsidRPr="00E4265B" w:rsidRDefault="00553790" w:rsidP="00FC782C">
            <w:pPr>
              <w:spacing w:before="120" w:after="120"/>
              <w:jc w:val="center"/>
              <w:rPr>
                <w:rFonts w:ascii="Arial" w:hAnsi="Arial" w:cs="Arial"/>
                <w:sz w:val="22"/>
                <w:szCs w:val="22"/>
                <w:lang w:val="en-GB"/>
              </w:rPr>
            </w:pPr>
            <w:r w:rsidRPr="00E4265B">
              <w:rPr>
                <w:rFonts w:ascii="Arial" w:hAnsi="Arial" w:cs="Arial"/>
                <w:sz w:val="22"/>
                <w:szCs w:val="22"/>
                <w:lang w:val="en-GB"/>
              </w:rPr>
              <w:t>No</w:t>
            </w:r>
          </w:p>
        </w:tc>
      </w:tr>
    </w:tbl>
    <w:p w14:paraId="360097BD" w14:textId="77777777" w:rsidR="00E22FF2" w:rsidRPr="00E4265B" w:rsidRDefault="00E22FF2" w:rsidP="00A25113">
      <w:pPr>
        <w:rPr>
          <w:rFonts w:ascii="Arial" w:hAnsi="Arial" w:cs="Arial"/>
          <w:sz w:val="22"/>
          <w:szCs w:val="22"/>
          <w:lang w:val="en-GB"/>
        </w:rPr>
      </w:pPr>
    </w:p>
    <w:p w14:paraId="4FC9EE9F" w14:textId="77777777" w:rsidR="00E22FF2" w:rsidRPr="00E4265B" w:rsidRDefault="008E10A0" w:rsidP="00770DE0">
      <w:pPr>
        <w:pStyle w:val="UK12Title2"/>
        <w:rPr>
          <w:rFonts w:ascii="Arial" w:hAnsi="Arial" w:cs="Arial"/>
          <w:sz w:val="22"/>
          <w:szCs w:val="22"/>
        </w:rPr>
      </w:pPr>
      <w:bookmarkStart w:id="999" w:name="_Toc33622506"/>
      <w:r w:rsidRPr="00E4265B">
        <w:rPr>
          <w:rFonts w:ascii="Arial" w:hAnsi="Arial" w:cs="Arial"/>
          <w:sz w:val="22"/>
          <w:szCs w:val="22"/>
        </w:rPr>
        <w:t>A7</w:t>
      </w:r>
      <w:r w:rsidR="00E22FF2" w:rsidRPr="00E4265B">
        <w:rPr>
          <w:rFonts w:ascii="Arial" w:hAnsi="Arial" w:cs="Arial"/>
          <w:sz w:val="22"/>
          <w:szCs w:val="22"/>
        </w:rPr>
        <w:t>.1</w:t>
      </w:r>
      <w:r w:rsidR="00E22FF2" w:rsidRPr="00E4265B">
        <w:rPr>
          <w:rFonts w:ascii="Arial" w:hAnsi="Arial" w:cs="Arial"/>
          <w:sz w:val="22"/>
          <w:szCs w:val="22"/>
        </w:rPr>
        <w:tab/>
        <w:t>Basic Indicator Approach</w:t>
      </w:r>
      <w:bookmarkEnd w:id="999"/>
    </w:p>
    <w:p w14:paraId="10D4361C" w14:textId="7C00C123" w:rsidR="00E22FF2" w:rsidRPr="00E4265B" w:rsidRDefault="00E22FF2" w:rsidP="00615A2F">
      <w:pPr>
        <w:pStyle w:val="List2TabStops"/>
        <w:tabs>
          <w:tab w:val="clear" w:pos="1791"/>
          <w:tab w:val="left" w:pos="1843"/>
          <w:tab w:val="left" w:pos="2410"/>
        </w:tabs>
        <w:ind w:left="2977" w:hanging="2977"/>
        <w:rPr>
          <w:rFonts w:ascii="Arial" w:hAnsi="Arial" w:cs="Arial"/>
          <w:sz w:val="22"/>
          <w:szCs w:val="22"/>
          <w:lang w:val="en-GB"/>
        </w:rPr>
      </w:pPr>
      <w:r w:rsidRPr="00E4265B">
        <w:rPr>
          <w:rFonts w:ascii="Arial" w:hAnsi="Arial" w:cs="Arial"/>
          <w:b/>
          <w:bCs/>
          <w:sz w:val="22"/>
          <w:szCs w:val="22"/>
          <w:lang w:val="en-GB"/>
        </w:rPr>
        <w:t>A</w:t>
      </w:r>
      <w:r w:rsidR="003F6206" w:rsidRPr="00E4265B">
        <w:rPr>
          <w:rFonts w:ascii="Arial" w:hAnsi="Arial" w:cs="Arial"/>
          <w:b/>
          <w:bCs/>
          <w:sz w:val="22"/>
          <w:szCs w:val="22"/>
          <w:lang w:val="en-GB"/>
        </w:rPr>
        <w:t>7</w:t>
      </w:r>
      <w:r w:rsidRPr="00E4265B">
        <w:rPr>
          <w:rFonts w:ascii="Arial" w:hAnsi="Arial" w:cs="Arial"/>
          <w:b/>
          <w:bCs/>
          <w:sz w:val="22"/>
          <w:szCs w:val="22"/>
          <w:lang w:val="en-GB"/>
        </w:rPr>
        <w:t>.1.1</w:t>
      </w:r>
      <w:r w:rsidRPr="00E4265B">
        <w:rPr>
          <w:rFonts w:ascii="Arial" w:hAnsi="Arial" w:cs="Arial"/>
          <w:sz w:val="22"/>
          <w:szCs w:val="22"/>
          <w:lang w:val="en-GB"/>
        </w:rPr>
        <w:tab/>
        <w:t>(1)</w:t>
      </w:r>
      <w:r w:rsidRPr="00E4265B">
        <w:rPr>
          <w:rFonts w:ascii="Arial" w:hAnsi="Arial" w:cs="Arial"/>
          <w:sz w:val="22"/>
          <w:szCs w:val="22"/>
          <w:lang w:val="en-GB"/>
        </w:rPr>
        <w:tab/>
      </w:r>
      <w:r w:rsidR="00615A2F" w:rsidRPr="00E4265B">
        <w:rPr>
          <w:rFonts w:ascii="Arial" w:hAnsi="Arial" w:cs="Arial"/>
          <w:sz w:val="22"/>
          <w:szCs w:val="22"/>
          <w:lang w:val="en-GB"/>
        </w:rPr>
        <w:t>(a)</w:t>
      </w:r>
      <w:r w:rsidR="00615A2F" w:rsidRPr="00E4265B">
        <w:rPr>
          <w:rFonts w:ascii="Arial" w:hAnsi="Arial" w:cs="Arial"/>
          <w:sz w:val="22"/>
          <w:szCs w:val="22"/>
          <w:lang w:val="en-GB"/>
        </w:rPr>
        <w:tab/>
        <w:t>(i)</w:t>
      </w:r>
      <w:r w:rsidR="00615A2F" w:rsidRPr="00E4265B">
        <w:rPr>
          <w:rFonts w:ascii="Arial" w:hAnsi="Arial" w:cs="Arial"/>
          <w:sz w:val="22"/>
          <w:szCs w:val="22"/>
          <w:lang w:val="en-GB"/>
        </w:rPr>
        <w:tab/>
      </w:r>
      <w:r w:rsidRPr="00E4265B">
        <w:rPr>
          <w:rFonts w:ascii="Arial" w:hAnsi="Arial" w:cs="Arial"/>
          <w:sz w:val="22"/>
          <w:szCs w:val="22"/>
          <w:lang w:val="en-GB"/>
        </w:rPr>
        <w:t xml:space="preserve">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uses the Basic Indicator Approach must calculate its Operational Risk Capital Requirement equal to the average over the previous three years of a fixed percentage (denoted </w:t>
      </w:r>
      <w:r w:rsidR="00615A2F" w:rsidRPr="00E4265B">
        <w:rPr>
          <w:rFonts w:ascii="Arial" w:hAnsi="Arial" w:cs="Arial"/>
          <w:sz w:val="22"/>
          <w:szCs w:val="22"/>
          <w:lang w:val="en-GB"/>
        </w:rPr>
        <w:t xml:space="preserve">by </w:t>
      </w:r>
      <w:r w:rsidRPr="00E4265B">
        <w:rPr>
          <w:rFonts w:ascii="Arial" w:hAnsi="Arial" w:cs="Arial"/>
          <w:sz w:val="22"/>
          <w:szCs w:val="22"/>
          <w:lang w:val="en-GB"/>
        </w:rPr>
        <w:t>alpha) of positive annual gross income.</w:t>
      </w:r>
    </w:p>
    <w:p w14:paraId="6146F811" w14:textId="77777777" w:rsidR="004364B8" w:rsidRPr="00E4265B" w:rsidRDefault="004364B8" w:rsidP="004364B8">
      <w:pPr>
        <w:pStyle w:val="List2TabStops"/>
        <w:tabs>
          <w:tab w:val="clear" w:pos="936"/>
          <w:tab w:val="clear" w:pos="1791"/>
          <w:tab w:val="left" w:pos="2268"/>
        </w:tabs>
        <w:ind w:left="2977" w:hanging="567"/>
        <w:rPr>
          <w:rFonts w:ascii="Arial" w:hAnsi="Arial" w:cs="Arial"/>
          <w:color w:val="000000" w:themeColor="text1"/>
          <w:sz w:val="22"/>
          <w:szCs w:val="22"/>
          <w:lang w:val="en-GB"/>
        </w:rPr>
      </w:pPr>
      <w:r w:rsidRPr="00E4265B">
        <w:rPr>
          <w:rFonts w:ascii="Arial" w:hAnsi="Arial" w:cs="Arial"/>
          <w:color w:val="000000" w:themeColor="text1"/>
          <w:sz w:val="22"/>
          <w:szCs w:val="22"/>
          <w:lang w:val="en-GB"/>
        </w:rPr>
        <w:lastRenderedPageBreak/>
        <w:t>(ii)</w:t>
      </w:r>
      <w:r w:rsidRPr="00E4265B">
        <w:rPr>
          <w:rFonts w:ascii="Arial" w:hAnsi="Arial" w:cs="Arial"/>
          <w:color w:val="000000" w:themeColor="text1"/>
          <w:sz w:val="22"/>
          <w:szCs w:val="22"/>
          <w:lang w:val="en-GB"/>
        </w:rPr>
        <w:tab/>
        <w:t>For any year that annual gross income is zero or negative, that year must be excluded from both the numerator and the denominator in the calculation.</w:t>
      </w:r>
    </w:p>
    <w:p w14:paraId="7AA79AC9" w14:textId="77777777" w:rsidR="004364B8" w:rsidRPr="00E4265B" w:rsidRDefault="004364B8" w:rsidP="004364B8">
      <w:pPr>
        <w:pStyle w:val="List2TabStops"/>
        <w:tabs>
          <w:tab w:val="clear" w:pos="1791"/>
          <w:tab w:val="left" w:pos="2410"/>
        </w:tabs>
        <w:ind w:left="2977" w:hanging="1134"/>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w:t>
      </w:r>
      <w:r w:rsidRPr="00E4265B">
        <w:rPr>
          <w:rFonts w:ascii="Arial" w:hAnsi="Arial" w:cs="Arial"/>
          <w:sz w:val="22"/>
          <w:szCs w:val="22"/>
          <w:lang w:val="en-GB"/>
        </w:rPr>
        <w:tab/>
        <w:t>Where an Authorised Person does not have sufficient data to meet the three-year requirement in (a) it must use its forecast annual gross income projections for that part of the three year time period for which it does not have sufficient historical data.</w:t>
      </w:r>
    </w:p>
    <w:p w14:paraId="0AE9FF78" w14:textId="77777777" w:rsidR="004364B8" w:rsidRPr="00E4265B" w:rsidRDefault="004364B8" w:rsidP="004364B8">
      <w:pPr>
        <w:pStyle w:val="List2TabStops"/>
        <w:tabs>
          <w:tab w:val="clear" w:pos="1791"/>
          <w:tab w:val="left" w:pos="1418"/>
          <w:tab w:val="left" w:pos="2410"/>
        </w:tabs>
        <w:ind w:left="2977" w:hanging="567"/>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The Authorised Person must start using historical data as soon as it is available.</w:t>
      </w:r>
    </w:p>
    <w:p w14:paraId="382C9CA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In (1), if the figure for annual gross income in any of the previous three years is zero or negative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exclude such amounts from the calculation of the average.</w:t>
      </w:r>
    </w:p>
    <w:p w14:paraId="22835DC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The Operational Risk Capital Requirement in (1) must be calculated according to the following formula:</w:t>
      </w:r>
    </w:p>
    <w:p w14:paraId="24B19FB1" w14:textId="10D91F51" w:rsidR="00E22FF2" w:rsidRPr="00E4265B" w:rsidRDefault="00E22FF2" w:rsidP="008B1700">
      <w:pPr>
        <w:pStyle w:val="1List"/>
        <w:jc w:val="center"/>
        <w:rPr>
          <w:rFonts w:ascii="Arial" w:hAnsi="Arial" w:cs="Arial"/>
          <w:i/>
          <w:iCs/>
          <w:sz w:val="22"/>
          <w:szCs w:val="22"/>
          <w:lang w:val="en-GB"/>
        </w:rPr>
      </w:pPr>
      <w:r w:rsidRPr="00E4265B">
        <w:rPr>
          <w:rFonts w:ascii="Arial" w:hAnsi="Arial" w:cs="Arial"/>
          <w:i/>
          <w:iCs/>
          <w:sz w:val="22"/>
          <w:szCs w:val="22"/>
          <w:lang w:val="en-GB"/>
        </w:rPr>
        <w:t>K</w:t>
      </w:r>
      <w:r w:rsidRPr="00E4265B">
        <w:rPr>
          <w:rFonts w:ascii="Arial" w:hAnsi="Arial" w:cs="Arial"/>
          <w:i/>
          <w:iCs/>
          <w:smallCaps/>
          <w:sz w:val="22"/>
          <w:szCs w:val="22"/>
          <w:vertAlign w:val="subscript"/>
          <w:lang w:val="en-GB"/>
        </w:rPr>
        <w:t>bia</w:t>
      </w:r>
      <w:r w:rsidRPr="00E4265B">
        <w:rPr>
          <w:rFonts w:ascii="Arial" w:hAnsi="Arial" w:cs="Arial"/>
          <w:i/>
          <w:iCs/>
          <w:sz w:val="22"/>
          <w:szCs w:val="22"/>
          <w:lang w:val="en-GB"/>
        </w:rPr>
        <w:t xml:space="preserve"> </w:t>
      </w:r>
      <w:r w:rsidR="007230D9" w:rsidRPr="00E4265B">
        <w:rPr>
          <w:rFonts w:ascii="Arial" w:hAnsi="Arial" w:cs="Arial"/>
          <w:i/>
          <w:iCs/>
          <w:sz w:val="22"/>
          <w:szCs w:val="22"/>
          <w:lang w:val="en-GB"/>
        </w:rPr>
        <w:t>= [Ʃ(</w:t>
      </w:r>
      <w:r w:rsidRPr="00E4265B">
        <w:rPr>
          <w:rFonts w:ascii="Arial" w:hAnsi="Arial" w:cs="Arial"/>
          <w:i/>
          <w:iCs/>
          <w:sz w:val="22"/>
          <w:szCs w:val="22"/>
          <w:lang w:val="en-GB"/>
        </w:rPr>
        <w:t>GI</w:t>
      </w:r>
      <w:r w:rsidRPr="00E4265B">
        <w:rPr>
          <w:rFonts w:ascii="Arial" w:hAnsi="Arial" w:cs="Arial"/>
          <w:i/>
          <w:iCs/>
          <w:sz w:val="22"/>
          <w:szCs w:val="22"/>
          <w:vertAlign w:val="subscript"/>
          <w:lang w:val="en-GB"/>
        </w:rPr>
        <w:t>1</w:t>
      </w:r>
      <w:r w:rsidRPr="00E4265B">
        <w:rPr>
          <w:rFonts w:ascii="Arial" w:hAnsi="Arial" w:cs="Arial"/>
          <w:i/>
          <w:iCs/>
          <w:sz w:val="22"/>
          <w:szCs w:val="22"/>
          <w:lang w:val="en-GB"/>
        </w:rPr>
        <w:t xml:space="preserve">… n </w:t>
      </w:r>
      <w:r w:rsidR="008B1700" w:rsidRPr="00E4265B">
        <w:rPr>
          <w:rFonts w:ascii="Arial" w:hAnsi="Arial" w:cs="Arial"/>
          <w:i/>
          <w:iCs/>
          <w:sz w:val="22"/>
          <w:szCs w:val="22"/>
          <w:lang w:val="en-GB"/>
        </w:rPr>
        <w:t>*</w:t>
      </w:r>
      <w:r w:rsidRPr="00E4265B">
        <w:rPr>
          <w:rFonts w:ascii="Arial" w:hAnsi="Arial" w:cs="Arial"/>
          <w:i/>
          <w:iCs/>
          <w:sz w:val="22"/>
          <w:szCs w:val="22"/>
          <w:lang w:val="en-GB"/>
        </w:rPr>
        <w:t xml:space="preserve"> α)] / n</w:t>
      </w:r>
    </w:p>
    <w:p w14:paraId="4D48219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where:</w:t>
      </w:r>
    </w:p>
    <w:p w14:paraId="633C9077" w14:textId="77777777"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K</w:t>
      </w:r>
      <w:r w:rsidRPr="00E4265B">
        <w:rPr>
          <w:rFonts w:ascii="Arial" w:hAnsi="Arial" w:cs="Arial"/>
          <w:i/>
          <w:iCs/>
          <w:smallCaps/>
          <w:sz w:val="22"/>
          <w:szCs w:val="22"/>
          <w:vertAlign w:val="subscript"/>
          <w:lang w:val="en-GB"/>
        </w:rPr>
        <w:t>bia</w:t>
      </w:r>
      <w:r w:rsidRPr="00E4265B">
        <w:rPr>
          <w:rFonts w:ascii="Arial" w:hAnsi="Arial" w:cs="Arial"/>
          <w:sz w:val="22"/>
          <w:szCs w:val="22"/>
          <w:lang w:val="en-GB"/>
        </w:rPr>
        <w:t xml:space="preserve"> =</w:t>
      </w:r>
      <w:r w:rsidRPr="00E4265B">
        <w:rPr>
          <w:rFonts w:ascii="Arial" w:hAnsi="Arial" w:cs="Arial"/>
          <w:sz w:val="22"/>
          <w:szCs w:val="22"/>
          <w:lang w:val="en-GB"/>
        </w:rPr>
        <w:tab/>
        <w:t>the Operational Risk Capital Requirement under the Basic Indicator Approach</w:t>
      </w:r>
    </w:p>
    <w:p w14:paraId="257F0870" w14:textId="77777777"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GI</w:t>
      </w:r>
      <w:r w:rsidRPr="00E4265B">
        <w:rPr>
          <w:rFonts w:ascii="Arial" w:hAnsi="Arial" w:cs="Arial"/>
          <w:sz w:val="22"/>
          <w:szCs w:val="22"/>
          <w:lang w:val="en-GB"/>
        </w:rPr>
        <w:t xml:space="preserve"> =</w:t>
      </w:r>
      <w:r w:rsidRPr="00E4265B">
        <w:rPr>
          <w:rFonts w:ascii="Arial" w:hAnsi="Arial" w:cs="Arial"/>
          <w:sz w:val="22"/>
          <w:szCs w:val="22"/>
          <w:lang w:val="en-GB"/>
        </w:rPr>
        <w:tab/>
        <w:t>the gross annual income, where positive, over the previous three years</w:t>
      </w:r>
    </w:p>
    <w:p w14:paraId="1573770C" w14:textId="77777777"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n</w:t>
      </w:r>
      <w:r w:rsidRPr="00E4265B">
        <w:rPr>
          <w:rFonts w:ascii="Arial" w:hAnsi="Arial" w:cs="Arial"/>
          <w:sz w:val="22"/>
          <w:szCs w:val="22"/>
          <w:lang w:val="en-GB"/>
        </w:rPr>
        <w:t xml:space="preserve"> =</w:t>
      </w:r>
      <w:r w:rsidRPr="00E4265B">
        <w:rPr>
          <w:rFonts w:ascii="Arial" w:hAnsi="Arial" w:cs="Arial"/>
          <w:sz w:val="22"/>
          <w:szCs w:val="22"/>
          <w:lang w:val="en-GB"/>
        </w:rPr>
        <w:tab/>
        <w:t>number of the previous three years for which gross income is positive</w:t>
      </w:r>
    </w:p>
    <w:p w14:paraId="09AAD058" w14:textId="77777777"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α</w:t>
      </w:r>
      <w:r w:rsidRPr="00E4265B">
        <w:rPr>
          <w:rFonts w:ascii="Arial" w:hAnsi="Arial" w:cs="Arial"/>
          <w:sz w:val="22"/>
          <w:szCs w:val="22"/>
          <w:lang w:val="en-GB"/>
        </w:rPr>
        <w:t xml:space="preserve"> =</w:t>
      </w:r>
      <w:r w:rsidRPr="00E4265B">
        <w:rPr>
          <w:rFonts w:ascii="Arial" w:hAnsi="Arial" w:cs="Arial"/>
          <w:sz w:val="22"/>
          <w:szCs w:val="22"/>
          <w:lang w:val="en-GB"/>
        </w:rPr>
        <w:tab/>
        <w:t>15%,</w:t>
      </w:r>
    </w:p>
    <w:p w14:paraId="7907704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For the purpose of (1), "gross income" is net interest income plus net non</w:t>
      </w:r>
      <w:r w:rsidRPr="00E4265B">
        <w:rPr>
          <w:rFonts w:ascii="Arial" w:hAnsi="Arial" w:cs="Arial"/>
          <w:sz w:val="22"/>
          <w:szCs w:val="22"/>
          <w:lang w:val="en-GB"/>
        </w:rPr>
        <w:noBreakHyphen/>
        <w:t>interest income and must:</w:t>
      </w:r>
    </w:p>
    <w:p w14:paraId="2D6BF385" w14:textId="77777777" w:rsidR="00E22FF2" w:rsidRPr="00E4265B" w:rsidRDefault="00E22FF2" w:rsidP="003C4A0E">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be gross of any provisions (e.g. for unpaid interest);</w:t>
      </w:r>
    </w:p>
    <w:p w14:paraId="2169FBFA" w14:textId="77777777" w:rsidR="00E22FF2" w:rsidRPr="00E4265B" w:rsidRDefault="00E22FF2" w:rsidP="003C4A0E">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be gross of operating expenses, including fees paid to outsourcing service providers;</w:t>
      </w:r>
    </w:p>
    <w:p w14:paraId="79F4644F" w14:textId="77777777" w:rsidR="00E22FF2" w:rsidRPr="00E4265B" w:rsidRDefault="00E22FF2" w:rsidP="003C4A0E">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 xml:space="preserve">exclude realised profits/losses from the sale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in the Non</w:t>
      </w:r>
      <w:r w:rsidRPr="00E4265B">
        <w:rPr>
          <w:rFonts w:ascii="Arial" w:hAnsi="Arial" w:cs="Arial"/>
          <w:sz w:val="22"/>
          <w:szCs w:val="22"/>
          <w:lang w:val="en-GB"/>
        </w:rPr>
        <w:noBreakHyphen/>
        <w:t>Trading Book; and</w:t>
      </w:r>
    </w:p>
    <w:p w14:paraId="2FB91746" w14:textId="77777777" w:rsidR="00E22FF2" w:rsidRPr="00E4265B" w:rsidRDefault="00E22FF2" w:rsidP="003C4A0E">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exclude extraordinary or irregular items as well as income derived from insurance recoveries.</w:t>
      </w:r>
    </w:p>
    <w:p w14:paraId="6ABE938C" w14:textId="77777777" w:rsidR="00E22FF2" w:rsidRPr="00E4265B" w:rsidRDefault="00E22FF2" w:rsidP="003C4A0E">
      <w:pPr>
        <w:pStyle w:val="TitleL5"/>
        <w:rPr>
          <w:rFonts w:ascii="Arial" w:hAnsi="Arial" w:cs="Arial"/>
          <w:sz w:val="22"/>
          <w:szCs w:val="22"/>
          <w:lang w:val="en-GB"/>
        </w:rPr>
      </w:pPr>
      <w:r w:rsidRPr="00E4265B">
        <w:rPr>
          <w:rFonts w:ascii="Arial" w:hAnsi="Arial" w:cs="Arial"/>
          <w:sz w:val="22"/>
          <w:szCs w:val="22"/>
          <w:lang w:val="en-GB"/>
        </w:rPr>
        <w:t>Guidance</w:t>
      </w:r>
    </w:p>
    <w:p w14:paraId="2C2F47C3" w14:textId="4F245909" w:rsidR="00E22FF2" w:rsidRPr="00E4265B" w:rsidRDefault="003F6206" w:rsidP="004364B8">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In </w:t>
      </w:r>
      <w:r w:rsidR="00E22FF2" w:rsidRPr="00E4265B">
        <w:rPr>
          <w:rFonts w:ascii="Arial" w:hAnsi="Arial" w:cs="Arial"/>
          <w:sz w:val="22"/>
          <w:szCs w:val="22"/>
          <w:lang w:val="en-GB"/>
        </w:rPr>
        <w:t>(</w:t>
      </w:r>
      <w:r w:rsidR="004364B8" w:rsidRPr="00E4265B">
        <w:rPr>
          <w:rFonts w:ascii="Arial" w:hAnsi="Arial" w:cs="Arial"/>
          <w:sz w:val="22"/>
          <w:szCs w:val="22"/>
          <w:lang w:val="en-GB"/>
        </w:rPr>
        <w:t>a</w:t>
      </w:r>
      <w:r w:rsidR="00E22FF2" w:rsidRPr="00E4265B">
        <w:rPr>
          <w:rFonts w:ascii="Arial" w:hAnsi="Arial" w:cs="Arial"/>
          <w:sz w:val="22"/>
          <w:szCs w:val="22"/>
          <w:lang w:val="en-GB"/>
        </w:rPr>
        <w:t>), the three</w:t>
      </w:r>
      <w:r w:rsidR="004364B8" w:rsidRPr="00E4265B">
        <w:rPr>
          <w:rFonts w:ascii="Arial" w:hAnsi="Arial" w:cs="Arial"/>
          <w:sz w:val="22"/>
          <w:szCs w:val="22"/>
          <w:lang w:val="en-GB"/>
        </w:rPr>
        <w:t>-</w:t>
      </w:r>
      <w:r w:rsidR="00E22FF2" w:rsidRPr="00E4265B">
        <w:rPr>
          <w:rFonts w:ascii="Arial" w:hAnsi="Arial" w:cs="Arial"/>
          <w:sz w:val="22"/>
          <w:szCs w:val="22"/>
          <w:lang w:val="en-GB"/>
        </w:rPr>
        <w:t xml:space="preserve">year average should be calculated on the basis of the last three yearly observations at the end of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's financial year. When audited figures are not available, business estimates may be used.</w:t>
      </w:r>
    </w:p>
    <w:p w14:paraId="2CE0DEE1" w14:textId="1E88FDBC" w:rsidR="00E22FF2" w:rsidRPr="00E4265B" w:rsidRDefault="00E22FF2" w:rsidP="004364B8">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r>
      <w:r w:rsidR="004364B8" w:rsidRPr="00E4265B">
        <w:rPr>
          <w:rFonts w:ascii="Arial" w:hAnsi="Arial" w:cs="Arial"/>
          <w:sz w:val="22"/>
          <w:szCs w:val="22"/>
          <w:lang w:val="en-GB"/>
        </w:rPr>
        <w:t xml:space="preserve">As an example of the approach to be used for (a)(ii), </w:t>
      </w:r>
      <w:r w:rsidRPr="00E4265B">
        <w:rPr>
          <w:rFonts w:ascii="Arial" w:hAnsi="Arial" w:cs="Arial"/>
          <w:sz w:val="22"/>
          <w:szCs w:val="22"/>
          <w:lang w:val="en-GB"/>
        </w:rPr>
        <w:t xml:space="preserve">if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two positive yearly gross incomes of </w:t>
      </w:r>
      <w:r w:rsidR="000204FF" w:rsidRPr="00E4265B">
        <w:rPr>
          <w:rFonts w:ascii="Arial" w:hAnsi="Arial" w:cs="Arial"/>
          <w:sz w:val="22"/>
          <w:szCs w:val="22"/>
          <w:lang w:val="en-GB"/>
        </w:rPr>
        <w:t>$</w:t>
      </w:r>
      <w:r w:rsidRPr="00E4265B">
        <w:rPr>
          <w:rFonts w:ascii="Arial" w:hAnsi="Arial" w:cs="Arial"/>
          <w:sz w:val="22"/>
          <w:szCs w:val="22"/>
          <w:lang w:val="en-GB"/>
        </w:rPr>
        <w:t xml:space="preserve">20 each and the final yearly </w:t>
      </w:r>
      <w:r w:rsidRPr="00E4265B">
        <w:rPr>
          <w:rFonts w:ascii="Arial" w:hAnsi="Arial" w:cs="Arial"/>
          <w:sz w:val="22"/>
          <w:szCs w:val="22"/>
          <w:lang w:val="en-GB"/>
        </w:rPr>
        <w:lastRenderedPageBreak/>
        <w:t xml:space="preserve">observation shows a negative figure of </w:t>
      </w:r>
      <w:r w:rsidR="000204FF" w:rsidRPr="00E4265B">
        <w:rPr>
          <w:rFonts w:ascii="Arial" w:hAnsi="Arial" w:cs="Arial"/>
          <w:sz w:val="22"/>
          <w:szCs w:val="22"/>
          <w:lang w:val="en-GB"/>
        </w:rPr>
        <w:t>$</w:t>
      </w:r>
      <w:r w:rsidRPr="00E4265B">
        <w:rPr>
          <w:rFonts w:ascii="Arial" w:hAnsi="Arial" w:cs="Arial"/>
          <w:sz w:val="22"/>
          <w:szCs w:val="22"/>
          <w:lang w:val="en-GB"/>
        </w:rPr>
        <w:t xml:space="preserve">5, then the average should be calculated as </w:t>
      </w:r>
      <w:r w:rsidR="000204FF" w:rsidRPr="00E4265B">
        <w:rPr>
          <w:rFonts w:ascii="Arial" w:hAnsi="Arial" w:cs="Arial"/>
          <w:sz w:val="22"/>
          <w:szCs w:val="22"/>
          <w:lang w:val="en-GB"/>
        </w:rPr>
        <w:t>$</w:t>
      </w:r>
      <w:r w:rsidRPr="00E4265B">
        <w:rPr>
          <w:rFonts w:ascii="Arial" w:hAnsi="Arial" w:cs="Arial"/>
          <w:sz w:val="22"/>
          <w:szCs w:val="22"/>
          <w:lang w:val="en-GB"/>
        </w:rPr>
        <w:t xml:space="preserve">20 being </w:t>
      </w:r>
      <w:r w:rsidR="000204FF" w:rsidRPr="00E4265B">
        <w:rPr>
          <w:rFonts w:ascii="Arial" w:hAnsi="Arial" w:cs="Arial"/>
          <w:sz w:val="22"/>
          <w:szCs w:val="22"/>
          <w:lang w:val="en-GB"/>
        </w:rPr>
        <w:t>$</w:t>
      </w:r>
      <w:r w:rsidRPr="00E4265B">
        <w:rPr>
          <w:rFonts w:ascii="Arial" w:hAnsi="Arial" w:cs="Arial"/>
          <w:sz w:val="22"/>
          <w:szCs w:val="22"/>
          <w:lang w:val="en-GB"/>
        </w:rPr>
        <w:t>40 (</w:t>
      </w:r>
      <w:r w:rsidR="004364B8" w:rsidRPr="00E4265B">
        <w:rPr>
          <w:rFonts w:ascii="Arial" w:hAnsi="Arial" w:cs="Arial"/>
          <w:sz w:val="22"/>
          <w:szCs w:val="22"/>
          <w:lang w:val="en-GB"/>
        </w:rPr>
        <w:t xml:space="preserve">the </w:t>
      </w:r>
      <w:r w:rsidRPr="00E4265B">
        <w:rPr>
          <w:rFonts w:ascii="Arial" w:hAnsi="Arial" w:cs="Arial"/>
          <w:sz w:val="22"/>
          <w:szCs w:val="22"/>
          <w:lang w:val="en-GB"/>
        </w:rPr>
        <w:t xml:space="preserve">sum of </w:t>
      </w:r>
      <w:r w:rsidR="004364B8" w:rsidRPr="00E4265B">
        <w:rPr>
          <w:rFonts w:ascii="Arial" w:hAnsi="Arial" w:cs="Arial"/>
          <w:sz w:val="22"/>
          <w:szCs w:val="22"/>
          <w:lang w:val="en-GB"/>
        </w:rPr>
        <w:t xml:space="preserve">the </w:t>
      </w:r>
      <w:r w:rsidRPr="00E4265B">
        <w:rPr>
          <w:rFonts w:ascii="Arial" w:hAnsi="Arial" w:cs="Arial"/>
          <w:sz w:val="22"/>
          <w:szCs w:val="22"/>
          <w:lang w:val="en-GB"/>
        </w:rPr>
        <w:t>positive figures) divided by 2 (</w:t>
      </w:r>
      <w:r w:rsidR="004364B8" w:rsidRPr="00E4265B">
        <w:rPr>
          <w:rFonts w:ascii="Arial" w:hAnsi="Arial" w:cs="Arial"/>
          <w:sz w:val="22"/>
          <w:szCs w:val="22"/>
          <w:lang w:val="en-GB"/>
        </w:rPr>
        <w:t xml:space="preserve">the </w:t>
      </w:r>
      <w:r w:rsidRPr="00E4265B">
        <w:rPr>
          <w:rFonts w:ascii="Arial" w:hAnsi="Arial" w:cs="Arial"/>
          <w:sz w:val="22"/>
          <w:szCs w:val="22"/>
          <w:lang w:val="en-GB"/>
        </w:rPr>
        <w:t xml:space="preserve">number of years for which </w:t>
      </w:r>
      <w:r w:rsidR="004364B8" w:rsidRPr="00E4265B">
        <w:rPr>
          <w:rFonts w:ascii="Arial" w:hAnsi="Arial" w:cs="Arial"/>
          <w:sz w:val="22"/>
          <w:szCs w:val="22"/>
          <w:lang w:val="en-GB"/>
        </w:rPr>
        <w:t>the</w:t>
      </w:r>
      <w:r w:rsidRPr="00E4265B">
        <w:rPr>
          <w:rFonts w:ascii="Arial" w:hAnsi="Arial" w:cs="Arial"/>
          <w:sz w:val="22"/>
          <w:szCs w:val="22"/>
          <w:lang w:val="en-GB"/>
        </w:rPr>
        <w:t xml:space="preserve"> figures are </w:t>
      </w:r>
      <w:r w:rsidR="004364B8" w:rsidRPr="00E4265B">
        <w:rPr>
          <w:rFonts w:ascii="Arial" w:hAnsi="Arial" w:cs="Arial"/>
          <w:sz w:val="22"/>
          <w:szCs w:val="22"/>
          <w:lang w:val="en-GB"/>
        </w:rPr>
        <w:t>positive</w:t>
      </w:r>
      <w:r w:rsidRPr="00E4265B">
        <w:rPr>
          <w:rFonts w:ascii="Arial" w:hAnsi="Arial" w:cs="Arial"/>
          <w:sz w:val="22"/>
          <w:szCs w:val="22"/>
          <w:lang w:val="en-GB"/>
        </w:rPr>
        <w:t>).</w:t>
      </w:r>
    </w:p>
    <w:p w14:paraId="575949F6" w14:textId="77777777" w:rsidR="004364B8" w:rsidRPr="00E4265B" w:rsidRDefault="003F6206" w:rsidP="00520DD3">
      <w:pPr>
        <w:pStyle w:val="1List"/>
        <w:rPr>
          <w:rFonts w:ascii="Arial" w:hAnsi="Arial" w:cs="Arial"/>
          <w:sz w:val="22"/>
          <w:szCs w:val="22"/>
          <w:u w:val="single"/>
          <w:lang w:val="en-GB"/>
        </w:rPr>
      </w:pPr>
      <w:r w:rsidRPr="00E4265B">
        <w:rPr>
          <w:rFonts w:ascii="Arial" w:hAnsi="Arial" w:cs="Arial"/>
          <w:sz w:val="22"/>
          <w:szCs w:val="22"/>
          <w:lang w:val="en-GB"/>
        </w:rPr>
        <w:t>3.</w:t>
      </w:r>
      <w:r w:rsidRPr="00E4265B">
        <w:rPr>
          <w:rFonts w:ascii="Arial" w:hAnsi="Arial" w:cs="Arial"/>
          <w:sz w:val="22"/>
          <w:szCs w:val="22"/>
          <w:lang w:val="en-GB"/>
        </w:rPr>
        <w:tab/>
      </w:r>
      <w:r w:rsidR="004364B8" w:rsidRPr="00E4265B">
        <w:rPr>
          <w:rFonts w:ascii="Arial" w:hAnsi="Arial" w:cs="Arial"/>
          <w:sz w:val="22"/>
          <w:szCs w:val="22"/>
          <w:lang w:val="en-GB"/>
        </w:rPr>
        <w:t>The circumstances in (b) may arise, for example, where an Authorised Person is a start-up, is part of a merger or it acquires or divests itself of a significant business unit.</w:t>
      </w:r>
    </w:p>
    <w:p w14:paraId="49D32BD0" w14:textId="1F5400FD" w:rsidR="00E22FF2" w:rsidRPr="00E4265B" w:rsidRDefault="004364B8" w:rsidP="00520DD3">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r>
      <w:r w:rsidR="003F6206" w:rsidRPr="00E4265B">
        <w:rPr>
          <w:rFonts w:ascii="Arial" w:hAnsi="Arial" w:cs="Arial"/>
          <w:sz w:val="22"/>
          <w:szCs w:val="22"/>
          <w:lang w:val="en-GB"/>
        </w:rPr>
        <w:t>Net interest income in A7</w:t>
      </w:r>
      <w:r w:rsidR="00E22FF2" w:rsidRPr="00E4265B">
        <w:rPr>
          <w:rFonts w:ascii="Arial" w:hAnsi="Arial" w:cs="Arial"/>
          <w:sz w:val="22"/>
          <w:szCs w:val="22"/>
          <w:lang w:val="en-GB"/>
        </w:rPr>
        <w:t>.1.1(4) is the interest income minus interest expense. Guidance on what constitutes interest income and interest expense can be found in the PRU rules.</w:t>
      </w:r>
    </w:p>
    <w:p w14:paraId="4544AEBE" w14:textId="7B766F9A" w:rsidR="00E22FF2" w:rsidRPr="00E4265B" w:rsidRDefault="004364B8" w:rsidP="00520DD3">
      <w:pPr>
        <w:pStyle w:val="1List"/>
        <w:rPr>
          <w:rFonts w:ascii="Arial" w:hAnsi="Arial" w:cs="Arial"/>
          <w:sz w:val="22"/>
          <w:szCs w:val="22"/>
          <w:lang w:val="en-GB"/>
        </w:rPr>
      </w:pPr>
      <w:r w:rsidRPr="00E4265B">
        <w:rPr>
          <w:rFonts w:ascii="Arial" w:hAnsi="Arial" w:cs="Arial"/>
          <w:sz w:val="22"/>
          <w:szCs w:val="22"/>
          <w:lang w:val="en-GB"/>
        </w:rPr>
        <w:t>5</w:t>
      </w:r>
      <w:r w:rsidR="003F6206" w:rsidRPr="00E4265B">
        <w:rPr>
          <w:rFonts w:ascii="Arial" w:hAnsi="Arial" w:cs="Arial"/>
          <w:sz w:val="22"/>
          <w:szCs w:val="22"/>
          <w:lang w:val="en-GB"/>
        </w:rPr>
        <w:t>.</w:t>
      </w:r>
      <w:r w:rsidR="003F6206" w:rsidRPr="00E4265B">
        <w:rPr>
          <w:rFonts w:ascii="Arial" w:hAnsi="Arial" w:cs="Arial"/>
          <w:sz w:val="22"/>
          <w:szCs w:val="22"/>
          <w:lang w:val="en-GB"/>
        </w:rPr>
        <w:tab/>
        <w:t>Net non</w:t>
      </w:r>
      <w:r w:rsidR="003F6206" w:rsidRPr="00E4265B">
        <w:rPr>
          <w:rFonts w:ascii="Arial" w:hAnsi="Arial" w:cs="Arial"/>
          <w:sz w:val="22"/>
          <w:szCs w:val="22"/>
          <w:lang w:val="en-GB"/>
        </w:rPr>
        <w:noBreakHyphen/>
        <w:t>interest income in A7</w:t>
      </w:r>
      <w:r w:rsidR="00E22FF2" w:rsidRPr="00E4265B">
        <w:rPr>
          <w:rFonts w:ascii="Arial" w:hAnsi="Arial" w:cs="Arial"/>
          <w:sz w:val="22"/>
          <w:szCs w:val="22"/>
          <w:lang w:val="en-GB"/>
        </w:rPr>
        <w:t xml:space="preserve">.1.1(4) includes the income from fees and commissions, net income from trading </w:t>
      </w:r>
      <w:r w:rsidR="00877CEA" w:rsidRPr="00E4265B">
        <w:rPr>
          <w:rFonts w:ascii="Arial" w:hAnsi="Arial" w:cs="Arial"/>
          <w:sz w:val="22"/>
          <w:szCs w:val="22"/>
          <w:lang w:val="en-GB"/>
        </w:rPr>
        <w:t>Securities</w:t>
      </w:r>
      <w:r w:rsidR="00834CCE" w:rsidRPr="00E4265B">
        <w:rPr>
          <w:rFonts w:ascii="Arial" w:hAnsi="Arial" w:cs="Arial"/>
          <w:sz w:val="22"/>
          <w:szCs w:val="22"/>
          <w:lang w:val="en-GB"/>
        </w:rPr>
        <w:t>, net income from I</w:t>
      </w:r>
      <w:r w:rsidR="00E22FF2" w:rsidRPr="00E4265B">
        <w:rPr>
          <w:rFonts w:ascii="Arial" w:hAnsi="Arial" w:cs="Arial"/>
          <w:sz w:val="22"/>
          <w:szCs w:val="22"/>
          <w:lang w:val="en-GB"/>
        </w:rPr>
        <w:t xml:space="preserve">nvestment </w:t>
      </w:r>
      <w:r w:rsidR="00877CEA" w:rsidRPr="00E4265B">
        <w:rPr>
          <w:rFonts w:ascii="Arial" w:hAnsi="Arial" w:cs="Arial"/>
          <w:sz w:val="22"/>
          <w:szCs w:val="22"/>
          <w:lang w:val="en-GB"/>
        </w:rPr>
        <w:t>Securities</w:t>
      </w:r>
      <w:r w:rsidR="00E22FF2" w:rsidRPr="00E4265B">
        <w:rPr>
          <w:rFonts w:ascii="Arial" w:hAnsi="Arial" w:cs="Arial"/>
          <w:sz w:val="22"/>
          <w:szCs w:val="22"/>
          <w:lang w:val="en-GB"/>
        </w:rPr>
        <w:t>, income from Islamic Contracts and other operating income minus fee and commission expense. Guidance on non</w:t>
      </w:r>
      <w:r w:rsidR="00E22FF2" w:rsidRPr="00E4265B">
        <w:rPr>
          <w:rFonts w:ascii="Arial" w:hAnsi="Arial" w:cs="Arial"/>
          <w:sz w:val="22"/>
          <w:szCs w:val="22"/>
          <w:lang w:val="en-GB"/>
        </w:rPr>
        <w:noBreakHyphen/>
        <w:t>interest income can be found in the PRU rules.</w:t>
      </w:r>
    </w:p>
    <w:p w14:paraId="76F0833D" w14:textId="5450D44F" w:rsidR="00E22FF2" w:rsidRPr="00E4265B" w:rsidRDefault="004364B8" w:rsidP="00520DD3">
      <w:pPr>
        <w:pStyle w:val="1List"/>
        <w:rPr>
          <w:rFonts w:ascii="Arial" w:hAnsi="Arial" w:cs="Arial"/>
          <w:sz w:val="22"/>
          <w:szCs w:val="22"/>
          <w:lang w:val="en-GB"/>
        </w:rPr>
      </w:pPr>
      <w:r w:rsidRPr="00E4265B">
        <w:rPr>
          <w:rFonts w:ascii="Arial" w:hAnsi="Arial" w:cs="Arial"/>
          <w:sz w:val="22"/>
          <w:szCs w:val="22"/>
          <w:lang w:val="en-GB"/>
        </w:rPr>
        <w:t>6</w:t>
      </w:r>
      <w:r w:rsidR="003F6206" w:rsidRPr="00E4265B">
        <w:rPr>
          <w:rFonts w:ascii="Arial" w:hAnsi="Arial" w:cs="Arial"/>
          <w:sz w:val="22"/>
          <w:szCs w:val="22"/>
          <w:lang w:val="en-GB"/>
        </w:rPr>
        <w:t>.</w:t>
      </w:r>
      <w:r w:rsidR="003F6206" w:rsidRPr="00E4265B">
        <w:rPr>
          <w:rFonts w:ascii="Arial" w:hAnsi="Arial" w:cs="Arial"/>
          <w:sz w:val="22"/>
          <w:szCs w:val="22"/>
          <w:lang w:val="en-GB"/>
        </w:rPr>
        <w:tab/>
        <w:t>In A7</w:t>
      </w:r>
      <w:r w:rsidR="00E22FF2" w:rsidRPr="00E4265B">
        <w:rPr>
          <w:rFonts w:ascii="Arial" w:hAnsi="Arial" w:cs="Arial"/>
          <w:sz w:val="22"/>
          <w:szCs w:val="22"/>
          <w:lang w:val="en-GB"/>
        </w:rPr>
        <w:t xml:space="preserve">.1.1(4)(ii), outsourcing fees paid by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should be excluded whereas any outsourcing fee received by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should be included as part of the gross income.</w:t>
      </w:r>
    </w:p>
    <w:p w14:paraId="03E7C1A9" w14:textId="59CA7419" w:rsidR="00E22FF2" w:rsidRPr="00E4265B" w:rsidRDefault="004364B8" w:rsidP="00520DD3">
      <w:pPr>
        <w:pStyle w:val="1List"/>
        <w:rPr>
          <w:rFonts w:ascii="Arial" w:hAnsi="Arial" w:cs="Arial"/>
          <w:sz w:val="22"/>
          <w:szCs w:val="22"/>
          <w:lang w:val="en-GB"/>
        </w:rPr>
      </w:pPr>
      <w:r w:rsidRPr="00E4265B">
        <w:rPr>
          <w:rFonts w:ascii="Arial" w:hAnsi="Arial" w:cs="Arial"/>
          <w:sz w:val="22"/>
          <w:szCs w:val="22"/>
          <w:lang w:val="en-GB"/>
        </w:rPr>
        <w:t>7</w:t>
      </w:r>
      <w:r w:rsidR="00E22FF2" w:rsidRPr="00E4265B">
        <w:rPr>
          <w:rFonts w:ascii="Arial" w:hAnsi="Arial" w:cs="Arial"/>
          <w:sz w:val="22"/>
          <w:szCs w:val="22"/>
          <w:lang w:val="en-GB"/>
        </w:rPr>
        <w:t>.</w:t>
      </w:r>
      <w:r w:rsidR="00E22FF2" w:rsidRPr="00E4265B">
        <w:rPr>
          <w:rFonts w:ascii="Arial" w:hAnsi="Arial" w:cs="Arial"/>
          <w:sz w:val="22"/>
          <w:szCs w:val="22"/>
          <w:lang w:val="en-GB"/>
        </w:rPr>
        <w:tab/>
        <w:t>When income from revaluation of trading items is included in the income statement, such revaluation income should be included in the calculation of the gross income.</w:t>
      </w:r>
    </w:p>
    <w:p w14:paraId="6CFD25AB" w14:textId="77777777" w:rsidR="00E22FF2" w:rsidRPr="00E4265B" w:rsidRDefault="003F6206" w:rsidP="00770DE0">
      <w:pPr>
        <w:pStyle w:val="UK12Title2"/>
        <w:rPr>
          <w:rFonts w:ascii="Arial" w:hAnsi="Arial" w:cs="Arial"/>
          <w:sz w:val="22"/>
          <w:szCs w:val="22"/>
        </w:rPr>
      </w:pPr>
      <w:bookmarkStart w:id="1000" w:name="_Toc33622507"/>
      <w:r w:rsidRPr="00E4265B">
        <w:rPr>
          <w:rFonts w:ascii="Arial" w:hAnsi="Arial" w:cs="Arial"/>
          <w:sz w:val="22"/>
          <w:szCs w:val="22"/>
        </w:rPr>
        <w:t>A7</w:t>
      </w:r>
      <w:r w:rsidR="00E22FF2" w:rsidRPr="00E4265B">
        <w:rPr>
          <w:rFonts w:ascii="Arial" w:hAnsi="Arial" w:cs="Arial"/>
          <w:sz w:val="22"/>
          <w:szCs w:val="22"/>
        </w:rPr>
        <w:t>.2</w:t>
      </w:r>
      <w:r w:rsidR="00E22FF2" w:rsidRPr="00E4265B">
        <w:rPr>
          <w:rFonts w:ascii="Arial" w:hAnsi="Arial" w:cs="Arial"/>
          <w:sz w:val="22"/>
          <w:szCs w:val="22"/>
        </w:rPr>
        <w:tab/>
        <w:t>Standardised Approach</w:t>
      </w:r>
      <w:bookmarkEnd w:id="1000"/>
    </w:p>
    <w:p w14:paraId="469AF094" w14:textId="4159C817" w:rsidR="00E22FF2" w:rsidRPr="00E4265B" w:rsidRDefault="003F6206" w:rsidP="00742AC6">
      <w:pPr>
        <w:pStyle w:val="A1List"/>
        <w:rPr>
          <w:rFonts w:ascii="Arial" w:hAnsi="Arial" w:cs="Arial"/>
          <w:sz w:val="22"/>
          <w:szCs w:val="22"/>
          <w:lang w:val="en-GB"/>
        </w:rPr>
      </w:pPr>
      <w:r w:rsidRPr="00E4265B">
        <w:rPr>
          <w:rFonts w:ascii="Arial" w:hAnsi="Arial" w:cs="Arial"/>
          <w:b/>
          <w:bCs/>
          <w:sz w:val="22"/>
          <w:szCs w:val="22"/>
          <w:lang w:val="en-GB"/>
        </w:rPr>
        <w:t>A7</w:t>
      </w:r>
      <w:r w:rsidR="00E22FF2" w:rsidRPr="00E4265B">
        <w:rPr>
          <w:rFonts w:ascii="Arial" w:hAnsi="Arial" w:cs="Arial"/>
          <w:b/>
          <w:bCs/>
          <w:sz w:val="22"/>
          <w:szCs w:val="22"/>
          <w:lang w:val="en-GB"/>
        </w:rPr>
        <w:t>.2.1</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 xml:space="preserve">An </w:t>
      </w:r>
      <w:r w:rsidR="00363CED" w:rsidRPr="00E4265B">
        <w:rPr>
          <w:rFonts w:ascii="Arial" w:hAnsi="Arial" w:cs="Arial"/>
          <w:sz w:val="22"/>
          <w:szCs w:val="22"/>
          <w:lang w:val="en-GB"/>
        </w:rPr>
        <w:t>Authorised Person which</w:t>
      </w:r>
      <w:r w:rsidR="00E22FF2" w:rsidRPr="00E4265B">
        <w:rPr>
          <w:rFonts w:ascii="Arial" w:hAnsi="Arial" w:cs="Arial"/>
          <w:sz w:val="22"/>
          <w:szCs w:val="22"/>
          <w:lang w:val="en-GB"/>
        </w:rPr>
        <w:t xml:space="preserve"> uses the Standardised Approach:</w:t>
      </w:r>
    </w:p>
    <w:p w14:paraId="410C477D" w14:textId="2808F11F" w:rsidR="00E22FF2" w:rsidRPr="00E4265B" w:rsidRDefault="00E22FF2" w:rsidP="00CD413B">
      <w:pPr>
        <w:pStyle w:val="1List"/>
        <w:tabs>
          <w:tab w:val="left" w:pos="1701"/>
        </w:tabs>
        <w:ind w:left="2268" w:hanging="1275"/>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r>
      <w:r w:rsidR="00CD413B" w:rsidRPr="00E4265B">
        <w:rPr>
          <w:rFonts w:ascii="Arial" w:hAnsi="Arial" w:cs="Arial"/>
          <w:sz w:val="22"/>
          <w:szCs w:val="22"/>
          <w:lang w:val="en-GB"/>
        </w:rPr>
        <w:t>(i)</w:t>
      </w:r>
      <w:r w:rsidR="00CD413B" w:rsidRPr="00E4265B">
        <w:rPr>
          <w:rFonts w:ascii="Arial" w:hAnsi="Arial" w:cs="Arial"/>
          <w:sz w:val="22"/>
          <w:szCs w:val="22"/>
          <w:lang w:val="en-GB"/>
        </w:rPr>
        <w:tab/>
        <w:t xml:space="preserve">subject to (b), </w:t>
      </w:r>
      <w:r w:rsidRPr="00E4265B">
        <w:rPr>
          <w:rFonts w:ascii="Arial" w:hAnsi="Arial" w:cs="Arial"/>
          <w:sz w:val="22"/>
          <w:szCs w:val="22"/>
          <w:lang w:val="en-GB"/>
        </w:rPr>
        <w:t xml:space="preserve">must calculate its Operational Risk Capital Requirement </w:t>
      </w:r>
      <w:r w:rsidR="00CD413B" w:rsidRPr="00E4265B">
        <w:rPr>
          <w:rFonts w:ascii="Arial" w:hAnsi="Arial" w:cs="Arial"/>
          <w:sz w:val="22"/>
          <w:szCs w:val="22"/>
          <w:lang w:val="en-GB"/>
        </w:rPr>
        <w:t>in accordance with Rule A7.2.2</w:t>
      </w:r>
      <w:r w:rsidRPr="00E4265B">
        <w:rPr>
          <w:rFonts w:ascii="Arial" w:hAnsi="Arial" w:cs="Arial"/>
          <w:sz w:val="22"/>
          <w:szCs w:val="22"/>
          <w:lang w:val="en-GB"/>
        </w:rPr>
        <w:t>;</w:t>
      </w:r>
    </w:p>
    <w:p w14:paraId="147D2B1F" w14:textId="77777777" w:rsidR="004D619A" w:rsidRPr="00E4265B" w:rsidRDefault="004D619A" w:rsidP="004D619A">
      <w:pPr>
        <w:pStyle w:val="1List"/>
        <w:tabs>
          <w:tab w:val="left" w:pos="2268"/>
        </w:tabs>
        <w:ind w:left="2268" w:hanging="567"/>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where an Authorised Person does not have sufficient data to meet the three-year requirement in (i) it must use its forecast annual gross income projections for that part of the three year time period for which it does not have sufficient historical data, and must start using historical data as soon as it is available;</w:t>
      </w:r>
    </w:p>
    <w:p w14:paraId="0F1F6B91" w14:textId="7E44B814" w:rsidR="00E22FF2" w:rsidRPr="00E4265B" w:rsidRDefault="00E22FF2" w:rsidP="004D619A">
      <w:pPr>
        <w:pStyle w:val="1List"/>
        <w:tabs>
          <w:tab w:val="left" w:pos="1701"/>
        </w:tabs>
        <w:ind w:left="2268" w:hanging="1275"/>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r>
      <w:r w:rsidR="004D619A" w:rsidRPr="00E4265B">
        <w:rPr>
          <w:rFonts w:ascii="Arial" w:hAnsi="Arial" w:cs="Arial"/>
          <w:sz w:val="22"/>
          <w:szCs w:val="22"/>
          <w:lang w:val="en-GB"/>
        </w:rPr>
        <w:t>(i)</w:t>
      </w:r>
      <w:r w:rsidR="004D619A" w:rsidRPr="00E4265B">
        <w:rPr>
          <w:rFonts w:ascii="Arial" w:hAnsi="Arial" w:cs="Arial"/>
          <w:sz w:val="22"/>
          <w:szCs w:val="22"/>
          <w:lang w:val="en-GB"/>
        </w:rPr>
        <w:tab/>
      </w:r>
      <w:r w:rsidRPr="00E4265B">
        <w:rPr>
          <w:rFonts w:ascii="Arial" w:hAnsi="Arial" w:cs="Arial"/>
          <w:sz w:val="22"/>
          <w:szCs w:val="22"/>
          <w:lang w:val="en-GB"/>
        </w:rPr>
        <w:t>subject to (</w:t>
      </w:r>
      <w:r w:rsidR="004D619A" w:rsidRPr="00E4265B">
        <w:rPr>
          <w:rFonts w:ascii="Arial" w:hAnsi="Arial" w:cs="Arial"/>
          <w:sz w:val="22"/>
          <w:szCs w:val="22"/>
          <w:lang w:val="en-GB"/>
        </w:rPr>
        <w:t>ii</w:t>
      </w:r>
      <w:r w:rsidRPr="00E4265B">
        <w:rPr>
          <w:rFonts w:ascii="Arial" w:hAnsi="Arial" w:cs="Arial"/>
          <w:sz w:val="22"/>
          <w:szCs w:val="22"/>
          <w:lang w:val="en-GB"/>
        </w:rPr>
        <w:t>), may in any given year offset negative gross income</w:t>
      </w:r>
      <w:r w:rsidR="004D619A" w:rsidRPr="00E4265B">
        <w:rPr>
          <w:rFonts w:ascii="Arial" w:hAnsi="Arial" w:cs="Arial"/>
          <w:sz w:val="22"/>
          <w:szCs w:val="22"/>
          <w:lang w:val="en-GB"/>
        </w:rPr>
        <w:t xml:space="preserve"> </w:t>
      </w:r>
      <w:r w:rsidRPr="00E4265B">
        <w:rPr>
          <w:rFonts w:ascii="Arial" w:hAnsi="Arial" w:cs="Arial"/>
          <w:sz w:val="22"/>
          <w:szCs w:val="22"/>
          <w:lang w:val="en-GB"/>
        </w:rPr>
        <w:t xml:space="preserve">in any business line against positive </w:t>
      </w:r>
      <w:r w:rsidR="004D619A" w:rsidRPr="00E4265B">
        <w:rPr>
          <w:rFonts w:ascii="Arial" w:hAnsi="Arial" w:cs="Arial"/>
          <w:sz w:val="22"/>
          <w:szCs w:val="22"/>
          <w:lang w:val="en-GB"/>
        </w:rPr>
        <w:t>gross income</w:t>
      </w:r>
      <w:r w:rsidRPr="00E4265B">
        <w:rPr>
          <w:rFonts w:ascii="Arial" w:hAnsi="Arial" w:cs="Arial"/>
          <w:sz w:val="22"/>
          <w:szCs w:val="22"/>
          <w:lang w:val="en-GB"/>
        </w:rPr>
        <w:t xml:space="preserve"> in other business lines without limit; and</w:t>
      </w:r>
    </w:p>
    <w:p w14:paraId="436E5565" w14:textId="7C065708" w:rsidR="00E22FF2" w:rsidRPr="00E4265B" w:rsidRDefault="004D619A" w:rsidP="004D619A">
      <w:pPr>
        <w:pStyle w:val="1List"/>
        <w:ind w:left="2268" w:hanging="567"/>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r>
      <w:r w:rsidR="00E22FF2" w:rsidRPr="00E4265B">
        <w:rPr>
          <w:rFonts w:ascii="Arial" w:hAnsi="Arial" w:cs="Arial"/>
          <w:sz w:val="22"/>
          <w:szCs w:val="22"/>
          <w:lang w:val="en-GB"/>
        </w:rPr>
        <w:t xml:space="preserve">must input to the numerator a value of zero if the aggregate </w:t>
      </w:r>
      <w:r w:rsidRPr="00E4265B">
        <w:rPr>
          <w:rFonts w:ascii="Arial" w:hAnsi="Arial" w:cs="Arial"/>
          <w:sz w:val="22"/>
          <w:szCs w:val="22"/>
          <w:lang w:val="en-GB"/>
        </w:rPr>
        <w:t xml:space="preserve">annual gross income </w:t>
      </w:r>
      <w:r w:rsidR="00E22FF2" w:rsidRPr="00E4265B">
        <w:rPr>
          <w:rFonts w:ascii="Arial" w:hAnsi="Arial" w:cs="Arial"/>
          <w:sz w:val="22"/>
          <w:szCs w:val="22"/>
          <w:lang w:val="en-GB"/>
        </w:rPr>
        <w:t>across all business lines within a given year is negative.</w:t>
      </w:r>
    </w:p>
    <w:p w14:paraId="7ACED49C" w14:textId="6CEC554F" w:rsidR="00E22FF2" w:rsidRPr="00E4265B" w:rsidRDefault="003F6206" w:rsidP="003C4A0E">
      <w:pPr>
        <w:pStyle w:val="A1List"/>
        <w:rPr>
          <w:rFonts w:ascii="Arial" w:hAnsi="Arial" w:cs="Arial"/>
          <w:sz w:val="22"/>
          <w:szCs w:val="22"/>
          <w:lang w:val="en-GB"/>
        </w:rPr>
      </w:pPr>
      <w:r w:rsidRPr="00E4265B">
        <w:rPr>
          <w:rFonts w:ascii="Arial" w:hAnsi="Arial" w:cs="Arial"/>
          <w:b/>
          <w:bCs/>
          <w:sz w:val="22"/>
          <w:szCs w:val="22"/>
          <w:lang w:val="en-GB"/>
        </w:rPr>
        <w:t>A7</w:t>
      </w:r>
      <w:r w:rsidR="00E22FF2" w:rsidRPr="00E4265B">
        <w:rPr>
          <w:rFonts w:ascii="Arial" w:hAnsi="Arial" w:cs="Arial"/>
          <w:b/>
          <w:bCs/>
          <w:sz w:val="22"/>
          <w:szCs w:val="22"/>
          <w:lang w:val="en-GB"/>
        </w:rPr>
        <w:t>.2.2</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 xml:space="preserve">An </w:t>
      </w:r>
      <w:r w:rsidR="00363CED" w:rsidRPr="00E4265B">
        <w:rPr>
          <w:rFonts w:ascii="Arial" w:hAnsi="Arial" w:cs="Arial"/>
          <w:sz w:val="22"/>
          <w:szCs w:val="22"/>
          <w:lang w:val="en-GB"/>
        </w:rPr>
        <w:t>Authorised Person which</w:t>
      </w:r>
      <w:r w:rsidR="00E22FF2" w:rsidRPr="00E4265B">
        <w:rPr>
          <w:rFonts w:ascii="Arial" w:hAnsi="Arial" w:cs="Arial"/>
          <w:sz w:val="22"/>
          <w:szCs w:val="22"/>
          <w:lang w:val="en-GB"/>
        </w:rPr>
        <w:t xml:space="preserve"> uses the Standardised Approach must calculate its Operational Risk Capital Requirement</w:t>
      </w:r>
      <w:r w:rsidR="004D619A" w:rsidRPr="00E4265B">
        <w:rPr>
          <w:rFonts w:ascii="Arial" w:hAnsi="Arial" w:cs="Arial"/>
          <w:color w:val="000000" w:themeColor="text1"/>
          <w:sz w:val="22"/>
          <w:szCs w:val="22"/>
          <w:lang w:val="en-GB"/>
        </w:rPr>
        <w:t>,</w:t>
      </w:r>
      <w:r w:rsidR="004D619A" w:rsidRPr="00E4265B">
        <w:rPr>
          <w:rFonts w:ascii="Arial" w:hAnsi="Arial" w:cs="Arial"/>
          <w:i/>
          <w:iCs/>
          <w:color w:val="000000" w:themeColor="text1"/>
          <w:sz w:val="22"/>
          <w:szCs w:val="22"/>
          <w:lang w:val="en-GB"/>
        </w:rPr>
        <w:t xml:space="preserve"> K</w:t>
      </w:r>
      <w:r w:rsidR="004D619A" w:rsidRPr="00E4265B">
        <w:rPr>
          <w:rFonts w:ascii="Arial" w:hAnsi="Arial" w:cs="Arial"/>
          <w:i/>
          <w:iCs/>
          <w:smallCaps/>
          <w:color w:val="000000" w:themeColor="text1"/>
          <w:sz w:val="22"/>
          <w:szCs w:val="22"/>
          <w:vertAlign w:val="subscript"/>
          <w:lang w:val="en-GB"/>
        </w:rPr>
        <w:t>sa</w:t>
      </w:r>
      <w:r w:rsidR="004D619A" w:rsidRPr="00E4265B">
        <w:rPr>
          <w:rFonts w:ascii="Arial" w:hAnsi="Arial" w:cs="Arial"/>
          <w:color w:val="000000" w:themeColor="text1"/>
          <w:sz w:val="22"/>
          <w:szCs w:val="22"/>
          <w:lang w:val="en-GB"/>
        </w:rPr>
        <w:t>,</w:t>
      </w:r>
      <w:r w:rsidR="00E22FF2" w:rsidRPr="00E4265B">
        <w:rPr>
          <w:rFonts w:ascii="Arial" w:hAnsi="Arial" w:cs="Arial"/>
          <w:sz w:val="22"/>
          <w:szCs w:val="22"/>
          <w:lang w:val="en-GB"/>
        </w:rPr>
        <w:t xml:space="preserve"> according to the following formula:</w:t>
      </w:r>
    </w:p>
    <w:p w14:paraId="6BBF6B77" w14:textId="1AA3D0E7" w:rsidR="00E22FF2" w:rsidRPr="00E4265B" w:rsidRDefault="00E22FF2" w:rsidP="008B1700">
      <w:pPr>
        <w:pStyle w:val="1List"/>
        <w:jc w:val="center"/>
        <w:rPr>
          <w:rFonts w:ascii="Arial" w:hAnsi="Arial" w:cs="Arial"/>
          <w:i/>
          <w:iCs/>
          <w:sz w:val="22"/>
          <w:szCs w:val="22"/>
          <w:lang w:val="en-GB"/>
        </w:rPr>
      </w:pPr>
      <w:r w:rsidRPr="00E4265B">
        <w:rPr>
          <w:rFonts w:ascii="Arial" w:hAnsi="Arial" w:cs="Arial"/>
          <w:i/>
          <w:iCs/>
          <w:sz w:val="22"/>
          <w:szCs w:val="22"/>
          <w:lang w:val="en-GB"/>
        </w:rPr>
        <w:t>K</w:t>
      </w:r>
      <w:r w:rsidRPr="00E4265B">
        <w:rPr>
          <w:rFonts w:ascii="Arial" w:hAnsi="Arial" w:cs="Arial"/>
          <w:i/>
          <w:iCs/>
          <w:smallCaps/>
          <w:sz w:val="22"/>
          <w:szCs w:val="22"/>
          <w:vertAlign w:val="subscript"/>
          <w:lang w:val="en-GB"/>
        </w:rPr>
        <w:t>sa</w:t>
      </w:r>
      <w:r w:rsidRPr="00E4265B">
        <w:rPr>
          <w:rFonts w:ascii="Arial" w:hAnsi="Arial" w:cs="Arial"/>
          <w:i/>
          <w:iCs/>
          <w:smallCaps/>
          <w:sz w:val="22"/>
          <w:szCs w:val="22"/>
          <w:lang w:val="en-GB"/>
        </w:rPr>
        <w:t xml:space="preserve"> = {</w:t>
      </w:r>
      <w:r w:rsidRPr="00E4265B">
        <w:rPr>
          <w:rFonts w:ascii="Arial" w:hAnsi="Arial" w:cs="Arial"/>
          <w:i/>
          <w:iCs/>
          <w:sz w:val="22"/>
          <w:szCs w:val="22"/>
          <w:lang w:val="en-GB"/>
        </w:rPr>
        <w:t>Ʃ years</w:t>
      </w:r>
      <w:r w:rsidRPr="00E4265B">
        <w:rPr>
          <w:rFonts w:ascii="Arial" w:hAnsi="Arial" w:cs="Arial"/>
          <w:i/>
          <w:iCs/>
          <w:sz w:val="22"/>
          <w:szCs w:val="22"/>
          <w:vertAlign w:val="subscript"/>
          <w:lang w:val="en-GB"/>
        </w:rPr>
        <w:t xml:space="preserve"> 1</w:t>
      </w:r>
      <w:r w:rsidRPr="00E4265B">
        <w:rPr>
          <w:rFonts w:ascii="Arial" w:hAnsi="Arial" w:cs="Arial"/>
          <w:i/>
          <w:iCs/>
          <w:sz w:val="22"/>
          <w:szCs w:val="22"/>
          <w:vertAlign w:val="subscript"/>
          <w:lang w:val="en-GB"/>
        </w:rPr>
        <w:noBreakHyphen/>
        <w:t>3 </w:t>
      </w:r>
      <w:r w:rsidR="008B1700" w:rsidRPr="00E4265B">
        <w:rPr>
          <w:rFonts w:ascii="Arial" w:hAnsi="Arial" w:cs="Arial"/>
          <w:i/>
          <w:iCs/>
          <w:sz w:val="22"/>
          <w:szCs w:val="22"/>
          <w:lang w:val="en-GB"/>
        </w:rPr>
        <w:t>max[Ʃ (GI</w:t>
      </w:r>
      <w:r w:rsidR="008B1700" w:rsidRPr="00E4265B">
        <w:rPr>
          <w:rFonts w:ascii="Arial" w:hAnsi="Arial" w:cs="Arial"/>
          <w:i/>
          <w:iCs/>
          <w:sz w:val="22"/>
          <w:szCs w:val="22"/>
          <w:vertAlign w:val="subscript"/>
          <w:lang w:val="en-GB"/>
        </w:rPr>
        <w:t>1</w:t>
      </w:r>
      <w:r w:rsidR="008B1700" w:rsidRPr="00E4265B">
        <w:rPr>
          <w:rFonts w:ascii="Arial" w:hAnsi="Arial" w:cs="Arial"/>
          <w:i/>
          <w:iCs/>
          <w:sz w:val="22"/>
          <w:szCs w:val="22"/>
          <w:vertAlign w:val="subscript"/>
          <w:lang w:val="en-GB"/>
        </w:rPr>
        <w:noBreakHyphen/>
        <w:t>8</w:t>
      </w:r>
      <w:r w:rsidR="008B1700" w:rsidRPr="00E4265B">
        <w:rPr>
          <w:rFonts w:ascii="Arial" w:hAnsi="Arial" w:cs="Arial"/>
          <w:i/>
          <w:iCs/>
          <w:sz w:val="22"/>
          <w:szCs w:val="22"/>
          <w:lang w:val="en-GB"/>
        </w:rPr>
        <w:t xml:space="preserve"> *</w:t>
      </w:r>
      <w:r w:rsidRPr="00E4265B">
        <w:rPr>
          <w:rFonts w:ascii="Arial" w:hAnsi="Arial" w:cs="Arial"/>
          <w:i/>
          <w:iCs/>
          <w:sz w:val="22"/>
          <w:szCs w:val="22"/>
          <w:lang w:val="en-GB"/>
        </w:rPr>
        <w:t xml:space="preserve"> B</w:t>
      </w:r>
      <w:r w:rsidRPr="00E4265B">
        <w:rPr>
          <w:rFonts w:ascii="Arial" w:hAnsi="Arial" w:cs="Arial"/>
          <w:i/>
          <w:iCs/>
          <w:sz w:val="22"/>
          <w:szCs w:val="22"/>
          <w:vertAlign w:val="subscript"/>
          <w:lang w:val="en-GB"/>
        </w:rPr>
        <w:t>1</w:t>
      </w:r>
      <w:r w:rsidRPr="00E4265B">
        <w:rPr>
          <w:rFonts w:ascii="Arial" w:hAnsi="Arial" w:cs="Arial"/>
          <w:i/>
          <w:iCs/>
          <w:sz w:val="22"/>
          <w:szCs w:val="22"/>
          <w:vertAlign w:val="subscript"/>
          <w:lang w:val="en-GB"/>
        </w:rPr>
        <w:noBreakHyphen/>
        <w:t>8)</w:t>
      </w:r>
      <w:r w:rsidRPr="00E4265B">
        <w:rPr>
          <w:rFonts w:ascii="Arial" w:hAnsi="Arial" w:cs="Arial"/>
          <w:i/>
          <w:iCs/>
          <w:sz w:val="22"/>
          <w:szCs w:val="22"/>
          <w:lang w:val="en-GB"/>
        </w:rPr>
        <w:t>, 0]}/ 3</w:t>
      </w:r>
    </w:p>
    <w:p w14:paraId="298AABB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where:</w:t>
      </w:r>
    </w:p>
    <w:p w14:paraId="47EB6713" w14:textId="77777777"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K</w:t>
      </w:r>
      <w:r w:rsidRPr="00E4265B">
        <w:rPr>
          <w:rFonts w:ascii="Arial" w:hAnsi="Arial" w:cs="Arial"/>
          <w:i/>
          <w:iCs/>
          <w:smallCaps/>
          <w:sz w:val="22"/>
          <w:szCs w:val="22"/>
          <w:vertAlign w:val="subscript"/>
          <w:lang w:val="en-GB"/>
        </w:rPr>
        <w:t>sa</w:t>
      </w:r>
      <w:r w:rsidRPr="00E4265B">
        <w:rPr>
          <w:rFonts w:ascii="Arial" w:hAnsi="Arial" w:cs="Arial"/>
          <w:sz w:val="22"/>
          <w:szCs w:val="22"/>
          <w:lang w:val="en-GB"/>
        </w:rPr>
        <w:t>=</w:t>
      </w:r>
      <w:r w:rsidRPr="00E4265B">
        <w:rPr>
          <w:rFonts w:ascii="Arial" w:hAnsi="Arial" w:cs="Arial"/>
          <w:sz w:val="22"/>
          <w:szCs w:val="22"/>
          <w:lang w:val="en-GB"/>
        </w:rPr>
        <w:tab/>
        <w:t>the capital charge under the Standardised Approach</w:t>
      </w:r>
    </w:p>
    <w:p w14:paraId="2CDE0F95" w14:textId="77777777"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lastRenderedPageBreak/>
        <w:t>GI</w:t>
      </w:r>
      <w:r w:rsidRPr="00E4265B">
        <w:rPr>
          <w:rFonts w:ascii="Arial" w:hAnsi="Arial" w:cs="Arial"/>
          <w:i/>
          <w:iCs/>
          <w:sz w:val="22"/>
          <w:szCs w:val="22"/>
          <w:vertAlign w:val="subscript"/>
          <w:lang w:val="en-GB"/>
        </w:rPr>
        <w:t>1</w:t>
      </w:r>
      <w:r w:rsidRPr="00E4265B">
        <w:rPr>
          <w:rFonts w:ascii="Arial" w:hAnsi="Arial" w:cs="Arial"/>
          <w:i/>
          <w:iCs/>
          <w:sz w:val="22"/>
          <w:szCs w:val="22"/>
          <w:vertAlign w:val="subscript"/>
          <w:lang w:val="en-GB"/>
        </w:rPr>
        <w:noBreakHyphen/>
        <w:t>8</w:t>
      </w:r>
      <w:r w:rsidRPr="00E4265B">
        <w:rPr>
          <w:rFonts w:ascii="Arial" w:hAnsi="Arial" w:cs="Arial"/>
          <w:sz w:val="22"/>
          <w:szCs w:val="22"/>
          <w:vertAlign w:val="subscript"/>
          <w:lang w:val="en-GB"/>
        </w:rPr>
        <w:t> </w:t>
      </w:r>
      <w:r w:rsidRPr="00E4265B">
        <w:rPr>
          <w:rFonts w:ascii="Arial" w:hAnsi="Arial" w:cs="Arial"/>
          <w:sz w:val="22"/>
          <w:szCs w:val="22"/>
          <w:lang w:val="en-GB"/>
        </w:rPr>
        <w:t>=</w:t>
      </w:r>
      <w:r w:rsidRPr="00E4265B">
        <w:rPr>
          <w:rFonts w:ascii="Arial" w:hAnsi="Arial" w:cs="Arial"/>
          <w:sz w:val="22"/>
          <w:szCs w:val="22"/>
          <w:lang w:val="en-GB"/>
        </w:rPr>
        <w:tab/>
        <w:t>annual gross income in a given year, as defined above in the Basic Indicator Approach, for each of the eight business lines</w:t>
      </w:r>
    </w:p>
    <w:p w14:paraId="5E088C23" w14:textId="0622C796"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B</w:t>
      </w:r>
      <w:r w:rsidRPr="00E4265B">
        <w:rPr>
          <w:rFonts w:ascii="Arial" w:hAnsi="Arial" w:cs="Arial"/>
          <w:i/>
          <w:iCs/>
          <w:sz w:val="22"/>
          <w:szCs w:val="22"/>
          <w:vertAlign w:val="subscript"/>
          <w:lang w:val="en-GB"/>
        </w:rPr>
        <w:t>1</w:t>
      </w:r>
      <w:r w:rsidRPr="00E4265B">
        <w:rPr>
          <w:rFonts w:ascii="Arial" w:hAnsi="Arial" w:cs="Arial"/>
          <w:i/>
          <w:iCs/>
          <w:sz w:val="22"/>
          <w:szCs w:val="22"/>
          <w:vertAlign w:val="subscript"/>
          <w:lang w:val="en-GB"/>
        </w:rPr>
        <w:noBreakHyphen/>
        <w:t>8</w:t>
      </w:r>
      <w:r w:rsidRPr="00E4265B">
        <w:rPr>
          <w:rFonts w:ascii="Arial" w:hAnsi="Arial" w:cs="Arial"/>
          <w:sz w:val="22"/>
          <w:szCs w:val="22"/>
          <w:vertAlign w:val="subscript"/>
          <w:lang w:val="en-GB"/>
        </w:rPr>
        <w:t> </w:t>
      </w:r>
      <w:r w:rsidRPr="00E4265B">
        <w:rPr>
          <w:rFonts w:ascii="Arial" w:hAnsi="Arial" w:cs="Arial"/>
          <w:sz w:val="22"/>
          <w:szCs w:val="22"/>
          <w:lang w:val="en-GB"/>
        </w:rPr>
        <w:t>=</w:t>
      </w:r>
      <w:r w:rsidRPr="00E4265B">
        <w:rPr>
          <w:rFonts w:ascii="Arial" w:hAnsi="Arial" w:cs="Arial"/>
          <w:sz w:val="22"/>
          <w:szCs w:val="22"/>
          <w:lang w:val="en-GB"/>
        </w:rPr>
        <w:tab/>
        <w:t>a fix</w:t>
      </w:r>
      <w:r w:rsidR="003F6206" w:rsidRPr="00E4265B">
        <w:rPr>
          <w:rFonts w:ascii="Arial" w:hAnsi="Arial" w:cs="Arial"/>
          <w:sz w:val="22"/>
          <w:szCs w:val="22"/>
          <w:lang w:val="en-GB"/>
        </w:rPr>
        <w:t>ed percentage</w:t>
      </w:r>
      <w:r w:rsidR="008B1700" w:rsidRPr="00E4265B">
        <w:rPr>
          <w:rFonts w:ascii="Arial" w:hAnsi="Arial" w:cs="Arial"/>
          <w:sz w:val="22"/>
          <w:szCs w:val="22"/>
          <w:lang w:val="en-GB"/>
        </w:rPr>
        <w:t>, termed a “beta factor”,</w:t>
      </w:r>
      <w:r w:rsidR="003F6206" w:rsidRPr="00E4265B">
        <w:rPr>
          <w:rFonts w:ascii="Arial" w:hAnsi="Arial" w:cs="Arial"/>
          <w:sz w:val="22"/>
          <w:szCs w:val="22"/>
          <w:lang w:val="en-GB"/>
        </w:rPr>
        <w:t xml:space="preserve"> </w:t>
      </w:r>
      <w:r w:rsidR="008B1700" w:rsidRPr="00E4265B">
        <w:rPr>
          <w:rFonts w:ascii="Arial" w:hAnsi="Arial" w:cs="Arial"/>
          <w:sz w:val="22"/>
          <w:szCs w:val="22"/>
          <w:lang w:val="en-GB"/>
        </w:rPr>
        <w:t xml:space="preserve">for each of the eight business lines, </w:t>
      </w:r>
      <w:r w:rsidR="003F6206" w:rsidRPr="00E4265B">
        <w:rPr>
          <w:rFonts w:ascii="Arial" w:hAnsi="Arial" w:cs="Arial"/>
          <w:sz w:val="22"/>
          <w:szCs w:val="22"/>
          <w:lang w:val="en-GB"/>
        </w:rPr>
        <w:t>set out in Rule A7</w:t>
      </w:r>
      <w:r w:rsidRPr="00E4265B">
        <w:rPr>
          <w:rFonts w:ascii="Arial" w:hAnsi="Arial" w:cs="Arial"/>
          <w:sz w:val="22"/>
          <w:szCs w:val="22"/>
          <w:lang w:val="en-GB"/>
        </w:rPr>
        <w:t>.2.3.</w:t>
      </w:r>
    </w:p>
    <w:p w14:paraId="08F4FFB9" w14:textId="6C3723C5" w:rsidR="00E22FF2" w:rsidRPr="00E4265B" w:rsidRDefault="003F6206" w:rsidP="008B1700">
      <w:pPr>
        <w:pStyle w:val="A1List"/>
        <w:rPr>
          <w:rFonts w:ascii="Arial" w:hAnsi="Arial" w:cs="Arial"/>
          <w:sz w:val="22"/>
          <w:szCs w:val="22"/>
          <w:lang w:val="en-GB"/>
        </w:rPr>
      </w:pPr>
      <w:r w:rsidRPr="00E4265B">
        <w:rPr>
          <w:rFonts w:ascii="Arial" w:hAnsi="Arial" w:cs="Arial"/>
          <w:b/>
          <w:bCs/>
          <w:sz w:val="22"/>
          <w:szCs w:val="22"/>
          <w:lang w:val="en-GB"/>
        </w:rPr>
        <w:t>A7</w:t>
      </w:r>
      <w:r w:rsidR="00E22FF2" w:rsidRPr="00E4265B">
        <w:rPr>
          <w:rFonts w:ascii="Arial" w:hAnsi="Arial" w:cs="Arial"/>
          <w:b/>
          <w:bCs/>
          <w:sz w:val="22"/>
          <w:szCs w:val="22"/>
          <w:lang w:val="en-GB"/>
        </w:rPr>
        <w:t>.2.3</w:t>
      </w:r>
      <w:r w:rsidR="00E22FF2" w:rsidRPr="00E4265B">
        <w:rPr>
          <w:rFonts w:ascii="Arial" w:eastAsia="Arial" w:hAnsi="Arial" w:cs="Arial"/>
          <w:b/>
          <w:bCs/>
          <w:sz w:val="22"/>
          <w:szCs w:val="22"/>
          <w:lang w:val="en-GB"/>
        </w:rPr>
        <w:tab/>
      </w:r>
      <w:r w:rsidR="00E22FF2" w:rsidRPr="00E4265B">
        <w:rPr>
          <w:rFonts w:ascii="Arial" w:hAnsi="Arial" w:cs="Arial"/>
          <w:sz w:val="22"/>
          <w:szCs w:val="22"/>
          <w:lang w:val="en-GB"/>
        </w:rPr>
        <w:t xml:space="preserve">An </w:t>
      </w:r>
      <w:r w:rsidR="00363CED" w:rsidRPr="00E4265B">
        <w:rPr>
          <w:rFonts w:ascii="Arial" w:hAnsi="Arial" w:cs="Arial"/>
          <w:sz w:val="22"/>
          <w:szCs w:val="22"/>
          <w:lang w:val="en-GB"/>
        </w:rPr>
        <w:t>Authorised Person which</w:t>
      </w:r>
      <w:r w:rsidR="00E22FF2" w:rsidRPr="00E4265B">
        <w:rPr>
          <w:rFonts w:ascii="Arial" w:hAnsi="Arial" w:cs="Arial"/>
          <w:sz w:val="22"/>
          <w:szCs w:val="22"/>
          <w:lang w:val="en-GB"/>
        </w:rPr>
        <w:t xml:space="preserve"> uses the Standardised Approach must calculate its Operational Risk Capital Requirement using the following beta </w:t>
      </w:r>
      <w:r w:rsidR="008B1700" w:rsidRPr="00E4265B">
        <w:rPr>
          <w:rFonts w:ascii="Arial" w:hAnsi="Arial" w:cs="Arial"/>
          <w:sz w:val="22"/>
          <w:szCs w:val="22"/>
          <w:lang w:val="en-GB"/>
        </w:rPr>
        <w:t>factors</w:t>
      </w:r>
      <w:r w:rsidR="00E22FF2" w:rsidRPr="00E4265B">
        <w:rPr>
          <w:rFonts w:ascii="Arial" w:hAnsi="Arial" w:cs="Arial"/>
          <w:sz w:val="22"/>
          <w:szCs w:val="22"/>
          <w:lang w:val="en-GB"/>
        </w:rPr>
        <w:t>:</w:t>
      </w:r>
    </w:p>
    <w:tbl>
      <w:tblPr>
        <w:tblStyle w:val="TableGrid"/>
        <w:tblW w:w="2921" w:type="pct"/>
        <w:jc w:val="center"/>
        <w:tblLook w:val="04A0" w:firstRow="1" w:lastRow="0" w:firstColumn="1" w:lastColumn="0" w:noHBand="0" w:noVBand="1"/>
      </w:tblPr>
      <w:tblGrid>
        <w:gridCol w:w="3269"/>
        <w:gridCol w:w="1999"/>
      </w:tblGrid>
      <w:tr w:rsidR="00E22FF2" w:rsidRPr="00E4265B" w14:paraId="0679A097" w14:textId="77777777" w:rsidTr="003C4A0E">
        <w:trPr>
          <w:jc w:val="center"/>
        </w:trPr>
        <w:tc>
          <w:tcPr>
            <w:tcW w:w="3103" w:type="pct"/>
            <w:shd w:val="clear" w:color="auto" w:fill="D9D9D9" w:themeFill="background1" w:themeFillShade="D9"/>
          </w:tcPr>
          <w:p w14:paraId="3A0309FD" w14:textId="77777777" w:rsidR="00E22FF2" w:rsidRPr="00E4265B" w:rsidRDefault="00E22FF2" w:rsidP="00553790">
            <w:pPr>
              <w:spacing w:line="276" w:lineRule="auto"/>
              <w:rPr>
                <w:rFonts w:ascii="Arial" w:eastAsia="Arial" w:hAnsi="Arial" w:cs="Arial"/>
                <w:b/>
                <w:sz w:val="22"/>
                <w:szCs w:val="22"/>
                <w:lang w:val="en-GB"/>
              </w:rPr>
            </w:pPr>
            <w:r w:rsidRPr="00E4265B">
              <w:rPr>
                <w:rFonts w:ascii="Arial" w:hAnsi="Arial" w:cs="Arial"/>
                <w:b/>
                <w:sz w:val="22"/>
                <w:szCs w:val="22"/>
                <w:lang w:val="en-GB"/>
              </w:rPr>
              <w:t>Business Line</w:t>
            </w:r>
          </w:p>
        </w:tc>
        <w:tc>
          <w:tcPr>
            <w:tcW w:w="1897" w:type="pct"/>
            <w:shd w:val="clear" w:color="auto" w:fill="D9D9D9" w:themeFill="background1" w:themeFillShade="D9"/>
          </w:tcPr>
          <w:p w14:paraId="21A30814" w14:textId="2F82C381" w:rsidR="00E22FF2" w:rsidRPr="00E4265B" w:rsidRDefault="00553790" w:rsidP="00553790">
            <w:pPr>
              <w:spacing w:line="276" w:lineRule="auto"/>
              <w:jc w:val="center"/>
              <w:rPr>
                <w:rFonts w:ascii="Arial" w:hAnsi="Arial" w:cs="Arial"/>
                <w:b/>
                <w:sz w:val="22"/>
                <w:szCs w:val="22"/>
                <w:lang w:val="en-GB"/>
              </w:rPr>
            </w:pPr>
            <w:r w:rsidRPr="00E4265B">
              <w:rPr>
                <w:rFonts w:ascii="Arial" w:hAnsi="Arial" w:cs="Arial"/>
                <w:b/>
                <w:sz w:val="22"/>
                <w:szCs w:val="22"/>
                <w:lang w:val="en-GB"/>
              </w:rPr>
              <w:t>Beta f</w:t>
            </w:r>
            <w:r w:rsidR="00E22FF2" w:rsidRPr="00E4265B">
              <w:rPr>
                <w:rFonts w:ascii="Arial" w:hAnsi="Arial" w:cs="Arial"/>
                <w:b/>
                <w:sz w:val="22"/>
                <w:szCs w:val="22"/>
                <w:lang w:val="en-GB"/>
              </w:rPr>
              <w:t>actor</w:t>
            </w:r>
          </w:p>
        </w:tc>
      </w:tr>
      <w:tr w:rsidR="00E22FF2" w:rsidRPr="00E4265B" w14:paraId="6B4C2120" w14:textId="77777777" w:rsidTr="003C4A0E">
        <w:trPr>
          <w:jc w:val="center"/>
        </w:trPr>
        <w:tc>
          <w:tcPr>
            <w:tcW w:w="3103" w:type="pct"/>
          </w:tcPr>
          <w:p w14:paraId="0312729D"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Corporate finance</w:t>
            </w:r>
          </w:p>
        </w:tc>
        <w:tc>
          <w:tcPr>
            <w:tcW w:w="1897" w:type="pct"/>
          </w:tcPr>
          <w:p w14:paraId="75C39586"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18%</w:t>
            </w:r>
          </w:p>
        </w:tc>
      </w:tr>
      <w:tr w:rsidR="00E22FF2" w:rsidRPr="00E4265B" w14:paraId="1530570C" w14:textId="77777777" w:rsidTr="003C4A0E">
        <w:trPr>
          <w:jc w:val="center"/>
        </w:trPr>
        <w:tc>
          <w:tcPr>
            <w:tcW w:w="3103" w:type="pct"/>
          </w:tcPr>
          <w:p w14:paraId="629FCBAC"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Trading and sales</w:t>
            </w:r>
          </w:p>
        </w:tc>
        <w:tc>
          <w:tcPr>
            <w:tcW w:w="1897" w:type="pct"/>
          </w:tcPr>
          <w:p w14:paraId="275579DA"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18%</w:t>
            </w:r>
          </w:p>
        </w:tc>
      </w:tr>
      <w:tr w:rsidR="00E22FF2" w:rsidRPr="00E4265B" w14:paraId="1CAB573D" w14:textId="77777777" w:rsidTr="003C4A0E">
        <w:trPr>
          <w:jc w:val="center"/>
        </w:trPr>
        <w:tc>
          <w:tcPr>
            <w:tcW w:w="3103" w:type="pct"/>
          </w:tcPr>
          <w:p w14:paraId="7A881955"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Retail banking</w:t>
            </w:r>
          </w:p>
        </w:tc>
        <w:tc>
          <w:tcPr>
            <w:tcW w:w="1897" w:type="pct"/>
          </w:tcPr>
          <w:p w14:paraId="5240D800"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12%</w:t>
            </w:r>
          </w:p>
        </w:tc>
      </w:tr>
      <w:tr w:rsidR="00E22FF2" w:rsidRPr="00E4265B" w14:paraId="33215B79" w14:textId="77777777" w:rsidTr="003C4A0E">
        <w:trPr>
          <w:jc w:val="center"/>
        </w:trPr>
        <w:tc>
          <w:tcPr>
            <w:tcW w:w="3103" w:type="pct"/>
          </w:tcPr>
          <w:p w14:paraId="743E6D77"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Commercial banking</w:t>
            </w:r>
          </w:p>
        </w:tc>
        <w:tc>
          <w:tcPr>
            <w:tcW w:w="1897" w:type="pct"/>
          </w:tcPr>
          <w:p w14:paraId="19FA51D0"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15%</w:t>
            </w:r>
          </w:p>
        </w:tc>
      </w:tr>
      <w:tr w:rsidR="00E22FF2" w:rsidRPr="00E4265B" w14:paraId="24E21191" w14:textId="77777777" w:rsidTr="003C4A0E">
        <w:trPr>
          <w:jc w:val="center"/>
        </w:trPr>
        <w:tc>
          <w:tcPr>
            <w:tcW w:w="3103" w:type="pct"/>
          </w:tcPr>
          <w:p w14:paraId="21BF12AA"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Payment and settlement</w:t>
            </w:r>
          </w:p>
        </w:tc>
        <w:tc>
          <w:tcPr>
            <w:tcW w:w="1897" w:type="pct"/>
          </w:tcPr>
          <w:p w14:paraId="3A3BD834"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18%</w:t>
            </w:r>
          </w:p>
        </w:tc>
      </w:tr>
      <w:tr w:rsidR="00E22FF2" w:rsidRPr="00E4265B" w14:paraId="3BC0350A" w14:textId="77777777" w:rsidTr="003C4A0E">
        <w:trPr>
          <w:jc w:val="center"/>
        </w:trPr>
        <w:tc>
          <w:tcPr>
            <w:tcW w:w="3103" w:type="pct"/>
          </w:tcPr>
          <w:p w14:paraId="0FC8B6E1"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Agency services</w:t>
            </w:r>
          </w:p>
        </w:tc>
        <w:tc>
          <w:tcPr>
            <w:tcW w:w="1897" w:type="pct"/>
          </w:tcPr>
          <w:p w14:paraId="221C88FE"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15%</w:t>
            </w:r>
          </w:p>
        </w:tc>
      </w:tr>
      <w:tr w:rsidR="00E22FF2" w:rsidRPr="00E4265B" w14:paraId="4B52EF7E" w14:textId="77777777" w:rsidTr="003C4A0E">
        <w:trPr>
          <w:jc w:val="center"/>
        </w:trPr>
        <w:tc>
          <w:tcPr>
            <w:tcW w:w="3103" w:type="pct"/>
          </w:tcPr>
          <w:p w14:paraId="57BFA662"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Asset management</w:t>
            </w:r>
          </w:p>
        </w:tc>
        <w:tc>
          <w:tcPr>
            <w:tcW w:w="1897" w:type="pct"/>
          </w:tcPr>
          <w:p w14:paraId="6E5EF110"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12%</w:t>
            </w:r>
          </w:p>
        </w:tc>
      </w:tr>
      <w:tr w:rsidR="00E22FF2" w:rsidRPr="00E4265B" w14:paraId="7DF06125" w14:textId="77777777" w:rsidTr="003C4A0E">
        <w:trPr>
          <w:jc w:val="center"/>
        </w:trPr>
        <w:tc>
          <w:tcPr>
            <w:tcW w:w="3103" w:type="pct"/>
          </w:tcPr>
          <w:p w14:paraId="47BA9834" w14:textId="77777777" w:rsidR="00E22FF2" w:rsidRPr="00E4265B" w:rsidRDefault="00E22FF2" w:rsidP="00553790">
            <w:pPr>
              <w:spacing w:line="276" w:lineRule="auto"/>
              <w:rPr>
                <w:rFonts w:ascii="Arial" w:hAnsi="Arial" w:cs="Arial"/>
                <w:sz w:val="22"/>
                <w:szCs w:val="22"/>
                <w:lang w:val="en-GB"/>
              </w:rPr>
            </w:pPr>
            <w:r w:rsidRPr="00E4265B">
              <w:rPr>
                <w:rFonts w:ascii="Arial" w:hAnsi="Arial" w:cs="Arial"/>
                <w:sz w:val="22"/>
                <w:szCs w:val="22"/>
                <w:lang w:val="en-GB"/>
              </w:rPr>
              <w:t>Retail brokerage</w:t>
            </w:r>
          </w:p>
        </w:tc>
        <w:tc>
          <w:tcPr>
            <w:tcW w:w="1897" w:type="pct"/>
          </w:tcPr>
          <w:p w14:paraId="5C6DDE27" w14:textId="77777777" w:rsidR="00E22FF2" w:rsidRPr="00E4265B" w:rsidRDefault="00E22FF2" w:rsidP="00553790">
            <w:pPr>
              <w:spacing w:line="276" w:lineRule="auto"/>
              <w:jc w:val="center"/>
              <w:rPr>
                <w:rFonts w:ascii="Arial" w:hAnsi="Arial" w:cs="Arial"/>
                <w:sz w:val="22"/>
                <w:szCs w:val="22"/>
                <w:lang w:val="en-GB"/>
              </w:rPr>
            </w:pPr>
            <w:r w:rsidRPr="00E4265B">
              <w:rPr>
                <w:rFonts w:ascii="Arial" w:hAnsi="Arial" w:cs="Arial"/>
                <w:sz w:val="22"/>
                <w:szCs w:val="22"/>
                <w:lang w:val="en-GB"/>
              </w:rPr>
              <w:t>12%</w:t>
            </w:r>
          </w:p>
        </w:tc>
      </w:tr>
    </w:tbl>
    <w:p w14:paraId="09CBC6A0" w14:textId="77777777" w:rsidR="00E22FF2" w:rsidRPr="00E4265B" w:rsidRDefault="00E22FF2" w:rsidP="003C4A0E">
      <w:pPr>
        <w:rPr>
          <w:rFonts w:ascii="Arial" w:hAnsi="Arial" w:cs="Arial"/>
          <w:sz w:val="22"/>
          <w:szCs w:val="22"/>
          <w:lang w:val="en-GB"/>
        </w:rPr>
      </w:pPr>
    </w:p>
    <w:p w14:paraId="698F971A" w14:textId="77777777" w:rsidR="00E22FF2" w:rsidRPr="00E4265B" w:rsidRDefault="00E22FF2" w:rsidP="003C4A0E">
      <w:pPr>
        <w:pStyle w:val="TitleL5"/>
        <w:rPr>
          <w:rFonts w:ascii="Arial" w:hAnsi="Arial" w:cs="Arial"/>
          <w:sz w:val="22"/>
          <w:szCs w:val="22"/>
          <w:lang w:val="en-GB"/>
        </w:rPr>
      </w:pPr>
      <w:r w:rsidRPr="00E4265B">
        <w:rPr>
          <w:rFonts w:ascii="Arial" w:hAnsi="Arial" w:cs="Arial"/>
          <w:sz w:val="22"/>
          <w:szCs w:val="22"/>
          <w:lang w:val="en-GB"/>
        </w:rPr>
        <w:t>Guidance</w:t>
      </w:r>
    </w:p>
    <w:p w14:paraId="44A4BC60" w14:textId="77777777" w:rsidR="00E22FF2" w:rsidRPr="00E4265B" w:rsidRDefault="00E22FF2" w:rsidP="003C4A0E">
      <w:pPr>
        <w:pStyle w:val="UK12Block05"/>
        <w:rPr>
          <w:rFonts w:ascii="Arial" w:hAnsi="Arial" w:cs="Arial"/>
          <w:sz w:val="22"/>
          <w:szCs w:val="22"/>
          <w:lang w:val="en-GB"/>
        </w:rPr>
      </w:pPr>
      <w:r w:rsidRPr="00E4265B">
        <w:rPr>
          <w:rFonts w:ascii="Arial" w:hAnsi="Arial" w:cs="Arial"/>
          <w:sz w:val="22"/>
          <w:szCs w:val="22"/>
          <w:lang w:val="en-GB"/>
        </w:rPr>
        <w:t>The gross income is measured for each business line, not the whole institution, i.e. in corporate finance, the indicator is the gross income generated in the corporate finance business line.</w:t>
      </w:r>
    </w:p>
    <w:p w14:paraId="7EDB9958" w14:textId="77777777" w:rsidR="00E22FF2" w:rsidRPr="00E4265B" w:rsidRDefault="003F6206" w:rsidP="00770DE0">
      <w:pPr>
        <w:pStyle w:val="UK12Title2"/>
        <w:rPr>
          <w:rFonts w:ascii="Arial" w:hAnsi="Arial" w:cs="Arial"/>
          <w:sz w:val="22"/>
          <w:szCs w:val="22"/>
        </w:rPr>
      </w:pPr>
      <w:bookmarkStart w:id="1001" w:name="_Toc33622508"/>
      <w:r w:rsidRPr="00E4265B">
        <w:rPr>
          <w:rFonts w:ascii="Arial" w:hAnsi="Arial" w:cs="Arial"/>
          <w:sz w:val="22"/>
          <w:szCs w:val="22"/>
        </w:rPr>
        <w:t>A7</w:t>
      </w:r>
      <w:r w:rsidR="00E22FF2" w:rsidRPr="00E4265B">
        <w:rPr>
          <w:rFonts w:ascii="Arial" w:hAnsi="Arial" w:cs="Arial"/>
          <w:sz w:val="22"/>
          <w:szCs w:val="22"/>
        </w:rPr>
        <w:t>.3</w:t>
      </w:r>
      <w:r w:rsidR="00E22FF2" w:rsidRPr="00E4265B">
        <w:rPr>
          <w:rFonts w:ascii="Arial" w:hAnsi="Arial" w:cs="Arial"/>
          <w:sz w:val="22"/>
          <w:szCs w:val="22"/>
        </w:rPr>
        <w:tab/>
        <w:t>Alternative Standardised Approach</w:t>
      </w:r>
      <w:bookmarkEnd w:id="1001"/>
    </w:p>
    <w:p w14:paraId="4996C971" w14:textId="37987F01"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EB3552" w:rsidRPr="00E4265B">
        <w:rPr>
          <w:rFonts w:ascii="Arial" w:hAnsi="Arial" w:cs="Arial"/>
          <w:b/>
          <w:bCs/>
          <w:sz w:val="22"/>
          <w:szCs w:val="22"/>
          <w:lang w:val="en-GB"/>
        </w:rPr>
        <w:t>7</w:t>
      </w:r>
      <w:r w:rsidRPr="00E4265B">
        <w:rPr>
          <w:rFonts w:ascii="Arial" w:hAnsi="Arial" w:cs="Arial"/>
          <w:b/>
          <w:bCs/>
          <w:sz w:val="22"/>
          <w:szCs w:val="22"/>
          <w:lang w:val="en-GB"/>
        </w:rPr>
        <w:t>.3.1</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uses the Alternative Standardised Approach must calculate its Operational Risk Capital Requirement in accordance with the Standardised Approach in Section A</w:t>
      </w:r>
      <w:r w:rsidR="00EB3552" w:rsidRPr="00E4265B">
        <w:rPr>
          <w:rFonts w:ascii="Arial" w:hAnsi="Arial" w:cs="Arial"/>
          <w:sz w:val="22"/>
          <w:szCs w:val="22"/>
          <w:lang w:val="en-GB"/>
        </w:rPr>
        <w:t>7</w:t>
      </w:r>
      <w:r w:rsidRPr="00E4265B">
        <w:rPr>
          <w:rFonts w:ascii="Arial" w:hAnsi="Arial" w:cs="Arial"/>
          <w:sz w:val="22"/>
          <w:szCs w:val="22"/>
          <w:lang w:val="en-GB"/>
        </w:rPr>
        <w:t>.2 as modified by replacing annual gross income for its retail banking and commercial banking business lines with loans and advances multiplied by a fixed factor 'm'.</w:t>
      </w:r>
    </w:p>
    <w:p w14:paraId="38BAD349" w14:textId="57BCF10C"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EB3552" w:rsidRPr="00E4265B">
        <w:rPr>
          <w:rFonts w:ascii="Arial" w:hAnsi="Arial" w:cs="Arial"/>
          <w:b/>
          <w:bCs/>
          <w:sz w:val="22"/>
          <w:szCs w:val="22"/>
          <w:lang w:val="en-GB"/>
        </w:rPr>
        <w:t>7</w:t>
      </w:r>
      <w:r w:rsidRPr="00E4265B">
        <w:rPr>
          <w:rFonts w:ascii="Arial" w:hAnsi="Arial" w:cs="Arial"/>
          <w:b/>
          <w:bCs/>
          <w:sz w:val="22"/>
          <w:szCs w:val="22"/>
          <w:lang w:val="en-GB"/>
        </w:rPr>
        <w:t>.3.2</w:t>
      </w:r>
      <w:r w:rsidRPr="00E4265B">
        <w:rPr>
          <w:rFonts w:ascii="Arial" w:eastAsia="Arial" w:hAnsi="Arial" w:cs="Arial"/>
          <w:b/>
          <w:bCs/>
          <w:sz w:val="22"/>
          <w:szCs w:val="22"/>
          <w:lang w:val="en-GB"/>
        </w:rPr>
        <w:tab/>
      </w:r>
      <w:r w:rsidR="00EB3552" w:rsidRPr="00E4265B">
        <w:rPr>
          <w:rFonts w:ascii="Arial" w:hAnsi="Arial" w:cs="Arial"/>
          <w:sz w:val="22"/>
          <w:szCs w:val="22"/>
          <w:lang w:val="en-GB"/>
        </w:rPr>
        <w:t>Subject to Rule A7</w:t>
      </w:r>
      <w:r w:rsidRPr="00E4265B">
        <w:rPr>
          <w:rFonts w:ascii="Arial" w:hAnsi="Arial" w:cs="Arial"/>
          <w:sz w:val="22"/>
          <w:szCs w:val="22"/>
          <w:lang w:val="en-GB"/>
        </w:rPr>
        <w:t xml:space="preserve">.3.4, 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uses the Alternative Standardised Approach must calculate its Operational Risk Capital Requirement for its retail banking business line according to the following formula:</w:t>
      </w:r>
    </w:p>
    <w:p w14:paraId="72486C30" w14:textId="77777777" w:rsidR="00E22FF2" w:rsidRPr="00E4265B" w:rsidRDefault="00E22FF2" w:rsidP="008B1700">
      <w:pPr>
        <w:pStyle w:val="1List"/>
        <w:jc w:val="center"/>
        <w:rPr>
          <w:rFonts w:ascii="Arial" w:hAnsi="Arial" w:cs="Arial"/>
          <w:i/>
          <w:iCs/>
          <w:sz w:val="22"/>
          <w:szCs w:val="22"/>
          <w:lang w:val="en-GB"/>
        </w:rPr>
      </w:pPr>
      <w:r w:rsidRPr="00E4265B">
        <w:rPr>
          <w:rFonts w:ascii="Arial" w:hAnsi="Arial" w:cs="Arial"/>
          <w:i/>
          <w:iCs/>
          <w:sz w:val="22"/>
          <w:szCs w:val="22"/>
          <w:lang w:val="en-GB"/>
        </w:rPr>
        <w:t>KRB = BRB × m × LARB</w:t>
      </w:r>
    </w:p>
    <w:p w14:paraId="5F6B5104" w14:textId="5AB2F25C" w:rsidR="00E22FF2" w:rsidRPr="00E4265B" w:rsidRDefault="008B1700" w:rsidP="008B1700">
      <w:pPr>
        <w:pStyle w:val="1List"/>
        <w:rPr>
          <w:rFonts w:ascii="Arial" w:hAnsi="Arial" w:cs="Arial"/>
          <w:sz w:val="22"/>
          <w:szCs w:val="22"/>
          <w:lang w:val="en-GB"/>
        </w:rPr>
      </w:pPr>
      <w:r w:rsidRPr="00E4265B">
        <w:rPr>
          <w:rFonts w:ascii="Arial" w:hAnsi="Arial" w:cs="Arial"/>
          <w:sz w:val="22"/>
          <w:szCs w:val="22"/>
          <w:lang w:val="en-GB"/>
        </w:rPr>
        <w:t>w</w:t>
      </w:r>
      <w:r w:rsidR="00E22FF2" w:rsidRPr="00E4265B">
        <w:rPr>
          <w:rFonts w:ascii="Arial" w:hAnsi="Arial" w:cs="Arial"/>
          <w:sz w:val="22"/>
          <w:szCs w:val="22"/>
          <w:lang w:val="en-GB"/>
        </w:rPr>
        <w:t>here:</w:t>
      </w:r>
    </w:p>
    <w:p w14:paraId="330FEFBA" w14:textId="77777777"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KRB</w:t>
      </w:r>
      <w:r w:rsidRPr="00E4265B">
        <w:rPr>
          <w:rFonts w:ascii="Arial" w:hAnsi="Arial" w:cs="Arial"/>
          <w:sz w:val="22"/>
          <w:szCs w:val="22"/>
          <w:lang w:val="en-GB"/>
        </w:rPr>
        <w:t xml:space="preserve"> =</w:t>
      </w:r>
      <w:r w:rsidRPr="00E4265B">
        <w:rPr>
          <w:rFonts w:ascii="Arial" w:hAnsi="Arial" w:cs="Arial"/>
          <w:sz w:val="22"/>
          <w:szCs w:val="22"/>
          <w:lang w:val="en-GB"/>
        </w:rPr>
        <w:tab/>
        <w:t>the Capital Requirement for the retail banking business line</w:t>
      </w:r>
    </w:p>
    <w:p w14:paraId="056C9448" w14:textId="7F4F76B7"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BRB</w:t>
      </w:r>
      <w:r w:rsidRPr="00E4265B">
        <w:rPr>
          <w:rFonts w:ascii="Arial" w:hAnsi="Arial" w:cs="Arial"/>
          <w:sz w:val="22"/>
          <w:szCs w:val="22"/>
          <w:lang w:val="en-GB"/>
        </w:rPr>
        <w:t xml:space="preserve"> =</w:t>
      </w:r>
      <w:r w:rsidRPr="00E4265B">
        <w:rPr>
          <w:rFonts w:ascii="Arial" w:hAnsi="Arial" w:cs="Arial"/>
          <w:sz w:val="22"/>
          <w:szCs w:val="22"/>
          <w:lang w:val="en-GB"/>
        </w:rPr>
        <w:tab/>
        <w:t xml:space="preserve">the beta </w:t>
      </w:r>
      <w:r w:rsidR="008B1700" w:rsidRPr="00E4265B">
        <w:rPr>
          <w:rFonts w:ascii="Arial" w:hAnsi="Arial" w:cs="Arial"/>
          <w:sz w:val="22"/>
          <w:szCs w:val="22"/>
          <w:lang w:val="en-GB"/>
        </w:rPr>
        <w:t xml:space="preserve">factor </w:t>
      </w:r>
      <w:r w:rsidRPr="00E4265B">
        <w:rPr>
          <w:rFonts w:ascii="Arial" w:hAnsi="Arial" w:cs="Arial"/>
          <w:sz w:val="22"/>
          <w:szCs w:val="22"/>
          <w:lang w:val="en-GB"/>
        </w:rPr>
        <w:t>for the retail banking business line</w:t>
      </w:r>
    </w:p>
    <w:p w14:paraId="31813C3D" w14:textId="77777777"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LARB</w:t>
      </w:r>
      <w:r w:rsidRPr="00E4265B">
        <w:rPr>
          <w:rFonts w:ascii="Arial" w:hAnsi="Arial" w:cs="Arial"/>
          <w:sz w:val="22"/>
          <w:szCs w:val="22"/>
          <w:lang w:val="en-GB"/>
        </w:rPr>
        <w:t xml:space="preserve"> =</w:t>
      </w:r>
      <w:r w:rsidRPr="00E4265B">
        <w:rPr>
          <w:rFonts w:ascii="Arial" w:hAnsi="Arial" w:cs="Arial"/>
          <w:sz w:val="22"/>
          <w:szCs w:val="22"/>
          <w:lang w:val="en-GB"/>
        </w:rPr>
        <w:tab/>
        <w:t>total outstanding retail loans and advances (non</w:t>
      </w:r>
      <w:r w:rsidRPr="00E4265B">
        <w:rPr>
          <w:rFonts w:ascii="Arial" w:hAnsi="Arial" w:cs="Arial"/>
          <w:sz w:val="22"/>
          <w:szCs w:val="22"/>
          <w:lang w:val="en-GB"/>
        </w:rPr>
        <w:noBreakHyphen/>
        <w:t>risk weighted and gross of provisions), averaged over the past three years</w:t>
      </w:r>
    </w:p>
    <w:p w14:paraId="45F0BED6" w14:textId="77777777"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m</w:t>
      </w:r>
      <w:r w:rsidRPr="00E4265B">
        <w:rPr>
          <w:rFonts w:ascii="Arial" w:hAnsi="Arial" w:cs="Arial"/>
          <w:sz w:val="22"/>
          <w:szCs w:val="22"/>
          <w:lang w:val="en-GB"/>
        </w:rPr>
        <w:t xml:space="preserve"> =</w:t>
      </w:r>
      <w:r w:rsidRPr="00E4265B">
        <w:rPr>
          <w:rFonts w:ascii="Arial" w:hAnsi="Arial" w:cs="Arial"/>
          <w:sz w:val="22"/>
          <w:szCs w:val="22"/>
          <w:lang w:val="en-GB"/>
        </w:rPr>
        <w:tab/>
        <w:t>0.035</w:t>
      </w:r>
    </w:p>
    <w:p w14:paraId="3FD5E6F1" w14:textId="4F19DD20"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EB3552" w:rsidRPr="00E4265B">
        <w:rPr>
          <w:rFonts w:ascii="Arial" w:hAnsi="Arial" w:cs="Arial"/>
          <w:b/>
          <w:bCs/>
          <w:sz w:val="22"/>
          <w:szCs w:val="22"/>
          <w:lang w:val="en-GB"/>
        </w:rPr>
        <w:t>7</w:t>
      </w:r>
      <w:r w:rsidRPr="00E4265B">
        <w:rPr>
          <w:rFonts w:ascii="Arial" w:hAnsi="Arial" w:cs="Arial"/>
          <w:b/>
          <w:bCs/>
          <w:sz w:val="22"/>
          <w:szCs w:val="22"/>
          <w:lang w:val="en-GB"/>
        </w:rPr>
        <w:t>.3.3</w:t>
      </w:r>
      <w:r w:rsidRPr="00E4265B">
        <w:rPr>
          <w:rFonts w:ascii="Arial" w:eastAsia="Arial" w:hAnsi="Arial" w:cs="Arial"/>
          <w:b/>
          <w:bCs/>
          <w:sz w:val="22"/>
          <w:szCs w:val="22"/>
          <w:lang w:val="en-GB"/>
        </w:rPr>
        <w:tab/>
      </w:r>
      <w:r w:rsidRPr="00E4265B">
        <w:rPr>
          <w:rFonts w:ascii="Arial" w:hAnsi="Arial" w:cs="Arial"/>
          <w:sz w:val="22"/>
          <w:szCs w:val="22"/>
          <w:lang w:val="en-GB"/>
        </w:rPr>
        <w:t>Subject to Rule A</w:t>
      </w:r>
      <w:r w:rsidR="00EB3552" w:rsidRPr="00E4265B">
        <w:rPr>
          <w:rFonts w:ascii="Arial" w:hAnsi="Arial" w:cs="Arial"/>
          <w:sz w:val="22"/>
          <w:szCs w:val="22"/>
          <w:lang w:val="en-GB"/>
        </w:rPr>
        <w:t>7</w:t>
      </w:r>
      <w:r w:rsidRPr="00E4265B">
        <w:rPr>
          <w:rFonts w:ascii="Arial" w:hAnsi="Arial" w:cs="Arial"/>
          <w:sz w:val="22"/>
          <w:szCs w:val="22"/>
          <w:lang w:val="en-GB"/>
        </w:rPr>
        <w:t xml:space="preserve">.3.4, an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uses the Alternative Standardised Approach must calculate its Operational Risk Capital Requirement for its commercial banking business line according to the following formula:</w:t>
      </w:r>
    </w:p>
    <w:p w14:paraId="0C09852B" w14:textId="77777777" w:rsidR="00E22FF2" w:rsidRPr="00E4265B" w:rsidRDefault="00E22FF2" w:rsidP="008B1700">
      <w:pPr>
        <w:pStyle w:val="1List"/>
        <w:jc w:val="center"/>
        <w:rPr>
          <w:rFonts w:ascii="Arial" w:hAnsi="Arial" w:cs="Arial"/>
          <w:i/>
          <w:iCs/>
          <w:sz w:val="22"/>
          <w:szCs w:val="22"/>
          <w:lang w:val="en-GB"/>
        </w:rPr>
      </w:pPr>
      <w:r w:rsidRPr="00E4265B">
        <w:rPr>
          <w:rFonts w:ascii="Arial" w:hAnsi="Arial" w:cs="Arial"/>
          <w:i/>
          <w:iCs/>
          <w:sz w:val="22"/>
          <w:szCs w:val="22"/>
          <w:lang w:val="en-GB"/>
        </w:rPr>
        <w:lastRenderedPageBreak/>
        <w:t>KCB =BCB × m × LACB</w:t>
      </w:r>
    </w:p>
    <w:p w14:paraId="64467F63" w14:textId="4B593B68" w:rsidR="00E22FF2" w:rsidRPr="00E4265B" w:rsidRDefault="008B1700" w:rsidP="00520DD3">
      <w:pPr>
        <w:pStyle w:val="1List"/>
        <w:rPr>
          <w:rFonts w:ascii="Arial" w:hAnsi="Arial" w:cs="Arial"/>
          <w:sz w:val="22"/>
          <w:szCs w:val="22"/>
          <w:lang w:val="en-GB"/>
        </w:rPr>
      </w:pPr>
      <w:r w:rsidRPr="00E4265B">
        <w:rPr>
          <w:rFonts w:ascii="Arial" w:hAnsi="Arial" w:cs="Arial"/>
          <w:sz w:val="22"/>
          <w:szCs w:val="22"/>
          <w:lang w:val="en-GB"/>
        </w:rPr>
        <w:t>w</w:t>
      </w:r>
      <w:r w:rsidR="00E22FF2" w:rsidRPr="00E4265B">
        <w:rPr>
          <w:rFonts w:ascii="Arial" w:hAnsi="Arial" w:cs="Arial"/>
          <w:sz w:val="22"/>
          <w:szCs w:val="22"/>
          <w:lang w:val="en-GB"/>
        </w:rPr>
        <w:t>here:</w:t>
      </w:r>
    </w:p>
    <w:p w14:paraId="7F91DEB7" w14:textId="77777777"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KCB</w:t>
      </w:r>
      <w:r w:rsidRPr="00E4265B">
        <w:rPr>
          <w:rFonts w:ascii="Arial" w:hAnsi="Arial" w:cs="Arial"/>
          <w:sz w:val="22"/>
          <w:szCs w:val="22"/>
          <w:lang w:val="en-GB"/>
        </w:rPr>
        <w:t xml:space="preserve"> =</w:t>
      </w:r>
      <w:r w:rsidRPr="00E4265B">
        <w:rPr>
          <w:rFonts w:ascii="Arial" w:hAnsi="Arial" w:cs="Arial"/>
          <w:sz w:val="22"/>
          <w:szCs w:val="22"/>
          <w:lang w:val="en-GB"/>
        </w:rPr>
        <w:tab/>
        <w:t>the Capital Requirement for the commercial banking business line</w:t>
      </w:r>
    </w:p>
    <w:p w14:paraId="1A1A05F3" w14:textId="268A57A6"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BCB</w:t>
      </w:r>
      <w:r w:rsidRPr="00E4265B">
        <w:rPr>
          <w:rFonts w:ascii="Arial" w:hAnsi="Arial" w:cs="Arial"/>
          <w:sz w:val="22"/>
          <w:szCs w:val="22"/>
          <w:lang w:val="en-GB"/>
        </w:rPr>
        <w:t xml:space="preserve"> =</w:t>
      </w:r>
      <w:r w:rsidRPr="00E4265B">
        <w:rPr>
          <w:rFonts w:ascii="Arial" w:hAnsi="Arial" w:cs="Arial"/>
          <w:sz w:val="22"/>
          <w:szCs w:val="22"/>
          <w:lang w:val="en-GB"/>
        </w:rPr>
        <w:tab/>
        <w:t xml:space="preserve">the beta </w:t>
      </w:r>
      <w:r w:rsidR="008B1700" w:rsidRPr="00E4265B">
        <w:rPr>
          <w:rFonts w:ascii="Arial" w:hAnsi="Arial" w:cs="Arial"/>
          <w:sz w:val="22"/>
          <w:szCs w:val="22"/>
          <w:lang w:val="en-GB"/>
        </w:rPr>
        <w:t xml:space="preserve">factor </w:t>
      </w:r>
      <w:r w:rsidRPr="00E4265B">
        <w:rPr>
          <w:rFonts w:ascii="Arial" w:hAnsi="Arial" w:cs="Arial"/>
          <w:sz w:val="22"/>
          <w:szCs w:val="22"/>
          <w:lang w:val="en-GB"/>
        </w:rPr>
        <w:t>for the commercial banking business line</w:t>
      </w:r>
    </w:p>
    <w:p w14:paraId="7362EB4E" w14:textId="77777777"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LACB</w:t>
      </w:r>
      <w:r w:rsidRPr="00E4265B">
        <w:rPr>
          <w:rFonts w:ascii="Arial" w:hAnsi="Arial" w:cs="Arial"/>
          <w:sz w:val="22"/>
          <w:szCs w:val="22"/>
          <w:lang w:val="en-GB"/>
        </w:rPr>
        <w:t xml:space="preserve"> =</w:t>
      </w:r>
      <w:r w:rsidRPr="00E4265B">
        <w:rPr>
          <w:rFonts w:ascii="Arial" w:hAnsi="Arial" w:cs="Arial"/>
          <w:sz w:val="22"/>
          <w:szCs w:val="22"/>
          <w:lang w:val="en-GB"/>
        </w:rPr>
        <w:tab/>
        <w:t>total outstanding commercial banking loans and advances (non</w:t>
      </w:r>
      <w:r w:rsidRPr="00E4265B">
        <w:rPr>
          <w:rFonts w:ascii="Arial" w:hAnsi="Arial" w:cs="Arial"/>
          <w:sz w:val="22"/>
          <w:szCs w:val="22"/>
          <w:lang w:val="en-GB"/>
        </w:rPr>
        <w:noBreakHyphen/>
        <w:t>risk weighted and gross of provisions), averaged over the past three years</w:t>
      </w:r>
    </w:p>
    <w:p w14:paraId="34E9F9BC" w14:textId="77777777" w:rsidR="00E22FF2" w:rsidRPr="00E4265B" w:rsidRDefault="00E22FF2" w:rsidP="00520DD3">
      <w:pPr>
        <w:pStyle w:val="1List"/>
        <w:rPr>
          <w:rFonts w:ascii="Arial" w:hAnsi="Arial" w:cs="Arial"/>
          <w:sz w:val="22"/>
          <w:szCs w:val="22"/>
          <w:lang w:val="en-GB"/>
        </w:rPr>
      </w:pPr>
      <w:r w:rsidRPr="00E4265B">
        <w:rPr>
          <w:rFonts w:ascii="Arial" w:hAnsi="Arial" w:cs="Arial"/>
          <w:i/>
          <w:iCs/>
          <w:sz w:val="22"/>
          <w:szCs w:val="22"/>
          <w:lang w:val="en-GB"/>
        </w:rPr>
        <w:t>m</w:t>
      </w:r>
      <w:r w:rsidRPr="00E4265B">
        <w:rPr>
          <w:rFonts w:ascii="Arial" w:hAnsi="Arial" w:cs="Arial"/>
          <w:sz w:val="22"/>
          <w:szCs w:val="22"/>
          <w:lang w:val="en-GB"/>
        </w:rPr>
        <w:t xml:space="preserve"> =</w:t>
      </w:r>
      <w:r w:rsidRPr="00E4265B">
        <w:rPr>
          <w:rFonts w:ascii="Arial" w:hAnsi="Arial" w:cs="Arial"/>
          <w:sz w:val="22"/>
          <w:szCs w:val="22"/>
          <w:lang w:val="en-GB"/>
        </w:rPr>
        <w:tab/>
        <w:t>0.035</w:t>
      </w:r>
    </w:p>
    <w:p w14:paraId="0F1E7871" w14:textId="77777777" w:rsidR="00E22FF2" w:rsidRPr="00E4265B" w:rsidRDefault="00E22FF2" w:rsidP="00742AC6">
      <w:pPr>
        <w:pStyle w:val="A1List"/>
        <w:rPr>
          <w:rFonts w:ascii="Arial" w:hAnsi="Arial" w:cs="Arial"/>
          <w:sz w:val="22"/>
          <w:szCs w:val="22"/>
          <w:lang w:val="en-GB"/>
        </w:rPr>
      </w:pPr>
      <w:r w:rsidRPr="00E4265B">
        <w:rPr>
          <w:rFonts w:ascii="Arial" w:hAnsi="Arial" w:cs="Arial"/>
          <w:b/>
          <w:bCs/>
          <w:sz w:val="22"/>
          <w:szCs w:val="22"/>
          <w:lang w:val="en-GB"/>
        </w:rPr>
        <w:t>A</w:t>
      </w:r>
      <w:r w:rsidR="00EB3552" w:rsidRPr="00E4265B">
        <w:rPr>
          <w:rFonts w:ascii="Arial" w:hAnsi="Arial" w:cs="Arial"/>
          <w:b/>
          <w:bCs/>
          <w:sz w:val="22"/>
          <w:szCs w:val="22"/>
          <w:lang w:val="en-GB"/>
        </w:rPr>
        <w:t>7</w:t>
      </w:r>
      <w:r w:rsidRPr="00E4265B">
        <w:rPr>
          <w:rFonts w:ascii="Arial" w:hAnsi="Arial" w:cs="Arial"/>
          <w:b/>
          <w:bCs/>
          <w:sz w:val="22"/>
          <w:szCs w:val="22"/>
          <w:lang w:val="en-GB"/>
        </w:rPr>
        <w:t>.3.4</w:t>
      </w:r>
      <w:r w:rsidRPr="00E4265B">
        <w:rPr>
          <w:rFonts w:ascii="Arial" w:eastAsia="Arial" w:hAnsi="Arial" w:cs="Arial"/>
          <w:b/>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in calculating its Operational Risk Capital Requirement under Rule </w:t>
      </w:r>
      <w:r w:rsidR="00EB3552" w:rsidRPr="00E4265B">
        <w:rPr>
          <w:rFonts w:ascii="Arial" w:hAnsi="Arial" w:cs="Arial"/>
          <w:sz w:val="22"/>
          <w:szCs w:val="22"/>
          <w:lang w:val="en-GB"/>
        </w:rPr>
        <w:t>A7</w:t>
      </w:r>
      <w:r w:rsidRPr="00E4265B">
        <w:rPr>
          <w:rFonts w:ascii="Arial" w:hAnsi="Arial" w:cs="Arial"/>
          <w:sz w:val="22"/>
          <w:szCs w:val="22"/>
          <w:lang w:val="en-GB"/>
        </w:rPr>
        <w:t>.3.1:</w:t>
      </w:r>
    </w:p>
    <w:p w14:paraId="1EFF440B"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aggregate retail and commercial banking using a single beta of 15%; or</w:t>
      </w:r>
    </w:p>
    <w:p w14:paraId="41E22E4A"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if it is unable to disaggregate gross income in its six other business lines, aggregate the total gross income for these six business lines using a beta of 18%, with negative gross income treated as described in the Standardised Approach.</w:t>
      </w:r>
    </w:p>
    <w:p w14:paraId="1D16B3FD" w14:textId="77777777" w:rsidR="00E22FF2" w:rsidRPr="00E4265B" w:rsidRDefault="00E22FF2" w:rsidP="0087321A">
      <w:pPr>
        <w:pStyle w:val="TitleL5"/>
        <w:rPr>
          <w:rFonts w:ascii="Arial" w:hAnsi="Arial" w:cs="Arial"/>
          <w:sz w:val="22"/>
          <w:szCs w:val="22"/>
          <w:lang w:val="en-GB"/>
        </w:rPr>
      </w:pPr>
      <w:r w:rsidRPr="00E4265B">
        <w:rPr>
          <w:rFonts w:ascii="Arial" w:hAnsi="Arial" w:cs="Arial"/>
          <w:sz w:val="22"/>
          <w:szCs w:val="22"/>
          <w:lang w:val="en-GB"/>
        </w:rPr>
        <w:t>Guidance</w:t>
      </w:r>
    </w:p>
    <w:p w14:paraId="0B03A1F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For the purposes of the Alternative Standardised Approach, total loans and advances in the retail banking business line consist of the total drawn amounts in the following credit portfolios: retail, SMEs treated as retail, and purchased retail receivables.</w:t>
      </w:r>
    </w:p>
    <w:p w14:paraId="256A3FC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For commercial banking, total loans and advances consist of the drawn amounts in the following credit portfolios: corporate, sovereign, bank, specialised lending, SMEs treated as corporate and purchased corporate receivables. The book value of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held in the Non</w:t>
      </w:r>
      <w:r w:rsidRPr="00E4265B">
        <w:rPr>
          <w:rFonts w:ascii="Arial" w:hAnsi="Arial" w:cs="Arial"/>
          <w:sz w:val="22"/>
          <w:szCs w:val="22"/>
          <w:lang w:val="en-GB"/>
        </w:rPr>
        <w:noBreakHyphen/>
        <w:t>Trading Book should also be included.</w:t>
      </w:r>
    </w:p>
    <w:p w14:paraId="781D791A"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The three year average should be calculated on the basis of the last three yearly observations at the end of the </w:t>
      </w:r>
      <w:r w:rsidR="000D1A90" w:rsidRPr="00E4265B">
        <w:rPr>
          <w:rFonts w:ascii="Arial" w:hAnsi="Arial" w:cs="Arial"/>
          <w:sz w:val="22"/>
          <w:szCs w:val="22"/>
          <w:lang w:val="en-GB"/>
        </w:rPr>
        <w:t>Authorised Person</w:t>
      </w:r>
      <w:r w:rsidRPr="00E4265B">
        <w:rPr>
          <w:rFonts w:ascii="Arial" w:hAnsi="Arial" w:cs="Arial"/>
          <w:sz w:val="22"/>
          <w:szCs w:val="22"/>
          <w:lang w:val="en-GB"/>
        </w:rPr>
        <w:t>'s financial year. When audited figures are not available, business estimates may be used.</w:t>
      </w:r>
    </w:p>
    <w:p w14:paraId="1DBBC30C" w14:textId="620223CE" w:rsidR="00E22FF2" w:rsidRPr="00E4265B" w:rsidRDefault="00E22FF2" w:rsidP="004D619A">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r>
      <w:r w:rsidR="004D619A" w:rsidRPr="00E4265B">
        <w:rPr>
          <w:rFonts w:ascii="Arial" w:hAnsi="Arial" w:cs="Arial"/>
          <w:sz w:val="22"/>
          <w:szCs w:val="22"/>
          <w:lang w:val="en-GB"/>
        </w:rPr>
        <w:t>Where</w:t>
      </w:r>
      <w:r w:rsidRPr="00E4265B">
        <w:rPr>
          <w:rFonts w:ascii="Arial" w:hAnsi="Arial" w:cs="Arial"/>
          <w:sz w:val="22"/>
          <w:szCs w:val="22"/>
          <w:lang w:val="en-GB"/>
        </w:rPr>
        <w:t xml:space="preserv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does not have sufficient</w:t>
      </w:r>
      <w:r w:rsidR="004D619A" w:rsidRPr="00E4265B">
        <w:rPr>
          <w:rFonts w:ascii="Arial" w:hAnsi="Arial" w:cs="Arial"/>
          <w:sz w:val="22"/>
          <w:szCs w:val="22"/>
          <w:lang w:val="en-GB"/>
        </w:rPr>
        <w:t xml:space="preserve"> annual gross</w:t>
      </w:r>
      <w:r w:rsidRPr="00E4265B">
        <w:rPr>
          <w:rFonts w:ascii="Arial" w:hAnsi="Arial" w:cs="Arial"/>
          <w:sz w:val="22"/>
          <w:szCs w:val="22"/>
          <w:lang w:val="en-GB"/>
        </w:rPr>
        <w:t xml:space="preserve"> income data to meet the three year requirement (e.g. a start</w:t>
      </w:r>
      <w:r w:rsidRPr="00E4265B">
        <w:rPr>
          <w:rFonts w:ascii="Arial" w:hAnsi="Arial" w:cs="Arial"/>
          <w:sz w:val="22"/>
          <w:szCs w:val="22"/>
          <w:lang w:val="en-GB"/>
        </w:rPr>
        <w:noBreakHyphen/>
        <w:t xml:space="preserve">up) </w:t>
      </w:r>
      <w:r w:rsidR="004D619A" w:rsidRPr="00E4265B">
        <w:rPr>
          <w:rFonts w:ascii="Arial" w:hAnsi="Arial" w:cs="Arial"/>
          <w:sz w:val="22"/>
          <w:szCs w:val="22"/>
          <w:lang w:val="en-GB"/>
        </w:rPr>
        <w:t xml:space="preserve">for the Standardised </w:t>
      </w:r>
      <w:r w:rsidR="004D619A" w:rsidRPr="00E4265B">
        <w:rPr>
          <w:rFonts w:ascii="Arial" w:hAnsi="Arial" w:cs="Arial"/>
          <w:color w:val="000000" w:themeColor="text1"/>
          <w:sz w:val="22"/>
          <w:szCs w:val="22"/>
          <w:lang w:val="en-GB"/>
        </w:rPr>
        <w:t xml:space="preserve">Approach, or on the level of loans and advances for the Alternative Standardised Approach, </w:t>
      </w:r>
      <w:r w:rsidRPr="00E4265B">
        <w:rPr>
          <w:rFonts w:ascii="Arial" w:hAnsi="Arial" w:cs="Arial"/>
          <w:sz w:val="22"/>
          <w:szCs w:val="22"/>
          <w:lang w:val="en-GB"/>
        </w:rPr>
        <w:t xml:space="preserve">it may use its </w:t>
      </w:r>
      <w:r w:rsidR="004D619A" w:rsidRPr="00E4265B">
        <w:rPr>
          <w:rFonts w:ascii="Arial" w:hAnsi="Arial" w:cs="Arial"/>
          <w:sz w:val="22"/>
          <w:szCs w:val="22"/>
          <w:lang w:val="en-GB"/>
        </w:rPr>
        <w:t>forward-looking</w:t>
      </w:r>
      <w:r w:rsidRPr="00E4265B">
        <w:rPr>
          <w:rFonts w:ascii="Arial" w:hAnsi="Arial" w:cs="Arial"/>
          <w:sz w:val="22"/>
          <w:szCs w:val="22"/>
          <w:lang w:val="en-GB"/>
        </w:rPr>
        <w:t xml:space="preserve"> projectio</w:t>
      </w:r>
      <w:r w:rsidR="004D619A" w:rsidRPr="00E4265B">
        <w:rPr>
          <w:rFonts w:ascii="Arial" w:hAnsi="Arial" w:cs="Arial"/>
          <w:sz w:val="22"/>
          <w:szCs w:val="22"/>
          <w:lang w:val="en-GB"/>
        </w:rPr>
        <w:t xml:space="preserve">ns for all or part of the three </w:t>
      </w:r>
      <w:r w:rsidRPr="00E4265B">
        <w:rPr>
          <w:rFonts w:ascii="Arial" w:hAnsi="Arial" w:cs="Arial"/>
          <w:sz w:val="22"/>
          <w:szCs w:val="22"/>
          <w:lang w:val="en-GB"/>
        </w:rPr>
        <w:t>year time period.</w:t>
      </w:r>
    </w:p>
    <w:p w14:paraId="47366CB7" w14:textId="5B492F91" w:rsidR="00E22FF2" w:rsidRPr="00E4265B" w:rsidRDefault="00E22FF2" w:rsidP="004D619A">
      <w:pPr>
        <w:pStyle w:val="1List"/>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In accordan</w:t>
      </w:r>
      <w:r w:rsidR="004D619A" w:rsidRPr="00E4265B">
        <w:rPr>
          <w:rFonts w:ascii="Arial" w:hAnsi="Arial" w:cs="Arial"/>
          <w:sz w:val="22"/>
          <w:szCs w:val="22"/>
          <w:lang w:val="en-GB"/>
        </w:rPr>
        <w:t>ce with Rule 6.11.3</w:t>
      </w:r>
      <w:r w:rsidRPr="00E4265B">
        <w:rPr>
          <w:rFonts w:ascii="Arial" w:hAnsi="Arial" w:cs="Arial"/>
          <w:sz w:val="22"/>
          <w:szCs w:val="22"/>
          <w:lang w:val="en-GB"/>
        </w:rPr>
        <w:t xml:space="preserv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seeking to apply the Standardised Approach or the Altern</w:t>
      </w:r>
      <w:r w:rsidR="00EB3552" w:rsidRPr="00E4265B">
        <w:rPr>
          <w:rFonts w:ascii="Arial" w:hAnsi="Arial" w:cs="Arial"/>
          <w:sz w:val="22"/>
          <w:szCs w:val="22"/>
          <w:lang w:val="en-GB"/>
        </w:rPr>
        <w:t xml:space="preserve">ative Standardised Approach </w:t>
      </w:r>
      <w:r w:rsidR="000B6630" w:rsidRPr="00E4265B">
        <w:rPr>
          <w:rFonts w:ascii="Arial" w:hAnsi="Arial" w:cs="Arial"/>
          <w:sz w:val="22"/>
          <w:szCs w:val="22"/>
          <w:lang w:val="en-GB"/>
        </w:rPr>
        <w:t>must</w:t>
      </w:r>
      <w:r w:rsidRPr="00E4265B">
        <w:rPr>
          <w:rFonts w:ascii="Arial" w:hAnsi="Arial" w:cs="Arial"/>
          <w:sz w:val="22"/>
          <w:szCs w:val="22"/>
          <w:lang w:val="en-GB"/>
        </w:rPr>
        <w:t xml:space="preserve"> develop specific policies and have documented criteria for mapping gross income for current business lines and activities into the Standardised Approach or the Alternative Standard</w:t>
      </w:r>
      <w:r w:rsidR="00EB3552" w:rsidRPr="00E4265B">
        <w:rPr>
          <w:rFonts w:ascii="Arial" w:hAnsi="Arial" w:cs="Arial"/>
          <w:sz w:val="22"/>
          <w:szCs w:val="22"/>
          <w:lang w:val="en-GB"/>
        </w:rPr>
        <w:t xml:space="preserve">ised Approach. The criteria </w:t>
      </w:r>
      <w:r w:rsidR="000B6630" w:rsidRPr="00E4265B">
        <w:rPr>
          <w:rFonts w:ascii="Arial" w:hAnsi="Arial" w:cs="Arial"/>
          <w:sz w:val="22"/>
          <w:szCs w:val="22"/>
          <w:lang w:val="en-GB"/>
        </w:rPr>
        <w:t xml:space="preserve">must </w:t>
      </w:r>
      <w:r w:rsidRPr="00E4265B">
        <w:rPr>
          <w:rFonts w:ascii="Arial" w:hAnsi="Arial" w:cs="Arial"/>
          <w:sz w:val="22"/>
          <w:szCs w:val="22"/>
          <w:lang w:val="en-GB"/>
        </w:rPr>
        <w:t>be reviewed and adjusted for new or changing business activities as appropriate. The principles for business line mapping are set out below.</w:t>
      </w:r>
    </w:p>
    <w:p w14:paraId="0DF57BA7" w14:textId="77777777" w:rsidR="00E22FF2" w:rsidRPr="00E4265B" w:rsidRDefault="00E22FF2" w:rsidP="0087321A">
      <w:pPr>
        <w:pStyle w:val="TitleL5"/>
        <w:rPr>
          <w:rFonts w:ascii="Arial" w:hAnsi="Arial" w:cs="Arial"/>
          <w:sz w:val="22"/>
          <w:szCs w:val="22"/>
          <w:lang w:val="en-GB"/>
        </w:rPr>
      </w:pPr>
      <w:r w:rsidRPr="00E4265B">
        <w:rPr>
          <w:rFonts w:ascii="Arial" w:hAnsi="Arial" w:cs="Arial"/>
          <w:sz w:val="22"/>
          <w:szCs w:val="22"/>
          <w:lang w:val="en-GB"/>
        </w:rPr>
        <w:lastRenderedPageBreak/>
        <w:t>Principles for business line mapping</w:t>
      </w:r>
    </w:p>
    <w:p w14:paraId="1D9580F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6.</w:t>
      </w:r>
      <w:r w:rsidRPr="00E4265B">
        <w:rPr>
          <w:rFonts w:ascii="Arial" w:hAnsi="Arial" w:cs="Arial"/>
          <w:sz w:val="22"/>
          <w:szCs w:val="22"/>
          <w:lang w:val="en-GB"/>
        </w:rPr>
        <w:tab/>
        <w:t>All activities should be mapped into the eight level 1 business lines in a mutually exclusive and jointly exhaustive manner.</w:t>
      </w:r>
    </w:p>
    <w:p w14:paraId="0B8198F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7.</w:t>
      </w:r>
      <w:r w:rsidRPr="00E4265B">
        <w:rPr>
          <w:rFonts w:ascii="Arial" w:hAnsi="Arial" w:cs="Arial"/>
          <w:sz w:val="22"/>
          <w:szCs w:val="22"/>
          <w:lang w:val="en-GB"/>
        </w:rPr>
        <w:tab/>
        <w:t>Any activity which cannot be readily mapped into the business line framework, but which represents an ancillary function to an activity included in the framework, should be allocated to the business line it supports. If more than one business line is supported through the ancillary activity, an objective mapping criteria should be used.</w:t>
      </w:r>
    </w:p>
    <w:p w14:paraId="05D6F52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8.</w:t>
      </w:r>
      <w:r w:rsidRPr="00E4265B">
        <w:rPr>
          <w:rFonts w:ascii="Arial" w:hAnsi="Arial" w:cs="Arial"/>
          <w:sz w:val="22"/>
          <w:szCs w:val="22"/>
          <w:lang w:val="en-GB"/>
        </w:rPr>
        <w:tab/>
        <w:t>When mapping gross income, if an activity cannot be mapped into a particular business line then the business line yielding the highest charge should be used. The same business line equally applies to any associated ancillary activity.</w:t>
      </w:r>
    </w:p>
    <w:p w14:paraId="2287D1C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9.</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use internal pricing methods to allocate gross income between business lines, provided that total gross income for the firm (as would be recorded under the Basic Indicator Approach) still equals the sum of gross income for the eight business lines.</w:t>
      </w:r>
    </w:p>
    <w:p w14:paraId="4F88903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10.</w:t>
      </w:r>
      <w:r w:rsidRPr="00E4265B">
        <w:rPr>
          <w:rFonts w:ascii="Arial" w:hAnsi="Arial" w:cs="Arial"/>
          <w:sz w:val="22"/>
          <w:szCs w:val="22"/>
          <w:lang w:val="en-GB"/>
        </w:rPr>
        <w:tab/>
        <w:t>The mapping of activities into business lines for Operational Risk capital purposes should be consistent with the definitions of business lines used for regulatory capital calculations in other risk categories, i.e. credit and Market Risk. Any deviations from this principle should be clearly motivated and documented.</w:t>
      </w:r>
    </w:p>
    <w:p w14:paraId="4512948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11.</w:t>
      </w:r>
      <w:r w:rsidRPr="00E4265B">
        <w:rPr>
          <w:rFonts w:ascii="Arial" w:hAnsi="Arial" w:cs="Arial"/>
          <w:sz w:val="22"/>
          <w:szCs w:val="22"/>
          <w:lang w:val="en-GB"/>
        </w:rPr>
        <w:tab/>
        <w:t>The mapping process used should be clearly documented. In particular, written business line definitions should be clear and detailed enough to allow third parties to replicate the business line mapping. Documentation should, among other things, clearly motivate any exceptions or overrides and be kept on record.</w:t>
      </w:r>
    </w:p>
    <w:p w14:paraId="74D80DF9"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12.</w:t>
      </w:r>
      <w:r w:rsidRPr="00E4265B">
        <w:rPr>
          <w:rFonts w:ascii="Arial" w:hAnsi="Arial" w:cs="Arial"/>
          <w:sz w:val="22"/>
          <w:szCs w:val="22"/>
          <w:lang w:val="en-GB"/>
        </w:rPr>
        <w:tab/>
        <w:t>Processes should be in place to define the mapping of any new activities or products and the mapping process to business lines should be subject to independent review.</w:t>
      </w:r>
    </w:p>
    <w:p w14:paraId="1F9D05FD" w14:textId="77777777" w:rsidR="00E22FF2" w:rsidRPr="00E4265B" w:rsidRDefault="00E22FF2" w:rsidP="0087321A">
      <w:pPr>
        <w:pStyle w:val="Title"/>
        <w:rPr>
          <w:rFonts w:ascii="Arial" w:hAnsi="Arial" w:cs="Arial"/>
          <w:b/>
          <w:sz w:val="22"/>
          <w:szCs w:val="22"/>
          <w:lang w:val="en-GB"/>
        </w:rPr>
      </w:pPr>
      <w:r w:rsidRPr="00E4265B">
        <w:rPr>
          <w:rFonts w:ascii="Arial" w:hAnsi="Arial" w:cs="Arial"/>
          <w:b/>
          <w:sz w:val="22"/>
          <w:szCs w:val="22"/>
          <w:lang w:val="en-GB"/>
        </w:rPr>
        <w:t>Table – Mapping of Business Lines</w:t>
      </w:r>
    </w:p>
    <w:tbl>
      <w:tblPr>
        <w:tblStyle w:val="TableGrid"/>
        <w:tblW w:w="0" w:type="auto"/>
        <w:tblInd w:w="1098" w:type="dxa"/>
        <w:tblLayout w:type="fixed"/>
        <w:tblLook w:val="04A0" w:firstRow="1" w:lastRow="0" w:firstColumn="1" w:lastColumn="0" w:noHBand="0" w:noVBand="1"/>
      </w:tblPr>
      <w:tblGrid>
        <w:gridCol w:w="2715"/>
        <w:gridCol w:w="2595"/>
        <w:gridCol w:w="2835"/>
      </w:tblGrid>
      <w:tr w:rsidR="00E22FF2" w:rsidRPr="00E4265B" w14:paraId="41DB9812" w14:textId="77777777" w:rsidTr="008D19E8">
        <w:trPr>
          <w:tblHeader/>
        </w:trPr>
        <w:tc>
          <w:tcPr>
            <w:tcW w:w="2715" w:type="dxa"/>
            <w:shd w:val="clear" w:color="auto" w:fill="D9D9D9" w:themeFill="background1" w:themeFillShade="D9"/>
            <w:vAlign w:val="center"/>
          </w:tcPr>
          <w:p w14:paraId="65FB908D" w14:textId="77777777" w:rsidR="00E22FF2" w:rsidRPr="00E4265B" w:rsidRDefault="00E22FF2" w:rsidP="00FC782C">
            <w:pPr>
              <w:spacing w:after="240"/>
              <w:jc w:val="center"/>
              <w:rPr>
                <w:rFonts w:ascii="Arial" w:hAnsi="Arial" w:cs="Arial"/>
                <w:b/>
                <w:sz w:val="22"/>
                <w:szCs w:val="22"/>
                <w:lang w:val="en-GB"/>
              </w:rPr>
            </w:pPr>
            <w:r w:rsidRPr="00E4265B">
              <w:rPr>
                <w:rFonts w:ascii="Arial" w:hAnsi="Arial" w:cs="Arial"/>
                <w:b/>
                <w:sz w:val="22"/>
                <w:szCs w:val="22"/>
                <w:lang w:val="en-GB"/>
              </w:rPr>
              <w:t>Level 1</w:t>
            </w:r>
          </w:p>
        </w:tc>
        <w:tc>
          <w:tcPr>
            <w:tcW w:w="2595" w:type="dxa"/>
            <w:shd w:val="clear" w:color="auto" w:fill="D9D9D9" w:themeFill="background1" w:themeFillShade="D9"/>
            <w:vAlign w:val="center"/>
          </w:tcPr>
          <w:p w14:paraId="7EE562A9" w14:textId="77777777" w:rsidR="00E22FF2" w:rsidRPr="00E4265B" w:rsidRDefault="00E22FF2" w:rsidP="00FC782C">
            <w:pPr>
              <w:spacing w:after="240"/>
              <w:jc w:val="center"/>
              <w:rPr>
                <w:rFonts w:ascii="Arial" w:hAnsi="Arial" w:cs="Arial"/>
                <w:b/>
                <w:sz w:val="22"/>
                <w:szCs w:val="22"/>
                <w:lang w:val="en-GB"/>
              </w:rPr>
            </w:pPr>
            <w:r w:rsidRPr="00E4265B">
              <w:rPr>
                <w:rFonts w:ascii="Arial" w:hAnsi="Arial" w:cs="Arial"/>
                <w:b/>
                <w:sz w:val="22"/>
                <w:szCs w:val="22"/>
                <w:lang w:val="en-GB"/>
              </w:rPr>
              <w:t>Level 2</w:t>
            </w:r>
          </w:p>
        </w:tc>
        <w:tc>
          <w:tcPr>
            <w:tcW w:w="2835" w:type="dxa"/>
            <w:shd w:val="clear" w:color="auto" w:fill="D9D9D9" w:themeFill="background1" w:themeFillShade="D9"/>
            <w:vAlign w:val="center"/>
          </w:tcPr>
          <w:p w14:paraId="4106EDBF" w14:textId="77777777" w:rsidR="00E22FF2" w:rsidRPr="00E4265B" w:rsidRDefault="00E22FF2" w:rsidP="00FC782C">
            <w:pPr>
              <w:spacing w:after="240"/>
              <w:rPr>
                <w:rFonts w:ascii="Arial" w:hAnsi="Arial" w:cs="Arial"/>
                <w:b/>
                <w:sz w:val="22"/>
                <w:szCs w:val="22"/>
                <w:lang w:val="en-GB"/>
              </w:rPr>
            </w:pPr>
            <w:r w:rsidRPr="00E4265B">
              <w:rPr>
                <w:rFonts w:ascii="Arial" w:hAnsi="Arial" w:cs="Arial"/>
                <w:b/>
                <w:sz w:val="22"/>
                <w:szCs w:val="22"/>
                <w:lang w:val="en-GB"/>
              </w:rPr>
              <w:t>Activity Groups</w:t>
            </w:r>
          </w:p>
        </w:tc>
      </w:tr>
      <w:tr w:rsidR="00E22FF2" w:rsidRPr="00E4265B" w14:paraId="15ADA4FC" w14:textId="77777777" w:rsidTr="008D19E8">
        <w:tc>
          <w:tcPr>
            <w:tcW w:w="2715" w:type="dxa"/>
            <w:vMerge w:val="restart"/>
            <w:vAlign w:val="center"/>
          </w:tcPr>
          <w:p w14:paraId="2065C2A8"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Corporate Finance</w:t>
            </w:r>
          </w:p>
        </w:tc>
        <w:tc>
          <w:tcPr>
            <w:tcW w:w="2595" w:type="dxa"/>
            <w:vAlign w:val="center"/>
          </w:tcPr>
          <w:p w14:paraId="7AE971E2"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Corporate Finance</w:t>
            </w:r>
          </w:p>
        </w:tc>
        <w:tc>
          <w:tcPr>
            <w:tcW w:w="2835" w:type="dxa"/>
            <w:vMerge w:val="restart"/>
            <w:vAlign w:val="center"/>
          </w:tcPr>
          <w:p w14:paraId="68C2D68C"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 xml:space="preserve">Mergers and acquisitions, </w:t>
            </w:r>
            <w:r w:rsidR="00C033FC" w:rsidRPr="00E4265B">
              <w:rPr>
                <w:rFonts w:ascii="Arial" w:hAnsi="Arial" w:cs="Arial"/>
                <w:sz w:val="22"/>
                <w:szCs w:val="22"/>
                <w:lang w:val="en-GB"/>
              </w:rPr>
              <w:t>Underwriting</w:t>
            </w:r>
            <w:r w:rsidRPr="00E4265B">
              <w:rPr>
                <w:rFonts w:ascii="Arial" w:hAnsi="Arial" w:cs="Arial"/>
                <w:sz w:val="22"/>
                <w:szCs w:val="22"/>
                <w:lang w:val="en-GB"/>
              </w:rPr>
              <w:t>, privatisations, securitisation, research, debt (government, high yield), equity, syndications, IPO, secondary private placements.</w:t>
            </w:r>
          </w:p>
        </w:tc>
      </w:tr>
      <w:tr w:rsidR="00E22FF2" w:rsidRPr="00E4265B" w14:paraId="723C5DDE" w14:textId="77777777" w:rsidTr="008D19E8">
        <w:tc>
          <w:tcPr>
            <w:tcW w:w="2715" w:type="dxa"/>
            <w:vMerge/>
            <w:vAlign w:val="center"/>
          </w:tcPr>
          <w:p w14:paraId="419F0F25" w14:textId="77777777" w:rsidR="00E22FF2" w:rsidRPr="00E4265B" w:rsidRDefault="00E22FF2" w:rsidP="00FC782C">
            <w:pPr>
              <w:spacing w:after="240"/>
              <w:rPr>
                <w:rFonts w:ascii="Arial" w:hAnsi="Arial" w:cs="Arial"/>
                <w:sz w:val="22"/>
                <w:szCs w:val="22"/>
                <w:lang w:val="en-GB"/>
              </w:rPr>
            </w:pPr>
          </w:p>
        </w:tc>
        <w:tc>
          <w:tcPr>
            <w:tcW w:w="2595" w:type="dxa"/>
            <w:vAlign w:val="center"/>
          </w:tcPr>
          <w:p w14:paraId="0E14CFBE"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Municipal/Government</w:t>
            </w:r>
            <w:r w:rsidRPr="00E4265B">
              <w:rPr>
                <w:rFonts w:ascii="Arial" w:hAnsi="Arial" w:cs="Arial"/>
                <w:sz w:val="22"/>
                <w:szCs w:val="22"/>
                <w:lang w:val="en-GB"/>
              </w:rPr>
              <w:br/>
              <w:t>Finance</w:t>
            </w:r>
          </w:p>
        </w:tc>
        <w:tc>
          <w:tcPr>
            <w:tcW w:w="2835" w:type="dxa"/>
            <w:vMerge/>
            <w:vAlign w:val="center"/>
          </w:tcPr>
          <w:p w14:paraId="4F726292" w14:textId="77777777" w:rsidR="00E22FF2" w:rsidRPr="00E4265B" w:rsidRDefault="00E22FF2" w:rsidP="00FC782C">
            <w:pPr>
              <w:spacing w:after="240"/>
              <w:rPr>
                <w:rFonts w:ascii="Arial" w:hAnsi="Arial" w:cs="Arial"/>
                <w:sz w:val="22"/>
                <w:szCs w:val="22"/>
                <w:lang w:val="en-GB"/>
              </w:rPr>
            </w:pPr>
          </w:p>
        </w:tc>
      </w:tr>
      <w:tr w:rsidR="00E22FF2" w:rsidRPr="00E4265B" w14:paraId="464DE99A" w14:textId="77777777" w:rsidTr="008D19E8">
        <w:tc>
          <w:tcPr>
            <w:tcW w:w="2715" w:type="dxa"/>
            <w:vMerge/>
            <w:vAlign w:val="center"/>
          </w:tcPr>
          <w:p w14:paraId="10E9FDE5" w14:textId="77777777" w:rsidR="00E22FF2" w:rsidRPr="00E4265B" w:rsidRDefault="00E22FF2" w:rsidP="00FC782C">
            <w:pPr>
              <w:spacing w:after="240"/>
              <w:rPr>
                <w:rFonts w:ascii="Arial" w:hAnsi="Arial" w:cs="Arial"/>
                <w:sz w:val="22"/>
                <w:szCs w:val="22"/>
                <w:lang w:val="en-GB"/>
              </w:rPr>
            </w:pPr>
          </w:p>
        </w:tc>
        <w:tc>
          <w:tcPr>
            <w:tcW w:w="2595" w:type="dxa"/>
            <w:vAlign w:val="center"/>
          </w:tcPr>
          <w:p w14:paraId="7BBDF18F"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Merchant Banking</w:t>
            </w:r>
          </w:p>
        </w:tc>
        <w:tc>
          <w:tcPr>
            <w:tcW w:w="2835" w:type="dxa"/>
            <w:vMerge/>
            <w:vAlign w:val="center"/>
          </w:tcPr>
          <w:p w14:paraId="40E90411" w14:textId="77777777" w:rsidR="00E22FF2" w:rsidRPr="00E4265B" w:rsidRDefault="00E22FF2" w:rsidP="00FC782C">
            <w:pPr>
              <w:spacing w:after="240"/>
              <w:rPr>
                <w:rFonts w:ascii="Arial" w:hAnsi="Arial" w:cs="Arial"/>
                <w:sz w:val="22"/>
                <w:szCs w:val="22"/>
                <w:lang w:val="en-GB"/>
              </w:rPr>
            </w:pPr>
          </w:p>
        </w:tc>
      </w:tr>
      <w:tr w:rsidR="00E22FF2" w:rsidRPr="00E4265B" w14:paraId="5DC9E4B7" w14:textId="77777777" w:rsidTr="008D19E8">
        <w:tc>
          <w:tcPr>
            <w:tcW w:w="2715" w:type="dxa"/>
            <w:vMerge/>
            <w:vAlign w:val="center"/>
          </w:tcPr>
          <w:p w14:paraId="3607823A" w14:textId="77777777" w:rsidR="00E22FF2" w:rsidRPr="00E4265B" w:rsidRDefault="00E22FF2" w:rsidP="00FC782C">
            <w:pPr>
              <w:spacing w:after="240"/>
              <w:rPr>
                <w:rFonts w:ascii="Arial" w:hAnsi="Arial" w:cs="Arial"/>
                <w:sz w:val="22"/>
                <w:szCs w:val="22"/>
                <w:lang w:val="en-GB"/>
              </w:rPr>
            </w:pPr>
          </w:p>
        </w:tc>
        <w:tc>
          <w:tcPr>
            <w:tcW w:w="2595" w:type="dxa"/>
            <w:vAlign w:val="center"/>
          </w:tcPr>
          <w:p w14:paraId="591BB745"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Advisory Services</w:t>
            </w:r>
          </w:p>
        </w:tc>
        <w:tc>
          <w:tcPr>
            <w:tcW w:w="2835" w:type="dxa"/>
            <w:vMerge/>
            <w:vAlign w:val="center"/>
          </w:tcPr>
          <w:p w14:paraId="1752C7DB" w14:textId="77777777" w:rsidR="00E22FF2" w:rsidRPr="00E4265B" w:rsidRDefault="00E22FF2" w:rsidP="00FC782C">
            <w:pPr>
              <w:spacing w:after="240"/>
              <w:rPr>
                <w:rFonts w:ascii="Arial" w:hAnsi="Arial" w:cs="Arial"/>
                <w:sz w:val="22"/>
                <w:szCs w:val="22"/>
                <w:lang w:val="en-GB"/>
              </w:rPr>
            </w:pPr>
          </w:p>
        </w:tc>
      </w:tr>
      <w:tr w:rsidR="00E22FF2" w:rsidRPr="00E4265B" w14:paraId="67D2F6E3" w14:textId="77777777" w:rsidTr="008D19E8">
        <w:tc>
          <w:tcPr>
            <w:tcW w:w="2715" w:type="dxa"/>
            <w:vMerge w:val="restart"/>
            <w:vAlign w:val="center"/>
          </w:tcPr>
          <w:p w14:paraId="25581740"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Trading and Sales</w:t>
            </w:r>
          </w:p>
        </w:tc>
        <w:tc>
          <w:tcPr>
            <w:tcW w:w="2595" w:type="dxa"/>
            <w:vAlign w:val="center"/>
          </w:tcPr>
          <w:p w14:paraId="3F80B2C3"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Sales</w:t>
            </w:r>
          </w:p>
        </w:tc>
        <w:tc>
          <w:tcPr>
            <w:tcW w:w="2835" w:type="dxa"/>
            <w:vMerge w:val="restart"/>
            <w:vAlign w:val="center"/>
          </w:tcPr>
          <w:p w14:paraId="4756CBBD"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 xml:space="preserve">Fixed income, equity, foreign exchanges, commodities, credit, funding, own position </w:t>
            </w:r>
            <w:r w:rsidR="00877CEA" w:rsidRPr="00E4265B">
              <w:rPr>
                <w:rFonts w:ascii="Arial" w:hAnsi="Arial" w:cs="Arial"/>
                <w:sz w:val="22"/>
                <w:szCs w:val="22"/>
                <w:lang w:val="en-GB"/>
              </w:rPr>
              <w:t>Securities</w:t>
            </w:r>
            <w:r w:rsidRPr="00E4265B">
              <w:rPr>
                <w:rFonts w:ascii="Arial" w:hAnsi="Arial" w:cs="Arial"/>
                <w:sz w:val="22"/>
                <w:szCs w:val="22"/>
                <w:lang w:val="en-GB"/>
              </w:rPr>
              <w:t>, lending and repos, brokerage, debt, prime brokerage.</w:t>
            </w:r>
          </w:p>
        </w:tc>
      </w:tr>
      <w:tr w:rsidR="00E22FF2" w:rsidRPr="00E4265B" w14:paraId="5FC6F249" w14:textId="77777777" w:rsidTr="008D19E8">
        <w:tc>
          <w:tcPr>
            <w:tcW w:w="2715" w:type="dxa"/>
            <w:vMerge/>
            <w:vAlign w:val="center"/>
          </w:tcPr>
          <w:p w14:paraId="23564B84" w14:textId="77777777" w:rsidR="00E22FF2" w:rsidRPr="00E4265B" w:rsidRDefault="00E22FF2" w:rsidP="00FC782C">
            <w:pPr>
              <w:spacing w:after="240"/>
              <w:rPr>
                <w:rFonts w:ascii="Arial" w:hAnsi="Arial" w:cs="Arial"/>
                <w:sz w:val="22"/>
                <w:szCs w:val="22"/>
                <w:lang w:val="en-GB"/>
              </w:rPr>
            </w:pPr>
          </w:p>
        </w:tc>
        <w:tc>
          <w:tcPr>
            <w:tcW w:w="2595" w:type="dxa"/>
            <w:vAlign w:val="center"/>
          </w:tcPr>
          <w:p w14:paraId="409BD3C1"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Market Making</w:t>
            </w:r>
          </w:p>
        </w:tc>
        <w:tc>
          <w:tcPr>
            <w:tcW w:w="2835" w:type="dxa"/>
            <w:vMerge/>
            <w:vAlign w:val="center"/>
          </w:tcPr>
          <w:p w14:paraId="351773EC" w14:textId="77777777" w:rsidR="00E22FF2" w:rsidRPr="00E4265B" w:rsidRDefault="00E22FF2" w:rsidP="00FC782C">
            <w:pPr>
              <w:spacing w:after="240"/>
              <w:rPr>
                <w:rFonts w:ascii="Arial" w:hAnsi="Arial" w:cs="Arial"/>
                <w:sz w:val="22"/>
                <w:szCs w:val="22"/>
                <w:lang w:val="en-GB"/>
              </w:rPr>
            </w:pPr>
          </w:p>
        </w:tc>
      </w:tr>
      <w:tr w:rsidR="00E22FF2" w:rsidRPr="00E4265B" w14:paraId="07103112" w14:textId="77777777" w:rsidTr="008D19E8">
        <w:tc>
          <w:tcPr>
            <w:tcW w:w="2715" w:type="dxa"/>
            <w:vMerge/>
            <w:vAlign w:val="center"/>
          </w:tcPr>
          <w:p w14:paraId="6E49B448" w14:textId="77777777" w:rsidR="00E22FF2" w:rsidRPr="00E4265B" w:rsidRDefault="00E22FF2" w:rsidP="00FC782C">
            <w:pPr>
              <w:spacing w:after="240"/>
              <w:rPr>
                <w:rFonts w:ascii="Arial" w:hAnsi="Arial" w:cs="Arial"/>
                <w:sz w:val="22"/>
                <w:szCs w:val="22"/>
                <w:lang w:val="en-GB"/>
              </w:rPr>
            </w:pPr>
          </w:p>
        </w:tc>
        <w:tc>
          <w:tcPr>
            <w:tcW w:w="2595" w:type="dxa"/>
            <w:vAlign w:val="center"/>
          </w:tcPr>
          <w:p w14:paraId="1C961F3A"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Proprietary Positions</w:t>
            </w:r>
          </w:p>
        </w:tc>
        <w:tc>
          <w:tcPr>
            <w:tcW w:w="2835" w:type="dxa"/>
            <w:vMerge/>
            <w:vAlign w:val="center"/>
          </w:tcPr>
          <w:p w14:paraId="4638AB4B" w14:textId="77777777" w:rsidR="00E22FF2" w:rsidRPr="00E4265B" w:rsidRDefault="00E22FF2" w:rsidP="00FC782C">
            <w:pPr>
              <w:spacing w:after="240"/>
              <w:rPr>
                <w:rFonts w:ascii="Arial" w:hAnsi="Arial" w:cs="Arial"/>
                <w:sz w:val="22"/>
                <w:szCs w:val="22"/>
                <w:lang w:val="en-GB"/>
              </w:rPr>
            </w:pPr>
          </w:p>
        </w:tc>
      </w:tr>
      <w:tr w:rsidR="00E22FF2" w:rsidRPr="00E4265B" w14:paraId="0BFAF2F1" w14:textId="77777777" w:rsidTr="008D19E8">
        <w:tc>
          <w:tcPr>
            <w:tcW w:w="2715" w:type="dxa"/>
            <w:vMerge/>
            <w:vAlign w:val="center"/>
          </w:tcPr>
          <w:p w14:paraId="13372455" w14:textId="77777777" w:rsidR="00E22FF2" w:rsidRPr="00E4265B" w:rsidRDefault="00E22FF2" w:rsidP="00FC782C">
            <w:pPr>
              <w:spacing w:after="240"/>
              <w:rPr>
                <w:rFonts w:ascii="Arial" w:hAnsi="Arial" w:cs="Arial"/>
                <w:sz w:val="22"/>
                <w:szCs w:val="22"/>
                <w:lang w:val="en-GB"/>
              </w:rPr>
            </w:pPr>
          </w:p>
        </w:tc>
        <w:tc>
          <w:tcPr>
            <w:tcW w:w="2595" w:type="dxa"/>
            <w:vAlign w:val="center"/>
          </w:tcPr>
          <w:p w14:paraId="45798B79"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Treasury</w:t>
            </w:r>
          </w:p>
        </w:tc>
        <w:tc>
          <w:tcPr>
            <w:tcW w:w="2835" w:type="dxa"/>
            <w:vMerge/>
            <w:vAlign w:val="center"/>
          </w:tcPr>
          <w:p w14:paraId="62E87C71" w14:textId="77777777" w:rsidR="00E22FF2" w:rsidRPr="00E4265B" w:rsidRDefault="00E22FF2" w:rsidP="00FC782C">
            <w:pPr>
              <w:spacing w:after="240"/>
              <w:rPr>
                <w:rFonts w:ascii="Arial" w:hAnsi="Arial" w:cs="Arial"/>
                <w:sz w:val="22"/>
                <w:szCs w:val="22"/>
                <w:lang w:val="en-GB"/>
              </w:rPr>
            </w:pPr>
          </w:p>
        </w:tc>
      </w:tr>
      <w:tr w:rsidR="00E22FF2" w:rsidRPr="00E4265B" w14:paraId="243533E2" w14:textId="77777777" w:rsidTr="008D19E8">
        <w:tc>
          <w:tcPr>
            <w:tcW w:w="2715" w:type="dxa"/>
            <w:vMerge w:val="restart"/>
            <w:vAlign w:val="center"/>
          </w:tcPr>
          <w:p w14:paraId="3546ACA4"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Retail Banking</w:t>
            </w:r>
          </w:p>
        </w:tc>
        <w:tc>
          <w:tcPr>
            <w:tcW w:w="2595" w:type="dxa"/>
            <w:vAlign w:val="center"/>
          </w:tcPr>
          <w:p w14:paraId="7359E60B"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Retail Banking</w:t>
            </w:r>
          </w:p>
        </w:tc>
        <w:tc>
          <w:tcPr>
            <w:tcW w:w="2835" w:type="dxa"/>
            <w:vAlign w:val="center"/>
          </w:tcPr>
          <w:p w14:paraId="5ADB255C"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 xml:space="preserve">Retail lending and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banking services, trust and estates.</w:t>
            </w:r>
          </w:p>
        </w:tc>
      </w:tr>
      <w:tr w:rsidR="00E22FF2" w:rsidRPr="00E4265B" w14:paraId="69D3D41C" w14:textId="77777777" w:rsidTr="008D19E8">
        <w:tc>
          <w:tcPr>
            <w:tcW w:w="2715" w:type="dxa"/>
            <w:vMerge/>
            <w:vAlign w:val="center"/>
          </w:tcPr>
          <w:p w14:paraId="28142970" w14:textId="77777777" w:rsidR="00E22FF2" w:rsidRPr="00E4265B" w:rsidRDefault="00E22FF2" w:rsidP="00FC782C">
            <w:pPr>
              <w:spacing w:after="240"/>
              <w:rPr>
                <w:rFonts w:ascii="Arial" w:hAnsi="Arial" w:cs="Arial"/>
                <w:sz w:val="22"/>
                <w:szCs w:val="22"/>
                <w:lang w:val="en-GB"/>
              </w:rPr>
            </w:pPr>
          </w:p>
        </w:tc>
        <w:tc>
          <w:tcPr>
            <w:tcW w:w="2595" w:type="dxa"/>
            <w:vAlign w:val="center"/>
          </w:tcPr>
          <w:p w14:paraId="28867A57"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Private Banking</w:t>
            </w:r>
          </w:p>
        </w:tc>
        <w:tc>
          <w:tcPr>
            <w:tcW w:w="2835" w:type="dxa"/>
            <w:vAlign w:val="center"/>
          </w:tcPr>
          <w:p w14:paraId="4A102E7A"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 xml:space="preserve">Private lending and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banking services, trust and estates, investment advice.</w:t>
            </w:r>
          </w:p>
        </w:tc>
      </w:tr>
      <w:tr w:rsidR="00E22FF2" w:rsidRPr="00E4265B" w14:paraId="4DF5B91D" w14:textId="77777777" w:rsidTr="008D19E8">
        <w:tc>
          <w:tcPr>
            <w:tcW w:w="2715" w:type="dxa"/>
            <w:vMerge/>
            <w:vAlign w:val="center"/>
          </w:tcPr>
          <w:p w14:paraId="7E7D358C" w14:textId="77777777" w:rsidR="00E22FF2" w:rsidRPr="00E4265B" w:rsidRDefault="00E22FF2" w:rsidP="00FC782C">
            <w:pPr>
              <w:rPr>
                <w:rFonts w:ascii="Arial" w:hAnsi="Arial" w:cs="Arial"/>
                <w:sz w:val="22"/>
                <w:szCs w:val="22"/>
                <w:lang w:val="en-GB"/>
              </w:rPr>
            </w:pPr>
          </w:p>
        </w:tc>
        <w:tc>
          <w:tcPr>
            <w:tcW w:w="2595" w:type="dxa"/>
            <w:vAlign w:val="center"/>
          </w:tcPr>
          <w:p w14:paraId="247C33F9"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Card Services</w:t>
            </w:r>
          </w:p>
        </w:tc>
        <w:tc>
          <w:tcPr>
            <w:tcW w:w="2835" w:type="dxa"/>
            <w:vAlign w:val="center"/>
          </w:tcPr>
          <w:p w14:paraId="4BE29187"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Merchant/commercial/</w:t>
            </w:r>
            <w:r w:rsidRPr="00E4265B">
              <w:rPr>
                <w:rFonts w:ascii="Arial" w:hAnsi="Arial" w:cs="Arial"/>
                <w:sz w:val="22"/>
                <w:szCs w:val="22"/>
                <w:lang w:val="en-GB"/>
              </w:rPr>
              <w:br/>
              <w:t>corporate cards, private labels and retail.</w:t>
            </w:r>
          </w:p>
        </w:tc>
      </w:tr>
      <w:tr w:rsidR="00E22FF2" w:rsidRPr="00E4265B" w14:paraId="7CB71808" w14:textId="77777777" w:rsidTr="008D19E8">
        <w:tc>
          <w:tcPr>
            <w:tcW w:w="2715" w:type="dxa"/>
            <w:vAlign w:val="center"/>
          </w:tcPr>
          <w:p w14:paraId="66CB7BE7" w14:textId="77777777" w:rsidR="00E22FF2" w:rsidRPr="00E4265B" w:rsidRDefault="00E22FF2" w:rsidP="00FC782C">
            <w:pPr>
              <w:rPr>
                <w:rFonts w:ascii="Arial" w:hAnsi="Arial" w:cs="Arial"/>
                <w:sz w:val="22"/>
                <w:szCs w:val="22"/>
                <w:lang w:val="en-GB"/>
              </w:rPr>
            </w:pPr>
            <w:r w:rsidRPr="00E4265B">
              <w:rPr>
                <w:rFonts w:ascii="Arial" w:hAnsi="Arial" w:cs="Arial"/>
                <w:sz w:val="22"/>
                <w:szCs w:val="22"/>
                <w:lang w:val="en-GB"/>
              </w:rPr>
              <w:t>Commercial Banking</w:t>
            </w:r>
          </w:p>
        </w:tc>
        <w:tc>
          <w:tcPr>
            <w:tcW w:w="2595" w:type="dxa"/>
            <w:vAlign w:val="center"/>
          </w:tcPr>
          <w:p w14:paraId="275D3C1D"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Commercial Banking</w:t>
            </w:r>
          </w:p>
        </w:tc>
        <w:tc>
          <w:tcPr>
            <w:tcW w:w="2835" w:type="dxa"/>
            <w:vAlign w:val="center"/>
          </w:tcPr>
          <w:p w14:paraId="3ED7ED4A"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Project finance, real estate, export finance, trade finance,</w:t>
            </w:r>
            <w:r w:rsidRPr="00E4265B">
              <w:rPr>
                <w:rFonts w:ascii="Arial" w:hAnsi="Arial" w:cs="Arial"/>
                <w:sz w:val="22"/>
                <w:szCs w:val="22"/>
                <w:lang w:val="en-GB"/>
              </w:rPr>
              <w:br/>
              <w:t>factoring, leasing, lending, guarantees, bills of exchange.</w:t>
            </w:r>
          </w:p>
        </w:tc>
      </w:tr>
      <w:tr w:rsidR="00E22FF2" w:rsidRPr="00E4265B" w14:paraId="5A4A0CAE" w14:textId="77777777" w:rsidTr="008D19E8">
        <w:tc>
          <w:tcPr>
            <w:tcW w:w="2715" w:type="dxa"/>
            <w:vAlign w:val="center"/>
          </w:tcPr>
          <w:p w14:paraId="1721D72E"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Payment and Settlement</w:t>
            </w:r>
          </w:p>
        </w:tc>
        <w:tc>
          <w:tcPr>
            <w:tcW w:w="2595" w:type="dxa"/>
            <w:vAlign w:val="center"/>
          </w:tcPr>
          <w:p w14:paraId="0848C553"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External Clients</w:t>
            </w:r>
          </w:p>
        </w:tc>
        <w:tc>
          <w:tcPr>
            <w:tcW w:w="2835" w:type="dxa"/>
            <w:vAlign w:val="center"/>
          </w:tcPr>
          <w:p w14:paraId="6AC6AACF"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Payments and collections, funds transfer, clearing and Settlement.</w:t>
            </w:r>
          </w:p>
          <w:p w14:paraId="6293C71A"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 xml:space="preserve">Note: Payment and settlement losses related to an </w:t>
            </w:r>
            <w:r w:rsidR="000D1A90" w:rsidRPr="00E4265B">
              <w:rPr>
                <w:rFonts w:ascii="Arial" w:hAnsi="Arial" w:cs="Arial"/>
                <w:sz w:val="22"/>
                <w:szCs w:val="22"/>
                <w:lang w:val="en-GB"/>
              </w:rPr>
              <w:t>Authorised Person</w:t>
            </w:r>
            <w:r w:rsidRPr="00E4265B">
              <w:rPr>
                <w:rFonts w:ascii="Arial" w:hAnsi="Arial" w:cs="Arial"/>
                <w:sz w:val="22"/>
                <w:szCs w:val="22"/>
                <w:lang w:val="en-GB"/>
              </w:rPr>
              <w:t>'s own activities would be incorporated in the loss experience of the affected business line.</w:t>
            </w:r>
          </w:p>
        </w:tc>
      </w:tr>
      <w:tr w:rsidR="00E22FF2" w:rsidRPr="00E4265B" w14:paraId="3AA4FF1B" w14:textId="77777777" w:rsidTr="008D19E8">
        <w:tc>
          <w:tcPr>
            <w:tcW w:w="2715" w:type="dxa"/>
            <w:vMerge w:val="restart"/>
            <w:vAlign w:val="center"/>
          </w:tcPr>
          <w:p w14:paraId="65D5600D"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Agency Services</w:t>
            </w:r>
          </w:p>
        </w:tc>
        <w:tc>
          <w:tcPr>
            <w:tcW w:w="2595" w:type="dxa"/>
            <w:vAlign w:val="center"/>
          </w:tcPr>
          <w:p w14:paraId="45D2C1B1"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Custody</w:t>
            </w:r>
          </w:p>
        </w:tc>
        <w:tc>
          <w:tcPr>
            <w:tcW w:w="2835" w:type="dxa"/>
            <w:vAlign w:val="center"/>
          </w:tcPr>
          <w:p w14:paraId="415D7D84"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 xml:space="preserve">Escrow, depository receipts,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lending (customers) corporate actions.</w:t>
            </w:r>
          </w:p>
        </w:tc>
      </w:tr>
      <w:tr w:rsidR="00E22FF2" w:rsidRPr="00E4265B" w14:paraId="25468DDE" w14:textId="77777777" w:rsidTr="008D19E8">
        <w:tc>
          <w:tcPr>
            <w:tcW w:w="2715" w:type="dxa"/>
            <w:vMerge/>
            <w:vAlign w:val="center"/>
          </w:tcPr>
          <w:p w14:paraId="66DB7397" w14:textId="77777777" w:rsidR="00E22FF2" w:rsidRPr="00E4265B" w:rsidRDefault="00E22FF2" w:rsidP="00FC782C">
            <w:pPr>
              <w:spacing w:after="240"/>
              <w:rPr>
                <w:rFonts w:ascii="Arial" w:hAnsi="Arial" w:cs="Arial"/>
                <w:sz w:val="22"/>
                <w:szCs w:val="22"/>
                <w:lang w:val="en-GB"/>
              </w:rPr>
            </w:pPr>
          </w:p>
        </w:tc>
        <w:tc>
          <w:tcPr>
            <w:tcW w:w="2595" w:type="dxa"/>
            <w:vAlign w:val="center"/>
          </w:tcPr>
          <w:p w14:paraId="0BEE5E52"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Corporate Agency</w:t>
            </w:r>
          </w:p>
        </w:tc>
        <w:tc>
          <w:tcPr>
            <w:tcW w:w="2835" w:type="dxa"/>
            <w:vAlign w:val="center"/>
          </w:tcPr>
          <w:p w14:paraId="52A529EF"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Issuer and paying agents.</w:t>
            </w:r>
          </w:p>
        </w:tc>
      </w:tr>
      <w:tr w:rsidR="00E22FF2" w:rsidRPr="00E4265B" w14:paraId="0DE8CDA2" w14:textId="77777777" w:rsidTr="008D19E8">
        <w:tc>
          <w:tcPr>
            <w:tcW w:w="2715" w:type="dxa"/>
            <w:vMerge/>
            <w:vAlign w:val="center"/>
          </w:tcPr>
          <w:p w14:paraId="1EBD4189" w14:textId="77777777" w:rsidR="00E22FF2" w:rsidRPr="00E4265B" w:rsidRDefault="00E22FF2" w:rsidP="00FC782C">
            <w:pPr>
              <w:spacing w:after="240"/>
              <w:rPr>
                <w:rFonts w:ascii="Arial" w:hAnsi="Arial" w:cs="Arial"/>
                <w:sz w:val="22"/>
                <w:szCs w:val="22"/>
                <w:lang w:val="en-GB"/>
              </w:rPr>
            </w:pPr>
          </w:p>
        </w:tc>
        <w:tc>
          <w:tcPr>
            <w:tcW w:w="2595" w:type="dxa"/>
            <w:vAlign w:val="center"/>
          </w:tcPr>
          <w:p w14:paraId="5D87EDF9"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Corporate Trust</w:t>
            </w:r>
          </w:p>
        </w:tc>
        <w:tc>
          <w:tcPr>
            <w:tcW w:w="2835" w:type="dxa"/>
            <w:vAlign w:val="center"/>
          </w:tcPr>
          <w:p w14:paraId="42C1550E" w14:textId="3FF57541" w:rsidR="00E22FF2" w:rsidRPr="00E4265B" w:rsidRDefault="00553790" w:rsidP="001E1ADD">
            <w:pPr>
              <w:spacing w:after="240"/>
              <w:rPr>
                <w:rFonts w:ascii="Arial" w:hAnsi="Arial" w:cs="Arial"/>
                <w:sz w:val="22"/>
                <w:szCs w:val="22"/>
                <w:lang w:val="en-GB"/>
              </w:rPr>
            </w:pPr>
            <w:r w:rsidRPr="00E4265B">
              <w:rPr>
                <w:rFonts w:ascii="Arial" w:hAnsi="Arial" w:cs="Arial"/>
                <w:sz w:val="22"/>
                <w:szCs w:val="22"/>
                <w:lang w:val="en-GB"/>
              </w:rPr>
              <w:t>n/a</w:t>
            </w:r>
          </w:p>
        </w:tc>
      </w:tr>
      <w:tr w:rsidR="00E22FF2" w:rsidRPr="00E4265B" w14:paraId="28070331" w14:textId="77777777" w:rsidTr="008D19E8">
        <w:tc>
          <w:tcPr>
            <w:tcW w:w="2715" w:type="dxa"/>
            <w:vMerge w:val="restart"/>
            <w:vAlign w:val="center"/>
          </w:tcPr>
          <w:p w14:paraId="372587A2"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lastRenderedPageBreak/>
              <w:t>Asset Management</w:t>
            </w:r>
          </w:p>
        </w:tc>
        <w:tc>
          <w:tcPr>
            <w:tcW w:w="2595" w:type="dxa"/>
            <w:vAlign w:val="center"/>
          </w:tcPr>
          <w:p w14:paraId="35D12C24"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Discretionary Fund</w:t>
            </w:r>
            <w:r w:rsidRPr="00E4265B">
              <w:rPr>
                <w:rFonts w:ascii="Arial" w:hAnsi="Arial" w:cs="Arial"/>
                <w:sz w:val="22"/>
                <w:szCs w:val="22"/>
                <w:lang w:val="en-GB"/>
              </w:rPr>
              <w:br/>
              <w:t>Management</w:t>
            </w:r>
          </w:p>
        </w:tc>
        <w:tc>
          <w:tcPr>
            <w:tcW w:w="2835" w:type="dxa"/>
            <w:vAlign w:val="center"/>
          </w:tcPr>
          <w:p w14:paraId="34973633"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Pooled, segregated, retail, institutional, closed, open, private Equity.</w:t>
            </w:r>
          </w:p>
        </w:tc>
      </w:tr>
      <w:tr w:rsidR="00E22FF2" w:rsidRPr="00E4265B" w14:paraId="02319D76" w14:textId="77777777" w:rsidTr="008D19E8">
        <w:tc>
          <w:tcPr>
            <w:tcW w:w="2715" w:type="dxa"/>
            <w:vMerge/>
            <w:vAlign w:val="center"/>
          </w:tcPr>
          <w:p w14:paraId="30123F46" w14:textId="77777777" w:rsidR="00E22FF2" w:rsidRPr="00E4265B" w:rsidRDefault="00E22FF2" w:rsidP="00FC782C">
            <w:pPr>
              <w:spacing w:after="240"/>
              <w:rPr>
                <w:rFonts w:ascii="Arial" w:hAnsi="Arial" w:cs="Arial"/>
                <w:sz w:val="22"/>
                <w:szCs w:val="22"/>
                <w:lang w:val="en-GB"/>
              </w:rPr>
            </w:pPr>
          </w:p>
        </w:tc>
        <w:tc>
          <w:tcPr>
            <w:tcW w:w="2595" w:type="dxa"/>
            <w:vAlign w:val="center"/>
          </w:tcPr>
          <w:p w14:paraId="47123D6A"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Non-Discretionary Fund Management</w:t>
            </w:r>
          </w:p>
        </w:tc>
        <w:tc>
          <w:tcPr>
            <w:tcW w:w="2835" w:type="dxa"/>
            <w:vAlign w:val="center"/>
          </w:tcPr>
          <w:p w14:paraId="21CAF54F" w14:textId="77777777" w:rsidR="00E22FF2" w:rsidRPr="00E4265B" w:rsidRDefault="00E22FF2" w:rsidP="00FC782C">
            <w:pPr>
              <w:spacing w:after="240"/>
              <w:rPr>
                <w:rFonts w:ascii="Arial" w:hAnsi="Arial" w:cs="Arial"/>
                <w:sz w:val="22"/>
                <w:szCs w:val="22"/>
                <w:lang w:val="en-GB"/>
              </w:rPr>
            </w:pPr>
            <w:r w:rsidRPr="00E4265B">
              <w:rPr>
                <w:rFonts w:ascii="Arial" w:hAnsi="Arial" w:cs="Arial"/>
                <w:sz w:val="22"/>
                <w:szCs w:val="22"/>
                <w:lang w:val="en-GB"/>
              </w:rPr>
              <w:t>Pooled, segregated, retail, institutional, closed, open.</w:t>
            </w:r>
          </w:p>
        </w:tc>
      </w:tr>
      <w:tr w:rsidR="00E22FF2" w:rsidRPr="00E4265B" w14:paraId="62A5C7D7" w14:textId="77777777" w:rsidTr="008D19E8">
        <w:tc>
          <w:tcPr>
            <w:tcW w:w="2715" w:type="dxa"/>
            <w:vAlign w:val="center"/>
          </w:tcPr>
          <w:p w14:paraId="44726F77" w14:textId="77777777" w:rsidR="00E22FF2" w:rsidRPr="00E4265B" w:rsidRDefault="00E22FF2" w:rsidP="00A25113">
            <w:pPr>
              <w:spacing w:after="240"/>
              <w:rPr>
                <w:rFonts w:ascii="Arial" w:hAnsi="Arial" w:cs="Arial"/>
                <w:sz w:val="22"/>
                <w:szCs w:val="22"/>
                <w:lang w:val="en-GB"/>
              </w:rPr>
            </w:pPr>
            <w:r w:rsidRPr="00E4265B">
              <w:rPr>
                <w:rFonts w:ascii="Arial" w:hAnsi="Arial" w:cs="Arial"/>
                <w:sz w:val="22"/>
                <w:szCs w:val="22"/>
                <w:lang w:val="en-GB"/>
              </w:rPr>
              <w:t>Retail Brokerage</w:t>
            </w:r>
          </w:p>
        </w:tc>
        <w:tc>
          <w:tcPr>
            <w:tcW w:w="2595" w:type="dxa"/>
            <w:vAlign w:val="center"/>
          </w:tcPr>
          <w:p w14:paraId="752AF987" w14:textId="77777777" w:rsidR="00E22FF2" w:rsidRPr="00E4265B" w:rsidRDefault="00E22FF2" w:rsidP="00A25113">
            <w:pPr>
              <w:spacing w:after="240"/>
              <w:rPr>
                <w:rFonts w:ascii="Arial" w:hAnsi="Arial" w:cs="Arial"/>
                <w:sz w:val="22"/>
                <w:szCs w:val="22"/>
                <w:lang w:val="en-GB"/>
              </w:rPr>
            </w:pPr>
            <w:r w:rsidRPr="00E4265B">
              <w:rPr>
                <w:rFonts w:ascii="Arial" w:hAnsi="Arial" w:cs="Arial"/>
                <w:sz w:val="22"/>
                <w:szCs w:val="22"/>
                <w:lang w:val="en-GB"/>
              </w:rPr>
              <w:t>Retail Brokerage</w:t>
            </w:r>
          </w:p>
        </w:tc>
        <w:tc>
          <w:tcPr>
            <w:tcW w:w="2835" w:type="dxa"/>
            <w:vAlign w:val="center"/>
          </w:tcPr>
          <w:p w14:paraId="0CB3A3F6" w14:textId="77777777" w:rsidR="00E22FF2" w:rsidRPr="00E4265B" w:rsidRDefault="00E22FF2" w:rsidP="00A25113">
            <w:pPr>
              <w:spacing w:after="240"/>
              <w:rPr>
                <w:rFonts w:ascii="Arial" w:hAnsi="Arial" w:cs="Arial"/>
                <w:sz w:val="22"/>
                <w:szCs w:val="22"/>
                <w:lang w:val="en-GB"/>
              </w:rPr>
            </w:pPr>
            <w:r w:rsidRPr="00E4265B">
              <w:rPr>
                <w:rFonts w:ascii="Arial" w:hAnsi="Arial" w:cs="Arial"/>
                <w:sz w:val="22"/>
                <w:szCs w:val="22"/>
                <w:lang w:val="en-GB"/>
              </w:rPr>
              <w:t>Execution and full service.</w:t>
            </w:r>
          </w:p>
        </w:tc>
      </w:tr>
    </w:tbl>
    <w:p w14:paraId="1E92E2D2" w14:textId="77777777" w:rsidR="00E22FF2" w:rsidRPr="00E4265B" w:rsidRDefault="00E22FF2">
      <w:pPr>
        <w:rPr>
          <w:rFonts w:ascii="Arial" w:hAnsi="Arial" w:cs="Arial"/>
          <w:sz w:val="22"/>
          <w:szCs w:val="22"/>
          <w:lang w:val="en-GB"/>
        </w:rPr>
      </w:pPr>
      <w:r w:rsidRPr="00E4265B">
        <w:rPr>
          <w:rFonts w:ascii="Arial" w:hAnsi="Arial" w:cs="Arial"/>
          <w:sz w:val="22"/>
          <w:szCs w:val="22"/>
          <w:lang w:val="en-GB"/>
        </w:rPr>
        <w:br w:type="page"/>
      </w:r>
    </w:p>
    <w:p w14:paraId="04145E0C" w14:textId="10436AE7" w:rsidR="00E22FF2" w:rsidRPr="00E4265B" w:rsidRDefault="00E22FF2" w:rsidP="00384436">
      <w:pPr>
        <w:pStyle w:val="UK12Title"/>
        <w:rPr>
          <w:rFonts w:ascii="Arial" w:hAnsi="Arial" w:cs="Arial"/>
          <w:sz w:val="22"/>
          <w:szCs w:val="22"/>
          <w:lang w:val="en-GB"/>
        </w:rPr>
      </w:pPr>
      <w:bookmarkStart w:id="1002" w:name="_Toc404624446"/>
      <w:bookmarkStart w:id="1003" w:name="_Toc33622509"/>
      <w:r w:rsidRPr="00E4265B">
        <w:rPr>
          <w:rFonts w:ascii="Arial" w:hAnsi="Arial" w:cs="Arial"/>
          <w:sz w:val="22"/>
          <w:szCs w:val="22"/>
          <w:lang w:val="en-GB"/>
        </w:rPr>
        <w:lastRenderedPageBreak/>
        <w:t>APP</w:t>
      </w:r>
      <w:r w:rsidR="00EB3552" w:rsidRPr="00E4265B">
        <w:rPr>
          <w:rFonts w:ascii="Arial" w:hAnsi="Arial" w:cs="Arial"/>
          <w:sz w:val="22"/>
          <w:szCs w:val="22"/>
          <w:lang w:val="en-GB"/>
        </w:rPr>
        <w:t>8</w:t>
      </w:r>
      <w:r w:rsidR="00384436" w:rsidRPr="00E4265B">
        <w:rPr>
          <w:rFonts w:ascii="Arial" w:hAnsi="Arial" w:cs="Arial"/>
          <w:sz w:val="22"/>
          <w:szCs w:val="22"/>
          <w:lang w:val="en-GB"/>
        </w:rPr>
        <w:tab/>
      </w:r>
      <w:r w:rsidRPr="00E4265B">
        <w:rPr>
          <w:rFonts w:ascii="Arial" w:hAnsi="Arial" w:cs="Arial"/>
          <w:sz w:val="22"/>
          <w:szCs w:val="22"/>
          <w:lang w:val="en-GB"/>
        </w:rPr>
        <w:t>NOT USED</w:t>
      </w:r>
      <w:bookmarkEnd w:id="1002"/>
      <w:bookmarkEnd w:id="1003"/>
    </w:p>
    <w:p w14:paraId="1C68A37A" w14:textId="77777777" w:rsidR="00E22FF2" w:rsidRPr="00E4265B" w:rsidRDefault="00E22FF2" w:rsidP="00BC03B0">
      <w:pPr>
        <w:rPr>
          <w:rFonts w:ascii="Arial" w:hAnsi="Arial" w:cs="Arial"/>
          <w:sz w:val="22"/>
          <w:szCs w:val="22"/>
          <w:lang w:val="en-GB"/>
        </w:rPr>
      </w:pPr>
    </w:p>
    <w:p w14:paraId="7554487C" w14:textId="77777777" w:rsidR="00E22FF2" w:rsidRPr="00E4265B" w:rsidRDefault="00E22FF2">
      <w:pPr>
        <w:rPr>
          <w:rFonts w:ascii="Arial" w:hAnsi="Arial" w:cs="Arial"/>
          <w:sz w:val="22"/>
          <w:szCs w:val="22"/>
          <w:lang w:val="en-GB"/>
        </w:rPr>
      </w:pPr>
    </w:p>
    <w:p w14:paraId="3D6DB858" w14:textId="59669B19" w:rsidR="00E22FF2" w:rsidRPr="00E4265B" w:rsidRDefault="00E22FF2" w:rsidP="00384436">
      <w:pPr>
        <w:pStyle w:val="UK12Title"/>
        <w:rPr>
          <w:rFonts w:ascii="Arial" w:hAnsi="Arial" w:cs="Arial"/>
          <w:sz w:val="22"/>
          <w:szCs w:val="22"/>
          <w:lang w:val="en-GB"/>
        </w:rPr>
      </w:pPr>
      <w:bookmarkStart w:id="1004" w:name="_Toc404624447"/>
      <w:bookmarkStart w:id="1005" w:name="_Toc33622510"/>
      <w:r w:rsidRPr="00E4265B">
        <w:rPr>
          <w:rFonts w:ascii="Arial" w:hAnsi="Arial" w:cs="Arial"/>
          <w:sz w:val="22"/>
          <w:szCs w:val="22"/>
          <w:lang w:val="en-GB"/>
        </w:rPr>
        <w:t>APP</w:t>
      </w:r>
      <w:r w:rsidR="00EB3552" w:rsidRPr="00E4265B">
        <w:rPr>
          <w:rFonts w:ascii="Arial" w:hAnsi="Arial" w:cs="Arial"/>
          <w:sz w:val="22"/>
          <w:szCs w:val="22"/>
          <w:lang w:val="en-GB"/>
        </w:rPr>
        <w:t>9</w:t>
      </w:r>
      <w:r w:rsidR="00384436" w:rsidRPr="00E4265B">
        <w:rPr>
          <w:rFonts w:ascii="Arial" w:hAnsi="Arial" w:cs="Arial"/>
          <w:sz w:val="22"/>
          <w:szCs w:val="22"/>
          <w:lang w:val="en-GB"/>
        </w:rPr>
        <w:tab/>
      </w:r>
      <w:r w:rsidRPr="00E4265B">
        <w:rPr>
          <w:rFonts w:ascii="Arial" w:hAnsi="Arial" w:cs="Arial"/>
          <w:sz w:val="22"/>
          <w:szCs w:val="22"/>
          <w:lang w:val="en-GB"/>
        </w:rPr>
        <w:t>NOT USED</w:t>
      </w:r>
      <w:bookmarkEnd w:id="1004"/>
      <w:bookmarkEnd w:id="1005"/>
    </w:p>
    <w:p w14:paraId="3545CA6E" w14:textId="77777777" w:rsidR="00E22FF2" w:rsidRPr="00E4265B" w:rsidRDefault="00E22FF2" w:rsidP="00BC03B0">
      <w:pPr>
        <w:rPr>
          <w:rFonts w:ascii="Arial" w:hAnsi="Arial" w:cs="Arial"/>
          <w:sz w:val="22"/>
          <w:szCs w:val="22"/>
          <w:lang w:val="en-GB"/>
        </w:rPr>
      </w:pPr>
    </w:p>
    <w:p w14:paraId="5173BC38" w14:textId="5F57AF54" w:rsidR="00E22FF2" w:rsidRPr="00E4265B" w:rsidRDefault="00E22FF2" w:rsidP="00384436">
      <w:pPr>
        <w:pStyle w:val="UK12Title"/>
        <w:tabs>
          <w:tab w:val="left" w:pos="990"/>
        </w:tabs>
        <w:rPr>
          <w:rFonts w:ascii="Arial" w:hAnsi="Arial" w:cs="Arial"/>
          <w:sz w:val="22"/>
          <w:szCs w:val="22"/>
          <w:lang w:val="en-GB"/>
        </w:rPr>
      </w:pPr>
      <w:r w:rsidRPr="00E4265B">
        <w:rPr>
          <w:rFonts w:ascii="Arial" w:hAnsi="Arial" w:cs="Arial"/>
          <w:sz w:val="22"/>
          <w:szCs w:val="22"/>
          <w:lang w:val="en-GB"/>
        </w:rPr>
        <w:br w:type="page"/>
      </w:r>
      <w:bookmarkStart w:id="1006" w:name="_Toc404624448"/>
      <w:bookmarkStart w:id="1007" w:name="_Toc33622511"/>
      <w:r w:rsidR="00EB3552" w:rsidRPr="00E4265B">
        <w:rPr>
          <w:rFonts w:ascii="Arial" w:hAnsi="Arial" w:cs="Arial"/>
          <w:sz w:val="22"/>
          <w:szCs w:val="22"/>
          <w:lang w:val="en-GB"/>
        </w:rPr>
        <w:lastRenderedPageBreak/>
        <w:t>APP10</w:t>
      </w:r>
      <w:r w:rsidR="00384436" w:rsidRPr="00E4265B">
        <w:rPr>
          <w:rFonts w:ascii="Arial" w:hAnsi="Arial" w:cs="Arial"/>
          <w:sz w:val="22"/>
          <w:szCs w:val="22"/>
          <w:lang w:val="en-GB"/>
        </w:rPr>
        <w:tab/>
      </w:r>
      <w:r w:rsidRPr="00E4265B">
        <w:rPr>
          <w:rFonts w:ascii="Arial" w:hAnsi="Arial" w:cs="Arial"/>
          <w:sz w:val="22"/>
          <w:szCs w:val="22"/>
          <w:lang w:val="en-GB"/>
        </w:rPr>
        <w:t>LIQUIDITY</w:t>
      </w:r>
      <w:bookmarkEnd w:id="1006"/>
      <w:bookmarkEnd w:id="1007"/>
    </w:p>
    <w:p w14:paraId="60089D83" w14:textId="77777777" w:rsidR="00E22FF2" w:rsidRPr="00E4265B" w:rsidRDefault="00E22FF2" w:rsidP="00D70176">
      <w:pPr>
        <w:pStyle w:val="UK12Title2"/>
        <w:rPr>
          <w:rFonts w:ascii="Arial" w:hAnsi="Arial" w:cs="Arial"/>
          <w:sz w:val="22"/>
          <w:szCs w:val="22"/>
        </w:rPr>
      </w:pPr>
      <w:bookmarkStart w:id="1008" w:name="_Toc33622512"/>
      <w:r w:rsidRPr="00E4265B">
        <w:rPr>
          <w:rFonts w:ascii="Arial" w:hAnsi="Arial" w:cs="Arial"/>
          <w:sz w:val="22"/>
          <w:szCs w:val="22"/>
        </w:rPr>
        <w:t>A</w:t>
      </w:r>
      <w:r w:rsidR="00EB3552" w:rsidRPr="00E4265B">
        <w:rPr>
          <w:rFonts w:ascii="Arial" w:hAnsi="Arial" w:cs="Arial"/>
          <w:sz w:val="22"/>
          <w:szCs w:val="22"/>
        </w:rPr>
        <w:t>10</w:t>
      </w:r>
      <w:r w:rsidRPr="00E4265B">
        <w:rPr>
          <w:rFonts w:ascii="Arial" w:hAnsi="Arial" w:cs="Arial"/>
          <w:sz w:val="22"/>
          <w:szCs w:val="22"/>
        </w:rPr>
        <w:t xml:space="preserve">.1 </w:t>
      </w:r>
      <w:r w:rsidRPr="00E4265B">
        <w:rPr>
          <w:rFonts w:ascii="Arial" w:hAnsi="Arial" w:cs="Arial"/>
          <w:sz w:val="22"/>
          <w:szCs w:val="22"/>
        </w:rPr>
        <w:tab/>
        <w:t>Application for a global liquidity concession</w:t>
      </w:r>
      <w:bookmarkEnd w:id="1008"/>
      <w:r w:rsidRPr="00E4265B">
        <w:rPr>
          <w:rFonts w:ascii="Arial" w:hAnsi="Arial" w:cs="Arial"/>
          <w:sz w:val="22"/>
          <w:szCs w:val="22"/>
        </w:rPr>
        <w:t xml:space="preserve"> </w:t>
      </w:r>
    </w:p>
    <w:p w14:paraId="458F9D61" w14:textId="106B0835" w:rsidR="00E22FF2" w:rsidRPr="00E4265B" w:rsidRDefault="00E22FF2" w:rsidP="009D60B3">
      <w:pPr>
        <w:pStyle w:val="A1List"/>
        <w:tabs>
          <w:tab w:val="clear" w:pos="990"/>
          <w:tab w:val="left" w:pos="993"/>
        </w:tabs>
        <w:ind w:left="1800" w:hanging="1800"/>
        <w:rPr>
          <w:rFonts w:ascii="Arial" w:hAnsi="Arial" w:cs="Arial"/>
          <w:sz w:val="22"/>
          <w:szCs w:val="22"/>
          <w:lang w:val="en-GB"/>
        </w:rPr>
      </w:pPr>
      <w:r w:rsidRPr="00E4265B">
        <w:rPr>
          <w:rFonts w:ascii="Arial" w:hAnsi="Arial" w:cs="Arial"/>
          <w:b/>
          <w:bCs/>
          <w:sz w:val="22"/>
          <w:szCs w:val="22"/>
          <w:lang w:val="en-GB"/>
        </w:rPr>
        <w:t>A</w:t>
      </w:r>
      <w:r w:rsidR="00EB3552" w:rsidRPr="00E4265B">
        <w:rPr>
          <w:rFonts w:ascii="Arial" w:hAnsi="Arial" w:cs="Arial"/>
          <w:b/>
          <w:bCs/>
          <w:sz w:val="22"/>
          <w:szCs w:val="22"/>
          <w:lang w:val="en-GB"/>
        </w:rPr>
        <w:t>10</w:t>
      </w:r>
      <w:r w:rsidRPr="00E4265B">
        <w:rPr>
          <w:rFonts w:ascii="Arial" w:hAnsi="Arial" w:cs="Arial"/>
          <w:b/>
          <w:bCs/>
          <w:sz w:val="22"/>
          <w:szCs w:val="22"/>
          <w:lang w:val="en-GB"/>
        </w:rPr>
        <w:t>.1.1</w:t>
      </w:r>
      <w:r w:rsidRPr="00E4265B">
        <w:rPr>
          <w:rFonts w:ascii="Arial" w:hAnsi="Arial" w:cs="Arial"/>
          <w:bCs/>
          <w:sz w:val="22"/>
          <w:szCs w:val="22"/>
          <w:lang w:val="en-GB"/>
        </w:rPr>
        <w:tab/>
      </w:r>
      <w:r w:rsidR="00384436" w:rsidRPr="00E4265B">
        <w:rPr>
          <w:rFonts w:ascii="Arial" w:hAnsi="Arial" w:cs="Arial"/>
          <w:sz w:val="22"/>
          <w:szCs w:val="22"/>
          <w:lang w:val="en-GB"/>
        </w:rPr>
        <w:t>(1)</w:t>
      </w:r>
      <w:r w:rsidRPr="00E4265B">
        <w:rPr>
          <w:rFonts w:ascii="Arial" w:hAnsi="Arial" w:cs="Arial"/>
          <w:sz w:val="22"/>
          <w:szCs w:val="22"/>
          <w:lang w:val="en-GB"/>
        </w:rPr>
        <w:tab/>
        <w:t xml:space="preserve">This Rule applies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carrying on business in or from the ADGM through a Branch that applies for a global liquidity concession under Rule 9.3.2. </w:t>
      </w:r>
    </w:p>
    <w:p w14:paraId="31957692" w14:textId="03983EB7" w:rsidR="00E22FF2" w:rsidRPr="00E4265B" w:rsidRDefault="00384436" w:rsidP="009D60B3">
      <w:pPr>
        <w:pStyle w:val="1List"/>
        <w:ind w:hanging="807"/>
        <w:rPr>
          <w:rFonts w:ascii="Arial" w:hAnsi="Arial" w:cs="Arial"/>
          <w:sz w:val="22"/>
          <w:szCs w:val="22"/>
          <w:lang w:val="en-GB"/>
        </w:rPr>
      </w:pPr>
      <w:r w:rsidRPr="00E4265B">
        <w:rPr>
          <w:rFonts w:ascii="Arial" w:hAnsi="Arial" w:cs="Arial"/>
          <w:sz w:val="22"/>
          <w:szCs w:val="22"/>
          <w:lang w:val="en-GB"/>
        </w:rPr>
        <w:t>(2)</w:t>
      </w:r>
      <w:r w:rsidR="00E22FF2"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must demonstrate to the Regulator that: </w:t>
      </w:r>
    </w:p>
    <w:p w14:paraId="4DF27AD5" w14:textId="278C728D" w:rsidR="00E22FF2" w:rsidRPr="00E4265B" w:rsidRDefault="00E22FF2" w:rsidP="00846F4F">
      <w:pPr>
        <w:pStyle w:val="aList"/>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its Branch complies with all applicable liquidity systems and controls requirements in section 9.2; </w:t>
      </w:r>
    </w:p>
    <w:p w14:paraId="6A5F1544" w14:textId="4844E018" w:rsidR="00E22FF2" w:rsidRPr="00E4265B" w:rsidRDefault="00E22FF2" w:rsidP="00846F4F">
      <w:pPr>
        <w:pStyle w:val="aList"/>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its head office is established in a jurisdiction where there are no legal constraints imposed by the home supervisor or any other authority on the</w:t>
      </w:r>
      <w:r w:rsidR="00233D00" w:rsidRPr="00E4265B">
        <w:rPr>
          <w:rFonts w:ascii="Arial" w:hAnsi="Arial" w:cs="Arial"/>
          <w:sz w:val="22"/>
          <w:szCs w:val="22"/>
          <w:lang w:val="en-GB"/>
        </w:rPr>
        <w:t xml:space="preserve"> provision of liquidity to its B</w:t>
      </w:r>
      <w:r w:rsidRPr="00E4265B">
        <w:rPr>
          <w:rFonts w:ascii="Arial" w:hAnsi="Arial" w:cs="Arial"/>
          <w:sz w:val="22"/>
          <w:szCs w:val="22"/>
          <w:lang w:val="en-GB"/>
        </w:rPr>
        <w:t xml:space="preserve">ranch; and </w:t>
      </w:r>
    </w:p>
    <w:p w14:paraId="5CBFD460" w14:textId="1983FDBA" w:rsidR="00E22FF2" w:rsidRPr="00E4265B" w:rsidRDefault="00E22FF2" w:rsidP="00D05716">
      <w:pPr>
        <w:pStyle w:val="aList"/>
        <w:rPr>
          <w:rFonts w:ascii="Arial" w:hAnsi="Arial" w:cs="Arial"/>
          <w:sz w:val="22"/>
          <w:szCs w:val="22"/>
          <w:lang w:val="en-GB"/>
        </w:rPr>
      </w:pPr>
      <w:r w:rsidRPr="00E4265B">
        <w:rPr>
          <w:rFonts w:ascii="Arial" w:hAnsi="Arial" w:cs="Arial"/>
          <w:sz w:val="22"/>
          <w:szCs w:val="22"/>
          <w:lang w:val="en-GB"/>
        </w:rPr>
        <w:t>(c)</w:t>
      </w:r>
      <w:r w:rsidR="00384436" w:rsidRPr="00E4265B">
        <w:rPr>
          <w:rFonts w:ascii="Arial" w:hAnsi="Arial" w:cs="Arial"/>
          <w:sz w:val="22"/>
          <w:szCs w:val="22"/>
          <w:lang w:val="en-GB"/>
        </w:rPr>
        <w:tab/>
      </w:r>
      <w:r w:rsidRPr="00E4265B">
        <w:rPr>
          <w:rFonts w:ascii="Arial" w:hAnsi="Arial" w:cs="Arial"/>
          <w:sz w:val="22"/>
          <w:szCs w:val="22"/>
          <w:lang w:val="en-GB"/>
        </w:rPr>
        <w:t xml:space="preserve">its head office is subject to equivalent or more restrictive liquidity requirements, than those imposed by the Regulator. </w:t>
      </w:r>
    </w:p>
    <w:p w14:paraId="46435EAF" w14:textId="685CD1C9" w:rsidR="00E22FF2" w:rsidRPr="00E4265B" w:rsidRDefault="00384436" w:rsidP="009D60B3">
      <w:pPr>
        <w:pStyle w:val="1List"/>
        <w:ind w:left="1843" w:hanging="850"/>
        <w:rPr>
          <w:rFonts w:ascii="Arial" w:hAnsi="Arial" w:cs="Arial"/>
          <w:sz w:val="22"/>
          <w:szCs w:val="22"/>
          <w:lang w:val="en-GB"/>
        </w:rPr>
      </w:pPr>
      <w:r w:rsidRPr="00E4265B">
        <w:rPr>
          <w:rFonts w:ascii="Arial" w:hAnsi="Arial" w:cs="Arial"/>
          <w:sz w:val="22"/>
          <w:szCs w:val="22"/>
          <w:lang w:val="en-GB"/>
        </w:rPr>
        <w:t>(3)</w:t>
      </w:r>
      <w:r w:rsidR="00E22FF2" w:rsidRPr="00E4265B">
        <w:rPr>
          <w:rFonts w:ascii="Arial" w:hAnsi="Arial" w:cs="Arial"/>
          <w:sz w:val="22"/>
          <w:szCs w:val="22"/>
          <w:lang w:val="en-GB"/>
        </w:rPr>
        <w:tab/>
        <w:t xml:space="preserve">The Regulator may, when considering an application from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for a global liquidity concession, impose additional or alternative conditions to those specified in (2) or disapply a condition in (2). </w:t>
      </w:r>
    </w:p>
    <w:p w14:paraId="21944A6D" w14:textId="77777777" w:rsidR="00E22FF2" w:rsidRPr="00E4265B" w:rsidRDefault="00E22FF2" w:rsidP="00846F4F">
      <w:pPr>
        <w:pStyle w:val="TitleL5"/>
        <w:rPr>
          <w:rFonts w:ascii="Arial" w:hAnsi="Arial" w:cs="Arial"/>
          <w:sz w:val="22"/>
          <w:szCs w:val="22"/>
          <w:lang w:val="en-GB"/>
        </w:rPr>
      </w:pPr>
      <w:r w:rsidRPr="00E4265B">
        <w:rPr>
          <w:rFonts w:ascii="Arial" w:hAnsi="Arial" w:cs="Arial"/>
          <w:sz w:val="22"/>
          <w:szCs w:val="22"/>
          <w:lang w:val="en-GB"/>
        </w:rPr>
        <w:t xml:space="preserve">Guidance </w:t>
      </w:r>
    </w:p>
    <w:p w14:paraId="50F7EBD2" w14:textId="434814C2" w:rsidR="00E22FF2" w:rsidRPr="00E4265B" w:rsidRDefault="00384436" w:rsidP="00846F4F">
      <w:pPr>
        <w:pStyle w:val="1List0"/>
        <w:rPr>
          <w:rFonts w:ascii="Arial" w:hAnsi="Arial" w:cs="Arial"/>
          <w:sz w:val="22"/>
          <w:szCs w:val="22"/>
          <w:lang w:val="en-GB"/>
        </w:rPr>
      </w:pPr>
      <w:r w:rsidRPr="00E4265B">
        <w:rPr>
          <w:rFonts w:ascii="Arial" w:hAnsi="Arial" w:cs="Arial"/>
          <w:sz w:val="22"/>
          <w:szCs w:val="22"/>
          <w:lang w:val="en-GB"/>
        </w:rPr>
        <w:t>1.</w:t>
      </w:r>
      <w:r w:rsidR="00E22FF2" w:rsidRPr="00E4265B">
        <w:rPr>
          <w:rFonts w:ascii="Arial" w:hAnsi="Arial" w:cs="Arial"/>
          <w:sz w:val="22"/>
          <w:szCs w:val="22"/>
          <w:lang w:val="en-GB"/>
        </w:rPr>
        <w:tab/>
        <w:t xml:space="preserve">An application for a global liquidity concession pursuant to Rule 9.3.2 should include at least the following: </w:t>
      </w:r>
    </w:p>
    <w:p w14:paraId="521EC848" w14:textId="3CA3E30C" w:rsidR="00E22FF2" w:rsidRPr="00E4265B" w:rsidRDefault="00E22FF2" w:rsidP="00846F4F">
      <w:pPr>
        <w:pStyle w:val="aList0"/>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a clear description of the home supervisor's requirements for managing, monitoring and controlling liquidity risk; </w:t>
      </w:r>
    </w:p>
    <w:p w14:paraId="01F648B4" w14:textId="1562F2C9" w:rsidR="00E22FF2" w:rsidRPr="00E4265B" w:rsidRDefault="00E22FF2" w:rsidP="00846F4F">
      <w:pPr>
        <w:pStyle w:val="aList0"/>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a clear description of the systems and controls used by the head office to ensure the adequacy of the Branch's liquidity; </w:t>
      </w:r>
    </w:p>
    <w:p w14:paraId="604FCCFF" w14:textId="3E1C78CE" w:rsidR="00E22FF2" w:rsidRPr="00E4265B" w:rsidRDefault="00E22FF2" w:rsidP="00846F4F">
      <w:pPr>
        <w:pStyle w:val="aList0"/>
        <w:rPr>
          <w:rFonts w:ascii="Arial" w:hAnsi="Arial" w:cs="Arial"/>
          <w:sz w:val="22"/>
          <w:szCs w:val="22"/>
          <w:lang w:val="en-GB"/>
        </w:rPr>
      </w:pPr>
      <w:r w:rsidRPr="00E4265B">
        <w:rPr>
          <w:rFonts w:ascii="Arial" w:hAnsi="Arial" w:cs="Arial"/>
          <w:sz w:val="22"/>
          <w:szCs w:val="22"/>
          <w:lang w:val="en-GB"/>
        </w:rPr>
        <w:t>c.</w:t>
      </w:r>
      <w:r w:rsidR="00384436" w:rsidRPr="00E4265B">
        <w:rPr>
          <w:rFonts w:ascii="Arial" w:hAnsi="Arial" w:cs="Arial"/>
          <w:sz w:val="22"/>
          <w:szCs w:val="22"/>
          <w:lang w:val="en-GB"/>
        </w:rPr>
        <w:tab/>
      </w:r>
      <w:r w:rsidRPr="00E4265B">
        <w:rPr>
          <w:rFonts w:ascii="Arial" w:hAnsi="Arial" w:cs="Arial"/>
          <w:sz w:val="22"/>
          <w:szCs w:val="22"/>
          <w:lang w:val="en-GB"/>
        </w:rPr>
        <w:t xml:space="preserve">a written assurance from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head office that it will: </w:t>
      </w:r>
    </w:p>
    <w:p w14:paraId="707847E6" w14:textId="460628A5" w:rsidR="00E22FF2" w:rsidRPr="00E4265B" w:rsidRDefault="00E22FF2" w:rsidP="00846F4F">
      <w:pPr>
        <w:pStyle w:val="aList0"/>
        <w:ind w:left="3024"/>
        <w:rPr>
          <w:rFonts w:ascii="Arial" w:hAnsi="Arial" w:cs="Arial"/>
          <w:sz w:val="22"/>
          <w:szCs w:val="22"/>
          <w:lang w:val="en-GB"/>
        </w:rPr>
      </w:pPr>
      <w:r w:rsidRPr="00E4265B">
        <w:rPr>
          <w:rFonts w:ascii="Arial" w:hAnsi="Arial" w:cs="Arial"/>
          <w:sz w:val="22"/>
          <w:szCs w:val="22"/>
          <w:lang w:val="en-GB"/>
        </w:rPr>
        <w:t>i.</w:t>
      </w:r>
      <w:r w:rsidR="00384436" w:rsidRPr="00E4265B">
        <w:rPr>
          <w:rFonts w:ascii="Arial" w:hAnsi="Arial" w:cs="Arial"/>
          <w:sz w:val="22"/>
          <w:szCs w:val="22"/>
          <w:lang w:val="en-GB"/>
        </w:rPr>
        <w:tab/>
      </w:r>
      <w:r w:rsidRPr="00E4265B">
        <w:rPr>
          <w:rFonts w:ascii="Arial" w:hAnsi="Arial" w:cs="Arial"/>
          <w:sz w:val="22"/>
          <w:szCs w:val="22"/>
          <w:lang w:val="en-GB"/>
        </w:rPr>
        <w:t>ensure that adequate liquidity is availab</w:t>
      </w:r>
      <w:r w:rsidR="00233D00" w:rsidRPr="00E4265B">
        <w:rPr>
          <w:rFonts w:ascii="Arial" w:hAnsi="Arial" w:cs="Arial"/>
          <w:sz w:val="22"/>
          <w:szCs w:val="22"/>
          <w:lang w:val="en-GB"/>
        </w:rPr>
        <w:t>le at all times to support the B</w:t>
      </w:r>
      <w:r w:rsidRPr="00E4265B">
        <w:rPr>
          <w:rFonts w:ascii="Arial" w:hAnsi="Arial" w:cs="Arial"/>
          <w:sz w:val="22"/>
          <w:szCs w:val="22"/>
          <w:lang w:val="en-GB"/>
        </w:rPr>
        <w:t xml:space="preserve">ranch; </w:t>
      </w:r>
    </w:p>
    <w:p w14:paraId="516B3DA9" w14:textId="6834AE05" w:rsidR="00E22FF2" w:rsidRPr="00E4265B" w:rsidRDefault="00E22FF2" w:rsidP="00D05716">
      <w:pPr>
        <w:pStyle w:val="aList0"/>
        <w:ind w:left="3024"/>
        <w:rPr>
          <w:rFonts w:ascii="Arial" w:hAnsi="Arial" w:cs="Arial"/>
          <w:sz w:val="22"/>
          <w:szCs w:val="22"/>
          <w:lang w:val="en-GB"/>
        </w:rPr>
      </w:pPr>
      <w:r w:rsidRPr="00E4265B">
        <w:rPr>
          <w:rFonts w:ascii="Arial" w:hAnsi="Arial" w:cs="Arial"/>
          <w:sz w:val="22"/>
          <w:szCs w:val="22"/>
          <w:lang w:val="en-GB"/>
        </w:rPr>
        <w:t>ii.</w:t>
      </w:r>
      <w:r w:rsidR="00384436" w:rsidRPr="00E4265B">
        <w:rPr>
          <w:rFonts w:ascii="Arial" w:hAnsi="Arial" w:cs="Arial"/>
          <w:sz w:val="22"/>
          <w:szCs w:val="22"/>
          <w:lang w:val="en-GB"/>
        </w:rPr>
        <w:tab/>
      </w:r>
      <w:r w:rsidRPr="00E4265B">
        <w:rPr>
          <w:rFonts w:ascii="Arial" w:hAnsi="Arial" w:cs="Arial"/>
          <w:sz w:val="22"/>
          <w:szCs w:val="22"/>
          <w:lang w:val="en-GB"/>
        </w:rPr>
        <w:t xml:space="preserve">notify the Regulator, at the same time as it notifies its home supervisor, of any material issues concerning its </w:t>
      </w:r>
      <w:r w:rsidR="005F3B3B" w:rsidRPr="00E4265B">
        <w:rPr>
          <w:rFonts w:ascii="Arial" w:hAnsi="Arial" w:cs="Arial"/>
          <w:sz w:val="22"/>
          <w:szCs w:val="22"/>
          <w:lang w:val="en-GB"/>
        </w:rPr>
        <w:t>Exposure</w:t>
      </w:r>
      <w:r w:rsidRPr="00E4265B">
        <w:rPr>
          <w:rFonts w:ascii="Arial" w:hAnsi="Arial" w:cs="Arial"/>
          <w:sz w:val="22"/>
          <w:szCs w:val="22"/>
          <w:lang w:val="en-GB"/>
        </w:rPr>
        <w:t xml:space="preserve"> to Liquidity Risk and issues in relation to its compliance with applicable liquidity limits, including its liquidity coverage ratio; and </w:t>
      </w:r>
    </w:p>
    <w:p w14:paraId="1A296705" w14:textId="7CA7A5CD" w:rsidR="00E22FF2" w:rsidRPr="00E4265B" w:rsidRDefault="00E22FF2" w:rsidP="00D05716">
      <w:pPr>
        <w:pStyle w:val="aList0"/>
        <w:ind w:left="3024"/>
        <w:rPr>
          <w:rFonts w:ascii="Arial" w:hAnsi="Arial" w:cs="Arial"/>
          <w:sz w:val="22"/>
          <w:szCs w:val="22"/>
          <w:lang w:val="en-GB"/>
        </w:rPr>
      </w:pPr>
      <w:r w:rsidRPr="00E4265B">
        <w:rPr>
          <w:rFonts w:ascii="Arial" w:hAnsi="Arial" w:cs="Arial"/>
          <w:sz w:val="22"/>
          <w:szCs w:val="22"/>
          <w:lang w:val="en-GB"/>
        </w:rPr>
        <w:t>iii.</w:t>
      </w:r>
      <w:r w:rsidR="00384436" w:rsidRPr="00E4265B">
        <w:rPr>
          <w:rFonts w:ascii="Arial" w:hAnsi="Arial" w:cs="Arial"/>
          <w:sz w:val="22"/>
          <w:szCs w:val="22"/>
          <w:lang w:val="en-GB"/>
        </w:rPr>
        <w:tab/>
      </w:r>
      <w:r w:rsidRPr="00E4265B">
        <w:rPr>
          <w:rFonts w:ascii="Arial" w:hAnsi="Arial" w:cs="Arial"/>
          <w:sz w:val="22"/>
          <w:szCs w:val="22"/>
          <w:lang w:val="en-GB"/>
        </w:rPr>
        <w:t xml:space="preserve">in the event of a liquidity crisis, provide the Regulator with all relevant information on the whole </w:t>
      </w:r>
      <w:r w:rsidR="000D1A90" w:rsidRPr="00E4265B">
        <w:rPr>
          <w:rFonts w:ascii="Arial" w:hAnsi="Arial" w:cs="Arial"/>
          <w:sz w:val="22"/>
          <w:szCs w:val="22"/>
          <w:lang w:val="en-GB"/>
        </w:rPr>
        <w:t>Authorised Person</w:t>
      </w:r>
      <w:r w:rsidRPr="00E4265B">
        <w:rPr>
          <w:rFonts w:ascii="Arial" w:hAnsi="Arial" w:cs="Arial"/>
          <w:sz w:val="22"/>
          <w:szCs w:val="22"/>
          <w:lang w:val="en-GB"/>
        </w:rPr>
        <w:t>'s liquidity, and a list of any known constraints on the head office, leg</w:t>
      </w:r>
      <w:r w:rsidR="00233D00" w:rsidRPr="00E4265B">
        <w:rPr>
          <w:rFonts w:ascii="Arial" w:hAnsi="Arial" w:cs="Arial"/>
          <w:sz w:val="22"/>
          <w:szCs w:val="22"/>
          <w:lang w:val="en-GB"/>
        </w:rPr>
        <w:t>al or otherwise, providing the B</w:t>
      </w:r>
      <w:r w:rsidRPr="00E4265B">
        <w:rPr>
          <w:rFonts w:ascii="Arial" w:hAnsi="Arial" w:cs="Arial"/>
          <w:sz w:val="22"/>
          <w:szCs w:val="22"/>
          <w:lang w:val="en-GB"/>
        </w:rPr>
        <w:t xml:space="preserve">ranch with liquidity. </w:t>
      </w:r>
    </w:p>
    <w:p w14:paraId="4161F080" w14:textId="37655C9D" w:rsidR="00E22FF2" w:rsidRPr="00E4265B" w:rsidRDefault="00E22FF2" w:rsidP="00846F4F">
      <w:pPr>
        <w:pStyle w:val="aList0"/>
        <w:rPr>
          <w:rFonts w:ascii="Arial" w:hAnsi="Arial" w:cs="Arial"/>
          <w:sz w:val="22"/>
          <w:szCs w:val="22"/>
          <w:lang w:val="en-GB"/>
        </w:rPr>
      </w:pPr>
      <w:r w:rsidRPr="00E4265B">
        <w:rPr>
          <w:rFonts w:ascii="Arial" w:hAnsi="Arial" w:cs="Arial"/>
          <w:sz w:val="22"/>
          <w:szCs w:val="22"/>
          <w:lang w:val="en-GB"/>
        </w:rPr>
        <w:t>d.</w:t>
      </w:r>
      <w:r w:rsidR="00384436" w:rsidRPr="00E4265B">
        <w:rPr>
          <w:rFonts w:ascii="Arial" w:hAnsi="Arial" w:cs="Arial"/>
          <w:sz w:val="22"/>
          <w:szCs w:val="22"/>
          <w:lang w:val="en-GB"/>
        </w:rPr>
        <w:tab/>
      </w:r>
      <w:r w:rsidRPr="00E4265B">
        <w:rPr>
          <w:rFonts w:ascii="Arial" w:hAnsi="Arial" w:cs="Arial"/>
          <w:sz w:val="22"/>
          <w:szCs w:val="22"/>
          <w:lang w:val="en-GB"/>
        </w:rPr>
        <w:t xml:space="preserve">a notification from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home supervisor: </w:t>
      </w:r>
    </w:p>
    <w:p w14:paraId="6554357D" w14:textId="518608D1" w:rsidR="00E22FF2" w:rsidRPr="00E4265B" w:rsidRDefault="00E22FF2" w:rsidP="00D05716">
      <w:pPr>
        <w:pStyle w:val="aList0"/>
        <w:ind w:left="3024"/>
        <w:rPr>
          <w:rFonts w:ascii="Arial" w:hAnsi="Arial" w:cs="Arial"/>
          <w:sz w:val="22"/>
          <w:szCs w:val="22"/>
          <w:lang w:val="en-GB"/>
        </w:rPr>
      </w:pPr>
      <w:r w:rsidRPr="00E4265B">
        <w:rPr>
          <w:rFonts w:ascii="Arial" w:hAnsi="Arial" w:cs="Arial"/>
          <w:sz w:val="22"/>
          <w:szCs w:val="22"/>
          <w:lang w:val="en-GB"/>
        </w:rPr>
        <w:lastRenderedPageBreak/>
        <w:t>i.</w:t>
      </w:r>
      <w:r w:rsidR="00384436" w:rsidRPr="00E4265B">
        <w:rPr>
          <w:rFonts w:ascii="Arial" w:hAnsi="Arial" w:cs="Arial"/>
          <w:sz w:val="22"/>
          <w:szCs w:val="22"/>
          <w:lang w:val="en-GB"/>
        </w:rPr>
        <w:tab/>
      </w:r>
      <w:r w:rsidR="00233D00" w:rsidRPr="00E4265B">
        <w:rPr>
          <w:rFonts w:ascii="Arial" w:hAnsi="Arial" w:cs="Arial"/>
          <w:sz w:val="22"/>
          <w:szCs w:val="22"/>
          <w:lang w:val="en-GB"/>
        </w:rPr>
        <w:t>expressing no objection to the B</w:t>
      </w:r>
      <w:r w:rsidRPr="00E4265B">
        <w:rPr>
          <w:rFonts w:ascii="Arial" w:hAnsi="Arial" w:cs="Arial"/>
          <w:sz w:val="22"/>
          <w:szCs w:val="22"/>
          <w:lang w:val="en-GB"/>
        </w:rPr>
        <w:t>ranch obtaining the Regulator's liquidity c</w:t>
      </w:r>
      <w:r w:rsidR="00233D00" w:rsidRPr="00E4265B">
        <w:rPr>
          <w:rFonts w:ascii="Arial" w:hAnsi="Arial" w:cs="Arial"/>
          <w:sz w:val="22"/>
          <w:szCs w:val="22"/>
          <w:lang w:val="en-GB"/>
        </w:rPr>
        <w:t>oncession or acknowledging the B</w:t>
      </w:r>
      <w:r w:rsidRPr="00E4265B">
        <w:rPr>
          <w:rFonts w:ascii="Arial" w:hAnsi="Arial" w:cs="Arial"/>
          <w:sz w:val="22"/>
          <w:szCs w:val="22"/>
          <w:lang w:val="en-GB"/>
        </w:rPr>
        <w:t>ranch application to the Regulator for a global liquidity concession; and</w:t>
      </w:r>
    </w:p>
    <w:p w14:paraId="6A94F830" w14:textId="7AAD0A7A" w:rsidR="00E22FF2" w:rsidRPr="00E4265B" w:rsidRDefault="00E22FF2" w:rsidP="00846F4F">
      <w:pPr>
        <w:pStyle w:val="aList0"/>
        <w:ind w:left="3024"/>
        <w:rPr>
          <w:rFonts w:ascii="Arial" w:hAnsi="Arial" w:cs="Arial"/>
          <w:sz w:val="22"/>
          <w:szCs w:val="22"/>
          <w:lang w:val="en-GB"/>
        </w:rPr>
      </w:pPr>
      <w:r w:rsidRPr="00E4265B">
        <w:rPr>
          <w:rFonts w:ascii="Arial" w:hAnsi="Arial" w:cs="Arial"/>
          <w:sz w:val="22"/>
          <w:szCs w:val="22"/>
          <w:lang w:val="en-GB"/>
        </w:rPr>
        <w:t>ii.</w:t>
      </w:r>
      <w:r w:rsidR="00384436" w:rsidRPr="00E4265B">
        <w:rPr>
          <w:rFonts w:ascii="Arial" w:hAnsi="Arial" w:cs="Arial"/>
          <w:sz w:val="22"/>
          <w:szCs w:val="22"/>
          <w:lang w:val="en-GB"/>
        </w:rPr>
        <w:tab/>
      </w:r>
      <w:r w:rsidRPr="00E4265B">
        <w:rPr>
          <w:rFonts w:ascii="Arial" w:hAnsi="Arial" w:cs="Arial"/>
          <w:sz w:val="22"/>
          <w:szCs w:val="22"/>
          <w:lang w:val="en-GB"/>
        </w:rPr>
        <w:t xml:space="preserve">providing information about, and confirming, the quality of Liquidity Risk systems and controls and the liquidity </w:t>
      </w:r>
      <w:r w:rsidR="005F3B3B" w:rsidRPr="00E4265B">
        <w:rPr>
          <w:rFonts w:ascii="Arial" w:hAnsi="Arial" w:cs="Arial"/>
          <w:sz w:val="22"/>
          <w:szCs w:val="22"/>
          <w:lang w:val="en-GB"/>
        </w:rPr>
        <w:t>Exposure</w:t>
      </w:r>
      <w:r w:rsidRPr="00E4265B">
        <w:rPr>
          <w:rFonts w:ascii="Arial" w:hAnsi="Arial" w:cs="Arial"/>
          <w:sz w:val="22"/>
          <w:szCs w:val="22"/>
          <w:lang w:val="en-GB"/>
        </w:rPr>
        <w:t xml:space="preserve">s at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head office. </w:t>
      </w:r>
    </w:p>
    <w:p w14:paraId="70024C56" w14:textId="240DB59A" w:rsidR="00E22FF2" w:rsidRPr="00E4265B" w:rsidRDefault="00E22FF2" w:rsidP="00D05716">
      <w:pPr>
        <w:pStyle w:val="1List0"/>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Pr="00E4265B">
        <w:rPr>
          <w:rFonts w:ascii="Arial" w:hAnsi="Arial" w:cs="Arial"/>
          <w:sz w:val="22"/>
          <w:szCs w:val="22"/>
          <w:lang w:val="en-GB"/>
        </w:rPr>
        <w:t>Under Rule A</w:t>
      </w:r>
      <w:r w:rsidR="00EB3552" w:rsidRPr="00E4265B">
        <w:rPr>
          <w:rFonts w:ascii="Arial" w:hAnsi="Arial" w:cs="Arial"/>
          <w:sz w:val="22"/>
          <w:szCs w:val="22"/>
          <w:lang w:val="en-GB"/>
        </w:rPr>
        <w:t>10</w:t>
      </w:r>
      <w:r w:rsidRPr="00E4265B">
        <w:rPr>
          <w:rFonts w:ascii="Arial" w:hAnsi="Arial" w:cs="Arial"/>
          <w:sz w:val="22"/>
          <w:szCs w:val="22"/>
          <w:lang w:val="en-GB"/>
        </w:rPr>
        <w:t xml:space="preserve">.1.1(2)(b), the Regulator will consider liquidity transfer restrictions (e.g. ring-fencing measures, non-convertibility of local currency, foreign exchange controls) imposed under applicable laws, regulations or supervisory requirements in jurisdictions in which a banking group operates which affect the availability of liquidity by inhibiting the transfer of HQLA and fund flows within the Group. </w:t>
      </w:r>
    </w:p>
    <w:p w14:paraId="23376599" w14:textId="0A9A607F" w:rsidR="00E22FF2" w:rsidRPr="00E4265B" w:rsidRDefault="00E22FF2" w:rsidP="00D05716">
      <w:pPr>
        <w:pStyle w:val="A1List"/>
        <w:tabs>
          <w:tab w:val="left" w:pos="1800"/>
        </w:tabs>
        <w:ind w:left="1800" w:hanging="1800"/>
        <w:rPr>
          <w:rFonts w:ascii="Arial" w:hAnsi="Arial" w:cs="Arial"/>
          <w:sz w:val="22"/>
          <w:szCs w:val="22"/>
          <w:lang w:val="en-GB"/>
        </w:rPr>
      </w:pPr>
      <w:r w:rsidRPr="00E4265B">
        <w:rPr>
          <w:rFonts w:ascii="Arial" w:hAnsi="Arial" w:cs="Arial"/>
          <w:b/>
          <w:bCs/>
          <w:sz w:val="22"/>
          <w:szCs w:val="22"/>
          <w:lang w:val="en-GB"/>
        </w:rPr>
        <w:t>A</w:t>
      </w:r>
      <w:r w:rsidR="00EB3552" w:rsidRPr="00E4265B">
        <w:rPr>
          <w:rFonts w:ascii="Arial" w:hAnsi="Arial" w:cs="Arial"/>
          <w:b/>
          <w:bCs/>
          <w:sz w:val="22"/>
          <w:szCs w:val="22"/>
          <w:lang w:val="en-GB"/>
        </w:rPr>
        <w:t>10</w:t>
      </w:r>
      <w:r w:rsidRPr="00E4265B">
        <w:rPr>
          <w:rFonts w:ascii="Arial" w:hAnsi="Arial" w:cs="Arial"/>
          <w:b/>
          <w:bCs/>
          <w:sz w:val="22"/>
          <w:szCs w:val="22"/>
          <w:lang w:val="en-GB"/>
        </w:rPr>
        <w:t>.1.2</w:t>
      </w:r>
      <w:r w:rsidR="00384436" w:rsidRPr="00E4265B">
        <w:rPr>
          <w:rFonts w:ascii="Arial" w:hAnsi="Arial" w:cs="Arial"/>
          <w:bCs/>
          <w:sz w:val="22"/>
          <w:szCs w:val="22"/>
          <w:lang w:val="en-GB"/>
        </w:rPr>
        <w:tab/>
      </w:r>
      <w:r w:rsidRPr="00E4265B">
        <w:rPr>
          <w:rFonts w:ascii="Arial" w:hAnsi="Arial" w:cs="Arial"/>
          <w:sz w:val="22"/>
          <w:szCs w:val="22"/>
          <w:lang w:val="en-GB"/>
        </w:rPr>
        <w:t>(1)</w:t>
      </w:r>
      <w:r w:rsidR="00384436"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that has been granted a global liquidity concession must provide the Regulator with ongoing assurance about its Liquidity Risk by: </w:t>
      </w:r>
    </w:p>
    <w:p w14:paraId="1F4156DB" w14:textId="1909961F" w:rsidR="00E22FF2" w:rsidRPr="00E4265B" w:rsidRDefault="00E22FF2" w:rsidP="00D05716">
      <w:pPr>
        <w:pStyle w:val="aList"/>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submitting to the Regulator at least quarterly a copy of the LCR calculation for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as submitted by its head office to its home supervisor; </w:t>
      </w:r>
    </w:p>
    <w:p w14:paraId="28ADD2D9" w14:textId="2BF8893F" w:rsidR="00E22FF2" w:rsidRPr="00E4265B" w:rsidRDefault="00E22FF2" w:rsidP="00D05716">
      <w:pPr>
        <w:pStyle w:val="aList"/>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notifying the Regulator immediately of the results of every assessment which its home supervisor conducts which relates to the quality of liquidity systems and controls at its head office; </w:t>
      </w:r>
    </w:p>
    <w:p w14:paraId="2F7E86A8" w14:textId="76A0DCA0" w:rsidR="00E22FF2" w:rsidRPr="00E4265B" w:rsidRDefault="00E22FF2" w:rsidP="00D05716">
      <w:pPr>
        <w:pStyle w:val="aList"/>
        <w:rPr>
          <w:rFonts w:ascii="Arial" w:hAnsi="Arial" w:cs="Arial"/>
          <w:sz w:val="22"/>
          <w:szCs w:val="22"/>
          <w:lang w:val="en-GB"/>
        </w:rPr>
      </w:pPr>
      <w:r w:rsidRPr="00E4265B">
        <w:rPr>
          <w:rFonts w:ascii="Arial" w:hAnsi="Arial" w:cs="Arial"/>
          <w:sz w:val="22"/>
          <w:szCs w:val="22"/>
          <w:lang w:val="en-GB"/>
        </w:rPr>
        <w:t>(c)</w:t>
      </w:r>
      <w:r w:rsidR="00384436" w:rsidRPr="00E4265B">
        <w:rPr>
          <w:rFonts w:ascii="Arial" w:hAnsi="Arial" w:cs="Arial"/>
          <w:sz w:val="22"/>
          <w:szCs w:val="22"/>
          <w:lang w:val="en-GB"/>
        </w:rPr>
        <w:tab/>
      </w:r>
      <w:r w:rsidRPr="00E4265B">
        <w:rPr>
          <w:rFonts w:ascii="Arial" w:hAnsi="Arial" w:cs="Arial"/>
          <w:sz w:val="22"/>
          <w:szCs w:val="22"/>
          <w:lang w:val="en-GB"/>
        </w:rPr>
        <w:t xml:space="preserve">notifying the Regulator in writing immediately of any adverse finding or action taken by its home supervisor; </w:t>
      </w:r>
    </w:p>
    <w:p w14:paraId="24009ADF" w14:textId="7E6001A4" w:rsidR="00E22FF2" w:rsidRPr="00E4265B" w:rsidRDefault="00E22FF2" w:rsidP="00D05716">
      <w:pPr>
        <w:pStyle w:val="aList"/>
        <w:rPr>
          <w:rFonts w:ascii="Arial" w:hAnsi="Arial" w:cs="Arial"/>
          <w:sz w:val="22"/>
          <w:szCs w:val="22"/>
          <w:lang w:val="en-GB"/>
        </w:rPr>
      </w:pPr>
      <w:r w:rsidRPr="00E4265B">
        <w:rPr>
          <w:rFonts w:ascii="Arial" w:hAnsi="Arial" w:cs="Arial"/>
          <w:sz w:val="22"/>
          <w:szCs w:val="22"/>
          <w:lang w:val="en-GB"/>
        </w:rPr>
        <w:t>(d)</w:t>
      </w:r>
      <w:r w:rsidR="00384436" w:rsidRPr="00E4265B">
        <w:rPr>
          <w:rFonts w:ascii="Arial" w:hAnsi="Arial" w:cs="Arial"/>
          <w:sz w:val="22"/>
          <w:szCs w:val="22"/>
          <w:lang w:val="en-GB"/>
        </w:rPr>
        <w:tab/>
      </w:r>
      <w:r w:rsidRPr="00E4265B">
        <w:rPr>
          <w:rFonts w:ascii="Arial" w:hAnsi="Arial" w:cs="Arial"/>
          <w:sz w:val="22"/>
          <w:szCs w:val="22"/>
          <w:lang w:val="en-GB"/>
        </w:rPr>
        <w:t xml:space="preserve">notifying the Regulator in writing immediately of any potential change in the </w:t>
      </w:r>
      <w:r w:rsidR="00233D00" w:rsidRPr="00E4265B">
        <w:rPr>
          <w:rFonts w:ascii="Arial" w:hAnsi="Arial" w:cs="Arial"/>
          <w:sz w:val="22"/>
          <w:szCs w:val="22"/>
          <w:lang w:val="en-GB"/>
        </w:rPr>
        <w:t>B</w:t>
      </w:r>
      <w:r w:rsidRPr="00E4265B">
        <w:rPr>
          <w:rFonts w:ascii="Arial" w:hAnsi="Arial" w:cs="Arial"/>
          <w:sz w:val="22"/>
          <w:szCs w:val="22"/>
          <w:lang w:val="en-GB"/>
        </w:rPr>
        <w:t xml:space="preserve">ranch funding strategy, business model or material potential change in its balance sheet structure; and </w:t>
      </w:r>
    </w:p>
    <w:p w14:paraId="46422D8F" w14:textId="62963370" w:rsidR="00E22FF2" w:rsidRPr="00E4265B" w:rsidRDefault="00E22FF2" w:rsidP="00D05716">
      <w:pPr>
        <w:pStyle w:val="aList"/>
        <w:rPr>
          <w:rFonts w:ascii="Arial" w:hAnsi="Arial" w:cs="Arial"/>
          <w:sz w:val="22"/>
          <w:szCs w:val="22"/>
          <w:lang w:val="en-GB"/>
        </w:rPr>
      </w:pPr>
      <w:r w:rsidRPr="00E4265B">
        <w:rPr>
          <w:rFonts w:ascii="Arial" w:hAnsi="Arial" w:cs="Arial"/>
          <w:sz w:val="22"/>
          <w:szCs w:val="22"/>
          <w:lang w:val="en-GB"/>
        </w:rPr>
        <w:t>(e)</w:t>
      </w:r>
      <w:r w:rsidR="00384436" w:rsidRPr="00E4265B">
        <w:rPr>
          <w:rFonts w:ascii="Arial" w:hAnsi="Arial" w:cs="Arial"/>
          <w:sz w:val="22"/>
          <w:szCs w:val="22"/>
          <w:lang w:val="en-GB"/>
        </w:rPr>
        <w:tab/>
      </w:r>
      <w:r w:rsidRPr="00E4265B">
        <w:rPr>
          <w:rFonts w:ascii="Arial" w:hAnsi="Arial" w:cs="Arial"/>
          <w:sz w:val="22"/>
          <w:szCs w:val="22"/>
          <w:lang w:val="en-GB"/>
        </w:rPr>
        <w:t>notifying the Regulator in writing immediately of any changes relating to its compliance with the conditions referred to in Rule A</w:t>
      </w:r>
      <w:r w:rsidR="00EB3552" w:rsidRPr="00E4265B">
        <w:rPr>
          <w:rFonts w:ascii="Arial" w:hAnsi="Arial" w:cs="Arial"/>
          <w:sz w:val="22"/>
          <w:szCs w:val="22"/>
          <w:lang w:val="en-GB"/>
        </w:rPr>
        <w:t>10</w:t>
      </w:r>
      <w:r w:rsidRPr="00E4265B">
        <w:rPr>
          <w:rFonts w:ascii="Arial" w:hAnsi="Arial" w:cs="Arial"/>
          <w:sz w:val="22"/>
          <w:szCs w:val="22"/>
          <w:lang w:val="en-GB"/>
        </w:rPr>
        <w:t xml:space="preserve">.1.1. </w:t>
      </w:r>
    </w:p>
    <w:p w14:paraId="73DAAAE7" w14:textId="34018C28"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Pr="00E4265B">
        <w:rPr>
          <w:rFonts w:ascii="Arial" w:hAnsi="Arial" w:cs="Arial"/>
          <w:sz w:val="22"/>
          <w:szCs w:val="22"/>
          <w:lang w:val="en-GB"/>
        </w:rPr>
        <w:t xml:space="preserve">The Regulator may at any time, based on its assessment of the Liquidity Risk </w:t>
      </w:r>
      <w:r w:rsidR="005F3B3B" w:rsidRPr="00E4265B">
        <w:rPr>
          <w:rFonts w:ascii="Arial" w:hAnsi="Arial" w:cs="Arial"/>
          <w:sz w:val="22"/>
          <w:szCs w:val="22"/>
          <w:lang w:val="en-GB"/>
        </w:rPr>
        <w:t>Exposure</w:t>
      </w:r>
      <w:r w:rsidRPr="00E4265B">
        <w:rPr>
          <w:rFonts w:ascii="Arial" w:hAnsi="Arial" w:cs="Arial"/>
          <w:sz w:val="22"/>
          <w:szCs w:val="22"/>
          <w:lang w:val="en-GB"/>
        </w:rPr>
        <w:t xml:space="preserve">s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by written notice adjust or exclude any of the requirements in (1), impose additional requirements or cancel the global liquidity concession granted to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t>
      </w:r>
    </w:p>
    <w:p w14:paraId="26DB4599" w14:textId="26F5FBF5" w:rsidR="00E22FF2" w:rsidRPr="00E4265B" w:rsidRDefault="00E22FF2" w:rsidP="00D70176">
      <w:pPr>
        <w:pStyle w:val="UK12Title2"/>
        <w:rPr>
          <w:rFonts w:ascii="Arial" w:hAnsi="Arial" w:cs="Arial"/>
          <w:sz w:val="22"/>
          <w:szCs w:val="22"/>
        </w:rPr>
      </w:pPr>
      <w:bookmarkStart w:id="1009" w:name="_Toc33622513"/>
      <w:r w:rsidRPr="00E4265B">
        <w:rPr>
          <w:rFonts w:ascii="Arial" w:hAnsi="Arial" w:cs="Arial"/>
          <w:sz w:val="22"/>
          <w:szCs w:val="22"/>
        </w:rPr>
        <w:t>A</w:t>
      </w:r>
      <w:r w:rsidR="00EB3552" w:rsidRPr="00E4265B">
        <w:rPr>
          <w:rFonts w:ascii="Arial" w:hAnsi="Arial" w:cs="Arial"/>
          <w:sz w:val="22"/>
          <w:szCs w:val="22"/>
        </w:rPr>
        <w:t>10</w:t>
      </w:r>
      <w:r w:rsidRPr="00E4265B">
        <w:rPr>
          <w:rFonts w:ascii="Arial" w:hAnsi="Arial" w:cs="Arial"/>
          <w:sz w:val="22"/>
          <w:szCs w:val="22"/>
        </w:rPr>
        <w:t>.2</w:t>
      </w:r>
      <w:r w:rsidR="00384436" w:rsidRPr="00E4265B">
        <w:rPr>
          <w:rFonts w:ascii="Arial" w:hAnsi="Arial" w:cs="Arial"/>
          <w:sz w:val="22"/>
          <w:szCs w:val="22"/>
        </w:rPr>
        <w:tab/>
      </w:r>
      <w:r w:rsidRPr="00E4265B">
        <w:rPr>
          <w:rFonts w:ascii="Arial" w:hAnsi="Arial" w:cs="Arial"/>
          <w:sz w:val="22"/>
          <w:szCs w:val="22"/>
        </w:rPr>
        <w:t>The Liquidity Coverage Ratio</w:t>
      </w:r>
      <w:bookmarkEnd w:id="1009"/>
      <w:r w:rsidRPr="00E4265B">
        <w:rPr>
          <w:rFonts w:ascii="Arial" w:hAnsi="Arial" w:cs="Arial"/>
          <w:sz w:val="22"/>
          <w:szCs w:val="22"/>
        </w:rPr>
        <w:t xml:space="preserve"> </w:t>
      </w:r>
    </w:p>
    <w:p w14:paraId="4509C4CA"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Guidance </w:t>
      </w:r>
    </w:p>
    <w:p w14:paraId="22CF5ACB" w14:textId="44131C09"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1.</w:t>
      </w:r>
      <w:r w:rsidR="00384436" w:rsidRPr="00E4265B">
        <w:rPr>
          <w:rFonts w:ascii="Arial" w:hAnsi="Arial" w:cs="Arial"/>
          <w:sz w:val="22"/>
          <w:szCs w:val="22"/>
          <w:lang w:val="en-GB"/>
        </w:rPr>
        <w:tab/>
      </w:r>
      <w:r w:rsidRPr="00E4265B">
        <w:rPr>
          <w:rFonts w:ascii="Arial" w:hAnsi="Arial" w:cs="Arial"/>
          <w:sz w:val="22"/>
          <w:szCs w:val="22"/>
          <w:lang w:val="en-GB"/>
        </w:rPr>
        <w:t xml:space="preserve">The objective of the LCR is to promote short-term resilience of an </w:t>
      </w:r>
      <w:r w:rsidR="000D1A90" w:rsidRPr="00E4265B">
        <w:rPr>
          <w:rFonts w:ascii="Arial" w:hAnsi="Arial" w:cs="Arial"/>
          <w:sz w:val="22"/>
          <w:szCs w:val="22"/>
          <w:lang w:val="en-GB"/>
        </w:rPr>
        <w:t>Authorised Person</w:t>
      </w:r>
      <w:r w:rsidR="00B830F4" w:rsidRPr="00E4265B">
        <w:rPr>
          <w:rFonts w:ascii="Arial" w:hAnsi="Arial" w:cs="Arial"/>
          <w:sz w:val="22"/>
          <w:szCs w:val="22"/>
          <w:lang w:val="en-GB"/>
        </w:rPr>
        <w:t>'s Liquidity R</w:t>
      </w:r>
      <w:r w:rsidRPr="00E4265B">
        <w:rPr>
          <w:rFonts w:ascii="Arial" w:hAnsi="Arial" w:cs="Arial"/>
          <w:sz w:val="22"/>
          <w:szCs w:val="22"/>
          <w:lang w:val="en-GB"/>
        </w:rPr>
        <w:t xml:space="preserve">isk profile. The LCR aims to ensure that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maintains an adequate level of unencumbered HQLA that can be converted into cash to meet its liquidity needs for a 30 calendar day period under a severe liquidity stress scenario. </w:t>
      </w:r>
    </w:p>
    <w:p w14:paraId="07DAD652" w14:textId="7F52D180"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Pr="00E4265B">
        <w:rPr>
          <w:rFonts w:ascii="Arial" w:hAnsi="Arial" w:cs="Arial"/>
          <w:sz w:val="22"/>
          <w:szCs w:val="22"/>
          <w:lang w:val="en-GB"/>
        </w:rPr>
        <w:t xml:space="preserve">The LCR is calculated under Rule 9.3.5 using the following formula: </w:t>
      </w:r>
    </w:p>
    <w:p w14:paraId="715CC095" w14:textId="043E1FA8" w:rsidR="00E22FF2" w:rsidRPr="00E4265B" w:rsidRDefault="00384436" w:rsidP="00384436">
      <w:pPr>
        <w:pStyle w:val="UK12Block10"/>
        <w:ind w:left="2796" w:hanging="636"/>
        <w:rPr>
          <w:rFonts w:ascii="Arial" w:hAnsi="Arial" w:cs="Arial"/>
          <w:sz w:val="22"/>
          <w:szCs w:val="22"/>
          <w:lang w:val="en-GB"/>
        </w:rPr>
      </w:pPr>
      <w:r w:rsidRPr="00E4265B">
        <w:rPr>
          <w:rFonts w:ascii="Arial" w:hAnsi="Arial" w:cs="Arial"/>
          <w:sz w:val="22"/>
          <w:szCs w:val="22"/>
          <w:lang w:val="en-GB"/>
        </w:rPr>
        <w:lastRenderedPageBreak/>
        <w:t>LCR =</w:t>
      </w:r>
      <w:r w:rsidRPr="00E4265B">
        <w:rPr>
          <w:rFonts w:ascii="Arial" w:hAnsi="Arial" w:cs="Arial"/>
          <w:sz w:val="22"/>
          <w:szCs w:val="22"/>
          <w:lang w:val="en-GB"/>
        </w:rPr>
        <w:tab/>
        <w:t>(</w:t>
      </w:r>
      <w:r w:rsidR="00E22FF2" w:rsidRPr="00E4265B">
        <w:rPr>
          <w:rFonts w:ascii="Arial" w:hAnsi="Arial" w:cs="Arial"/>
          <w:sz w:val="22"/>
          <w:szCs w:val="22"/>
          <w:lang w:val="en-GB"/>
        </w:rPr>
        <w:t>Value of stock of HQLA</w:t>
      </w:r>
      <w:r w:rsidRPr="00E4265B">
        <w:rPr>
          <w:rFonts w:ascii="Arial" w:hAnsi="Arial" w:cs="Arial"/>
          <w:sz w:val="22"/>
          <w:szCs w:val="22"/>
          <w:lang w:val="en-GB"/>
        </w:rPr>
        <w:t>)</w:t>
      </w:r>
      <w:r w:rsidR="00E22FF2" w:rsidRPr="00E4265B">
        <w:rPr>
          <w:rFonts w:ascii="Arial" w:hAnsi="Arial" w:cs="Arial"/>
          <w:sz w:val="22"/>
          <w:szCs w:val="22"/>
          <w:lang w:val="en-GB"/>
        </w:rPr>
        <w:t xml:space="preserve"> / </w:t>
      </w:r>
      <w:r w:rsidRPr="00E4265B">
        <w:rPr>
          <w:rFonts w:ascii="Arial" w:hAnsi="Arial" w:cs="Arial"/>
          <w:sz w:val="22"/>
          <w:szCs w:val="22"/>
          <w:lang w:val="en-GB"/>
        </w:rPr>
        <w:t>(</w:t>
      </w:r>
      <w:r w:rsidR="00E22FF2" w:rsidRPr="00E4265B">
        <w:rPr>
          <w:rFonts w:ascii="Arial" w:hAnsi="Arial" w:cs="Arial"/>
          <w:sz w:val="22"/>
          <w:szCs w:val="22"/>
          <w:lang w:val="en-GB"/>
        </w:rPr>
        <w:t>Total Net Cash Outflows</w:t>
      </w:r>
      <w:r w:rsidRPr="00E4265B">
        <w:rPr>
          <w:rFonts w:ascii="Arial" w:hAnsi="Arial" w:cs="Arial"/>
          <w:sz w:val="22"/>
          <w:szCs w:val="22"/>
          <w:lang w:val="en-GB"/>
        </w:rPr>
        <w:t xml:space="preserve"> over the next 30 calendar days)</w:t>
      </w:r>
    </w:p>
    <w:p w14:paraId="0E550832" w14:textId="4983A8C1"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3.</w:t>
      </w:r>
      <w:r w:rsidR="00384436" w:rsidRPr="00E4265B">
        <w:rPr>
          <w:rFonts w:ascii="Arial" w:hAnsi="Arial" w:cs="Arial"/>
          <w:sz w:val="22"/>
          <w:szCs w:val="22"/>
          <w:lang w:val="en-GB"/>
        </w:rPr>
        <w:tab/>
      </w:r>
      <w:r w:rsidRPr="00E4265B">
        <w:rPr>
          <w:rFonts w:ascii="Arial" w:hAnsi="Arial" w:cs="Arial"/>
          <w:sz w:val="22"/>
          <w:szCs w:val="22"/>
          <w:lang w:val="en-GB"/>
        </w:rPr>
        <w:t xml:space="preserve">The LCR has two components: </w:t>
      </w:r>
    </w:p>
    <w:p w14:paraId="6F282793" w14:textId="6F258545"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Value of the stock of HQLA in stressed conditions; and </w:t>
      </w:r>
    </w:p>
    <w:p w14:paraId="72832231" w14:textId="17E0C1C1"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Total Net Cash Outflows, calculated according to the scenario parameters outlined in this section. </w:t>
      </w:r>
    </w:p>
    <w:p w14:paraId="2BC3B24E" w14:textId="57D8B019"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4.</w:t>
      </w:r>
      <w:r w:rsidR="00384436" w:rsidRPr="00E4265B">
        <w:rPr>
          <w:rFonts w:ascii="Arial" w:hAnsi="Arial" w:cs="Arial"/>
          <w:sz w:val="22"/>
          <w:szCs w:val="22"/>
          <w:lang w:val="en-GB"/>
        </w:rPr>
        <w:tab/>
      </w:r>
      <w:r w:rsidRPr="00E4265B">
        <w:rPr>
          <w:rFonts w:ascii="Arial" w:hAnsi="Arial" w:cs="Arial"/>
          <w:sz w:val="22"/>
          <w:szCs w:val="22"/>
          <w:lang w:val="en-GB"/>
        </w:rPr>
        <w:t xml:space="preserve">The stress scenario entails both institution-specific and systemic shocks including: </w:t>
      </w:r>
    </w:p>
    <w:p w14:paraId="0D9C2199" w14:textId="2C495B58"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the run-off of a proportion of retail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xml:space="preserve">; </w:t>
      </w:r>
    </w:p>
    <w:p w14:paraId="39C19418" w14:textId="21E44436"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a partial loss of unsecured wholesale funding capacity; </w:t>
      </w:r>
    </w:p>
    <w:p w14:paraId="525B2852" w14:textId="6A46BE2F"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c.</w:t>
      </w:r>
      <w:r w:rsidR="00384436" w:rsidRPr="00E4265B">
        <w:rPr>
          <w:rFonts w:ascii="Arial" w:hAnsi="Arial" w:cs="Arial"/>
          <w:sz w:val="22"/>
          <w:szCs w:val="22"/>
          <w:lang w:val="en-GB"/>
        </w:rPr>
        <w:tab/>
      </w:r>
      <w:r w:rsidRPr="00E4265B">
        <w:rPr>
          <w:rFonts w:ascii="Arial" w:hAnsi="Arial" w:cs="Arial"/>
          <w:sz w:val="22"/>
          <w:szCs w:val="22"/>
          <w:lang w:val="en-GB"/>
        </w:rPr>
        <w:t>a partial loss of secured, short-term financi</w:t>
      </w:r>
      <w:r w:rsidR="00322D1A" w:rsidRPr="00E4265B">
        <w:rPr>
          <w:rFonts w:ascii="Arial" w:hAnsi="Arial" w:cs="Arial"/>
          <w:sz w:val="22"/>
          <w:szCs w:val="22"/>
          <w:lang w:val="en-GB"/>
        </w:rPr>
        <w:t xml:space="preserve">ng with certain </w:t>
      </w:r>
      <w:r w:rsidR="00BB26A3" w:rsidRPr="00E4265B">
        <w:rPr>
          <w:rFonts w:ascii="Arial" w:hAnsi="Arial" w:cs="Arial"/>
          <w:sz w:val="22"/>
          <w:szCs w:val="22"/>
          <w:lang w:val="en-GB"/>
        </w:rPr>
        <w:t>Collateral</w:t>
      </w:r>
      <w:r w:rsidR="00322D1A" w:rsidRPr="00E4265B">
        <w:rPr>
          <w:rFonts w:ascii="Arial" w:hAnsi="Arial" w:cs="Arial"/>
          <w:sz w:val="22"/>
          <w:szCs w:val="22"/>
          <w:lang w:val="en-GB"/>
        </w:rPr>
        <w:t xml:space="preserve"> and C</w:t>
      </w:r>
      <w:r w:rsidRPr="00E4265B">
        <w:rPr>
          <w:rFonts w:ascii="Arial" w:hAnsi="Arial" w:cs="Arial"/>
          <w:sz w:val="22"/>
          <w:szCs w:val="22"/>
          <w:lang w:val="en-GB"/>
        </w:rPr>
        <w:t xml:space="preserve">ounterparties; </w:t>
      </w:r>
    </w:p>
    <w:p w14:paraId="0E26B632" w14:textId="578DD114"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d.</w:t>
      </w:r>
      <w:r w:rsidR="00384436" w:rsidRPr="00E4265B">
        <w:rPr>
          <w:rFonts w:ascii="Arial" w:hAnsi="Arial" w:cs="Arial"/>
          <w:sz w:val="22"/>
          <w:szCs w:val="22"/>
          <w:lang w:val="en-GB"/>
        </w:rPr>
        <w:tab/>
      </w:r>
      <w:r w:rsidRPr="00E4265B">
        <w:rPr>
          <w:rFonts w:ascii="Arial" w:hAnsi="Arial" w:cs="Arial"/>
          <w:sz w:val="22"/>
          <w:szCs w:val="22"/>
          <w:lang w:val="en-GB"/>
        </w:rPr>
        <w:t xml:space="preserve">additional contractual outflows that would arise from a downgrade in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public credit rating, where applicable, by up to and including three notches, including </w:t>
      </w:r>
      <w:r w:rsidR="00BB26A3" w:rsidRPr="00E4265B">
        <w:rPr>
          <w:rFonts w:ascii="Arial" w:hAnsi="Arial" w:cs="Arial"/>
          <w:sz w:val="22"/>
          <w:szCs w:val="22"/>
          <w:lang w:val="en-GB"/>
        </w:rPr>
        <w:t>Collateral</w:t>
      </w:r>
      <w:r w:rsidRPr="00E4265B">
        <w:rPr>
          <w:rFonts w:ascii="Arial" w:hAnsi="Arial" w:cs="Arial"/>
          <w:sz w:val="22"/>
          <w:szCs w:val="22"/>
          <w:lang w:val="en-GB"/>
        </w:rPr>
        <w:t xml:space="preserve"> posting requirements; </w:t>
      </w:r>
    </w:p>
    <w:p w14:paraId="7E285EEC" w14:textId="2B69A313"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e.</w:t>
      </w:r>
      <w:r w:rsidR="00384436" w:rsidRPr="00E4265B">
        <w:rPr>
          <w:rFonts w:ascii="Arial" w:hAnsi="Arial" w:cs="Arial"/>
          <w:sz w:val="22"/>
          <w:szCs w:val="22"/>
          <w:lang w:val="en-GB"/>
        </w:rPr>
        <w:tab/>
      </w:r>
      <w:r w:rsidRPr="00E4265B">
        <w:rPr>
          <w:rFonts w:ascii="Arial" w:hAnsi="Arial" w:cs="Arial"/>
          <w:sz w:val="22"/>
          <w:szCs w:val="22"/>
          <w:lang w:val="en-GB"/>
        </w:rPr>
        <w:t xml:space="preserve">increases in market volatility that affect the quality of </w:t>
      </w:r>
      <w:r w:rsidR="00BB26A3" w:rsidRPr="00E4265B">
        <w:rPr>
          <w:rFonts w:ascii="Arial" w:hAnsi="Arial" w:cs="Arial"/>
          <w:sz w:val="22"/>
          <w:szCs w:val="22"/>
          <w:lang w:val="en-GB"/>
        </w:rPr>
        <w:t>Collateral</w:t>
      </w:r>
      <w:r w:rsidRPr="00E4265B">
        <w:rPr>
          <w:rFonts w:ascii="Arial" w:hAnsi="Arial" w:cs="Arial"/>
          <w:sz w:val="22"/>
          <w:szCs w:val="22"/>
          <w:lang w:val="en-GB"/>
        </w:rPr>
        <w:t xml:space="preserve"> or potential future </w:t>
      </w:r>
      <w:r w:rsidR="005F3B3B" w:rsidRPr="00E4265B">
        <w:rPr>
          <w:rFonts w:ascii="Arial" w:hAnsi="Arial" w:cs="Arial"/>
          <w:sz w:val="22"/>
          <w:szCs w:val="22"/>
          <w:lang w:val="en-GB"/>
        </w:rPr>
        <w:t>Exposure</w:t>
      </w:r>
      <w:r w:rsidRPr="00E4265B">
        <w:rPr>
          <w:rFonts w:ascii="Arial" w:hAnsi="Arial" w:cs="Arial"/>
          <w:sz w:val="22"/>
          <w:szCs w:val="22"/>
          <w:lang w:val="en-GB"/>
        </w:rPr>
        <w:t xml:space="preserve"> of </w:t>
      </w:r>
      <w:r w:rsidR="005F3B3B" w:rsidRPr="00E4265B">
        <w:rPr>
          <w:rFonts w:ascii="Arial" w:hAnsi="Arial" w:cs="Arial"/>
          <w:sz w:val="22"/>
          <w:szCs w:val="22"/>
          <w:lang w:val="en-GB"/>
        </w:rPr>
        <w:t>Derivative</w:t>
      </w:r>
      <w:r w:rsidRPr="00E4265B">
        <w:rPr>
          <w:rFonts w:ascii="Arial" w:hAnsi="Arial" w:cs="Arial"/>
          <w:sz w:val="22"/>
          <w:szCs w:val="22"/>
          <w:lang w:val="en-GB"/>
        </w:rPr>
        <w:t xml:space="preserve"> positions and so require larger </w:t>
      </w:r>
      <w:r w:rsidR="00BB26A3" w:rsidRPr="00E4265B">
        <w:rPr>
          <w:rFonts w:ascii="Arial" w:hAnsi="Arial" w:cs="Arial"/>
          <w:sz w:val="22"/>
          <w:szCs w:val="22"/>
          <w:lang w:val="en-GB"/>
        </w:rPr>
        <w:t>Collateral</w:t>
      </w:r>
      <w:r w:rsidRPr="00E4265B">
        <w:rPr>
          <w:rFonts w:ascii="Arial" w:hAnsi="Arial" w:cs="Arial"/>
          <w:sz w:val="22"/>
          <w:szCs w:val="22"/>
          <w:lang w:val="en-GB"/>
        </w:rPr>
        <w:t xml:space="preserve"> haircuts or additional </w:t>
      </w:r>
      <w:r w:rsidR="00BB26A3" w:rsidRPr="00E4265B">
        <w:rPr>
          <w:rFonts w:ascii="Arial" w:hAnsi="Arial" w:cs="Arial"/>
          <w:sz w:val="22"/>
          <w:szCs w:val="22"/>
          <w:lang w:val="en-GB"/>
        </w:rPr>
        <w:t>Collateral</w:t>
      </w:r>
      <w:r w:rsidRPr="00E4265B">
        <w:rPr>
          <w:rFonts w:ascii="Arial" w:hAnsi="Arial" w:cs="Arial"/>
          <w:sz w:val="22"/>
          <w:szCs w:val="22"/>
          <w:lang w:val="en-GB"/>
        </w:rPr>
        <w:t xml:space="preserve">, or lead to other liquidity needs; </w:t>
      </w:r>
    </w:p>
    <w:p w14:paraId="6DCE7DDD" w14:textId="749C6F2D"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f.</w:t>
      </w:r>
      <w:r w:rsidR="00384436" w:rsidRPr="00E4265B">
        <w:rPr>
          <w:rFonts w:ascii="Arial" w:hAnsi="Arial" w:cs="Arial"/>
          <w:sz w:val="22"/>
          <w:szCs w:val="22"/>
          <w:lang w:val="en-GB"/>
        </w:rPr>
        <w:tab/>
      </w:r>
      <w:r w:rsidRPr="00E4265B">
        <w:rPr>
          <w:rFonts w:ascii="Arial" w:hAnsi="Arial" w:cs="Arial"/>
          <w:sz w:val="22"/>
          <w:szCs w:val="22"/>
          <w:lang w:val="en-GB"/>
        </w:rPr>
        <w:t xml:space="preserve">unscheduled draws on committed but unused credit and liquidity facilities that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has provided to its clients; and </w:t>
      </w:r>
    </w:p>
    <w:p w14:paraId="25BF8A7D" w14:textId="3ABE7D33"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g.</w:t>
      </w:r>
      <w:r w:rsidR="00384436" w:rsidRPr="00E4265B">
        <w:rPr>
          <w:rFonts w:ascii="Arial" w:hAnsi="Arial" w:cs="Arial"/>
          <w:sz w:val="22"/>
          <w:szCs w:val="22"/>
          <w:lang w:val="en-GB"/>
        </w:rPr>
        <w:tab/>
      </w:r>
      <w:r w:rsidRPr="00E4265B">
        <w:rPr>
          <w:rFonts w:ascii="Arial" w:hAnsi="Arial" w:cs="Arial"/>
          <w:sz w:val="22"/>
          <w:szCs w:val="22"/>
          <w:lang w:val="en-GB"/>
        </w:rPr>
        <w:t xml:space="preserve">the potential need for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buy back debt or honour non-contractual obligations to mitigate reputational risk. </w:t>
      </w:r>
    </w:p>
    <w:p w14:paraId="403092FC" w14:textId="7DEC576B" w:rsidR="00E22FF2" w:rsidRPr="00E4265B" w:rsidRDefault="00E22FF2" w:rsidP="00D05716">
      <w:pPr>
        <w:pStyle w:val="A1List"/>
        <w:rPr>
          <w:rFonts w:ascii="Arial" w:hAnsi="Arial" w:cs="Arial"/>
          <w:sz w:val="22"/>
          <w:szCs w:val="22"/>
          <w:lang w:val="en-GB"/>
        </w:rPr>
      </w:pPr>
      <w:r w:rsidRPr="00E4265B">
        <w:rPr>
          <w:rFonts w:ascii="Arial" w:hAnsi="Arial" w:cs="Arial"/>
          <w:b/>
          <w:bCs/>
          <w:sz w:val="22"/>
          <w:szCs w:val="22"/>
          <w:lang w:val="en-GB"/>
        </w:rPr>
        <w:t>A</w:t>
      </w:r>
      <w:r w:rsidR="00C43B60" w:rsidRPr="00E4265B">
        <w:rPr>
          <w:rFonts w:ascii="Arial" w:hAnsi="Arial" w:cs="Arial"/>
          <w:b/>
          <w:bCs/>
          <w:sz w:val="22"/>
          <w:szCs w:val="22"/>
          <w:lang w:val="en-GB"/>
        </w:rPr>
        <w:t>10</w:t>
      </w:r>
      <w:r w:rsidRPr="00E4265B">
        <w:rPr>
          <w:rFonts w:ascii="Arial" w:hAnsi="Arial" w:cs="Arial"/>
          <w:b/>
          <w:bCs/>
          <w:sz w:val="22"/>
          <w:szCs w:val="22"/>
          <w:lang w:val="en-GB"/>
        </w:rPr>
        <w:t>.2.1</w:t>
      </w:r>
      <w:r w:rsidR="00384436" w:rsidRPr="00E4265B">
        <w:rPr>
          <w:rFonts w:ascii="Arial" w:hAnsi="Arial" w:cs="Arial"/>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its LCR on an ongoing basis and separately for each significant currency.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report to the Regulator its aggregate LCR calculation in </w:t>
      </w:r>
      <w:r w:rsidR="000204FF" w:rsidRPr="00E4265B">
        <w:rPr>
          <w:rFonts w:ascii="Arial" w:hAnsi="Arial" w:cs="Arial"/>
          <w:sz w:val="22"/>
          <w:szCs w:val="22"/>
          <w:lang w:val="en-GB"/>
        </w:rPr>
        <w:t>$</w:t>
      </w:r>
      <w:r w:rsidRPr="00E4265B">
        <w:rPr>
          <w:rFonts w:ascii="Arial" w:hAnsi="Arial" w:cs="Arial"/>
          <w:sz w:val="22"/>
          <w:szCs w:val="22"/>
          <w:lang w:val="en-GB"/>
        </w:rPr>
        <w:t xml:space="preserve">USD. </w:t>
      </w:r>
    </w:p>
    <w:p w14:paraId="2283A285"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Guidance </w:t>
      </w:r>
    </w:p>
    <w:p w14:paraId="2EFE7B0B" w14:textId="77777777" w:rsidR="00E22FF2" w:rsidRPr="00E4265B" w:rsidRDefault="00E22FF2" w:rsidP="00C55E84">
      <w:pPr>
        <w:pStyle w:val="UK12Block05"/>
        <w:rPr>
          <w:rFonts w:ascii="Arial" w:hAnsi="Arial" w:cs="Arial"/>
          <w:sz w:val="22"/>
          <w:szCs w:val="22"/>
          <w:lang w:val="en-GB"/>
        </w:rPr>
      </w:pPr>
      <w:r w:rsidRPr="00E4265B">
        <w:rPr>
          <w:rFonts w:ascii="Arial" w:hAnsi="Arial" w:cs="Arial"/>
          <w:sz w:val="22"/>
          <w:szCs w:val="22"/>
          <w:lang w:val="en-GB"/>
        </w:rPr>
        <w:t xml:space="preserve">A currency is considered significant if the aggregate liabilities denominated in that currency amount to 5% or more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total liabilities. </w:t>
      </w:r>
    </w:p>
    <w:p w14:paraId="73C32DB5"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High Quality Liquid Assets (HQLA) </w:t>
      </w:r>
    </w:p>
    <w:p w14:paraId="21BD7B5B"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Guidance </w:t>
      </w:r>
    </w:p>
    <w:p w14:paraId="7D321C9C" w14:textId="77777777" w:rsidR="00E22FF2" w:rsidRPr="00E4265B" w:rsidRDefault="00E22FF2" w:rsidP="00C55E84">
      <w:pPr>
        <w:pStyle w:val="UK12Block05"/>
        <w:rPr>
          <w:rFonts w:ascii="Arial" w:hAnsi="Arial" w:cs="Arial"/>
          <w:sz w:val="22"/>
          <w:szCs w:val="22"/>
          <w:lang w:val="en-GB"/>
        </w:rPr>
      </w:pPr>
      <w:r w:rsidRPr="00E4265B">
        <w:rPr>
          <w:rFonts w:ascii="Arial" w:hAnsi="Arial" w:cs="Arial"/>
          <w:sz w:val="22"/>
          <w:szCs w:val="22"/>
          <w:lang w:val="en-GB"/>
        </w:rPr>
        <w:t>Assets that</w:t>
      </w:r>
      <w:r w:rsidR="00C43B60" w:rsidRPr="00E4265B">
        <w:rPr>
          <w:rFonts w:ascii="Arial" w:hAnsi="Arial" w:cs="Arial"/>
          <w:sz w:val="22"/>
          <w:szCs w:val="22"/>
          <w:lang w:val="en-GB"/>
        </w:rPr>
        <w:t xml:space="preserve"> meet the conditions in Rules A10.2.2 to A10</w:t>
      </w:r>
      <w:r w:rsidRPr="00E4265B">
        <w:rPr>
          <w:rFonts w:ascii="Arial" w:hAnsi="Arial" w:cs="Arial"/>
          <w:sz w:val="22"/>
          <w:szCs w:val="22"/>
          <w:lang w:val="en-GB"/>
        </w:rPr>
        <w:t xml:space="preserve">.2.9 are considered to be HQLA. Those assets are considered to be HQLA as they can be converted easily and immediately into cash at little or no loss of value. To qualify as HQLA, assets should be liquid in markets during a time of stress. In determining whether or not the market for an asset can be relied upon to raise liquidity during a time of stress, the following factors should be taken into account: </w:t>
      </w:r>
    </w:p>
    <w:p w14:paraId="0680829D" w14:textId="78B6AB95"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lastRenderedPageBreak/>
        <w:t>1.</w:t>
      </w:r>
      <w:r w:rsidR="00384436" w:rsidRPr="00E4265B">
        <w:rPr>
          <w:rFonts w:ascii="Arial" w:hAnsi="Arial" w:cs="Arial"/>
          <w:sz w:val="22"/>
          <w:szCs w:val="22"/>
          <w:lang w:val="en-GB"/>
        </w:rPr>
        <w:tab/>
      </w:r>
      <w:r w:rsidRPr="00E4265B">
        <w:rPr>
          <w:rFonts w:ascii="Arial" w:hAnsi="Arial" w:cs="Arial"/>
          <w:sz w:val="22"/>
          <w:szCs w:val="22"/>
          <w:lang w:val="en-GB"/>
        </w:rPr>
        <w:t xml:space="preserve">fundamental characteristics, for example: </w:t>
      </w:r>
    </w:p>
    <w:p w14:paraId="0B1F70EB" w14:textId="6C210C12"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low risk: high credit standing of the </w:t>
      </w:r>
      <w:r w:rsidR="00B830F4" w:rsidRPr="00E4265B">
        <w:rPr>
          <w:rFonts w:ascii="Arial" w:hAnsi="Arial" w:cs="Arial"/>
          <w:sz w:val="22"/>
          <w:szCs w:val="22"/>
          <w:lang w:val="en-GB"/>
        </w:rPr>
        <w:t>Issuer</w:t>
      </w:r>
      <w:r w:rsidRPr="00E4265B">
        <w:rPr>
          <w:rFonts w:ascii="Arial" w:hAnsi="Arial" w:cs="Arial"/>
          <w:sz w:val="22"/>
          <w:szCs w:val="22"/>
          <w:lang w:val="en-GB"/>
        </w:rPr>
        <w:t xml:space="preserve"> and a low degree of subordination, low duration, low legal risk, low inflation risk, denomination in a convertible currency with low foreign exchange risk; </w:t>
      </w:r>
    </w:p>
    <w:p w14:paraId="503B9D78" w14:textId="77777777"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ease and certainty of valuation; </w:t>
      </w:r>
    </w:p>
    <w:p w14:paraId="1A14E3FB" w14:textId="03B8851E"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c.</w:t>
      </w:r>
      <w:r w:rsidR="00384436" w:rsidRPr="00E4265B">
        <w:rPr>
          <w:rFonts w:ascii="Arial" w:hAnsi="Arial" w:cs="Arial"/>
          <w:sz w:val="22"/>
          <w:szCs w:val="22"/>
          <w:lang w:val="en-GB"/>
        </w:rPr>
        <w:tab/>
      </w:r>
      <w:r w:rsidRPr="00E4265B">
        <w:rPr>
          <w:rFonts w:ascii="Arial" w:hAnsi="Arial" w:cs="Arial"/>
          <w:sz w:val="22"/>
          <w:szCs w:val="22"/>
          <w:lang w:val="en-GB"/>
        </w:rPr>
        <w:t xml:space="preserve">low correlation with risky assets, not subject to wrong-way risk; and </w:t>
      </w:r>
    </w:p>
    <w:p w14:paraId="2E7AD06D" w14:textId="5E3F7266"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d.</w:t>
      </w:r>
      <w:r w:rsidR="00384436" w:rsidRPr="00E4265B">
        <w:rPr>
          <w:rFonts w:ascii="Arial" w:hAnsi="Arial" w:cs="Arial"/>
          <w:sz w:val="22"/>
          <w:szCs w:val="22"/>
          <w:lang w:val="en-GB"/>
        </w:rPr>
        <w:tab/>
      </w:r>
      <w:r w:rsidRPr="00E4265B">
        <w:rPr>
          <w:rFonts w:ascii="Arial" w:hAnsi="Arial" w:cs="Arial"/>
          <w:sz w:val="22"/>
          <w:szCs w:val="22"/>
          <w:lang w:val="en-GB"/>
        </w:rPr>
        <w:t xml:space="preserve">listing on a developed and recognised exchange. </w:t>
      </w:r>
    </w:p>
    <w:p w14:paraId="389AC0F0" w14:textId="0A5931BB"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Pr="00E4265B">
        <w:rPr>
          <w:rFonts w:ascii="Arial" w:hAnsi="Arial" w:cs="Arial"/>
          <w:sz w:val="22"/>
          <w:szCs w:val="22"/>
          <w:lang w:val="en-GB"/>
        </w:rPr>
        <w:t xml:space="preserve">market-related characteristics, for example: </w:t>
      </w:r>
    </w:p>
    <w:p w14:paraId="23E87AC6" w14:textId="0F6F3AD7"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active and siz</w:t>
      </w:r>
      <w:r w:rsidR="004D3979" w:rsidRPr="00E4265B">
        <w:rPr>
          <w:rFonts w:ascii="Arial" w:hAnsi="Arial" w:cs="Arial"/>
          <w:sz w:val="22"/>
          <w:szCs w:val="22"/>
          <w:lang w:val="en-GB"/>
        </w:rPr>
        <w:t>e</w:t>
      </w:r>
      <w:r w:rsidRPr="00E4265B">
        <w:rPr>
          <w:rFonts w:ascii="Arial" w:hAnsi="Arial" w:cs="Arial"/>
          <w:sz w:val="22"/>
          <w:szCs w:val="22"/>
          <w:lang w:val="en-GB"/>
        </w:rPr>
        <w:t xml:space="preserve">able market, including active outright sale or repo markets at all times. This can be demonstrated through: </w:t>
      </w:r>
    </w:p>
    <w:p w14:paraId="28BAD1A0" w14:textId="2AE9C75C" w:rsidR="00E22FF2" w:rsidRPr="00E4265B" w:rsidRDefault="00E22FF2" w:rsidP="00BF7B7D">
      <w:pPr>
        <w:pStyle w:val="aList0"/>
        <w:ind w:left="3024"/>
        <w:rPr>
          <w:rFonts w:ascii="Arial" w:hAnsi="Arial" w:cs="Arial"/>
          <w:sz w:val="22"/>
          <w:szCs w:val="22"/>
          <w:lang w:val="en-GB"/>
        </w:rPr>
      </w:pPr>
      <w:r w:rsidRPr="00E4265B">
        <w:rPr>
          <w:rFonts w:ascii="Arial" w:hAnsi="Arial" w:cs="Arial"/>
          <w:sz w:val="22"/>
          <w:szCs w:val="22"/>
          <w:lang w:val="en-GB"/>
        </w:rPr>
        <w:t>i.</w:t>
      </w:r>
      <w:r w:rsidR="00384436" w:rsidRPr="00E4265B">
        <w:rPr>
          <w:rFonts w:ascii="Arial" w:hAnsi="Arial" w:cs="Arial"/>
          <w:sz w:val="22"/>
          <w:szCs w:val="22"/>
          <w:lang w:val="en-GB"/>
        </w:rPr>
        <w:tab/>
      </w:r>
      <w:r w:rsidR="00BF7B7D" w:rsidRPr="00E4265B">
        <w:rPr>
          <w:rFonts w:ascii="Arial" w:hAnsi="Arial" w:cs="Arial"/>
          <w:sz w:val="22"/>
          <w:szCs w:val="22"/>
          <w:lang w:val="en-GB"/>
        </w:rPr>
        <w:t>h</w:t>
      </w:r>
      <w:r w:rsidR="007D16A4" w:rsidRPr="00E4265B">
        <w:rPr>
          <w:rFonts w:ascii="Arial" w:hAnsi="Arial" w:cs="Arial"/>
          <w:sz w:val="22"/>
          <w:szCs w:val="22"/>
          <w:lang w:val="en-GB"/>
        </w:rPr>
        <w:t>is</w:t>
      </w:r>
      <w:r w:rsidRPr="00E4265B">
        <w:rPr>
          <w:rFonts w:ascii="Arial" w:hAnsi="Arial" w:cs="Arial"/>
          <w:sz w:val="22"/>
          <w:szCs w:val="22"/>
          <w:lang w:val="en-GB"/>
        </w:rPr>
        <w:t xml:space="preserve">torical evidence of market breadth and market depth (low bid-ask spreads, high trading volumes, large and diverse number of market participants); or </w:t>
      </w:r>
    </w:p>
    <w:p w14:paraId="2208BCD8" w14:textId="25F9255B" w:rsidR="00E22FF2" w:rsidRPr="00E4265B" w:rsidRDefault="00E22FF2" w:rsidP="00C55E84">
      <w:pPr>
        <w:pStyle w:val="aList0"/>
        <w:ind w:left="3024"/>
        <w:rPr>
          <w:rFonts w:ascii="Arial" w:hAnsi="Arial" w:cs="Arial"/>
          <w:sz w:val="22"/>
          <w:szCs w:val="22"/>
          <w:lang w:val="en-GB"/>
        </w:rPr>
      </w:pPr>
      <w:r w:rsidRPr="00E4265B">
        <w:rPr>
          <w:rFonts w:ascii="Arial" w:hAnsi="Arial" w:cs="Arial"/>
          <w:sz w:val="22"/>
          <w:szCs w:val="22"/>
          <w:lang w:val="en-GB"/>
        </w:rPr>
        <w:t>ii.</w:t>
      </w:r>
      <w:r w:rsidR="00384436" w:rsidRPr="00E4265B">
        <w:rPr>
          <w:rFonts w:ascii="Arial" w:hAnsi="Arial" w:cs="Arial"/>
          <w:sz w:val="22"/>
          <w:szCs w:val="22"/>
          <w:lang w:val="en-GB"/>
        </w:rPr>
        <w:tab/>
      </w:r>
      <w:r w:rsidRPr="00E4265B">
        <w:rPr>
          <w:rFonts w:ascii="Arial" w:hAnsi="Arial" w:cs="Arial"/>
          <w:sz w:val="22"/>
          <w:szCs w:val="22"/>
          <w:lang w:val="en-GB"/>
        </w:rPr>
        <w:t xml:space="preserve">existence of robust market infrastructure (presence of multiple committed market makers); </w:t>
      </w:r>
    </w:p>
    <w:p w14:paraId="44417C84" w14:textId="3C0BDA69"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low price volatility, including historical evidence of relative stability of market terms (e.g. prices and haircuts) and volumes during stressed periods; or </w:t>
      </w:r>
    </w:p>
    <w:p w14:paraId="1F52A9D3" w14:textId="3E62FB2D"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c.</w:t>
      </w:r>
      <w:r w:rsidR="00384436" w:rsidRPr="00E4265B">
        <w:rPr>
          <w:rFonts w:ascii="Arial" w:hAnsi="Arial" w:cs="Arial"/>
          <w:sz w:val="22"/>
          <w:szCs w:val="22"/>
          <w:lang w:val="en-GB"/>
        </w:rPr>
        <w:tab/>
      </w:r>
      <w:r w:rsidRPr="00E4265B">
        <w:rPr>
          <w:rFonts w:ascii="Arial" w:hAnsi="Arial" w:cs="Arial"/>
          <w:sz w:val="22"/>
          <w:szCs w:val="22"/>
          <w:lang w:val="en-GB"/>
        </w:rPr>
        <w:t xml:space="preserve">'flight to quality', i.e. that historically the market has shown a tendency to move into these types of high quality assets in a systemic crisis. </w:t>
      </w:r>
    </w:p>
    <w:p w14:paraId="4149BD46"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HQLA – general operational requirements </w:t>
      </w:r>
    </w:p>
    <w:p w14:paraId="44EEF40E" w14:textId="2CA03B6E" w:rsidR="00E22FF2" w:rsidRPr="00E4265B" w:rsidRDefault="00E22FF2" w:rsidP="00846F4F">
      <w:pPr>
        <w:pStyle w:val="A1List"/>
        <w:rPr>
          <w:rFonts w:ascii="Arial" w:hAnsi="Arial" w:cs="Arial"/>
          <w:sz w:val="22"/>
          <w:szCs w:val="22"/>
          <w:lang w:val="en-GB"/>
        </w:rPr>
      </w:pPr>
      <w:r w:rsidRPr="00E4265B">
        <w:rPr>
          <w:rFonts w:ascii="Arial" w:hAnsi="Arial" w:cs="Arial"/>
          <w:b/>
          <w:bCs/>
          <w:sz w:val="22"/>
          <w:szCs w:val="22"/>
          <w:lang w:val="en-GB"/>
        </w:rPr>
        <w:t>A</w:t>
      </w:r>
      <w:r w:rsidR="00C43B60" w:rsidRPr="00E4265B">
        <w:rPr>
          <w:rFonts w:ascii="Arial" w:hAnsi="Arial" w:cs="Arial"/>
          <w:b/>
          <w:bCs/>
          <w:sz w:val="22"/>
          <w:szCs w:val="22"/>
          <w:lang w:val="en-GB"/>
        </w:rPr>
        <w:t>10</w:t>
      </w:r>
      <w:r w:rsidRPr="00E4265B">
        <w:rPr>
          <w:rFonts w:ascii="Arial" w:hAnsi="Arial" w:cs="Arial"/>
          <w:b/>
          <w:bCs/>
          <w:sz w:val="22"/>
          <w:szCs w:val="22"/>
          <w:lang w:val="en-GB"/>
        </w:rPr>
        <w:t>.2.2</w:t>
      </w:r>
      <w:r w:rsidR="00384436" w:rsidRPr="00E4265B">
        <w:rPr>
          <w:rFonts w:ascii="Arial" w:hAnsi="Arial" w:cs="Arial"/>
          <w:bCs/>
          <w:sz w:val="22"/>
          <w:szCs w:val="22"/>
          <w:lang w:val="en-GB"/>
        </w:rPr>
        <w:tab/>
      </w:r>
      <w:r w:rsidRPr="00E4265B">
        <w:rPr>
          <w:rFonts w:ascii="Arial" w:hAnsi="Arial" w:cs="Arial"/>
          <w:sz w:val="22"/>
          <w:szCs w:val="22"/>
          <w:lang w:val="en-GB"/>
        </w:rPr>
        <w:t>To be eligible as HQLA, assets in the portfolio of HQLA must be appropriately diversified in terms of type of asset</w:t>
      </w:r>
      <w:r w:rsidR="00322D1A" w:rsidRPr="00E4265B">
        <w:rPr>
          <w:rFonts w:ascii="Arial" w:hAnsi="Arial" w:cs="Arial"/>
          <w:sz w:val="22"/>
          <w:szCs w:val="22"/>
          <w:lang w:val="en-GB"/>
        </w:rPr>
        <w:t xml:space="preserve">s, type of </w:t>
      </w:r>
      <w:r w:rsidR="00B830F4" w:rsidRPr="00E4265B">
        <w:rPr>
          <w:rFonts w:ascii="Arial" w:hAnsi="Arial" w:cs="Arial"/>
          <w:sz w:val="22"/>
          <w:szCs w:val="22"/>
          <w:lang w:val="en-GB"/>
        </w:rPr>
        <w:t>Issuer</w:t>
      </w:r>
      <w:r w:rsidR="00322D1A" w:rsidRPr="00E4265B">
        <w:rPr>
          <w:rFonts w:ascii="Arial" w:hAnsi="Arial" w:cs="Arial"/>
          <w:sz w:val="22"/>
          <w:szCs w:val="22"/>
          <w:lang w:val="en-GB"/>
        </w:rPr>
        <w:t xml:space="preserve"> and specific C</w:t>
      </w:r>
      <w:r w:rsidRPr="00E4265B">
        <w:rPr>
          <w:rFonts w:ascii="Arial" w:hAnsi="Arial" w:cs="Arial"/>
          <w:sz w:val="22"/>
          <w:szCs w:val="22"/>
          <w:lang w:val="en-GB"/>
        </w:rPr>
        <w:t xml:space="preserve">ounterparty or </w:t>
      </w:r>
      <w:r w:rsidR="00B830F4" w:rsidRPr="00E4265B">
        <w:rPr>
          <w:rFonts w:ascii="Arial" w:hAnsi="Arial" w:cs="Arial"/>
          <w:sz w:val="22"/>
          <w:szCs w:val="22"/>
          <w:lang w:val="en-GB"/>
        </w:rPr>
        <w:t>Issuer</w:t>
      </w:r>
      <w:r w:rsidRPr="00E4265B">
        <w:rPr>
          <w:rFonts w:ascii="Arial" w:hAnsi="Arial" w:cs="Arial"/>
          <w:sz w:val="22"/>
          <w:szCs w:val="22"/>
          <w:lang w:val="en-GB"/>
        </w:rPr>
        <w:t xml:space="preserve">. </w:t>
      </w:r>
    </w:p>
    <w:p w14:paraId="1E159DD2" w14:textId="2A1F3A86" w:rsidR="00E22FF2" w:rsidRPr="00E4265B" w:rsidRDefault="00E22FF2" w:rsidP="00846F4F">
      <w:pPr>
        <w:pStyle w:val="A1List"/>
        <w:rPr>
          <w:rFonts w:ascii="Arial" w:hAnsi="Arial" w:cs="Arial"/>
          <w:sz w:val="22"/>
          <w:szCs w:val="22"/>
          <w:lang w:val="en-GB"/>
        </w:rPr>
      </w:pPr>
      <w:r w:rsidRPr="00E4265B">
        <w:rPr>
          <w:rFonts w:ascii="Arial" w:hAnsi="Arial" w:cs="Arial"/>
          <w:b/>
          <w:bCs/>
          <w:sz w:val="22"/>
          <w:szCs w:val="22"/>
          <w:lang w:val="en-GB"/>
        </w:rPr>
        <w:t>A</w:t>
      </w:r>
      <w:r w:rsidR="00C43B60" w:rsidRPr="00E4265B">
        <w:rPr>
          <w:rFonts w:ascii="Arial" w:hAnsi="Arial" w:cs="Arial"/>
          <w:b/>
          <w:bCs/>
          <w:sz w:val="22"/>
          <w:szCs w:val="22"/>
          <w:lang w:val="en-GB"/>
        </w:rPr>
        <w:t>10</w:t>
      </w:r>
      <w:r w:rsidRPr="00E4265B">
        <w:rPr>
          <w:rFonts w:ascii="Arial" w:hAnsi="Arial" w:cs="Arial"/>
          <w:b/>
          <w:bCs/>
          <w:sz w:val="22"/>
          <w:szCs w:val="22"/>
          <w:lang w:val="en-GB"/>
        </w:rPr>
        <w:t>.2.3</w:t>
      </w:r>
      <w:r w:rsidR="00384436" w:rsidRPr="00E4265B">
        <w:rPr>
          <w:rFonts w:ascii="Arial" w:hAnsi="Arial" w:cs="Arial"/>
          <w:bCs/>
          <w:sz w:val="22"/>
          <w:szCs w:val="22"/>
          <w:lang w:val="en-GB"/>
        </w:rPr>
        <w:tab/>
      </w:r>
      <w:r w:rsidRPr="00E4265B">
        <w:rPr>
          <w:rFonts w:ascii="Arial" w:hAnsi="Arial" w:cs="Arial"/>
          <w:sz w:val="22"/>
          <w:szCs w:val="22"/>
          <w:lang w:val="en-GB"/>
        </w:rPr>
        <w:t xml:space="preserve">To be eligible as HQLA, assets must meet the following requirements: </w:t>
      </w:r>
    </w:p>
    <w:p w14:paraId="3E5447DF" w14:textId="3FA50148" w:rsidR="00E22FF2" w:rsidRPr="00E4265B" w:rsidRDefault="00E22FF2" w:rsidP="000E2AB4">
      <w:pPr>
        <w:pStyle w:val="1List"/>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the assets must be under the control of the specific function or functions charged with managing the liquidity of the </w:t>
      </w:r>
      <w:r w:rsidR="00363CED" w:rsidRPr="00E4265B">
        <w:rPr>
          <w:rFonts w:ascii="Arial" w:hAnsi="Arial" w:cs="Arial"/>
          <w:sz w:val="22"/>
          <w:szCs w:val="22"/>
          <w:lang w:val="en-GB"/>
        </w:rPr>
        <w:t>Authorised Person which</w:t>
      </w:r>
      <w:r w:rsidRPr="00E4265B">
        <w:rPr>
          <w:rFonts w:ascii="Arial" w:hAnsi="Arial" w:cs="Arial"/>
          <w:sz w:val="22"/>
          <w:szCs w:val="22"/>
          <w:lang w:val="en-GB"/>
        </w:rPr>
        <w:t xml:space="preserve"> must have the continuous authority and legal and operational capability to liquidate any asset in the stock; and </w:t>
      </w:r>
    </w:p>
    <w:p w14:paraId="425613E6" w14:textId="7EA2042B" w:rsidR="00E22FF2" w:rsidRPr="00E4265B" w:rsidRDefault="00E22FF2" w:rsidP="000E2AB4">
      <w:pPr>
        <w:pStyle w:val="1List"/>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a representative portion of the assets in the stock of HQLA must be liquidated periodically and at least annually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test its access to the market, the effectiveness of its processes for liquidation, the availability of the assets, and to minimise the risk of negative signalling during a period of actual stress. </w:t>
      </w:r>
    </w:p>
    <w:p w14:paraId="7B4628E1" w14:textId="57967F25" w:rsidR="00E22FF2" w:rsidRPr="00E4265B" w:rsidRDefault="00E22FF2" w:rsidP="00846F4F">
      <w:pPr>
        <w:pStyle w:val="A1List"/>
        <w:rPr>
          <w:rFonts w:ascii="Arial" w:hAnsi="Arial" w:cs="Arial"/>
          <w:sz w:val="22"/>
          <w:szCs w:val="22"/>
          <w:lang w:val="en-GB"/>
        </w:rPr>
      </w:pPr>
      <w:r w:rsidRPr="00E4265B">
        <w:rPr>
          <w:rFonts w:ascii="Arial" w:hAnsi="Arial" w:cs="Arial"/>
          <w:b/>
          <w:bCs/>
          <w:sz w:val="22"/>
          <w:szCs w:val="22"/>
          <w:lang w:val="en-GB"/>
        </w:rPr>
        <w:t>A</w:t>
      </w:r>
      <w:r w:rsidR="00C43B60" w:rsidRPr="00E4265B">
        <w:rPr>
          <w:rFonts w:ascii="Arial" w:hAnsi="Arial" w:cs="Arial"/>
          <w:b/>
          <w:bCs/>
          <w:sz w:val="22"/>
          <w:szCs w:val="22"/>
          <w:lang w:val="en-GB"/>
        </w:rPr>
        <w:t>10</w:t>
      </w:r>
      <w:r w:rsidRPr="00E4265B">
        <w:rPr>
          <w:rFonts w:ascii="Arial" w:hAnsi="Arial" w:cs="Arial"/>
          <w:b/>
          <w:bCs/>
          <w:sz w:val="22"/>
          <w:szCs w:val="22"/>
          <w:lang w:val="en-GB"/>
        </w:rPr>
        <w:t>.2.4</w:t>
      </w:r>
      <w:r w:rsidR="00384436" w:rsidRPr="00E4265B">
        <w:rPr>
          <w:rFonts w:ascii="Arial" w:hAnsi="Arial" w:cs="Arial"/>
          <w:bCs/>
          <w:sz w:val="22"/>
          <w:szCs w:val="22"/>
          <w:lang w:val="en-GB"/>
        </w:rPr>
        <w:tab/>
      </w:r>
      <w:r w:rsidRPr="00E4265B">
        <w:rPr>
          <w:rFonts w:ascii="Arial" w:hAnsi="Arial" w:cs="Arial"/>
          <w:sz w:val="22"/>
          <w:szCs w:val="22"/>
          <w:lang w:val="en-GB"/>
        </w:rPr>
        <w:t xml:space="preserve">To be eligible as HQLA, an asset must also meet the following requirements: </w:t>
      </w:r>
    </w:p>
    <w:p w14:paraId="4D9B4722" w14:textId="4CFBEBFA" w:rsidR="00E22FF2" w:rsidRPr="00E4265B" w:rsidRDefault="00E22FF2" w:rsidP="000E2AB4">
      <w:pPr>
        <w:pStyle w:val="1List"/>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the asset must be unencumbered and free of legal, regulatory, contractual or other restrictions that affect the ability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liquidate, sell, transfer, or assign the asset; </w:t>
      </w:r>
    </w:p>
    <w:p w14:paraId="5904C5E2" w14:textId="3630683C" w:rsidR="00E22FF2" w:rsidRPr="00E4265B" w:rsidRDefault="00E22FF2" w:rsidP="000E2AB4">
      <w:pPr>
        <w:pStyle w:val="1List"/>
        <w:rPr>
          <w:rFonts w:ascii="Arial" w:hAnsi="Arial" w:cs="Arial"/>
          <w:sz w:val="22"/>
          <w:szCs w:val="22"/>
          <w:lang w:val="en-GB"/>
        </w:rPr>
      </w:pPr>
      <w:r w:rsidRPr="00E4265B">
        <w:rPr>
          <w:rFonts w:ascii="Arial" w:hAnsi="Arial" w:cs="Arial"/>
          <w:sz w:val="22"/>
          <w:szCs w:val="22"/>
          <w:lang w:val="en-GB"/>
        </w:rPr>
        <w:lastRenderedPageBreak/>
        <w:t>(b)</w:t>
      </w:r>
      <w:r w:rsidR="00384436" w:rsidRPr="00E4265B">
        <w:rPr>
          <w:rFonts w:ascii="Arial" w:hAnsi="Arial" w:cs="Arial"/>
          <w:sz w:val="22"/>
          <w:szCs w:val="22"/>
          <w:lang w:val="en-GB"/>
        </w:rPr>
        <w:tab/>
      </w:r>
      <w:r w:rsidRPr="00E4265B">
        <w:rPr>
          <w:rFonts w:ascii="Arial" w:hAnsi="Arial" w:cs="Arial"/>
          <w:sz w:val="22"/>
          <w:szCs w:val="22"/>
          <w:lang w:val="en-GB"/>
        </w:rPr>
        <w:t xml:space="preserve">the asset must not be pledged, either explicitly or implicitly, to secure, collateralise or credit-enhance any transaction, nor be designated to cover operational costs (such as rents and salaries); and </w:t>
      </w:r>
    </w:p>
    <w:p w14:paraId="27284379" w14:textId="0D6F686E" w:rsidR="00E22FF2" w:rsidRPr="00E4265B" w:rsidRDefault="00E22FF2" w:rsidP="000E2AB4">
      <w:pPr>
        <w:pStyle w:val="1List"/>
        <w:rPr>
          <w:rFonts w:ascii="Arial" w:hAnsi="Arial" w:cs="Arial"/>
          <w:sz w:val="22"/>
          <w:szCs w:val="22"/>
          <w:lang w:val="en-GB"/>
        </w:rPr>
      </w:pPr>
      <w:r w:rsidRPr="00E4265B">
        <w:rPr>
          <w:rFonts w:ascii="Arial" w:hAnsi="Arial" w:cs="Arial"/>
          <w:sz w:val="22"/>
          <w:szCs w:val="22"/>
          <w:lang w:val="en-GB"/>
        </w:rPr>
        <w:t>(c)</w:t>
      </w:r>
      <w:r w:rsidR="00384436" w:rsidRPr="00E4265B">
        <w:rPr>
          <w:rFonts w:ascii="Arial" w:hAnsi="Arial" w:cs="Arial"/>
          <w:sz w:val="22"/>
          <w:szCs w:val="22"/>
          <w:lang w:val="en-GB"/>
        </w:rPr>
        <w:tab/>
      </w:r>
      <w:r w:rsidRPr="00E4265B">
        <w:rPr>
          <w:rFonts w:ascii="Arial" w:hAnsi="Arial" w:cs="Arial"/>
          <w:sz w:val="22"/>
          <w:szCs w:val="22"/>
          <w:lang w:val="en-GB"/>
        </w:rPr>
        <w:t xml:space="preserve">an asset received in a reverse repo or </w:t>
      </w:r>
      <w:r w:rsidR="002E3A51" w:rsidRPr="00E4265B">
        <w:rPr>
          <w:rFonts w:ascii="Arial" w:hAnsi="Arial" w:cs="Arial"/>
          <w:sz w:val="22"/>
          <w:szCs w:val="22"/>
          <w:lang w:val="en-GB"/>
        </w:rPr>
        <w:t>Securities Financing Transaction</w:t>
      </w:r>
      <w:r w:rsidRPr="00E4265B">
        <w:rPr>
          <w:rFonts w:ascii="Arial" w:hAnsi="Arial" w:cs="Arial"/>
          <w:sz w:val="22"/>
          <w:szCs w:val="22"/>
          <w:lang w:val="en-GB"/>
        </w:rPr>
        <w:t xml:space="preserve">s that is held at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eligible for inclusion in the stock of HQLA only if the asset has not been rehypothecated and is legally and contractually available for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use. </w:t>
      </w:r>
    </w:p>
    <w:p w14:paraId="4EB140AA"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Guidance </w:t>
      </w:r>
    </w:p>
    <w:p w14:paraId="010A8D15" w14:textId="77777777"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The requirements in Rules A</w:t>
      </w:r>
      <w:r w:rsidR="007F5285" w:rsidRPr="00E4265B">
        <w:rPr>
          <w:rFonts w:ascii="Arial" w:hAnsi="Arial" w:cs="Arial"/>
          <w:sz w:val="22"/>
          <w:szCs w:val="22"/>
          <w:lang w:val="en-GB"/>
        </w:rPr>
        <w:t>10.2.2 to A10</w:t>
      </w:r>
      <w:r w:rsidRPr="00E4265B">
        <w:rPr>
          <w:rFonts w:ascii="Arial" w:hAnsi="Arial" w:cs="Arial"/>
          <w:sz w:val="22"/>
          <w:szCs w:val="22"/>
          <w:lang w:val="en-GB"/>
        </w:rPr>
        <w:t xml:space="preserve">.2.4 are intended to ensure that the stock of HQLA is managed in such a way that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can, and is able to demonstrate that it can, immediately use the assets as a source of contingent funds that is available to convert into cash to fill funding gaps between cash inflows and outflows at any time during the 30-day stress period, with no restriction on the use of the liquidity generated. </w:t>
      </w:r>
    </w:p>
    <w:p w14:paraId="0CD31182" w14:textId="2DF2555C"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Pr="00E4265B">
        <w:rPr>
          <w:rFonts w:ascii="Arial" w:hAnsi="Arial" w:cs="Arial"/>
          <w:sz w:val="22"/>
          <w:szCs w:val="22"/>
          <w:lang w:val="en-GB"/>
        </w:rPr>
        <w:t>Under Rule A</w:t>
      </w:r>
      <w:r w:rsidR="007F5285" w:rsidRPr="00E4265B">
        <w:rPr>
          <w:rFonts w:ascii="Arial" w:hAnsi="Arial" w:cs="Arial"/>
          <w:sz w:val="22"/>
          <w:szCs w:val="22"/>
          <w:lang w:val="en-GB"/>
        </w:rPr>
        <w:t>10</w:t>
      </w:r>
      <w:r w:rsidRPr="00E4265B">
        <w:rPr>
          <w:rFonts w:ascii="Arial" w:hAnsi="Arial" w:cs="Arial"/>
          <w:sz w:val="22"/>
          <w:szCs w:val="22"/>
          <w:lang w:val="en-GB"/>
        </w:rPr>
        <w:t xml:space="preserve">.2.3(a), the control of the HQLA may be evidenced either by: </w:t>
      </w:r>
    </w:p>
    <w:p w14:paraId="18536885" w14:textId="4EEA90C9" w:rsidR="00E22FF2" w:rsidRPr="00E4265B" w:rsidRDefault="00E22FF2" w:rsidP="00F75DF0">
      <w:pPr>
        <w:pStyle w:val="aList0"/>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maintaining assets in a separate pool managed by the identified liquidity management function (typically the treasurer) with the sole intent to use it as a source of contingent funds; or </w:t>
      </w:r>
    </w:p>
    <w:p w14:paraId="52DD6F73" w14:textId="70B847B1" w:rsidR="00E22FF2" w:rsidRPr="00E4265B" w:rsidRDefault="00E22FF2" w:rsidP="00F75DF0">
      <w:pPr>
        <w:pStyle w:val="aList0"/>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demonstrating that the relevant function can liquidate the asset at any point in the 30-day stress period and that the proceeds are available to the function throughout the 30-day stress period without directly conflicting with a stated business or risk management strategy. </w:t>
      </w:r>
    </w:p>
    <w:p w14:paraId="140968A8" w14:textId="57C909AB"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3.</w:t>
      </w:r>
      <w:r w:rsidR="00384436" w:rsidRPr="00E4265B">
        <w:rPr>
          <w:rFonts w:ascii="Arial" w:hAnsi="Arial" w:cs="Arial"/>
          <w:sz w:val="22"/>
          <w:szCs w:val="22"/>
          <w:lang w:val="en-GB"/>
        </w:rPr>
        <w:tab/>
      </w:r>
      <w:r w:rsidRPr="00E4265B">
        <w:rPr>
          <w:rFonts w:ascii="Arial" w:hAnsi="Arial" w:cs="Arial"/>
          <w:sz w:val="22"/>
          <w:szCs w:val="22"/>
          <w:lang w:val="en-GB"/>
        </w:rPr>
        <w:t>Operational capability to liquidate assets referred to in Rule A</w:t>
      </w:r>
      <w:r w:rsidR="007F5285" w:rsidRPr="00E4265B">
        <w:rPr>
          <w:rFonts w:ascii="Arial" w:hAnsi="Arial" w:cs="Arial"/>
          <w:sz w:val="22"/>
          <w:szCs w:val="22"/>
          <w:lang w:val="en-GB"/>
        </w:rPr>
        <w:t>10</w:t>
      </w:r>
      <w:r w:rsidRPr="00E4265B">
        <w:rPr>
          <w:rFonts w:ascii="Arial" w:hAnsi="Arial" w:cs="Arial"/>
          <w:sz w:val="22"/>
          <w:szCs w:val="22"/>
          <w:lang w:val="en-GB"/>
        </w:rPr>
        <w:t xml:space="preserve">.2.3(b), requires procedures and appropriate systems to be in place. This includes providing the liquidity management function with access to all necessary information to liquidate any asset at any time. Liquidation of the asset should be executable operationally within the standard settlement period for the asset class in the relevant jurisdiction. </w:t>
      </w:r>
    </w:p>
    <w:p w14:paraId="4800B6F8"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Caps on different types of HQLA </w:t>
      </w:r>
    </w:p>
    <w:p w14:paraId="5E781BF0" w14:textId="22BEBDE9" w:rsidR="00E22FF2" w:rsidRPr="00E4265B" w:rsidRDefault="007F5285" w:rsidP="00F75DF0">
      <w:pPr>
        <w:pStyle w:val="A1List"/>
        <w:tabs>
          <w:tab w:val="left" w:pos="1800"/>
        </w:tabs>
        <w:ind w:left="1800" w:hanging="1800"/>
        <w:rPr>
          <w:rFonts w:ascii="Arial" w:hAnsi="Arial" w:cs="Arial"/>
          <w:sz w:val="22"/>
          <w:szCs w:val="22"/>
          <w:lang w:val="en-GB"/>
        </w:rPr>
      </w:pPr>
      <w:r w:rsidRPr="00E4265B">
        <w:rPr>
          <w:rFonts w:ascii="Arial" w:hAnsi="Arial" w:cs="Arial"/>
          <w:b/>
          <w:bCs/>
          <w:sz w:val="22"/>
          <w:szCs w:val="22"/>
          <w:lang w:val="en-GB"/>
        </w:rPr>
        <w:t>A10</w:t>
      </w:r>
      <w:r w:rsidR="00E22FF2" w:rsidRPr="00E4265B">
        <w:rPr>
          <w:rFonts w:ascii="Arial" w:hAnsi="Arial" w:cs="Arial"/>
          <w:b/>
          <w:bCs/>
          <w:sz w:val="22"/>
          <w:szCs w:val="22"/>
          <w:lang w:val="en-GB"/>
        </w:rPr>
        <w:t>.2.5</w:t>
      </w:r>
      <w:r w:rsidR="00384436" w:rsidRPr="00E4265B">
        <w:rPr>
          <w:rFonts w:ascii="Arial" w:hAnsi="Arial" w:cs="Arial"/>
          <w:bCs/>
          <w:sz w:val="22"/>
          <w:szCs w:val="22"/>
          <w:lang w:val="en-GB"/>
        </w:rPr>
        <w:tab/>
      </w:r>
      <w:r w:rsidR="00E22FF2" w:rsidRPr="00E4265B">
        <w:rPr>
          <w:rFonts w:ascii="Arial" w:hAnsi="Arial" w:cs="Arial"/>
          <w:sz w:val="22"/>
          <w:szCs w:val="22"/>
          <w:lang w:val="en-GB"/>
        </w:rPr>
        <w:t>(1)</w:t>
      </w:r>
      <w:r w:rsidR="00384436" w:rsidRPr="00E4265B">
        <w:rPr>
          <w:rFonts w:ascii="Arial" w:hAnsi="Arial" w:cs="Arial"/>
          <w:sz w:val="22"/>
          <w:szCs w:val="22"/>
          <w:lang w:val="en-GB"/>
        </w:rPr>
        <w:tab/>
      </w:r>
      <w:r w:rsidR="00E22FF2" w:rsidRPr="00E4265B">
        <w:rPr>
          <w:rFonts w:ascii="Arial" w:hAnsi="Arial" w:cs="Arial"/>
          <w:sz w:val="22"/>
          <w:szCs w:val="22"/>
          <w:lang w:val="en-GB"/>
        </w:rPr>
        <w:t xml:space="preserve">Assets eligible to be included in the stock of HQLA for the purpose of the LCR calculation are classified under the following two categories: </w:t>
      </w:r>
    </w:p>
    <w:p w14:paraId="40D4A9D8" w14:textId="2A7BF228"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Level 1 HQLA, consisting of the highest quality and most liquid assets; and </w:t>
      </w:r>
    </w:p>
    <w:p w14:paraId="39848D46" w14:textId="27520FF2"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Level 2 HQLA, including Level 2A HQLA and Leve</w:t>
      </w:r>
      <w:r w:rsidR="00BA0D09" w:rsidRPr="00E4265B">
        <w:rPr>
          <w:rFonts w:ascii="Arial" w:hAnsi="Arial" w:cs="Arial"/>
          <w:sz w:val="22"/>
          <w:szCs w:val="22"/>
          <w:lang w:val="en-GB"/>
        </w:rPr>
        <w:t>l 2B HQLA, consisting of other High Quality Liquid A</w:t>
      </w:r>
      <w:r w:rsidRPr="00E4265B">
        <w:rPr>
          <w:rFonts w:ascii="Arial" w:hAnsi="Arial" w:cs="Arial"/>
          <w:sz w:val="22"/>
          <w:szCs w:val="22"/>
          <w:lang w:val="en-GB"/>
        </w:rPr>
        <w:t xml:space="preserve">ssets. </w:t>
      </w:r>
    </w:p>
    <w:p w14:paraId="2D2C8D0C" w14:textId="68943307" w:rsidR="00E22FF2" w:rsidRPr="00E4265B" w:rsidRDefault="00E22FF2" w:rsidP="00846F4F">
      <w:pPr>
        <w:pStyle w:val="1List"/>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Pr="00E4265B">
        <w:rPr>
          <w:rFonts w:ascii="Arial" w:hAnsi="Arial" w:cs="Arial"/>
          <w:sz w:val="22"/>
          <w:szCs w:val="22"/>
          <w:lang w:val="en-GB"/>
        </w:rPr>
        <w:t xml:space="preserve">When calculating the total stock of HQLA,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apply the following caps in respect of each category of assets: </w:t>
      </w:r>
    </w:p>
    <w:p w14:paraId="212BDE4D" w14:textId="17A19CFA"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Level 1 HQLA can be included in the total stock of HQLA without any limit (i.e. up to 100% of HQLA); </w:t>
      </w:r>
    </w:p>
    <w:p w14:paraId="2AFBFAC1" w14:textId="31046EA0"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Total Level 2 HQLA, including both Level 2A HQLA and Level 2B HQLA, can comprise only up to 40% of the total stock of HQLA; and </w:t>
      </w:r>
    </w:p>
    <w:p w14:paraId="1FCF7C3B" w14:textId="43471262"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lastRenderedPageBreak/>
        <w:t>(c)</w:t>
      </w:r>
      <w:r w:rsidR="00384436" w:rsidRPr="00E4265B">
        <w:rPr>
          <w:rFonts w:ascii="Arial" w:hAnsi="Arial" w:cs="Arial"/>
          <w:sz w:val="22"/>
          <w:szCs w:val="22"/>
          <w:lang w:val="en-GB"/>
        </w:rPr>
        <w:tab/>
      </w:r>
      <w:r w:rsidRPr="00E4265B">
        <w:rPr>
          <w:rFonts w:ascii="Arial" w:hAnsi="Arial" w:cs="Arial"/>
          <w:sz w:val="22"/>
          <w:szCs w:val="22"/>
          <w:lang w:val="en-GB"/>
        </w:rPr>
        <w:t xml:space="preserve">Level 2B HQLA can comprise only up to 15% of the total stock of HQLA within the overall 40% limit on Level 2 HQLA in (b). </w:t>
      </w:r>
    </w:p>
    <w:p w14:paraId="75DDAD29" w14:textId="456E91FF" w:rsidR="00E22FF2" w:rsidRPr="00E4265B" w:rsidRDefault="00E22FF2" w:rsidP="00846F4F">
      <w:pPr>
        <w:pStyle w:val="1List"/>
        <w:rPr>
          <w:rFonts w:ascii="Arial" w:hAnsi="Arial" w:cs="Arial"/>
          <w:sz w:val="22"/>
          <w:szCs w:val="22"/>
          <w:lang w:val="en-GB"/>
        </w:rPr>
      </w:pPr>
      <w:r w:rsidRPr="00E4265B">
        <w:rPr>
          <w:rFonts w:ascii="Arial" w:hAnsi="Arial" w:cs="Arial"/>
          <w:sz w:val="22"/>
          <w:szCs w:val="22"/>
          <w:lang w:val="en-GB"/>
        </w:rPr>
        <w:t>(3)</w:t>
      </w:r>
      <w:r w:rsidR="00384436" w:rsidRPr="00E4265B">
        <w:rPr>
          <w:rFonts w:ascii="Arial" w:hAnsi="Arial" w:cs="Arial"/>
          <w:sz w:val="22"/>
          <w:szCs w:val="22"/>
          <w:lang w:val="en-GB"/>
        </w:rPr>
        <w:tab/>
      </w:r>
      <w:r w:rsidRPr="00E4265B">
        <w:rPr>
          <w:rFonts w:ascii="Arial" w:hAnsi="Arial" w:cs="Arial"/>
          <w:sz w:val="22"/>
          <w:szCs w:val="22"/>
          <w:lang w:val="en-GB"/>
        </w:rPr>
        <w:t xml:space="preserve">The caps on Level 2 HQLA and Level 2B HQLA must be determined after applying the </w:t>
      </w:r>
      <w:r w:rsidR="00357DD8" w:rsidRPr="00E4265B">
        <w:rPr>
          <w:rFonts w:ascii="Arial" w:hAnsi="Arial" w:cs="Arial"/>
          <w:sz w:val="22"/>
          <w:szCs w:val="22"/>
          <w:lang w:val="en-GB"/>
        </w:rPr>
        <w:t>haircuts required under Rules A10.2.7 and A10</w:t>
      </w:r>
      <w:r w:rsidRPr="00E4265B">
        <w:rPr>
          <w:rFonts w:ascii="Arial" w:hAnsi="Arial" w:cs="Arial"/>
          <w:sz w:val="22"/>
          <w:szCs w:val="22"/>
          <w:lang w:val="en-GB"/>
        </w:rPr>
        <w:t xml:space="preserve">.2.8, and after unwinding the amounts of HQLA involved in short-term secured funding, secured lending and </w:t>
      </w:r>
      <w:r w:rsidR="00BB26A3" w:rsidRPr="00E4265B">
        <w:rPr>
          <w:rFonts w:ascii="Arial" w:hAnsi="Arial" w:cs="Arial"/>
          <w:sz w:val="22"/>
          <w:szCs w:val="22"/>
          <w:lang w:val="en-GB"/>
        </w:rPr>
        <w:t>Collateral</w:t>
      </w:r>
      <w:r w:rsidRPr="00E4265B">
        <w:rPr>
          <w:rFonts w:ascii="Arial" w:hAnsi="Arial" w:cs="Arial"/>
          <w:sz w:val="22"/>
          <w:szCs w:val="22"/>
          <w:lang w:val="en-GB"/>
        </w:rPr>
        <w:t xml:space="preserve"> swap transactions maturing within 30 calendar days that involve the exchange of HQLA. </w:t>
      </w:r>
    </w:p>
    <w:p w14:paraId="5448F3E8" w14:textId="649286DF" w:rsidR="00E22FF2" w:rsidRPr="00E4265B" w:rsidRDefault="00E22FF2" w:rsidP="00846F4F">
      <w:pPr>
        <w:pStyle w:val="1List"/>
        <w:rPr>
          <w:rFonts w:ascii="Arial" w:hAnsi="Arial" w:cs="Arial"/>
          <w:sz w:val="22"/>
          <w:szCs w:val="22"/>
          <w:lang w:val="en-GB"/>
        </w:rPr>
      </w:pPr>
      <w:r w:rsidRPr="00E4265B">
        <w:rPr>
          <w:rFonts w:ascii="Arial" w:hAnsi="Arial" w:cs="Arial"/>
          <w:sz w:val="22"/>
          <w:szCs w:val="22"/>
          <w:lang w:val="en-GB"/>
        </w:rPr>
        <w:t>(4)</w:t>
      </w:r>
      <w:r w:rsidR="00384436" w:rsidRPr="00E4265B">
        <w:rPr>
          <w:rFonts w:ascii="Arial" w:hAnsi="Arial" w:cs="Arial"/>
          <w:sz w:val="22"/>
          <w:szCs w:val="22"/>
          <w:lang w:val="en-GB"/>
        </w:rPr>
        <w:tab/>
      </w:r>
      <w:r w:rsidRPr="00E4265B">
        <w:rPr>
          <w:rFonts w:ascii="Arial" w:hAnsi="Arial" w:cs="Arial"/>
          <w:sz w:val="22"/>
          <w:szCs w:val="22"/>
          <w:lang w:val="en-GB"/>
        </w:rPr>
        <w:t xml:space="preserve">The assets to be included in each category of HQLA must be restricted to assets being held or owned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on the first day of the stress period, irrespective of their residual maturity.</w:t>
      </w:r>
    </w:p>
    <w:p w14:paraId="0DC1E86C"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Guidance </w:t>
      </w:r>
    </w:p>
    <w:p w14:paraId="62FE223E" w14:textId="7843D8E6"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1.</w:t>
      </w:r>
      <w:r w:rsidR="00384436" w:rsidRPr="00E4265B">
        <w:rPr>
          <w:rFonts w:ascii="Arial" w:hAnsi="Arial" w:cs="Arial"/>
          <w:sz w:val="22"/>
          <w:szCs w:val="22"/>
          <w:lang w:val="en-GB"/>
        </w:rPr>
        <w:tab/>
      </w:r>
      <w:r w:rsidRPr="00E4265B">
        <w:rPr>
          <w:rFonts w:ascii="Arial" w:hAnsi="Arial" w:cs="Arial"/>
          <w:sz w:val="22"/>
          <w:szCs w:val="22"/>
          <w:lang w:val="en-GB"/>
        </w:rPr>
        <w:t>The following Guidance is in</w:t>
      </w:r>
      <w:r w:rsidR="00357DD8" w:rsidRPr="00E4265B">
        <w:rPr>
          <w:rFonts w:ascii="Arial" w:hAnsi="Arial" w:cs="Arial"/>
          <w:sz w:val="22"/>
          <w:szCs w:val="22"/>
          <w:lang w:val="en-GB"/>
        </w:rPr>
        <w:t>tended to illustrate how Rule A10</w:t>
      </w:r>
      <w:r w:rsidRPr="00E4265B">
        <w:rPr>
          <w:rFonts w:ascii="Arial" w:hAnsi="Arial" w:cs="Arial"/>
          <w:sz w:val="22"/>
          <w:szCs w:val="22"/>
          <w:lang w:val="en-GB"/>
        </w:rPr>
        <w:t xml:space="preserve">.2.5 should be applied in practice. </w:t>
      </w:r>
    </w:p>
    <w:p w14:paraId="4A748867" w14:textId="2F481FD5"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Pr="00E4265B">
        <w:rPr>
          <w:rFonts w:ascii="Arial" w:hAnsi="Arial" w:cs="Arial"/>
          <w:sz w:val="22"/>
          <w:szCs w:val="22"/>
          <w:lang w:val="en-GB"/>
        </w:rPr>
        <w:t>Under Rule A</w:t>
      </w:r>
      <w:r w:rsidR="00357DD8" w:rsidRPr="00E4265B">
        <w:rPr>
          <w:rFonts w:ascii="Arial" w:hAnsi="Arial" w:cs="Arial"/>
          <w:sz w:val="22"/>
          <w:szCs w:val="22"/>
          <w:lang w:val="en-GB"/>
        </w:rPr>
        <w:t>10</w:t>
      </w:r>
      <w:r w:rsidRPr="00E4265B">
        <w:rPr>
          <w:rFonts w:ascii="Arial" w:hAnsi="Arial" w:cs="Arial"/>
          <w:sz w:val="22"/>
          <w:szCs w:val="22"/>
          <w:lang w:val="en-GB"/>
        </w:rPr>
        <w:t xml:space="preserve">.2.5(3) the adjusted amounts of HQLA should be calculated as the amount of HQLA that would result after unwinding those short-term secured funding, secured lending and </w:t>
      </w:r>
      <w:r w:rsidR="00BB26A3" w:rsidRPr="00E4265B">
        <w:rPr>
          <w:rFonts w:ascii="Arial" w:hAnsi="Arial" w:cs="Arial"/>
          <w:sz w:val="22"/>
          <w:szCs w:val="22"/>
          <w:lang w:val="en-GB"/>
        </w:rPr>
        <w:t>Collateral</w:t>
      </w:r>
      <w:r w:rsidRPr="00E4265B">
        <w:rPr>
          <w:rFonts w:ascii="Arial" w:hAnsi="Arial" w:cs="Arial"/>
          <w:sz w:val="22"/>
          <w:szCs w:val="22"/>
          <w:lang w:val="en-GB"/>
        </w:rPr>
        <w:t xml:space="preserve"> swap transactions that involve the exchange of any HQLA for any other HQLA. </w:t>
      </w:r>
    </w:p>
    <w:p w14:paraId="73A1B620" w14:textId="1E87849D"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3.</w:t>
      </w:r>
      <w:r w:rsidR="00384436" w:rsidRPr="00E4265B">
        <w:rPr>
          <w:rFonts w:ascii="Arial" w:hAnsi="Arial" w:cs="Arial"/>
          <w:sz w:val="22"/>
          <w:szCs w:val="22"/>
          <w:lang w:val="en-GB"/>
        </w:rPr>
        <w:tab/>
      </w:r>
      <w:r w:rsidRPr="00E4265B">
        <w:rPr>
          <w:rFonts w:ascii="Arial" w:hAnsi="Arial" w:cs="Arial"/>
          <w:sz w:val="22"/>
          <w:szCs w:val="22"/>
          <w:lang w:val="en-GB"/>
        </w:rPr>
        <w:t>The calculation of the stock of HQLA under Rule A</w:t>
      </w:r>
      <w:r w:rsidR="0032288B" w:rsidRPr="00E4265B">
        <w:rPr>
          <w:rFonts w:ascii="Arial" w:hAnsi="Arial" w:cs="Arial"/>
          <w:sz w:val="22"/>
          <w:szCs w:val="22"/>
          <w:lang w:val="en-GB"/>
        </w:rPr>
        <w:t>10</w:t>
      </w:r>
      <w:r w:rsidRPr="00E4265B">
        <w:rPr>
          <w:rFonts w:ascii="Arial" w:hAnsi="Arial" w:cs="Arial"/>
          <w:sz w:val="22"/>
          <w:szCs w:val="22"/>
          <w:lang w:val="en-GB"/>
        </w:rPr>
        <w:t xml:space="preserve">.2.5 can be expressed as the following formula: </w:t>
      </w:r>
    </w:p>
    <w:p w14:paraId="1DD4DA3F" w14:textId="77777777" w:rsidR="00E22FF2" w:rsidRPr="00E4265B" w:rsidRDefault="00E22FF2" w:rsidP="00C55E84">
      <w:pPr>
        <w:pStyle w:val="UK12Block05"/>
        <w:ind w:left="1440"/>
        <w:rPr>
          <w:rFonts w:ascii="Arial" w:hAnsi="Arial" w:cs="Arial"/>
          <w:sz w:val="22"/>
          <w:szCs w:val="22"/>
          <w:lang w:val="en-GB"/>
        </w:rPr>
      </w:pPr>
      <w:r w:rsidRPr="00E4265B">
        <w:rPr>
          <w:rFonts w:ascii="Arial" w:hAnsi="Arial" w:cs="Arial"/>
          <w:sz w:val="22"/>
          <w:szCs w:val="22"/>
          <w:lang w:val="en-GB"/>
        </w:rPr>
        <w:t xml:space="preserve">Stock of HQLA = Level 1 HQLA + Level 2A HQLA + Level 2B HQLA – Adjustment for 15% cap – Adjustment for 40% cap </w:t>
      </w:r>
    </w:p>
    <w:p w14:paraId="09C556AA" w14:textId="77777777" w:rsidR="00E22FF2" w:rsidRPr="00E4265B" w:rsidRDefault="00E22FF2" w:rsidP="00C55E84">
      <w:pPr>
        <w:pStyle w:val="UK12Block05"/>
        <w:rPr>
          <w:rFonts w:ascii="Arial" w:hAnsi="Arial" w:cs="Arial"/>
          <w:sz w:val="22"/>
          <w:szCs w:val="22"/>
          <w:lang w:val="en-GB"/>
        </w:rPr>
      </w:pPr>
      <w:r w:rsidRPr="00E4265B">
        <w:rPr>
          <w:rFonts w:ascii="Arial" w:hAnsi="Arial" w:cs="Arial"/>
          <w:sz w:val="22"/>
          <w:szCs w:val="22"/>
          <w:lang w:val="en-GB"/>
        </w:rPr>
        <w:t xml:space="preserve">Where: </w:t>
      </w:r>
    </w:p>
    <w:p w14:paraId="729A7EF0" w14:textId="7581F42D"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Adjustment for 15% cap = Max (Adjusted Level 2B HQLA – 15/85 x(Adjusted Level 1 HQLA + Level 2A HQLA), Ad</w:t>
      </w:r>
      <w:r w:rsidR="009D60B3" w:rsidRPr="00E4265B">
        <w:rPr>
          <w:rFonts w:ascii="Arial" w:hAnsi="Arial" w:cs="Arial"/>
          <w:sz w:val="22"/>
          <w:szCs w:val="22"/>
          <w:lang w:val="en-GB"/>
        </w:rPr>
        <w:t xml:space="preserve">justed Level 2B HQLA - 15/60 x </w:t>
      </w:r>
      <w:r w:rsidRPr="00E4265B">
        <w:rPr>
          <w:rFonts w:ascii="Arial" w:hAnsi="Arial" w:cs="Arial"/>
          <w:sz w:val="22"/>
          <w:szCs w:val="22"/>
          <w:lang w:val="en-GB"/>
        </w:rPr>
        <w:t xml:space="preserve">Adjusted Level 1 HQLA, 0) </w:t>
      </w:r>
    </w:p>
    <w:p w14:paraId="2C04AC75" w14:textId="13DBACD3"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Adjustment for 40% cap = Max ((Adjusted Level 2A HQLA + Adjusted Level 2B HQLA – Adjustment for 15% cap) - 2/3 x Adjusted Level 1 HQLA, 0) </w:t>
      </w:r>
    </w:p>
    <w:p w14:paraId="4A58D44D"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Level 1 HQLA </w:t>
      </w:r>
    </w:p>
    <w:p w14:paraId="4CD578F8" w14:textId="4BC94870" w:rsidR="00E22FF2" w:rsidRPr="00E4265B" w:rsidRDefault="00E22FF2" w:rsidP="00F75DF0">
      <w:pPr>
        <w:pStyle w:val="A1List"/>
        <w:tabs>
          <w:tab w:val="left" w:pos="1800"/>
        </w:tabs>
        <w:rPr>
          <w:rFonts w:ascii="Arial" w:hAnsi="Arial" w:cs="Arial"/>
          <w:sz w:val="22"/>
          <w:szCs w:val="22"/>
          <w:lang w:val="en-GB"/>
        </w:rPr>
      </w:pPr>
      <w:r w:rsidRPr="00E4265B">
        <w:rPr>
          <w:rFonts w:ascii="Arial" w:hAnsi="Arial" w:cs="Arial"/>
          <w:b/>
          <w:bCs/>
          <w:sz w:val="22"/>
          <w:szCs w:val="22"/>
          <w:lang w:val="en-GB"/>
        </w:rPr>
        <w:t>A</w:t>
      </w:r>
      <w:r w:rsidR="0032288B" w:rsidRPr="00E4265B">
        <w:rPr>
          <w:rFonts w:ascii="Arial" w:hAnsi="Arial" w:cs="Arial"/>
          <w:b/>
          <w:bCs/>
          <w:sz w:val="22"/>
          <w:szCs w:val="22"/>
          <w:lang w:val="en-GB"/>
        </w:rPr>
        <w:t>10</w:t>
      </w:r>
      <w:r w:rsidRPr="00E4265B">
        <w:rPr>
          <w:rFonts w:ascii="Arial" w:hAnsi="Arial" w:cs="Arial"/>
          <w:b/>
          <w:bCs/>
          <w:sz w:val="22"/>
          <w:szCs w:val="22"/>
          <w:lang w:val="en-GB"/>
        </w:rPr>
        <w:t>.2.6</w:t>
      </w:r>
      <w:r w:rsidR="00384436" w:rsidRPr="00E4265B">
        <w:rPr>
          <w:rFonts w:ascii="Arial" w:hAnsi="Arial" w:cs="Arial"/>
          <w:bCs/>
          <w:sz w:val="22"/>
          <w:szCs w:val="22"/>
          <w:lang w:val="en-GB"/>
        </w:rPr>
        <w:tab/>
      </w:r>
      <w:r w:rsidRPr="00E4265B">
        <w:rPr>
          <w:rFonts w:ascii="Arial" w:hAnsi="Arial" w:cs="Arial"/>
          <w:sz w:val="22"/>
          <w:szCs w:val="22"/>
          <w:lang w:val="en-GB"/>
        </w:rPr>
        <w:t>(1)</w:t>
      </w:r>
      <w:r w:rsidR="00384436" w:rsidRPr="00E4265B">
        <w:rPr>
          <w:rFonts w:ascii="Arial" w:hAnsi="Arial" w:cs="Arial"/>
          <w:sz w:val="22"/>
          <w:szCs w:val="22"/>
          <w:lang w:val="en-GB"/>
        </w:rPr>
        <w:tab/>
      </w:r>
      <w:r w:rsidRPr="00E4265B">
        <w:rPr>
          <w:rFonts w:ascii="Arial" w:hAnsi="Arial" w:cs="Arial"/>
          <w:sz w:val="22"/>
          <w:szCs w:val="22"/>
          <w:lang w:val="en-GB"/>
        </w:rPr>
        <w:t xml:space="preserve">Level 1 HQLA must be valued at market value. </w:t>
      </w:r>
    </w:p>
    <w:p w14:paraId="348EAA9F" w14:textId="7397927F" w:rsidR="00E22FF2" w:rsidRPr="00E4265B" w:rsidRDefault="00E22FF2" w:rsidP="00846F4F">
      <w:pPr>
        <w:pStyle w:val="1List"/>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009D60B3" w:rsidRPr="00E4265B">
        <w:rPr>
          <w:rFonts w:ascii="Arial" w:hAnsi="Arial" w:cs="Arial"/>
          <w:sz w:val="22"/>
          <w:szCs w:val="22"/>
          <w:lang w:val="en-GB"/>
        </w:rPr>
        <w:t xml:space="preserve">Level </w:t>
      </w:r>
      <w:r w:rsidRPr="00E4265B">
        <w:rPr>
          <w:rFonts w:ascii="Arial" w:hAnsi="Arial" w:cs="Arial"/>
          <w:sz w:val="22"/>
          <w:szCs w:val="22"/>
          <w:lang w:val="en-GB"/>
        </w:rPr>
        <w:t xml:space="preserve">1 HQLA consists of: </w:t>
      </w:r>
    </w:p>
    <w:p w14:paraId="60345826" w14:textId="1D5AD73E"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banknotes and coin; </w:t>
      </w:r>
    </w:p>
    <w:p w14:paraId="53268118" w14:textId="409FEF10"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central bank reserves, to the extent that such reserves are capable of being drawn down immediately in times of stress; </w:t>
      </w:r>
    </w:p>
    <w:p w14:paraId="07336704" w14:textId="53E46FCA"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(c)</w:t>
      </w:r>
      <w:r w:rsidR="00384436" w:rsidRPr="00E4265B">
        <w:rPr>
          <w:rFonts w:ascii="Arial" w:hAnsi="Arial" w:cs="Arial"/>
          <w:sz w:val="22"/>
          <w:szCs w:val="22"/>
          <w:lang w:val="en-GB"/>
        </w:rPr>
        <w:tab/>
      </w:r>
      <w:r w:rsidRPr="00E4265B">
        <w:rPr>
          <w:rFonts w:ascii="Arial" w:hAnsi="Arial" w:cs="Arial"/>
          <w:sz w:val="22"/>
          <w:szCs w:val="22"/>
          <w:lang w:val="en-GB"/>
        </w:rPr>
        <w:t xml:space="preserve">marketable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representing claims on or claims guaranteed by sovereigns, central banks, Public Sector Entities (PSEs), the Bank for International Settlements, the International Monetary Fund, the European Central Bank and European Commission or </w:t>
      </w:r>
      <w:r w:rsidRPr="00E4265B">
        <w:rPr>
          <w:rFonts w:ascii="Arial" w:hAnsi="Arial" w:cs="Arial"/>
          <w:sz w:val="22"/>
          <w:szCs w:val="22"/>
          <w:lang w:val="en-GB"/>
        </w:rPr>
        <w:lastRenderedPageBreak/>
        <w:t xml:space="preserve">Multilateral Development Banks (MDBs), and that satisfy all of the following conditions: </w:t>
      </w:r>
    </w:p>
    <w:p w14:paraId="5A03AA24" w14:textId="739141BF" w:rsidR="00E22FF2" w:rsidRPr="00E4265B" w:rsidRDefault="00E22FF2" w:rsidP="009D60B3">
      <w:pPr>
        <w:pStyle w:val="iList"/>
        <w:rPr>
          <w:rFonts w:ascii="Arial" w:hAnsi="Arial" w:cs="Arial"/>
          <w:sz w:val="22"/>
          <w:szCs w:val="22"/>
          <w:lang w:val="en-GB"/>
        </w:rPr>
      </w:pPr>
      <w:r w:rsidRPr="00E4265B">
        <w:rPr>
          <w:rFonts w:ascii="Arial" w:hAnsi="Arial" w:cs="Arial"/>
          <w:sz w:val="22"/>
          <w:szCs w:val="22"/>
          <w:lang w:val="en-GB"/>
        </w:rPr>
        <w:t>(i)</w:t>
      </w:r>
      <w:r w:rsidR="00384436" w:rsidRPr="00E4265B">
        <w:rPr>
          <w:rFonts w:ascii="Arial" w:hAnsi="Arial" w:cs="Arial"/>
          <w:sz w:val="22"/>
          <w:szCs w:val="22"/>
          <w:lang w:val="en-GB"/>
        </w:rPr>
        <w:tab/>
      </w:r>
      <w:r w:rsidRPr="00E4265B">
        <w:rPr>
          <w:rFonts w:ascii="Arial" w:hAnsi="Arial" w:cs="Arial"/>
          <w:sz w:val="22"/>
          <w:szCs w:val="22"/>
          <w:lang w:val="en-GB"/>
        </w:rPr>
        <w:t xml:space="preserve">they are assigned a zero % risk-weight according to Chapter 4 and App4 of this </w:t>
      </w:r>
      <w:r w:rsidR="009D60B3" w:rsidRPr="00E4265B">
        <w:rPr>
          <w:rFonts w:ascii="Arial" w:hAnsi="Arial" w:cs="Arial"/>
          <w:sz w:val="22"/>
          <w:szCs w:val="22"/>
          <w:lang w:val="en-GB"/>
        </w:rPr>
        <w:t>Rulebook</w:t>
      </w:r>
      <w:r w:rsidRPr="00E4265B">
        <w:rPr>
          <w:rFonts w:ascii="Arial" w:hAnsi="Arial" w:cs="Arial"/>
          <w:sz w:val="22"/>
          <w:szCs w:val="22"/>
          <w:lang w:val="en-GB"/>
        </w:rPr>
        <w:t xml:space="preserve">; </w:t>
      </w:r>
    </w:p>
    <w:p w14:paraId="59A30EED" w14:textId="4AFDAF57"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(ii)</w:t>
      </w:r>
      <w:r w:rsidR="00384436" w:rsidRPr="00E4265B">
        <w:rPr>
          <w:rFonts w:ascii="Arial" w:hAnsi="Arial" w:cs="Arial"/>
          <w:sz w:val="22"/>
          <w:szCs w:val="22"/>
          <w:lang w:val="en-GB"/>
        </w:rPr>
        <w:tab/>
      </w:r>
      <w:r w:rsidRPr="00E4265B">
        <w:rPr>
          <w:rFonts w:ascii="Arial" w:hAnsi="Arial" w:cs="Arial"/>
          <w:sz w:val="22"/>
          <w:szCs w:val="22"/>
          <w:lang w:val="en-GB"/>
        </w:rPr>
        <w:t xml:space="preserve">they are traded in large, deep and active repo or cash markets characterised by a low level of concentration; </w:t>
      </w:r>
    </w:p>
    <w:p w14:paraId="5F8090DB" w14:textId="0833FE1B"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(iii)</w:t>
      </w:r>
      <w:r w:rsidR="00384436" w:rsidRPr="00E4265B">
        <w:rPr>
          <w:rFonts w:ascii="Arial" w:hAnsi="Arial" w:cs="Arial"/>
          <w:sz w:val="22"/>
          <w:szCs w:val="22"/>
          <w:lang w:val="en-GB"/>
        </w:rPr>
        <w:tab/>
      </w:r>
      <w:r w:rsidRPr="00E4265B">
        <w:rPr>
          <w:rFonts w:ascii="Arial" w:hAnsi="Arial" w:cs="Arial"/>
          <w:sz w:val="22"/>
          <w:szCs w:val="22"/>
          <w:lang w:val="en-GB"/>
        </w:rPr>
        <w:t xml:space="preserve">they have a proven record as a reliable source of liquidity in the markets (repo or sale) even during stressed market conditions; and </w:t>
      </w:r>
    </w:p>
    <w:p w14:paraId="62421DF0" w14:textId="42F39247"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(iv)</w:t>
      </w:r>
      <w:r w:rsidR="00384436" w:rsidRPr="00E4265B">
        <w:rPr>
          <w:rFonts w:ascii="Arial" w:hAnsi="Arial" w:cs="Arial"/>
          <w:sz w:val="22"/>
          <w:szCs w:val="22"/>
          <w:lang w:val="en-GB"/>
        </w:rPr>
        <w:tab/>
      </w:r>
      <w:r w:rsidRPr="00E4265B">
        <w:rPr>
          <w:rFonts w:ascii="Arial" w:hAnsi="Arial" w:cs="Arial"/>
          <w:sz w:val="22"/>
          <w:szCs w:val="22"/>
          <w:lang w:val="en-GB"/>
        </w:rPr>
        <w:t xml:space="preserve">they are not an obligation of a </w:t>
      </w:r>
      <w:r w:rsidR="00F57406" w:rsidRPr="00E4265B">
        <w:rPr>
          <w:rFonts w:ascii="Arial" w:hAnsi="Arial" w:cs="Arial"/>
          <w:sz w:val="22"/>
          <w:szCs w:val="22"/>
          <w:lang w:val="en-GB"/>
        </w:rPr>
        <w:t>Financial Institution</w:t>
      </w:r>
      <w:r w:rsidRPr="00E4265B">
        <w:rPr>
          <w:rFonts w:ascii="Arial" w:hAnsi="Arial" w:cs="Arial"/>
          <w:sz w:val="22"/>
          <w:szCs w:val="22"/>
          <w:lang w:val="en-GB"/>
        </w:rPr>
        <w:t xml:space="preserve"> or any of its associated entities; </w:t>
      </w:r>
    </w:p>
    <w:p w14:paraId="1D836E1C" w14:textId="24833300" w:rsidR="00E22FF2" w:rsidRPr="00E4265B" w:rsidRDefault="00E22FF2" w:rsidP="00384436">
      <w:pPr>
        <w:pStyle w:val="aList"/>
        <w:rPr>
          <w:rFonts w:ascii="Arial" w:hAnsi="Arial" w:cs="Arial"/>
          <w:sz w:val="22"/>
          <w:szCs w:val="22"/>
          <w:lang w:val="en-GB"/>
        </w:rPr>
      </w:pPr>
      <w:r w:rsidRPr="00E4265B">
        <w:rPr>
          <w:rFonts w:ascii="Arial" w:hAnsi="Arial" w:cs="Arial"/>
          <w:sz w:val="22"/>
          <w:szCs w:val="22"/>
          <w:lang w:val="en-GB"/>
        </w:rPr>
        <w:t>(d)</w:t>
      </w:r>
      <w:r w:rsidR="00384436" w:rsidRPr="00E4265B">
        <w:rPr>
          <w:rFonts w:ascii="Arial" w:hAnsi="Arial" w:cs="Arial"/>
          <w:sz w:val="22"/>
          <w:szCs w:val="22"/>
          <w:lang w:val="en-GB"/>
        </w:rPr>
        <w:tab/>
      </w:r>
      <w:r w:rsidRPr="00E4265B">
        <w:rPr>
          <w:rFonts w:ascii="Arial" w:hAnsi="Arial" w:cs="Arial"/>
          <w:sz w:val="22"/>
          <w:szCs w:val="22"/>
          <w:lang w:val="en-GB"/>
        </w:rPr>
        <w:t xml:space="preserve">in the case of sovereigns that are not eligible for </w:t>
      </w:r>
      <w:r w:rsidR="00384436" w:rsidRPr="00E4265B">
        <w:rPr>
          <w:rFonts w:ascii="Arial" w:hAnsi="Arial" w:cs="Arial"/>
          <w:sz w:val="22"/>
          <w:szCs w:val="22"/>
          <w:lang w:val="en-GB"/>
        </w:rPr>
        <w:t>a risk-weight of zero</w:t>
      </w:r>
      <w:r w:rsidR="004D3979" w:rsidRPr="00E4265B">
        <w:rPr>
          <w:rFonts w:ascii="Arial" w:hAnsi="Arial" w:cs="Arial"/>
          <w:sz w:val="22"/>
          <w:szCs w:val="22"/>
          <w:lang w:val="en-GB"/>
        </w:rPr>
        <w:t>,</w:t>
      </w:r>
      <w:r w:rsidRPr="00E4265B">
        <w:rPr>
          <w:rFonts w:ascii="Arial" w:hAnsi="Arial" w:cs="Arial"/>
          <w:sz w:val="22"/>
          <w:szCs w:val="22"/>
          <w:lang w:val="en-GB"/>
        </w:rPr>
        <w:t xml:space="preserve"> sovereign</w:t>
      </w:r>
      <w:r w:rsidR="004D3979" w:rsidRPr="00E4265B">
        <w:rPr>
          <w:rFonts w:ascii="Arial" w:hAnsi="Arial" w:cs="Arial"/>
          <w:sz w:val="22"/>
          <w:szCs w:val="22"/>
          <w:lang w:val="en-GB"/>
        </w:rPr>
        <w:t>,</w:t>
      </w:r>
      <w:r w:rsidRPr="00E4265B">
        <w:rPr>
          <w:rFonts w:ascii="Arial" w:hAnsi="Arial" w:cs="Arial"/>
          <w:sz w:val="22"/>
          <w:szCs w:val="22"/>
          <w:lang w:val="en-GB"/>
        </w:rPr>
        <w:t xml:space="preserve"> or central bank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issued in domestic currencies by the sovereign or central ba</w:t>
      </w:r>
      <w:r w:rsidR="00B830F4" w:rsidRPr="00E4265B">
        <w:rPr>
          <w:rFonts w:ascii="Arial" w:hAnsi="Arial" w:cs="Arial"/>
          <w:sz w:val="22"/>
          <w:szCs w:val="22"/>
          <w:lang w:val="en-GB"/>
        </w:rPr>
        <w:t>nk in the country in which the Liquidity R</w:t>
      </w:r>
      <w:r w:rsidRPr="00E4265B">
        <w:rPr>
          <w:rFonts w:ascii="Arial" w:hAnsi="Arial" w:cs="Arial"/>
          <w:sz w:val="22"/>
          <w:szCs w:val="22"/>
          <w:lang w:val="en-GB"/>
        </w:rPr>
        <w:t xml:space="preserve">isk is being taken or in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home jurisdiction, where those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satisfy all of the conditions in paragraph (c) (ii)(iii) and (iv); </w:t>
      </w:r>
    </w:p>
    <w:p w14:paraId="5623ED8E" w14:textId="6D47C971" w:rsidR="00E22FF2" w:rsidRPr="00E4265B" w:rsidRDefault="00E22FF2" w:rsidP="00384436">
      <w:pPr>
        <w:pStyle w:val="aList"/>
        <w:rPr>
          <w:rFonts w:ascii="Arial" w:hAnsi="Arial" w:cs="Arial"/>
          <w:sz w:val="22"/>
          <w:szCs w:val="22"/>
          <w:lang w:val="en-GB"/>
        </w:rPr>
      </w:pPr>
      <w:r w:rsidRPr="00E4265B">
        <w:rPr>
          <w:rFonts w:ascii="Arial" w:hAnsi="Arial" w:cs="Arial"/>
          <w:sz w:val="22"/>
          <w:szCs w:val="22"/>
          <w:lang w:val="en-GB"/>
        </w:rPr>
        <w:t>(e)</w:t>
      </w:r>
      <w:r w:rsidR="00384436" w:rsidRPr="00E4265B">
        <w:rPr>
          <w:rFonts w:ascii="Arial" w:hAnsi="Arial" w:cs="Arial"/>
          <w:sz w:val="22"/>
          <w:szCs w:val="22"/>
          <w:lang w:val="en-GB"/>
        </w:rPr>
        <w:tab/>
      </w:r>
      <w:r w:rsidRPr="00E4265B">
        <w:rPr>
          <w:rFonts w:ascii="Arial" w:hAnsi="Arial" w:cs="Arial"/>
          <w:sz w:val="22"/>
          <w:szCs w:val="22"/>
          <w:lang w:val="en-GB"/>
        </w:rPr>
        <w:t xml:space="preserve">in the case of sovereigns that are not eligible for </w:t>
      </w:r>
      <w:r w:rsidR="00384436" w:rsidRPr="00E4265B">
        <w:rPr>
          <w:rFonts w:ascii="Arial" w:hAnsi="Arial" w:cs="Arial"/>
          <w:sz w:val="22"/>
          <w:szCs w:val="22"/>
          <w:lang w:val="en-GB"/>
        </w:rPr>
        <w:t xml:space="preserve">a </w:t>
      </w:r>
      <w:r w:rsidRPr="00E4265B">
        <w:rPr>
          <w:rFonts w:ascii="Arial" w:hAnsi="Arial" w:cs="Arial"/>
          <w:sz w:val="22"/>
          <w:szCs w:val="22"/>
          <w:lang w:val="en-GB"/>
        </w:rPr>
        <w:t>risk-weight</w:t>
      </w:r>
      <w:r w:rsidR="00384436" w:rsidRPr="00E4265B">
        <w:rPr>
          <w:rFonts w:ascii="Arial" w:hAnsi="Arial" w:cs="Arial"/>
          <w:sz w:val="22"/>
          <w:szCs w:val="22"/>
          <w:lang w:val="en-GB"/>
        </w:rPr>
        <w:t xml:space="preserve"> of zero</w:t>
      </w:r>
      <w:r w:rsidRPr="00E4265B">
        <w:rPr>
          <w:rFonts w:ascii="Arial" w:hAnsi="Arial" w:cs="Arial"/>
          <w:sz w:val="22"/>
          <w:szCs w:val="22"/>
          <w:lang w:val="en-GB"/>
        </w:rPr>
        <w:t xml:space="preserve">, domestic sovereign or central bank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issued in foreign currencies, up to the amount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stressed net cash outflows in that specific foreign currency stemming from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operations in the jurisdiction where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w:t>
      </w:r>
      <w:r w:rsidR="00B830F4" w:rsidRPr="00E4265B">
        <w:rPr>
          <w:rFonts w:ascii="Arial" w:hAnsi="Arial" w:cs="Arial"/>
          <w:sz w:val="22"/>
          <w:szCs w:val="22"/>
          <w:lang w:val="en-GB"/>
        </w:rPr>
        <w:t>Liquidity R</w:t>
      </w:r>
      <w:r w:rsidRPr="00E4265B">
        <w:rPr>
          <w:rFonts w:ascii="Arial" w:hAnsi="Arial" w:cs="Arial"/>
          <w:sz w:val="22"/>
          <w:szCs w:val="22"/>
          <w:lang w:val="en-GB"/>
        </w:rPr>
        <w:t xml:space="preserve">isk is being taken, where those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satisfy all of the conditions in paragraph (c) (ii)(iii) and (iv); and </w:t>
      </w:r>
    </w:p>
    <w:p w14:paraId="3B5D4211" w14:textId="36791245" w:rsidR="00E22FF2" w:rsidRPr="00E4265B" w:rsidRDefault="00E22FF2" w:rsidP="00D05716">
      <w:pPr>
        <w:pStyle w:val="aList"/>
        <w:rPr>
          <w:rFonts w:ascii="Arial" w:hAnsi="Arial" w:cs="Arial"/>
          <w:sz w:val="22"/>
          <w:szCs w:val="22"/>
          <w:lang w:val="en-GB"/>
        </w:rPr>
      </w:pPr>
      <w:r w:rsidRPr="00E4265B">
        <w:rPr>
          <w:rFonts w:ascii="Arial" w:hAnsi="Arial" w:cs="Arial"/>
          <w:sz w:val="22"/>
          <w:szCs w:val="22"/>
          <w:lang w:val="en-GB"/>
        </w:rPr>
        <w:t>(f)</w:t>
      </w:r>
      <w:r w:rsidR="00384436" w:rsidRPr="00E4265B">
        <w:rPr>
          <w:rFonts w:ascii="Arial" w:hAnsi="Arial" w:cs="Arial"/>
          <w:sz w:val="22"/>
          <w:szCs w:val="22"/>
          <w:lang w:val="en-GB"/>
        </w:rPr>
        <w:tab/>
      </w:r>
      <w:r w:rsidRPr="00E4265B">
        <w:rPr>
          <w:rFonts w:ascii="Arial" w:hAnsi="Arial" w:cs="Arial"/>
          <w:sz w:val="22"/>
          <w:szCs w:val="22"/>
          <w:lang w:val="en-GB"/>
        </w:rPr>
        <w:t>any other types of assets approve</w:t>
      </w:r>
      <w:r w:rsidR="0032288B" w:rsidRPr="00E4265B">
        <w:rPr>
          <w:rFonts w:ascii="Arial" w:hAnsi="Arial" w:cs="Arial"/>
          <w:sz w:val="22"/>
          <w:szCs w:val="22"/>
          <w:lang w:val="en-GB"/>
        </w:rPr>
        <w:t>d by the Regulator under Rule A10</w:t>
      </w:r>
      <w:r w:rsidRPr="00E4265B">
        <w:rPr>
          <w:rFonts w:ascii="Arial" w:hAnsi="Arial" w:cs="Arial"/>
          <w:sz w:val="22"/>
          <w:szCs w:val="22"/>
          <w:lang w:val="en-GB"/>
        </w:rPr>
        <w:t xml:space="preserve">.2.9 as being eligible to be Level 1 HQLA. </w:t>
      </w:r>
    </w:p>
    <w:p w14:paraId="03BC6C15"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Level 2A HQLA </w:t>
      </w:r>
    </w:p>
    <w:p w14:paraId="6E8B164D" w14:textId="0C64E8DF" w:rsidR="00E22FF2" w:rsidRPr="00E4265B" w:rsidRDefault="000C2004" w:rsidP="00F75DF0">
      <w:pPr>
        <w:pStyle w:val="A1List"/>
        <w:tabs>
          <w:tab w:val="left" w:pos="1800"/>
        </w:tabs>
        <w:ind w:left="1800" w:hanging="1800"/>
        <w:rPr>
          <w:rFonts w:ascii="Arial" w:hAnsi="Arial" w:cs="Arial"/>
          <w:sz w:val="22"/>
          <w:szCs w:val="22"/>
          <w:lang w:val="en-GB"/>
        </w:rPr>
      </w:pPr>
      <w:r w:rsidRPr="00E4265B">
        <w:rPr>
          <w:rFonts w:ascii="Arial" w:hAnsi="Arial" w:cs="Arial"/>
          <w:b/>
          <w:bCs/>
          <w:sz w:val="22"/>
          <w:szCs w:val="22"/>
          <w:lang w:val="en-GB"/>
        </w:rPr>
        <w:t>A10</w:t>
      </w:r>
      <w:r w:rsidR="00E22FF2" w:rsidRPr="00E4265B">
        <w:rPr>
          <w:rFonts w:ascii="Arial" w:hAnsi="Arial" w:cs="Arial"/>
          <w:b/>
          <w:bCs/>
          <w:sz w:val="22"/>
          <w:szCs w:val="22"/>
          <w:lang w:val="en-GB"/>
        </w:rPr>
        <w:t>.2.7</w:t>
      </w:r>
      <w:r w:rsidR="00384436" w:rsidRPr="00E4265B">
        <w:rPr>
          <w:rFonts w:ascii="Arial" w:hAnsi="Arial" w:cs="Arial"/>
          <w:bCs/>
          <w:sz w:val="22"/>
          <w:szCs w:val="22"/>
          <w:lang w:val="en-GB"/>
        </w:rPr>
        <w:tab/>
      </w:r>
      <w:r w:rsidR="00E22FF2" w:rsidRPr="00E4265B">
        <w:rPr>
          <w:rFonts w:ascii="Arial" w:hAnsi="Arial" w:cs="Arial"/>
          <w:sz w:val="22"/>
          <w:szCs w:val="22"/>
          <w:lang w:val="en-GB"/>
        </w:rPr>
        <w:t>(1)</w:t>
      </w:r>
      <w:r w:rsidR="00384436" w:rsidRPr="00E4265B">
        <w:rPr>
          <w:rFonts w:ascii="Arial" w:hAnsi="Arial" w:cs="Arial"/>
          <w:sz w:val="22"/>
          <w:szCs w:val="22"/>
          <w:lang w:val="en-GB"/>
        </w:rPr>
        <w:tab/>
      </w:r>
      <w:r w:rsidR="00E22FF2" w:rsidRPr="00E4265B">
        <w:rPr>
          <w:rFonts w:ascii="Arial" w:hAnsi="Arial" w:cs="Arial"/>
          <w:sz w:val="22"/>
          <w:szCs w:val="22"/>
          <w:lang w:val="en-GB"/>
        </w:rPr>
        <w:t xml:space="preserve">Level 2A HQLA must be valued at market value and subject to a 15% haircut. </w:t>
      </w:r>
    </w:p>
    <w:p w14:paraId="68E37C69" w14:textId="295492DD" w:rsidR="00E22FF2" w:rsidRPr="00E4265B" w:rsidRDefault="00E22FF2" w:rsidP="00846F4F">
      <w:pPr>
        <w:pStyle w:val="1List"/>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Pr="00E4265B">
        <w:rPr>
          <w:rFonts w:ascii="Arial" w:hAnsi="Arial" w:cs="Arial"/>
          <w:sz w:val="22"/>
          <w:szCs w:val="22"/>
          <w:lang w:val="en-GB"/>
        </w:rPr>
        <w:t xml:space="preserve">Level 2A HQLA consists of: </w:t>
      </w:r>
    </w:p>
    <w:p w14:paraId="7A28AC78" w14:textId="1C5B531B"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marketable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representing claims on or guaranteed by sovereigns, central banks, PSEs or MDBs that satisfy all of the following conditions: </w:t>
      </w:r>
    </w:p>
    <w:p w14:paraId="056D801E" w14:textId="62E7B183" w:rsidR="00E22FF2" w:rsidRPr="00E4265B" w:rsidRDefault="00E22FF2" w:rsidP="009D60B3">
      <w:pPr>
        <w:pStyle w:val="iList"/>
        <w:rPr>
          <w:rFonts w:ascii="Arial" w:hAnsi="Arial" w:cs="Arial"/>
          <w:sz w:val="22"/>
          <w:szCs w:val="22"/>
          <w:lang w:val="en-GB"/>
        </w:rPr>
      </w:pPr>
      <w:r w:rsidRPr="00E4265B">
        <w:rPr>
          <w:rFonts w:ascii="Arial" w:hAnsi="Arial" w:cs="Arial"/>
          <w:sz w:val="22"/>
          <w:szCs w:val="22"/>
          <w:lang w:val="en-GB"/>
        </w:rPr>
        <w:t>(i)</w:t>
      </w:r>
      <w:r w:rsidR="00384436" w:rsidRPr="00E4265B">
        <w:rPr>
          <w:rFonts w:ascii="Arial" w:hAnsi="Arial" w:cs="Arial"/>
          <w:sz w:val="22"/>
          <w:szCs w:val="22"/>
          <w:lang w:val="en-GB"/>
        </w:rPr>
        <w:tab/>
      </w:r>
      <w:r w:rsidRPr="00E4265B">
        <w:rPr>
          <w:rFonts w:ascii="Arial" w:hAnsi="Arial" w:cs="Arial"/>
          <w:sz w:val="22"/>
          <w:szCs w:val="22"/>
          <w:lang w:val="en-GB"/>
        </w:rPr>
        <w:t>they are assigned a 20%</w:t>
      </w:r>
      <w:r w:rsidR="004D3979" w:rsidRPr="00E4265B">
        <w:rPr>
          <w:rFonts w:ascii="Arial" w:hAnsi="Arial" w:cs="Arial"/>
          <w:sz w:val="22"/>
          <w:szCs w:val="22"/>
          <w:lang w:val="en-GB"/>
        </w:rPr>
        <w:t xml:space="preserve"> or lower</w:t>
      </w:r>
      <w:r w:rsidRPr="00E4265B">
        <w:rPr>
          <w:rFonts w:ascii="Arial" w:hAnsi="Arial" w:cs="Arial"/>
          <w:sz w:val="22"/>
          <w:szCs w:val="22"/>
          <w:lang w:val="en-GB"/>
        </w:rPr>
        <w:t xml:space="preserve"> risk-weight according to Chapter 4 and App4 of this </w:t>
      </w:r>
      <w:r w:rsidR="009D60B3" w:rsidRPr="00E4265B">
        <w:rPr>
          <w:rFonts w:ascii="Arial" w:hAnsi="Arial" w:cs="Arial"/>
          <w:sz w:val="22"/>
          <w:szCs w:val="22"/>
          <w:lang w:val="en-GB"/>
        </w:rPr>
        <w:t>Rulebook</w:t>
      </w:r>
      <w:r w:rsidRPr="00E4265B">
        <w:rPr>
          <w:rFonts w:ascii="Arial" w:hAnsi="Arial" w:cs="Arial"/>
          <w:sz w:val="22"/>
          <w:szCs w:val="22"/>
          <w:lang w:val="en-GB"/>
        </w:rPr>
        <w:t xml:space="preserve">; </w:t>
      </w:r>
    </w:p>
    <w:p w14:paraId="54D8B093" w14:textId="5AE51B9D"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(ii)</w:t>
      </w:r>
      <w:r w:rsidR="00384436" w:rsidRPr="00E4265B">
        <w:rPr>
          <w:rFonts w:ascii="Arial" w:hAnsi="Arial" w:cs="Arial"/>
          <w:sz w:val="22"/>
          <w:szCs w:val="22"/>
          <w:lang w:val="en-GB"/>
        </w:rPr>
        <w:tab/>
      </w:r>
      <w:r w:rsidRPr="00E4265B">
        <w:rPr>
          <w:rFonts w:ascii="Arial" w:hAnsi="Arial" w:cs="Arial"/>
          <w:sz w:val="22"/>
          <w:szCs w:val="22"/>
          <w:lang w:val="en-GB"/>
        </w:rPr>
        <w:t xml:space="preserve">they are traded in large, deep and active repo or cash markets characterised by a low level of concentration; </w:t>
      </w:r>
    </w:p>
    <w:p w14:paraId="17FAE1A7" w14:textId="08C94FC5"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(iii)</w:t>
      </w:r>
      <w:r w:rsidR="00384436" w:rsidRPr="00E4265B">
        <w:rPr>
          <w:rFonts w:ascii="Arial" w:hAnsi="Arial" w:cs="Arial"/>
          <w:sz w:val="22"/>
          <w:szCs w:val="22"/>
          <w:lang w:val="en-GB"/>
        </w:rPr>
        <w:tab/>
      </w:r>
      <w:r w:rsidRPr="00E4265B">
        <w:rPr>
          <w:rFonts w:ascii="Arial" w:hAnsi="Arial" w:cs="Arial"/>
          <w:sz w:val="22"/>
          <w:szCs w:val="22"/>
          <w:lang w:val="en-GB"/>
        </w:rPr>
        <w:t xml:space="preserve">they have a proven record as a reliable source of liquidity in the markets (repo or sale) even during stressed market conditions (i.e. maximum decline of price or increase in </w:t>
      </w:r>
      <w:r w:rsidRPr="00E4265B">
        <w:rPr>
          <w:rFonts w:ascii="Arial" w:hAnsi="Arial" w:cs="Arial"/>
          <w:sz w:val="22"/>
          <w:szCs w:val="22"/>
          <w:lang w:val="en-GB"/>
        </w:rPr>
        <w:lastRenderedPageBreak/>
        <w:t xml:space="preserve">haircut over a 30-day period during a relevant period of significant liquidity stress not exceeding 10%); and </w:t>
      </w:r>
    </w:p>
    <w:p w14:paraId="0EAF8CE0" w14:textId="3556E6FF"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(iv)</w:t>
      </w:r>
      <w:r w:rsidR="00384436" w:rsidRPr="00E4265B">
        <w:rPr>
          <w:rFonts w:ascii="Arial" w:hAnsi="Arial" w:cs="Arial"/>
          <w:sz w:val="22"/>
          <w:szCs w:val="22"/>
          <w:lang w:val="en-GB"/>
        </w:rPr>
        <w:tab/>
      </w:r>
      <w:r w:rsidRPr="00E4265B">
        <w:rPr>
          <w:rFonts w:ascii="Arial" w:hAnsi="Arial" w:cs="Arial"/>
          <w:sz w:val="22"/>
          <w:szCs w:val="22"/>
          <w:lang w:val="en-GB"/>
        </w:rPr>
        <w:t xml:space="preserve">they are not an obligation of a </w:t>
      </w:r>
      <w:r w:rsidR="00F57406" w:rsidRPr="00E4265B">
        <w:rPr>
          <w:rFonts w:ascii="Arial" w:hAnsi="Arial" w:cs="Arial"/>
          <w:sz w:val="22"/>
          <w:szCs w:val="22"/>
          <w:lang w:val="en-GB"/>
        </w:rPr>
        <w:t>Financial Institution</w:t>
      </w:r>
      <w:r w:rsidRPr="00E4265B">
        <w:rPr>
          <w:rFonts w:ascii="Arial" w:hAnsi="Arial" w:cs="Arial"/>
          <w:sz w:val="22"/>
          <w:szCs w:val="22"/>
          <w:lang w:val="en-GB"/>
        </w:rPr>
        <w:t xml:space="preserve"> or any of its associated entities; </w:t>
      </w:r>
    </w:p>
    <w:p w14:paraId="7FBC329B" w14:textId="30FB23B0"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corporate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(including commercial paper) and covered bonds that satisfy all of the following conditions: </w:t>
      </w:r>
    </w:p>
    <w:p w14:paraId="71EE5E37" w14:textId="43CF2C05"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w:t>
      </w:r>
      <w:r w:rsidR="00384436" w:rsidRPr="00E4265B">
        <w:rPr>
          <w:rFonts w:ascii="Arial" w:hAnsi="Arial" w:cs="Arial"/>
          <w:sz w:val="22"/>
          <w:szCs w:val="22"/>
          <w:lang w:val="en-GB"/>
        </w:rPr>
        <w:tab/>
      </w:r>
      <w:r w:rsidRPr="00E4265B">
        <w:rPr>
          <w:rFonts w:ascii="Arial" w:hAnsi="Arial" w:cs="Arial"/>
          <w:sz w:val="22"/>
          <w:szCs w:val="22"/>
          <w:lang w:val="en-GB"/>
        </w:rPr>
        <w:t xml:space="preserve">in the case of corporate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they must not be issued by a </w:t>
      </w:r>
      <w:r w:rsidR="00F57406" w:rsidRPr="00E4265B">
        <w:rPr>
          <w:rFonts w:ascii="Arial" w:hAnsi="Arial" w:cs="Arial"/>
          <w:sz w:val="22"/>
          <w:szCs w:val="22"/>
          <w:lang w:val="en-GB"/>
        </w:rPr>
        <w:t>Financial Institution</w:t>
      </w:r>
      <w:r w:rsidRPr="00E4265B">
        <w:rPr>
          <w:rFonts w:ascii="Arial" w:hAnsi="Arial" w:cs="Arial"/>
          <w:sz w:val="22"/>
          <w:szCs w:val="22"/>
          <w:lang w:val="en-GB"/>
        </w:rPr>
        <w:t xml:space="preserve"> or any of its associated entities and must include only plain vanilla as</w:t>
      </w:r>
      <w:r w:rsidR="00B62CE8" w:rsidRPr="00E4265B">
        <w:rPr>
          <w:rFonts w:ascii="Arial" w:hAnsi="Arial" w:cs="Arial"/>
          <w:sz w:val="22"/>
          <w:szCs w:val="22"/>
          <w:lang w:val="en-GB"/>
        </w:rPr>
        <w:t>sets (i.e. not include complex Structured P</w:t>
      </w:r>
      <w:r w:rsidRPr="00E4265B">
        <w:rPr>
          <w:rFonts w:ascii="Arial" w:hAnsi="Arial" w:cs="Arial"/>
          <w:sz w:val="22"/>
          <w:szCs w:val="22"/>
          <w:lang w:val="en-GB"/>
        </w:rPr>
        <w:t xml:space="preserve">roducts or subordinated debt) whose valuation is readily available based on standard methods and does not depend on private knowledge; </w:t>
      </w:r>
    </w:p>
    <w:p w14:paraId="60A15233" w14:textId="78C421C5"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(ii)</w:t>
      </w:r>
      <w:r w:rsidR="00384436" w:rsidRPr="00E4265B">
        <w:rPr>
          <w:rFonts w:ascii="Arial" w:hAnsi="Arial" w:cs="Arial"/>
          <w:sz w:val="22"/>
          <w:szCs w:val="22"/>
          <w:lang w:val="en-GB"/>
        </w:rPr>
        <w:tab/>
      </w:r>
      <w:r w:rsidRPr="00E4265B">
        <w:rPr>
          <w:rFonts w:ascii="Arial" w:hAnsi="Arial" w:cs="Arial"/>
          <w:sz w:val="22"/>
          <w:szCs w:val="22"/>
          <w:lang w:val="en-GB"/>
        </w:rPr>
        <w:t xml:space="preserve">in the case of covered bonds: they must not be issued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itself or any of its associated entities; </w:t>
      </w:r>
    </w:p>
    <w:p w14:paraId="27DB4FDC" w14:textId="050C2475" w:rsidR="00E22FF2" w:rsidRPr="00E4265B" w:rsidRDefault="00E22FF2" w:rsidP="000B6630">
      <w:pPr>
        <w:pStyle w:val="iList"/>
        <w:rPr>
          <w:rFonts w:ascii="Arial" w:hAnsi="Arial" w:cs="Arial"/>
          <w:sz w:val="22"/>
          <w:szCs w:val="22"/>
          <w:lang w:val="en-GB"/>
        </w:rPr>
      </w:pPr>
      <w:r w:rsidRPr="00E4265B">
        <w:rPr>
          <w:rFonts w:ascii="Arial" w:hAnsi="Arial" w:cs="Arial"/>
          <w:sz w:val="22"/>
          <w:szCs w:val="22"/>
          <w:lang w:val="en-GB"/>
        </w:rPr>
        <w:t>(iii)</w:t>
      </w:r>
      <w:r w:rsidR="00384436" w:rsidRPr="00E4265B">
        <w:rPr>
          <w:rFonts w:ascii="Arial" w:hAnsi="Arial" w:cs="Arial"/>
          <w:sz w:val="22"/>
          <w:szCs w:val="22"/>
          <w:lang w:val="en-GB"/>
        </w:rPr>
        <w:tab/>
      </w:r>
      <w:r w:rsidRPr="00E4265B">
        <w:rPr>
          <w:rFonts w:ascii="Arial" w:hAnsi="Arial" w:cs="Arial"/>
          <w:sz w:val="22"/>
          <w:szCs w:val="22"/>
          <w:lang w:val="en-GB"/>
        </w:rPr>
        <w:t>the assets must have a Credit Quality Grade of 1</w:t>
      </w:r>
      <w:r w:rsidR="000C2004" w:rsidRPr="00E4265B">
        <w:rPr>
          <w:rFonts w:ascii="Arial" w:hAnsi="Arial" w:cs="Arial"/>
          <w:sz w:val="22"/>
          <w:szCs w:val="22"/>
          <w:lang w:val="en-GB"/>
        </w:rPr>
        <w:t>,</w:t>
      </w:r>
      <w:r w:rsidRPr="00E4265B">
        <w:rPr>
          <w:rFonts w:ascii="Arial" w:hAnsi="Arial" w:cs="Arial"/>
          <w:sz w:val="22"/>
          <w:szCs w:val="22"/>
          <w:lang w:val="en-GB"/>
        </w:rPr>
        <w:t xml:space="preserve"> or if the assets do not have a credit assessment by a recognised ECAI, they must be internally rated as having a probability of default (PD) corresponding to</w:t>
      </w:r>
      <w:r w:rsidR="000C2004" w:rsidRPr="00E4265B">
        <w:rPr>
          <w:rFonts w:ascii="Arial" w:hAnsi="Arial" w:cs="Arial"/>
          <w:sz w:val="22"/>
          <w:szCs w:val="22"/>
          <w:lang w:val="en-GB"/>
        </w:rPr>
        <w:t xml:space="preserve"> </w:t>
      </w:r>
      <w:r w:rsidRPr="00E4265B">
        <w:rPr>
          <w:rFonts w:ascii="Arial" w:hAnsi="Arial" w:cs="Arial"/>
          <w:sz w:val="22"/>
          <w:szCs w:val="22"/>
          <w:lang w:val="en-GB"/>
        </w:rPr>
        <w:t xml:space="preserve">a Credit Quality Grade of 1; </w:t>
      </w:r>
    </w:p>
    <w:p w14:paraId="239382E4" w14:textId="3B70BD54"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(iv)</w:t>
      </w:r>
      <w:r w:rsidR="00384436" w:rsidRPr="00E4265B">
        <w:rPr>
          <w:rFonts w:ascii="Arial" w:hAnsi="Arial" w:cs="Arial"/>
          <w:sz w:val="22"/>
          <w:szCs w:val="22"/>
          <w:lang w:val="en-GB"/>
        </w:rPr>
        <w:tab/>
      </w:r>
      <w:r w:rsidRPr="00E4265B">
        <w:rPr>
          <w:rFonts w:ascii="Arial" w:hAnsi="Arial" w:cs="Arial"/>
          <w:sz w:val="22"/>
          <w:szCs w:val="22"/>
          <w:lang w:val="en-GB"/>
        </w:rPr>
        <w:t xml:space="preserve">they must be traded in large, deep and active repo or cash markets characterised by a low level of concentration; and </w:t>
      </w:r>
    </w:p>
    <w:p w14:paraId="6D1121BE" w14:textId="2555DA9A"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(v)</w:t>
      </w:r>
      <w:r w:rsidR="00384436" w:rsidRPr="00E4265B">
        <w:rPr>
          <w:rFonts w:ascii="Arial" w:hAnsi="Arial" w:cs="Arial"/>
          <w:sz w:val="22"/>
          <w:szCs w:val="22"/>
          <w:lang w:val="en-GB"/>
        </w:rPr>
        <w:tab/>
      </w:r>
      <w:r w:rsidRPr="00E4265B">
        <w:rPr>
          <w:rFonts w:ascii="Arial" w:hAnsi="Arial" w:cs="Arial"/>
          <w:sz w:val="22"/>
          <w:szCs w:val="22"/>
          <w:lang w:val="en-GB"/>
        </w:rPr>
        <w:t xml:space="preserve">they must have a proven record as a reliable source of liquidity in the markets (repo or sale) even during stressed market conditions (i.e. maximum decline of price or increase in haircut over a 30-day period during a relevant period of significant liquidity stress not exceeding 10%); and </w:t>
      </w:r>
    </w:p>
    <w:p w14:paraId="454869B6" w14:textId="216D59F9" w:rsidR="00E22FF2" w:rsidRPr="00E4265B" w:rsidRDefault="00E22FF2" w:rsidP="00D05716">
      <w:pPr>
        <w:pStyle w:val="aList"/>
        <w:rPr>
          <w:rFonts w:ascii="Arial" w:hAnsi="Arial" w:cs="Arial"/>
          <w:sz w:val="22"/>
          <w:szCs w:val="22"/>
          <w:lang w:val="en-GB"/>
        </w:rPr>
      </w:pPr>
      <w:r w:rsidRPr="00E4265B">
        <w:rPr>
          <w:rFonts w:ascii="Arial" w:hAnsi="Arial" w:cs="Arial"/>
          <w:sz w:val="22"/>
          <w:szCs w:val="22"/>
          <w:lang w:val="en-GB"/>
        </w:rPr>
        <w:t>(c)</w:t>
      </w:r>
      <w:r w:rsidR="00384436" w:rsidRPr="00E4265B">
        <w:rPr>
          <w:rFonts w:ascii="Arial" w:hAnsi="Arial" w:cs="Arial"/>
          <w:sz w:val="22"/>
          <w:szCs w:val="22"/>
          <w:lang w:val="en-GB"/>
        </w:rPr>
        <w:tab/>
      </w:r>
      <w:r w:rsidRPr="00E4265B">
        <w:rPr>
          <w:rFonts w:ascii="Arial" w:hAnsi="Arial" w:cs="Arial"/>
          <w:sz w:val="22"/>
          <w:szCs w:val="22"/>
          <w:lang w:val="en-GB"/>
        </w:rPr>
        <w:t>any other types of assets approve</w:t>
      </w:r>
      <w:r w:rsidR="006574A9" w:rsidRPr="00E4265B">
        <w:rPr>
          <w:rFonts w:ascii="Arial" w:hAnsi="Arial" w:cs="Arial"/>
          <w:sz w:val="22"/>
          <w:szCs w:val="22"/>
          <w:lang w:val="en-GB"/>
        </w:rPr>
        <w:t>d by the Regulator under Rule A10</w:t>
      </w:r>
      <w:r w:rsidRPr="00E4265B">
        <w:rPr>
          <w:rFonts w:ascii="Arial" w:hAnsi="Arial" w:cs="Arial"/>
          <w:sz w:val="22"/>
          <w:szCs w:val="22"/>
          <w:lang w:val="en-GB"/>
        </w:rPr>
        <w:t xml:space="preserve">.2.9 as being eligible to be Level 2A HQLA. </w:t>
      </w:r>
    </w:p>
    <w:p w14:paraId="060C5658"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Level 2B HQLA </w:t>
      </w:r>
    </w:p>
    <w:p w14:paraId="22591EAD" w14:textId="7A21A1C7" w:rsidR="00E22FF2" w:rsidRPr="00E4265B" w:rsidRDefault="00E22FF2" w:rsidP="00F75DF0">
      <w:pPr>
        <w:pStyle w:val="A1List"/>
        <w:tabs>
          <w:tab w:val="left" w:pos="1800"/>
        </w:tabs>
        <w:ind w:left="1800" w:hanging="1800"/>
        <w:rPr>
          <w:rFonts w:ascii="Arial" w:hAnsi="Arial" w:cs="Arial"/>
          <w:sz w:val="22"/>
          <w:szCs w:val="22"/>
          <w:lang w:val="en-GB"/>
        </w:rPr>
      </w:pPr>
      <w:r w:rsidRPr="00E4265B">
        <w:rPr>
          <w:rFonts w:ascii="Arial" w:hAnsi="Arial" w:cs="Arial"/>
          <w:b/>
          <w:bCs/>
          <w:sz w:val="22"/>
          <w:szCs w:val="22"/>
          <w:lang w:val="en-GB"/>
        </w:rPr>
        <w:t>A</w:t>
      </w:r>
      <w:r w:rsidR="006574A9" w:rsidRPr="00E4265B">
        <w:rPr>
          <w:rFonts w:ascii="Arial" w:hAnsi="Arial" w:cs="Arial"/>
          <w:b/>
          <w:bCs/>
          <w:sz w:val="22"/>
          <w:szCs w:val="22"/>
          <w:lang w:val="en-GB"/>
        </w:rPr>
        <w:t>10</w:t>
      </w:r>
      <w:r w:rsidRPr="00E4265B">
        <w:rPr>
          <w:rFonts w:ascii="Arial" w:hAnsi="Arial" w:cs="Arial"/>
          <w:b/>
          <w:bCs/>
          <w:sz w:val="22"/>
          <w:szCs w:val="22"/>
          <w:lang w:val="en-GB"/>
        </w:rPr>
        <w:t>.2.8</w:t>
      </w:r>
      <w:r w:rsidR="00384436" w:rsidRPr="00E4265B">
        <w:rPr>
          <w:rFonts w:ascii="Arial" w:hAnsi="Arial" w:cs="Arial"/>
          <w:bCs/>
          <w:sz w:val="22"/>
          <w:szCs w:val="22"/>
          <w:lang w:val="en-GB"/>
        </w:rPr>
        <w:tab/>
      </w:r>
      <w:r w:rsidRPr="00E4265B">
        <w:rPr>
          <w:rFonts w:ascii="Arial" w:hAnsi="Arial" w:cs="Arial"/>
          <w:sz w:val="22"/>
          <w:szCs w:val="22"/>
          <w:lang w:val="en-GB"/>
        </w:rPr>
        <w:t>(1)</w:t>
      </w:r>
      <w:r w:rsidR="00384436" w:rsidRPr="00E4265B">
        <w:rPr>
          <w:rFonts w:ascii="Arial" w:hAnsi="Arial" w:cs="Arial"/>
          <w:sz w:val="22"/>
          <w:szCs w:val="22"/>
          <w:lang w:val="en-GB"/>
        </w:rPr>
        <w:tab/>
      </w:r>
      <w:r w:rsidRPr="00E4265B">
        <w:rPr>
          <w:rFonts w:ascii="Arial" w:hAnsi="Arial" w:cs="Arial"/>
          <w:sz w:val="22"/>
          <w:szCs w:val="22"/>
          <w:lang w:val="en-GB"/>
        </w:rPr>
        <w:t xml:space="preserve">Level 2B HQLA must be valued at market value and subject to an appropriate haircut, as specified in (2), for each type of asset. </w:t>
      </w:r>
    </w:p>
    <w:p w14:paraId="4FFA88DF" w14:textId="2A91DEBB" w:rsidR="00E22FF2" w:rsidRPr="00E4265B" w:rsidRDefault="00E22FF2" w:rsidP="00846F4F">
      <w:pPr>
        <w:pStyle w:val="1List"/>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Pr="00E4265B">
        <w:rPr>
          <w:rFonts w:ascii="Arial" w:hAnsi="Arial" w:cs="Arial"/>
          <w:sz w:val="22"/>
          <w:szCs w:val="22"/>
          <w:lang w:val="en-GB"/>
        </w:rPr>
        <w:t xml:space="preserve">Level 2B HQLA consists of: </w:t>
      </w:r>
    </w:p>
    <w:p w14:paraId="5961AB6D" w14:textId="49850EDC"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004D3979" w:rsidRPr="00E4265B">
        <w:rPr>
          <w:rFonts w:ascii="Arial" w:hAnsi="Arial" w:cs="Arial"/>
          <w:sz w:val="22"/>
          <w:szCs w:val="22"/>
          <w:lang w:val="en-GB"/>
        </w:rPr>
        <w:t>residential mortgage-</w:t>
      </w:r>
      <w:r w:rsidRPr="00E4265B">
        <w:rPr>
          <w:rFonts w:ascii="Arial" w:hAnsi="Arial" w:cs="Arial"/>
          <w:sz w:val="22"/>
          <w:szCs w:val="22"/>
          <w:lang w:val="en-GB"/>
        </w:rPr>
        <w:t xml:space="preserve">backed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that satisfy all of the following conditions, subject to a 25% haircut:</w:t>
      </w:r>
    </w:p>
    <w:p w14:paraId="12FA5B54" w14:textId="2FCDE810"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w:t>
      </w:r>
      <w:r w:rsidR="00384436" w:rsidRPr="00E4265B">
        <w:rPr>
          <w:rFonts w:ascii="Arial" w:hAnsi="Arial" w:cs="Arial"/>
          <w:sz w:val="22"/>
          <w:szCs w:val="22"/>
          <w:lang w:val="en-GB"/>
        </w:rPr>
        <w:tab/>
      </w:r>
      <w:r w:rsidRPr="00E4265B">
        <w:rPr>
          <w:rFonts w:ascii="Arial" w:hAnsi="Arial" w:cs="Arial"/>
          <w:sz w:val="22"/>
          <w:szCs w:val="22"/>
          <w:lang w:val="en-GB"/>
        </w:rPr>
        <w:t xml:space="preserve">they are not issued by, and the underlying assets have not been originated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itself or any of its affiliated entities; </w:t>
      </w:r>
    </w:p>
    <w:p w14:paraId="298E5A1E" w14:textId="56EEAF7F" w:rsidR="00E22FF2" w:rsidRPr="00E4265B" w:rsidRDefault="00E22FF2" w:rsidP="00382455">
      <w:pPr>
        <w:pStyle w:val="iList"/>
        <w:rPr>
          <w:rFonts w:ascii="Arial" w:hAnsi="Arial" w:cs="Arial"/>
          <w:sz w:val="22"/>
          <w:szCs w:val="22"/>
          <w:lang w:val="en-GB"/>
        </w:rPr>
      </w:pPr>
      <w:r w:rsidRPr="00E4265B">
        <w:rPr>
          <w:rFonts w:ascii="Arial" w:hAnsi="Arial" w:cs="Arial"/>
          <w:sz w:val="22"/>
          <w:szCs w:val="22"/>
          <w:lang w:val="en-GB"/>
        </w:rPr>
        <w:t>(ii)</w:t>
      </w:r>
      <w:r w:rsidR="00384436" w:rsidRPr="00E4265B">
        <w:rPr>
          <w:rFonts w:ascii="Arial" w:hAnsi="Arial" w:cs="Arial"/>
          <w:sz w:val="22"/>
          <w:szCs w:val="22"/>
          <w:lang w:val="en-GB"/>
        </w:rPr>
        <w:tab/>
      </w:r>
      <w:r w:rsidRPr="00E4265B">
        <w:rPr>
          <w:rFonts w:ascii="Arial" w:hAnsi="Arial" w:cs="Arial"/>
          <w:sz w:val="22"/>
          <w:szCs w:val="22"/>
          <w:lang w:val="en-GB"/>
        </w:rPr>
        <w:t xml:space="preserve">they have a Credit Quality Grade of 1; </w:t>
      </w:r>
    </w:p>
    <w:p w14:paraId="5523F801" w14:textId="3B45E6CD"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(iii)</w:t>
      </w:r>
      <w:r w:rsidR="00384436" w:rsidRPr="00E4265B">
        <w:rPr>
          <w:rFonts w:ascii="Arial" w:hAnsi="Arial" w:cs="Arial"/>
          <w:sz w:val="22"/>
          <w:szCs w:val="22"/>
          <w:lang w:val="en-GB"/>
        </w:rPr>
        <w:tab/>
      </w:r>
      <w:r w:rsidRPr="00E4265B">
        <w:rPr>
          <w:rFonts w:ascii="Arial" w:hAnsi="Arial" w:cs="Arial"/>
          <w:sz w:val="22"/>
          <w:szCs w:val="22"/>
          <w:lang w:val="en-GB"/>
        </w:rPr>
        <w:t xml:space="preserve">they are traded in large, deep and active repo or cash markets characterised by a low level of concentration; </w:t>
      </w:r>
    </w:p>
    <w:p w14:paraId="5FEE26A9" w14:textId="31C99D68"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lastRenderedPageBreak/>
        <w:t>(iv)</w:t>
      </w:r>
      <w:r w:rsidR="00384436" w:rsidRPr="00E4265B">
        <w:rPr>
          <w:rFonts w:ascii="Arial" w:hAnsi="Arial" w:cs="Arial"/>
          <w:sz w:val="22"/>
          <w:szCs w:val="22"/>
          <w:lang w:val="en-GB"/>
        </w:rPr>
        <w:tab/>
      </w:r>
      <w:r w:rsidRPr="00E4265B">
        <w:rPr>
          <w:rFonts w:ascii="Arial" w:hAnsi="Arial" w:cs="Arial"/>
          <w:sz w:val="22"/>
          <w:szCs w:val="22"/>
          <w:lang w:val="en-GB"/>
        </w:rPr>
        <w:t xml:space="preserve">they have a proven record as a reliable source of liquidity in the markets (repo or sale) even during stressed market conditions, (i.e. maximum decline of price or increase in haircut over a 30-day period during a relevant period of significant liquidity stress not exceeding 20%); </w:t>
      </w:r>
    </w:p>
    <w:p w14:paraId="4E4E1B9A" w14:textId="3DD25855"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(v)</w:t>
      </w:r>
      <w:r w:rsidR="00384436" w:rsidRPr="00E4265B">
        <w:rPr>
          <w:rFonts w:ascii="Arial" w:hAnsi="Arial" w:cs="Arial"/>
          <w:sz w:val="22"/>
          <w:szCs w:val="22"/>
          <w:lang w:val="en-GB"/>
        </w:rPr>
        <w:tab/>
      </w:r>
      <w:r w:rsidRPr="00E4265B">
        <w:rPr>
          <w:rFonts w:ascii="Arial" w:hAnsi="Arial" w:cs="Arial"/>
          <w:sz w:val="22"/>
          <w:szCs w:val="22"/>
          <w:lang w:val="en-GB"/>
        </w:rPr>
        <w:t xml:space="preserve">the underlying asset pool is restricted to residential </w:t>
      </w:r>
      <w:r w:rsidR="00B62CE8" w:rsidRPr="00E4265B">
        <w:rPr>
          <w:rFonts w:ascii="Arial" w:hAnsi="Arial" w:cs="Arial"/>
          <w:sz w:val="22"/>
          <w:szCs w:val="22"/>
          <w:lang w:val="en-GB"/>
        </w:rPr>
        <w:t>mortgages and does not contain Structured P</w:t>
      </w:r>
      <w:r w:rsidRPr="00E4265B">
        <w:rPr>
          <w:rFonts w:ascii="Arial" w:hAnsi="Arial" w:cs="Arial"/>
          <w:sz w:val="22"/>
          <w:szCs w:val="22"/>
          <w:lang w:val="en-GB"/>
        </w:rPr>
        <w:t xml:space="preserve">roducts; </w:t>
      </w:r>
    </w:p>
    <w:p w14:paraId="2585C69A" w14:textId="3EBFA488"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(vi)</w:t>
      </w:r>
      <w:r w:rsidR="00384436" w:rsidRPr="00E4265B">
        <w:rPr>
          <w:rFonts w:ascii="Arial" w:hAnsi="Arial" w:cs="Arial"/>
          <w:sz w:val="22"/>
          <w:szCs w:val="22"/>
          <w:lang w:val="en-GB"/>
        </w:rPr>
        <w:tab/>
      </w:r>
      <w:r w:rsidRPr="00E4265B">
        <w:rPr>
          <w:rFonts w:ascii="Arial" w:hAnsi="Arial" w:cs="Arial"/>
          <w:sz w:val="22"/>
          <w:szCs w:val="22"/>
          <w:lang w:val="en-GB"/>
        </w:rPr>
        <w:t xml:space="preserve">the underlying mortgages are "full recourse'' loans (i.e. in the case of foreclosure the mortgage owner remains liable for any shortfall in sales proceeds from the property) and have a maximum loan-to-value ratio (LTV) of 80% on average at issuance; and </w:t>
      </w:r>
    </w:p>
    <w:p w14:paraId="1820CBC1" w14:textId="7FE407A9"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(vii)</w:t>
      </w:r>
      <w:r w:rsidR="00384436" w:rsidRPr="00E4265B">
        <w:rPr>
          <w:rFonts w:ascii="Arial" w:hAnsi="Arial" w:cs="Arial"/>
          <w:sz w:val="22"/>
          <w:szCs w:val="22"/>
          <w:lang w:val="en-GB"/>
        </w:rPr>
        <w:tab/>
      </w:r>
      <w:r w:rsidRPr="00E4265B">
        <w:rPr>
          <w:rFonts w:ascii="Arial" w:hAnsi="Arial" w:cs="Arial"/>
          <w:sz w:val="22"/>
          <w:szCs w:val="22"/>
          <w:lang w:val="en-GB"/>
        </w:rPr>
        <w:t xml:space="preserve">the securitisations are subject to "risk retention" regulations which require </w:t>
      </w:r>
      <w:r w:rsidR="00B830F4" w:rsidRPr="00E4265B">
        <w:rPr>
          <w:rFonts w:ascii="Arial" w:hAnsi="Arial" w:cs="Arial"/>
          <w:sz w:val="22"/>
          <w:szCs w:val="22"/>
          <w:lang w:val="en-GB"/>
        </w:rPr>
        <w:t>Issuer</w:t>
      </w:r>
      <w:r w:rsidRPr="00E4265B">
        <w:rPr>
          <w:rFonts w:ascii="Arial" w:hAnsi="Arial" w:cs="Arial"/>
          <w:sz w:val="22"/>
          <w:szCs w:val="22"/>
          <w:lang w:val="en-GB"/>
        </w:rPr>
        <w:t xml:space="preserve">s to retain an interest in the assets they securitise; </w:t>
      </w:r>
    </w:p>
    <w:p w14:paraId="3D355B5E" w14:textId="24BEA385"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corporate debt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(including commercial paper) that satisfy all of the following conditions, subject to a 50% haircut: </w:t>
      </w:r>
    </w:p>
    <w:p w14:paraId="42FEFE17" w14:textId="06C4E952"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w:t>
      </w:r>
      <w:r w:rsidR="00384436" w:rsidRPr="00E4265B">
        <w:rPr>
          <w:rFonts w:ascii="Arial" w:hAnsi="Arial" w:cs="Arial"/>
          <w:sz w:val="22"/>
          <w:szCs w:val="22"/>
          <w:lang w:val="en-GB"/>
        </w:rPr>
        <w:tab/>
      </w:r>
      <w:r w:rsidRPr="00E4265B">
        <w:rPr>
          <w:rFonts w:ascii="Arial" w:hAnsi="Arial" w:cs="Arial"/>
          <w:sz w:val="22"/>
          <w:szCs w:val="22"/>
          <w:lang w:val="en-GB"/>
        </w:rPr>
        <w:t xml:space="preserve">they are not issued by a </w:t>
      </w:r>
      <w:r w:rsidR="00F57406" w:rsidRPr="00E4265B">
        <w:rPr>
          <w:rFonts w:ascii="Arial" w:hAnsi="Arial" w:cs="Arial"/>
          <w:sz w:val="22"/>
          <w:szCs w:val="22"/>
          <w:lang w:val="en-GB"/>
        </w:rPr>
        <w:t>Financial Institution</w:t>
      </w:r>
      <w:r w:rsidRPr="00E4265B">
        <w:rPr>
          <w:rFonts w:ascii="Arial" w:hAnsi="Arial" w:cs="Arial"/>
          <w:sz w:val="22"/>
          <w:szCs w:val="22"/>
          <w:lang w:val="en-GB"/>
        </w:rPr>
        <w:t xml:space="preserve"> or any of its affiliated entities; </w:t>
      </w:r>
    </w:p>
    <w:p w14:paraId="4B668322" w14:textId="3266E4B6" w:rsidR="00E22FF2" w:rsidRPr="00E4265B" w:rsidRDefault="00E22FF2" w:rsidP="00382455">
      <w:pPr>
        <w:pStyle w:val="iList"/>
        <w:rPr>
          <w:rFonts w:ascii="Arial" w:hAnsi="Arial" w:cs="Arial"/>
          <w:sz w:val="22"/>
          <w:szCs w:val="22"/>
          <w:lang w:val="en-GB"/>
        </w:rPr>
      </w:pPr>
      <w:r w:rsidRPr="00E4265B">
        <w:rPr>
          <w:rFonts w:ascii="Arial" w:hAnsi="Arial" w:cs="Arial"/>
          <w:sz w:val="22"/>
          <w:szCs w:val="22"/>
          <w:lang w:val="en-GB"/>
        </w:rPr>
        <w:t>(ii)</w:t>
      </w:r>
      <w:r w:rsidR="00384436" w:rsidRPr="00E4265B">
        <w:rPr>
          <w:rFonts w:ascii="Arial" w:hAnsi="Arial" w:cs="Arial"/>
          <w:sz w:val="22"/>
          <w:szCs w:val="22"/>
          <w:lang w:val="en-GB"/>
        </w:rPr>
        <w:tab/>
      </w:r>
      <w:r w:rsidRPr="00E4265B">
        <w:rPr>
          <w:rFonts w:ascii="Arial" w:hAnsi="Arial" w:cs="Arial"/>
          <w:sz w:val="22"/>
          <w:szCs w:val="22"/>
          <w:lang w:val="en-GB"/>
        </w:rPr>
        <w:t>they have a Credit Quality Grade of 2 or 3</w:t>
      </w:r>
      <w:r w:rsidR="00382455" w:rsidRPr="00E4265B">
        <w:rPr>
          <w:rFonts w:ascii="Arial" w:hAnsi="Arial" w:cs="Arial"/>
          <w:sz w:val="22"/>
          <w:szCs w:val="22"/>
          <w:lang w:val="en-GB"/>
        </w:rPr>
        <w:t xml:space="preserve"> </w:t>
      </w:r>
      <w:r w:rsidRPr="00E4265B">
        <w:rPr>
          <w:rFonts w:ascii="Arial" w:hAnsi="Arial" w:cs="Arial"/>
          <w:sz w:val="22"/>
          <w:szCs w:val="22"/>
          <w:lang w:val="en-GB"/>
        </w:rPr>
        <w:t xml:space="preserve">or, in the case the assets do not have a credit assessment by a recognised ECAI, are internally rated as having a probability of default (PD) corresponding to a Credit Quality Grade of 2 or 3; </w:t>
      </w:r>
    </w:p>
    <w:p w14:paraId="36C193D5" w14:textId="0EA1DC0A"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(iii)</w:t>
      </w:r>
      <w:r w:rsidR="00384436" w:rsidRPr="00E4265B">
        <w:rPr>
          <w:rFonts w:ascii="Arial" w:hAnsi="Arial" w:cs="Arial"/>
          <w:sz w:val="22"/>
          <w:szCs w:val="22"/>
          <w:lang w:val="en-GB"/>
        </w:rPr>
        <w:tab/>
      </w:r>
      <w:r w:rsidRPr="00E4265B">
        <w:rPr>
          <w:rFonts w:ascii="Arial" w:hAnsi="Arial" w:cs="Arial"/>
          <w:sz w:val="22"/>
          <w:szCs w:val="22"/>
          <w:lang w:val="en-GB"/>
        </w:rPr>
        <w:t xml:space="preserve">they are traded in large, deep and active repo or cash markets characterised by a low level of concentration; and </w:t>
      </w:r>
    </w:p>
    <w:p w14:paraId="3B511C1C" w14:textId="2A58F1D7"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(iv)</w:t>
      </w:r>
      <w:r w:rsidR="00384436" w:rsidRPr="00E4265B">
        <w:rPr>
          <w:rFonts w:ascii="Arial" w:hAnsi="Arial" w:cs="Arial"/>
          <w:sz w:val="22"/>
          <w:szCs w:val="22"/>
          <w:lang w:val="en-GB"/>
        </w:rPr>
        <w:tab/>
      </w:r>
      <w:r w:rsidRPr="00E4265B">
        <w:rPr>
          <w:rFonts w:ascii="Arial" w:hAnsi="Arial" w:cs="Arial"/>
          <w:sz w:val="22"/>
          <w:szCs w:val="22"/>
          <w:lang w:val="en-GB"/>
        </w:rPr>
        <w:t xml:space="preserve">they have a proven record as a reliable source of liquidity in the markets (repo or sale) even during stressed market conditions, (i.e. maximum decline of price or increase in haircut over a 30-day period during a relevant period of significant liquidity stress not exceeding 20%); </w:t>
      </w:r>
    </w:p>
    <w:p w14:paraId="31B02DD2" w14:textId="5ECAF5C8"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(c)</w:t>
      </w:r>
      <w:r w:rsidR="00384436" w:rsidRPr="00E4265B">
        <w:rPr>
          <w:rFonts w:ascii="Arial" w:hAnsi="Arial" w:cs="Arial"/>
          <w:sz w:val="22"/>
          <w:szCs w:val="22"/>
          <w:lang w:val="en-GB"/>
        </w:rPr>
        <w:tab/>
      </w:r>
      <w:r w:rsidRPr="00E4265B">
        <w:rPr>
          <w:rFonts w:ascii="Arial" w:hAnsi="Arial" w:cs="Arial"/>
          <w:sz w:val="22"/>
          <w:szCs w:val="22"/>
          <w:lang w:val="en-GB"/>
        </w:rPr>
        <w:t xml:space="preserve">equity </w:t>
      </w:r>
      <w:r w:rsidR="00202EF6" w:rsidRPr="00E4265B">
        <w:rPr>
          <w:rFonts w:ascii="Arial" w:hAnsi="Arial" w:cs="Arial"/>
          <w:sz w:val="22"/>
          <w:szCs w:val="22"/>
          <w:lang w:val="en-GB"/>
        </w:rPr>
        <w:t>Share</w:t>
      </w:r>
      <w:r w:rsidRPr="00E4265B">
        <w:rPr>
          <w:rFonts w:ascii="Arial" w:hAnsi="Arial" w:cs="Arial"/>
          <w:sz w:val="22"/>
          <w:szCs w:val="22"/>
          <w:lang w:val="en-GB"/>
        </w:rPr>
        <w:t xml:space="preserve">s that satisfy all of the following conditions, subject to a 50% haircut: </w:t>
      </w:r>
    </w:p>
    <w:p w14:paraId="4EDAAE59" w14:textId="65F86B14"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w:t>
      </w:r>
      <w:r w:rsidR="00384436" w:rsidRPr="00E4265B">
        <w:rPr>
          <w:rFonts w:ascii="Arial" w:hAnsi="Arial" w:cs="Arial"/>
          <w:sz w:val="22"/>
          <w:szCs w:val="22"/>
          <w:lang w:val="en-GB"/>
        </w:rPr>
        <w:tab/>
      </w:r>
      <w:r w:rsidRPr="00E4265B">
        <w:rPr>
          <w:rFonts w:ascii="Arial" w:hAnsi="Arial" w:cs="Arial"/>
          <w:sz w:val="22"/>
          <w:szCs w:val="22"/>
          <w:lang w:val="en-GB"/>
        </w:rPr>
        <w:t xml:space="preserve">they are not issued by a </w:t>
      </w:r>
      <w:r w:rsidR="00F57406" w:rsidRPr="00E4265B">
        <w:rPr>
          <w:rFonts w:ascii="Arial" w:hAnsi="Arial" w:cs="Arial"/>
          <w:sz w:val="22"/>
          <w:szCs w:val="22"/>
          <w:lang w:val="en-GB"/>
        </w:rPr>
        <w:t>Financial Institution</w:t>
      </w:r>
      <w:r w:rsidRPr="00E4265B">
        <w:rPr>
          <w:rFonts w:ascii="Arial" w:hAnsi="Arial" w:cs="Arial"/>
          <w:sz w:val="22"/>
          <w:szCs w:val="22"/>
          <w:lang w:val="en-GB"/>
        </w:rPr>
        <w:t xml:space="preserve"> or any of its affiliated entities; </w:t>
      </w:r>
    </w:p>
    <w:p w14:paraId="365F7D1A" w14:textId="1B7D3726"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(ii)</w:t>
      </w:r>
      <w:r w:rsidR="00384436" w:rsidRPr="00E4265B">
        <w:rPr>
          <w:rFonts w:ascii="Arial" w:hAnsi="Arial" w:cs="Arial"/>
          <w:sz w:val="22"/>
          <w:szCs w:val="22"/>
          <w:lang w:val="en-GB"/>
        </w:rPr>
        <w:tab/>
      </w:r>
      <w:r w:rsidR="004D3979" w:rsidRPr="00E4265B">
        <w:rPr>
          <w:rFonts w:ascii="Arial" w:hAnsi="Arial" w:cs="Arial"/>
          <w:sz w:val="22"/>
          <w:szCs w:val="22"/>
          <w:lang w:val="en-GB"/>
        </w:rPr>
        <w:t>they are exchange-</w:t>
      </w:r>
      <w:r w:rsidRPr="00E4265B">
        <w:rPr>
          <w:rFonts w:ascii="Arial" w:hAnsi="Arial" w:cs="Arial"/>
          <w:sz w:val="22"/>
          <w:szCs w:val="22"/>
          <w:lang w:val="en-GB"/>
        </w:rPr>
        <w:t xml:space="preserve">traded and centrally cleared; </w:t>
      </w:r>
    </w:p>
    <w:p w14:paraId="084F1016" w14:textId="3CE5EDDD"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(iii)</w:t>
      </w:r>
      <w:r w:rsidR="00384436" w:rsidRPr="00E4265B">
        <w:rPr>
          <w:rFonts w:ascii="Arial" w:hAnsi="Arial" w:cs="Arial"/>
          <w:sz w:val="22"/>
          <w:szCs w:val="22"/>
          <w:lang w:val="en-GB"/>
        </w:rPr>
        <w:tab/>
      </w:r>
      <w:r w:rsidRPr="00E4265B">
        <w:rPr>
          <w:rFonts w:ascii="Arial" w:hAnsi="Arial" w:cs="Arial"/>
          <w:sz w:val="22"/>
          <w:szCs w:val="22"/>
          <w:lang w:val="en-GB"/>
        </w:rPr>
        <w:t>they are a constituent of the major stock index in the home juris</w:t>
      </w:r>
      <w:r w:rsidR="00B830F4" w:rsidRPr="00E4265B">
        <w:rPr>
          <w:rFonts w:ascii="Arial" w:hAnsi="Arial" w:cs="Arial"/>
          <w:sz w:val="22"/>
          <w:szCs w:val="22"/>
          <w:lang w:val="en-GB"/>
        </w:rPr>
        <w:t>diction, or where the Liquidity R</w:t>
      </w:r>
      <w:r w:rsidRPr="00E4265B">
        <w:rPr>
          <w:rFonts w:ascii="Arial" w:hAnsi="Arial" w:cs="Arial"/>
          <w:sz w:val="22"/>
          <w:szCs w:val="22"/>
          <w:lang w:val="en-GB"/>
        </w:rPr>
        <w:t xml:space="preserve">isk is taken, as decided by the supervisor in the jurisdiction where the index is located; </w:t>
      </w:r>
    </w:p>
    <w:p w14:paraId="5C28D3F6" w14:textId="2D8E32E8"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(iv)</w:t>
      </w:r>
      <w:r w:rsidR="00384436" w:rsidRPr="00E4265B">
        <w:rPr>
          <w:rFonts w:ascii="Arial" w:hAnsi="Arial" w:cs="Arial"/>
          <w:sz w:val="22"/>
          <w:szCs w:val="22"/>
          <w:lang w:val="en-GB"/>
        </w:rPr>
        <w:tab/>
      </w:r>
      <w:r w:rsidRPr="00E4265B">
        <w:rPr>
          <w:rFonts w:ascii="Arial" w:hAnsi="Arial" w:cs="Arial"/>
          <w:sz w:val="22"/>
          <w:szCs w:val="22"/>
          <w:lang w:val="en-GB"/>
        </w:rPr>
        <w:t xml:space="preserve">they are denominated in the domestic currency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home jurisdiction or in the currency of </w:t>
      </w:r>
      <w:r w:rsidRPr="00E4265B">
        <w:rPr>
          <w:rFonts w:ascii="Arial" w:hAnsi="Arial" w:cs="Arial"/>
          <w:sz w:val="22"/>
          <w:szCs w:val="22"/>
          <w:lang w:val="en-GB"/>
        </w:rPr>
        <w:lastRenderedPageBreak/>
        <w:t xml:space="preserve">the jurisdiction 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w:t>
      </w:r>
      <w:r w:rsidR="00B830F4" w:rsidRPr="00E4265B">
        <w:rPr>
          <w:rFonts w:ascii="Arial" w:hAnsi="Arial" w:cs="Arial"/>
          <w:sz w:val="22"/>
          <w:szCs w:val="22"/>
          <w:lang w:val="en-GB"/>
        </w:rPr>
        <w:t>Liquidity R</w:t>
      </w:r>
      <w:r w:rsidRPr="00E4265B">
        <w:rPr>
          <w:rFonts w:ascii="Arial" w:hAnsi="Arial" w:cs="Arial"/>
          <w:sz w:val="22"/>
          <w:szCs w:val="22"/>
          <w:lang w:val="en-GB"/>
        </w:rPr>
        <w:t xml:space="preserve">isk is taken; </w:t>
      </w:r>
    </w:p>
    <w:p w14:paraId="25587882" w14:textId="18C3318F"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(v)</w:t>
      </w:r>
      <w:r w:rsidR="00384436" w:rsidRPr="00E4265B">
        <w:rPr>
          <w:rFonts w:ascii="Arial" w:hAnsi="Arial" w:cs="Arial"/>
          <w:sz w:val="22"/>
          <w:szCs w:val="22"/>
          <w:lang w:val="en-GB"/>
        </w:rPr>
        <w:tab/>
      </w:r>
      <w:r w:rsidRPr="00E4265B">
        <w:rPr>
          <w:rFonts w:ascii="Arial" w:hAnsi="Arial" w:cs="Arial"/>
          <w:sz w:val="22"/>
          <w:szCs w:val="22"/>
          <w:lang w:val="en-GB"/>
        </w:rPr>
        <w:t xml:space="preserve">they are traded in large, deep and active repo or cash markets characterised by a low level of concentration; and </w:t>
      </w:r>
    </w:p>
    <w:p w14:paraId="4E13DB88" w14:textId="25783F02" w:rsidR="00E22FF2" w:rsidRPr="00E4265B" w:rsidRDefault="00E22FF2" w:rsidP="00F75DF0">
      <w:pPr>
        <w:pStyle w:val="iList"/>
        <w:rPr>
          <w:rFonts w:ascii="Arial" w:hAnsi="Arial" w:cs="Arial"/>
          <w:sz w:val="22"/>
          <w:szCs w:val="22"/>
          <w:lang w:val="en-GB"/>
        </w:rPr>
      </w:pPr>
      <w:r w:rsidRPr="00E4265B">
        <w:rPr>
          <w:rFonts w:ascii="Arial" w:hAnsi="Arial" w:cs="Arial"/>
          <w:sz w:val="22"/>
          <w:szCs w:val="22"/>
          <w:lang w:val="en-GB"/>
        </w:rPr>
        <w:t>(vi)</w:t>
      </w:r>
      <w:r w:rsidR="00384436" w:rsidRPr="00E4265B">
        <w:rPr>
          <w:rFonts w:ascii="Arial" w:hAnsi="Arial" w:cs="Arial"/>
          <w:sz w:val="22"/>
          <w:szCs w:val="22"/>
          <w:lang w:val="en-GB"/>
        </w:rPr>
        <w:tab/>
      </w:r>
      <w:r w:rsidRPr="00E4265B">
        <w:rPr>
          <w:rFonts w:ascii="Arial" w:hAnsi="Arial" w:cs="Arial"/>
          <w:sz w:val="22"/>
          <w:szCs w:val="22"/>
          <w:lang w:val="en-GB"/>
        </w:rPr>
        <w:t xml:space="preserve">they have a proven record as a reliable source of liquidity in the markets (repo or sale) even during stressed market conditions, (i.e. maximum decline of price or increase in haircut over a 30-day period during a relevant period of significant liquidity stress not exceeding 40%); and </w:t>
      </w:r>
    </w:p>
    <w:p w14:paraId="6AD9D51C" w14:textId="149F5B2E" w:rsidR="00E22FF2" w:rsidRPr="00E4265B" w:rsidRDefault="00E22FF2" w:rsidP="00D05716">
      <w:pPr>
        <w:pStyle w:val="aList"/>
        <w:rPr>
          <w:rFonts w:ascii="Arial" w:hAnsi="Arial" w:cs="Arial"/>
          <w:sz w:val="22"/>
          <w:szCs w:val="22"/>
          <w:lang w:val="en-GB"/>
        </w:rPr>
      </w:pPr>
      <w:r w:rsidRPr="00E4265B">
        <w:rPr>
          <w:rFonts w:ascii="Arial" w:hAnsi="Arial" w:cs="Arial"/>
          <w:sz w:val="22"/>
          <w:szCs w:val="22"/>
          <w:lang w:val="en-GB"/>
        </w:rPr>
        <w:t>(d)</w:t>
      </w:r>
      <w:r w:rsidR="00384436" w:rsidRPr="00E4265B">
        <w:rPr>
          <w:rFonts w:ascii="Arial" w:hAnsi="Arial" w:cs="Arial"/>
          <w:sz w:val="22"/>
          <w:szCs w:val="22"/>
          <w:lang w:val="en-GB"/>
        </w:rPr>
        <w:tab/>
      </w:r>
      <w:r w:rsidRPr="00E4265B">
        <w:rPr>
          <w:rFonts w:ascii="Arial" w:hAnsi="Arial" w:cs="Arial"/>
          <w:sz w:val="22"/>
          <w:szCs w:val="22"/>
          <w:lang w:val="en-GB"/>
        </w:rPr>
        <w:t>any other types of assets approved by the Regulator under Rule A</w:t>
      </w:r>
      <w:r w:rsidR="006574A9" w:rsidRPr="00E4265B">
        <w:rPr>
          <w:rFonts w:ascii="Arial" w:hAnsi="Arial" w:cs="Arial"/>
          <w:sz w:val="22"/>
          <w:szCs w:val="22"/>
          <w:lang w:val="en-GB"/>
        </w:rPr>
        <w:t>10</w:t>
      </w:r>
      <w:r w:rsidRPr="00E4265B">
        <w:rPr>
          <w:rFonts w:ascii="Arial" w:hAnsi="Arial" w:cs="Arial"/>
          <w:sz w:val="22"/>
          <w:szCs w:val="22"/>
          <w:lang w:val="en-GB"/>
        </w:rPr>
        <w:t>.2.9 as being eligible to be Level 2B HQLA.</w:t>
      </w:r>
    </w:p>
    <w:p w14:paraId="41D171CE"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Approval of other types of HQLA </w:t>
      </w:r>
    </w:p>
    <w:p w14:paraId="1B07D590" w14:textId="30FB6F5B" w:rsidR="00E22FF2" w:rsidRPr="00E4265B" w:rsidRDefault="00E22FF2" w:rsidP="00D05716">
      <w:pPr>
        <w:pStyle w:val="A1List"/>
        <w:tabs>
          <w:tab w:val="left" w:pos="1800"/>
        </w:tabs>
        <w:ind w:left="1800" w:hanging="1800"/>
        <w:rPr>
          <w:rFonts w:ascii="Arial" w:hAnsi="Arial" w:cs="Arial"/>
          <w:sz w:val="22"/>
          <w:szCs w:val="22"/>
          <w:lang w:val="en-GB"/>
        </w:rPr>
      </w:pPr>
      <w:r w:rsidRPr="00E4265B">
        <w:rPr>
          <w:rFonts w:ascii="Arial" w:hAnsi="Arial" w:cs="Arial"/>
          <w:b/>
          <w:bCs/>
          <w:sz w:val="22"/>
          <w:szCs w:val="22"/>
          <w:lang w:val="en-GB"/>
        </w:rPr>
        <w:t>A</w:t>
      </w:r>
      <w:r w:rsidR="00F259A8" w:rsidRPr="00E4265B">
        <w:rPr>
          <w:rFonts w:ascii="Arial" w:hAnsi="Arial" w:cs="Arial"/>
          <w:b/>
          <w:bCs/>
          <w:sz w:val="22"/>
          <w:szCs w:val="22"/>
          <w:lang w:val="en-GB"/>
        </w:rPr>
        <w:t>10</w:t>
      </w:r>
      <w:r w:rsidRPr="00E4265B">
        <w:rPr>
          <w:rFonts w:ascii="Arial" w:hAnsi="Arial" w:cs="Arial"/>
          <w:b/>
          <w:bCs/>
          <w:sz w:val="22"/>
          <w:szCs w:val="22"/>
          <w:lang w:val="en-GB"/>
        </w:rPr>
        <w:t>.2.9</w:t>
      </w:r>
      <w:r w:rsidR="00384436" w:rsidRPr="00E4265B">
        <w:rPr>
          <w:rFonts w:ascii="Arial" w:hAnsi="Arial" w:cs="Arial"/>
          <w:bCs/>
          <w:sz w:val="22"/>
          <w:szCs w:val="22"/>
          <w:lang w:val="en-GB"/>
        </w:rPr>
        <w:tab/>
      </w:r>
      <w:r w:rsidRPr="00E4265B">
        <w:rPr>
          <w:rFonts w:ascii="Arial" w:hAnsi="Arial" w:cs="Arial"/>
          <w:sz w:val="22"/>
          <w:szCs w:val="22"/>
          <w:lang w:val="en-GB"/>
        </w:rPr>
        <w:t>(1)</w:t>
      </w:r>
      <w:r w:rsidR="00384436" w:rsidRPr="00E4265B">
        <w:rPr>
          <w:rFonts w:ascii="Arial" w:hAnsi="Arial" w:cs="Arial"/>
          <w:sz w:val="22"/>
          <w:szCs w:val="22"/>
          <w:lang w:val="en-GB"/>
        </w:rPr>
        <w:tab/>
      </w:r>
      <w:r w:rsidRPr="00E4265B">
        <w:rPr>
          <w:rFonts w:ascii="Arial" w:hAnsi="Arial" w:cs="Arial"/>
          <w:sz w:val="22"/>
          <w:szCs w:val="22"/>
          <w:lang w:val="en-GB"/>
        </w:rPr>
        <w:t>The Regulator may approve other types of assets (in addition to those specified in Rules A</w:t>
      </w:r>
      <w:r w:rsidR="00F259A8" w:rsidRPr="00E4265B">
        <w:rPr>
          <w:rFonts w:ascii="Arial" w:hAnsi="Arial" w:cs="Arial"/>
          <w:sz w:val="22"/>
          <w:szCs w:val="22"/>
          <w:lang w:val="en-GB"/>
        </w:rPr>
        <w:t>10</w:t>
      </w:r>
      <w:r w:rsidRPr="00E4265B">
        <w:rPr>
          <w:rFonts w:ascii="Arial" w:hAnsi="Arial" w:cs="Arial"/>
          <w:sz w:val="22"/>
          <w:szCs w:val="22"/>
          <w:lang w:val="en-GB"/>
        </w:rPr>
        <w:t>.2.6 to A</w:t>
      </w:r>
      <w:r w:rsidR="00F259A8" w:rsidRPr="00E4265B">
        <w:rPr>
          <w:rFonts w:ascii="Arial" w:hAnsi="Arial" w:cs="Arial"/>
          <w:sz w:val="22"/>
          <w:szCs w:val="22"/>
          <w:lang w:val="en-GB"/>
        </w:rPr>
        <w:t>10</w:t>
      </w:r>
      <w:r w:rsidRPr="00E4265B">
        <w:rPr>
          <w:rFonts w:ascii="Arial" w:hAnsi="Arial" w:cs="Arial"/>
          <w:sz w:val="22"/>
          <w:szCs w:val="22"/>
          <w:lang w:val="en-GB"/>
        </w:rPr>
        <w:t xml:space="preserve">.2.8) as being eligible to be included in the stock of HQLA for the purposes of the calculation of the LCR. </w:t>
      </w:r>
    </w:p>
    <w:p w14:paraId="1698B41B" w14:textId="468B5F25"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Pr="00E4265B">
        <w:rPr>
          <w:rFonts w:ascii="Arial" w:hAnsi="Arial" w:cs="Arial"/>
          <w:sz w:val="22"/>
          <w:szCs w:val="22"/>
          <w:lang w:val="en-GB"/>
        </w:rPr>
        <w:t xml:space="preserve">If the Regulator approves assets under (1), it must specify whether they are to be classified as Level 1 HQLA or Level 2 HQLA and the haircut, if any, to be applied to them. </w:t>
      </w:r>
    </w:p>
    <w:p w14:paraId="7B422B86"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Guidance </w:t>
      </w:r>
    </w:p>
    <w:p w14:paraId="348CAAF7" w14:textId="77777777" w:rsidR="00E22FF2" w:rsidRPr="00E4265B" w:rsidRDefault="00E22FF2" w:rsidP="00D05716">
      <w:pPr>
        <w:pStyle w:val="UK12Block05"/>
        <w:rPr>
          <w:rFonts w:ascii="Arial" w:hAnsi="Arial" w:cs="Arial"/>
          <w:sz w:val="22"/>
          <w:szCs w:val="22"/>
          <w:lang w:val="en-GB"/>
        </w:rPr>
      </w:pPr>
      <w:r w:rsidRPr="00E4265B">
        <w:rPr>
          <w:rFonts w:ascii="Arial" w:hAnsi="Arial" w:cs="Arial"/>
          <w:sz w:val="22"/>
          <w:szCs w:val="22"/>
          <w:lang w:val="en-GB"/>
        </w:rPr>
        <w:t xml:space="preserve">The Regulator may </w:t>
      </w:r>
      <w:r w:rsidR="00F259A8" w:rsidRPr="00E4265B">
        <w:rPr>
          <w:rFonts w:ascii="Arial" w:hAnsi="Arial" w:cs="Arial"/>
          <w:sz w:val="22"/>
          <w:szCs w:val="22"/>
          <w:lang w:val="en-GB"/>
        </w:rPr>
        <w:t>use its discretion under Rule A10</w:t>
      </w:r>
      <w:r w:rsidRPr="00E4265B">
        <w:rPr>
          <w:rFonts w:ascii="Arial" w:hAnsi="Arial" w:cs="Arial"/>
          <w:sz w:val="22"/>
          <w:szCs w:val="22"/>
          <w:lang w:val="en-GB"/>
        </w:rPr>
        <w:t xml:space="preserve">.2.9 to approve other types of assets as HQLA including, but not </w:t>
      </w:r>
      <w:r w:rsidR="00F57406" w:rsidRPr="00E4265B">
        <w:rPr>
          <w:rFonts w:ascii="Arial" w:hAnsi="Arial" w:cs="Arial"/>
          <w:sz w:val="22"/>
          <w:szCs w:val="22"/>
          <w:lang w:val="en-GB"/>
        </w:rPr>
        <w:t>limited to, Shar</w:t>
      </w:r>
      <w:r w:rsidR="009339DD" w:rsidRPr="00E4265B">
        <w:rPr>
          <w:rFonts w:ascii="Arial" w:hAnsi="Arial" w:cs="Arial"/>
          <w:sz w:val="22"/>
          <w:szCs w:val="22"/>
          <w:lang w:val="en-GB"/>
        </w:rPr>
        <w:t>i'a</w:t>
      </w:r>
      <w:r w:rsidR="00F57406" w:rsidRPr="00E4265B">
        <w:rPr>
          <w:rFonts w:ascii="Arial" w:hAnsi="Arial" w:cs="Arial"/>
          <w:sz w:val="22"/>
          <w:szCs w:val="22"/>
          <w:lang w:val="en-GB"/>
        </w:rPr>
        <w:t xml:space="preserve"> compliant F</w:t>
      </w:r>
      <w:r w:rsidRPr="00E4265B">
        <w:rPr>
          <w:rFonts w:ascii="Arial" w:hAnsi="Arial" w:cs="Arial"/>
          <w:sz w:val="22"/>
          <w:szCs w:val="22"/>
          <w:lang w:val="en-GB"/>
        </w:rPr>
        <w:t xml:space="preserve">inancial </w:t>
      </w:r>
      <w:r w:rsidR="00F57406" w:rsidRPr="00E4265B">
        <w:rPr>
          <w:rFonts w:ascii="Arial" w:hAnsi="Arial" w:cs="Arial"/>
          <w:sz w:val="22"/>
          <w:szCs w:val="22"/>
          <w:lang w:val="en-GB"/>
        </w:rPr>
        <w:t>P</w:t>
      </w:r>
      <w:r w:rsidRPr="00E4265B">
        <w:rPr>
          <w:rFonts w:ascii="Arial" w:hAnsi="Arial" w:cs="Arial"/>
          <w:sz w:val="22"/>
          <w:szCs w:val="22"/>
          <w:lang w:val="en-GB"/>
        </w:rPr>
        <w:t xml:space="preserve">roducts. When the Regulator approves assets it may define the conditions that the assets must satisfy to be treated as HQLA. It must specify whether the assets are to be treated as Level 1 HQLA or Level 2A or 2B HQLA. </w:t>
      </w:r>
    </w:p>
    <w:p w14:paraId="1387A62B"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Other provisions relating to LCR calculation </w:t>
      </w:r>
    </w:p>
    <w:p w14:paraId="55FE6A54" w14:textId="55496458" w:rsidR="00E22FF2" w:rsidRPr="00E4265B" w:rsidRDefault="00E22FF2" w:rsidP="00A66872">
      <w:pPr>
        <w:pStyle w:val="A1List"/>
        <w:rPr>
          <w:rFonts w:ascii="Arial" w:hAnsi="Arial" w:cs="Arial"/>
          <w:sz w:val="22"/>
          <w:szCs w:val="22"/>
          <w:lang w:val="en-GB"/>
        </w:rPr>
      </w:pPr>
      <w:r w:rsidRPr="00E4265B">
        <w:rPr>
          <w:rFonts w:ascii="Arial" w:hAnsi="Arial" w:cs="Arial"/>
          <w:b/>
          <w:bCs/>
          <w:sz w:val="22"/>
          <w:szCs w:val="22"/>
          <w:lang w:val="en-GB"/>
        </w:rPr>
        <w:t>A</w:t>
      </w:r>
      <w:r w:rsidR="00F259A8" w:rsidRPr="00E4265B">
        <w:rPr>
          <w:rFonts w:ascii="Arial" w:hAnsi="Arial" w:cs="Arial"/>
          <w:b/>
          <w:bCs/>
          <w:sz w:val="22"/>
          <w:szCs w:val="22"/>
          <w:lang w:val="en-GB"/>
        </w:rPr>
        <w:t>10</w:t>
      </w:r>
      <w:r w:rsidRPr="00E4265B">
        <w:rPr>
          <w:rFonts w:ascii="Arial" w:hAnsi="Arial" w:cs="Arial"/>
          <w:b/>
          <w:bCs/>
          <w:sz w:val="22"/>
          <w:szCs w:val="22"/>
          <w:lang w:val="en-GB"/>
        </w:rPr>
        <w:t>.2.10</w:t>
      </w:r>
      <w:r w:rsidR="00384436" w:rsidRPr="00E4265B">
        <w:rPr>
          <w:rFonts w:ascii="Arial" w:hAnsi="Arial" w:cs="Arial"/>
          <w:bCs/>
          <w:sz w:val="22"/>
          <w:szCs w:val="22"/>
          <w:lang w:val="en-GB"/>
        </w:rPr>
        <w:tab/>
      </w:r>
      <w:r w:rsidRPr="00E4265B">
        <w:rPr>
          <w:rFonts w:ascii="Arial" w:hAnsi="Arial" w:cs="Arial"/>
          <w:sz w:val="22"/>
          <w:szCs w:val="22"/>
          <w:lang w:val="en-GB"/>
        </w:rPr>
        <w:t xml:space="preserve">For the purpose of calculating the LCR, if an eligible asset within HQLA becomes ineligible (e.g. due to a rating downgrade),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allowed to keep the asset in its stock of HQLA for an additional 30 calendar days to allow time to adjust its stock as needed or replace the asset. </w:t>
      </w:r>
    </w:p>
    <w:p w14:paraId="1C4206E3" w14:textId="14D783F1" w:rsidR="00E22FF2" w:rsidRPr="00E4265B" w:rsidRDefault="00E22FF2" w:rsidP="00A66872">
      <w:pPr>
        <w:pStyle w:val="A1List"/>
        <w:rPr>
          <w:rFonts w:ascii="Arial" w:hAnsi="Arial" w:cs="Arial"/>
          <w:sz w:val="22"/>
          <w:szCs w:val="22"/>
          <w:lang w:val="en-GB"/>
        </w:rPr>
      </w:pPr>
      <w:r w:rsidRPr="00E4265B">
        <w:rPr>
          <w:rFonts w:ascii="Arial" w:hAnsi="Arial" w:cs="Arial"/>
          <w:b/>
          <w:bCs/>
          <w:sz w:val="22"/>
          <w:szCs w:val="22"/>
          <w:lang w:val="en-GB"/>
        </w:rPr>
        <w:t>A</w:t>
      </w:r>
      <w:r w:rsidR="00F259A8" w:rsidRPr="00E4265B">
        <w:rPr>
          <w:rFonts w:ascii="Arial" w:hAnsi="Arial" w:cs="Arial"/>
          <w:b/>
          <w:bCs/>
          <w:sz w:val="22"/>
          <w:szCs w:val="22"/>
          <w:lang w:val="en-GB"/>
        </w:rPr>
        <w:t>10</w:t>
      </w:r>
      <w:r w:rsidRPr="00E4265B">
        <w:rPr>
          <w:rFonts w:ascii="Arial" w:hAnsi="Arial" w:cs="Arial"/>
          <w:b/>
          <w:bCs/>
          <w:sz w:val="22"/>
          <w:szCs w:val="22"/>
          <w:lang w:val="en-GB"/>
        </w:rPr>
        <w:t>.2.11</w:t>
      </w:r>
      <w:r w:rsidR="00384436" w:rsidRPr="00E4265B">
        <w:rPr>
          <w:rFonts w:ascii="Arial" w:hAnsi="Arial" w:cs="Arial"/>
          <w:bCs/>
          <w:sz w:val="22"/>
          <w:szCs w:val="22"/>
          <w:lang w:val="en-GB"/>
        </w:rPr>
        <w:tab/>
      </w:r>
      <w:r w:rsidRPr="00E4265B">
        <w:rPr>
          <w:rFonts w:ascii="Arial" w:hAnsi="Arial" w:cs="Arial"/>
          <w:sz w:val="22"/>
          <w:szCs w:val="22"/>
          <w:lang w:val="en-GB"/>
        </w:rPr>
        <w:t>For the purpose of calculating a consolidated LCR for a Financial Group, where applicable, qualifying HQLA held to meet statutory liquidity requirements at a legal entity or sub-consolidated level may be included in the stock at the consolidated level only to the extent that the related risks are also reflected in the consolidated LCR. Any surplus of HQLA held at the legal entity can be included in the consolidated stock of HQLA only if those assets would also be freely</w:t>
      </w:r>
      <w:r w:rsidR="00BC49E0" w:rsidRPr="00E4265B">
        <w:rPr>
          <w:rFonts w:ascii="Arial" w:hAnsi="Arial" w:cs="Arial"/>
          <w:sz w:val="22"/>
          <w:szCs w:val="22"/>
          <w:lang w:val="en-GB"/>
        </w:rPr>
        <w:t xml:space="preserve"> available to the consolidated P</w:t>
      </w:r>
      <w:r w:rsidRPr="00E4265B">
        <w:rPr>
          <w:rFonts w:ascii="Arial" w:hAnsi="Arial" w:cs="Arial"/>
          <w:sz w:val="22"/>
          <w:szCs w:val="22"/>
          <w:lang w:val="en-GB"/>
        </w:rPr>
        <w:t xml:space="preserve">arent entity in times of stress. </w:t>
      </w:r>
    </w:p>
    <w:p w14:paraId="2C0EFB4C" w14:textId="6F86342E" w:rsidR="00E22FF2" w:rsidRPr="00E4265B" w:rsidRDefault="00E22FF2" w:rsidP="00846F4F">
      <w:pPr>
        <w:pStyle w:val="A1List"/>
        <w:rPr>
          <w:rFonts w:ascii="Arial" w:hAnsi="Arial" w:cs="Arial"/>
          <w:sz w:val="22"/>
          <w:szCs w:val="22"/>
          <w:lang w:val="en-GB"/>
        </w:rPr>
      </w:pPr>
      <w:r w:rsidRPr="00E4265B">
        <w:rPr>
          <w:rFonts w:ascii="Arial" w:hAnsi="Arial" w:cs="Arial"/>
          <w:b/>
          <w:bCs/>
          <w:sz w:val="22"/>
          <w:szCs w:val="22"/>
          <w:lang w:val="en-GB"/>
        </w:rPr>
        <w:t>A</w:t>
      </w:r>
      <w:r w:rsidR="00F259A8" w:rsidRPr="00E4265B">
        <w:rPr>
          <w:rFonts w:ascii="Arial" w:hAnsi="Arial" w:cs="Arial"/>
          <w:b/>
          <w:bCs/>
          <w:sz w:val="22"/>
          <w:szCs w:val="22"/>
          <w:lang w:val="en-GB"/>
        </w:rPr>
        <w:t>10</w:t>
      </w:r>
      <w:r w:rsidRPr="00E4265B">
        <w:rPr>
          <w:rFonts w:ascii="Arial" w:hAnsi="Arial" w:cs="Arial"/>
          <w:b/>
          <w:bCs/>
          <w:sz w:val="22"/>
          <w:szCs w:val="22"/>
          <w:lang w:val="en-GB"/>
        </w:rPr>
        <w:t>.2.12</w:t>
      </w:r>
      <w:r w:rsidR="00384436" w:rsidRPr="00E4265B">
        <w:rPr>
          <w:rFonts w:ascii="Arial" w:hAnsi="Arial" w:cs="Arial"/>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be able to meet its liquidity needs in each currency in which it has a significant </w:t>
      </w:r>
      <w:r w:rsidR="005F3B3B" w:rsidRPr="00E4265B">
        <w:rPr>
          <w:rFonts w:ascii="Arial" w:hAnsi="Arial" w:cs="Arial"/>
          <w:sz w:val="22"/>
          <w:szCs w:val="22"/>
          <w:lang w:val="en-GB"/>
        </w:rPr>
        <w:t>Exposure</w:t>
      </w:r>
      <w:r w:rsidRPr="00E4265B">
        <w:rPr>
          <w:rFonts w:ascii="Arial" w:hAnsi="Arial" w:cs="Arial"/>
          <w:sz w:val="22"/>
          <w:szCs w:val="22"/>
          <w:lang w:val="en-GB"/>
        </w:rPr>
        <w:t xml:space="preserve">. The currencies of the stock of HQLA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be similar in composition to its liquidity needs by currency. </w:t>
      </w:r>
    </w:p>
    <w:p w14:paraId="55CB5B5D"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lastRenderedPageBreak/>
        <w:t xml:space="preserve">Total Net Cash Outflow </w:t>
      </w:r>
    </w:p>
    <w:p w14:paraId="757CE6EF" w14:textId="526E977B" w:rsidR="00E22FF2" w:rsidRPr="00E4265B" w:rsidRDefault="00E22FF2" w:rsidP="00C55E84">
      <w:pPr>
        <w:pStyle w:val="A1List"/>
        <w:tabs>
          <w:tab w:val="left" w:pos="1800"/>
        </w:tabs>
        <w:ind w:left="1800" w:hanging="1800"/>
        <w:rPr>
          <w:rFonts w:ascii="Arial" w:hAnsi="Arial" w:cs="Arial"/>
          <w:sz w:val="22"/>
          <w:szCs w:val="22"/>
          <w:lang w:val="en-GB"/>
        </w:rPr>
      </w:pPr>
      <w:r w:rsidRPr="00E4265B">
        <w:rPr>
          <w:rFonts w:ascii="Arial" w:hAnsi="Arial" w:cs="Arial"/>
          <w:b/>
          <w:bCs/>
          <w:sz w:val="22"/>
          <w:szCs w:val="22"/>
          <w:lang w:val="en-GB"/>
        </w:rPr>
        <w:t>A</w:t>
      </w:r>
      <w:r w:rsidR="00F259A8" w:rsidRPr="00E4265B">
        <w:rPr>
          <w:rFonts w:ascii="Arial" w:hAnsi="Arial" w:cs="Arial"/>
          <w:b/>
          <w:bCs/>
          <w:sz w:val="22"/>
          <w:szCs w:val="22"/>
          <w:lang w:val="en-GB"/>
        </w:rPr>
        <w:t>10</w:t>
      </w:r>
      <w:r w:rsidRPr="00E4265B">
        <w:rPr>
          <w:rFonts w:ascii="Arial" w:hAnsi="Arial" w:cs="Arial"/>
          <w:b/>
          <w:bCs/>
          <w:sz w:val="22"/>
          <w:szCs w:val="22"/>
          <w:lang w:val="en-GB"/>
        </w:rPr>
        <w:t>.2.13</w:t>
      </w:r>
      <w:r w:rsidR="00384436" w:rsidRPr="00E4265B">
        <w:rPr>
          <w:rFonts w:ascii="Arial" w:hAnsi="Arial" w:cs="Arial"/>
          <w:bCs/>
          <w:sz w:val="22"/>
          <w:szCs w:val="22"/>
          <w:lang w:val="en-GB"/>
        </w:rPr>
        <w:tab/>
      </w:r>
      <w:r w:rsidRPr="00E4265B">
        <w:rPr>
          <w:rFonts w:ascii="Arial" w:hAnsi="Arial" w:cs="Arial"/>
          <w:sz w:val="22"/>
          <w:szCs w:val="22"/>
          <w:lang w:val="en-GB"/>
        </w:rPr>
        <w:t>(1)</w:t>
      </w:r>
      <w:r w:rsidR="00384436"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calculate its Total Net Cash Outflow over the following 30 calendar days in accordance with the following formula:</w:t>
      </w:r>
    </w:p>
    <w:p w14:paraId="53B44B18" w14:textId="77777777" w:rsidR="00E22FF2" w:rsidRPr="00E4265B" w:rsidRDefault="00E22FF2" w:rsidP="00E22FF2">
      <w:pPr>
        <w:pStyle w:val="UK12Block10"/>
        <w:ind w:left="2160"/>
        <w:jc w:val="center"/>
        <w:rPr>
          <w:rFonts w:ascii="Arial" w:hAnsi="Arial" w:cs="Arial"/>
          <w:b/>
          <w:sz w:val="22"/>
          <w:szCs w:val="22"/>
          <w:lang w:val="en-GB"/>
        </w:rPr>
      </w:pPr>
      <w:r w:rsidRPr="00E4265B">
        <w:rPr>
          <w:rFonts w:ascii="Arial" w:hAnsi="Arial" w:cs="Arial"/>
          <w:b/>
          <w:sz w:val="22"/>
          <w:szCs w:val="22"/>
          <w:lang w:val="en-GB"/>
        </w:rPr>
        <w:t>Total Net Cash Outflows over the next 30 calendar days</w:t>
      </w:r>
    </w:p>
    <w:p w14:paraId="46B1C3B1" w14:textId="77777777" w:rsidR="00E22FF2" w:rsidRPr="00E4265B" w:rsidRDefault="00E22FF2" w:rsidP="00E22FF2">
      <w:pPr>
        <w:pStyle w:val="UK12Block10"/>
        <w:ind w:left="2160"/>
        <w:jc w:val="center"/>
        <w:rPr>
          <w:rFonts w:ascii="Arial" w:hAnsi="Arial" w:cs="Arial"/>
          <w:b/>
          <w:sz w:val="22"/>
          <w:szCs w:val="22"/>
          <w:lang w:val="en-GB"/>
        </w:rPr>
      </w:pPr>
      <w:r w:rsidRPr="00E4265B">
        <w:rPr>
          <w:rFonts w:ascii="Arial" w:hAnsi="Arial" w:cs="Arial"/>
          <w:b/>
          <w:sz w:val="22"/>
          <w:szCs w:val="22"/>
          <w:lang w:val="en-GB"/>
        </w:rPr>
        <w:t>=</w:t>
      </w:r>
    </w:p>
    <w:p w14:paraId="2CAD2D53" w14:textId="77777777" w:rsidR="00E22FF2" w:rsidRPr="00E4265B" w:rsidRDefault="00E22FF2" w:rsidP="00E22FF2">
      <w:pPr>
        <w:pStyle w:val="UK12Block10"/>
        <w:ind w:left="2160"/>
        <w:jc w:val="center"/>
        <w:rPr>
          <w:rFonts w:ascii="Arial" w:hAnsi="Arial" w:cs="Arial"/>
          <w:b/>
          <w:sz w:val="22"/>
          <w:szCs w:val="22"/>
          <w:lang w:val="en-GB"/>
        </w:rPr>
      </w:pPr>
      <w:r w:rsidRPr="00E4265B">
        <w:rPr>
          <w:rFonts w:ascii="Arial" w:hAnsi="Arial" w:cs="Arial"/>
          <w:b/>
          <w:sz w:val="22"/>
          <w:szCs w:val="22"/>
          <w:lang w:val="en-GB"/>
        </w:rPr>
        <w:t>Total expected cash outflows</w:t>
      </w:r>
    </w:p>
    <w:p w14:paraId="0AB0A2B2" w14:textId="77777777" w:rsidR="00E22FF2" w:rsidRPr="00E4265B" w:rsidRDefault="00E22FF2" w:rsidP="00E22FF2">
      <w:pPr>
        <w:pStyle w:val="UK12Block10"/>
        <w:ind w:left="2160"/>
        <w:jc w:val="center"/>
        <w:rPr>
          <w:rFonts w:ascii="Arial" w:hAnsi="Arial" w:cs="Arial"/>
          <w:b/>
          <w:sz w:val="22"/>
          <w:szCs w:val="22"/>
          <w:lang w:val="en-GB"/>
        </w:rPr>
      </w:pPr>
      <w:r w:rsidRPr="00E4265B">
        <w:rPr>
          <w:rFonts w:ascii="Arial" w:hAnsi="Arial" w:cs="Arial"/>
          <w:b/>
          <w:sz w:val="22"/>
          <w:szCs w:val="22"/>
          <w:lang w:val="en-GB"/>
        </w:rPr>
        <w:t>-</w:t>
      </w:r>
    </w:p>
    <w:p w14:paraId="355E3C77" w14:textId="3BCEA94F" w:rsidR="00E22FF2" w:rsidRPr="00E4265B" w:rsidRDefault="0028396B" w:rsidP="0028396B">
      <w:pPr>
        <w:pStyle w:val="UK12Block10"/>
        <w:ind w:left="2160"/>
        <w:jc w:val="center"/>
        <w:rPr>
          <w:rFonts w:ascii="Arial" w:hAnsi="Arial" w:cs="Arial"/>
          <w:b/>
          <w:sz w:val="22"/>
          <w:szCs w:val="22"/>
          <w:lang w:val="en-GB"/>
        </w:rPr>
      </w:pPr>
      <w:r w:rsidRPr="00E4265B">
        <w:rPr>
          <w:rFonts w:ascii="Arial" w:hAnsi="Arial" w:cs="Arial"/>
          <w:b/>
          <w:sz w:val="22"/>
          <w:szCs w:val="22"/>
          <w:lang w:val="en-GB"/>
        </w:rPr>
        <w:t>Min (</w:t>
      </w:r>
      <w:r w:rsidR="009D60B3" w:rsidRPr="00E4265B">
        <w:rPr>
          <w:rFonts w:ascii="Arial" w:hAnsi="Arial" w:cs="Arial"/>
          <w:b/>
          <w:sz w:val="22"/>
          <w:szCs w:val="22"/>
          <w:lang w:val="en-GB"/>
        </w:rPr>
        <w:t>total expected cash inflows</w:t>
      </w:r>
      <w:r w:rsidRPr="00E4265B">
        <w:rPr>
          <w:rFonts w:ascii="Arial" w:hAnsi="Arial" w:cs="Arial"/>
          <w:b/>
          <w:sz w:val="22"/>
          <w:szCs w:val="22"/>
          <w:lang w:val="en-GB"/>
        </w:rPr>
        <w:t>,</w:t>
      </w:r>
      <w:r w:rsidR="00E22FF2" w:rsidRPr="00E4265B">
        <w:rPr>
          <w:rFonts w:ascii="Arial" w:hAnsi="Arial" w:cs="Arial"/>
          <w:b/>
          <w:sz w:val="22"/>
          <w:szCs w:val="22"/>
          <w:lang w:val="en-GB"/>
        </w:rPr>
        <w:t xml:space="preserve"> 75% of total expected cash outflows</w:t>
      </w:r>
      <w:r w:rsidRPr="00E4265B">
        <w:rPr>
          <w:rFonts w:ascii="Arial" w:hAnsi="Arial" w:cs="Arial"/>
          <w:b/>
          <w:sz w:val="22"/>
          <w:szCs w:val="22"/>
          <w:lang w:val="en-GB"/>
        </w:rPr>
        <w:t>)</w:t>
      </w:r>
    </w:p>
    <w:p w14:paraId="7B4264BD" w14:textId="2107C2A8" w:rsidR="00E22FF2" w:rsidRPr="00E4265B" w:rsidRDefault="00E22FF2" w:rsidP="00C55E84">
      <w:pPr>
        <w:pStyle w:val="1List"/>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Pr="00E4265B">
        <w:rPr>
          <w:rFonts w:ascii="Arial" w:hAnsi="Arial" w:cs="Arial"/>
          <w:sz w:val="22"/>
          <w:szCs w:val="22"/>
          <w:lang w:val="en-GB"/>
        </w:rPr>
        <w:t xml:space="preserve">Total expected cash outflows are calculated by multiplying the outstanding balances of various categories or types of liabilities and off-balance sheet commitments by the rates at which they are expected to run off or be drawn down. </w:t>
      </w:r>
    </w:p>
    <w:p w14:paraId="3D1F99C0" w14:textId="00B8A4C7" w:rsidR="00E22FF2" w:rsidRPr="00E4265B" w:rsidRDefault="00E22FF2" w:rsidP="00846F4F">
      <w:pPr>
        <w:pStyle w:val="1List"/>
        <w:rPr>
          <w:rFonts w:ascii="Arial" w:hAnsi="Arial" w:cs="Arial"/>
          <w:sz w:val="22"/>
          <w:szCs w:val="22"/>
          <w:lang w:val="en-GB"/>
        </w:rPr>
      </w:pPr>
      <w:r w:rsidRPr="00E4265B">
        <w:rPr>
          <w:rFonts w:ascii="Arial" w:hAnsi="Arial" w:cs="Arial"/>
          <w:sz w:val="22"/>
          <w:szCs w:val="22"/>
          <w:lang w:val="en-GB"/>
        </w:rPr>
        <w:t>(3)</w:t>
      </w:r>
      <w:r w:rsidR="00384436" w:rsidRPr="00E4265B">
        <w:rPr>
          <w:rFonts w:ascii="Arial" w:hAnsi="Arial" w:cs="Arial"/>
          <w:sz w:val="22"/>
          <w:szCs w:val="22"/>
          <w:lang w:val="en-GB"/>
        </w:rPr>
        <w:tab/>
      </w:r>
      <w:r w:rsidRPr="00E4265B">
        <w:rPr>
          <w:rFonts w:ascii="Arial" w:hAnsi="Arial" w:cs="Arial"/>
          <w:sz w:val="22"/>
          <w:szCs w:val="22"/>
          <w:lang w:val="en-GB"/>
        </w:rPr>
        <w:t xml:space="preserve">Total expected cash inflows are calculated by multiplying the outstanding balances of various categories of contractual receivables by the rates at which they are expected to flow in. </w:t>
      </w:r>
    </w:p>
    <w:p w14:paraId="005A3498" w14:textId="0910D91A" w:rsidR="00E22FF2" w:rsidRPr="00E4265B" w:rsidRDefault="00E22FF2" w:rsidP="00846F4F">
      <w:pPr>
        <w:pStyle w:val="1List"/>
        <w:rPr>
          <w:rFonts w:ascii="Arial" w:hAnsi="Arial" w:cs="Arial"/>
          <w:sz w:val="22"/>
          <w:szCs w:val="22"/>
          <w:lang w:val="en-GB"/>
        </w:rPr>
      </w:pPr>
      <w:r w:rsidRPr="00E4265B">
        <w:rPr>
          <w:rFonts w:ascii="Arial" w:hAnsi="Arial" w:cs="Arial"/>
          <w:sz w:val="22"/>
          <w:szCs w:val="22"/>
          <w:lang w:val="en-GB"/>
        </w:rPr>
        <w:t>(4)</w:t>
      </w:r>
      <w:r w:rsidR="00384436" w:rsidRPr="00E4265B">
        <w:rPr>
          <w:rFonts w:ascii="Arial" w:hAnsi="Arial" w:cs="Arial"/>
          <w:sz w:val="22"/>
          <w:szCs w:val="22"/>
          <w:lang w:val="en-GB"/>
        </w:rPr>
        <w:tab/>
      </w:r>
      <w:r w:rsidRPr="00E4265B">
        <w:rPr>
          <w:rFonts w:ascii="Arial" w:hAnsi="Arial" w:cs="Arial"/>
          <w:sz w:val="22"/>
          <w:szCs w:val="22"/>
          <w:lang w:val="en-GB"/>
        </w:rPr>
        <w:t xml:space="preserve">To ensure a minimum level of HQLA holdings at all times, total cash inflows are subject to an aggregate cap of 75% of total expected cash outflows. </w:t>
      </w:r>
    </w:p>
    <w:p w14:paraId="1FA05688" w14:textId="5E72CEAB" w:rsidR="00E22FF2" w:rsidRPr="00E4265B" w:rsidRDefault="00E22FF2" w:rsidP="00846F4F">
      <w:pPr>
        <w:pStyle w:val="A1List"/>
        <w:rPr>
          <w:rFonts w:ascii="Arial" w:hAnsi="Arial" w:cs="Arial"/>
          <w:sz w:val="22"/>
          <w:szCs w:val="22"/>
          <w:lang w:val="en-GB"/>
        </w:rPr>
      </w:pPr>
      <w:r w:rsidRPr="00E4265B">
        <w:rPr>
          <w:rFonts w:ascii="Arial" w:hAnsi="Arial" w:cs="Arial"/>
          <w:b/>
          <w:bCs/>
          <w:sz w:val="22"/>
          <w:szCs w:val="22"/>
          <w:lang w:val="en-GB"/>
        </w:rPr>
        <w:t>A</w:t>
      </w:r>
      <w:r w:rsidR="00047AED" w:rsidRPr="00E4265B">
        <w:rPr>
          <w:rFonts w:ascii="Arial" w:hAnsi="Arial" w:cs="Arial"/>
          <w:b/>
          <w:bCs/>
          <w:sz w:val="22"/>
          <w:szCs w:val="22"/>
          <w:lang w:val="en-GB"/>
        </w:rPr>
        <w:t>10</w:t>
      </w:r>
      <w:r w:rsidRPr="00E4265B">
        <w:rPr>
          <w:rFonts w:ascii="Arial" w:hAnsi="Arial" w:cs="Arial"/>
          <w:b/>
          <w:bCs/>
          <w:sz w:val="22"/>
          <w:szCs w:val="22"/>
          <w:lang w:val="en-GB"/>
        </w:rPr>
        <w:t>.2.14</w:t>
      </w:r>
      <w:r w:rsidR="00384436" w:rsidRPr="00E4265B">
        <w:rPr>
          <w:rFonts w:ascii="Arial" w:hAnsi="Arial" w:cs="Arial"/>
          <w:bCs/>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must not double-count items. That is, for assets included as part of the eligible stock of HQLA, the associated cash inflows arising from such assets must not be counted as cash inflows for the purpose of calculating the net cash outflows over the next 30 calendar days. </w:t>
      </w:r>
    </w:p>
    <w:p w14:paraId="6524526F"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Cash Outflows </w:t>
      </w:r>
    </w:p>
    <w:p w14:paraId="3D7B48F0" w14:textId="4DDF198F" w:rsidR="00E22FF2" w:rsidRPr="00E4265B" w:rsidRDefault="00E22FF2" w:rsidP="00846F4F">
      <w:pPr>
        <w:pStyle w:val="A1List"/>
        <w:rPr>
          <w:rFonts w:ascii="Arial" w:hAnsi="Arial" w:cs="Arial"/>
          <w:sz w:val="22"/>
          <w:szCs w:val="22"/>
          <w:lang w:val="en-GB"/>
        </w:rPr>
      </w:pPr>
      <w:r w:rsidRPr="00E4265B">
        <w:rPr>
          <w:rFonts w:ascii="Arial" w:hAnsi="Arial" w:cs="Arial"/>
          <w:b/>
          <w:bCs/>
          <w:sz w:val="22"/>
          <w:szCs w:val="22"/>
          <w:lang w:val="en-GB"/>
        </w:rPr>
        <w:t>A</w:t>
      </w:r>
      <w:r w:rsidR="00047AED" w:rsidRPr="00E4265B">
        <w:rPr>
          <w:rFonts w:ascii="Arial" w:hAnsi="Arial" w:cs="Arial"/>
          <w:b/>
          <w:bCs/>
          <w:sz w:val="22"/>
          <w:szCs w:val="22"/>
          <w:lang w:val="en-GB"/>
        </w:rPr>
        <w:t>10</w:t>
      </w:r>
      <w:r w:rsidRPr="00E4265B">
        <w:rPr>
          <w:rFonts w:ascii="Arial" w:hAnsi="Arial" w:cs="Arial"/>
          <w:b/>
          <w:bCs/>
          <w:sz w:val="22"/>
          <w:szCs w:val="22"/>
          <w:lang w:val="en-GB"/>
        </w:rPr>
        <w:t>.2.15</w:t>
      </w:r>
      <w:r w:rsidR="00384436" w:rsidRPr="00E4265B">
        <w:rPr>
          <w:rFonts w:ascii="Arial" w:hAnsi="Arial" w:cs="Arial"/>
          <w:bCs/>
          <w:sz w:val="22"/>
          <w:szCs w:val="22"/>
          <w:lang w:val="en-GB"/>
        </w:rPr>
        <w:tab/>
      </w:r>
      <w:r w:rsidRPr="00E4265B">
        <w:rPr>
          <w:rFonts w:ascii="Arial" w:hAnsi="Arial" w:cs="Arial"/>
          <w:sz w:val="22"/>
          <w:szCs w:val="22"/>
          <w:lang w:val="en-GB"/>
        </w:rPr>
        <w:t>The following table specifies, for each of the various categories or types of liabilities and off-balance sheet commitments, the rates at which they are expected to run off or be drawn down for the purpose of calculating the LCR.</w:t>
      </w:r>
    </w:p>
    <w:p w14:paraId="5039B5B1" w14:textId="77777777" w:rsidR="00E22FF2" w:rsidRPr="00E4265B" w:rsidRDefault="00E22FF2" w:rsidP="008A6373">
      <w:pPr>
        <w:pStyle w:val="UK12Title2"/>
        <w:ind w:left="2160"/>
        <w:rPr>
          <w:rFonts w:ascii="Arial" w:hAnsi="Arial" w:cs="Arial"/>
          <w:b w:val="0"/>
          <w:bCs/>
          <w:sz w:val="22"/>
          <w:szCs w:val="22"/>
        </w:rPr>
      </w:pPr>
    </w:p>
    <w:tbl>
      <w:tblPr>
        <w:tblW w:w="827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01"/>
        <w:gridCol w:w="1969"/>
      </w:tblGrid>
      <w:tr w:rsidR="00872AE7" w:rsidRPr="00E4265B" w14:paraId="1D0C60CA" w14:textId="77777777" w:rsidTr="003A2A15">
        <w:trPr>
          <w:trHeight w:val="288"/>
          <w:tblHeader/>
        </w:trPr>
        <w:tc>
          <w:tcPr>
            <w:tcW w:w="8270" w:type="dxa"/>
            <w:gridSpan w:val="2"/>
            <w:shd w:val="clear" w:color="auto" w:fill="E6E6E6"/>
            <w:vAlign w:val="center"/>
            <w:hideMark/>
          </w:tcPr>
          <w:p w14:paraId="36420025" w14:textId="77777777" w:rsidR="00872AE7" w:rsidRPr="00E4265B" w:rsidRDefault="00872AE7" w:rsidP="006F763B">
            <w:pPr>
              <w:autoSpaceDE w:val="0"/>
              <w:autoSpaceDN w:val="0"/>
              <w:spacing w:before="40" w:afterLines="40" w:after="96" w:line="275" w:lineRule="exact"/>
              <w:ind w:left="3055" w:right="3036"/>
              <w:jc w:val="center"/>
              <w:rPr>
                <w:rFonts w:ascii="Arial" w:eastAsia="MS PGothic" w:hAnsi="Arial" w:cs="Arial"/>
                <w:b/>
                <w:sz w:val="22"/>
                <w:szCs w:val="22"/>
                <w:lang w:val="en-GB"/>
              </w:rPr>
            </w:pPr>
            <w:r w:rsidRPr="00E4265B">
              <w:rPr>
                <w:rFonts w:ascii="Arial" w:hAnsi="Arial" w:cs="Arial"/>
                <w:b/>
                <w:bCs/>
                <w:sz w:val="22"/>
                <w:szCs w:val="22"/>
                <w:lang w:val="en-GB"/>
              </w:rPr>
              <w:t>C</w:t>
            </w:r>
            <w:r w:rsidRPr="00E4265B">
              <w:rPr>
                <w:rFonts w:ascii="Arial" w:hAnsi="Arial" w:cs="Arial"/>
                <w:b/>
                <w:bCs/>
                <w:spacing w:val="1"/>
                <w:sz w:val="22"/>
                <w:szCs w:val="22"/>
                <w:lang w:val="en-GB"/>
              </w:rPr>
              <w:t>as</w:t>
            </w:r>
            <w:r w:rsidRPr="00E4265B">
              <w:rPr>
                <w:rFonts w:ascii="Arial" w:hAnsi="Arial" w:cs="Arial"/>
                <w:b/>
                <w:bCs/>
                <w:sz w:val="22"/>
                <w:szCs w:val="22"/>
                <w:lang w:val="en-GB"/>
              </w:rPr>
              <w:t>h Ou</w:t>
            </w:r>
            <w:r w:rsidRPr="00E4265B">
              <w:rPr>
                <w:rFonts w:ascii="Arial" w:hAnsi="Arial" w:cs="Arial"/>
                <w:b/>
                <w:bCs/>
                <w:spacing w:val="-1"/>
                <w:sz w:val="22"/>
                <w:szCs w:val="22"/>
                <w:lang w:val="en-GB"/>
              </w:rPr>
              <w:t>tf</w:t>
            </w:r>
            <w:r w:rsidRPr="00E4265B">
              <w:rPr>
                <w:rFonts w:ascii="Arial" w:hAnsi="Arial" w:cs="Arial"/>
                <w:b/>
                <w:bCs/>
                <w:sz w:val="22"/>
                <w:szCs w:val="22"/>
                <w:lang w:val="en-GB"/>
              </w:rPr>
              <w:t>l</w:t>
            </w:r>
            <w:r w:rsidRPr="00E4265B">
              <w:rPr>
                <w:rFonts w:ascii="Arial" w:hAnsi="Arial" w:cs="Arial"/>
                <w:b/>
                <w:bCs/>
                <w:spacing w:val="-3"/>
                <w:sz w:val="22"/>
                <w:szCs w:val="22"/>
                <w:lang w:val="en-GB"/>
              </w:rPr>
              <w:t>o</w:t>
            </w:r>
            <w:r w:rsidRPr="00E4265B">
              <w:rPr>
                <w:rFonts w:ascii="Arial" w:hAnsi="Arial" w:cs="Arial"/>
                <w:b/>
                <w:bCs/>
                <w:spacing w:val="3"/>
                <w:sz w:val="22"/>
                <w:szCs w:val="22"/>
                <w:lang w:val="en-GB"/>
              </w:rPr>
              <w:t>w</w:t>
            </w:r>
            <w:r w:rsidRPr="00E4265B">
              <w:rPr>
                <w:rFonts w:ascii="Arial" w:hAnsi="Arial" w:cs="Arial"/>
                <w:b/>
                <w:bCs/>
                <w:sz w:val="22"/>
                <w:szCs w:val="22"/>
                <w:lang w:val="en-GB"/>
              </w:rPr>
              <w:t>s</w:t>
            </w:r>
          </w:p>
        </w:tc>
      </w:tr>
      <w:tr w:rsidR="00872AE7" w:rsidRPr="00E4265B" w14:paraId="2B00A9EB" w14:textId="77777777" w:rsidTr="003A2A15">
        <w:trPr>
          <w:trHeight w:val="288"/>
          <w:tblHeader/>
        </w:trPr>
        <w:tc>
          <w:tcPr>
            <w:tcW w:w="6231" w:type="dxa"/>
            <w:shd w:val="clear" w:color="auto" w:fill="D9D9D9" w:themeFill="background1" w:themeFillShade="D9"/>
            <w:vAlign w:val="center"/>
            <w:hideMark/>
          </w:tcPr>
          <w:p w14:paraId="7EE9D496" w14:textId="77777777" w:rsidR="00872AE7" w:rsidRPr="00E4265B" w:rsidRDefault="00872AE7" w:rsidP="006F763B">
            <w:pPr>
              <w:autoSpaceDE w:val="0"/>
              <w:autoSpaceDN w:val="0"/>
              <w:spacing w:before="40" w:afterLines="40" w:after="96" w:line="273" w:lineRule="exact"/>
              <w:ind w:left="2927" w:right="2910"/>
              <w:jc w:val="center"/>
              <w:rPr>
                <w:rFonts w:ascii="Arial" w:eastAsia="MS PGothic" w:hAnsi="Arial" w:cs="Arial"/>
                <w:b/>
                <w:sz w:val="22"/>
                <w:szCs w:val="22"/>
                <w:lang w:val="en-GB"/>
              </w:rPr>
            </w:pPr>
            <w:r w:rsidRPr="00E4265B">
              <w:rPr>
                <w:rFonts w:ascii="Arial" w:hAnsi="Arial" w:cs="Arial"/>
                <w:b/>
                <w:sz w:val="22"/>
                <w:szCs w:val="22"/>
                <w:lang w:val="en-GB"/>
              </w:rPr>
              <w:t>It</w:t>
            </w:r>
            <w:r w:rsidRPr="00E4265B">
              <w:rPr>
                <w:rFonts w:ascii="Arial" w:hAnsi="Arial" w:cs="Arial"/>
                <w:b/>
                <w:spacing w:val="1"/>
                <w:sz w:val="22"/>
                <w:szCs w:val="22"/>
                <w:lang w:val="en-GB"/>
              </w:rPr>
              <w:t>e</w:t>
            </w:r>
            <w:r w:rsidRPr="00E4265B">
              <w:rPr>
                <w:rFonts w:ascii="Arial" w:hAnsi="Arial" w:cs="Arial"/>
                <w:b/>
                <w:sz w:val="22"/>
                <w:szCs w:val="22"/>
                <w:lang w:val="en-GB"/>
              </w:rPr>
              <w:t>m</w:t>
            </w:r>
          </w:p>
        </w:tc>
        <w:tc>
          <w:tcPr>
            <w:tcW w:w="2039" w:type="dxa"/>
            <w:shd w:val="clear" w:color="auto" w:fill="D9D9D9" w:themeFill="background1" w:themeFillShade="D9"/>
            <w:vAlign w:val="center"/>
            <w:hideMark/>
          </w:tcPr>
          <w:p w14:paraId="6B8D68F7" w14:textId="77777777" w:rsidR="00872AE7" w:rsidRPr="00E4265B" w:rsidRDefault="00872AE7" w:rsidP="006F763B">
            <w:pPr>
              <w:autoSpaceDE w:val="0"/>
              <w:autoSpaceDN w:val="0"/>
              <w:spacing w:before="40" w:afterLines="40" w:after="96"/>
              <w:ind w:right="-20"/>
              <w:jc w:val="center"/>
              <w:rPr>
                <w:rFonts w:ascii="Arial" w:eastAsia="MS PGothic" w:hAnsi="Arial" w:cs="Arial"/>
                <w:b/>
                <w:sz w:val="22"/>
                <w:szCs w:val="22"/>
                <w:lang w:val="en-GB"/>
              </w:rPr>
            </w:pPr>
            <w:r w:rsidRPr="00E4265B">
              <w:rPr>
                <w:rFonts w:ascii="Arial" w:hAnsi="Arial" w:cs="Arial"/>
                <w:b/>
                <w:spacing w:val="1"/>
                <w:sz w:val="22"/>
                <w:szCs w:val="22"/>
                <w:lang w:val="en-GB"/>
              </w:rPr>
              <w:t>F</w:t>
            </w:r>
            <w:r w:rsidRPr="00E4265B">
              <w:rPr>
                <w:rFonts w:ascii="Arial" w:hAnsi="Arial" w:cs="Arial"/>
                <w:b/>
                <w:sz w:val="22"/>
                <w:szCs w:val="22"/>
                <w:lang w:val="en-GB"/>
              </w:rPr>
              <w:t>ac</w:t>
            </w:r>
            <w:r w:rsidRPr="00E4265B">
              <w:rPr>
                <w:rFonts w:ascii="Arial" w:hAnsi="Arial" w:cs="Arial"/>
                <w:b/>
                <w:spacing w:val="1"/>
                <w:sz w:val="22"/>
                <w:szCs w:val="22"/>
                <w:lang w:val="en-GB"/>
              </w:rPr>
              <w:t>to</w:t>
            </w:r>
            <w:r w:rsidRPr="00E4265B">
              <w:rPr>
                <w:rFonts w:ascii="Arial" w:hAnsi="Arial" w:cs="Arial"/>
                <w:b/>
                <w:sz w:val="22"/>
                <w:szCs w:val="22"/>
                <w:lang w:val="en-GB"/>
              </w:rPr>
              <w:t>r</w:t>
            </w:r>
          </w:p>
        </w:tc>
      </w:tr>
      <w:tr w:rsidR="00872AE7" w:rsidRPr="00E4265B" w14:paraId="71783408" w14:textId="77777777" w:rsidTr="00872AE7">
        <w:trPr>
          <w:trHeight w:val="288"/>
        </w:trPr>
        <w:tc>
          <w:tcPr>
            <w:tcW w:w="8270" w:type="dxa"/>
            <w:gridSpan w:val="2"/>
            <w:tcBorders>
              <w:bottom w:val="single" w:sz="4" w:space="0" w:color="auto"/>
            </w:tcBorders>
            <w:vAlign w:val="center"/>
            <w:hideMark/>
          </w:tcPr>
          <w:p w14:paraId="53835C49" w14:textId="77777777" w:rsidR="00872AE7" w:rsidRPr="00E4265B" w:rsidRDefault="00872AE7" w:rsidP="0019712D">
            <w:pPr>
              <w:pStyle w:val="ListParagraph"/>
              <w:numPr>
                <w:ilvl w:val="0"/>
                <w:numId w:val="76"/>
              </w:numPr>
              <w:autoSpaceDE w:val="0"/>
              <w:autoSpaceDN w:val="0"/>
              <w:spacing w:before="40" w:afterLines="40" w:after="96" w:line="229" w:lineRule="exact"/>
              <w:ind w:right="458"/>
              <w:rPr>
                <w:rFonts w:ascii="Arial" w:hAnsi="Arial" w:cs="Arial"/>
                <w:b/>
                <w:sz w:val="22"/>
                <w:szCs w:val="22"/>
                <w:lang w:val="en-GB"/>
              </w:rPr>
            </w:pPr>
            <w:r w:rsidRPr="00E4265B">
              <w:rPr>
                <w:rFonts w:ascii="Arial" w:hAnsi="Arial" w:cs="Arial"/>
                <w:b/>
                <w:sz w:val="22"/>
                <w:szCs w:val="22"/>
                <w:lang w:val="en-GB"/>
              </w:rPr>
              <w:t>Retail Deposits:</w:t>
            </w:r>
          </w:p>
        </w:tc>
      </w:tr>
      <w:tr w:rsidR="00872AE7" w:rsidRPr="00E4265B" w14:paraId="2F9754FC" w14:textId="77777777" w:rsidTr="00872AE7">
        <w:trPr>
          <w:trHeight w:val="288"/>
        </w:trPr>
        <w:tc>
          <w:tcPr>
            <w:tcW w:w="6231" w:type="dxa"/>
            <w:tcBorders>
              <w:bottom w:val="nil"/>
              <w:right w:val="single" w:sz="4" w:space="0" w:color="auto"/>
            </w:tcBorders>
            <w:vAlign w:val="center"/>
          </w:tcPr>
          <w:p w14:paraId="2B711D1B" w14:textId="77777777" w:rsidR="00872AE7" w:rsidRPr="00E4265B" w:rsidRDefault="00872AE7" w:rsidP="006F763B">
            <w:pPr>
              <w:autoSpaceDE w:val="0"/>
              <w:autoSpaceDN w:val="0"/>
              <w:spacing w:before="40" w:afterLines="40" w:after="96" w:line="229" w:lineRule="exact"/>
              <w:ind w:left="440" w:right="-20"/>
              <w:rPr>
                <w:rFonts w:ascii="Arial" w:hAnsi="Arial" w:cs="Arial"/>
                <w:sz w:val="22"/>
                <w:szCs w:val="22"/>
                <w:lang w:val="en-GB"/>
              </w:rPr>
            </w:pPr>
            <w:r w:rsidRPr="00E4265B">
              <w:rPr>
                <w:rFonts w:ascii="Arial" w:hAnsi="Arial" w:cs="Arial"/>
                <w:sz w:val="22"/>
                <w:szCs w:val="22"/>
                <w:lang w:val="en-GB"/>
              </w:rPr>
              <w:t>De</w:t>
            </w:r>
            <w:r w:rsidRPr="00E4265B">
              <w:rPr>
                <w:rFonts w:ascii="Arial" w:hAnsi="Arial" w:cs="Arial"/>
                <w:spacing w:val="4"/>
                <w:sz w:val="22"/>
                <w:szCs w:val="22"/>
                <w:lang w:val="en-GB"/>
              </w:rPr>
              <w:t>m</w:t>
            </w:r>
            <w:r w:rsidRPr="00E4265B">
              <w:rPr>
                <w:rFonts w:ascii="Arial" w:hAnsi="Arial" w:cs="Arial"/>
                <w:sz w:val="22"/>
                <w:szCs w:val="22"/>
                <w:lang w:val="en-GB"/>
              </w:rPr>
              <w:t>and</w:t>
            </w:r>
            <w:r w:rsidRPr="00E4265B">
              <w:rPr>
                <w:rFonts w:ascii="Arial" w:hAnsi="Arial" w:cs="Arial"/>
                <w:spacing w:val="-9"/>
                <w:sz w:val="22"/>
                <w:szCs w:val="22"/>
                <w:lang w:val="en-GB"/>
              </w:rPr>
              <w:t xml:space="preserve"> </w:t>
            </w:r>
            <w:r w:rsidRPr="00E4265B">
              <w:rPr>
                <w:rFonts w:ascii="Arial" w:hAnsi="Arial" w:cs="Arial"/>
                <w:sz w:val="22"/>
                <w:szCs w:val="22"/>
                <w:lang w:val="en-GB"/>
              </w:rPr>
              <w:t>Deposit</w:t>
            </w:r>
            <w:r w:rsidRPr="00E4265B">
              <w:rPr>
                <w:rFonts w:ascii="Arial" w:hAnsi="Arial" w:cs="Arial"/>
                <w:spacing w:val="-7"/>
                <w:sz w:val="22"/>
                <w:szCs w:val="22"/>
                <w:lang w:val="en-GB"/>
              </w:rPr>
              <w:t xml:space="preserve"> </w:t>
            </w:r>
            <w:r w:rsidRPr="00E4265B">
              <w:rPr>
                <w:rFonts w:ascii="Arial" w:hAnsi="Arial" w:cs="Arial"/>
                <w:spacing w:val="2"/>
                <w:sz w:val="22"/>
                <w:szCs w:val="22"/>
                <w:lang w:val="en-GB"/>
              </w:rPr>
              <w:t>a</w:t>
            </w:r>
            <w:r w:rsidRPr="00E4265B">
              <w:rPr>
                <w:rFonts w:ascii="Arial" w:hAnsi="Arial" w:cs="Arial"/>
                <w:sz w:val="22"/>
                <w:szCs w:val="22"/>
                <w:lang w:val="en-GB"/>
              </w:rPr>
              <w:t>nd</w:t>
            </w:r>
            <w:r w:rsidRPr="00E4265B">
              <w:rPr>
                <w:rFonts w:ascii="Arial" w:hAnsi="Arial" w:cs="Arial"/>
                <w:spacing w:val="-4"/>
                <w:sz w:val="22"/>
                <w:szCs w:val="22"/>
                <w:lang w:val="en-GB"/>
              </w:rPr>
              <w:t xml:space="preserve"> </w:t>
            </w:r>
            <w:r w:rsidRPr="00E4265B">
              <w:rPr>
                <w:rFonts w:ascii="Arial" w:hAnsi="Arial" w:cs="Arial"/>
                <w:spacing w:val="2"/>
                <w:sz w:val="22"/>
                <w:szCs w:val="22"/>
                <w:lang w:val="en-GB"/>
              </w:rPr>
              <w:t>t</w:t>
            </w:r>
            <w:r w:rsidRPr="00E4265B">
              <w:rPr>
                <w:rFonts w:ascii="Arial" w:hAnsi="Arial" w:cs="Arial"/>
                <w:sz w:val="22"/>
                <w:szCs w:val="22"/>
                <w:lang w:val="en-GB"/>
              </w:rPr>
              <w:t>e</w:t>
            </w:r>
            <w:r w:rsidRPr="00E4265B">
              <w:rPr>
                <w:rFonts w:ascii="Arial" w:hAnsi="Arial" w:cs="Arial"/>
                <w:spacing w:val="1"/>
                <w:sz w:val="22"/>
                <w:szCs w:val="22"/>
                <w:lang w:val="en-GB"/>
              </w:rPr>
              <w:t>r</w:t>
            </w:r>
            <w:r w:rsidRPr="00E4265B">
              <w:rPr>
                <w:rFonts w:ascii="Arial" w:hAnsi="Arial" w:cs="Arial"/>
                <w:sz w:val="22"/>
                <w:szCs w:val="22"/>
                <w:lang w:val="en-GB"/>
              </w:rPr>
              <w:t>m</w:t>
            </w:r>
            <w:r w:rsidRPr="00E4265B">
              <w:rPr>
                <w:rFonts w:ascii="Arial" w:hAnsi="Arial" w:cs="Arial"/>
                <w:spacing w:val="-2"/>
                <w:sz w:val="22"/>
                <w:szCs w:val="22"/>
                <w:lang w:val="en-GB"/>
              </w:rPr>
              <w:t xml:space="preserve"> </w:t>
            </w:r>
            <w:r w:rsidRPr="00E4265B">
              <w:rPr>
                <w:rFonts w:ascii="Arial" w:hAnsi="Arial" w:cs="Arial"/>
                <w:sz w:val="22"/>
                <w:szCs w:val="22"/>
                <w:lang w:val="en-GB"/>
              </w:rPr>
              <w:t>Deposits</w:t>
            </w:r>
            <w:r w:rsidRPr="00E4265B">
              <w:rPr>
                <w:rFonts w:ascii="Arial" w:hAnsi="Arial" w:cs="Arial"/>
                <w:spacing w:val="-6"/>
                <w:sz w:val="22"/>
                <w:szCs w:val="22"/>
                <w:lang w:val="en-GB"/>
              </w:rPr>
              <w:t xml:space="preserve"> </w:t>
            </w:r>
            <w:r w:rsidRPr="00E4265B">
              <w:rPr>
                <w:rFonts w:ascii="Arial" w:hAnsi="Arial" w:cs="Arial"/>
                <w:spacing w:val="1"/>
                <w:sz w:val="22"/>
                <w:szCs w:val="22"/>
                <w:lang w:val="en-GB"/>
              </w:rPr>
              <w:t>(</w:t>
            </w:r>
            <w:r w:rsidRPr="00E4265B">
              <w:rPr>
                <w:rFonts w:ascii="Arial" w:hAnsi="Arial" w:cs="Arial"/>
                <w:spacing w:val="-1"/>
                <w:sz w:val="22"/>
                <w:szCs w:val="22"/>
                <w:lang w:val="en-GB"/>
              </w:rPr>
              <w:t>l</w:t>
            </w:r>
            <w:r w:rsidRPr="00E4265B">
              <w:rPr>
                <w:rFonts w:ascii="Arial" w:hAnsi="Arial" w:cs="Arial"/>
                <w:sz w:val="22"/>
                <w:szCs w:val="22"/>
                <w:lang w:val="en-GB"/>
              </w:rPr>
              <w:t>e</w:t>
            </w:r>
            <w:r w:rsidRPr="00E4265B">
              <w:rPr>
                <w:rFonts w:ascii="Arial" w:hAnsi="Arial" w:cs="Arial"/>
                <w:spacing w:val="1"/>
                <w:sz w:val="22"/>
                <w:szCs w:val="22"/>
                <w:lang w:val="en-GB"/>
              </w:rPr>
              <w:t>s</w:t>
            </w:r>
            <w:r w:rsidRPr="00E4265B">
              <w:rPr>
                <w:rFonts w:ascii="Arial" w:hAnsi="Arial" w:cs="Arial"/>
                <w:sz w:val="22"/>
                <w:szCs w:val="22"/>
                <w:lang w:val="en-GB"/>
              </w:rPr>
              <w:t>s</w:t>
            </w:r>
            <w:r w:rsidRPr="00E4265B">
              <w:rPr>
                <w:rFonts w:ascii="Arial" w:hAnsi="Arial" w:cs="Arial"/>
                <w:spacing w:val="-3"/>
                <w:sz w:val="22"/>
                <w:szCs w:val="22"/>
                <w:lang w:val="en-GB"/>
              </w:rPr>
              <w:t xml:space="preserve"> </w:t>
            </w:r>
            <w:r w:rsidRPr="00E4265B">
              <w:rPr>
                <w:rFonts w:ascii="Arial" w:hAnsi="Arial" w:cs="Arial"/>
                <w:sz w:val="22"/>
                <w:szCs w:val="22"/>
                <w:lang w:val="en-GB"/>
              </w:rPr>
              <w:t>t</w:t>
            </w:r>
            <w:r w:rsidRPr="00E4265B">
              <w:rPr>
                <w:rFonts w:ascii="Arial" w:hAnsi="Arial" w:cs="Arial"/>
                <w:spacing w:val="2"/>
                <w:sz w:val="22"/>
                <w:szCs w:val="22"/>
                <w:lang w:val="en-GB"/>
              </w:rPr>
              <w:t>h</w:t>
            </w:r>
            <w:r w:rsidRPr="00E4265B">
              <w:rPr>
                <w:rFonts w:ascii="Arial" w:hAnsi="Arial" w:cs="Arial"/>
                <w:sz w:val="22"/>
                <w:szCs w:val="22"/>
                <w:lang w:val="en-GB"/>
              </w:rPr>
              <w:t>an</w:t>
            </w:r>
            <w:r w:rsidRPr="00E4265B">
              <w:rPr>
                <w:rFonts w:ascii="Arial" w:hAnsi="Arial" w:cs="Arial"/>
                <w:spacing w:val="-5"/>
                <w:sz w:val="22"/>
                <w:szCs w:val="22"/>
                <w:lang w:val="en-GB"/>
              </w:rPr>
              <w:t xml:space="preserve"> </w:t>
            </w:r>
            <w:r w:rsidRPr="00E4265B">
              <w:rPr>
                <w:rFonts w:ascii="Arial" w:hAnsi="Arial" w:cs="Arial"/>
                <w:spacing w:val="2"/>
                <w:sz w:val="22"/>
                <w:szCs w:val="22"/>
                <w:lang w:val="en-GB"/>
              </w:rPr>
              <w:t>3</w:t>
            </w:r>
            <w:r w:rsidRPr="00E4265B">
              <w:rPr>
                <w:rFonts w:ascii="Arial" w:hAnsi="Arial" w:cs="Arial"/>
                <w:sz w:val="22"/>
                <w:szCs w:val="22"/>
                <w:lang w:val="en-GB"/>
              </w:rPr>
              <w:t>0</w:t>
            </w:r>
            <w:r w:rsidRPr="00E4265B">
              <w:rPr>
                <w:rFonts w:ascii="Arial" w:hAnsi="Arial" w:cs="Arial"/>
                <w:spacing w:val="-3"/>
                <w:sz w:val="22"/>
                <w:szCs w:val="22"/>
                <w:lang w:val="en-GB"/>
              </w:rPr>
              <w:t xml:space="preserve"> </w:t>
            </w:r>
            <w:r w:rsidRPr="00E4265B">
              <w:rPr>
                <w:rFonts w:ascii="Arial" w:hAnsi="Arial" w:cs="Arial"/>
                <w:spacing w:val="2"/>
                <w:sz w:val="22"/>
                <w:szCs w:val="22"/>
                <w:lang w:val="en-GB"/>
              </w:rPr>
              <w:t>da</w:t>
            </w:r>
            <w:r w:rsidRPr="00E4265B">
              <w:rPr>
                <w:rFonts w:ascii="Arial" w:hAnsi="Arial" w:cs="Arial"/>
                <w:spacing w:val="-4"/>
                <w:sz w:val="22"/>
                <w:szCs w:val="22"/>
                <w:lang w:val="en-GB"/>
              </w:rPr>
              <w:t>y</w:t>
            </w:r>
            <w:r w:rsidRPr="00E4265B">
              <w:rPr>
                <w:rFonts w:ascii="Arial" w:hAnsi="Arial" w:cs="Arial"/>
                <w:sz w:val="22"/>
                <w:szCs w:val="22"/>
                <w:lang w:val="en-GB"/>
              </w:rPr>
              <w:t>s</w:t>
            </w:r>
            <w:r w:rsidRPr="00E4265B">
              <w:rPr>
                <w:rFonts w:ascii="Arial" w:hAnsi="Arial" w:cs="Arial"/>
                <w:spacing w:val="-1"/>
                <w:sz w:val="22"/>
                <w:szCs w:val="22"/>
                <w:lang w:val="en-GB"/>
              </w:rPr>
              <w:t xml:space="preserve"> </w:t>
            </w:r>
            <w:r w:rsidRPr="00E4265B">
              <w:rPr>
                <w:rFonts w:ascii="Arial" w:hAnsi="Arial" w:cs="Arial"/>
                <w:spacing w:val="4"/>
                <w:sz w:val="22"/>
                <w:szCs w:val="22"/>
                <w:lang w:val="en-GB"/>
              </w:rPr>
              <w:t>m</w:t>
            </w:r>
            <w:r w:rsidRPr="00E4265B">
              <w:rPr>
                <w:rFonts w:ascii="Arial" w:hAnsi="Arial" w:cs="Arial"/>
                <w:sz w:val="22"/>
                <w:szCs w:val="22"/>
                <w:lang w:val="en-GB"/>
              </w:rPr>
              <w:t>atu</w:t>
            </w:r>
            <w:r w:rsidRPr="00E4265B">
              <w:rPr>
                <w:rFonts w:ascii="Arial" w:hAnsi="Arial" w:cs="Arial"/>
                <w:spacing w:val="1"/>
                <w:sz w:val="22"/>
                <w:szCs w:val="22"/>
                <w:lang w:val="en-GB"/>
              </w:rPr>
              <w:t>r</w:t>
            </w:r>
            <w:r w:rsidRPr="00E4265B">
              <w:rPr>
                <w:rFonts w:ascii="Arial" w:hAnsi="Arial" w:cs="Arial"/>
                <w:spacing w:val="-1"/>
                <w:sz w:val="22"/>
                <w:szCs w:val="22"/>
                <w:lang w:val="en-GB"/>
              </w:rPr>
              <w:t>i</w:t>
            </w:r>
            <w:r w:rsidRPr="00E4265B">
              <w:rPr>
                <w:rFonts w:ascii="Arial" w:hAnsi="Arial" w:cs="Arial"/>
                <w:spacing w:val="2"/>
                <w:sz w:val="22"/>
                <w:szCs w:val="22"/>
                <w:lang w:val="en-GB"/>
              </w:rPr>
              <w:t>t</w:t>
            </w:r>
            <w:r w:rsidRPr="00E4265B">
              <w:rPr>
                <w:rFonts w:ascii="Arial" w:hAnsi="Arial" w:cs="Arial"/>
                <w:spacing w:val="-6"/>
                <w:sz w:val="22"/>
                <w:szCs w:val="22"/>
                <w:lang w:val="en-GB"/>
              </w:rPr>
              <w:t>y</w:t>
            </w:r>
            <w:r w:rsidRPr="00E4265B">
              <w:rPr>
                <w:rFonts w:ascii="Arial" w:hAnsi="Arial" w:cs="Arial"/>
                <w:spacing w:val="1"/>
                <w:sz w:val="22"/>
                <w:szCs w:val="22"/>
                <w:lang w:val="en-GB"/>
              </w:rPr>
              <w:t>)</w:t>
            </w:r>
          </w:p>
        </w:tc>
        <w:tc>
          <w:tcPr>
            <w:tcW w:w="2039" w:type="dxa"/>
            <w:tcBorders>
              <w:left w:val="single" w:sz="4" w:space="0" w:color="auto"/>
              <w:bottom w:val="nil"/>
            </w:tcBorders>
            <w:vAlign w:val="center"/>
          </w:tcPr>
          <w:p w14:paraId="2D765493"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p>
        </w:tc>
      </w:tr>
      <w:tr w:rsidR="00872AE7" w:rsidRPr="00E4265B" w14:paraId="19A4A9D0" w14:textId="77777777" w:rsidTr="00872AE7">
        <w:trPr>
          <w:trHeight w:val="288"/>
        </w:trPr>
        <w:tc>
          <w:tcPr>
            <w:tcW w:w="6231" w:type="dxa"/>
            <w:tcBorders>
              <w:top w:val="nil"/>
              <w:bottom w:val="nil"/>
              <w:right w:val="single" w:sz="4" w:space="0" w:color="auto"/>
            </w:tcBorders>
            <w:vAlign w:val="center"/>
          </w:tcPr>
          <w:p w14:paraId="5BA40942"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z w:val="22"/>
                <w:szCs w:val="22"/>
                <w:lang w:val="en-GB"/>
              </w:rPr>
            </w:pPr>
            <w:r w:rsidRPr="00E4265B">
              <w:rPr>
                <w:rFonts w:ascii="Arial" w:hAnsi="Arial" w:cs="Arial"/>
                <w:spacing w:val="-1"/>
                <w:sz w:val="22"/>
                <w:szCs w:val="22"/>
                <w:lang w:val="en-GB"/>
              </w:rPr>
              <w:t>S</w:t>
            </w:r>
            <w:r w:rsidRPr="00E4265B">
              <w:rPr>
                <w:rFonts w:ascii="Arial" w:hAnsi="Arial" w:cs="Arial"/>
                <w:spacing w:val="2"/>
                <w:sz w:val="22"/>
                <w:szCs w:val="22"/>
                <w:lang w:val="en-GB"/>
              </w:rPr>
              <w:t>t</w:t>
            </w:r>
            <w:r w:rsidRPr="00E4265B">
              <w:rPr>
                <w:rFonts w:ascii="Arial" w:hAnsi="Arial" w:cs="Arial"/>
                <w:sz w:val="22"/>
                <w:szCs w:val="22"/>
                <w:lang w:val="en-GB"/>
              </w:rPr>
              <w:t>a</w:t>
            </w:r>
            <w:r w:rsidRPr="00E4265B">
              <w:rPr>
                <w:rFonts w:ascii="Arial" w:hAnsi="Arial" w:cs="Arial"/>
                <w:spacing w:val="2"/>
                <w:sz w:val="22"/>
                <w:szCs w:val="22"/>
                <w:lang w:val="en-GB"/>
              </w:rPr>
              <w:t>b</w:t>
            </w:r>
            <w:r w:rsidRPr="00E4265B">
              <w:rPr>
                <w:rFonts w:ascii="Arial" w:hAnsi="Arial" w:cs="Arial"/>
                <w:spacing w:val="-1"/>
                <w:sz w:val="22"/>
                <w:szCs w:val="22"/>
                <w:lang w:val="en-GB"/>
              </w:rPr>
              <w:t>l</w:t>
            </w:r>
            <w:r w:rsidRPr="00E4265B">
              <w:rPr>
                <w:rFonts w:ascii="Arial" w:hAnsi="Arial" w:cs="Arial"/>
                <w:sz w:val="22"/>
                <w:szCs w:val="22"/>
                <w:lang w:val="en-GB"/>
              </w:rPr>
              <w:t>e</w:t>
            </w:r>
            <w:r w:rsidRPr="00E4265B">
              <w:rPr>
                <w:rFonts w:ascii="Arial" w:hAnsi="Arial" w:cs="Arial"/>
                <w:spacing w:val="-7"/>
                <w:sz w:val="22"/>
                <w:szCs w:val="22"/>
                <w:lang w:val="en-GB"/>
              </w:rPr>
              <w:t xml:space="preserve"> </w:t>
            </w:r>
            <w:r w:rsidRPr="00E4265B">
              <w:rPr>
                <w:rFonts w:ascii="Arial" w:hAnsi="Arial" w:cs="Arial"/>
                <w:spacing w:val="2"/>
                <w:sz w:val="22"/>
                <w:szCs w:val="22"/>
                <w:lang w:val="en-GB"/>
              </w:rPr>
              <w:t>Deposits</w:t>
            </w:r>
          </w:p>
        </w:tc>
        <w:tc>
          <w:tcPr>
            <w:tcW w:w="2039" w:type="dxa"/>
            <w:tcBorders>
              <w:top w:val="nil"/>
              <w:left w:val="single" w:sz="4" w:space="0" w:color="auto"/>
              <w:bottom w:val="nil"/>
            </w:tcBorders>
            <w:vAlign w:val="center"/>
          </w:tcPr>
          <w:p w14:paraId="3F040E48"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5%</w:t>
            </w:r>
          </w:p>
        </w:tc>
      </w:tr>
      <w:tr w:rsidR="00872AE7" w:rsidRPr="00E4265B" w14:paraId="007D69CA" w14:textId="77777777" w:rsidTr="00872AE7">
        <w:trPr>
          <w:trHeight w:val="288"/>
        </w:trPr>
        <w:tc>
          <w:tcPr>
            <w:tcW w:w="6231" w:type="dxa"/>
            <w:tcBorders>
              <w:top w:val="nil"/>
              <w:right w:val="single" w:sz="4" w:space="0" w:color="auto"/>
            </w:tcBorders>
            <w:vAlign w:val="center"/>
          </w:tcPr>
          <w:p w14:paraId="5D13593E"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z w:val="22"/>
                <w:szCs w:val="22"/>
                <w:lang w:val="en-GB"/>
              </w:rPr>
            </w:pPr>
            <w:r w:rsidRPr="00E4265B">
              <w:rPr>
                <w:rFonts w:ascii="Arial" w:hAnsi="Arial" w:cs="Arial"/>
                <w:spacing w:val="-1"/>
                <w:sz w:val="22"/>
                <w:szCs w:val="22"/>
                <w:lang w:val="en-GB"/>
              </w:rPr>
              <w:t>Less stable retail Deposits</w:t>
            </w:r>
          </w:p>
        </w:tc>
        <w:tc>
          <w:tcPr>
            <w:tcW w:w="2039" w:type="dxa"/>
            <w:tcBorders>
              <w:top w:val="nil"/>
              <w:left w:val="single" w:sz="4" w:space="0" w:color="auto"/>
            </w:tcBorders>
            <w:vAlign w:val="center"/>
          </w:tcPr>
          <w:p w14:paraId="4A5380B5"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w:t>
            </w:r>
          </w:p>
        </w:tc>
      </w:tr>
      <w:tr w:rsidR="00872AE7" w:rsidRPr="00E4265B" w14:paraId="00014C41" w14:textId="77777777" w:rsidTr="00872AE7">
        <w:trPr>
          <w:trHeight w:val="288"/>
        </w:trPr>
        <w:tc>
          <w:tcPr>
            <w:tcW w:w="6231" w:type="dxa"/>
            <w:vAlign w:val="center"/>
            <w:hideMark/>
          </w:tcPr>
          <w:p w14:paraId="6650092D" w14:textId="77777777" w:rsidR="00872AE7" w:rsidRPr="00E4265B" w:rsidRDefault="00872AE7" w:rsidP="006F763B">
            <w:pPr>
              <w:autoSpaceDE w:val="0"/>
              <w:autoSpaceDN w:val="0"/>
              <w:spacing w:before="40" w:afterLines="40" w:after="96" w:line="229" w:lineRule="exact"/>
              <w:ind w:left="440" w:right="-20"/>
              <w:rPr>
                <w:rFonts w:ascii="Arial" w:eastAsia="MS PGothic" w:hAnsi="Arial" w:cs="Arial"/>
                <w:sz w:val="22"/>
                <w:szCs w:val="22"/>
                <w:lang w:val="en-GB"/>
              </w:rPr>
            </w:pPr>
            <w:r w:rsidRPr="00E4265B">
              <w:rPr>
                <w:rFonts w:ascii="Arial" w:hAnsi="Arial" w:cs="Arial"/>
                <w:spacing w:val="3"/>
                <w:sz w:val="22"/>
                <w:szCs w:val="22"/>
                <w:lang w:val="en-GB"/>
              </w:rPr>
              <w:t>T</w:t>
            </w:r>
            <w:r w:rsidRPr="00E4265B">
              <w:rPr>
                <w:rFonts w:ascii="Arial" w:hAnsi="Arial" w:cs="Arial"/>
                <w:sz w:val="22"/>
                <w:szCs w:val="22"/>
                <w:lang w:val="en-GB"/>
              </w:rPr>
              <w:t>e</w:t>
            </w:r>
            <w:r w:rsidRPr="00E4265B">
              <w:rPr>
                <w:rFonts w:ascii="Arial" w:hAnsi="Arial" w:cs="Arial"/>
                <w:spacing w:val="-2"/>
                <w:sz w:val="22"/>
                <w:szCs w:val="22"/>
                <w:lang w:val="en-GB"/>
              </w:rPr>
              <w:t>r</w:t>
            </w:r>
            <w:r w:rsidRPr="00E4265B">
              <w:rPr>
                <w:rFonts w:ascii="Arial" w:hAnsi="Arial" w:cs="Arial"/>
                <w:sz w:val="22"/>
                <w:szCs w:val="22"/>
                <w:lang w:val="en-GB"/>
              </w:rPr>
              <w:t>m</w:t>
            </w:r>
            <w:r w:rsidRPr="00E4265B">
              <w:rPr>
                <w:rFonts w:ascii="Arial" w:hAnsi="Arial" w:cs="Arial"/>
                <w:spacing w:val="-1"/>
                <w:sz w:val="22"/>
                <w:szCs w:val="22"/>
                <w:lang w:val="en-GB"/>
              </w:rPr>
              <w:t xml:space="preserve"> </w:t>
            </w:r>
            <w:r w:rsidRPr="00E4265B">
              <w:rPr>
                <w:rFonts w:ascii="Arial" w:hAnsi="Arial" w:cs="Arial"/>
                <w:sz w:val="22"/>
                <w:szCs w:val="22"/>
                <w:lang w:val="en-GB"/>
              </w:rPr>
              <w:t>Deposits</w:t>
            </w:r>
            <w:r w:rsidRPr="00E4265B">
              <w:rPr>
                <w:rFonts w:ascii="Arial" w:hAnsi="Arial" w:cs="Arial"/>
                <w:spacing w:val="-6"/>
                <w:sz w:val="22"/>
                <w:szCs w:val="22"/>
                <w:lang w:val="en-GB"/>
              </w:rPr>
              <w:t xml:space="preserve"> </w:t>
            </w:r>
            <w:r w:rsidRPr="00E4265B">
              <w:rPr>
                <w:rFonts w:ascii="Arial" w:hAnsi="Arial" w:cs="Arial"/>
                <w:sz w:val="22"/>
                <w:szCs w:val="22"/>
                <w:lang w:val="en-GB"/>
              </w:rPr>
              <w:t>w</w:t>
            </w:r>
            <w:r w:rsidRPr="00E4265B">
              <w:rPr>
                <w:rFonts w:ascii="Arial" w:hAnsi="Arial" w:cs="Arial"/>
                <w:spacing w:val="-1"/>
                <w:sz w:val="22"/>
                <w:szCs w:val="22"/>
                <w:lang w:val="en-GB"/>
              </w:rPr>
              <w:t>i</w:t>
            </w:r>
            <w:r w:rsidRPr="00E4265B">
              <w:rPr>
                <w:rFonts w:ascii="Arial" w:hAnsi="Arial" w:cs="Arial"/>
                <w:sz w:val="22"/>
                <w:szCs w:val="22"/>
                <w:lang w:val="en-GB"/>
              </w:rPr>
              <w:t>th</w:t>
            </w:r>
            <w:r w:rsidRPr="00E4265B">
              <w:rPr>
                <w:rFonts w:ascii="Arial" w:hAnsi="Arial" w:cs="Arial"/>
                <w:spacing w:val="-2"/>
                <w:sz w:val="22"/>
                <w:szCs w:val="22"/>
                <w:lang w:val="en-GB"/>
              </w:rPr>
              <w:t xml:space="preserve"> </w:t>
            </w:r>
            <w:r w:rsidRPr="00E4265B">
              <w:rPr>
                <w:rFonts w:ascii="Arial" w:hAnsi="Arial" w:cs="Arial"/>
                <w:spacing w:val="1"/>
                <w:sz w:val="22"/>
                <w:szCs w:val="22"/>
                <w:lang w:val="en-GB"/>
              </w:rPr>
              <w:t>r</w:t>
            </w:r>
            <w:r w:rsidRPr="00E4265B">
              <w:rPr>
                <w:rFonts w:ascii="Arial" w:hAnsi="Arial" w:cs="Arial"/>
                <w:sz w:val="22"/>
                <w:szCs w:val="22"/>
                <w:lang w:val="en-GB"/>
              </w:rPr>
              <w:t>e</w:t>
            </w:r>
            <w:r w:rsidRPr="00E4265B">
              <w:rPr>
                <w:rFonts w:ascii="Arial" w:hAnsi="Arial" w:cs="Arial"/>
                <w:spacing w:val="1"/>
                <w:sz w:val="22"/>
                <w:szCs w:val="22"/>
                <w:lang w:val="en-GB"/>
              </w:rPr>
              <w:t>s</w:t>
            </w:r>
            <w:r w:rsidRPr="00E4265B">
              <w:rPr>
                <w:rFonts w:ascii="Arial" w:hAnsi="Arial" w:cs="Arial"/>
                <w:spacing w:val="-1"/>
                <w:sz w:val="22"/>
                <w:szCs w:val="22"/>
                <w:lang w:val="en-GB"/>
              </w:rPr>
              <w:t>i</w:t>
            </w:r>
            <w:r w:rsidRPr="00E4265B">
              <w:rPr>
                <w:rFonts w:ascii="Arial" w:hAnsi="Arial" w:cs="Arial"/>
                <w:sz w:val="22"/>
                <w:szCs w:val="22"/>
                <w:lang w:val="en-GB"/>
              </w:rPr>
              <w:t>d</w:t>
            </w:r>
            <w:r w:rsidRPr="00E4265B">
              <w:rPr>
                <w:rFonts w:ascii="Arial" w:hAnsi="Arial" w:cs="Arial"/>
                <w:spacing w:val="2"/>
                <w:sz w:val="22"/>
                <w:szCs w:val="22"/>
                <w:lang w:val="en-GB"/>
              </w:rPr>
              <w:t>u</w:t>
            </w:r>
            <w:r w:rsidRPr="00E4265B">
              <w:rPr>
                <w:rFonts w:ascii="Arial" w:hAnsi="Arial" w:cs="Arial"/>
                <w:sz w:val="22"/>
                <w:szCs w:val="22"/>
                <w:lang w:val="en-GB"/>
              </w:rPr>
              <w:t>al</w:t>
            </w:r>
            <w:r w:rsidRPr="00E4265B">
              <w:rPr>
                <w:rFonts w:ascii="Arial" w:hAnsi="Arial" w:cs="Arial"/>
                <w:spacing w:val="-6"/>
                <w:sz w:val="22"/>
                <w:szCs w:val="22"/>
                <w:lang w:val="en-GB"/>
              </w:rPr>
              <w:t xml:space="preserve"> </w:t>
            </w:r>
            <w:r w:rsidRPr="00E4265B">
              <w:rPr>
                <w:rFonts w:ascii="Arial" w:hAnsi="Arial" w:cs="Arial"/>
                <w:spacing w:val="4"/>
                <w:sz w:val="22"/>
                <w:szCs w:val="22"/>
                <w:lang w:val="en-GB"/>
              </w:rPr>
              <w:t>m</w:t>
            </w:r>
            <w:r w:rsidRPr="00E4265B">
              <w:rPr>
                <w:rFonts w:ascii="Arial" w:hAnsi="Arial" w:cs="Arial"/>
                <w:sz w:val="22"/>
                <w:szCs w:val="22"/>
                <w:lang w:val="en-GB"/>
              </w:rPr>
              <w:t>atu</w:t>
            </w:r>
            <w:r w:rsidRPr="00E4265B">
              <w:rPr>
                <w:rFonts w:ascii="Arial" w:hAnsi="Arial" w:cs="Arial"/>
                <w:spacing w:val="1"/>
                <w:sz w:val="22"/>
                <w:szCs w:val="22"/>
                <w:lang w:val="en-GB"/>
              </w:rPr>
              <w:t>r</w:t>
            </w:r>
            <w:r w:rsidRPr="00E4265B">
              <w:rPr>
                <w:rFonts w:ascii="Arial" w:hAnsi="Arial" w:cs="Arial"/>
                <w:spacing w:val="-1"/>
                <w:sz w:val="22"/>
                <w:szCs w:val="22"/>
                <w:lang w:val="en-GB"/>
              </w:rPr>
              <w:t>i</w:t>
            </w:r>
            <w:r w:rsidRPr="00E4265B">
              <w:rPr>
                <w:rFonts w:ascii="Arial" w:hAnsi="Arial" w:cs="Arial"/>
                <w:spacing w:val="2"/>
                <w:sz w:val="22"/>
                <w:szCs w:val="22"/>
                <w:lang w:val="en-GB"/>
              </w:rPr>
              <w:t>t</w:t>
            </w:r>
            <w:r w:rsidRPr="00E4265B">
              <w:rPr>
                <w:rFonts w:ascii="Arial" w:hAnsi="Arial" w:cs="Arial"/>
                <w:sz w:val="22"/>
                <w:szCs w:val="22"/>
                <w:lang w:val="en-GB"/>
              </w:rPr>
              <w:t>y</w:t>
            </w:r>
            <w:r w:rsidRPr="00E4265B">
              <w:rPr>
                <w:rFonts w:ascii="Arial" w:hAnsi="Arial" w:cs="Arial"/>
                <w:spacing w:val="-11"/>
                <w:sz w:val="22"/>
                <w:szCs w:val="22"/>
                <w:lang w:val="en-GB"/>
              </w:rPr>
              <w:t xml:space="preserve"> </w:t>
            </w:r>
            <w:r w:rsidRPr="00E4265B">
              <w:rPr>
                <w:rFonts w:ascii="Arial" w:hAnsi="Arial" w:cs="Arial"/>
                <w:sz w:val="22"/>
                <w:szCs w:val="22"/>
                <w:lang w:val="en-GB"/>
              </w:rPr>
              <w:t>g</w:t>
            </w:r>
            <w:r w:rsidRPr="00E4265B">
              <w:rPr>
                <w:rFonts w:ascii="Arial" w:hAnsi="Arial" w:cs="Arial"/>
                <w:spacing w:val="1"/>
                <w:sz w:val="22"/>
                <w:szCs w:val="22"/>
                <w:lang w:val="en-GB"/>
              </w:rPr>
              <w:t>r</w:t>
            </w:r>
            <w:r w:rsidRPr="00E4265B">
              <w:rPr>
                <w:rFonts w:ascii="Arial" w:hAnsi="Arial" w:cs="Arial"/>
                <w:sz w:val="22"/>
                <w:szCs w:val="22"/>
                <w:lang w:val="en-GB"/>
              </w:rPr>
              <w:t>e</w:t>
            </w:r>
            <w:r w:rsidRPr="00E4265B">
              <w:rPr>
                <w:rFonts w:ascii="Arial" w:hAnsi="Arial" w:cs="Arial"/>
                <w:spacing w:val="2"/>
                <w:sz w:val="22"/>
                <w:szCs w:val="22"/>
                <w:lang w:val="en-GB"/>
              </w:rPr>
              <w:t>a</w:t>
            </w:r>
            <w:r w:rsidRPr="00E4265B">
              <w:rPr>
                <w:rFonts w:ascii="Arial" w:hAnsi="Arial" w:cs="Arial"/>
                <w:sz w:val="22"/>
                <w:szCs w:val="22"/>
                <w:lang w:val="en-GB"/>
              </w:rPr>
              <w:t>ter</w:t>
            </w:r>
            <w:r w:rsidRPr="00E4265B">
              <w:rPr>
                <w:rFonts w:ascii="Arial" w:hAnsi="Arial" w:cs="Arial"/>
                <w:spacing w:val="-6"/>
                <w:sz w:val="22"/>
                <w:szCs w:val="22"/>
                <w:lang w:val="en-GB"/>
              </w:rPr>
              <w:t xml:space="preserve"> </w:t>
            </w:r>
            <w:r w:rsidRPr="00E4265B">
              <w:rPr>
                <w:rFonts w:ascii="Arial" w:hAnsi="Arial" w:cs="Arial"/>
                <w:sz w:val="22"/>
                <w:szCs w:val="22"/>
                <w:lang w:val="en-GB"/>
              </w:rPr>
              <w:t>t</w:t>
            </w:r>
            <w:r w:rsidRPr="00E4265B">
              <w:rPr>
                <w:rFonts w:ascii="Arial" w:hAnsi="Arial" w:cs="Arial"/>
                <w:spacing w:val="2"/>
                <w:sz w:val="22"/>
                <w:szCs w:val="22"/>
                <w:lang w:val="en-GB"/>
              </w:rPr>
              <w:t>h</w:t>
            </w:r>
            <w:r w:rsidRPr="00E4265B">
              <w:rPr>
                <w:rFonts w:ascii="Arial" w:hAnsi="Arial" w:cs="Arial"/>
                <w:sz w:val="22"/>
                <w:szCs w:val="22"/>
                <w:lang w:val="en-GB"/>
              </w:rPr>
              <w:t>an</w:t>
            </w:r>
            <w:r w:rsidRPr="00E4265B">
              <w:rPr>
                <w:rFonts w:ascii="Arial" w:hAnsi="Arial" w:cs="Arial"/>
                <w:spacing w:val="-2"/>
                <w:sz w:val="22"/>
                <w:szCs w:val="22"/>
                <w:lang w:val="en-GB"/>
              </w:rPr>
              <w:t xml:space="preserve"> </w:t>
            </w:r>
            <w:r w:rsidRPr="00E4265B">
              <w:rPr>
                <w:rFonts w:ascii="Arial" w:hAnsi="Arial" w:cs="Arial"/>
                <w:sz w:val="22"/>
                <w:szCs w:val="22"/>
                <w:lang w:val="en-GB"/>
              </w:rPr>
              <w:t>30</w:t>
            </w:r>
            <w:r w:rsidRPr="00E4265B">
              <w:rPr>
                <w:rFonts w:ascii="Arial" w:hAnsi="Arial" w:cs="Arial"/>
                <w:spacing w:val="-3"/>
                <w:sz w:val="22"/>
                <w:szCs w:val="22"/>
                <w:lang w:val="en-GB"/>
              </w:rPr>
              <w:t xml:space="preserve"> </w:t>
            </w:r>
            <w:r w:rsidRPr="00E4265B">
              <w:rPr>
                <w:rFonts w:ascii="Arial" w:hAnsi="Arial" w:cs="Arial"/>
                <w:spacing w:val="2"/>
                <w:sz w:val="22"/>
                <w:szCs w:val="22"/>
                <w:lang w:val="en-GB"/>
              </w:rPr>
              <w:t>da</w:t>
            </w:r>
            <w:r w:rsidRPr="00E4265B">
              <w:rPr>
                <w:rFonts w:ascii="Arial" w:hAnsi="Arial" w:cs="Arial"/>
                <w:spacing w:val="-4"/>
                <w:sz w:val="22"/>
                <w:szCs w:val="22"/>
                <w:lang w:val="en-GB"/>
              </w:rPr>
              <w:t>y</w:t>
            </w:r>
            <w:r w:rsidRPr="00E4265B">
              <w:rPr>
                <w:rFonts w:ascii="Arial" w:hAnsi="Arial" w:cs="Arial"/>
                <w:sz w:val="22"/>
                <w:szCs w:val="22"/>
                <w:lang w:val="en-GB"/>
              </w:rPr>
              <w:t>s</w:t>
            </w:r>
          </w:p>
        </w:tc>
        <w:tc>
          <w:tcPr>
            <w:tcW w:w="2039" w:type="dxa"/>
            <w:vAlign w:val="center"/>
            <w:hideMark/>
          </w:tcPr>
          <w:p w14:paraId="277CF64A"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0%</w:t>
            </w:r>
          </w:p>
        </w:tc>
      </w:tr>
      <w:tr w:rsidR="00872AE7" w:rsidRPr="00E4265B" w14:paraId="6FED4ABC" w14:textId="77777777" w:rsidTr="00872AE7">
        <w:trPr>
          <w:trHeight w:val="288"/>
        </w:trPr>
        <w:tc>
          <w:tcPr>
            <w:tcW w:w="8270" w:type="dxa"/>
            <w:gridSpan w:val="2"/>
            <w:tcBorders>
              <w:bottom w:val="single" w:sz="4" w:space="0" w:color="auto"/>
            </w:tcBorders>
            <w:vAlign w:val="center"/>
            <w:hideMark/>
          </w:tcPr>
          <w:p w14:paraId="4CD70525" w14:textId="77777777" w:rsidR="00872AE7" w:rsidRPr="00E4265B" w:rsidRDefault="00872AE7" w:rsidP="0019712D">
            <w:pPr>
              <w:pStyle w:val="ListParagraph"/>
              <w:numPr>
                <w:ilvl w:val="0"/>
                <w:numId w:val="76"/>
              </w:numPr>
              <w:autoSpaceDE w:val="0"/>
              <w:autoSpaceDN w:val="0"/>
              <w:spacing w:before="40" w:afterLines="40" w:after="96" w:line="229" w:lineRule="exact"/>
              <w:ind w:right="458"/>
              <w:rPr>
                <w:rFonts w:ascii="Arial" w:hAnsi="Arial" w:cs="Arial"/>
                <w:b/>
                <w:sz w:val="22"/>
                <w:szCs w:val="22"/>
                <w:lang w:val="en-GB"/>
              </w:rPr>
            </w:pPr>
            <w:r w:rsidRPr="00E4265B">
              <w:rPr>
                <w:rFonts w:ascii="Arial" w:hAnsi="Arial" w:cs="Arial"/>
                <w:b/>
                <w:sz w:val="22"/>
                <w:szCs w:val="22"/>
                <w:lang w:val="en-GB"/>
              </w:rPr>
              <w:t>Unsecured Wholesale Funding:</w:t>
            </w:r>
          </w:p>
        </w:tc>
      </w:tr>
      <w:tr w:rsidR="00872AE7" w:rsidRPr="00E4265B" w14:paraId="2AD39836" w14:textId="77777777" w:rsidTr="00872AE7">
        <w:trPr>
          <w:trHeight w:val="288"/>
        </w:trPr>
        <w:tc>
          <w:tcPr>
            <w:tcW w:w="6231" w:type="dxa"/>
            <w:tcBorders>
              <w:bottom w:val="nil"/>
            </w:tcBorders>
            <w:vAlign w:val="center"/>
          </w:tcPr>
          <w:p w14:paraId="7D590461" w14:textId="77777777" w:rsidR="00872AE7" w:rsidRPr="00E4265B" w:rsidRDefault="00872AE7" w:rsidP="006F763B">
            <w:pPr>
              <w:autoSpaceDE w:val="0"/>
              <w:autoSpaceDN w:val="0"/>
              <w:spacing w:before="40" w:afterLines="40" w:after="96" w:line="229" w:lineRule="exact"/>
              <w:ind w:left="440" w:right="-20"/>
              <w:rPr>
                <w:rFonts w:ascii="Arial" w:hAnsi="Arial" w:cs="Arial"/>
                <w:sz w:val="22"/>
                <w:szCs w:val="22"/>
                <w:lang w:val="en-GB"/>
              </w:rPr>
            </w:pPr>
            <w:r w:rsidRPr="00E4265B">
              <w:rPr>
                <w:rFonts w:ascii="Arial" w:hAnsi="Arial" w:cs="Arial"/>
                <w:sz w:val="22"/>
                <w:szCs w:val="22"/>
                <w:lang w:val="en-GB"/>
              </w:rPr>
              <w:lastRenderedPageBreak/>
              <w:t>Small business customers - demand and term Deposits with less than 30 days maturity provided by:</w:t>
            </w:r>
          </w:p>
        </w:tc>
        <w:tc>
          <w:tcPr>
            <w:tcW w:w="2039" w:type="dxa"/>
            <w:tcBorders>
              <w:bottom w:val="nil"/>
            </w:tcBorders>
            <w:vAlign w:val="center"/>
          </w:tcPr>
          <w:p w14:paraId="5B0A07A1"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p>
        </w:tc>
      </w:tr>
      <w:tr w:rsidR="00872AE7" w:rsidRPr="00E4265B" w14:paraId="7FD36956" w14:textId="77777777" w:rsidTr="00872AE7">
        <w:trPr>
          <w:trHeight w:val="288"/>
        </w:trPr>
        <w:tc>
          <w:tcPr>
            <w:tcW w:w="6231" w:type="dxa"/>
            <w:tcBorders>
              <w:top w:val="nil"/>
              <w:bottom w:val="nil"/>
            </w:tcBorders>
            <w:vAlign w:val="center"/>
          </w:tcPr>
          <w:p w14:paraId="1283189A"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z w:val="22"/>
                <w:szCs w:val="22"/>
                <w:lang w:val="en-GB"/>
              </w:rPr>
            </w:pPr>
            <w:r w:rsidRPr="00E4265B">
              <w:rPr>
                <w:rFonts w:ascii="Arial" w:hAnsi="Arial" w:cs="Arial"/>
                <w:spacing w:val="-1"/>
                <w:sz w:val="22"/>
                <w:szCs w:val="22"/>
                <w:lang w:val="en-GB"/>
              </w:rPr>
              <w:t>Stable Deposits</w:t>
            </w:r>
          </w:p>
        </w:tc>
        <w:tc>
          <w:tcPr>
            <w:tcW w:w="2039" w:type="dxa"/>
            <w:tcBorders>
              <w:top w:val="nil"/>
              <w:bottom w:val="nil"/>
            </w:tcBorders>
            <w:vAlign w:val="center"/>
          </w:tcPr>
          <w:p w14:paraId="4A537C46"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5%</w:t>
            </w:r>
          </w:p>
        </w:tc>
      </w:tr>
      <w:tr w:rsidR="00872AE7" w:rsidRPr="00E4265B" w14:paraId="13E35452" w14:textId="77777777" w:rsidTr="00872AE7">
        <w:trPr>
          <w:trHeight w:val="288"/>
        </w:trPr>
        <w:tc>
          <w:tcPr>
            <w:tcW w:w="6231" w:type="dxa"/>
            <w:tcBorders>
              <w:top w:val="nil"/>
              <w:bottom w:val="dotted" w:sz="4" w:space="0" w:color="auto"/>
            </w:tcBorders>
            <w:vAlign w:val="center"/>
          </w:tcPr>
          <w:p w14:paraId="6C7CF543"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z w:val="22"/>
                <w:szCs w:val="22"/>
                <w:lang w:val="en-GB"/>
              </w:rPr>
            </w:pPr>
            <w:r w:rsidRPr="00E4265B">
              <w:rPr>
                <w:rFonts w:ascii="Arial" w:hAnsi="Arial" w:cs="Arial"/>
                <w:spacing w:val="-1"/>
                <w:sz w:val="22"/>
                <w:szCs w:val="22"/>
                <w:lang w:val="en-GB"/>
              </w:rPr>
              <w:t>Less stable Deposits</w:t>
            </w:r>
          </w:p>
        </w:tc>
        <w:tc>
          <w:tcPr>
            <w:tcW w:w="2039" w:type="dxa"/>
            <w:tcBorders>
              <w:top w:val="nil"/>
              <w:bottom w:val="dotted" w:sz="4" w:space="0" w:color="auto"/>
            </w:tcBorders>
            <w:vAlign w:val="center"/>
          </w:tcPr>
          <w:p w14:paraId="10D9F045"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w:t>
            </w:r>
          </w:p>
        </w:tc>
      </w:tr>
      <w:tr w:rsidR="00872AE7" w:rsidRPr="00E4265B" w14:paraId="7276BE10" w14:textId="77777777" w:rsidTr="00872AE7">
        <w:trPr>
          <w:trHeight w:val="288"/>
        </w:trPr>
        <w:tc>
          <w:tcPr>
            <w:tcW w:w="6231" w:type="dxa"/>
            <w:tcBorders>
              <w:top w:val="dotted" w:sz="4" w:space="0" w:color="auto"/>
              <w:bottom w:val="single" w:sz="4" w:space="0" w:color="auto"/>
            </w:tcBorders>
            <w:vAlign w:val="center"/>
            <w:hideMark/>
          </w:tcPr>
          <w:p w14:paraId="13268BAF" w14:textId="77777777" w:rsidR="00872AE7" w:rsidRPr="00E4265B" w:rsidRDefault="00872AE7" w:rsidP="006F763B">
            <w:pPr>
              <w:autoSpaceDE w:val="0"/>
              <w:autoSpaceDN w:val="0"/>
              <w:spacing w:before="40" w:afterLines="40" w:after="96" w:line="229" w:lineRule="exact"/>
              <w:ind w:left="440" w:right="-20"/>
              <w:rPr>
                <w:rFonts w:ascii="Arial" w:eastAsia="MS PGothic" w:hAnsi="Arial" w:cs="Arial"/>
                <w:sz w:val="22"/>
                <w:szCs w:val="22"/>
                <w:lang w:val="en-GB"/>
              </w:rPr>
            </w:pPr>
            <w:r w:rsidRPr="00E4265B">
              <w:rPr>
                <w:rFonts w:ascii="Arial" w:hAnsi="Arial" w:cs="Arial"/>
                <w:sz w:val="22"/>
                <w:szCs w:val="22"/>
                <w:lang w:val="en-GB"/>
              </w:rPr>
              <w:t>Small business customers - term Deposits with residual maturity greater than 30 days with no legal right to withdraw or a withdrawal with a significant penalty</w:t>
            </w:r>
          </w:p>
        </w:tc>
        <w:tc>
          <w:tcPr>
            <w:tcW w:w="2039" w:type="dxa"/>
            <w:tcBorders>
              <w:top w:val="dotted" w:sz="4" w:space="0" w:color="auto"/>
              <w:bottom w:val="single" w:sz="4" w:space="0" w:color="auto"/>
            </w:tcBorders>
            <w:vAlign w:val="center"/>
          </w:tcPr>
          <w:p w14:paraId="48C96D66"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0%</w:t>
            </w:r>
          </w:p>
        </w:tc>
      </w:tr>
      <w:tr w:rsidR="00872AE7" w:rsidRPr="00E4265B" w14:paraId="4EB0C4D3" w14:textId="77777777" w:rsidTr="00872AE7">
        <w:trPr>
          <w:trHeight w:val="288"/>
        </w:trPr>
        <w:tc>
          <w:tcPr>
            <w:tcW w:w="6231" w:type="dxa"/>
            <w:tcBorders>
              <w:bottom w:val="nil"/>
            </w:tcBorders>
            <w:vAlign w:val="center"/>
          </w:tcPr>
          <w:p w14:paraId="50666E1D" w14:textId="77777777" w:rsidR="00872AE7" w:rsidRPr="00E4265B" w:rsidRDefault="00872AE7" w:rsidP="006F763B">
            <w:pPr>
              <w:autoSpaceDE w:val="0"/>
              <w:autoSpaceDN w:val="0"/>
              <w:spacing w:before="40" w:afterLines="40" w:after="96" w:line="229" w:lineRule="exact"/>
              <w:ind w:left="440" w:right="-20"/>
              <w:rPr>
                <w:rFonts w:ascii="Arial" w:eastAsia="MS PGothic" w:hAnsi="Arial" w:cs="Arial"/>
                <w:sz w:val="22"/>
                <w:szCs w:val="22"/>
                <w:lang w:val="en-GB"/>
              </w:rPr>
            </w:pPr>
            <w:r w:rsidRPr="00E4265B">
              <w:rPr>
                <w:rFonts w:ascii="Arial" w:hAnsi="Arial" w:cs="Arial"/>
                <w:sz w:val="22"/>
                <w:szCs w:val="22"/>
                <w:lang w:val="en-GB"/>
              </w:rPr>
              <w:t>Operational Deposits generated by clearing, custody and cash management activities:</w:t>
            </w:r>
            <w:r w:rsidRPr="00E4265B">
              <w:rPr>
                <w:rFonts w:ascii="Arial" w:eastAsia="MS PGothic" w:hAnsi="Arial" w:cs="Arial"/>
                <w:sz w:val="22"/>
                <w:szCs w:val="22"/>
                <w:lang w:val="en-GB"/>
              </w:rPr>
              <w:t xml:space="preserve"> </w:t>
            </w:r>
          </w:p>
        </w:tc>
        <w:tc>
          <w:tcPr>
            <w:tcW w:w="2039" w:type="dxa"/>
            <w:tcBorders>
              <w:bottom w:val="nil"/>
            </w:tcBorders>
            <w:vAlign w:val="center"/>
          </w:tcPr>
          <w:p w14:paraId="049B2395"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25%</w:t>
            </w:r>
          </w:p>
        </w:tc>
      </w:tr>
      <w:tr w:rsidR="00872AE7" w:rsidRPr="00E4265B" w14:paraId="64090D75" w14:textId="77777777" w:rsidTr="00872AE7">
        <w:trPr>
          <w:trHeight w:val="288"/>
        </w:trPr>
        <w:tc>
          <w:tcPr>
            <w:tcW w:w="6231" w:type="dxa"/>
            <w:tcBorders>
              <w:top w:val="nil"/>
            </w:tcBorders>
            <w:vAlign w:val="center"/>
          </w:tcPr>
          <w:p w14:paraId="6E7BA73E"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Portion covered by Deposit insurance</w:t>
            </w:r>
          </w:p>
        </w:tc>
        <w:tc>
          <w:tcPr>
            <w:tcW w:w="2039" w:type="dxa"/>
            <w:tcBorders>
              <w:top w:val="nil"/>
            </w:tcBorders>
            <w:vAlign w:val="center"/>
          </w:tcPr>
          <w:p w14:paraId="18CBF880"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5%</w:t>
            </w:r>
          </w:p>
        </w:tc>
      </w:tr>
      <w:tr w:rsidR="00872AE7" w:rsidRPr="00E4265B" w14:paraId="6834E233" w14:textId="77777777" w:rsidTr="00872AE7">
        <w:trPr>
          <w:trHeight w:val="288"/>
        </w:trPr>
        <w:tc>
          <w:tcPr>
            <w:tcW w:w="6231" w:type="dxa"/>
            <w:tcBorders>
              <w:bottom w:val="single" w:sz="4" w:space="0" w:color="auto"/>
            </w:tcBorders>
            <w:vAlign w:val="center"/>
            <w:hideMark/>
          </w:tcPr>
          <w:p w14:paraId="4A561BDE" w14:textId="77777777" w:rsidR="00872AE7" w:rsidRPr="00E4265B" w:rsidRDefault="00872AE7" w:rsidP="006F763B">
            <w:pPr>
              <w:autoSpaceDE w:val="0"/>
              <w:autoSpaceDN w:val="0"/>
              <w:spacing w:before="40" w:afterLines="40" w:after="96" w:line="229" w:lineRule="exact"/>
              <w:ind w:left="440" w:right="-20"/>
              <w:rPr>
                <w:rFonts w:ascii="Arial" w:eastAsia="MS PGothic" w:hAnsi="Arial" w:cs="Arial"/>
                <w:sz w:val="22"/>
                <w:szCs w:val="22"/>
                <w:lang w:val="en-GB"/>
              </w:rPr>
            </w:pPr>
            <w:r w:rsidRPr="00E4265B">
              <w:rPr>
                <w:rFonts w:ascii="Arial" w:hAnsi="Arial" w:cs="Arial"/>
                <w:sz w:val="22"/>
                <w:szCs w:val="22"/>
                <w:lang w:val="en-GB"/>
              </w:rPr>
              <w:t>Cooperative banks in an institutional network (qualifying Deposits with the centralised institution)</w:t>
            </w:r>
          </w:p>
        </w:tc>
        <w:tc>
          <w:tcPr>
            <w:tcW w:w="2039" w:type="dxa"/>
            <w:tcBorders>
              <w:bottom w:val="single" w:sz="4" w:space="0" w:color="auto"/>
            </w:tcBorders>
            <w:vAlign w:val="center"/>
            <w:hideMark/>
          </w:tcPr>
          <w:p w14:paraId="6477EFBC"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25%</w:t>
            </w:r>
          </w:p>
        </w:tc>
      </w:tr>
      <w:tr w:rsidR="00872AE7" w:rsidRPr="00E4265B" w14:paraId="53C3B9D1" w14:textId="77777777" w:rsidTr="00872AE7">
        <w:trPr>
          <w:trHeight w:val="288"/>
        </w:trPr>
        <w:tc>
          <w:tcPr>
            <w:tcW w:w="6231" w:type="dxa"/>
            <w:tcBorders>
              <w:bottom w:val="nil"/>
            </w:tcBorders>
            <w:vAlign w:val="center"/>
          </w:tcPr>
          <w:p w14:paraId="4FD6B5BD" w14:textId="77777777" w:rsidR="00872AE7" w:rsidRPr="00E4265B" w:rsidRDefault="00872AE7" w:rsidP="006F763B">
            <w:pPr>
              <w:autoSpaceDE w:val="0"/>
              <w:autoSpaceDN w:val="0"/>
              <w:spacing w:before="40" w:afterLines="40" w:after="96" w:line="229" w:lineRule="exact"/>
              <w:ind w:left="440" w:right="-20"/>
              <w:rPr>
                <w:rFonts w:ascii="Arial" w:hAnsi="Arial" w:cs="Arial"/>
                <w:sz w:val="22"/>
                <w:szCs w:val="22"/>
                <w:lang w:val="en-GB"/>
              </w:rPr>
            </w:pPr>
            <w:r w:rsidRPr="00E4265B">
              <w:rPr>
                <w:rFonts w:ascii="Arial" w:hAnsi="Arial" w:cs="Arial"/>
                <w:sz w:val="22"/>
                <w:szCs w:val="22"/>
                <w:lang w:val="en-GB"/>
              </w:rPr>
              <w:t>Non-financial corporates, sovereigns, central banks, multilateral development banks and PSEs</w:t>
            </w:r>
          </w:p>
        </w:tc>
        <w:tc>
          <w:tcPr>
            <w:tcW w:w="2039" w:type="dxa"/>
            <w:tcBorders>
              <w:bottom w:val="nil"/>
            </w:tcBorders>
            <w:vAlign w:val="center"/>
          </w:tcPr>
          <w:p w14:paraId="7B06ED1F"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40%</w:t>
            </w:r>
          </w:p>
        </w:tc>
      </w:tr>
      <w:tr w:rsidR="00872AE7" w:rsidRPr="00E4265B" w14:paraId="17ACE93F" w14:textId="77777777" w:rsidTr="00872AE7">
        <w:trPr>
          <w:trHeight w:val="288"/>
        </w:trPr>
        <w:tc>
          <w:tcPr>
            <w:tcW w:w="6231" w:type="dxa"/>
            <w:tcBorders>
              <w:top w:val="nil"/>
            </w:tcBorders>
            <w:vAlign w:val="center"/>
          </w:tcPr>
          <w:p w14:paraId="16BC7500"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If the entire amount is fully covered by a Deposit protection scheme</w:t>
            </w:r>
          </w:p>
        </w:tc>
        <w:tc>
          <w:tcPr>
            <w:tcW w:w="2039" w:type="dxa"/>
            <w:tcBorders>
              <w:top w:val="nil"/>
            </w:tcBorders>
            <w:vAlign w:val="center"/>
          </w:tcPr>
          <w:p w14:paraId="56E12DF5"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20%</w:t>
            </w:r>
          </w:p>
        </w:tc>
      </w:tr>
      <w:tr w:rsidR="00872AE7" w:rsidRPr="00E4265B" w14:paraId="25E40B33" w14:textId="77777777" w:rsidTr="00872AE7">
        <w:trPr>
          <w:trHeight w:val="288"/>
        </w:trPr>
        <w:tc>
          <w:tcPr>
            <w:tcW w:w="6231" w:type="dxa"/>
            <w:vAlign w:val="center"/>
          </w:tcPr>
          <w:p w14:paraId="5F7CD62C" w14:textId="77777777" w:rsidR="00872AE7" w:rsidRPr="00E4265B" w:rsidRDefault="00872AE7" w:rsidP="006F763B">
            <w:pPr>
              <w:autoSpaceDE w:val="0"/>
              <w:autoSpaceDN w:val="0"/>
              <w:spacing w:before="40" w:afterLines="40" w:after="96" w:line="229" w:lineRule="exact"/>
              <w:ind w:left="440" w:right="-20"/>
              <w:rPr>
                <w:rFonts w:ascii="Arial" w:eastAsia="MS PGothic" w:hAnsi="Arial" w:cs="Arial"/>
                <w:sz w:val="22"/>
                <w:szCs w:val="22"/>
                <w:lang w:val="en-GB"/>
              </w:rPr>
            </w:pPr>
            <w:r w:rsidRPr="00E4265B">
              <w:rPr>
                <w:rFonts w:ascii="Arial" w:hAnsi="Arial" w:cs="Arial"/>
                <w:sz w:val="22"/>
                <w:szCs w:val="22"/>
                <w:lang w:val="en-GB"/>
              </w:rPr>
              <w:t>Other legal entity customers</w:t>
            </w:r>
          </w:p>
        </w:tc>
        <w:tc>
          <w:tcPr>
            <w:tcW w:w="2039" w:type="dxa"/>
            <w:vAlign w:val="center"/>
          </w:tcPr>
          <w:p w14:paraId="53315057"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49C8FAB9" w14:textId="77777777" w:rsidTr="00872AE7">
        <w:trPr>
          <w:trHeight w:val="288"/>
        </w:trPr>
        <w:tc>
          <w:tcPr>
            <w:tcW w:w="8270" w:type="dxa"/>
            <w:gridSpan w:val="2"/>
            <w:tcBorders>
              <w:bottom w:val="single" w:sz="4" w:space="0" w:color="auto"/>
            </w:tcBorders>
            <w:vAlign w:val="center"/>
          </w:tcPr>
          <w:p w14:paraId="388E6517" w14:textId="77777777" w:rsidR="00872AE7" w:rsidRPr="00E4265B" w:rsidRDefault="00872AE7" w:rsidP="0019712D">
            <w:pPr>
              <w:pStyle w:val="ListParagraph"/>
              <w:numPr>
                <w:ilvl w:val="0"/>
                <w:numId w:val="76"/>
              </w:numPr>
              <w:autoSpaceDE w:val="0"/>
              <w:autoSpaceDN w:val="0"/>
              <w:spacing w:before="40" w:afterLines="40" w:after="96" w:line="229" w:lineRule="exact"/>
              <w:ind w:right="458"/>
              <w:rPr>
                <w:rFonts w:ascii="Arial" w:hAnsi="Arial" w:cs="Arial"/>
                <w:b/>
                <w:sz w:val="22"/>
                <w:szCs w:val="22"/>
                <w:lang w:val="en-GB"/>
              </w:rPr>
            </w:pPr>
            <w:r w:rsidRPr="00E4265B">
              <w:rPr>
                <w:rFonts w:ascii="Arial" w:hAnsi="Arial" w:cs="Arial"/>
                <w:b/>
                <w:sz w:val="22"/>
                <w:szCs w:val="22"/>
                <w:lang w:val="en-GB"/>
              </w:rPr>
              <w:t>Secured Funding:</w:t>
            </w:r>
          </w:p>
        </w:tc>
      </w:tr>
      <w:tr w:rsidR="00872AE7" w:rsidRPr="00E4265B" w14:paraId="6848E6E2" w14:textId="77777777" w:rsidTr="00872AE7">
        <w:trPr>
          <w:trHeight w:val="288"/>
        </w:trPr>
        <w:tc>
          <w:tcPr>
            <w:tcW w:w="6231" w:type="dxa"/>
            <w:tcBorders>
              <w:bottom w:val="nil"/>
            </w:tcBorders>
            <w:vAlign w:val="center"/>
          </w:tcPr>
          <w:p w14:paraId="3E475D1B"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Secured funding transactions with a central bank Counterparty or backed by Level 1 HQLA with any Counterparty</w:t>
            </w:r>
          </w:p>
        </w:tc>
        <w:tc>
          <w:tcPr>
            <w:tcW w:w="2039" w:type="dxa"/>
            <w:tcBorders>
              <w:bottom w:val="nil"/>
            </w:tcBorders>
            <w:vAlign w:val="center"/>
          </w:tcPr>
          <w:p w14:paraId="52CB9CBD"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0%</w:t>
            </w:r>
          </w:p>
        </w:tc>
      </w:tr>
      <w:tr w:rsidR="00872AE7" w:rsidRPr="00E4265B" w14:paraId="33799D08" w14:textId="77777777" w:rsidTr="00872AE7">
        <w:trPr>
          <w:trHeight w:val="288"/>
        </w:trPr>
        <w:tc>
          <w:tcPr>
            <w:tcW w:w="6231" w:type="dxa"/>
            <w:tcBorders>
              <w:top w:val="nil"/>
              <w:bottom w:val="nil"/>
            </w:tcBorders>
            <w:vAlign w:val="center"/>
          </w:tcPr>
          <w:p w14:paraId="4FCE5F57"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Secured funding transactions backed by Level 2A HQLA, with any Counterparty</w:t>
            </w:r>
          </w:p>
        </w:tc>
        <w:tc>
          <w:tcPr>
            <w:tcW w:w="2039" w:type="dxa"/>
            <w:tcBorders>
              <w:top w:val="nil"/>
              <w:bottom w:val="nil"/>
            </w:tcBorders>
            <w:vAlign w:val="center"/>
          </w:tcPr>
          <w:p w14:paraId="3B2C7462"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15%</w:t>
            </w:r>
          </w:p>
        </w:tc>
      </w:tr>
      <w:tr w:rsidR="00872AE7" w:rsidRPr="00E4265B" w14:paraId="54E84A66" w14:textId="77777777" w:rsidTr="00872AE7">
        <w:trPr>
          <w:trHeight w:val="288"/>
        </w:trPr>
        <w:tc>
          <w:tcPr>
            <w:tcW w:w="6231" w:type="dxa"/>
            <w:tcBorders>
              <w:top w:val="nil"/>
              <w:bottom w:val="nil"/>
            </w:tcBorders>
            <w:vAlign w:val="center"/>
          </w:tcPr>
          <w:p w14:paraId="5B8A160B"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Secured funding transactions backed by non-Level 1 HQLA or non- Level 2A HQLA, with domestic sovereigns, multilateral development banks, or domestic PSEs as a Counterparty</w:t>
            </w:r>
          </w:p>
        </w:tc>
        <w:tc>
          <w:tcPr>
            <w:tcW w:w="2039" w:type="dxa"/>
            <w:tcBorders>
              <w:top w:val="nil"/>
              <w:bottom w:val="nil"/>
            </w:tcBorders>
            <w:vAlign w:val="center"/>
          </w:tcPr>
          <w:p w14:paraId="5B7C918A"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25%</w:t>
            </w:r>
          </w:p>
        </w:tc>
      </w:tr>
      <w:tr w:rsidR="00872AE7" w:rsidRPr="00E4265B" w14:paraId="6C956687" w14:textId="77777777" w:rsidTr="00872AE7">
        <w:trPr>
          <w:trHeight w:val="288"/>
        </w:trPr>
        <w:tc>
          <w:tcPr>
            <w:tcW w:w="6231" w:type="dxa"/>
            <w:tcBorders>
              <w:top w:val="nil"/>
              <w:bottom w:val="nil"/>
            </w:tcBorders>
            <w:vAlign w:val="center"/>
          </w:tcPr>
          <w:p w14:paraId="6E7B2124"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Backed by RMBS eligible for inclusion in Level 2B HQLA</w:t>
            </w:r>
          </w:p>
        </w:tc>
        <w:tc>
          <w:tcPr>
            <w:tcW w:w="2039" w:type="dxa"/>
            <w:tcBorders>
              <w:top w:val="nil"/>
              <w:bottom w:val="nil"/>
            </w:tcBorders>
            <w:vAlign w:val="center"/>
          </w:tcPr>
          <w:p w14:paraId="04B3461D"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25%</w:t>
            </w:r>
          </w:p>
        </w:tc>
      </w:tr>
      <w:tr w:rsidR="00872AE7" w:rsidRPr="00E4265B" w14:paraId="176840AF" w14:textId="77777777" w:rsidTr="00872AE7">
        <w:trPr>
          <w:trHeight w:val="288"/>
        </w:trPr>
        <w:tc>
          <w:tcPr>
            <w:tcW w:w="6231" w:type="dxa"/>
            <w:tcBorders>
              <w:top w:val="nil"/>
              <w:bottom w:val="nil"/>
            </w:tcBorders>
            <w:vAlign w:val="center"/>
          </w:tcPr>
          <w:p w14:paraId="3A8B3863"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Backed by other Level 2B HQLA</w:t>
            </w:r>
          </w:p>
        </w:tc>
        <w:tc>
          <w:tcPr>
            <w:tcW w:w="2039" w:type="dxa"/>
            <w:tcBorders>
              <w:top w:val="nil"/>
              <w:bottom w:val="nil"/>
            </w:tcBorders>
            <w:vAlign w:val="center"/>
          </w:tcPr>
          <w:p w14:paraId="09FF04CF"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50%</w:t>
            </w:r>
          </w:p>
        </w:tc>
      </w:tr>
      <w:tr w:rsidR="00872AE7" w:rsidRPr="00E4265B" w14:paraId="0D4BE91F" w14:textId="77777777" w:rsidTr="00872AE7">
        <w:trPr>
          <w:trHeight w:val="288"/>
        </w:trPr>
        <w:tc>
          <w:tcPr>
            <w:tcW w:w="6231" w:type="dxa"/>
            <w:tcBorders>
              <w:top w:val="nil"/>
            </w:tcBorders>
            <w:vAlign w:val="center"/>
          </w:tcPr>
          <w:p w14:paraId="158637FE"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All other secured funding transactions</w:t>
            </w:r>
          </w:p>
        </w:tc>
        <w:tc>
          <w:tcPr>
            <w:tcW w:w="2039" w:type="dxa"/>
            <w:tcBorders>
              <w:top w:val="nil"/>
            </w:tcBorders>
            <w:vAlign w:val="center"/>
          </w:tcPr>
          <w:p w14:paraId="591ECA83"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56DA252F" w14:textId="77777777" w:rsidTr="00872AE7">
        <w:trPr>
          <w:trHeight w:val="288"/>
        </w:trPr>
        <w:tc>
          <w:tcPr>
            <w:tcW w:w="8270" w:type="dxa"/>
            <w:gridSpan w:val="2"/>
            <w:vAlign w:val="center"/>
          </w:tcPr>
          <w:p w14:paraId="343B0276" w14:textId="77777777" w:rsidR="00872AE7" w:rsidRPr="00E4265B" w:rsidRDefault="00872AE7" w:rsidP="0019712D">
            <w:pPr>
              <w:pStyle w:val="ListParagraph"/>
              <w:numPr>
                <w:ilvl w:val="0"/>
                <w:numId w:val="76"/>
              </w:numPr>
              <w:autoSpaceDE w:val="0"/>
              <w:autoSpaceDN w:val="0"/>
              <w:spacing w:before="40" w:afterLines="40" w:after="96" w:line="229" w:lineRule="exact"/>
              <w:ind w:right="458"/>
              <w:rPr>
                <w:rFonts w:ascii="Arial" w:hAnsi="Arial" w:cs="Arial"/>
                <w:sz w:val="22"/>
                <w:szCs w:val="22"/>
                <w:lang w:val="en-GB"/>
              </w:rPr>
            </w:pPr>
            <w:r w:rsidRPr="00E4265B">
              <w:rPr>
                <w:rFonts w:ascii="Arial" w:hAnsi="Arial" w:cs="Arial"/>
                <w:b/>
                <w:spacing w:val="-5"/>
                <w:sz w:val="22"/>
                <w:szCs w:val="22"/>
                <w:lang w:val="en-GB"/>
              </w:rPr>
              <w:t>A</w:t>
            </w:r>
            <w:r w:rsidRPr="00E4265B">
              <w:rPr>
                <w:rFonts w:ascii="Arial" w:hAnsi="Arial" w:cs="Arial"/>
                <w:b/>
                <w:spacing w:val="1"/>
                <w:sz w:val="22"/>
                <w:szCs w:val="22"/>
                <w:lang w:val="en-GB"/>
              </w:rPr>
              <w:t>dd</w:t>
            </w:r>
            <w:r w:rsidRPr="00E4265B">
              <w:rPr>
                <w:rFonts w:ascii="Arial" w:hAnsi="Arial" w:cs="Arial"/>
                <w:b/>
                <w:sz w:val="22"/>
                <w:szCs w:val="22"/>
                <w:lang w:val="en-GB"/>
              </w:rPr>
              <w:t>i</w:t>
            </w:r>
            <w:r w:rsidRPr="00E4265B">
              <w:rPr>
                <w:rFonts w:ascii="Arial" w:hAnsi="Arial" w:cs="Arial"/>
                <w:b/>
                <w:spacing w:val="1"/>
                <w:sz w:val="22"/>
                <w:szCs w:val="22"/>
                <w:lang w:val="en-GB"/>
              </w:rPr>
              <w:t>t</w:t>
            </w:r>
            <w:r w:rsidRPr="00E4265B">
              <w:rPr>
                <w:rFonts w:ascii="Arial" w:hAnsi="Arial" w:cs="Arial"/>
                <w:b/>
                <w:sz w:val="22"/>
                <w:szCs w:val="22"/>
                <w:lang w:val="en-GB"/>
              </w:rPr>
              <w:t>i</w:t>
            </w:r>
            <w:r w:rsidRPr="00E4265B">
              <w:rPr>
                <w:rFonts w:ascii="Arial" w:hAnsi="Arial" w:cs="Arial"/>
                <w:b/>
                <w:spacing w:val="1"/>
                <w:sz w:val="22"/>
                <w:szCs w:val="22"/>
                <w:lang w:val="en-GB"/>
              </w:rPr>
              <w:t>on</w:t>
            </w:r>
            <w:r w:rsidRPr="00E4265B">
              <w:rPr>
                <w:rFonts w:ascii="Arial" w:hAnsi="Arial" w:cs="Arial"/>
                <w:b/>
                <w:sz w:val="22"/>
                <w:szCs w:val="22"/>
                <w:lang w:val="en-GB"/>
              </w:rPr>
              <w:t>al</w:t>
            </w:r>
            <w:r w:rsidRPr="00E4265B">
              <w:rPr>
                <w:rFonts w:ascii="Arial" w:hAnsi="Arial" w:cs="Arial"/>
                <w:b/>
                <w:spacing w:val="-11"/>
                <w:sz w:val="22"/>
                <w:szCs w:val="22"/>
                <w:lang w:val="en-GB"/>
              </w:rPr>
              <w:t xml:space="preserve"> </w:t>
            </w:r>
            <w:r w:rsidRPr="00E4265B">
              <w:rPr>
                <w:rFonts w:ascii="Arial" w:hAnsi="Arial" w:cs="Arial"/>
                <w:b/>
                <w:spacing w:val="3"/>
                <w:sz w:val="22"/>
                <w:szCs w:val="22"/>
                <w:lang w:val="en-GB"/>
              </w:rPr>
              <w:t>R</w:t>
            </w:r>
            <w:r w:rsidRPr="00E4265B">
              <w:rPr>
                <w:rFonts w:ascii="Arial" w:hAnsi="Arial" w:cs="Arial"/>
                <w:b/>
                <w:sz w:val="22"/>
                <w:szCs w:val="22"/>
                <w:lang w:val="en-GB"/>
              </w:rPr>
              <w:t>e</w:t>
            </w:r>
            <w:r w:rsidRPr="00E4265B">
              <w:rPr>
                <w:rFonts w:ascii="Arial" w:hAnsi="Arial" w:cs="Arial"/>
                <w:b/>
                <w:spacing w:val="1"/>
                <w:sz w:val="22"/>
                <w:szCs w:val="22"/>
                <w:lang w:val="en-GB"/>
              </w:rPr>
              <w:t>qu</w:t>
            </w:r>
            <w:r w:rsidRPr="00E4265B">
              <w:rPr>
                <w:rFonts w:ascii="Arial" w:hAnsi="Arial" w:cs="Arial"/>
                <w:b/>
                <w:sz w:val="22"/>
                <w:szCs w:val="22"/>
                <w:lang w:val="en-GB"/>
              </w:rPr>
              <w:t>i</w:t>
            </w:r>
            <w:r w:rsidRPr="00E4265B">
              <w:rPr>
                <w:rFonts w:ascii="Arial" w:hAnsi="Arial" w:cs="Arial"/>
                <w:b/>
                <w:spacing w:val="-1"/>
                <w:sz w:val="22"/>
                <w:szCs w:val="22"/>
                <w:lang w:val="en-GB"/>
              </w:rPr>
              <w:t>r</w:t>
            </w:r>
            <w:r w:rsidRPr="00E4265B">
              <w:rPr>
                <w:rFonts w:ascii="Arial" w:hAnsi="Arial" w:cs="Arial"/>
                <w:b/>
                <w:sz w:val="22"/>
                <w:szCs w:val="22"/>
                <w:lang w:val="en-GB"/>
              </w:rPr>
              <w:t>e</w:t>
            </w:r>
            <w:r w:rsidRPr="00E4265B">
              <w:rPr>
                <w:rFonts w:ascii="Arial" w:hAnsi="Arial" w:cs="Arial"/>
                <w:b/>
                <w:spacing w:val="3"/>
                <w:sz w:val="22"/>
                <w:szCs w:val="22"/>
                <w:lang w:val="en-GB"/>
              </w:rPr>
              <w:t>m</w:t>
            </w:r>
            <w:r w:rsidRPr="00E4265B">
              <w:rPr>
                <w:rFonts w:ascii="Arial" w:hAnsi="Arial" w:cs="Arial"/>
                <w:b/>
                <w:sz w:val="22"/>
                <w:szCs w:val="22"/>
                <w:lang w:val="en-GB"/>
              </w:rPr>
              <w:t>e</w:t>
            </w:r>
            <w:r w:rsidRPr="00E4265B">
              <w:rPr>
                <w:rFonts w:ascii="Arial" w:hAnsi="Arial" w:cs="Arial"/>
                <w:b/>
                <w:spacing w:val="3"/>
                <w:sz w:val="22"/>
                <w:szCs w:val="22"/>
                <w:lang w:val="en-GB"/>
              </w:rPr>
              <w:t>n</w:t>
            </w:r>
            <w:r w:rsidRPr="00E4265B">
              <w:rPr>
                <w:rFonts w:ascii="Arial" w:hAnsi="Arial" w:cs="Arial"/>
                <w:b/>
                <w:spacing w:val="1"/>
                <w:sz w:val="22"/>
                <w:szCs w:val="22"/>
                <w:lang w:val="en-GB"/>
              </w:rPr>
              <w:t>t</w:t>
            </w:r>
            <w:r w:rsidRPr="00E4265B">
              <w:rPr>
                <w:rFonts w:ascii="Arial" w:hAnsi="Arial" w:cs="Arial"/>
                <w:b/>
                <w:sz w:val="22"/>
                <w:szCs w:val="22"/>
                <w:lang w:val="en-GB"/>
              </w:rPr>
              <w:t>s:</w:t>
            </w:r>
          </w:p>
        </w:tc>
      </w:tr>
      <w:tr w:rsidR="00872AE7" w:rsidRPr="00E4265B" w14:paraId="7049813E" w14:textId="77777777" w:rsidTr="00872AE7">
        <w:trPr>
          <w:trHeight w:val="288"/>
        </w:trPr>
        <w:tc>
          <w:tcPr>
            <w:tcW w:w="6231" w:type="dxa"/>
            <w:vAlign w:val="center"/>
          </w:tcPr>
          <w:p w14:paraId="09D15E62" w14:textId="77777777" w:rsidR="00872AE7" w:rsidRPr="00E4265B" w:rsidRDefault="00872AE7" w:rsidP="006F763B">
            <w:pPr>
              <w:autoSpaceDE w:val="0"/>
              <w:autoSpaceDN w:val="0"/>
              <w:spacing w:before="40" w:afterLines="40" w:after="96" w:line="229" w:lineRule="exact"/>
              <w:ind w:left="440" w:right="-20"/>
              <w:rPr>
                <w:rFonts w:ascii="Arial" w:hAnsi="Arial" w:cs="Arial"/>
                <w:sz w:val="22"/>
                <w:szCs w:val="22"/>
                <w:lang w:val="en-GB"/>
              </w:rPr>
            </w:pPr>
            <w:r w:rsidRPr="00E4265B">
              <w:rPr>
                <w:rFonts w:ascii="Arial" w:hAnsi="Arial" w:cs="Arial"/>
                <w:sz w:val="22"/>
                <w:szCs w:val="22"/>
                <w:lang w:val="en-GB"/>
              </w:rPr>
              <w:t>Derivatives cash outflows</w:t>
            </w:r>
          </w:p>
        </w:tc>
        <w:tc>
          <w:tcPr>
            <w:tcW w:w="2039" w:type="dxa"/>
            <w:vAlign w:val="center"/>
          </w:tcPr>
          <w:p w14:paraId="401E9511"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7372BEEF" w14:textId="77777777" w:rsidTr="00872AE7">
        <w:trPr>
          <w:trHeight w:val="288"/>
        </w:trPr>
        <w:tc>
          <w:tcPr>
            <w:tcW w:w="6231" w:type="dxa"/>
            <w:vAlign w:val="center"/>
          </w:tcPr>
          <w:p w14:paraId="4EF02015" w14:textId="77777777" w:rsidR="00872AE7" w:rsidRPr="00E4265B" w:rsidRDefault="00872AE7" w:rsidP="006F763B">
            <w:pPr>
              <w:autoSpaceDE w:val="0"/>
              <w:autoSpaceDN w:val="0"/>
              <w:spacing w:before="40" w:afterLines="40" w:after="96" w:line="229" w:lineRule="exact"/>
              <w:ind w:left="440" w:right="-20"/>
              <w:rPr>
                <w:rFonts w:ascii="Arial" w:hAnsi="Arial" w:cs="Arial"/>
                <w:sz w:val="22"/>
                <w:szCs w:val="22"/>
                <w:lang w:val="en-GB"/>
              </w:rPr>
            </w:pPr>
            <w:r w:rsidRPr="00E4265B">
              <w:rPr>
                <w:rFonts w:ascii="Arial" w:hAnsi="Arial" w:cs="Arial"/>
                <w:sz w:val="22"/>
                <w:szCs w:val="22"/>
                <w:lang w:val="en-GB"/>
              </w:rPr>
              <w:t>Liquidity needs (e.g. Collateral calls) related to financing transactions, Derivatives and other contracts</w:t>
            </w:r>
          </w:p>
        </w:tc>
        <w:tc>
          <w:tcPr>
            <w:tcW w:w="2039" w:type="dxa"/>
            <w:vAlign w:val="center"/>
          </w:tcPr>
          <w:p w14:paraId="6D0BA982"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372E62FC" w14:textId="77777777" w:rsidTr="00872AE7">
        <w:trPr>
          <w:trHeight w:val="288"/>
        </w:trPr>
        <w:tc>
          <w:tcPr>
            <w:tcW w:w="6231" w:type="dxa"/>
            <w:vAlign w:val="center"/>
          </w:tcPr>
          <w:p w14:paraId="1413C772" w14:textId="77777777" w:rsidR="00872AE7" w:rsidRPr="00E4265B" w:rsidRDefault="00872AE7" w:rsidP="006F763B">
            <w:pPr>
              <w:autoSpaceDE w:val="0"/>
              <w:autoSpaceDN w:val="0"/>
              <w:spacing w:before="40" w:afterLines="40" w:after="96" w:line="229" w:lineRule="exact"/>
              <w:ind w:left="440" w:right="-20"/>
              <w:rPr>
                <w:rFonts w:ascii="Arial" w:hAnsi="Arial" w:cs="Arial"/>
                <w:sz w:val="22"/>
                <w:szCs w:val="22"/>
                <w:lang w:val="en-GB"/>
              </w:rPr>
            </w:pPr>
            <w:r w:rsidRPr="00E4265B">
              <w:rPr>
                <w:rFonts w:ascii="Arial" w:hAnsi="Arial" w:cs="Arial"/>
                <w:sz w:val="22"/>
                <w:szCs w:val="22"/>
                <w:lang w:val="en-GB"/>
              </w:rPr>
              <w:t>Market valuation changes on non-Level 1 HQLA posted Collateral securing Derivatives</w:t>
            </w:r>
          </w:p>
        </w:tc>
        <w:tc>
          <w:tcPr>
            <w:tcW w:w="2039" w:type="dxa"/>
            <w:vAlign w:val="center"/>
          </w:tcPr>
          <w:p w14:paraId="55D71430"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20%</w:t>
            </w:r>
          </w:p>
        </w:tc>
      </w:tr>
      <w:tr w:rsidR="00872AE7" w:rsidRPr="00E4265B" w14:paraId="26EFA551" w14:textId="77777777" w:rsidTr="00872AE7">
        <w:trPr>
          <w:trHeight w:val="288"/>
        </w:trPr>
        <w:tc>
          <w:tcPr>
            <w:tcW w:w="6231" w:type="dxa"/>
            <w:vAlign w:val="center"/>
          </w:tcPr>
          <w:p w14:paraId="09982675" w14:textId="77777777" w:rsidR="00872AE7" w:rsidRPr="00E4265B" w:rsidRDefault="00872AE7" w:rsidP="006F763B">
            <w:pPr>
              <w:autoSpaceDE w:val="0"/>
              <w:autoSpaceDN w:val="0"/>
              <w:spacing w:before="40" w:afterLines="40" w:after="96" w:line="229" w:lineRule="exact"/>
              <w:ind w:left="440" w:right="-20"/>
              <w:rPr>
                <w:rFonts w:ascii="Arial" w:hAnsi="Arial" w:cs="Arial"/>
                <w:sz w:val="22"/>
                <w:szCs w:val="22"/>
                <w:lang w:val="en-GB"/>
              </w:rPr>
            </w:pPr>
            <w:r w:rsidRPr="00E4265B">
              <w:rPr>
                <w:rFonts w:ascii="Arial" w:hAnsi="Arial" w:cs="Arial"/>
                <w:sz w:val="22"/>
                <w:szCs w:val="22"/>
                <w:lang w:val="en-GB"/>
              </w:rPr>
              <w:t>Excess Collateral held by a bank related to Derivative transactions that could contractually be called at any time by its Counterparty</w:t>
            </w:r>
          </w:p>
        </w:tc>
        <w:tc>
          <w:tcPr>
            <w:tcW w:w="2039" w:type="dxa"/>
            <w:vAlign w:val="center"/>
          </w:tcPr>
          <w:p w14:paraId="2D07FFDE"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65F6DECD" w14:textId="77777777" w:rsidTr="00872AE7">
        <w:trPr>
          <w:trHeight w:val="288"/>
        </w:trPr>
        <w:tc>
          <w:tcPr>
            <w:tcW w:w="6231" w:type="dxa"/>
            <w:vAlign w:val="center"/>
          </w:tcPr>
          <w:p w14:paraId="52A5DAB5" w14:textId="77777777" w:rsidR="00872AE7" w:rsidRPr="00E4265B" w:rsidRDefault="00872AE7" w:rsidP="006F763B">
            <w:pPr>
              <w:autoSpaceDE w:val="0"/>
              <w:autoSpaceDN w:val="0"/>
              <w:spacing w:before="40" w:afterLines="40" w:after="96" w:line="229" w:lineRule="exact"/>
              <w:ind w:left="440" w:right="-20"/>
              <w:rPr>
                <w:rFonts w:ascii="Arial" w:hAnsi="Arial" w:cs="Arial"/>
                <w:sz w:val="22"/>
                <w:szCs w:val="22"/>
                <w:lang w:val="en-GB"/>
              </w:rPr>
            </w:pPr>
            <w:r w:rsidRPr="00E4265B">
              <w:rPr>
                <w:rFonts w:ascii="Arial" w:hAnsi="Arial" w:cs="Arial"/>
                <w:sz w:val="22"/>
                <w:szCs w:val="22"/>
                <w:lang w:val="en-GB"/>
              </w:rPr>
              <w:lastRenderedPageBreak/>
              <w:t>Liquidity needs related to Collateral contractually due from the reporting bank on Derivatives transactions</w:t>
            </w:r>
          </w:p>
        </w:tc>
        <w:tc>
          <w:tcPr>
            <w:tcW w:w="2039" w:type="dxa"/>
            <w:vAlign w:val="center"/>
          </w:tcPr>
          <w:p w14:paraId="3FC43A21"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21E94361" w14:textId="77777777" w:rsidTr="00872AE7">
        <w:trPr>
          <w:trHeight w:val="288"/>
        </w:trPr>
        <w:tc>
          <w:tcPr>
            <w:tcW w:w="6231" w:type="dxa"/>
            <w:vAlign w:val="center"/>
          </w:tcPr>
          <w:p w14:paraId="4ACE3E02" w14:textId="77777777" w:rsidR="00872AE7" w:rsidRPr="00E4265B" w:rsidRDefault="00872AE7" w:rsidP="006F763B">
            <w:pPr>
              <w:autoSpaceDE w:val="0"/>
              <w:autoSpaceDN w:val="0"/>
              <w:spacing w:before="40" w:afterLines="40" w:after="96" w:line="229" w:lineRule="exact"/>
              <w:ind w:left="440" w:right="-20"/>
              <w:rPr>
                <w:rFonts w:ascii="Arial" w:hAnsi="Arial" w:cs="Arial"/>
                <w:sz w:val="22"/>
                <w:szCs w:val="22"/>
                <w:lang w:val="en-GB"/>
              </w:rPr>
            </w:pPr>
            <w:r w:rsidRPr="00E4265B">
              <w:rPr>
                <w:rFonts w:ascii="Arial" w:hAnsi="Arial" w:cs="Arial"/>
                <w:sz w:val="22"/>
                <w:szCs w:val="22"/>
                <w:lang w:val="en-GB"/>
              </w:rPr>
              <w:t>Increased liquidity needs related to Derivative transactions that allow Collateral substitution to non-HQLA assets</w:t>
            </w:r>
          </w:p>
        </w:tc>
        <w:tc>
          <w:tcPr>
            <w:tcW w:w="2039" w:type="dxa"/>
            <w:vAlign w:val="center"/>
          </w:tcPr>
          <w:p w14:paraId="652D9CE7"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245CB3F5" w14:textId="77777777" w:rsidTr="00872AE7">
        <w:trPr>
          <w:trHeight w:val="288"/>
        </w:trPr>
        <w:tc>
          <w:tcPr>
            <w:tcW w:w="6231" w:type="dxa"/>
            <w:tcBorders>
              <w:bottom w:val="single" w:sz="4" w:space="0" w:color="auto"/>
            </w:tcBorders>
            <w:vAlign w:val="center"/>
          </w:tcPr>
          <w:p w14:paraId="0CCAA494" w14:textId="77777777" w:rsidR="00872AE7" w:rsidRPr="00E4265B" w:rsidRDefault="00872AE7" w:rsidP="006F763B">
            <w:pPr>
              <w:autoSpaceDE w:val="0"/>
              <w:autoSpaceDN w:val="0"/>
              <w:spacing w:before="40" w:afterLines="40" w:after="96" w:line="229" w:lineRule="exact"/>
              <w:ind w:left="440" w:right="-20"/>
              <w:rPr>
                <w:rFonts w:ascii="Arial" w:hAnsi="Arial" w:cs="Arial"/>
                <w:sz w:val="22"/>
                <w:szCs w:val="22"/>
                <w:lang w:val="en-GB"/>
              </w:rPr>
            </w:pPr>
            <w:r w:rsidRPr="00E4265B">
              <w:rPr>
                <w:rFonts w:ascii="Arial" w:hAnsi="Arial" w:cs="Arial"/>
                <w:sz w:val="22"/>
                <w:szCs w:val="22"/>
                <w:lang w:val="en-GB"/>
              </w:rPr>
              <w:t>Market valuation changes on Derivatives transactions (largest absolute net 30-day Collateral flows realised during the preceding 24 months)</w:t>
            </w:r>
          </w:p>
        </w:tc>
        <w:tc>
          <w:tcPr>
            <w:tcW w:w="2039" w:type="dxa"/>
            <w:tcBorders>
              <w:bottom w:val="single" w:sz="4" w:space="0" w:color="auto"/>
            </w:tcBorders>
            <w:vAlign w:val="center"/>
          </w:tcPr>
          <w:p w14:paraId="5518680E"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78A3E75E" w14:textId="77777777" w:rsidTr="00872AE7">
        <w:trPr>
          <w:trHeight w:val="288"/>
        </w:trPr>
        <w:tc>
          <w:tcPr>
            <w:tcW w:w="6231" w:type="dxa"/>
            <w:tcBorders>
              <w:bottom w:val="nil"/>
            </w:tcBorders>
            <w:vAlign w:val="center"/>
          </w:tcPr>
          <w:p w14:paraId="137093CD" w14:textId="77777777" w:rsidR="00872AE7" w:rsidRPr="00E4265B" w:rsidRDefault="00872AE7" w:rsidP="006F763B">
            <w:pPr>
              <w:autoSpaceDE w:val="0"/>
              <w:autoSpaceDN w:val="0"/>
              <w:spacing w:before="40" w:afterLines="40" w:after="96" w:line="229" w:lineRule="exact"/>
              <w:ind w:left="440" w:right="-20"/>
              <w:rPr>
                <w:rFonts w:ascii="Arial" w:hAnsi="Arial" w:cs="Arial"/>
                <w:sz w:val="22"/>
                <w:szCs w:val="22"/>
                <w:lang w:val="en-GB"/>
              </w:rPr>
            </w:pPr>
            <w:r w:rsidRPr="00E4265B">
              <w:rPr>
                <w:rFonts w:ascii="Arial" w:hAnsi="Arial" w:cs="Arial"/>
                <w:sz w:val="22"/>
                <w:szCs w:val="22"/>
                <w:lang w:val="en-GB"/>
              </w:rPr>
              <w:t>ABCP, SIVs, Conduits, etc:</w:t>
            </w:r>
          </w:p>
        </w:tc>
        <w:tc>
          <w:tcPr>
            <w:tcW w:w="2039" w:type="dxa"/>
            <w:tcBorders>
              <w:bottom w:val="nil"/>
            </w:tcBorders>
            <w:vAlign w:val="center"/>
          </w:tcPr>
          <w:p w14:paraId="60E2D21F"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p>
        </w:tc>
      </w:tr>
      <w:tr w:rsidR="00872AE7" w:rsidRPr="00E4265B" w14:paraId="535ECAC4" w14:textId="77777777" w:rsidTr="00872AE7">
        <w:trPr>
          <w:trHeight w:val="288"/>
        </w:trPr>
        <w:tc>
          <w:tcPr>
            <w:tcW w:w="6231" w:type="dxa"/>
            <w:tcBorders>
              <w:top w:val="nil"/>
              <w:bottom w:val="nil"/>
            </w:tcBorders>
            <w:vAlign w:val="center"/>
          </w:tcPr>
          <w:p w14:paraId="42F007DF"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Loss of funding on Asset Backed Securities, covered bonds and other structured financing instruments</w:t>
            </w:r>
          </w:p>
        </w:tc>
        <w:tc>
          <w:tcPr>
            <w:tcW w:w="2039" w:type="dxa"/>
            <w:tcBorders>
              <w:top w:val="nil"/>
              <w:bottom w:val="nil"/>
            </w:tcBorders>
            <w:vAlign w:val="center"/>
          </w:tcPr>
          <w:p w14:paraId="0D6AC045"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03B9B8ED" w14:textId="77777777" w:rsidTr="00872AE7">
        <w:trPr>
          <w:trHeight w:val="288"/>
        </w:trPr>
        <w:tc>
          <w:tcPr>
            <w:tcW w:w="6231" w:type="dxa"/>
            <w:tcBorders>
              <w:top w:val="nil"/>
              <w:bottom w:val="single" w:sz="4" w:space="0" w:color="auto"/>
            </w:tcBorders>
            <w:vAlign w:val="center"/>
          </w:tcPr>
          <w:p w14:paraId="7695A7C7"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Loss of funding on ABCP, SIVs, SPVs, etc</w:t>
            </w:r>
          </w:p>
        </w:tc>
        <w:tc>
          <w:tcPr>
            <w:tcW w:w="2039" w:type="dxa"/>
            <w:tcBorders>
              <w:top w:val="nil"/>
              <w:bottom w:val="single" w:sz="4" w:space="0" w:color="auto"/>
            </w:tcBorders>
            <w:vAlign w:val="center"/>
          </w:tcPr>
          <w:p w14:paraId="665270AE"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441B0049" w14:textId="77777777" w:rsidTr="00872AE7">
        <w:trPr>
          <w:trHeight w:val="288"/>
        </w:trPr>
        <w:tc>
          <w:tcPr>
            <w:tcW w:w="6231" w:type="dxa"/>
            <w:tcBorders>
              <w:bottom w:val="nil"/>
            </w:tcBorders>
            <w:vAlign w:val="center"/>
          </w:tcPr>
          <w:p w14:paraId="06F81D4A" w14:textId="77777777" w:rsidR="00872AE7" w:rsidRPr="00E4265B" w:rsidRDefault="00872AE7" w:rsidP="006F763B">
            <w:pPr>
              <w:autoSpaceDE w:val="0"/>
              <w:autoSpaceDN w:val="0"/>
              <w:spacing w:before="40" w:afterLines="40" w:after="96" w:line="229" w:lineRule="exact"/>
              <w:ind w:left="440" w:right="-20"/>
              <w:rPr>
                <w:rFonts w:ascii="Arial" w:hAnsi="Arial" w:cs="Arial"/>
                <w:sz w:val="22"/>
                <w:szCs w:val="22"/>
                <w:lang w:val="en-GB"/>
              </w:rPr>
            </w:pPr>
            <w:r w:rsidRPr="00E4265B">
              <w:rPr>
                <w:rFonts w:ascii="Arial" w:hAnsi="Arial" w:cs="Arial"/>
                <w:sz w:val="22"/>
                <w:szCs w:val="22"/>
                <w:lang w:val="en-GB"/>
              </w:rPr>
              <w:t>Undrawn committed credit and liquidity facilities:</w:t>
            </w:r>
          </w:p>
        </w:tc>
        <w:tc>
          <w:tcPr>
            <w:tcW w:w="2039" w:type="dxa"/>
            <w:tcBorders>
              <w:bottom w:val="nil"/>
            </w:tcBorders>
            <w:vAlign w:val="center"/>
          </w:tcPr>
          <w:p w14:paraId="77885468"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p>
        </w:tc>
      </w:tr>
      <w:tr w:rsidR="00872AE7" w:rsidRPr="00E4265B" w14:paraId="267627FA" w14:textId="77777777" w:rsidTr="00872AE7">
        <w:trPr>
          <w:trHeight w:val="288"/>
        </w:trPr>
        <w:tc>
          <w:tcPr>
            <w:tcW w:w="6231" w:type="dxa"/>
            <w:tcBorders>
              <w:top w:val="nil"/>
              <w:bottom w:val="nil"/>
            </w:tcBorders>
            <w:vAlign w:val="center"/>
          </w:tcPr>
          <w:p w14:paraId="5AE6B693"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Retail and small and medium-sized enterprise clients</w:t>
            </w:r>
          </w:p>
        </w:tc>
        <w:tc>
          <w:tcPr>
            <w:tcW w:w="2039" w:type="dxa"/>
            <w:tcBorders>
              <w:top w:val="nil"/>
              <w:bottom w:val="nil"/>
            </w:tcBorders>
            <w:vAlign w:val="center"/>
          </w:tcPr>
          <w:p w14:paraId="5FF71F3C"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5%</w:t>
            </w:r>
          </w:p>
        </w:tc>
      </w:tr>
      <w:tr w:rsidR="00872AE7" w:rsidRPr="00E4265B" w14:paraId="3EB3DCE0" w14:textId="77777777" w:rsidTr="00872AE7">
        <w:trPr>
          <w:trHeight w:val="288"/>
        </w:trPr>
        <w:tc>
          <w:tcPr>
            <w:tcW w:w="6231" w:type="dxa"/>
            <w:tcBorders>
              <w:top w:val="nil"/>
              <w:bottom w:val="nil"/>
            </w:tcBorders>
            <w:vAlign w:val="center"/>
          </w:tcPr>
          <w:p w14:paraId="1DE859DE"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Non-financial corporates, sovereigns and central banks, PSEs, MDBs</w:t>
            </w:r>
          </w:p>
        </w:tc>
        <w:tc>
          <w:tcPr>
            <w:tcW w:w="2039" w:type="dxa"/>
            <w:tcBorders>
              <w:top w:val="nil"/>
              <w:bottom w:val="nil"/>
            </w:tcBorders>
            <w:vAlign w:val="center"/>
          </w:tcPr>
          <w:p w14:paraId="75CC6E64"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 for credit</w:t>
            </w:r>
            <w:r w:rsidRPr="00E4265B">
              <w:rPr>
                <w:rFonts w:ascii="Arial" w:hAnsi="Arial" w:cs="Arial"/>
                <w:sz w:val="22"/>
                <w:szCs w:val="22"/>
                <w:lang w:val="en-GB"/>
              </w:rPr>
              <w:br/>
              <w:t>30% for liquidity</w:t>
            </w:r>
          </w:p>
        </w:tc>
      </w:tr>
      <w:tr w:rsidR="00872AE7" w:rsidRPr="00E4265B" w14:paraId="0EA98171" w14:textId="77777777" w:rsidTr="00872AE7">
        <w:trPr>
          <w:trHeight w:val="288"/>
        </w:trPr>
        <w:tc>
          <w:tcPr>
            <w:tcW w:w="6231" w:type="dxa"/>
            <w:tcBorders>
              <w:top w:val="nil"/>
              <w:bottom w:val="nil"/>
            </w:tcBorders>
            <w:vAlign w:val="center"/>
          </w:tcPr>
          <w:p w14:paraId="152D629B"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Banks subject to prudential supervision</w:t>
            </w:r>
          </w:p>
        </w:tc>
        <w:tc>
          <w:tcPr>
            <w:tcW w:w="2039" w:type="dxa"/>
            <w:tcBorders>
              <w:top w:val="nil"/>
              <w:bottom w:val="nil"/>
            </w:tcBorders>
            <w:vAlign w:val="center"/>
          </w:tcPr>
          <w:p w14:paraId="092C9700"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40%</w:t>
            </w:r>
          </w:p>
        </w:tc>
      </w:tr>
      <w:tr w:rsidR="00872AE7" w:rsidRPr="00E4265B" w14:paraId="7F7BD0B3" w14:textId="77777777" w:rsidTr="00872AE7">
        <w:trPr>
          <w:trHeight w:val="288"/>
        </w:trPr>
        <w:tc>
          <w:tcPr>
            <w:tcW w:w="6231" w:type="dxa"/>
            <w:tcBorders>
              <w:top w:val="nil"/>
              <w:bottom w:val="nil"/>
            </w:tcBorders>
            <w:vAlign w:val="center"/>
          </w:tcPr>
          <w:p w14:paraId="17D7867F"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Other Financial Institutions (include Securities firms, insurance companies, fiduciaries and beneficiaries)</w:t>
            </w:r>
          </w:p>
        </w:tc>
        <w:tc>
          <w:tcPr>
            <w:tcW w:w="2039" w:type="dxa"/>
            <w:tcBorders>
              <w:top w:val="nil"/>
              <w:bottom w:val="nil"/>
            </w:tcBorders>
            <w:vAlign w:val="center"/>
          </w:tcPr>
          <w:p w14:paraId="424F83B0"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40% for credit</w:t>
            </w:r>
            <w:r w:rsidRPr="00E4265B">
              <w:rPr>
                <w:rFonts w:ascii="Arial" w:hAnsi="Arial" w:cs="Arial"/>
                <w:sz w:val="22"/>
                <w:szCs w:val="22"/>
                <w:lang w:val="en-GB"/>
              </w:rPr>
              <w:br/>
              <w:t>100% for liquidity</w:t>
            </w:r>
          </w:p>
        </w:tc>
      </w:tr>
      <w:tr w:rsidR="00872AE7" w:rsidRPr="00E4265B" w14:paraId="736F5727" w14:textId="77777777" w:rsidTr="00872AE7">
        <w:trPr>
          <w:trHeight w:val="288"/>
        </w:trPr>
        <w:tc>
          <w:tcPr>
            <w:tcW w:w="6231" w:type="dxa"/>
            <w:tcBorders>
              <w:top w:val="nil"/>
              <w:bottom w:val="nil"/>
            </w:tcBorders>
            <w:vAlign w:val="center"/>
          </w:tcPr>
          <w:p w14:paraId="4C025418"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Other legal entity customers</w:t>
            </w:r>
          </w:p>
        </w:tc>
        <w:tc>
          <w:tcPr>
            <w:tcW w:w="2039" w:type="dxa"/>
            <w:tcBorders>
              <w:top w:val="nil"/>
              <w:bottom w:val="nil"/>
            </w:tcBorders>
            <w:vAlign w:val="center"/>
          </w:tcPr>
          <w:p w14:paraId="1060FA4F"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4F7E12C4" w14:textId="77777777" w:rsidTr="00872AE7">
        <w:trPr>
          <w:trHeight w:val="288"/>
        </w:trPr>
        <w:tc>
          <w:tcPr>
            <w:tcW w:w="6231" w:type="dxa"/>
            <w:tcBorders>
              <w:top w:val="nil"/>
              <w:bottom w:val="nil"/>
            </w:tcBorders>
            <w:vAlign w:val="center"/>
          </w:tcPr>
          <w:p w14:paraId="116F64B0"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Other contractual obligations to Financial Institutions</w:t>
            </w:r>
          </w:p>
        </w:tc>
        <w:tc>
          <w:tcPr>
            <w:tcW w:w="2039" w:type="dxa"/>
            <w:tcBorders>
              <w:top w:val="nil"/>
              <w:bottom w:val="nil"/>
            </w:tcBorders>
            <w:vAlign w:val="center"/>
          </w:tcPr>
          <w:p w14:paraId="79766E9A"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58B7F971" w14:textId="77777777" w:rsidTr="00872AE7">
        <w:trPr>
          <w:trHeight w:val="288"/>
        </w:trPr>
        <w:tc>
          <w:tcPr>
            <w:tcW w:w="6231" w:type="dxa"/>
            <w:tcBorders>
              <w:top w:val="nil"/>
              <w:bottom w:val="single" w:sz="4" w:space="0" w:color="auto"/>
            </w:tcBorders>
            <w:vAlign w:val="center"/>
          </w:tcPr>
          <w:p w14:paraId="32A2B6C1"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Other contractual obligations to retail and non-financial corporate clients</w:t>
            </w:r>
          </w:p>
        </w:tc>
        <w:tc>
          <w:tcPr>
            <w:tcW w:w="2039" w:type="dxa"/>
            <w:tcBorders>
              <w:top w:val="nil"/>
              <w:bottom w:val="single" w:sz="4" w:space="0" w:color="auto"/>
            </w:tcBorders>
            <w:vAlign w:val="center"/>
          </w:tcPr>
          <w:p w14:paraId="2749E3E1"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403DBD88" w14:textId="77777777" w:rsidTr="00872AE7">
        <w:trPr>
          <w:trHeight w:val="288"/>
        </w:trPr>
        <w:tc>
          <w:tcPr>
            <w:tcW w:w="6231" w:type="dxa"/>
            <w:tcBorders>
              <w:bottom w:val="nil"/>
            </w:tcBorders>
            <w:vAlign w:val="center"/>
          </w:tcPr>
          <w:p w14:paraId="24E94190" w14:textId="77777777" w:rsidR="00872AE7" w:rsidRPr="00E4265B" w:rsidRDefault="00872AE7" w:rsidP="006F763B">
            <w:pPr>
              <w:autoSpaceDE w:val="0"/>
              <w:autoSpaceDN w:val="0"/>
              <w:spacing w:before="40" w:afterLines="40" w:after="96" w:line="229" w:lineRule="exact"/>
              <w:ind w:left="440" w:right="-20"/>
              <w:rPr>
                <w:rFonts w:ascii="Arial" w:hAnsi="Arial" w:cs="Arial"/>
                <w:sz w:val="22"/>
                <w:szCs w:val="22"/>
                <w:lang w:val="en-GB"/>
              </w:rPr>
            </w:pPr>
            <w:r w:rsidRPr="00E4265B">
              <w:rPr>
                <w:rFonts w:ascii="Arial" w:hAnsi="Arial" w:cs="Arial"/>
                <w:sz w:val="22"/>
                <w:szCs w:val="22"/>
                <w:lang w:val="en-GB"/>
              </w:rPr>
              <w:t>Other contingent funding obligations:</w:t>
            </w:r>
          </w:p>
        </w:tc>
        <w:tc>
          <w:tcPr>
            <w:tcW w:w="2039" w:type="dxa"/>
            <w:tcBorders>
              <w:bottom w:val="nil"/>
            </w:tcBorders>
            <w:vAlign w:val="center"/>
          </w:tcPr>
          <w:p w14:paraId="2384FF2A"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p>
        </w:tc>
      </w:tr>
      <w:tr w:rsidR="00872AE7" w:rsidRPr="00E4265B" w14:paraId="23487F80" w14:textId="77777777" w:rsidTr="00872AE7">
        <w:trPr>
          <w:trHeight w:val="288"/>
        </w:trPr>
        <w:tc>
          <w:tcPr>
            <w:tcW w:w="6231" w:type="dxa"/>
            <w:tcBorders>
              <w:top w:val="nil"/>
              <w:bottom w:val="nil"/>
            </w:tcBorders>
            <w:vAlign w:val="center"/>
          </w:tcPr>
          <w:p w14:paraId="1B9CEAFE"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Non-contractual obligations related to potential liquidity draws from joint ventures or minority Investments in entities</w:t>
            </w:r>
          </w:p>
        </w:tc>
        <w:tc>
          <w:tcPr>
            <w:tcW w:w="2039" w:type="dxa"/>
            <w:tcBorders>
              <w:top w:val="nil"/>
              <w:bottom w:val="nil"/>
            </w:tcBorders>
            <w:vAlign w:val="center"/>
          </w:tcPr>
          <w:p w14:paraId="6DEFCAEB"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294576CD" w14:textId="77777777" w:rsidTr="00872AE7">
        <w:trPr>
          <w:trHeight w:val="288"/>
        </w:trPr>
        <w:tc>
          <w:tcPr>
            <w:tcW w:w="6231" w:type="dxa"/>
            <w:tcBorders>
              <w:top w:val="nil"/>
              <w:bottom w:val="nil"/>
            </w:tcBorders>
            <w:vAlign w:val="center"/>
          </w:tcPr>
          <w:p w14:paraId="2F501B28"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Trade finance-related obligations (including letters of credit and guarantees)</w:t>
            </w:r>
          </w:p>
        </w:tc>
        <w:tc>
          <w:tcPr>
            <w:tcW w:w="2039" w:type="dxa"/>
            <w:tcBorders>
              <w:top w:val="nil"/>
              <w:bottom w:val="nil"/>
            </w:tcBorders>
            <w:vAlign w:val="center"/>
          </w:tcPr>
          <w:p w14:paraId="2F2E9637"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3%</w:t>
            </w:r>
          </w:p>
        </w:tc>
      </w:tr>
      <w:tr w:rsidR="00872AE7" w:rsidRPr="00E4265B" w14:paraId="004184C3" w14:textId="77777777" w:rsidTr="00872AE7">
        <w:trPr>
          <w:trHeight w:val="288"/>
        </w:trPr>
        <w:tc>
          <w:tcPr>
            <w:tcW w:w="6231" w:type="dxa"/>
            <w:tcBorders>
              <w:top w:val="nil"/>
              <w:bottom w:val="nil"/>
            </w:tcBorders>
            <w:vAlign w:val="center"/>
          </w:tcPr>
          <w:p w14:paraId="68EB6080"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Non contractual obligations where customer short positions are covered by other customers' Collateral</w:t>
            </w:r>
          </w:p>
        </w:tc>
        <w:tc>
          <w:tcPr>
            <w:tcW w:w="2039" w:type="dxa"/>
            <w:tcBorders>
              <w:top w:val="nil"/>
              <w:bottom w:val="nil"/>
            </w:tcBorders>
            <w:vAlign w:val="center"/>
          </w:tcPr>
          <w:p w14:paraId="28E1FA06"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50%</w:t>
            </w:r>
          </w:p>
        </w:tc>
      </w:tr>
      <w:tr w:rsidR="00872AE7" w:rsidRPr="00E4265B" w14:paraId="5FE49831" w14:textId="77777777" w:rsidTr="00872AE7">
        <w:trPr>
          <w:trHeight w:val="288"/>
        </w:trPr>
        <w:tc>
          <w:tcPr>
            <w:tcW w:w="6231" w:type="dxa"/>
            <w:tcBorders>
              <w:top w:val="nil"/>
              <w:bottom w:val="nil"/>
            </w:tcBorders>
            <w:vAlign w:val="center"/>
          </w:tcPr>
          <w:p w14:paraId="6C8ED260"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Unconditionally revocable "uncommitted" credit and liquidity facilities</w:t>
            </w:r>
          </w:p>
        </w:tc>
        <w:tc>
          <w:tcPr>
            <w:tcW w:w="2039" w:type="dxa"/>
            <w:tcBorders>
              <w:top w:val="nil"/>
              <w:bottom w:val="nil"/>
            </w:tcBorders>
            <w:vAlign w:val="center"/>
          </w:tcPr>
          <w:p w14:paraId="3E29AD27"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5%</w:t>
            </w:r>
          </w:p>
        </w:tc>
      </w:tr>
      <w:tr w:rsidR="00872AE7" w:rsidRPr="00E4265B" w14:paraId="315AA654" w14:textId="77777777" w:rsidTr="00872AE7">
        <w:trPr>
          <w:trHeight w:val="288"/>
        </w:trPr>
        <w:tc>
          <w:tcPr>
            <w:tcW w:w="6231" w:type="dxa"/>
            <w:tcBorders>
              <w:top w:val="nil"/>
              <w:bottom w:val="nil"/>
            </w:tcBorders>
            <w:vAlign w:val="center"/>
          </w:tcPr>
          <w:p w14:paraId="5FAF86A3"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Guarantees and letters of credit unrelated to trade finance obligations</w:t>
            </w:r>
          </w:p>
        </w:tc>
        <w:tc>
          <w:tcPr>
            <w:tcW w:w="2039" w:type="dxa"/>
            <w:tcBorders>
              <w:top w:val="nil"/>
              <w:bottom w:val="nil"/>
            </w:tcBorders>
            <w:vAlign w:val="center"/>
          </w:tcPr>
          <w:p w14:paraId="6BCCF833"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w:t>
            </w:r>
          </w:p>
        </w:tc>
      </w:tr>
      <w:tr w:rsidR="00872AE7" w:rsidRPr="00E4265B" w14:paraId="2C61D4C7" w14:textId="77777777" w:rsidTr="00872AE7">
        <w:trPr>
          <w:trHeight w:val="288"/>
        </w:trPr>
        <w:tc>
          <w:tcPr>
            <w:tcW w:w="6231" w:type="dxa"/>
            <w:tcBorders>
              <w:top w:val="nil"/>
              <w:bottom w:val="nil"/>
            </w:tcBorders>
            <w:vAlign w:val="center"/>
          </w:tcPr>
          <w:p w14:paraId="7DABAA45"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Non-contractual obligations:</w:t>
            </w:r>
          </w:p>
          <w:p w14:paraId="3DB01D64"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Debt-buy back requests (incl. related conduits)</w:t>
            </w:r>
          </w:p>
        </w:tc>
        <w:tc>
          <w:tcPr>
            <w:tcW w:w="2039" w:type="dxa"/>
            <w:tcBorders>
              <w:top w:val="nil"/>
              <w:bottom w:val="nil"/>
            </w:tcBorders>
            <w:vAlign w:val="center"/>
          </w:tcPr>
          <w:p w14:paraId="286456C7"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1912147A" w14:textId="77777777" w:rsidTr="00872AE7">
        <w:trPr>
          <w:trHeight w:val="288"/>
        </w:trPr>
        <w:tc>
          <w:tcPr>
            <w:tcW w:w="6231" w:type="dxa"/>
            <w:tcBorders>
              <w:top w:val="nil"/>
              <w:bottom w:val="nil"/>
            </w:tcBorders>
            <w:vAlign w:val="center"/>
          </w:tcPr>
          <w:p w14:paraId="402CB0E2"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lastRenderedPageBreak/>
              <w:t>Structured products</w:t>
            </w:r>
          </w:p>
        </w:tc>
        <w:tc>
          <w:tcPr>
            <w:tcW w:w="2039" w:type="dxa"/>
            <w:tcBorders>
              <w:top w:val="nil"/>
              <w:bottom w:val="nil"/>
            </w:tcBorders>
            <w:vAlign w:val="center"/>
          </w:tcPr>
          <w:p w14:paraId="0D8A98BC"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w:t>
            </w:r>
          </w:p>
        </w:tc>
      </w:tr>
      <w:tr w:rsidR="00872AE7" w:rsidRPr="00E4265B" w14:paraId="452E998C" w14:textId="77777777" w:rsidTr="00872AE7">
        <w:trPr>
          <w:trHeight w:val="288"/>
        </w:trPr>
        <w:tc>
          <w:tcPr>
            <w:tcW w:w="6231" w:type="dxa"/>
            <w:tcBorders>
              <w:top w:val="nil"/>
              <w:bottom w:val="nil"/>
            </w:tcBorders>
            <w:vAlign w:val="center"/>
          </w:tcPr>
          <w:p w14:paraId="65A85E4A"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Managed funds</w:t>
            </w:r>
          </w:p>
        </w:tc>
        <w:tc>
          <w:tcPr>
            <w:tcW w:w="2039" w:type="dxa"/>
            <w:tcBorders>
              <w:top w:val="nil"/>
              <w:bottom w:val="nil"/>
            </w:tcBorders>
            <w:vAlign w:val="center"/>
          </w:tcPr>
          <w:p w14:paraId="07363226"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w:t>
            </w:r>
          </w:p>
        </w:tc>
      </w:tr>
      <w:tr w:rsidR="00872AE7" w:rsidRPr="00E4265B" w14:paraId="4C3533C9" w14:textId="77777777" w:rsidTr="00872AE7">
        <w:trPr>
          <w:trHeight w:val="288"/>
        </w:trPr>
        <w:tc>
          <w:tcPr>
            <w:tcW w:w="6231" w:type="dxa"/>
            <w:tcBorders>
              <w:top w:val="nil"/>
            </w:tcBorders>
            <w:vAlign w:val="center"/>
          </w:tcPr>
          <w:p w14:paraId="27C55D1D" w14:textId="77777777" w:rsidR="00872AE7" w:rsidRPr="00E4265B" w:rsidRDefault="00872AE7" w:rsidP="0019712D">
            <w:pPr>
              <w:pStyle w:val="ListParagraph"/>
              <w:numPr>
                <w:ilvl w:val="0"/>
                <w:numId w:val="75"/>
              </w:numPr>
              <w:autoSpaceDE w:val="0"/>
              <w:autoSpaceDN w:val="0"/>
              <w:spacing w:before="40" w:afterLines="40" w:after="96"/>
              <w:ind w:left="800" w:right="-20"/>
              <w:rPr>
                <w:rFonts w:ascii="Arial" w:hAnsi="Arial" w:cs="Arial"/>
                <w:spacing w:val="-1"/>
                <w:sz w:val="22"/>
                <w:szCs w:val="22"/>
                <w:lang w:val="en-GB"/>
              </w:rPr>
            </w:pPr>
            <w:r w:rsidRPr="00E4265B">
              <w:rPr>
                <w:rFonts w:ascii="Arial" w:hAnsi="Arial" w:cs="Arial"/>
                <w:spacing w:val="-1"/>
                <w:sz w:val="22"/>
                <w:szCs w:val="22"/>
                <w:lang w:val="en-GB"/>
              </w:rPr>
              <w:t>Other non-contractual obligations</w:t>
            </w:r>
          </w:p>
        </w:tc>
        <w:tc>
          <w:tcPr>
            <w:tcW w:w="2039" w:type="dxa"/>
            <w:tcBorders>
              <w:top w:val="nil"/>
            </w:tcBorders>
            <w:vAlign w:val="center"/>
          </w:tcPr>
          <w:p w14:paraId="5991DF6D"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704C5B6F" w14:textId="77777777" w:rsidTr="00872AE7">
        <w:trPr>
          <w:trHeight w:val="288"/>
        </w:trPr>
        <w:tc>
          <w:tcPr>
            <w:tcW w:w="6231" w:type="dxa"/>
            <w:vAlign w:val="center"/>
          </w:tcPr>
          <w:p w14:paraId="30108208" w14:textId="3CEBE62F" w:rsidR="00872AE7" w:rsidRPr="00E4265B" w:rsidRDefault="00872AE7" w:rsidP="00E9019A">
            <w:pPr>
              <w:autoSpaceDE w:val="0"/>
              <w:autoSpaceDN w:val="0"/>
              <w:spacing w:before="40" w:afterLines="40" w:after="96" w:line="229" w:lineRule="exact"/>
              <w:ind w:left="440" w:right="-20"/>
              <w:rPr>
                <w:rFonts w:ascii="Arial" w:hAnsi="Arial" w:cs="Arial"/>
                <w:sz w:val="22"/>
                <w:szCs w:val="22"/>
                <w:lang w:val="en-GB"/>
              </w:rPr>
            </w:pPr>
            <w:r w:rsidRPr="00E4265B">
              <w:rPr>
                <w:rFonts w:ascii="Arial" w:hAnsi="Arial" w:cs="Arial"/>
                <w:sz w:val="22"/>
                <w:szCs w:val="22"/>
                <w:lang w:val="en-GB"/>
              </w:rPr>
              <w:t>Outstanding debt Securities (unsecured and secured, term as well as short-term) with remaining maturity &gt; 30 days</w:t>
            </w:r>
            <w:r w:rsidR="00E9019A" w:rsidRPr="00E4265B">
              <w:rPr>
                <w:rFonts w:ascii="Arial" w:hAnsi="Arial" w:cs="Arial"/>
                <w:sz w:val="22"/>
                <w:szCs w:val="22"/>
                <w:lang w:val="en-GB"/>
              </w:rPr>
              <w:t xml:space="preserve"> of issuers with an affiliated dealer or market-maker</w:t>
            </w:r>
          </w:p>
        </w:tc>
        <w:tc>
          <w:tcPr>
            <w:tcW w:w="2039" w:type="dxa"/>
            <w:vAlign w:val="center"/>
          </w:tcPr>
          <w:p w14:paraId="045948D9"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r w:rsidR="00872AE7" w:rsidRPr="00E4265B" w14:paraId="71A857D5" w14:textId="77777777" w:rsidTr="00872AE7">
        <w:trPr>
          <w:trHeight w:val="288"/>
        </w:trPr>
        <w:tc>
          <w:tcPr>
            <w:tcW w:w="6231" w:type="dxa"/>
            <w:vAlign w:val="center"/>
          </w:tcPr>
          <w:p w14:paraId="3C5CB0C7" w14:textId="77777777" w:rsidR="00872AE7" w:rsidRPr="00E4265B" w:rsidRDefault="00872AE7" w:rsidP="006F763B">
            <w:pPr>
              <w:autoSpaceDE w:val="0"/>
              <w:autoSpaceDN w:val="0"/>
              <w:spacing w:before="40" w:afterLines="40" w:after="96" w:line="229" w:lineRule="exact"/>
              <w:ind w:left="440" w:right="-20"/>
              <w:rPr>
                <w:rFonts w:ascii="Arial" w:hAnsi="Arial" w:cs="Arial"/>
                <w:sz w:val="22"/>
                <w:szCs w:val="22"/>
                <w:lang w:val="en-GB"/>
              </w:rPr>
            </w:pPr>
            <w:r w:rsidRPr="00E4265B">
              <w:rPr>
                <w:rFonts w:ascii="Arial" w:hAnsi="Arial" w:cs="Arial"/>
                <w:sz w:val="22"/>
                <w:szCs w:val="22"/>
                <w:lang w:val="en-GB"/>
              </w:rPr>
              <w:t>Other contractual cash outflows</w:t>
            </w:r>
          </w:p>
        </w:tc>
        <w:tc>
          <w:tcPr>
            <w:tcW w:w="2039" w:type="dxa"/>
            <w:vAlign w:val="center"/>
          </w:tcPr>
          <w:p w14:paraId="4AF69B15" w14:textId="77777777" w:rsidR="00872AE7" w:rsidRPr="00E4265B" w:rsidRDefault="00872AE7" w:rsidP="006F763B">
            <w:pPr>
              <w:autoSpaceDE w:val="0"/>
              <w:autoSpaceDN w:val="0"/>
              <w:spacing w:before="40" w:afterLines="40" w:after="96"/>
              <w:ind w:left="80" w:right="360"/>
              <w:jc w:val="right"/>
              <w:rPr>
                <w:rFonts w:ascii="Arial" w:hAnsi="Arial" w:cs="Arial"/>
                <w:sz w:val="22"/>
                <w:szCs w:val="22"/>
                <w:lang w:val="en-GB"/>
              </w:rPr>
            </w:pPr>
            <w:r w:rsidRPr="00E4265B">
              <w:rPr>
                <w:rFonts w:ascii="Arial" w:hAnsi="Arial" w:cs="Arial"/>
                <w:sz w:val="22"/>
                <w:szCs w:val="22"/>
                <w:lang w:val="en-GB"/>
              </w:rPr>
              <w:t>100%</w:t>
            </w:r>
          </w:p>
        </w:tc>
      </w:tr>
    </w:tbl>
    <w:p w14:paraId="1B841C65" w14:textId="77777777" w:rsidR="00872AE7" w:rsidRPr="00E4265B" w:rsidRDefault="00872AE7" w:rsidP="008A6373">
      <w:pPr>
        <w:pStyle w:val="UK12Title2"/>
        <w:ind w:left="2160"/>
        <w:rPr>
          <w:rFonts w:ascii="Arial" w:hAnsi="Arial" w:cs="Arial"/>
          <w:b w:val="0"/>
          <w:bCs/>
          <w:sz w:val="22"/>
          <w:szCs w:val="22"/>
        </w:rPr>
      </w:pPr>
    </w:p>
    <w:p w14:paraId="50FC361E"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Guidance </w:t>
      </w:r>
    </w:p>
    <w:p w14:paraId="76B50F89" w14:textId="27F92424" w:rsidR="00E22FF2" w:rsidRPr="00E4265B" w:rsidRDefault="00E22FF2" w:rsidP="00E9019A">
      <w:pPr>
        <w:pStyle w:val="1List0"/>
        <w:rPr>
          <w:rFonts w:ascii="Arial" w:hAnsi="Arial" w:cs="Arial"/>
          <w:sz w:val="22"/>
          <w:szCs w:val="22"/>
          <w:lang w:val="en-GB"/>
        </w:rPr>
      </w:pPr>
      <w:r w:rsidRPr="00E4265B">
        <w:rPr>
          <w:rFonts w:ascii="Arial" w:hAnsi="Arial" w:cs="Arial"/>
          <w:sz w:val="22"/>
          <w:szCs w:val="22"/>
          <w:lang w:val="en-GB"/>
        </w:rPr>
        <w:t>1.</w:t>
      </w:r>
      <w:r w:rsidR="00384436" w:rsidRPr="00E4265B">
        <w:rPr>
          <w:rFonts w:ascii="Arial" w:hAnsi="Arial" w:cs="Arial"/>
          <w:sz w:val="22"/>
          <w:szCs w:val="22"/>
          <w:lang w:val="en-GB"/>
        </w:rPr>
        <w:tab/>
      </w:r>
      <w:r w:rsidRPr="00E4265B">
        <w:rPr>
          <w:rFonts w:ascii="Arial" w:hAnsi="Arial" w:cs="Arial"/>
          <w:sz w:val="22"/>
          <w:szCs w:val="22"/>
          <w:lang w:val="en-GB"/>
        </w:rPr>
        <w:t>The following Guidance sets out the Regulator's view</w:t>
      </w:r>
      <w:r w:rsidR="00CC4C1F" w:rsidRPr="00E4265B">
        <w:rPr>
          <w:rFonts w:ascii="Arial" w:hAnsi="Arial" w:cs="Arial"/>
          <w:sz w:val="22"/>
          <w:szCs w:val="22"/>
          <w:lang w:val="en-GB"/>
        </w:rPr>
        <w:t xml:space="preserve">s about how the Table </w:t>
      </w:r>
      <w:r w:rsidR="00E9019A" w:rsidRPr="00E4265B">
        <w:rPr>
          <w:rFonts w:ascii="Arial" w:hAnsi="Arial" w:cs="Arial"/>
          <w:sz w:val="22"/>
          <w:szCs w:val="22"/>
          <w:lang w:val="en-GB"/>
        </w:rPr>
        <w:t>in</w:t>
      </w:r>
      <w:r w:rsidR="00CC4C1F" w:rsidRPr="00E4265B">
        <w:rPr>
          <w:rFonts w:ascii="Arial" w:hAnsi="Arial" w:cs="Arial"/>
          <w:sz w:val="22"/>
          <w:szCs w:val="22"/>
          <w:lang w:val="en-GB"/>
        </w:rPr>
        <w:t xml:space="preserve"> Rule A10</w:t>
      </w:r>
      <w:r w:rsidRPr="00E4265B">
        <w:rPr>
          <w:rFonts w:ascii="Arial" w:hAnsi="Arial" w:cs="Arial"/>
          <w:sz w:val="22"/>
          <w:szCs w:val="22"/>
          <w:lang w:val="en-GB"/>
        </w:rPr>
        <w:t xml:space="preserve">.2.15 should be applied to different items. </w:t>
      </w:r>
    </w:p>
    <w:p w14:paraId="1B21F787"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Retail Deposits: </w:t>
      </w:r>
    </w:p>
    <w:p w14:paraId="0121BA28" w14:textId="2BA9D8AC"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Pr="00E4265B">
        <w:rPr>
          <w:rFonts w:ascii="Arial" w:hAnsi="Arial" w:cs="Arial"/>
          <w:sz w:val="22"/>
          <w:szCs w:val="22"/>
          <w:lang w:val="en-GB"/>
        </w:rPr>
        <w:t xml:space="preserve">Retail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xml:space="preserve"> should include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xml:space="preserve"> from individuals placed with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Deposits from legal entities, sole proprietorships or </w:t>
      </w:r>
      <w:r w:rsidR="00BC49E0" w:rsidRPr="00E4265B">
        <w:rPr>
          <w:rFonts w:ascii="Arial" w:hAnsi="Arial" w:cs="Arial"/>
          <w:sz w:val="22"/>
          <w:szCs w:val="22"/>
          <w:lang w:val="en-GB"/>
        </w:rPr>
        <w:t>Partner</w:t>
      </w:r>
      <w:r w:rsidRPr="00E4265B">
        <w:rPr>
          <w:rFonts w:ascii="Arial" w:hAnsi="Arial" w:cs="Arial"/>
          <w:sz w:val="22"/>
          <w:szCs w:val="22"/>
          <w:lang w:val="en-GB"/>
        </w:rPr>
        <w:t xml:space="preserve">ships should be included in wholesale </w:t>
      </w:r>
      <w:r w:rsidR="006C764B" w:rsidRPr="00E4265B">
        <w:rPr>
          <w:rFonts w:ascii="Arial" w:hAnsi="Arial" w:cs="Arial"/>
          <w:sz w:val="22"/>
          <w:szCs w:val="22"/>
          <w:lang w:val="en-GB"/>
        </w:rPr>
        <w:t>Deposit</w:t>
      </w:r>
      <w:r w:rsidRPr="00E4265B">
        <w:rPr>
          <w:rFonts w:ascii="Arial" w:hAnsi="Arial" w:cs="Arial"/>
          <w:sz w:val="22"/>
          <w:szCs w:val="22"/>
          <w:lang w:val="en-GB"/>
        </w:rPr>
        <w:t xml:space="preserve"> categories. Deposits may include demand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xml:space="preserve"> and term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xml:space="preserve">, unless otherwise excluded. </w:t>
      </w:r>
    </w:p>
    <w:p w14:paraId="47B4AB07" w14:textId="5A9070FA" w:rsidR="00E22FF2" w:rsidRPr="00E4265B" w:rsidRDefault="00E22FF2" w:rsidP="00E9019A">
      <w:pPr>
        <w:pStyle w:val="1List0"/>
        <w:rPr>
          <w:rFonts w:ascii="Arial" w:hAnsi="Arial" w:cs="Arial"/>
          <w:sz w:val="22"/>
          <w:szCs w:val="22"/>
          <w:lang w:val="en-GB"/>
        </w:rPr>
      </w:pPr>
      <w:r w:rsidRPr="00E4265B">
        <w:rPr>
          <w:rFonts w:ascii="Arial" w:hAnsi="Arial" w:cs="Arial"/>
          <w:sz w:val="22"/>
          <w:szCs w:val="22"/>
          <w:lang w:val="en-GB"/>
        </w:rPr>
        <w:t>3.</w:t>
      </w:r>
      <w:r w:rsidR="00384436" w:rsidRPr="00E4265B">
        <w:rPr>
          <w:rFonts w:ascii="Arial" w:hAnsi="Arial" w:cs="Arial"/>
          <w:sz w:val="22"/>
          <w:szCs w:val="22"/>
          <w:lang w:val="en-GB"/>
        </w:rPr>
        <w:tab/>
      </w:r>
      <w:r w:rsidRPr="00E4265B">
        <w:rPr>
          <w:rFonts w:ascii="Arial" w:hAnsi="Arial" w:cs="Arial"/>
          <w:sz w:val="22"/>
          <w:szCs w:val="22"/>
          <w:lang w:val="en-GB"/>
        </w:rPr>
        <w:t xml:space="preserve">Deposits from individuals are divided under the Table into 'stable' and 'less stable'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xml:space="preserve">. Stable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xml:space="preserve"> should include the portion of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xml:space="preserve"> that are fully covered by an effective </w:t>
      </w:r>
      <w:r w:rsidR="006C764B" w:rsidRPr="00E4265B">
        <w:rPr>
          <w:rFonts w:ascii="Arial" w:hAnsi="Arial" w:cs="Arial"/>
          <w:sz w:val="22"/>
          <w:szCs w:val="22"/>
          <w:lang w:val="en-GB"/>
        </w:rPr>
        <w:t>Deposit</w:t>
      </w:r>
      <w:r w:rsidRPr="00E4265B">
        <w:rPr>
          <w:rFonts w:ascii="Arial" w:hAnsi="Arial" w:cs="Arial"/>
          <w:sz w:val="22"/>
          <w:szCs w:val="22"/>
          <w:lang w:val="en-GB"/>
        </w:rPr>
        <w:t xml:space="preserve"> insurance scheme or by a public guarantee that provides equivalent protection and where: </w:t>
      </w:r>
    </w:p>
    <w:p w14:paraId="79120BB5" w14:textId="2C322C1B"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the depositor has other established relationships with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that make </w:t>
      </w:r>
      <w:r w:rsidR="006C764B" w:rsidRPr="00E4265B">
        <w:rPr>
          <w:rFonts w:ascii="Arial" w:hAnsi="Arial" w:cs="Arial"/>
          <w:sz w:val="22"/>
          <w:szCs w:val="22"/>
          <w:lang w:val="en-GB"/>
        </w:rPr>
        <w:t>Deposit</w:t>
      </w:r>
      <w:r w:rsidRPr="00E4265B">
        <w:rPr>
          <w:rFonts w:ascii="Arial" w:hAnsi="Arial" w:cs="Arial"/>
          <w:sz w:val="22"/>
          <w:szCs w:val="22"/>
          <w:lang w:val="en-GB"/>
        </w:rPr>
        <w:t xml:space="preserve"> withdrawal highly unlikely; or </w:t>
      </w:r>
    </w:p>
    <w:p w14:paraId="44580960" w14:textId="0224E621"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the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Pr="00E4265B">
        <w:rPr>
          <w:rFonts w:ascii="Arial" w:hAnsi="Arial" w:cs="Arial"/>
          <w:sz w:val="22"/>
          <w:szCs w:val="22"/>
          <w:lang w:val="en-GB"/>
        </w:rPr>
        <w:t xml:space="preserve"> are in transactional accounts (e.g. accounts where salaries are automatically credited). </w:t>
      </w:r>
    </w:p>
    <w:p w14:paraId="006C9400" w14:textId="5815B251" w:rsidR="00E22FF2" w:rsidRPr="00E4265B" w:rsidRDefault="00E9019A" w:rsidP="00A66872">
      <w:pPr>
        <w:pStyle w:val="1List0"/>
        <w:rPr>
          <w:rFonts w:ascii="Arial" w:hAnsi="Arial" w:cs="Arial"/>
          <w:sz w:val="22"/>
          <w:szCs w:val="22"/>
          <w:lang w:val="en-GB"/>
        </w:rPr>
      </w:pPr>
      <w:r w:rsidRPr="00E4265B">
        <w:rPr>
          <w:rFonts w:ascii="Arial" w:hAnsi="Arial" w:cs="Arial"/>
          <w:sz w:val="22"/>
          <w:szCs w:val="22"/>
          <w:lang w:val="en-GB"/>
        </w:rPr>
        <w:t>4</w:t>
      </w:r>
      <w:r w:rsidR="00E22FF2" w:rsidRPr="00E4265B">
        <w:rPr>
          <w:rFonts w:ascii="Arial" w:hAnsi="Arial" w:cs="Arial"/>
          <w:sz w:val="22"/>
          <w:szCs w:val="22"/>
          <w:lang w:val="en-GB"/>
        </w:rPr>
        <w:t>.</w:t>
      </w:r>
      <w:r w:rsidR="00384436" w:rsidRPr="00E4265B">
        <w:rPr>
          <w:rFonts w:ascii="Arial" w:hAnsi="Arial" w:cs="Arial"/>
          <w:sz w:val="22"/>
          <w:szCs w:val="22"/>
          <w:lang w:val="en-GB"/>
        </w:rPr>
        <w:tab/>
      </w:r>
      <w:r w:rsidR="00E22FF2" w:rsidRPr="00E4265B">
        <w:rPr>
          <w:rFonts w:ascii="Arial" w:hAnsi="Arial" w:cs="Arial"/>
          <w:sz w:val="22"/>
          <w:szCs w:val="22"/>
          <w:lang w:val="en-GB"/>
        </w:rPr>
        <w:t xml:space="preserve">If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is not able to readily identify which retail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00E22FF2" w:rsidRPr="00E4265B">
        <w:rPr>
          <w:rFonts w:ascii="Arial" w:hAnsi="Arial" w:cs="Arial"/>
          <w:sz w:val="22"/>
          <w:szCs w:val="22"/>
          <w:lang w:val="en-GB"/>
        </w:rPr>
        <w:t xml:space="preserve"> would qualify as "stable" according to paragraph 4, it should place the full amount in the "less stable" buckets. </w:t>
      </w:r>
    </w:p>
    <w:p w14:paraId="60767B98" w14:textId="5B77B040" w:rsidR="00E22FF2" w:rsidRPr="00E4265B" w:rsidRDefault="00E9019A" w:rsidP="00A66872">
      <w:pPr>
        <w:pStyle w:val="1List0"/>
        <w:rPr>
          <w:rFonts w:ascii="Arial" w:hAnsi="Arial" w:cs="Arial"/>
          <w:sz w:val="22"/>
          <w:szCs w:val="22"/>
          <w:lang w:val="en-GB"/>
        </w:rPr>
      </w:pPr>
      <w:r w:rsidRPr="00E4265B">
        <w:rPr>
          <w:rFonts w:ascii="Arial" w:hAnsi="Arial" w:cs="Arial"/>
          <w:sz w:val="22"/>
          <w:szCs w:val="22"/>
          <w:lang w:val="en-GB"/>
        </w:rPr>
        <w:t>5</w:t>
      </w:r>
      <w:r w:rsidR="00E22FF2" w:rsidRPr="00E4265B">
        <w:rPr>
          <w:rFonts w:ascii="Arial" w:hAnsi="Arial" w:cs="Arial"/>
          <w:sz w:val="22"/>
          <w:szCs w:val="22"/>
          <w:lang w:val="en-GB"/>
        </w:rPr>
        <w:t>.</w:t>
      </w:r>
      <w:r w:rsidR="00384436" w:rsidRPr="00E4265B">
        <w:rPr>
          <w:rFonts w:ascii="Arial" w:hAnsi="Arial" w:cs="Arial"/>
          <w:sz w:val="22"/>
          <w:szCs w:val="22"/>
          <w:lang w:val="en-GB"/>
        </w:rPr>
        <w:tab/>
      </w:r>
      <w:r w:rsidR="00E22FF2" w:rsidRPr="00E4265B">
        <w:rPr>
          <w:rFonts w:ascii="Arial" w:hAnsi="Arial" w:cs="Arial"/>
          <w:sz w:val="22"/>
          <w:szCs w:val="22"/>
          <w:lang w:val="en-GB"/>
        </w:rPr>
        <w:t xml:space="preserve">Less stable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00E22FF2" w:rsidRPr="00E4265B">
        <w:rPr>
          <w:rFonts w:ascii="Arial" w:hAnsi="Arial" w:cs="Arial"/>
          <w:sz w:val="22"/>
          <w:szCs w:val="22"/>
          <w:lang w:val="en-GB"/>
        </w:rPr>
        <w:t xml:space="preserve"> should consist of the portion of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00E22FF2" w:rsidRPr="00E4265B">
        <w:rPr>
          <w:rFonts w:ascii="Arial" w:hAnsi="Arial" w:cs="Arial"/>
          <w:sz w:val="22"/>
          <w:szCs w:val="22"/>
          <w:lang w:val="en-GB"/>
        </w:rPr>
        <w:t xml:space="preserve"> that do not meet the conditions in paragraph 4 and also include types of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00E22FF2" w:rsidRPr="00E4265B">
        <w:rPr>
          <w:rFonts w:ascii="Arial" w:hAnsi="Arial" w:cs="Arial"/>
          <w:sz w:val="22"/>
          <w:szCs w:val="22"/>
          <w:lang w:val="en-GB"/>
        </w:rPr>
        <w:t xml:space="preserve"> more likely to be withdrawn in a time of stress. These should include high-value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00E22FF2" w:rsidRPr="00E4265B">
        <w:rPr>
          <w:rFonts w:ascii="Arial" w:hAnsi="Arial" w:cs="Arial"/>
          <w:sz w:val="22"/>
          <w:szCs w:val="22"/>
          <w:lang w:val="en-GB"/>
        </w:rPr>
        <w:t xml:space="preserve"> (i.e.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00E22FF2" w:rsidRPr="00E4265B">
        <w:rPr>
          <w:rFonts w:ascii="Arial" w:hAnsi="Arial" w:cs="Arial"/>
          <w:sz w:val="22"/>
          <w:szCs w:val="22"/>
          <w:lang w:val="en-GB"/>
        </w:rPr>
        <w:t xml:space="preserve"> above any </w:t>
      </w:r>
      <w:r w:rsidR="006C764B" w:rsidRPr="00E4265B">
        <w:rPr>
          <w:rFonts w:ascii="Arial" w:hAnsi="Arial" w:cs="Arial"/>
          <w:sz w:val="22"/>
          <w:szCs w:val="22"/>
          <w:lang w:val="en-GB"/>
        </w:rPr>
        <w:t>Deposit</w:t>
      </w:r>
      <w:r w:rsidR="00E22FF2" w:rsidRPr="00E4265B">
        <w:rPr>
          <w:rFonts w:ascii="Arial" w:hAnsi="Arial" w:cs="Arial"/>
          <w:sz w:val="22"/>
          <w:szCs w:val="22"/>
          <w:lang w:val="en-GB"/>
        </w:rPr>
        <w:t xml:space="preserve"> insurance limit), </w:t>
      </w:r>
      <w:r w:rsidR="006C764B" w:rsidRPr="00E4265B">
        <w:rPr>
          <w:rFonts w:ascii="Arial" w:hAnsi="Arial" w:cs="Arial"/>
          <w:sz w:val="22"/>
          <w:szCs w:val="22"/>
          <w:lang w:val="en-GB"/>
        </w:rPr>
        <w:t>Deposit</w:t>
      </w:r>
      <w:r w:rsidR="00A72B66" w:rsidRPr="00E4265B">
        <w:rPr>
          <w:rFonts w:ascii="Arial" w:hAnsi="Arial" w:cs="Arial"/>
          <w:sz w:val="22"/>
          <w:szCs w:val="22"/>
          <w:lang w:val="en-GB"/>
        </w:rPr>
        <w:t>s</w:t>
      </w:r>
      <w:r w:rsidR="00E22FF2" w:rsidRPr="00E4265B">
        <w:rPr>
          <w:rFonts w:ascii="Arial" w:hAnsi="Arial" w:cs="Arial"/>
          <w:sz w:val="22"/>
          <w:szCs w:val="22"/>
          <w:lang w:val="en-GB"/>
        </w:rPr>
        <w:t xml:space="preserve"> from customers who do not have established relationships with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that make the </w:t>
      </w:r>
      <w:r w:rsidR="006C764B" w:rsidRPr="00E4265B">
        <w:rPr>
          <w:rFonts w:ascii="Arial" w:hAnsi="Arial" w:cs="Arial"/>
          <w:sz w:val="22"/>
          <w:szCs w:val="22"/>
          <w:lang w:val="en-GB"/>
        </w:rPr>
        <w:t>Deposit</w:t>
      </w:r>
      <w:r w:rsidR="00E22FF2" w:rsidRPr="00E4265B">
        <w:rPr>
          <w:rFonts w:ascii="Arial" w:hAnsi="Arial" w:cs="Arial"/>
          <w:sz w:val="22"/>
          <w:szCs w:val="22"/>
          <w:lang w:val="en-GB"/>
        </w:rPr>
        <w:t xml:space="preserve"> withdrawal unlikely, </w:t>
      </w:r>
      <w:r w:rsidR="006C764B" w:rsidRPr="00E4265B">
        <w:rPr>
          <w:rFonts w:ascii="Arial" w:hAnsi="Arial" w:cs="Arial"/>
          <w:sz w:val="22"/>
          <w:szCs w:val="22"/>
          <w:lang w:val="en-GB"/>
        </w:rPr>
        <w:t>Deposit</w:t>
      </w:r>
      <w:r w:rsidR="009F78FF" w:rsidRPr="00E4265B">
        <w:rPr>
          <w:rFonts w:ascii="Arial" w:hAnsi="Arial" w:cs="Arial"/>
          <w:sz w:val="22"/>
          <w:szCs w:val="22"/>
          <w:lang w:val="en-GB"/>
        </w:rPr>
        <w:t>s</w:t>
      </w:r>
      <w:r w:rsidR="00E22FF2" w:rsidRPr="00E4265B">
        <w:rPr>
          <w:rFonts w:ascii="Arial" w:hAnsi="Arial" w:cs="Arial"/>
          <w:sz w:val="22"/>
          <w:szCs w:val="22"/>
          <w:lang w:val="en-GB"/>
        </w:rPr>
        <w:t xml:space="preserve"> from sophisticated or high net worth individuals, </w:t>
      </w:r>
      <w:r w:rsidR="006C764B" w:rsidRPr="00E4265B">
        <w:rPr>
          <w:rFonts w:ascii="Arial" w:hAnsi="Arial" w:cs="Arial"/>
          <w:sz w:val="22"/>
          <w:szCs w:val="22"/>
          <w:lang w:val="en-GB"/>
        </w:rPr>
        <w:t>Deposit</w:t>
      </w:r>
      <w:r w:rsidR="009F78FF" w:rsidRPr="00E4265B">
        <w:rPr>
          <w:rFonts w:ascii="Arial" w:hAnsi="Arial" w:cs="Arial"/>
          <w:sz w:val="22"/>
          <w:szCs w:val="22"/>
          <w:lang w:val="en-GB"/>
        </w:rPr>
        <w:t>s</w:t>
      </w:r>
      <w:r w:rsidR="00E22FF2" w:rsidRPr="00E4265B">
        <w:rPr>
          <w:rFonts w:ascii="Arial" w:hAnsi="Arial" w:cs="Arial"/>
          <w:sz w:val="22"/>
          <w:szCs w:val="22"/>
          <w:lang w:val="en-GB"/>
        </w:rPr>
        <w:t xml:space="preserve"> where the internet is integral to the design, marketing and use of the account (on-line accounts) and </w:t>
      </w:r>
      <w:r w:rsidR="006C764B" w:rsidRPr="00E4265B">
        <w:rPr>
          <w:rFonts w:ascii="Arial" w:hAnsi="Arial" w:cs="Arial"/>
          <w:sz w:val="22"/>
          <w:szCs w:val="22"/>
          <w:lang w:val="en-GB"/>
        </w:rPr>
        <w:t>Deposit</w:t>
      </w:r>
      <w:r w:rsidR="009F78FF" w:rsidRPr="00E4265B">
        <w:rPr>
          <w:rFonts w:ascii="Arial" w:hAnsi="Arial" w:cs="Arial"/>
          <w:sz w:val="22"/>
          <w:szCs w:val="22"/>
          <w:lang w:val="en-GB"/>
        </w:rPr>
        <w:t>s</w:t>
      </w:r>
      <w:r w:rsidR="00E22FF2" w:rsidRPr="00E4265B">
        <w:rPr>
          <w:rFonts w:ascii="Arial" w:hAnsi="Arial" w:cs="Arial"/>
          <w:sz w:val="22"/>
          <w:szCs w:val="22"/>
          <w:lang w:val="en-GB"/>
        </w:rPr>
        <w:t xml:space="preserve"> with promotional interest rates (i.e. that are heavily rate-driven). </w:t>
      </w:r>
    </w:p>
    <w:p w14:paraId="3C706DE2" w14:textId="71F13716" w:rsidR="00E22FF2" w:rsidRPr="00E4265B" w:rsidRDefault="00E9019A" w:rsidP="00C55E84">
      <w:pPr>
        <w:pStyle w:val="1List0"/>
        <w:rPr>
          <w:rFonts w:ascii="Arial" w:hAnsi="Arial" w:cs="Arial"/>
          <w:sz w:val="22"/>
          <w:szCs w:val="22"/>
          <w:lang w:val="en-GB"/>
        </w:rPr>
      </w:pPr>
      <w:r w:rsidRPr="00E4265B">
        <w:rPr>
          <w:rFonts w:ascii="Arial" w:hAnsi="Arial" w:cs="Arial"/>
          <w:sz w:val="22"/>
          <w:szCs w:val="22"/>
          <w:lang w:val="en-GB"/>
        </w:rPr>
        <w:lastRenderedPageBreak/>
        <w:t>6</w:t>
      </w:r>
      <w:r w:rsidR="00E22FF2" w:rsidRPr="00E4265B">
        <w:rPr>
          <w:rFonts w:ascii="Arial" w:hAnsi="Arial" w:cs="Arial"/>
          <w:sz w:val="22"/>
          <w:szCs w:val="22"/>
          <w:lang w:val="en-GB"/>
        </w:rPr>
        <w:t>.</w:t>
      </w:r>
      <w:r w:rsidR="00384436" w:rsidRPr="00E4265B">
        <w:rPr>
          <w:rFonts w:ascii="Arial" w:hAnsi="Arial" w:cs="Arial"/>
          <w:sz w:val="22"/>
          <w:szCs w:val="22"/>
          <w:lang w:val="en-GB"/>
        </w:rPr>
        <w:tab/>
      </w:r>
      <w:r w:rsidR="00E22FF2" w:rsidRPr="00E4265B">
        <w:rPr>
          <w:rFonts w:ascii="Arial" w:hAnsi="Arial" w:cs="Arial"/>
          <w:sz w:val="22"/>
          <w:szCs w:val="22"/>
          <w:lang w:val="en-GB"/>
        </w:rPr>
        <w:t xml:space="preserve">Cash outflows related to retail term </w:t>
      </w:r>
      <w:r w:rsidR="006C764B" w:rsidRPr="00E4265B">
        <w:rPr>
          <w:rFonts w:ascii="Arial" w:hAnsi="Arial" w:cs="Arial"/>
          <w:sz w:val="22"/>
          <w:szCs w:val="22"/>
          <w:lang w:val="en-GB"/>
        </w:rPr>
        <w:t>Deposit</w:t>
      </w:r>
      <w:r w:rsidR="009F78FF" w:rsidRPr="00E4265B">
        <w:rPr>
          <w:rFonts w:ascii="Arial" w:hAnsi="Arial" w:cs="Arial"/>
          <w:sz w:val="22"/>
          <w:szCs w:val="22"/>
          <w:lang w:val="en-GB"/>
        </w:rPr>
        <w:t>s</w:t>
      </w:r>
      <w:r w:rsidR="00E22FF2" w:rsidRPr="00E4265B">
        <w:rPr>
          <w:rFonts w:ascii="Arial" w:hAnsi="Arial" w:cs="Arial"/>
          <w:sz w:val="22"/>
          <w:szCs w:val="22"/>
          <w:lang w:val="en-GB"/>
        </w:rPr>
        <w:t xml:space="preserve"> with a residual maturity or withdrawal notice period of greater than 30 days should be excluded from total expected cash outflows only if the depositor has no legal right to withdraw </w:t>
      </w:r>
      <w:r w:rsidR="006C764B" w:rsidRPr="00E4265B">
        <w:rPr>
          <w:rFonts w:ascii="Arial" w:hAnsi="Arial" w:cs="Arial"/>
          <w:sz w:val="22"/>
          <w:szCs w:val="22"/>
          <w:lang w:val="en-GB"/>
        </w:rPr>
        <w:t>Deposit</w:t>
      </w:r>
      <w:r w:rsidR="009F78FF" w:rsidRPr="00E4265B">
        <w:rPr>
          <w:rFonts w:ascii="Arial" w:hAnsi="Arial" w:cs="Arial"/>
          <w:sz w:val="22"/>
          <w:szCs w:val="22"/>
          <w:lang w:val="en-GB"/>
        </w:rPr>
        <w:t>s</w:t>
      </w:r>
      <w:r w:rsidR="00E22FF2" w:rsidRPr="00E4265B">
        <w:rPr>
          <w:rFonts w:ascii="Arial" w:hAnsi="Arial" w:cs="Arial"/>
          <w:sz w:val="22"/>
          <w:szCs w:val="22"/>
          <w:lang w:val="en-GB"/>
        </w:rPr>
        <w:t xml:space="preserve"> within the 30-day period of the LCR, or if early withdrawal results in a significant penalty that is materially greater than the loss of interest. If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allows a depositor to withdraw such </w:t>
      </w:r>
      <w:r w:rsidR="006C764B" w:rsidRPr="00E4265B">
        <w:rPr>
          <w:rFonts w:ascii="Arial" w:hAnsi="Arial" w:cs="Arial"/>
          <w:sz w:val="22"/>
          <w:szCs w:val="22"/>
          <w:lang w:val="en-GB"/>
        </w:rPr>
        <w:t>Deposit</w:t>
      </w:r>
      <w:r w:rsidR="009F78FF" w:rsidRPr="00E4265B">
        <w:rPr>
          <w:rFonts w:ascii="Arial" w:hAnsi="Arial" w:cs="Arial"/>
          <w:sz w:val="22"/>
          <w:szCs w:val="22"/>
          <w:lang w:val="en-GB"/>
        </w:rPr>
        <w:t>s</w:t>
      </w:r>
      <w:r w:rsidR="00E22FF2" w:rsidRPr="00E4265B">
        <w:rPr>
          <w:rFonts w:ascii="Arial" w:hAnsi="Arial" w:cs="Arial"/>
          <w:sz w:val="22"/>
          <w:szCs w:val="22"/>
          <w:lang w:val="en-GB"/>
        </w:rPr>
        <w:t xml:space="preserve"> despite a clause that says the depositor has no legal right to withdraw, the entire category of these funds should be treated as demand </w:t>
      </w:r>
      <w:r w:rsidR="006C764B" w:rsidRPr="00E4265B">
        <w:rPr>
          <w:rFonts w:ascii="Arial" w:hAnsi="Arial" w:cs="Arial"/>
          <w:sz w:val="22"/>
          <w:szCs w:val="22"/>
          <w:lang w:val="en-GB"/>
        </w:rPr>
        <w:t>Deposit</w:t>
      </w:r>
      <w:r w:rsidR="009F78FF" w:rsidRPr="00E4265B">
        <w:rPr>
          <w:rFonts w:ascii="Arial" w:hAnsi="Arial" w:cs="Arial"/>
          <w:sz w:val="22"/>
          <w:szCs w:val="22"/>
          <w:lang w:val="en-GB"/>
        </w:rPr>
        <w:t>s</w:t>
      </w:r>
      <w:r w:rsidR="00E22FF2" w:rsidRPr="00E4265B">
        <w:rPr>
          <w:rFonts w:ascii="Arial" w:hAnsi="Arial" w:cs="Arial"/>
          <w:sz w:val="22"/>
          <w:szCs w:val="22"/>
          <w:lang w:val="en-GB"/>
        </w:rPr>
        <w:t xml:space="preserve">. </w:t>
      </w:r>
    </w:p>
    <w:p w14:paraId="4034391D"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Unsecured wholesale funding: </w:t>
      </w:r>
    </w:p>
    <w:p w14:paraId="2E7FE85A" w14:textId="5769BD8D" w:rsidR="00E22FF2" w:rsidRPr="00E4265B" w:rsidRDefault="00E9019A" w:rsidP="00A66872">
      <w:pPr>
        <w:pStyle w:val="1List0"/>
        <w:rPr>
          <w:rFonts w:ascii="Arial" w:hAnsi="Arial" w:cs="Arial"/>
          <w:sz w:val="22"/>
          <w:szCs w:val="22"/>
          <w:lang w:val="en-GB"/>
        </w:rPr>
      </w:pPr>
      <w:r w:rsidRPr="00E4265B">
        <w:rPr>
          <w:rFonts w:ascii="Arial" w:hAnsi="Arial" w:cs="Arial"/>
          <w:sz w:val="22"/>
          <w:szCs w:val="22"/>
          <w:lang w:val="en-GB"/>
        </w:rPr>
        <w:t>7</w:t>
      </w:r>
      <w:r w:rsidR="00E22FF2" w:rsidRPr="00E4265B">
        <w:rPr>
          <w:rFonts w:ascii="Arial" w:hAnsi="Arial" w:cs="Arial"/>
          <w:sz w:val="22"/>
          <w:szCs w:val="22"/>
          <w:lang w:val="en-GB"/>
        </w:rPr>
        <w:t>.</w:t>
      </w:r>
      <w:r w:rsidR="00384436" w:rsidRPr="00E4265B">
        <w:rPr>
          <w:rFonts w:ascii="Arial" w:hAnsi="Arial" w:cs="Arial"/>
          <w:sz w:val="22"/>
          <w:szCs w:val="22"/>
          <w:lang w:val="en-GB"/>
        </w:rPr>
        <w:tab/>
      </w:r>
      <w:r w:rsidR="00E22FF2" w:rsidRPr="00E4265B">
        <w:rPr>
          <w:rFonts w:ascii="Arial" w:hAnsi="Arial" w:cs="Arial"/>
          <w:sz w:val="22"/>
          <w:szCs w:val="22"/>
          <w:lang w:val="en-GB"/>
        </w:rPr>
        <w:t xml:space="preserve">Unsecured wholesale funding should consist of liabilities and general obligations raised from non-natural </w:t>
      </w:r>
      <w:r w:rsidR="0005735E" w:rsidRPr="00E4265B">
        <w:rPr>
          <w:rFonts w:ascii="Arial" w:hAnsi="Arial" w:cs="Arial"/>
          <w:sz w:val="22"/>
          <w:szCs w:val="22"/>
          <w:lang w:val="en-GB"/>
        </w:rPr>
        <w:t>Persons</w:t>
      </w:r>
      <w:r w:rsidR="00E22FF2" w:rsidRPr="00E4265B">
        <w:rPr>
          <w:rFonts w:ascii="Arial" w:hAnsi="Arial" w:cs="Arial"/>
          <w:sz w:val="22"/>
          <w:szCs w:val="22"/>
          <w:lang w:val="en-GB"/>
        </w:rPr>
        <w:t xml:space="preserve"> (i.e. legal entities, including sole proprietorships and </w:t>
      </w:r>
      <w:r w:rsidR="00BC49E0" w:rsidRPr="00E4265B">
        <w:rPr>
          <w:rFonts w:ascii="Arial" w:hAnsi="Arial" w:cs="Arial"/>
          <w:sz w:val="22"/>
          <w:szCs w:val="22"/>
          <w:lang w:val="en-GB"/>
        </w:rPr>
        <w:t>Partner</w:t>
      </w:r>
      <w:r w:rsidR="00E22FF2" w:rsidRPr="00E4265B">
        <w:rPr>
          <w:rFonts w:ascii="Arial" w:hAnsi="Arial" w:cs="Arial"/>
          <w:sz w:val="22"/>
          <w:szCs w:val="22"/>
          <w:lang w:val="en-GB"/>
        </w:rPr>
        <w:t xml:space="preserve">ships) and not collateralised by legal rights to specifically designated assets owned by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accepting the </w:t>
      </w:r>
      <w:r w:rsidR="006C764B" w:rsidRPr="00E4265B">
        <w:rPr>
          <w:rFonts w:ascii="Arial" w:hAnsi="Arial" w:cs="Arial"/>
          <w:sz w:val="22"/>
          <w:szCs w:val="22"/>
          <w:lang w:val="en-GB"/>
        </w:rPr>
        <w:t>Deposit</w:t>
      </w:r>
      <w:r w:rsidR="00E22FF2" w:rsidRPr="00E4265B">
        <w:rPr>
          <w:rFonts w:ascii="Arial" w:hAnsi="Arial" w:cs="Arial"/>
          <w:sz w:val="22"/>
          <w:szCs w:val="22"/>
          <w:lang w:val="en-GB"/>
        </w:rPr>
        <w:t xml:space="preserve"> in the case of bankruptcy, insolvency, liquidation or resolution. Obligations related to </w:t>
      </w:r>
      <w:r w:rsidR="005F3B3B" w:rsidRPr="00E4265B">
        <w:rPr>
          <w:rFonts w:ascii="Arial" w:hAnsi="Arial" w:cs="Arial"/>
          <w:sz w:val="22"/>
          <w:szCs w:val="22"/>
          <w:lang w:val="en-GB"/>
        </w:rPr>
        <w:t>Derivative</w:t>
      </w:r>
      <w:r w:rsidR="00E22FF2" w:rsidRPr="00E4265B">
        <w:rPr>
          <w:rFonts w:ascii="Arial" w:hAnsi="Arial" w:cs="Arial"/>
          <w:sz w:val="22"/>
          <w:szCs w:val="22"/>
          <w:lang w:val="en-GB"/>
        </w:rPr>
        <w:t xml:space="preserve"> contracts should be excluded from this category. </w:t>
      </w:r>
    </w:p>
    <w:p w14:paraId="7C017DDD" w14:textId="5B5654AD" w:rsidR="00E22FF2" w:rsidRPr="00E4265B" w:rsidRDefault="00E9019A" w:rsidP="00A66872">
      <w:pPr>
        <w:pStyle w:val="1List0"/>
        <w:rPr>
          <w:rFonts w:ascii="Arial" w:hAnsi="Arial" w:cs="Arial"/>
          <w:sz w:val="22"/>
          <w:szCs w:val="22"/>
          <w:lang w:val="en-GB"/>
        </w:rPr>
      </w:pPr>
      <w:r w:rsidRPr="00E4265B">
        <w:rPr>
          <w:rFonts w:ascii="Arial" w:hAnsi="Arial" w:cs="Arial"/>
          <w:sz w:val="22"/>
          <w:szCs w:val="22"/>
          <w:lang w:val="en-GB"/>
        </w:rPr>
        <w:t>8</w:t>
      </w:r>
      <w:r w:rsidR="00E22FF2" w:rsidRPr="00E4265B">
        <w:rPr>
          <w:rFonts w:ascii="Arial" w:hAnsi="Arial" w:cs="Arial"/>
          <w:sz w:val="22"/>
          <w:szCs w:val="22"/>
          <w:lang w:val="en-GB"/>
        </w:rPr>
        <w:t>.</w:t>
      </w:r>
      <w:r w:rsidR="00384436" w:rsidRPr="00E4265B">
        <w:rPr>
          <w:rFonts w:ascii="Arial" w:hAnsi="Arial" w:cs="Arial"/>
          <w:sz w:val="22"/>
          <w:szCs w:val="22"/>
          <w:lang w:val="en-GB"/>
        </w:rPr>
        <w:tab/>
      </w:r>
      <w:r w:rsidR="00E22FF2" w:rsidRPr="00E4265B">
        <w:rPr>
          <w:rFonts w:ascii="Arial" w:hAnsi="Arial" w:cs="Arial"/>
          <w:sz w:val="22"/>
          <w:szCs w:val="22"/>
          <w:lang w:val="en-GB"/>
        </w:rPr>
        <w:t xml:space="preserve">The wholesale funding included in the LCR should consist of all funding that is callable within the LCR's period of 30 days or that has its earliest possible contractual maturity date within this period (such as maturing term </w:t>
      </w:r>
      <w:r w:rsidR="006C764B" w:rsidRPr="00E4265B">
        <w:rPr>
          <w:rFonts w:ascii="Arial" w:hAnsi="Arial" w:cs="Arial"/>
          <w:sz w:val="22"/>
          <w:szCs w:val="22"/>
          <w:lang w:val="en-GB"/>
        </w:rPr>
        <w:t>Deposit</w:t>
      </w:r>
      <w:r w:rsidR="00FF62EE" w:rsidRPr="00E4265B">
        <w:rPr>
          <w:rFonts w:ascii="Arial" w:hAnsi="Arial" w:cs="Arial"/>
          <w:sz w:val="22"/>
          <w:szCs w:val="22"/>
          <w:lang w:val="en-GB"/>
        </w:rPr>
        <w:t>s</w:t>
      </w:r>
      <w:r w:rsidR="00E22FF2" w:rsidRPr="00E4265B">
        <w:rPr>
          <w:rFonts w:ascii="Arial" w:hAnsi="Arial" w:cs="Arial"/>
          <w:sz w:val="22"/>
          <w:szCs w:val="22"/>
          <w:lang w:val="en-GB"/>
        </w:rPr>
        <w:t xml:space="preserve"> and unsecured debt </w:t>
      </w:r>
      <w:r w:rsidR="00877CEA" w:rsidRPr="00E4265B">
        <w:rPr>
          <w:rFonts w:ascii="Arial" w:hAnsi="Arial" w:cs="Arial"/>
          <w:sz w:val="22"/>
          <w:szCs w:val="22"/>
          <w:lang w:val="en-GB"/>
        </w:rPr>
        <w:t>Securities</w:t>
      </w:r>
      <w:r w:rsidR="00E22FF2" w:rsidRPr="00E4265B">
        <w:rPr>
          <w:rFonts w:ascii="Arial" w:hAnsi="Arial" w:cs="Arial"/>
          <w:sz w:val="22"/>
          <w:szCs w:val="22"/>
          <w:lang w:val="en-GB"/>
        </w:rPr>
        <w:t xml:space="preserve">), as well as funding with an undetermined maturity. This should include all funding with </w:t>
      </w:r>
      <w:r w:rsidR="00BC49E0" w:rsidRPr="00E4265B">
        <w:rPr>
          <w:rFonts w:ascii="Arial" w:hAnsi="Arial" w:cs="Arial"/>
          <w:sz w:val="22"/>
          <w:szCs w:val="22"/>
          <w:lang w:val="en-GB"/>
        </w:rPr>
        <w:t>Option</w:t>
      </w:r>
      <w:r w:rsidR="00E22FF2" w:rsidRPr="00E4265B">
        <w:rPr>
          <w:rFonts w:ascii="Arial" w:hAnsi="Arial" w:cs="Arial"/>
          <w:sz w:val="22"/>
          <w:szCs w:val="22"/>
          <w:lang w:val="en-GB"/>
        </w:rPr>
        <w:t xml:space="preserve">s that are exercisable at the investor's discretion within the 30-day period. </w:t>
      </w:r>
    </w:p>
    <w:p w14:paraId="604677D3" w14:textId="634DFA64" w:rsidR="00E22FF2" w:rsidRPr="00E4265B" w:rsidRDefault="00E9019A" w:rsidP="00E9019A">
      <w:pPr>
        <w:pStyle w:val="1List0"/>
        <w:rPr>
          <w:rFonts w:ascii="Arial" w:hAnsi="Arial" w:cs="Arial"/>
          <w:sz w:val="22"/>
          <w:szCs w:val="22"/>
          <w:lang w:val="en-GB"/>
        </w:rPr>
      </w:pPr>
      <w:r w:rsidRPr="00E4265B">
        <w:rPr>
          <w:rFonts w:ascii="Arial" w:hAnsi="Arial" w:cs="Arial"/>
          <w:sz w:val="22"/>
          <w:szCs w:val="22"/>
          <w:lang w:val="en-GB"/>
        </w:rPr>
        <w:t>9</w:t>
      </w:r>
      <w:r w:rsidR="00E22FF2" w:rsidRPr="00E4265B">
        <w:rPr>
          <w:rFonts w:ascii="Arial" w:hAnsi="Arial" w:cs="Arial"/>
          <w:sz w:val="22"/>
          <w:szCs w:val="22"/>
          <w:lang w:val="en-GB"/>
        </w:rPr>
        <w:t>.</w:t>
      </w:r>
      <w:r w:rsidR="00384436" w:rsidRPr="00E4265B">
        <w:rPr>
          <w:rFonts w:ascii="Arial" w:hAnsi="Arial" w:cs="Arial"/>
          <w:sz w:val="22"/>
          <w:szCs w:val="22"/>
          <w:lang w:val="en-GB"/>
        </w:rPr>
        <w:tab/>
      </w:r>
      <w:r w:rsidR="00E22FF2" w:rsidRPr="00E4265B">
        <w:rPr>
          <w:rFonts w:ascii="Arial" w:hAnsi="Arial" w:cs="Arial"/>
          <w:sz w:val="22"/>
          <w:szCs w:val="22"/>
          <w:lang w:val="en-GB"/>
        </w:rPr>
        <w:t xml:space="preserve">Wholesale funding that is callable by the funds provider subject to a contractually defined and binding notice period longer than the 30-day period should not be included. </w:t>
      </w:r>
    </w:p>
    <w:p w14:paraId="0A6FD344" w14:textId="37D82A3A" w:rsidR="00E22FF2" w:rsidRPr="00E4265B" w:rsidRDefault="00E9019A" w:rsidP="00A66872">
      <w:pPr>
        <w:pStyle w:val="1List0"/>
        <w:rPr>
          <w:rFonts w:ascii="Arial" w:hAnsi="Arial" w:cs="Arial"/>
          <w:sz w:val="22"/>
          <w:szCs w:val="22"/>
          <w:lang w:val="en-GB"/>
        </w:rPr>
      </w:pPr>
      <w:r w:rsidRPr="00E4265B">
        <w:rPr>
          <w:rFonts w:ascii="Arial" w:hAnsi="Arial" w:cs="Arial"/>
          <w:sz w:val="22"/>
          <w:szCs w:val="22"/>
          <w:lang w:val="en-GB"/>
        </w:rPr>
        <w:t>10</w:t>
      </w:r>
      <w:r w:rsidR="00E22FF2" w:rsidRPr="00E4265B">
        <w:rPr>
          <w:rFonts w:ascii="Arial" w:hAnsi="Arial" w:cs="Arial"/>
          <w:sz w:val="22"/>
          <w:szCs w:val="22"/>
          <w:lang w:val="en-GB"/>
        </w:rPr>
        <w:t>.</w:t>
      </w:r>
      <w:r w:rsidR="00384436" w:rsidRPr="00E4265B">
        <w:rPr>
          <w:rFonts w:ascii="Arial" w:hAnsi="Arial" w:cs="Arial"/>
          <w:sz w:val="22"/>
          <w:szCs w:val="22"/>
          <w:lang w:val="en-GB"/>
        </w:rPr>
        <w:tab/>
      </w:r>
      <w:r w:rsidR="00E22FF2" w:rsidRPr="00E4265B">
        <w:rPr>
          <w:rFonts w:ascii="Arial" w:hAnsi="Arial" w:cs="Arial"/>
          <w:sz w:val="22"/>
          <w:szCs w:val="22"/>
          <w:lang w:val="en-GB"/>
        </w:rPr>
        <w:t xml:space="preserve">Unsecured wholesale funding provided by small and medium-sized enterprise customers should be treated as </w:t>
      </w:r>
      <w:r w:rsidR="006C764B" w:rsidRPr="00E4265B">
        <w:rPr>
          <w:rFonts w:ascii="Arial" w:hAnsi="Arial" w:cs="Arial"/>
          <w:sz w:val="22"/>
          <w:szCs w:val="22"/>
          <w:lang w:val="en-GB"/>
        </w:rPr>
        <w:t>Deposit</w:t>
      </w:r>
      <w:r w:rsidR="00FF62EE" w:rsidRPr="00E4265B">
        <w:rPr>
          <w:rFonts w:ascii="Arial" w:hAnsi="Arial" w:cs="Arial"/>
          <w:sz w:val="22"/>
          <w:szCs w:val="22"/>
          <w:lang w:val="en-GB"/>
        </w:rPr>
        <w:t>s</w:t>
      </w:r>
      <w:r w:rsidR="00E22FF2" w:rsidRPr="00E4265B">
        <w:rPr>
          <w:rFonts w:ascii="Arial" w:hAnsi="Arial" w:cs="Arial"/>
          <w:sz w:val="22"/>
          <w:szCs w:val="22"/>
          <w:lang w:val="en-GB"/>
        </w:rPr>
        <w:t xml:space="preserve"> from individuals where: </w:t>
      </w:r>
    </w:p>
    <w:p w14:paraId="7F08839C" w14:textId="7E73B708"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the </w:t>
      </w:r>
      <w:r w:rsidR="006C764B" w:rsidRPr="00E4265B">
        <w:rPr>
          <w:rFonts w:ascii="Arial" w:hAnsi="Arial" w:cs="Arial"/>
          <w:sz w:val="22"/>
          <w:szCs w:val="22"/>
          <w:lang w:val="en-GB"/>
        </w:rPr>
        <w:t>Deposit</w:t>
      </w:r>
      <w:r w:rsidR="00FF62EE" w:rsidRPr="00E4265B">
        <w:rPr>
          <w:rFonts w:ascii="Arial" w:hAnsi="Arial" w:cs="Arial"/>
          <w:sz w:val="22"/>
          <w:szCs w:val="22"/>
          <w:lang w:val="en-GB"/>
        </w:rPr>
        <w:t>s</w:t>
      </w:r>
      <w:r w:rsidRPr="00E4265B">
        <w:rPr>
          <w:rFonts w:ascii="Arial" w:hAnsi="Arial" w:cs="Arial"/>
          <w:sz w:val="22"/>
          <w:szCs w:val="22"/>
          <w:lang w:val="en-GB"/>
        </w:rPr>
        <w:t xml:space="preserve"> and other extensions of funds made by non-financial small and medium-sized enterprise customers are managed as retail accounts and are generall</w:t>
      </w:r>
      <w:r w:rsidR="00B830F4" w:rsidRPr="00E4265B">
        <w:rPr>
          <w:rFonts w:ascii="Arial" w:hAnsi="Arial" w:cs="Arial"/>
          <w:sz w:val="22"/>
          <w:szCs w:val="22"/>
          <w:lang w:val="en-GB"/>
        </w:rPr>
        <w:t>y considered as having similar L</w:t>
      </w:r>
      <w:r w:rsidRPr="00E4265B">
        <w:rPr>
          <w:rFonts w:ascii="Arial" w:hAnsi="Arial" w:cs="Arial"/>
          <w:sz w:val="22"/>
          <w:szCs w:val="22"/>
          <w:lang w:val="en-GB"/>
        </w:rPr>
        <w:t xml:space="preserve">iquidity </w:t>
      </w:r>
      <w:r w:rsidR="00B830F4" w:rsidRPr="00E4265B">
        <w:rPr>
          <w:rFonts w:ascii="Arial" w:hAnsi="Arial" w:cs="Arial"/>
          <w:sz w:val="22"/>
          <w:szCs w:val="22"/>
          <w:lang w:val="en-GB"/>
        </w:rPr>
        <w:t>R</w:t>
      </w:r>
      <w:r w:rsidRPr="00E4265B">
        <w:rPr>
          <w:rFonts w:ascii="Arial" w:hAnsi="Arial" w:cs="Arial"/>
          <w:sz w:val="22"/>
          <w:szCs w:val="22"/>
          <w:lang w:val="en-GB"/>
        </w:rPr>
        <w:t xml:space="preserve">isk characteristics to retail accounts; and </w:t>
      </w:r>
    </w:p>
    <w:p w14:paraId="04ADE273" w14:textId="4C7BE601"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the total aggregated funding raised from a small and medium-sized enterprise customer is less than </w:t>
      </w:r>
      <w:r w:rsidR="000204FF" w:rsidRPr="00E4265B">
        <w:rPr>
          <w:rFonts w:ascii="Arial" w:hAnsi="Arial" w:cs="Arial"/>
          <w:sz w:val="22"/>
          <w:szCs w:val="22"/>
          <w:lang w:val="en-GB"/>
        </w:rPr>
        <w:t>$</w:t>
      </w:r>
      <w:r w:rsidRPr="00E4265B">
        <w:rPr>
          <w:rFonts w:ascii="Arial" w:hAnsi="Arial" w:cs="Arial"/>
          <w:sz w:val="22"/>
          <w:szCs w:val="22"/>
          <w:lang w:val="en-GB"/>
        </w:rPr>
        <w:t xml:space="preserve">1 million (on a consolidated basis where applicable). </w:t>
      </w:r>
    </w:p>
    <w:p w14:paraId="1DD5031D"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Operational </w:t>
      </w:r>
      <w:r w:rsidR="006C764B" w:rsidRPr="00E4265B">
        <w:rPr>
          <w:rFonts w:ascii="Arial" w:hAnsi="Arial" w:cs="Arial"/>
          <w:sz w:val="22"/>
          <w:szCs w:val="22"/>
          <w:lang w:val="en-GB"/>
        </w:rPr>
        <w:t>Deposit</w:t>
      </w:r>
      <w:r w:rsidR="00FF62EE" w:rsidRPr="00E4265B">
        <w:rPr>
          <w:rFonts w:ascii="Arial" w:hAnsi="Arial" w:cs="Arial"/>
          <w:sz w:val="22"/>
          <w:szCs w:val="22"/>
          <w:lang w:val="en-GB"/>
        </w:rPr>
        <w:t>s</w:t>
      </w:r>
    </w:p>
    <w:p w14:paraId="0FE51EE5" w14:textId="6722E243" w:rsidR="00E22FF2" w:rsidRPr="00E4265B" w:rsidRDefault="00E9019A" w:rsidP="00A66872">
      <w:pPr>
        <w:pStyle w:val="1List0"/>
        <w:rPr>
          <w:rFonts w:ascii="Arial" w:hAnsi="Arial" w:cs="Arial"/>
          <w:sz w:val="22"/>
          <w:szCs w:val="22"/>
          <w:lang w:val="en-GB"/>
        </w:rPr>
      </w:pPr>
      <w:r w:rsidRPr="00E4265B">
        <w:rPr>
          <w:rFonts w:ascii="Arial" w:hAnsi="Arial" w:cs="Arial"/>
          <w:sz w:val="22"/>
          <w:szCs w:val="22"/>
          <w:lang w:val="en-GB"/>
        </w:rPr>
        <w:t>11</w:t>
      </w:r>
      <w:r w:rsidR="00E22FF2" w:rsidRPr="00E4265B">
        <w:rPr>
          <w:rFonts w:ascii="Arial" w:hAnsi="Arial" w:cs="Arial"/>
          <w:sz w:val="22"/>
          <w:szCs w:val="22"/>
          <w:lang w:val="en-GB"/>
        </w:rPr>
        <w:t>.</w:t>
      </w:r>
      <w:r w:rsidR="00384436" w:rsidRPr="00E4265B">
        <w:rPr>
          <w:rFonts w:ascii="Arial" w:hAnsi="Arial" w:cs="Arial"/>
          <w:sz w:val="22"/>
          <w:szCs w:val="22"/>
          <w:lang w:val="en-GB"/>
        </w:rPr>
        <w:tab/>
      </w:r>
      <w:r w:rsidR="00E22FF2" w:rsidRPr="00E4265B">
        <w:rPr>
          <w:rFonts w:ascii="Arial" w:hAnsi="Arial" w:cs="Arial"/>
          <w:sz w:val="22"/>
          <w:szCs w:val="22"/>
          <w:lang w:val="en-GB"/>
        </w:rPr>
        <w:t xml:space="preserve">Operational </w:t>
      </w:r>
      <w:r w:rsidR="006C764B" w:rsidRPr="00E4265B">
        <w:rPr>
          <w:rFonts w:ascii="Arial" w:hAnsi="Arial" w:cs="Arial"/>
          <w:sz w:val="22"/>
          <w:szCs w:val="22"/>
          <w:lang w:val="en-GB"/>
        </w:rPr>
        <w:t>Deposit</w:t>
      </w:r>
      <w:r w:rsidR="00FF62EE" w:rsidRPr="00E4265B">
        <w:rPr>
          <w:rFonts w:ascii="Arial" w:hAnsi="Arial" w:cs="Arial"/>
          <w:sz w:val="22"/>
          <w:szCs w:val="22"/>
          <w:lang w:val="en-GB"/>
        </w:rPr>
        <w:t>s</w:t>
      </w:r>
      <w:r w:rsidR="00E22FF2" w:rsidRPr="00E4265B">
        <w:rPr>
          <w:rFonts w:ascii="Arial" w:hAnsi="Arial" w:cs="Arial"/>
          <w:sz w:val="22"/>
          <w:szCs w:val="22"/>
          <w:lang w:val="en-GB"/>
        </w:rPr>
        <w:t xml:space="preserve"> should consist of those </w:t>
      </w:r>
      <w:r w:rsidR="006C764B" w:rsidRPr="00E4265B">
        <w:rPr>
          <w:rFonts w:ascii="Arial" w:hAnsi="Arial" w:cs="Arial"/>
          <w:sz w:val="22"/>
          <w:szCs w:val="22"/>
          <w:lang w:val="en-GB"/>
        </w:rPr>
        <w:t>Deposit</w:t>
      </w:r>
      <w:r w:rsidR="00FF62EE" w:rsidRPr="00E4265B">
        <w:rPr>
          <w:rFonts w:ascii="Arial" w:hAnsi="Arial" w:cs="Arial"/>
          <w:sz w:val="22"/>
          <w:szCs w:val="22"/>
          <w:lang w:val="en-GB"/>
        </w:rPr>
        <w:t>s</w:t>
      </w:r>
      <w:r w:rsidR="00E22FF2" w:rsidRPr="00E4265B">
        <w:rPr>
          <w:rFonts w:ascii="Arial" w:hAnsi="Arial" w:cs="Arial"/>
          <w:sz w:val="22"/>
          <w:szCs w:val="22"/>
          <w:lang w:val="en-GB"/>
        </w:rPr>
        <w:t xml:space="preserve"> where customers place, or leave, </w:t>
      </w:r>
      <w:r w:rsidR="006C764B" w:rsidRPr="00E4265B">
        <w:rPr>
          <w:rFonts w:ascii="Arial" w:hAnsi="Arial" w:cs="Arial"/>
          <w:sz w:val="22"/>
          <w:szCs w:val="22"/>
          <w:lang w:val="en-GB"/>
        </w:rPr>
        <w:t>Deposit</w:t>
      </w:r>
      <w:r w:rsidR="00FF62EE" w:rsidRPr="00E4265B">
        <w:rPr>
          <w:rFonts w:ascii="Arial" w:hAnsi="Arial" w:cs="Arial"/>
          <w:sz w:val="22"/>
          <w:szCs w:val="22"/>
          <w:lang w:val="en-GB"/>
        </w:rPr>
        <w:t>s</w:t>
      </w:r>
      <w:r w:rsidR="00E22FF2" w:rsidRPr="00E4265B">
        <w:rPr>
          <w:rFonts w:ascii="Arial" w:hAnsi="Arial" w:cs="Arial"/>
          <w:sz w:val="22"/>
          <w:szCs w:val="22"/>
          <w:lang w:val="en-GB"/>
        </w:rPr>
        <w:t xml:space="preserve"> with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to facilitate their access and ability to use payment and settlement systems and otherwise make payments. Balances can be included only if the customer has a substantive dependency on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and the </w:t>
      </w:r>
      <w:r w:rsidR="006C764B" w:rsidRPr="00E4265B">
        <w:rPr>
          <w:rFonts w:ascii="Arial" w:hAnsi="Arial" w:cs="Arial"/>
          <w:sz w:val="22"/>
          <w:szCs w:val="22"/>
          <w:lang w:val="en-GB"/>
        </w:rPr>
        <w:t>Deposit</w:t>
      </w:r>
      <w:r w:rsidR="00E22FF2" w:rsidRPr="00E4265B">
        <w:rPr>
          <w:rFonts w:ascii="Arial" w:hAnsi="Arial" w:cs="Arial"/>
          <w:sz w:val="22"/>
          <w:szCs w:val="22"/>
          <w:lang w:val="en-GB"/>
        </w:rPr>
        <w:t xml:space="preserve"> is required for such activities. </w:t>
      </w:r>
    </w:p>
    <w:p w14:paraId="63DEE2DF" w14:textId="21B474D1" w:rsidR="00E22FF2" w:rsidRPr="00E4265B" w:rsidRDefault="00E9019A" w:rsidP="00A66872">
      <w:pPr>
        <w:pStyle w:val="1List0"/>
        <w:rPr>
          <w:rFonts w:ascii="Arial" w:hAnsi="Arial" w:cs="Arial"/>
          <w:sz w:val="22"/>
          <w:szCs w:val="22"/>
          <w:lang w:val="en-GB"/>
        </w:rPr>
      </w:pPr>
      <w:r w:rsidRPr="00E4265B">
        <w:rPr>
          <w:rFonts w:ascii="Arial" w:hAnsi="Arial" w:cs="Arial"/>
          <w:sz w:val="22"/>
          <w:szCs w:val="22"/>
          <w:lang w:val="en-GB"/>
        </w:rPr>
        <w:t>12</w:t>
      </w:r>
      <w:r w:rsidR="00E22FF2" w:rsidRPr="00E4265B">
        <w:rPr>
          <w:rFonts w:ascii="Arial" w:hAnsi="Arial" w:cs="Arial"/>
          <w:sz w:val="22"/>
          <w:szCs w:val="22"/>
          <w:lang w:val="en-GB"/>
        </w:rPr>
        <w:t>.</w:t>
      </w:r>
      <w:r w:rsidR="00384436" w:rsidRPr="00E4265B">
        <w:rPr>
          <w:rFonts w:ascii="Arial" w:hAnsi="Arial" w:cs="Arial"/>
          <w:sz w:val="22"/>
          <w:szCs w:val="22"/>
          <w:lang w:val="en-GB"/>
        </w:rPr>
        <w:tab/>
      </w:r>
      <w:r w:rsidR="00E22FF2" w:rsidRPr="00E4265B">
        <w:rPr>
          <w:rFonts w:ascii="Arial" w:hAnsi="Arial" w:cs="Arial"/>
          <w:sz w:val="22"/>
          <w:szCs w:val="22"/>
          <w:lang w:val="en-GB"/>
        </w:rPr>
        <w:t xml:space="preserve">Qualifying activities in this context refer to clearing, custody or cash management activities where the customer is reliant on the </w:t>
      </w:r>
      <w:r w:rsidR="000D1A90" w:rsidRPr="00E4265B">
        <w:rPr>
          <w:rFonts w:ascii="Arial" w:hAnsi="Arial" w:cs="Arial"/>
          <w:sz w:val="22"/>
          <w:szCs w:val="22"/>
          <w:lang w:val="en-GB"/>
        </w:rPr>
        <w:t xml:space="preserve">Authorised </w:t>
      </w:r>
      <w:r w:rsidR="000D1A90" w:rsidRPr="00E4265B">
        <w:rPr>
          <w:rFonts w:ascii="Arial" w:hAnsi="Arial" w:cs="Arial"/>
          <w:sz w:val="22"/>
          <w:szCs w:val="22"/>
          <w:lang w:val="en-GB"/>
        </w:rPr>
        <w:lastRenderedPageBreak/>
        <w:t>Person</w:t>
      </w:r>
      <w:r w:rsidR="00E22FF2" w:rsidRPr="00E4265B">
        <w:rPr>
          <w:rFonts w:ascii="Arial" w:hAnsi="Arial" w:cs="Arial"/>
          <w:sz w:val="22"/>
          <w:szCs w:val="22"/>
          <w:lang w:val="en-GB"/>
        </w:rPr>
        <w:t xml:space="preserve"> to perform these services as an independent third-party intermediary in order to fulfil its normal banking activities over the next 30 days. These services should be provided to institutional customers under a legally binding agreement and the termination of such agreements should be subject either to a notice period of at least 30 days or to significant switching costs to be borne by the customer if the operational </w:t>
      </w:r>
      <w:r w:rsidR="006C764B" w:rsidRPr="00E4265B">
        <w:rPr>
          <w:rFonts w:ascii="Arial" w:hAnsi="Arial" w:cs="Arial"/>
          <w:sz w:val="22"/>
          <w:szCs w:val="22"/>
          <w:lang w:val="en-GB"/>
        </w:rPr>
        <w:t>Deposit</w:t>
      </w:r>
      <w:r w:rsidR="00FF62EE" w:rsidRPr="00E4265B">
        <w:rPr>
          <w:rFonts w:ascii="Arial" w:hAnsi="Arial" w:cs="Arial"/>
          <w:sz w:val="22"/>
          <w:szCs w:val="22"/>
          <w:lang w:val="en-GB"/>
        </w:rPr>
        <w:t>s</w:t>
      </w:r>
      <w:r w:rsidR="00E22FF2" w:rsidRPr="00E4265B">
        <w:rPr>
          <w:rFonts w:ascii="Arial" w:hAnsi="Arial" w:cs="Arial"/>
          <w:sz w:val="22"/>
          <w:szCs w:val="22"/>
          <w:lang w:val="en-GB"/>
        </w:rPr>
        <w:t xml:space="preserve"> are moved before 30 days. </w:t>
      </w:r>
    </w:p>
    <w:p w14:paraId="78B2813D" w14:textId="1640D1D7" w:rsidR="00E22FF2" w:rsidRPr="00E4265B" w:rsidRDefault="00E9019A" w:rsidP="00A66872">
      <w:pPr>
        <w:pStyle w:val="1List0"/>
        <w:rPr>
          <w:rFonts w:ascii="Arial" w:hAnsi="Arial" w:cs="Arial"/>
          <w:sz w:val="22"/>
          <w:szCs w:val="22"/>
          <w:lang w:val="en-GB"/>
        </w:rPr>
      </w:pPr>
      <w:r w:rsidRPr="00E4265B">
        <w:rPr>
          <w:rFonts w:ascii="Arial" w:hAnsi="Arial" w:cs="Arial"/>
          <w:sz w:val="22"/>
          <w:szCs w:val="22"/>
          <w:lang w:val="en-GB"/>
        </w:rPr>
        <w:t>13</w:t>
      </w:r>
      <w:r w:rsidR="00E22FF2" w:rsidRPr="00E4265B">
        <w:rPr>
          <w:rFonts w:ascii="Arial" w:hAnsi="Arial" w:cs="Arial"/>
          <w:sz w:val="22"/>
          <w:szCs w:val="22"/>
          <w:lang w:val="en-GB"/>
        </w:rPr>
        <w:t>.</w:t>
      </w:r>
      <w:r w:rsidR="00384436" w:rsidRPr="00E4265B">
        <w:rPr>
          <w:rFonts w:ascii="Arial" w:hAnsi="Arial" w:cs="Arial"/>
          <w:sz w:val="22"/>
          <w:szCs w:val="22"/>
          <w:lang w:val="en-GB"/>
        </w:rPr>
        <w:tab/>
      </w:r>
      <w:r w:rsidR="00E22FF2" w:rsidRPr="00E4265B">
        <w:rPr>
          <w:rFonts w:ascii="Arial" w:hAnsi="Arial" w:cs="Arial"/>
          <w:sz w:val="22"/>
          <w:szCs w:val="22"/>
          <w:lang w:val="en-GB"/>
        </w:rPr>
        <w:t xml:space="preserve">Qualifying operational </w:t>
      </w:r>
      <w:r w:rsidR="006C764B" w:rsidRPr="00E4265B">
        <w:rPr>
          <w:rFonts w:ascii="Arial" w:hAnsi="Arial" w:cs="Arial"/>
          <w:sz w:val="22"/>
          <w:szCs w:val="22"/>
          <w:lang w:val="en-GB"/>
        </w:rPr>
        <w:t>Deposit</w:t>
      </w:r>
      <w:r w:rsidR="00FF62EE" w:rsidRPr="00E4265B">
        <w:rPr>
          <w:rFonts w:ascii="Arial" w:hAnsi="Arial" w:cs="Arial"/>
          <w:sz w:val="22"/>
          <w:szCs w:val="22"/>
          <w:lang w:val="en-GB"/>
        </w:rPr>
        <w:t>s</w:t>
      </w:r>
      <w:r w:rsidR="00E22FF2" w:rsidRPr="00E4265B">
        <w:rPr>
          <w:rFonts w:ascii="Arial" w:hAnsi="Arial" w:cs="Arial"/>
          <w:sz w:val="22"/>
          <w:szCs w:val="22"/>
          <w:lang w:val="en-GB"/>
        </w:rPr>
        <w:t xml:space="preserve"> generated by such an activity should consist of </w:t>
      </w:r>
      <w:r w:rsidR="006C764B" w:rsidRPr="00E4265B">
        <w:rPr>
          <w:rFonts w:ascii="Arial" w:hAnsi="Arial" w:cs="Arial"/>
          <w:sz w:val="22"/>
          <w:szCs w:val="22"/>
          <w:lang w:val="en-GB"/>
        </w:rPr>
        <w:t>Deposit</w:t>
      </w:r>
      <w:r w:rsidR="00FF62EE" w:rsidRPr="00E4265B">
        <w:rPr>
          <w:rFonts w:ascii="Arial" w:hAnsi="Arial" w:cs="Arial"/>
          <w:sz w:val="22"/>
          <w:szCs w:val="22"/>
          <w:lang w:val="en-GB"/>
        </w:rPr>
        <w:t>s</w:t>
      </w:r>
      <w:r w:rsidR="00E22FF2" w:rsidRPr="00E4265B">
        <w:rPr>
          <w:rFonts w:ascii="Arial" w:hAnsi="Arial" w:cs="Arial"/>
          <w:sz w:val="22"/>
          <w:szCs w:val="22"/>
          <w:lang w:val="en-GB"/>
        </w:rPr>
        <w:t xml:space="preserve"> which are: </w:t>
      </w:r>
    </w:p>
    <w:p w14:paraId="73150781" w14:textId="2CE8DE4D"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by-products of the underlying services provided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t>
      </w:r>
    </w:p>
    <w:p w14:paraId="08CDD3EE" w14:textId="6087D87A"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not offered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the wholesale market in the sole interest of offering interest income; and </w:t>
      </w:r>
    </w:p>
    <w:p w14:paraId="5B4812DF" w14:textId="5440C987" w:rsidR="00E22FF2" w:rsidRPr="00E4265B" w:rsidRDefault="00E22FF2" w:rsidP="00A66872">
      <w:pPr>
        <w:pStyle w:val="aList0"/>
        <w:rPr>
          <w:rFonts w:ascii="Arial" w:hAnsi="Arial" w:cs="Arial"/>
          <w:sz w:val="22"/>
          <w:szCs w:val="22"/>
          <w:lang w:val="en-GB"/>
        </w:rPr>
      </w:pPr>
      <w:r w:rsidRPr="00E4265B">
        <w:rPr>
          <w:rFonts w:ascii="Arial" w:hAnsi="Arial" w:cs="Arial"/>
          <w:sz w:val="22"/>
          <w:szCs w:val="22"/>
          <w:lang w:val="en-GB"/>
        </w:rPr>
        <w:t>c.</w:t>
      </w:r>
      <w:r w:rsidR="00384436" w:rsidRPr="00E4265B">
        <w:rPr>
          <w:rFonts w:ascii="Arial" w:hAnsi="Arial" w:cs="Arial"/>
          <w:sz w:val="22"/>
          <w:szCs w:val="22"/>
          <w:lang w:val="en-GB"/>
        </w:rPr>
        <w:tab/>
      </w:r>
      <w:r w:rsidR="00397870" w:rsidRPr="00E4265B">
        <w:rPr>
          <w:rFonts w:ascii="Arial" w:hAnsi="Arial" w:cs="Arial"/>
          <w:sz w:val="22"/>
          <w:szCs w:val="22"/>
          <w:lang w:val="en-GB"/>
        </w:rPr>
        <w:t>held</w:t>
      </w:r>
      <w:r w:rsidRPr="00E4265B">
        <w:rPr>
          <w:rFonts w:ascii="Arial" w:hAnsi="Arial" w:cs="Arial"/>
          <w:sz w:val="22"/>
          <w:szCs w:val="22"/>
          <w:lang w:val="en-GB"/>
        </w:rPr>
        <w:t xml:space="preserve"> in specifically designated accounts and priced without giving an economic incentive to the customer to leave excess funds on these accounts. </w:t>
      </w:r>
    </w:p>
    <w:p w14:paraId="7708E4CD" w14:textId="707974BB" w:rsidR="00E22FF2" w:rsidRPr="00E4265B" w:rsidRDefault="00E9019A" w:rsidP="00A66872">
      <w:pPr>
        <w:pStyle w:val="1List0"/>
        <w:rPr>
          <w:rFonts w:ascii="Arial" w:hAnsi="Arial" w:cs="Arial"/>
          <w:sz w:val="22"/>
          <w:szCs w:val="22"/>
          <w:lang w:val="en-GB"/>
        </w:rPr>
      </w:pPr>
      <w:r w:rsidRPr="00E4265B">
        <w:rPr>
          <w:rFonts w:ascii="Arial" w:hAnsi="Arial" w:cs="Arial"/>
          <w:sz w:val="22"/>
          <w:szCs w:val="22"/>
          <w:lang w:val="en-GB"/>
        </w:rPr>
        <w:t>14</w:t>
      </w:r>
      <w:r w:rsidR="00E22FF2" w:rsidRPr="00E4265B">
        <w:rPr>
          <w:rFonts w:ascii="Arial" w:hAnsi="Arial" w:cs="Arial"/>
          <w:sz w:val="22"/>
          <w:szCs w:val="22"/>
          <w:lang w:val="en-GB"/>
        </w:rPr>
        <w:t>.</w:t>
      </w:r>
      <w:r w:rsidR="00384436" w:rsidRPr="00E4265B">
        <w:rPr>
          <w:rFonts w:ascii="Arial" w:hAnsi="Arial" w:cs="Arial"/>
          <w:sz w:val="22"/>
          <w:szCs w:val="22"/>
          <w:lang w:val="en-GB"/>
        </w:rPr>
        <w:tab/>
      </w:r>
      <w:r w:rsidR="00E22FF2" w:rsidRPr="00E4265B">
        <w:rPr>
          <w:rFonts w:ascii="Arial" w:hAnsi="Arial" w:cs="Arial"/>
          <w:sz w:val="22"/>
          <w:szCs w:val="22"/>
          <w:lang w:val="en-GB"/>
        </w:rPr>
        <w:t xml:space="preserve">Any excess balances that could be withdrawn without jeopardising these clearing, custody or cash management activities should not qualify as operational </w:t>
      </w:r>
      <w:r w:rsidR="006C764B" w:rsidRPr="00E4265B">
        <w:rPr>
          <w:rFonts w:ascii="Arial" w:hAnsi="Arial" w:cs="Arial"/>
          <w:sz w:val="22"/>
          <w:szCs w:val="22"/>
          <w:lang w:val="en-GB"/>
        </w:rPr>
        <w:t>Deposit</w:t>
      </w:r>
      <w:r w:rsidR="00FF62EE" w:rsidRPr="00E4265B">
        <w:rPr>
          <w:rFonts w:ascii="Arial" w:hAnsi="Arial" w:cs="Arial"/>
          <w:sz w:val="22"/>
          <w:szCs w:val="22"/>
          <w:lang w:val="en-GB"/>
        </w:rPr>
        <w:t>s</w:t>
      </w:r>
      <w:r w:rsidR="00E22FF2" w:rsidRPr="00E4265B">
        <w:rPr>
          <w:rFonts w:ascii="Arial" w:hAnsi="Arial" w:cs="Arial"/>
          <w:sz w:val="22"/>
          <w:szCs w:val="22"/>
          <w:lang w:val="en-GB"/>
        </w:rPr>
        <w:t xml:space="preserve">. </w:t>
      </w:r>
    </w:p>
    <w:p w14:paraId="2B3E8CFA"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Liquidity facilities </w:t>
      </w:r>
    </w:p>
    <w:p w14:paraId="19B31A14" w14:textId="6FCF9248" w:rsidR="00E22FF2" w:rsidRPr="00E4265B" w:rsidRDefault="00E9019A" w:rsidP="00A66872">
      <w:pPr>
        <w:pStyle w:val="1List0"/>
        <w:rPr>
          <w:rFonts w:ascii="Arial" w:hAnsi="Arial" w:cs="Arial"/>
          <w:sz w:val="22"/>
          <w:szCs w:val="22"/>
          <w:lang w:val="en-GB"/>
        </w:rPr>
      </w:pPr>
      <w:r w:rsidRPr="00E4265B">
        <w:rPr>
          <w:rFonts w:ascii="Arial" w:hAnsi="Arial" w:cs="Arial"/>
          <w:sz w:val="22"/>
          <w:szCs w:val="22"/>
          <w:lang w:val="en-GB"/>
        </w:rPr>
        <w:t>15</w:t>
      </w:r>
      <w:r w:rsidR="00E22FF2" w:rsidRPr="00E4265B">
        <w:rPr>
          <w:rFonts w:ascii="Arial" w:hAnsi="Arial" w:cs="Arial"/>
          <w:sz w:val="22"/>
          <w:szCs w:val="22"/>
          <w:lang w:val="en-GB"/>
        </w:rPr>
        <w:t>.</w:t>
      </w:r>
      <w:r w:rsidR="00384436" w:rsidRPr="00E4265B">
        <w:rPr>
          <w:rFonts w:ascii="Arial" w:hAnsi="Arial" w:cs="Arial"/>
          <w:sz w:val="22"/>
          <w:szCs w:val="22"/>
          <w:lang w:val="en-GB"/>
        </w:rPr>
        <w:tab/>
      </w:r>
      <w:r w:rsidR="00E22FF2" w:rsidRPr="00E4265B">
        <w:rPr>
          <w:rFonts w:ascii="Arial" w:hAnsi="Arial" w:cs="Arial"/>
          <w:sz w:val="22"/>
          <w:szCs w:val="22"/>
          <w:lang w:val="en-GB"/>
        </w:rPr>
        <w:t>A liquidity facility should consist of any committed, undrawn back-up facility that would be used to refinance the debt obligations of a customer in situations where such a customer is unable to roll over that debt in financial markets. The amount of any commitment to be treated as a liquidity facility should consist of the amount of the outstanding debt issued by the customer (or proportionate share of a syndicated facility) maturing within a 30-day period that is backstopped by the facility. Any additional capacity of the facility sh</w:t>
      </w:r>
      <w:r w:rsidR="006D5D0B" w:rsidRPr="00E4265B">
        <w:rPr>
          <w:rFonts w:ascii="Arial" w:hAnsi="Arial" w:cs="Arial"/>
          <w:sz w:val="22"/>
          <w:szCs w:val="22"/>
          <w:lang w:val="en-GB"/>
        </w:rPr>
        <w:t>ould be treated as a committed Credit F</w:t>
      </w:r>
      <w:r w:rsidR="00E22FF2" w:rsidRPr="00E4265B">
        <w:rPr>
          <w:rFonts w:ascii="Arial" w:hAnsi="Arial" w:cs="Arial"/>
          <w:sz w:val="22"/>
          <w:szCs w:val="22"/>
          <w:lang w:val="en-GB"/>
        </w:rPr>
        <w:t xml:space="preserve">acility. General working capital facilities for corporate entities (e.g. revolving credit facilities in place for general corporate or working capital purposes) should not be classified as liquidity facilities, but as credit facilities. </w:t>
      </w:r>
    </w:p>
    <w:p w14:paraId="06FC4125" w14:textId="295731D7" w:rsidR="00E22FF2" w:rsidRPr="00E4265B" w:rsidRDefault="00E9019A" w:rsidP="00E9019A">
      <w:pPr>
        <w:pStyle w:val="1List0"/>
        <w:rPr>
          <w:rFonts w:ascii="Arial" w:hAnsi="Arial" w:cs="Arial"/>
          <w:sz w:val="22"/>
          <w:szCs w:val="22"/>
          <w:lang w:val="en-GB"/>
        </w:rPr>
      </w:pPr>
      <w:r w:rsidRPr="00E4265B">
        <w:rPr>
          <w:rFonts w:ascii="Arial" w:hAnsi="Arial" w:cs="Arial"/>
          <w:sz w:val="22"/>
          <w:szCs w:val="22"/>
          <w:lang w:val="en-GB"/>
        </w:rPr>
        <w:t>16</w:t>
      </w:r>
      <w:r w:rsidR="00E22FF2" w:rsidRPr="00E4265B">
        <w:rPr>
          <w:rFonts w:ascii="Arial" w:hAnsi="Arial" w:cs="Arial"/>
          <w:sz w:val="22"/>
          <w:szCs w:val="22"/>
          <w:lang w:val="en-GB"/>
        </w:rPr>
        <w:t>.</w:t>
      </w:r>
      <w:r w:rsidR="00384436" w:rsidRPr="00E4265B">
        <w:rPr>
          <w:rFonts w:ascii="Arial" w:hAnsi="Arial" w:cs="Arial"/>
          <w:sz w:val="22"/>
          <w:szCs w:val="22"/>
          <w:lang w:val="en-GB"/>
        </w:rPr>
        <w:tab/>
      </w:r>
      <w:r w:rsidR="00E22FF2" w:rsidRPr="00E4265B">
        <w:rPr>
          <w:rFonts w:ascii="Arial" w:hAnsi="Arial" w:cs="Arial"/>
          <w:sz w:val="22"/>
          <w:szCs w:val="22"/>
          <w:lang w:val="en-GB"/>
        </w:rPr>
        <w:t>Despite paragraph 1</w:t>
      </w:r>
      <w:r w:rsidRPr="00E4265B">
        <w:rPr>
          <w:rFonts w:ascii="Arial" w:hAnsi="Arial" w:cs="Arial"/>
          <w:sz w:val="22"/>
          <w:szCs w:val="22"/>
          <w:lang w:val="en-GB"/>
        </w:rPr>
        <w:t>5</w:t>
      </w:r>
      <w:r w:rsidR="00E22FF2" w:rsidRPr="00E4265B">
        <w:rPr>
          <w:rFonts w:ascii="Arial" w:hAnsi="Arial" w:cs="Arial"/>
          <w:sz w:val="22"/>
          <w:szCs w:val="22"/>
          <w:lang w:val="en-GB"/>
        </w:rPr>
        <w:t>, any facil</w:t>
      </w:r>
      <w:r w:rsidR="005D344E" w:rsidRPr="00E4265B">
        <w:rPr>
          <w:rFonts w:ascii="Arial" w:hAnsi="Arial" w:cs="Arial"/>
          <w:sz w:val="22"/>
          <w:szCs w:val="22"/>
          <w:lang w:val="en-GB"/>
        </w:rPr>
        <w:t>ities provided to hedge funds, M</w:t>
      </w:r>
      <w:r w:rsidR="00E22FF2" w:rsidRPr="00E4265B">
        <w:rPr>
          <w:rFonts w:ascii="Arial" w:hAnsi="Arial" w:cs="Arial"/>
          <w:sz w:val="22"/>
          <w:szCs w:val="22"/>
          <w:lang w:val="en-GB"/>
        </w:rPr>
        <w:t xml:space="preserve">oney market funds and special purpose funding vehicles, or other vehicles used to finance an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's own assets, should be captured in their entirety as a liquidity facility to a </w:t>
      </w:r>
      <w:r w:rsidR="00F57406" w:rsidRPr="00E4265B">
        <w:rPr>
          <w:rFonts w:ascii="Arial" w:hAnsi="Arial" w:cs="Arial"/>
          <w:sz w:val="22"/>
          <w:szCs w:val="22"/>
          <w:lang w:val="en-GB"/>
        </w:rPr>
        <w:t>Financial Institution</w:t>
      </w:r>
      <w:r w:rsidR="00E22FF2" w:rsidRPr="00E4265B">
        <w:rPr>
          <w:rFonts w:ascii="Arial" w:hAnsi="Arial" w:cs="Arial"/>
          <w:sz w:val="22"/>
          <w:szCs w:val="22"/>
          <w:lang w:val="en-GB"/>
        </w:rPr>
        <w:t xml:space="preserve">. </w:t>
      </w:r>
    </w:p>
    <w:p w14:paraId="165BCDAF"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Unrestricted PSIAs and other Shari'a compliant products </w:t>
      </w:r>
    </w:p>
    <w:p w14:paraId="5AEE709D" w14:textId="52733419" w:rsidR="00E22FF2" w:rsidRPr="00E4265B" w:rsidRDefault="00E9019A" w:rsidP="00A66872">
      <w:pPr>
        <w:pStyle w:val="1List0"/>
        <w:rPr>
          <w:rFonts w:ascii="Arial" w:hAnsi="Arial" w:cs="Arial"/>
          <w:sz w:val="22"/>
          <w:szCs w:val="22"/>
          <w:lang w:val="en-GB"/>
        </w:rPr>
      </w:pPr>
      <w:r w:rsidRPr="00E4265B">
        <w:rPr>
          <w:rFonts w:ascii="Arial" w:hAnsi="Arial" w:cs="Arial"/>
          <w:sz w:val="22"/>
          <w:szCs w:val="22"/>
          <w:lang w:val="en-GB"/>
        </w:rPr>
        <w:t>17</w:t>
      </w:r>
      <w:r w:rsidR="00E22FF2" w:rsidRPr="00E4265B">
        <w:rPr>
          <w:rFonts w:ascii="Arial" w:hAnsi="Arial" w:cs="Arial"/>
          <w:sz w:val="22"/>
          <w:szCs w:val="22"/>
          <w:lang w:val="en-GB"/>
        </w:rPr>
        <w:t>.</w:t>
      </w:r>
      <w:r w:rsidR="00384436" w:rsidRPr="00E4265B">
        <w:rPr>
          <w:rFonts w:ascii="Arial" w:hAnsi="Arial" w:cs="Arial"/>
          <w:sz w:val="22"/>
          <w:szCs w:val="22"/>
          <w:lang w:val="en-GB"/>
        </w:rPr>
        <w:tab/>
      </w:r>
      <w:r w:rsidR="00E22FF2" w:rsidRPr="00E4265B">
        <w:rPr>
          <w:rFonts w:ascii="Arial" w:hAnsi="Arial" w:cs="Arial"/>
          <w:sz w:val="22"/>
          <w:szCs w:val="22"/>
          <w:lang w:val="en-GB"/>
        </w:rPr>
        <w:t xml:space="preserve">For the purposes of calculating cash outflows, Unrestricted PSIAs should be treated similarly to the relevant category of </w:t>
      </w:r>
      <w:r w:rsidR="006C764B" w:rsidRPr="00E4265B">
        <w:rPr>
          <w:rFonts w:ascii="Arial" w:hAnsi="Arial" w:cs="Arial"/>
          <w:sz w:val="22"/>
          <w:szCs w:val="22"/>
          <w:lang w:val="en-GB"/>
        </w:rPr>
        <w:t>Deposit</w:t>
      </w:r>
      <w:r w:rsidR="00FF62EE" w:rsidRPr="00E4265B">
        <w:rPr>
          <w:rFonts w:ascii="Arial" w:hAnsi="Arial" w:cs="Arial"/>
          <w:sz w:val="22"/>
          <w:szCs w:val="22"/>
          <w:lang w:val="en-GB"/>
        </w:rPr>
        <w:t>s</w:t>
      </w:r>
      <w:r w:rsidR="00E22FF2" w:rsidRPr="00E4265B">
        <w:rPr>
          <w:rFonts w:ascii="Arial" w:hAnsi="Arial" w:cs="Arial"/>
          <w:sz w:val="22"/>
          <w:szCs w:val="22"/>
          <w:lang w:val="en-GB"/>
        </w:rPr>
        <w:t xml:space="preserve"> specified in the Table. The appropriate run-off factor for a PSIA will depend on the contractual withdrawal rights of the investment account holders and whether it is a retail or wholesale account. </w:t>
      </w:r>
    </w:p>
    <w:p w14:paraId="0863202A" w14:textId="4739B06C" w:rsidR="00E22FF2" w:rsidRPr="00E4265B" w:rsidRDefault="00E9019A" w:rsidP="00A66872">
      <w:pPr>
        <w:pStyle w:val="1List0"/>
        <w:rPr>
          <w:rFonts w:ascii="Arial" w:hAnsi="Arial" w:cs="Arial"/>
          <w:sz w:val="22"/>
          <w:szCs w:val="22"/>
          <w:lang w:val="en-GB"/>
        </w:rPr>
      </w:pPr>
      <w:r w:rsidRPr="00E4265B">
        <w:rPr>
          <w:rFonts w:ascii="Arial" w:hAnsi="Arial" w:cs="Arial"/>
          <w:sz w:val="22"/>
          <w:szCs w:val="22"/>
          <w:lang w:val="en-GB"/>
        </w:rPr>
        <w:t>18</w:t>
      </w:r>
      <w:r w:rsidR="00E22FF2" w:rsidRPr="00E4265B">
        <w:rPr>
          <w:rFonts w:ascii="Arial" w:hAnsi="Arial" w:cs="Arial"/>
          <w:sz w:val="22"/>
          <w:szCs w:val="22"/>
          <w:lang w:val="en-GB"/>
        </w:rPr>
        <w:t>.</w:t>
      </w:r>
      <w:r w:rsidR="00384436" w:rsidRPr="00E4265B">
        <w:rPr>
          <w:rFonts w:ascii="Arial" w:hAnsi="Arial" w:cs="Arial"/>
          <w:sz w:val="22"/>
          <w:szCs w:val="22"/>
          <w:lang w:val="en-GB"/>
        </w:rPr>
        <w:tab/>
      </w:r>
      <w:r w:rsidR="00E22FF2" w:rsidRPr="00E4265B">
        <w:rPr>
          <w:rFonts w:ascii="Arial" w:hAnsi="Arial" w:cs="Arial"/>
          <w:sz w:val="22"/>
          <w:szCs w:val="22"/>
          <w:lang w:val="en-GB"/>
        </w:rPr>
        <w:t xml:space="preserve">For commodity Murabaha transactions, a run-off factor of 100% should be applied to the balance of the Murabaha payable, if the remaining term of the contract does not exceed 30 days. If early withdrawal of the original amount </w:t>
      </w:r>
      <w:r w:rsidR="00E22FF2" w:rsidRPr="00E4265B">
        <w:rPr>
          <w:rFonts w:ascii="Arial" w:hAnsi="Arial" w:cs="Arial"/>
          <w:sz w:val="22"/>
          <w:szCs w:val="22"/>
          <w:lang w:val="en-GB"/>
        </w:rPr>
        <w:lastRenderedPageBreak/>
        <w:t xml:space="preserve">is allowed at the discretion of the </w:t>
      </w:r>
      <w:r w:rsidR="000D1A90" w:rsidRPr="00E4265B">
        <w:rPr>
          <w:rFonts w:ascii="Arial" w:hAnsi="Arial" w:cs="Arial"/>
          <w:sz w:val="22"/>
          <w:szCs w:val="22"/>
          <w:lang w:val="en-GB"/>
        </w:rPr>
        <w:t>Authorised Person</w:t>
      </w:r>
      <w:r w:rsidR="00E22FF2" w:rsidRPr="00E4265B">
        <w:rPr>
          <w:rFonts w:ascii="Arial" w:hAnsi="Arial" w:cs="Arial"/>
          <w:sz w:val="22"/>
          <w:szCs w:val="22"/>
          <w:lang w:val="en-GB"/>
        </w:rPr>
        <w:t xml:space="preserve"> with no mark-up, then the applicable run-off factor will be the same as that for the relevant category of </w:t>
      </w:r>
      <w:r w:rsidR="006C764B" w:rsidRPr="00E4265B">
        <w:rPr>
          <w:rFonts w:ascii="Arial" w:hAnsi="Arial" w:cs="Arial"/>
          <w:sz w:val="22"/>
          <w:szCs w:val="22"/>
          <w:lang w:val="en-GB"/>
        </w:rPr>
        <w:t>Deposit</w:t>
      </w:r>
      <w:r w:rsidR="00E22FF2" w:rsidRPr="00E4265B">
        <w:rPr>
          <w:rFonts w:ascii="Arial" w:hAnsi="Arial" w:cs="Arial"/>
          <w:sz w:val="22"/>
          <w:szCs w:val="22"/>
          <w:lang w:val="en-GB"/>
        </w:rPr>
        <w:t xml:space="preserve"> or Unrestricted PSIA under the Table. </w:t>
      </w:r>
    </w:p>
    <w:p w14:paraId="722AA56D" w14:textId="77777777" w:rsidR="00E9019A" w:rsidRPr="00E4265B" w:rsidRDefault="00E9019A" w:rsidP="00E9019A">
      <w:pPr>
        <w:pStyle w:val="TitleL5"/>
        <w:rPr>
          <w:rFonts w:ascii="Arial" w:hAnsi="Arial" w:cs="Arial"/>
          <w:sz w:val="22"/>
          <w:szCs w:val="22"/>
          <w:lang w:val="en-GB"/>
        </w:rPr>
      </w:pPr>
      <w:r w:rsidRPr="00E4265B">
        <w:rPr>
          <w:rFonts w:ascii="Arial" w:hAnsi="Arial" w:cs="Arial"/>
          <w:sz w:val="22"/>
          <w:szCs w:val="22"/>
          <w:lang w:val="en-GB"/>
        </w:rPr>
        <w:t>Outstanding debt securities</w:t>
      </w:r>
    </w:p>
    <w:p w14:paraId="691929A7" w14:textId="77777777" w:rsidR="00E9019A" w:rsidRPr="00E4265B" w:rsidRDefault="00E9019A" w:rsidP="00E9019A">
      <w:pPr>
        <w:pStyle w:val="1List0"/>
        <w:rPr>
          <w:rFonts w:ascii="Arial" w:hAnsi="Arial" w:cs="Arial"/>
          <w:sz w:val="22"/>
          <w:szCs w:val="22"/>
          <w:lang w:val="en-GB"/>
        </w:rPr>
      </w:pPr>
      <w:r w:rsidRPr="00E4265B">
        <w:rPr>
          <w:rFonts w:ascii="Arial" w:hAnsi="Arial" w:cs="Arial"/>
          <w:sz w:val="22"/>
          <w:szCs w:val="22"/>
          <w:lang w:val="en-GB"/>
        </w:rPr>
        <w:t>19.</w:t>
      </w:r>
      <w:r w:rsidRPr="00E4265B">
        <w:rPr>
          <w:rFonts w:ascii="Arial" w:hAnsi="Arial" w:cs="Arial"/>
          <w:sz w:val="22"/>
          <w:szCs w:val="22"/>
          <w:lang w:val="en-GB"/>
        </w:rPr>
        <w:tab/>
        <w:t>Issuers with an affiliated dealer or market-maker must include outstanding debt securities (unsecured and secured, term as well as short-term) with remaining maturities greater than thirty days in order to cover the potential repurchase of such outstanding securities.</w:t>
      </w:r>
    </w:p>
    <w:p w14:paraId="5DD598AA"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Cash Inflows </w:t>
      </w:r>
    </w:p>
    <w:p w14:paraId="664E8E71" w14:textId="0CD59DA9" w:rsidR="00E22FF2" w:rsidRPr="00E4265B" w:rsidRDefault="00E22FF2" w:rsidP="00F75DF0">
      <w:pPr>
        <w:pStyle w:val="A1List"/>
        <w:tabs>
          <w:tab w:val="left" w:pos="1800"/>
        </w:tabs>
        <w:ind w:left="1800" w:hanging="1800"/>
        <w:rPr>
          <w:rFonts w:ascii="Arial" w:hAnsi="Arial" w:cs="Arial"/>
          <w:sz w:val="22"/>
          <w:szCs w:val="22"/>
          <w:lang w:val="en-GB"/>
        </w:rPr>
      </w:pPr>
      <w:r w:rsidRPr="00E4265B">
        <w:rPr>
          <w:rFonts w:ascii="Arial" w:hAnsi="Arial" w:cs="Arial"/>
          <w:b/>
          <w:bCs/>
          <w:sz w:val="22"/>
          <w:szCs w:val="22"/>
          <w:lang w:val="en-GB"/>
        </w:rPr>
        <w:t>A</w:t>
      </w:r>
      <w:r w:rsidR="003A1C2C" w:rsidRPr="00E4265B">
        <w:rPr>
          <w:rFonts w:ascii="Arial" w:hAnsi="Arial" w:cs="Arial"/>
          <w:b/>
          <w:bCs/>
          <w:sz w:val="22"/>
          <w:szCs w:val="22"/>
          <w:lang w:val="en-GB"/>
        </w:rPr>
        <w:t>10</w:t>
      </w:r>
      <w:r w:rsidRPr="00E4265B">
        <w:rPr>
          <w:rFonts w:ascii="Arial" w:hAnsi="Arial" w:cs="Arial"/>
          <w:b/>
          <w:bCs/>
          <w:sz w:val="22"/>
          <w:szCs w:val="22"/>
          <w:lang w:val="en-GB"/>
        </w:rPr>
        <w:t>.2.16</w:t>
      </w:r>
      <w:r w:rsidR="00384436" w:rsidRPr="00E4265B">
        <w:rPr>
          <w:rFonts w:ascii="Arial" w:hAnsi="Arial" w:cs="Arial"/>
          <w:bCs/>
          <w:sz w:val="22"/>
          <w:szCs w:val="22"/>
          <w:lang w:val="en-GB"/>
        </w:rPr>
        <w:tab/>
      </w:r>
      <w:r w:rsidRPr="00E4265B">
        <w:rPr>
          <w:rFonts w:ascii="Arial" w:hAnsi="Arial" w:cs="Arial"/>
          <w:sz w:val="22"/>
          <w:szCs w:val="22"/>
          <w:lang w:val="en-GB"/>
        </w:rPr>
        <w:t>(1)</w:t>
      </w:r>
      <w:r w:rsidR="00384436" w:rsidRPr="00E4265B">
        <w:rPr>
          <w:rFonts w:ascii="Arial" w:hAnsi="Arial" w:cs="Arial"/>
          <w:sz w:val="22"/>
          <w:szCs w:val="22"/>
          <w:lang w:val="en-GB"/>
        </w:rPr>
        <w:tab/>
      </w:r>
      <w:r w:rsidRPr="00E4265B">
        <w:rPr>
          <w:rFonts w:ascii="Arial" w:hAnsi="Arial" w:cs="Arial"/>
          <w:sz w:val="22"/>
          <w:szCs w:val="22"/>
          <w:lang w:val="en-GB"/>
        </w:rPr>
        <w:t xml:space="preserve">When considering its available cash inflows,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may include contractual inflows from outstanding </w:t>
      </w:r>
      <w:r w:rsidR="005F3B3B" w:rsidRPr="00E4265B">
        <w:rPr>
          <w:rFonts w:ascii="Arial" w:hAnsi="Arial" w:cs="Arial"/>
          <w:sz w:val="22"/>
          <w:szCs w:val="22"/>
          <w:lang w:val="en-GB"/>
        </w:rPr>
        <w:t>Exposure</w:t>
      </w:r>
      <w:r w:rsidRPr="00E4265B">
        <w:rPr>
          <w:rFonts w:ascii="Arial" w:hAnsi="Arial" w:cs="Arial"/>
          <w:sz w:val="22"/>
          <w:szCs w:val="22"/>
          <w:lang w:val="en-GB"/>
        </w:rPr>
        <w:t xml:space="preserve">s only if they are fully performing and there is no reasonable basis to expect a default within the 30-day period. Contingent inflows are not included in total net cash inflows. </w:t>
      </w:r>
    </w:p>
    <w:p w14:paraId="6EBB7956" w14:textId="090AD51C"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Pr="00E4265B">
        <w:rPr>
          <w:rFonts w:ascii="Arial" w:hAnsi="Arial" w:cs="Arial"/>
          <w:sz w:val="22"/>
          <w:szCs w:val="22"/>
          <w:lang w:val="en-GB"/>
        </w:rPr>
        <w:t xml:space="preserve">Where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overly reliant on cash inflows from one or</w:t>
      </w:r>
      <w:r w:rsidR="00322D1A" w:rsidRPr="00E4265B">
        <w:rPr>
          <w:rFonts w:ascii="Arial" w:hAnsi="Arial" w:cs="Arial"/>
          <w:sz w:val="22"/>
          <w:szCs w:val="22"/>
          <w:lang w:val="en-GB"/>
        </w:rPr>
        <w:t xml:space="preserve"> a limited number of wholesale C</w:t>
      </w:r>
      <w:r w:rsidRPr="00E4265B">
        <w:rPr>
          <w:rFonts w:ascii="Arial" w:hAnsi="Arial" w:cs="Arial"/>
          <w:sz w:val="22"/>
          <w:szCs w:val="22"/>
          <w:lang w:val="en-GB"/>
        </w:rPr>
        <w:t xml:space="preserve">ounterparties, the Regulator may set an alternative limit on the level of cash inflows that can be included in the LCR. </w:t>
      </w:r>
    </w:p>
    <w:p w14:paraId="292AD4DA" w14:textId="21C44E94" w:rsidR="00E22FF2" w:rsidRPr="00E4265B" w:rsidRDefault="00E22FF2" w:rsidP="00D05716">
      <w:pPr>
        <w:pStyle w:val="A1List"/>
        <w:tabs>
          <w:tab w:val="left" w:pos="1800"/>
        </w:tabs>
        <w:ind w:left="1800" w:hanging="1800"/>
        <w:rPr>
          <w:rFonts w:ascii="Arial" w:hAnsi="Arial" w:cs="Arial"/>
          <w:sz w:val="22"/>
          <w:szCs w:val="22"/>
          <w:lang w:val="en-GB"/>
        </w:rPr>
      </w:pPr>
      <w:r w:rsidRPr="00E4265B">
        <w:rPr>
          <w:rFonts w:ascii="Arial" w:hAnsi="Arial" w:cs="Arial"/>
          <w:b/>
          <w:bCs/>
          <w:sz w:val="22"/>
          <w:szCs w:val="22"/>
          <w:lang w:val="en-GB"/>
        </w:rPr>
        <w:t>A</w:t>
      </w:r>
      <w:r w:rsidR="003A1C2C" w:rsidRPr="00E4265B">
        <w:rPr>
          <w:rFonts w:ascii="Arial" w:hAnsi="Arial" w:cs="Arial"/>
          <w:b/>
          <w:bCs/>
          <w:sz w:val="22"/>
          <w:szCs w:val="22"/>
          <w:lang w:val="en-GB"/>
        </w:rPr>
        <w:t>10</w:t>
      </w:r>
      <w:r w:rsidRPr="00E4265B">
        <w:rPr>
          <w:rFonts w:ascii="Arial" w:hAnsi="Arial" w:cs="Arial"/>
          <w:b/>
          <w:bCs/>
          <w:sz w:val="22"/>
          <w:szCs w:val="22"/>
          <w:lang w:val="en-GB"/>
        </w:rPr>
        <w:t>.2.17</w:t>
      </w:r>
      <w:r w:rsidR="00384436" w:rsidRPr="00E4265B">
        <w:rPr>
          <w:rFonts w:ascii="Arial" w:hAnsi="Arial" w:cs="Arial"/>
          <w:bCs/>
          <w:sz w:val="22"/>
          <w:szCs w:val="22"/>
          <w:lang w:val="en-GB"/>
        </w:rPr>
        <w:tab/>
      </w:r>
      <w:r w:rsidRPr="00E4265B">
        <w:rPr>
          <w:rFonts w:ascii="Arial" w:hAnsi="Arial" w:cs="Arial"/>
          <w:sz w:val="22"/>
          <w:szCs w:val="22"/>
          <w:lang w:val="en-GB"/>
        </w:rPr>
        <w:t>(1)</w:t>
      </w:r>
      <w:r w:rsidR="00384436" w:rsidRPr="00E4265B">
        <w:rPr>
          <w:rFonts w:ascii="Arial" w:hAnsi="Arial" w:cs="Arial"/>
          <w:sz w:val="22"/>
          <w:szCs w:val="22"/>
          <w:lang w:val="en-GB"/>
        </w:rPr>
        <w:tab/>
      </w:r>
      <w:r w:rsidRPr="00E4265B">
        <w:rPr>
          <w:rFonts w:ascii="Arial" w:hAnsi="Arial" w:cs="Arial"/>
          <w:sz w:val="22"/>
          <w:szCs w:val="22"/>
          <w:lang w:val="en-GB"/>
        </w:rPr>
        <w:t xml:space="preserve">The Regulator may allow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recogni</w:t>
      </w:r>
      <w:r w:rsidR="00BC49E0" w:rsidRPr="00E4265B">
        <w:rPr>
          <w:rFonts w:ascii="Arial" w:hAnsi="Arial" w:cs="Arial"/>
          <w:sz w:val="22"/>
          <w:szCs w:val="22"/>
          <w:lang w:val="en-GB"/>
        </w:rPr>
        <w:t>se as cash inflow, access to a P</w:t>
      </w:r>
      <w:r w:rsidRPr="00E4265B">
        <w:rPr>
          <w:rFonts w:ascii="Arial" w:hAnsi="Arial" w:cs="Arial"/>
          <w:sz w:val="22"/>
          <w:szCs w:val="22"/>
          <w:lang w:val="en-GB"/>
        </w:rPr>
        <w:t xml:space="preserve">arent entity's funds via a committed funding facility if the </w:t>
      </w:r>
      <w:r w:rsidR="000D1A90" w:rsidRPr="00E4265B">
        <w:rPr>
          <w:rFonts w:ascii="Arial" w:hAnsi="Arial" w:cs="Arial"/>
          <w:sz w:val="22"/>
          <w:szCs w:val="22"/>
          <w:lang w:val="en-GB"/>
        </w:rPr>
        <w:t>Authorised Person</w:t>
      </w:r>
      <w:r w:rsidR="00B62CE8" w:rsidRPr="00E4265B">
        <w:rPr>
          <w:rFonts w:ascii="Arial" w:hAnsi="Arial" w:cs="Arial"/>
          <w:sz w:val="22"/>
          <w:szCs w:val="22"/>
          <w:lang w:val="en-GB"/>
        </w:rPr>
        <w:t xml:space="preserve"> is a S</w:t>
      </w:r>
      <w:r w:rsidRPr="00E4265B">
        <w:rPr>
          <w:rFonts w:ascii="Arial" w:hAnsi="Arial" w:cs="Arial"/>
          <w:sz w:val="22"/>
          <w:szCs w:val="22"/>
          <w:lang w:val="en-GB"/>
        </w:rPr>
        <w:t>ubsidiary of a foreign bank. In such instances, the commi</w:t>
      </w:r>
      <w:r w:rsidR="00BC49E0" w:rsidRPr="00E4265B">
        <w:rPr>
          <w:rFonts w:ascii="Arial" w:hAnsi="Arial" w:cs="Arial"/>
          <w:sz w:val="22"/>
          <w:szCs w:val="22"/>
          <w:lang w:val="en-GB"/>
        </w:rPr>
        <w:t>tted funding facility from the P</w:t>
      </w:r>
      <w:r w:rsidRPr="00E4265B">
        <w:rPr>
          <w:rFonts w:ascii="Arial" w:hAnsi="Arial" w:cs="Arial"/>
          <w:sz w:val="22"/>
          <w:szCs w:val="22"/>
          <w:lang w:val="en-GB"/>
        </w:rPr>
        <w:t xml:space="preserve">arent entity must meet both of the following criteria: </w:t>
      </w:r>
    </w:p>
    <w:p w14:paraId="6B34655E" w14:textId="4A2F110B"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the facility must be an irrevocable commitment and must be appropriately documented; and </w:t>
      </w:r>
    </w:p>
    <w:p w14:paraId="5421AD80" w14:textId="458442A1"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the facility must be quantified. </w:t>
      </w:r>
    </w:p>
    <w:p w14:paraId="2B09E623" w14:textId="6E07B73C" w:rsidR="00E22FF2" w:rsidRPr="00E4265B" w:rsidRDefault="00E22FF2" w:rsidP="00846F4F">
      <w:pPr>
        <w:pStyle w:val="1List"/>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Pr="00E4265B">
        <w:rPr>
          <w:rFonts w:ascii="Arial" w:hAnsi="Arial" w:cs="Arial"/>
          <w:sz w:val="22"/>
          <w:szCs w:val="22"/>
          <w:lang w:val="en-GB"/>
        </w:rPr>
        <w:t>A com</w:t>
      </w:r>
      <w:r w:rsidR="00BC49E0" w:rsidRPr="00E4265B">
        <w:rPr>
          <w:rFonts w:ascii="Arial" w:hAnsi="Arial" w:cs="Arial"/>
          <w:sz w:val="22"/>
          <w:szCs w:val="22"/>
          <w:lang w:val="en-GB"/>
        </w:rPr>
        <w:t>mitted funding facility from a P</w:t>
      </w:r>
      <w:r w:rsidRPr="00E4265B">
        <w:rPr>
          <w:rFonts w:ascii="Arial" w:hAnsi="Arial" w:cs="Arial"/>
          <w:sz w:val="22"/>
          <w:szCs w:val="22"/>
          <w:lang w:val="en-GB"/>
        </w:rPr>
        <w:t>arent entity referred to in (1) can be recognised as a cash inflow only from day 16 of the LCR sc</w:t>
      </w:r>
      <w:r w:rsidR="00BC49E0" w:rsidRPr="00E4265B">
        <w:rPr>
          <w:rFonts w:ascii="Arial" w:hAnsi="Arial" w:cs="Arial"/>
          <w:sz w:val="22"/>
          <w:szCs w:val="22"/>
          <w:lang w:val="en-GB"/>
        </w:rPr>
        <w:t>enario. The cash inflow from a P</w:t>
      </w:r>
      <w:r w:rsidRPr="00E4265B">
        <w:rPr>
          <w:rFonts w:ascii="Arial" w:hAnsi="Arial" w:cs="Arial"/>
          <w:sz w:val="22"/>
          <w:szCs w:val="22"/>
          <w:lang w:val="en-GB"/>
        </w:rPr>
        <w:t>arent entity can be sufficient in size to cover only net cash outflows against items with a maturity or next call date between days 16 and 30 of the LCR.</w:t>
      </w:r>
    </w:p>
    <w:p w14:paraId="35CE9000" w14:textId="5286622A" w:rsidR="00E22FF2" w:rsidRPr="00E4265B" w:rsidRDefault="00E22FF2" w:rsidP="00846F4F">
      <w:pPr>
        <w:pStyle w:val="A1List"/>
        <w:rPr>
          <w:rFonts w:ascii="Arial" w:hAnsi="Arial" w:cs="Arial"/>
          <w:sz w:val="22"/>
          <w:szCs w:val="22"/>
          <w:lang w:val="en-GB"/>
        </w:rPr>
      </w:pPr>
      <w:r w:rsidRPr="00E4265B">
        <w:rPr>
          <w:rFonts w:ascii="Arial" w:hAnsi="Arial" w:cs="Arial"/>
          <w:b/>
          <w:bCs/>
          <w:sz w:val="22"/>
          <w:szCs w:val="22"/>
          <w:lang w:val="en-GB"/>
        </w:rPr>
        <w:t>A</w:t>
      </w:r>
      <w:r w:rsidR="003A1C2C" w:rsidRPr="00E4265B">
        <w:rPr>
          <w:rFonts w:ascii="Arial" w:hAnsi="Arial" w:cs="Arial"/>
          <w:b/>
          <w:bCs/>
          <w:sz w:val="22"/>
          <w:szCs w:val="22"/>
          <w:lang w:val="en-GB"/>
        </w:rPr>
        <w:t>10</w:t>
      </w:r>
      <w:r w:rsidRPr="00E4265B">
        <w:rPr>
          <w:rFonts w:ascii="Arial" w:hAnsi="Arial" w:cs="Arial"/>
          <w:b/>
          <w:bCs/>
          <w:sz w:val="22"/>
          <w:szCs w:val="22"/>
          <w:lang w:val="en-GB"/>
        </w:rPr>
        <w:t>.2.18</w:t>
      </w:r>
      <w:r w:rsidR="00384436" w:rsidRPr="00E4265B">
        <w:rPr>
          <w:rFonts w:ascii="Arial" w:hAnsi="Arial" w:cs="Arial"/>
          <w:bCs/>
          <w:sz w:val="22"/>
          <w:szCs w:val="22"/>
          <w:lang w:val="en-GB"/>
        </w:rPr>
        <w:tab/>
      </w:r>
      <w:r w:rsidRPr="00E4265B">
        <w:rPr>
          <w:rFonts w:ascii="Arial" w:hAnsi="Arial" w:cs="Arial"/>
          <w:sz w:val="22"/>
          <w:szCs w:val="22"/>
          <w:lang w:val="en-GB"/>
        </w:rPr>
        <w:t>The following table specifies, for each of the various categories and types of contractual receivables, the rates at which they are expected to flow in for the purpos</w:t>
      </w:r>
      <w:r w:rsidR="00502702" w:rsidRPr="00E4265B">
        <w:rPr>
          <w:rFonts w:ascii="Arial" w:hAnsi="Arial" w:cs="Arial"/>
          <w:sz w:val="22"/>
          <w:szCs w:val="22"/>
          <w:lang w:val="en-GB"/>
        </w:rPr>
        <w:t>e of the calculation of the LCR.</w:t>
      </w:r>
    </w:p>
    <w:tbl>
      <w:tblPr>
        <w:tblW w:w="8010" w:type="dxa"/>
        <w:tblInd w:w="1000" w:type="dxa"/>
        <w:tblCellMar>
          <w:left w:w="0" w:type="dxa"/>
          <w:right w:w="0" w:type="dxa"/>
        </w:tblCellMar>
        <w:tblLook w:val="04A0" w:firstRow="1" w:lastRow="0" w:firstColumn="1" w:lastColumn="0" w:noHBand="0" w:noVBand="1"/>
      </w:tblPr>
      <w:tblGrid>
        <w:gridCol w:w="6404"/>
        <w:gridCol w:w="1606"/>
      </w:tblGrid>
      <w:tr w:rsidR="0091523C" w:rsidRPr="00E4265B" w14:paraId="6619374D" w14:textId="77777777" w:rsidTr="008D19E8">
        <w:trPr>
          <w:trHeight w:hRule="exact" w:val="475"/>
          <w:tblHeader/>
        </w:trPr>
        <w:tc>
          <w:tcPr>
            <w:tcW w:w="8010" w:type="dxa"/>
            <w:gridSpan w:val="2"/>
            <w:tcBorders>
              <w:top w:val="single" w:sz="4" w:space="0" w:color="auto"/>
              <w:left w:val="single" w:sz="8" w:space="0" w:color="000000"/>
              <w:bottom w:val="single" w:sz="8" w:space="0" w:color="000000"/>
              <w:right w:val="single" w:sz="8" w:space="0" w:color="000000"/>
            </w:tcBorders>
            <w:shd w:val="clear" w:color="auto" w:fill="D9D9D9" w:themeFill="background1" w:themeFillShade="D9"/>
            <w:vAlign w:val="center"/>
            <w:hideMark/>
          </w:tcPr>
          <w:p w14:paraId="2382A5A4" w14:textId="123C2FE0" w:rsidR="0091523C" w:rsidRPr="00E4265B" w:rsidRDefault="0091523C" w:rsidP="0091523C">
            <w:pPr>
              <w:keepNext/>
              <w:autoSpaceDE w:val="0"/>
              <w:autoSpaceDN w:val="0"/>
              <w:ind w:left="-39" w:right="-20"/>
              <w:jc w:val="center"/>
              <w:rPr>
                <w:rFonts w:ascii="Arial" w:eastAsia="MS PGothic" w:hAnsi="Arial" w:cs="Arial"/>
                <w:b/>
                <w:sz w:val="22"/>
                <w:szCs w:val="22"/>
                <w:lang w:val="en-GB"/>
              </w:rPr>
            </w:pPr>
            <w:r w:rsidRPr="00E4265B">
              <w:rPr>
                <w:rFonts w:ascii="Arial" w:hAnsi="Arial" w:cs="Arial"/>
                <w:b/>
                <w:sz w:val="22"/>
                <w:szCs w:val="22"/>
                <w:lang w:val="en-GB"/>
              </w:rPr>
              <w:lastRenderedPageBreak/>
              <w:t>Cash Inflows</w:t>
            </w:r>
          </w:p>
        </w:tc>
      </w:tr>
      <w:tr w:rsidR="00DA6C72" w:rsidRPr="00E4265B" w14:paraId="411B3F63" w14:textId="77777777" w:rsidTr="008D19E8">
        <w:trPr>
          <w:trHeight w:hRule="exact" w:val="475"/>
          <w:tblHeader/>
        </w:trPr>
        <w:tc>
          <w:tcPr>
            <w:tcW w:w="6404" w:type="dxa"/>
            <w:tcBorders>
              <w:top w:val="single" w:sz="4" w:space="0" w:color="auto"/>
              <w:left w:val="single" w:sz="8" w:space="0" w:color="000000"/>
              <w:bottom w:val="single" w:sz="8" w:space="0" w:color="000000"/>
              <w:right w:val="single" w:sz="8" w:space="0" w:color="000000"/>
            </w:tcBorders>
            <w:shd w:val="clear" w:color="auto" w:fill="D9D9D9" w:themeFill="background1" w:themeFillShade="D9"/>
            <w:vAlign w:val="center"/>
            <w:hideMark/>
          </w:tcPr>
          <w:p w14:paraId="07BB0972" w14:textId="77777777" w:rsidR="00DA6C72" w:rsidRPr="00E4265B" w:rsidRDefault="00DA6C72" w:rsidP="005F263A">
            <w:pPr>
              <w:keepNext/>
              <w:autoSpaceDE w:val="0"/>
              <w:autoSpaceDN w:val="0"/>
              <w:ind w:left="2750" w:right="2731"/>
              <w:jc w:val="center"/>
              <w:rPr>
                <w:rFonts w:ascii="Arial" w:eastAsia="MS PGothic" w:hAnsi="Arial" w:cs="Arial"/>
                <w:b/>
                <w:sz w:val="22"/>
                <w:szCs w:val="22"/>
                <w:lang w:val="en-GB"/>
              </w:rPr>
            </w:pPr>
            <w:r w:rsidRPr="00E4265B">
              <w:rPr>
                <w:rFonts w:ascii="Arial" w:hAnsi="Arial" w:cs="Arial"/>
                <w:b/>
                <w:sz w:val="22"/>
                <w:szCs w:val="22"/>
                <w:lang w:val="en-GB"/>
              </w:rPr>
              <w:t>I</w:t>
            </w:r>
            <w:r w:rsidRPr="00E4265B">
              <w:rPr>
                <w:rFonts w:ascii="Arial" w:hAnsi="Arial" w:cs="Arial"/>
                <w:b/>
                <w:spacing w:val="1"/>
                <w:sz w:val="22"/>
                <w:szCs w:val="22"/>
                <w:lang w:val="en-GB"/>
              </w:rPr>
              <w:t>t</w:t>
            </w:r>
            <w:r w:rsidRPr="00E4265B">
              <w:rPr>
                <w:rFonts w:ascii="Arial" w:hAnsi="Arial" w:cs="Arial"/>
                <w:b/>
                <w:sz w:val="22"/>
                <w:szCs w:val="22"/>
                <w:lang w:val="en-GB"/>
              </w:rPr>
              <w:t>em</w:t>
            </w:r>
          </w:p>
        </w:tc>
        <w:tc>
          <w:tcPr>
            <w:tcW w:w="1606" w:type="dxa"/>
            <w:tcBorders>
              <w:top w:val="single" w:sz="4" w:space="0" w:color="auto"/>
              <w:left w:val="nil"/>
              <w:bottom w:val="single" w:sz="8" w:space="0" w:color="000000"/>
              <w:right w:val="single" w:sz="8" w:space="0" w:color="000000"/>
            </w:tcBorders>
            <w:shd w:val="clear" w:color="auto" w:fill="D9D9D9" w:themeFill="background1" w:themeFillShade="D9"/>
            <w:vAlign w:val="center"/>
            <w:hideMark/>
          </w:tcPr>
          <w:p w14:paraId="2D661AB4" w14:textId="77777777" w:rsidR="00DA6C72" w:rsidRPr="00E4265B" w:rsidRDefault="00DA6C72" w:rsidP="005F263A">
            <w:pPr>
              <w:keepNext/>
              <w:autoSpaceDE w:val="0"/>
              <w:autoSpaceDN w:val="0"/>
              <w:ind w:left="-39" w:right="-20"/>
              <w:jc w:val="center"/>
              <w:rPr>
                <w:rFonts w:ascii="Arial" w:eastAsia="MS PGothic" w:hAnsi="Arial" w:cs="Arial"/>
                <w:b/>
                <w:sz w:val="22"/>
                <w:szCs w:val="22"/>
                <w:lang w:val="en-GB"/>
              </w:rPr>
            </w:pPr>
            <w:r w:rsidRPr="00E4265B">
              <w:rPr>
                <w:rFonts w:ascii="Arial" w:hAnsi="Arial" w:cs="Arial"/>
                <w:b/>
                <w:spacing w:val="1"/>
                <w:sz w:val="22"/>
                <w:szCs w:val="22"/>
                <w:lang w:val="en-GB"/>
              </w:rPr>
              <w:t>F</w:t>
            </w:r>
            <w:r w:rsidRPr="00E4265B">
              <w:rPr>
                <w:rFonts w:ascii="Arial" w:hAnsi="Arial" w:cs="Arial"/>
                <w:b/>
                <w:sz w:val="22"/>
                <w:szCs w:val="22"/>
                <w:lang w:val="en-GB"/>
              </w:rPr>
              <w:t>ac</w:t>
            </w:r>
            <w:r w:rsidRPr="00E4265B">
              <w:rPr>
                <w:rFonts w:ascii="Arial" w:hAnsi="Arial" w:cs="Arial"/>
                <w:b/>
                <w:spacing w:val="1"/>
                <w:sz w:val="22"/>
                <w:szCs w:val="22"/>
                <w:lang w:val="en-GB"/>
              </w:rPr>
              <w:t>to</w:t>
            </w:r>
            <w:r w:rsidRPr="00E4265B">
              <w:rPr>
                <w:rFonts w:ascii="Arial" w:hAnsi="Arial" w:cs="Arial"/>
                <w:b/>
                <w:sz w:val="22"/>
                <w:szCs w:val="22"/>
                <w:lang w:val="en-GB"/>
              </w:rPr>
              <w:t>r</w:t>
            </w:r>
          </w:p>
        </w:tc>
      </w:tr>
      <w:tr w:rsidR="00DA6C72" w:rsidRPr="00E4265B" w14:paraId="3C2C3DF0" w14:textId="77777777" w:rsidTr="008D19E8">
        <w:trPr>
          <w:trHeight w:hRule="exact" w:val="623"/>
          <w:tblHeader/>
        </w:trPr>
        <w:tc>
          <w:tcPr>
            <w:tcW w:w="6404" w:type="dxa"/>
            <w:tcBorders>
              <w:top w:val="single" w:sz="8" w:space="0" w:color="000000"/>
              <w:left w:val="single" w:sz="8" w:space="0" w:color="000000"/>
              <w:right w:val="single" w:sz="8" w:space="0" w:color="000000"/>
            </w:tcBorders>
            <w:vAlign w:val="center"/>
          </w:tcPr>
          <w:p w14:paraId="4D5B8431" w14:textId="6B974A74" w:rsidR="00DA6C72" w:rsidRPr="00E4265B" w:rsidRDefault="00DA6C72" w:rsidP="005F263A">
            <w:pPr>
              <w:autoSpaceDE w:val="0"/>
              <w:autoSpaceDN w:val="0"/>
              <w:ind w:left="102" w:right="270"/>
              <w:rPr>
                <w:rFonts w:ascii="Arial" w:eastAsia="MS PGothic" w:hAnsi="Arial" w:cs="Arial"/>
                <w:b/>
                <w:sz w:val="22"/>
                <w:szCs w:val="22"/>
                <w:lang w:val="en-GB"/>
              </w:rPr>
            </w:pPr>
            <w:r w:rsidRPr="00E4265B">
              <w:rPr>
                <w:rFonts w:ascii="Arial" w:hAnsi="Arial" w:cs="Arial"/>
                <w:b/>
                <w:spacing w:val="4"/>
                <w:sz w:val="22"/>
                <w:szCs w:val="22"/>
                <w:lang w:val="en-GB"/>
              </w:rPr>
              <w:t>M</w:t>
            </w:r>
            <w:r w:rsidRPr="00E4265B">
              <w:rPr>
                <w:rFonts w:ascii="Arial" w:hAnsi="Arial" w:cs="Arial"/>
                <w:b/>
                <w:sz w:val="22"/>
                <w:szCs w:val="22"/>
                <w:lang w:val="en-GB"/>
              </w:rPr>
              <w:t>a</w:t>
            </w:r>
            <w:r w:rsidRPr="00E4265B">
              <w:rPr>
                <w:rFonts w:ascii="Arial" w:hAnsi="Arial" w:cs="Arial"/>
                <w:b/>
                <w:spacing w:val="-2"/>
                <w:sz w:val="22"/>
                <w:szCs w:val="22"/>
                <w:lang w:val="en-GB"/>
              </w:rPr>
              <w:t>t</w:t>
            </w:r>
            <w:r w:rsidRPr="00E4265B">
              <w:rPr>
                <w:rFonts w:ascii="Arial" w:hAnsi="Arial" w:cs="Arial"/>
                <w:b/>
                <w:spacing w:val="1"/>
                <w:sz w:val="22"/>
                <w:szCs w:val="22"/>
                <w:lang w:val="en-GB"/>
              </w:rPr>
              <w:t>u</w:t>
            </w:r>
            <w:r w:rsidRPr="00E4265B">
              <w:rPr>
                <w:rFonts w:ascii="Arial" w:hAnsi="Arial" w:cs="Arial"/>
                <w:b/>
                <w:spacing w:val="-1"/>
                <w:sz w:val="22"/>
                <w:szCs w:val="22"/>
                <w:lang w:val="en-GB"/>
              </w:rPr>
              <w:t>r</w:t>
            </w:r>
            <w:r w:rsidRPr="00E4265B">
              <w:rPr>
                <w:rFonts w:ascii="Arial" w:hAnsi="Arial" w:cs="Arial"/>
                <w:b/>
                <w:sz w:val="22"/>
                <w:szCs w:val="22"/>
                <w:lang w:val="en-GB"/>
              </w:rPr>
              <w:t>i</w:t>
            </w:r>
            <w:r w:rsidRPr="00E4265B">
              <w:rPr>
                <w:rFonts w:ascii="Arial" w:hAnsi="Arial" w:cs="Arial"/>
                <w:b/>
                <w:spacing w:val="1"/>
                <w:sz w:val="22"/>
                <w:szCs w:val="22"/>
                <w:lang w:val="en-GB"/>
              </w:rPr>
              <w:t>n</w:t>
            </w:r>
            <w:r w:rsidRPr="00E4265B">
              <w:rPr>
                <w:rFonts w:ascii="Arial" w:hAnsi="Arial" w:cs="Arial"/>
                <w:b/>
                <w:sz w:val="22"/>
                <w:szCs w:val="22"/>
                <w:lang w:val="en-GB"/>
              </w:rPr>
              <w:t>g</w:t>
            </w:r>
            <w:r w:rsidRPr="00E4265B">
              <w:rPr>
                <w:rFonts w:ascii="Arial" w:hAnsi="Arial" w:cs="Arial"/>
                <w:b/>
                <w:spacing w:val="-1"/>
                <w:sz w:val="22"/>
                <w:szCs w:val="22"/>
                <w:lang w:val="en-GB"/>
              </w:rPr>
              <w:t xml:space="preserve"> </w:t>
            </w:r>
            <w:r w:rsidRPr="00E4265B">
              <w:rPr>
                <w:rFonts w:ascii="Arial" w:hAnsi="Arial" w:cs="Arial"/>
                <w:b/>
                <w:sz w:val="22"/>
                <w:szCs w:val="22"/>
                <w:lang w:val="en-GB"/>
              </w:rPr>
              <w:t>sec</w:t>
            </w:r>
            <w:r w:rsidRPr="00E4265B">
              <w:rPr>
                <w:rFonts w:ascii="Arial" w:hAnsi="Arial" w:cs="Arial"/>
                <w:b/>
                <w:spacing w:val="3"/>
                <w:sz w:val="22"/>
                <w:szCs w:val="22"/>
                <w:lang w:val="en-GB"/>
              </w:rPr>
              <w:t>u</w:t>
            </w:r>
            <w:r w:rsidRPr="00E4265B">
              <w:rPr>
                <w:rFonts w:ascii="Arial" w:hAnsi="Arial" w:cs="Arial"/>
                <w:b/>
                <w:spacing w:val="-1"/>
                <w:sz w:val="22"/>
                <w:szCs w:val="22"/>
                <w:lang w:val="en-GB"/>
              </w:rPr>
              <w:t>r</w:t>
            </w:r>
            <w:r w:rsidRPr="00E4265B">
              <w:rPr>
                <w:rFonts w:ascii="Arial" w:hAnsi="Arial" w:cs="Arial"/>
                <w:b/>
                <w:sz w:val="22"/>
                <w:szCs w:val="22"/>
                <w:lang w:val="en-GB"/>
              </w:rPr>
              <w:t>ed</w:t>
            </w:r>
            <w:r w:rsidRPr="00E4265B">
              <w:rPr>
                <w:rFonts w:ascii="Arial" w:hAnsi="Arial" w:cs="Arial"/>
                <w:b/>
                <w:spacing w:val="-1"/>
                <w:sz w:val="22"/>
                <w:szCs w:val="22"/>
                <w:lang w:val="en-GB"/>
              </w:rPr>
              <w:t xml:space="preserve"> </w:t>
            </w:r>
            <w:r w:rsidRPr="00E4265B">
              <w:rPr>
                <w:rFonts w:ascii="Arial" w:hAnsi="Arial" w:cs="Arial"/>
                <w:b/>
                <w:spacing w:val="2"/>
                <w:sz w:val="22"/>
                <w:szCs w:val="22"/>
                <w:lang w:val="en-GB"/>
              </w:rPr>
              <w:t>l</w:t>
            </w:r>
            <w:r w:rsidRPr="00E4265B">
              <w:rPr>
                <w:rFonts w:ascii="Arial" w:hAnsi="Arial" w:cs="Arial"/>
                <w:b/>
                <w:sz w:val="22"/>
                <w:szCs w:val="22"/>
                <w:lang w:val="en-GB"/>
              </w:rPr>
              <w:t>e</w:t>
            </w:r>
            <w:r w:rsidRPr="00E4265B">
              <w:rPr>
                <w:rFonts w:ascii="Arial" w:hAnsi="Arial" w:cs="Arial"/>
                <w:b/>
                <w:spacing w:val="1"/>
                <w:sz w:val="22"/>
                <w:szCs w:val="22"/>
                <w:lang w:val="en-GB"/>
              </w:rPr>
              <w:t>nd</w:t>
            </w:r>
            <w:r w:rsidRPr="00E4265B">
              <w:rPr>
                <w:rFonts w:ascii="Arial" w:hAnsi="Arial" w:cs="Arial"/>
                <w:b/>
                <w:sz w:val="22"/>
                <w:szCs w:val="22"/>
                <w:lang w:val="en-GB"/>
              </w:rPr>
              <w:t>i</w:t>
            </w:r>
            <w:r w:rsidRPr="00E4265B">
              <w:rPr>
                <w:rFonts w:ascii="Arial" w:hAnsi="Arial" w:cs="Arial"/>
                <w:b/>
                <w:spacing w:val="1"/>
                <w:sz w:val="22"/>
                <w:szCs w:val="22"/>
                <w:lang w:val="en-GB"/>
              </w:rPr>
              <w:t>n</w:t>
            </w:r>
            <w:r w:rsidRPr="00E4265B">
              <w:rPr>
                <w:rFonts w:ascii="Arial" w:hAnsi="Arial" w:cs="Arial"/>
                <w:b/>
                <w:sz w:val="22"/>
                <w:szCs w:val="22"/>
                <w:lang w:val="en-GB"/>
              </w:rPr>
              <w:t>g</w:t>
            </w:r>
            <w:r w:rsidRPr="00E4265B">
              <w:rPr>
                <w:rFonts w:ascii="Arial" w:hAnsi="Arial" w:cs="Arial"/>
                <w:b/>
                <w:spacing w:val="3"/>
                <w:sz w:val="22"/>
                <w:szCs w:val="22"/>
                <w:lang w:val="en-GB"/>
              </w:rPr>
              <w:t xml:space="preserve"> </w:t>
            </w:r>
            <w:r w:rsidRPr="00E4265B">
              <w:rPr>
                <w:rFonts w:ascii="Arial" w:hAnsi="Arial" w:cs="Arial"/>
                <w:b/>
                <w:spacing w:val="1"/>
                <w:sz w:val="22"/>
                <w:szCs w:val="22"/>
                <w:lang w:val="en-GB"/>
              </w:rPr>
              <w:t>(</w:t>
            </w:r>
            <w:r w:rsidRPr="00E4265B">
              <w:rPr>
                <w:rFonts w:ascii="Arial" w:hAnsi="Arial" w:cs="Arial"/>
                <w:b/>
                <w:sz w:val="22"/>
                <w:szCs w:val="22"/>
                <w:lang w:val="en-GB"/>
              </w:rPr>
              <w:t>i</w:t>
            </w:r>
            <w:r w:rsidRPr="00E4265B">
              <w:rPr>
                <w:rFonts w:ascii="Arial" w:hAnsi="Arial" w:cs="Arial"/>
                <w:b/>
                <w:spacing w:val="1"/>
                <w:sz w:val="22"/>
                <w:szCs w:val="22"/>
                <w:lang w:val="en-GB"/>
              </w:rPr>
              <w:t>n</w:t>
            </w:r>
            <w:r w:rsidRPr="00E4265B">
              <w:rPr>
                <w:rFonts w:ascii="Arial" w:hAnsi="Arial" w:cs="Arial"/>
                <w:b/>
                <w:sz w:val="22"/>
                <w:szCs w:val="22"/>
                <w:lang w:val="en-GB"/>
              </w:rPr>
              <w:t>cl</w:t>
            </w:r>
            <w:r w:rsidR="005F263A" w:rsidRPr="00E4265B">
              <w:rPr>
                <w:rFonts w:ascii="Arial" w:hAnsi="Arial" w:cs="Arial"/>
                <w:b/>
                <w:sz w:val="22"/>
                <w:szCs w:val="22"/>
                <w:lang w:val="en-GB"/>
              </w:rPr>
              <w:t>uding</w:t>
            </w:r>
            <w:r w:rsidRPr="00E4265B">
              <w:rPr>
                <w:rFonts w:ascii="Arial" w:hAnsi="Arial" w:cs="Arial"/>
                <w:b/>
                <w:spacing w:val="4"/>
                <w:sz w:val="22"/>
                <w:szCs w:val="22"/>
                <w:lang w:val="en-GB"/>
              </w:rPr>
              <w:t xml:space="preserve"> </w:t>
            </w:r>
            <w:r w:rsidRPr="00E4265B">
              <w:rPr>
                <w:rFonts w:ascii="Arial" w:hAnsi="Arial" w:cs="Arial"/>
                <w:b/>
                <w:spacing w:val="-1"/>
                <w:sz w:val="22"/>
                <w:szCs w:val="22"/>
                <w:lang w:val="en-GB"/>
              </w:rPr>
              <w:t>r</w:t>
            </w:r>
            <w:r w:rsidRPr="00E4265B">
              <w:rPr>
                <w:rFonts w:ascii="Arial" w:hAnsi="Arial" w:cs="Arial"/>
                <w:b/>
                <w:sz w:val="22"/>
                <w:szCs w:val="22"/>
                <w:lang w:val="en-GB"/>
              </w:rPr>
              <w:t>e</w:t>
            </w:r>
            <w:r w:rsidRPr="00E4265B">
              <w:rPr>
                <w:rFonts w:ascii="Arial" w:hAnsi="Arial" w:cs="Arial"/>
                <w:b/>
                <w:spacing w:val="2"/>
                <w:sz w:val="22"/>
                <w:szCs w:val="22"/>
                <w:lang w:val="en-GB"/>
              </w:rPr>
              <w:t>v</w:t>
            </w:r>
            <w:r w:rsidRPr="00E4265B">
              <w:rPr>
                <w:rFonts w:ascii="Arial" w:hAnsi="Arial" w:cs="Arial"/>
                <w:b/>
                <w:sz w:val="22"/>
                <w:szCs w:val="22"/>
                <w:lang w:val="en-GB"/>
              </w:rPr>
              <w:t>e</w:t>
            </w:r>
            <w:r w:rsidRPr="00E4265B">
              <w:rPr>
                <w:rFonts w:ascii="Arial" w:hAnsi="Arial" w:cs="Arial"/>
                <w:b/>
                <w:spacing w:val="-1"/>
                <w:sz w:val="22"/>
                <w:szCs w:val="22"/>
                <w:lang w:val="en-GB"/>
              </w:rPr>
              <w:t>r</w:t>
            </w:r>
            <w:r w:rsidRPr="00E4265B">
              <w:rPr>
                <w:rFonts w:ascii="Arial" w:hAnsi="Arial" w:cs="Arial"/>
                <w:b/>
                <w:spacing w:val="2"/>
                <w:sz w:val="22"/>
                <w:szCs w:val="22"/>
                <w:lang w:val="en-GB"/>
              </w:rPr>
              <w:t>s</w:t>
            </w:r>
            <w:r w:rsidRPr="00E4265B">
              <w:rPr>
                <w:rFonts w:ascii="Arial" w:hAnsi="Arial" w:cs="Arial"/>
                <w:b/>
                <w:sz w:val="22"/>
                <w:szCs w:val="22"/>
                <w:lang w:val="en-GB"/>
              </w:rPr>
              <w:t>e</w:t>
            </w:r>
            <w:r w:rsidRPr="00E4265B">
              <w:rPr>
                <w:rFonts w:ascii="Arial" w:hAnsi="Arial" w:cs="Arial"/>
                <w:b/>
                <w:spacing w:val="2"/>
                <w:sz w:val="22"/>
                <w:szCs w:val="22"/>
                <w:lang w:val="en-GB"/>
              </w:rPr>
              <w:t xml:space="preserve"> </w:t>
            </w:r>
            <w:r w:rsidRPr="00E4265B">
              <w:rPr>
                <w:rFonts w:ascii="Arial" w:hAnsi="Arial" w:cs="Arial"/>
                <w:b/>
                <w:spacing w:val="-1"/>
                <w:sz w:val="22"/>
                <w:szCs w:val="22"/>
                <w:lang w:val="en-GB"/>
              </w:rPr>
              <w:t>r</w:t>
            </w:r>
            <w:r w:rsidRPr="00E4265B">
              <w:rPr>
                <w:rFonts w:ascii="Arial" w:hAnsi="Arial" w:cs="Arial"/>
                <w:b/>
                <w:sz w:val="22"/>
                <w:szCs w:val="22"/>
                <w:lang w:val="en-GB"/>
              </w:rPr>
              <w:t>e</w:t>
            </w:r>
            <w:r w:rsidRPr="00E4265B">
              <w:rPr>
                <w:rFonts w:ascii="Arial" w:hAnsi="Arial" w:cs="Arial"/>
                <w:b/>
                <w:spacing w:val="1"/>
                <w:sz w:val="22"/>
                <w:szCs w:val="22"/>
                <w:lang w:val="en-GB"/>
              </w:rPr>
              <w:t>po</w:t>
            </w:r>
            <w:r w:rsidRPr="00E4265B">
              <w:rPr>
                <w:rFonts w:ascii="Arial" w:hAnsi="Arial" w:cs="Arial"/>
                <w:b/>
                <w:sz w:val="22"/>
                <w:szCs w:val="22"/>
                <w:lang w:val="en-GB"/>
              </w:rPr>
              <w:t>s</w:t>
            </w:r>
            <w:r w:rsidRPr="00E4265B">
              <w:rPr>
                <w:rFonts w:ascii="Arial" w:hAnsi="Arial" w:cs="Arial"/>
                <w:b/>
                <w:spacing w:val="4"/>
                <w:sz w:val="22"/>
                <w:szCs w:val="22"/>
                <w:lang w:val="en-GB"/>
              </w:rPr>
              <w:t xml:space="preserve"> </w:t>
            </w:r>
            <w:r w:rsidRPr="00E4265B">
              <w:rPr>
                <w:rFonts w:ascii="Arial" w:hAnsi="Arial" w:cs="Arial"/>
                <w:b/>
                <w:sz w:val="22"/>
                <w:szCs w:val="22"/>
                <w:lang w:val="en-GB"/>
              </w:rPr>
              <w:t>a</w:t>
            </w:r>
            <w:r w:rsidRPr="00E4265B">
              <w:rPr>
                <w:rFonts w:ascii="Arial" w:hAnsi="Arial" w:cs="Arial"/>
                <w:b/>
                <w:spacing w:val="1"/>
                <w:sz w:val="22"/>
                <w:szCs w:val="22"/>
                <w:lang w:val="en-GB"/>
              </w:rPr>
              <w:t>n</w:t>
            </w:r>
            <w:r w:rsidRPr="00E4265B">
              <w:rPr>
                <w:rFonts w:ascii="Arial" w:hAnsi="Arial" w:cs="Arial"/>
                <w:b/>
                <w:sz w:val="22"/>
                <w:szCs w:val="22"/>
                <w:lang w:val="en-GB"/>
              </w:rPr>
              <w:t>d</w:t>
            </w:r>
            <w:r w:rsidRPr="00E4265B">
              <w:rPr>
                <w:rFonts w:ascii="Arial" w:hAnsi="Arial" w:cs="Arial"/>
                <w:b/>
                <w:spacing w:val="6"/>
                <w:sz w:val="22"/>
                <w:szCs w:val="22"/>
                <w:lang w:val="en-GB"/>
              </w:rPr>
              <w:t xml:space="preserve"> </w:t>
            </w:r>
            <w:r w:rsidRPr="00E4265B">
              <w:rPr>
                <w:rFonts w:ascii="Arial" w:hAnsi="Arial" w:cs="Arial"/>
                <w:b/>
                <w:sz w:val="22"/>
                <w:szCs w:val="22"/>
                <w:lang w:val="en-GB"/>
              </w:rPr>
              <w:t xml:space="preserve">Securities </w:t>
            </w:r>
            <w:r w:rsidRPr="00E4265B">
              <w:rPr>
                <w:rFonts w:ascii="Arial" w:hAnsi="Arial" w:cs="Arial"/>
                <w:b/>
                <w:spacing w:val="1"/>
                <w:sz w:val="22"/>
                <w:szCs w:val="22"/>
                <w:lang w:val="en-GB"/>
              </w:rPr>
              <w:t>bo</w:t>
            </w:r>
            <w:r w:rsidRPr="00E4265B">
              <w:rPr>
                <w:rFonts w:ascii="Arial" w:hAnsi="Arial" w:cs="Arial"/>
                <w:b/>
                <w:spacing w:val="-1"/>
                <w:sz w:val="22"/>
                <w:szCs w:val="22"/>
                <w:lang w:val="en-GB"/>
              </w:rPr>
              <w:t>rr</w:t>
            </w:r>
            <w:r w:rsidRPr="00E4265B">
              <w:rPr>
                <w:rFonts w:ascii="Arial" w:hAnsi="Arial" w:cs="Arial"/>
                <w:b/>
                <w:spacing w:val="1"/>
                <w:sz w:val="22"/>
                <w:szCs w:val="22"/>
                <w:lang w:val="en-GB"/>
              </w:rPr>
              <w:t>o</w:t>
            </w:r>
            <w:r w:rsidRPr="00E4265B">
              <w:rPr>
                <w:rFonts w:ascii="Arial" w:hAnsi="Arial" w:cs="Arial"/>
                <w:b/>
                <w:spacing w:val="3"/>
                <w:sz w:val="22"/>
                <w:szCs w:val="22"/>
                <w:lang w:val="en-GB"/>
              </w:rPr>
              <w:t>w</w:t>
            </w:r>
            <w:r w:rsidRPr="00E4265B">
              <w:rPr>
                <w:rFonts w:ascii="Arial" w:hAnsi="Arial" w:cs="Arial"/>
                <w:b/>
                <w:sz w:val="22"/>
                <w:szCs w:val="22"/>
                <w:lang w:val="en-GB"/>
              </w:rPr>
              <w:t>i</w:t>
            </w:r>
            <w:r w:rsidRPr="00E4265B">
              <w:rPr>
                <w:rFonts w:ascii="Arial" w:hAnsi="Arial" w:cs="Arial"/>
                <w:b/>
                <w:spacing w:val="1"/>
                <w:sz w:val="22"/>
                <w:szCs w:val="22"/>
                <w:lang w:val="en-GB"/>
              </w:rPr>
              <w:t>ng)</w:t>
            </w:r>
            <w:r w:rsidRPr="00E4265B">
              <w:rPr>
                <w:rFonts w:ascii="Arial" w:hAnsi="Arial" w:cs="Arial"/>
                <w:b/>
                <w:sz w:val="22"/>
                <w:szCs w:val="22"/>
                <w:lang w:val="en-GB"/>
              </w:rPr>
              <w:t>,</w:t>
            </w:r>
            <w:r w:rsidRPr="00E4265B">
              <w:rPr>
                <w:rFonts w:ascii="Arial" w:hAnsi="Arial" w:cs="Arial"/>
                <w:b/>
                <w:spacing w:val="-12"/>
                <w:sz w:val="22"/>
                <w:szCs w:val="22"/>
                <w:lang w:val="en-GB"/>
              </w:rPr>
              <w:t xml:space="preserve"> </w:t>
            </w:r>
            <w:r w:rsidRPr="00E4265B">
              <w:rPr>
                <w:rFonts w:ascii="Arial" w:hAnsi="Arial" w:cs="Arial"/>
                <w:b/>
                <w:spacing w:val="1"/>
                <w:sz w:val="22"/>
                <w:szCs w:val="22"/>
                <w:lang w:val="en-GB"/>
              </w:rPr>
              <w:t>b</w:t>
            </w:r>
            <w:r w:rsidRPr="00E4265B">
              <w:rPr>
                <w:rFonts w:ascii="Arial" w:hAnsi="Arial" w:cs="Arial"/>
                <w:b/>
                <w:sz w:val="22"/>
                <w:szCs w:val="22"/>
                <w:lang w:val="en-GB"/>
              </w:rPr>
              <w:t>acked</w:t>
            </w:r>
            <w:r w:rsidRPr="00E4265B">
              <w:rPr>
                <w:rFonts w:ascii="Arial" w:hAnsi="Arial" w:cs="Arial"/>
                <w:b/>
                <w:spacing w:val="-7"/>
                <w:sz w:val="22"/>
                <w:szCs w:val="22"/>
                <w:lang w:val="en-GB"/>
              </w:rPr>
              <w:t xml:space="preserve"> </w:t>
            </w:r>
            <w:r w:rsidRPr="00E4265B">
              <w:rPr>
                <w:rFonts w:ascii="Arial" w:hAnsi="Arial" w:cs="Arial"/>
                <w:b/>
                <w:spacing w:val="3"/>
                <w:sz w:val="22"/>
                <w:szCs w:val="22"/>
                <w:lang w:val="en-GB"/>
              </w:rPr>
              <w:t>b</w:t>
            </w:r>
            <w:r w:rsidRPr="00E4265B">
              <w:rPr>
                <w:rFonts w:ascii="Arial" w:hAnsi="Arial" w:cs="Arial"/>
                <w:b/>
                <w:sz w:val="22"/>
                <w:szCs w:val="22"/>
                <w:lang w:val="en-GB"/>
              </w:rPr>
              <w:t>y</w:t>
            </w:r>
            <w:r w:rsidRPr="00E4265B">
              <w:rPr>
                <w:rFonts w:ascii="Arial" w:hAnsi="Arial" w:cs="Arial"/>
                <w:b/>
                <w:spacing w:val="-5"/>
                <w:sz w:val="22"/>
                <w:szCs w:val="22"/>
                <w:lang w:val="en-GB"/>
              </w:rPr>
              <w:t xml:space="preserve"> </w:t>
            </w:r>
            <w:r w:rsidRPr="00E4265B">
              <w:rPr>
                <w:rFonts w:ascii="Arial" w:hAnsi="Arial" w:cs="Arial"/>
                <w:b/>
                <w:spacing w:val="1"/>
                <w:sz w:val="22"/>
                <w:szCs w:val="22"/>
                <w:lang w:val="en-GB"/>
              </w:rPr>
              <w:t>t</w:t>
            </w:r>
            <w:r w:rsidRPr="00E4265B">
              <w:rPr>
                <w:rFonts w:ascii="Arial" w:hAnsi="Arial" w:cs="Arial"/>
                <w:b/>
                <w:spacing w:val="3"/>
                <w:sz w:val="22"/>
                <w:szCs w:val="22"/>
                <w:lang w:val="en-GB"/>
              </w:rPr>
              <w:t>h</w:t>
            </w:r>
            <w:r w:rsidRPr="00E4265B">
              <w:rPr>
                <w:rFonts w:ascii="Arial" w:hAnsi="Arial" w:cs="Arial"/>
                <w:b/>
                <w:sz w:val="22"/>
                <w:szCs w:val="22"/>
                <w:lang w:val="en-GB"/>
              </w:rPr>
              <w:t>e</w:t>
            </w:r>
            <w:r w:rsidRPr="00E4265B">
              <w:rPr>
                <w:rFonts w:ascii="Arial" w:hAnsi="Arial" w:cs="Arial"/>
                <w:b/>
                <w:spacing w:val="-4"/>
                <w:sz w:val="22"/>
                <w:szCs w:val="22"/>
                <w:lang w:val="en-GB"/>
              </w:rPr>
              <w:t xml:space="preserve"> </w:t>
            </w:r>
            <w:r w:rsidRPr="00E4265B">
              <w:rPr>
                <w:rFonts w:ascii="Arial" w:hAnsi="Arial" w:cs="Arial"/>
                <w:b/>
                <w:spacing w:val="1"/>
                <w:sz w:val="22"/>
                <w:szCs w:val="22"/>
                <w:lang w:val="en-GB"/>
              </w:rPr>
              <w:t>fo</w:t>
            </w:r>
            <w:r w:rsidRPr="00E4265B">
              <w:rPr>
                <w:rFonts w:ascii="Arial" w:hAnsi="Arial" w:cs="Arial"/>
                <w:b/>
                <w:sz w:val="22"/>
                <w:szCs w:val="22"/>
                <w:lang w:val="en-GB"/>
              </w:rPr>
              <w:t>ll</w:t>
            </w:r>
            <w:r w:rsidRPr="00E4265B">
              <w:rPr>
                <w:rFonts w:ascii="Arial" w:hAnsi="Arial" w:cs="Arial"/>
                <w:b/>
                <w:spacing w:val="1"/>
                <w:sz w:val="22"/>
                <w:szCs w:val="22"/>
                <w:lang w:val="en-GB"/>
              </w:rPr>
              <w:t>o</w:t>
            </w:r>
            <w:r w:rsidRPr="00E4265B">
              <w:rPr>
                <w:rFonts w:ascii="Arial" w:hAnsi="Arial" w:cs="Arial"/>
                <w:b/>
                <w:spacing w:val="3"/>
                <w:sz w:val="22"/>
                <w:szCs w:val="22"/>
                <w:lang w:val="en-GB"/>
              </w:rPr>
              <w:t>w</w:t>
            </w:r>
            <w:r w:rsidRPr="00E4265B">
              <w:rPr>
                <w:rFonts w:ascii="Arial" w:hAnsi="Arial" w:cs="Arial"/>
                <w:b/>
                <w:sz w:val="22"/>
                <w:szCs w:val="22"/>
                <w:lang w:val="en-GB"/>
              </w:rPr>
              <w:t>i</w:t>
            </w:r>
            <w:r w:rsidRPr="00E4265B">
              <w:rPr>
                <w:rFonts w:ascii="Arial" w:hAnsi="Arial" w:cs="Arial"/>
                <w:b/>
                <w:spacing w:val="1"/>
                <w:sz w:val="22"/>
                <w:szCs w:val="22"/>
                <w:lang w:val="en-GB"/>
              </w:rPr>
              <w:t>n</w:t>
            </w:r>
            <w:r w:rsidRPr="00E4265B">
              <w:rPr>
                <w:rFonts w:ascii="Arial" w:hAnsi="Arial" w:cs="Arial"/>
                <w:b/>
                <w:sz w:val="22"/>
                <w:szCs w:val="22"/>
                <w:lang w:val="en-GB"/>
              </w:rPr>
              <w:t>g</w:t>
            </w:r>
            <w:r w:rsidRPr="00E4265B">
              <w:rPr>
                <w:rFonts w:ascii="Arial" w:hAnsi="Arial" w:cs="Arial"/>
                <w:b/>
                <w:spacing w:val="-9"/>
                <w:sz w:val="22"/>
                <w:szCs w:val="22"/>
                <w:lang w:val="en-GB"/>
              </w:rPr>
              <w:t xml:space="preserve"> </w:t>
            </w:r>
            <w:r w:rsidRPr="00E4265B">
              <w:rPr>
                <w:rFonts w:ascii="Arial" w:hAnsi="Arial" w:cs="Arial"/>
                <w:b/>
                <w:sz w:val="22"/>
                <w:szCs w:val="22"/>
                <w:lang w:val="en-GB"/>
              </w:rPr>
              <w:t>as</w:t>
            </w:r>
            <w:r w:rsidRPr="00E4265B">
              <w:rPr>
                <w:rFonts w:ascii="Arial" w:hAnsi="Arial" w:cs="Arial"/>
                <w:b/>
                <w:spacing w:val="-3"/>
                <w:sz w:val="22"/>
                <w:szCs w:val="22"/>
                <w:lang w:val="en-GB"/>
              </w:rPr>
              <w:t xml:space="preserve"> </w:t>
            </w:r>
            <w:r w:rsidRPr="00E4265B">
              <w:rPr>
                <w:rFonts w:ascii="Arial" w:hAnsi="Arial" w:cs="Arial"/>
                <w:b/>
                <w:sz w:val="22"/>
                <w:szCs w:val="22"/>
                <w:lang w:val="en-GB"/>
              </w:rPr>
              <w:t>Collateral:</w:t>
            </w:r>
          </w:p>
        </w:tc>
        <w:tc>
          <w:tcPr>
            <w:tcW w:w="1606" w:type="dxa"/>
            <w:tcBorders>
              <w:top w:val="single" w:sz="8" w:space="0" w:color="000000"/>
              <w:left w:val="single" w:sz="8" w:space="0" w:color="000000"/>
              <w:right w:val="single" w:sz="8" w:space="0" w:color="000000"/>
            </w:tcBorders>
            <w:vAlign w:val="center"/>
          </w:tcPr>
          <w:p w14:paraId="4AEB33BA" w14:textId="77777777" w:rsidR="00DA6C72" w:rsidRPr="00E4265B" w:rsidRDefault="00DA6C72" w:rsidP="005F263A">
            <w:pPr>
              <w:autoSpaceDE w:val="0"/>
              <w:autoSpaceDN w:val="0"/>
              <w:ind w:right="549"/>
              <w:rPr>
                <w:rFonts w:ascii="Arial" w:eastAsia="MS PGothic" w:hAnsi="Arial" w:cs="Arial"/>
                <w:sz w:val="22"/>
                <w:szCs w:val="22"/>
                <w:lang w:val="en-GB"/>
              </w:rPr>
            </w:pPr>
          </w:p>
        </w:tc>
      </w:tr>
      <w:tr w:rsidR="00DA6C72" w:rsidRPr="00E4265B" w14:paraId="2B112EF6" w14:textId="77777777" w:rsidTr="008D19E8">
        <w:trPr>
          <w:trHeight w:hRule="exact" w:val="342"/>
          <w:tblHeader/>
        </w:trPr>
        <w:tc>
          <w:tcPr>
            <w:tcW w:w="6404" w:type="dxa"/>
            <w:tcBorders>
              <w:top w:val="nil"/>
              <w:left w:val="single" w:sz="8" w:space="0" w:color="000000"/>
              <w:right w:val="single" w:sz="8" w:space="0" w:color="000000"/>
            </w:tcBorders>
            <w:vAlign w:val="center"/>
          </w:tcPr>
          <w:p w14:paraId="0850F216" w14:textId="77777777" w:rsidR="00DA6C72" w:rsidRPr="00E4265B" w:rsidRDefault="00DA6C72" w:rsidP="0019712D">
            <w:pPr>
              <w:pStyle w:val="ListParagraph"/>
              <w:numPr>
                <w:ilvl w:val="0"/>
                <w:numId w:val="74"/>
              </w:numPr>
              <w:autoSpaceDE w:val="0"/>
              <w:autoSpaceDN w:val="0"/>
              <w:ind w:left="554" w:right="270"/>
              <w:contextualSpacing w:val="0"/>
              <w:rPr>
                <w:rFonts w:ascii="Arial" w:hAnsi="Arial" w:cs="Arial"/>
                <w:bCs/>
                <w:spacing w:val="4"/>
                <w:sz w:val="22"/>
                <w:szCs w:val="22"/>
                <w:lang w:val="en-GB"/>
              </w:rPr>
            </w:pPr>
            <w:r w:rsidRPr="00E4265B">
              <w:rPr>
                <w:rFonts w:ascii="Arial" w:hAnsi="Arial" w:cs="Arial"/>
                <w:sz w:val="22"/>
                <w:szCs w:val="22"/>
                <w:lang w:val="en-GB"/>
              </w:rPr>
              <w:t>L</w:t>
            </w:r>
            <w:r w:rsidRPr="00E4265B">
              <w:rPr>
                <w:rFonts w:ascii="Arial" w:hAnsi="Arial" w:cs="Arial"/>
                <w:spacing w:val="2"/>
                <w:sz w:val="22"/>
                <w:szCs w:val="22"/>
                <w:lang w:val="en-GB"/>
              </w:rPr>
              <w:t>e</w:t>
            </w:r>
            <w:r w:rsidRPr="00E4265B">
              <w:rPr>
                <w:rFonts w:ascii="Arial" w:hAnsi="Arial" w:cs="Arial"/>
                <w:spacing w:val="-1"/>
                <w:sz w:val="22"/>
                <w:szCs w:val="22"/>
                <w:lang w:val="en-GB"/>
              </w:rPr>
              <w:t>v</w:t>
            </w:r>
            <w:r w:rsidRPr="00E4265B">
              <w:rPr>
                <w:rFonts w:ascii="Arial" w:hAnsi="Arial" w:cs="Arial"/>
                <w:spacing w:val="2"/>
                <w:sz w:val="22"/>
                <w:szCs w:val="22"/>
                <w:lang w:val="en-GB"/>
              </w:rPr>
              <w:t>e</w:t>
            </w:r>
            <w:r w:rsidRPr="00E4265B">
              <w:rPr>
                <w:rFonts w:ascii="Arial" w:hAnsi="Arial" w:cs="Arial"/>
                <w:sz w:val="22"/>
                <w:szCs w:val="22"/>
                <w:lang w:val="en-GB"/>
              </w:rPr>
              <w:t>l</w:t>
            </w:r>
            <w:r w:rsidRPr="00E4265B">
              <w:rPr>
                <w:rFonts w:ascii="Arial" w:hAnsi="Arial" w:cs="Arial"/>
                <w:spacing w:val="-6"/>
                <w:sz w:val="22"/>
                <w:szCs w:val="22"/>
                <w:lang w:val="en-GB"/>
              </w:rPr>
              <w:t xml:space="preserve"> </w:t>
            </w:r>
            <w:r w:rsidRPr="00E4265B">
              <w:rPr>
                <w:rFonts w:ascii="Arial" w:hAnsi="Arial" w:cs="Arial"/>
                <w:sz w:val="22"/>
                <w:szCs w:val="22"/>
                <w:lang w:val="en-GB"/>
              </w:rPr>
              <w:t>1</w:t>
            </w:r>
            <w:r w:rsidRPr="00E4265B">
              <w:rPr>
                <w:rFonts w:ascii="Arial" w:hAnsi="Arial" w:cs="Arial"/>
                <w:spacing w:val="1"/>
                <w:sz w:val="22"/>
                <w:szCs w:val="22"/>
                <w:lang w:val="en-GB"/>
              </w:rPr>
              <w:t xml:space="preserve"> </w:t>
            </w:r>
            <w:r w:rsidRPr="00E4265B">
              <w:rPr>
                <w:rFonts w:ascii="Arial" w:hAnsi="Arial" w:cs="Arial"/>
                <w:sz w:val="22"/>
                <w:szCs w:val="22"/>
                <w:lang w:val="en-GB"/>
              </w:rPr>
              <w:t>H</w:t>
            </w:r>
            <w:r w:rsidRPr="00E4265B">
              <w:rPr>
                <w:rFonts w:ascii="Arial" w:hAnsi="Arial" w:cs="Arial"/>
                <w:spacing w:val="1"/>
                <w:sz w:val="22"/>
                <w:szCs w:val="22"/>
                <w:lang w:val="en-GB"/>
              </w:rPr>
              <w:t>Q</w:t>
            </w:r>
            <w:r w:rsidRPr="00E4265B">
              <w:rPr>
                <w:rFonts w:ascii="Arial" w:hAnsi="Arial" w:cs="Arial"/>
                <w:sz w:val="22"/>
                <w:szCs w:val="22"/>
                <w:lang w:val="en-GB"/>
              </w:rPr>
              <w:t>LA</w:t>
            </w:r>
          </w:p>
        </w:tc>
        <w:tc>
          <w:tcPr>
            <w:tcW w:w="1606" w:type="dxa"/>
            <w:tcBorders>
              <w:top w:val="nil"/>
              <w:left w:val="single" w:sz="8" w:space="0" w:color="000000"/>
              <w:right w:val="single" w:sz="8" w:space="0" w:color="000000"/>
            </w:tcBorders>
            <w:vAlign w:val="center"/>
          </w:tcPr>
          <w:p w14:paraId="2463FDED" w14:textId="77777777" w:rsidR="00DA6C72" w:rsidRPr="00E4265B" w:rsidRDefault="00DA6C72" w:rsidP="005F263A">
            <w:pPr>
              <w:autoSpaceDE w:val="0"/>
              <w:autoSpaceDN w:val="0"/>
              <w:ind w:right="549"/>
              <w:jc w:val="right"/>
              <w:rPr>
                <w:rFonts w:ascii="Arial" w:eastAsia="MS PGothic" w:hAnsi="Arial" w:cs="Arial"/>
                <w:sz w:val="22"/>
                <w:szCs w:val="22"/>
                <w:lang w:val="en-GB"/>
              </w:rPr>
            </w:pPr>
            <w:r w:rsidRPr="00E4265B">
              <w:rPr>
                <w:rFonts w:ascii="Arial" w:hAnsi="Arial" w:cs="Arial"/>
                <w:sz w:val="22"/>
                <w:szCs w:val="22"/>
                <w:lang w:val="en-GB"/>
              </w:rPr>
              <w:t>0%</w:t>
            </w:r>
          </w:p>
        </w:tc>
      </w:tr>
      <w:tr w:rsidR="00DA6C72" w:rsidRPr="00E4265B" w14:paraId="455ADD67" w14:textId="77777777" w:rsidTr="008D19E8">
        <w:trPr>
          <w:trHeight w:hRule="exact" w:val="360"/>
          <w:tblHeader/>
        </w:trPr>
        <w:tc>
          <w:tcPr>
            <w:tcW w:w="6404" w:type="dxa"/>
            <w:tcBorders>
              <w:top w:val="nil"/>
              <w:left w:val="single" w:sz="8" w:space="0" w:color="000000"/>
              <w:right w:val="single" w:sz="8" w:space="0" w:color="000000"/>
            </w:tcBorders>
            <w:vAlign w:val="center"/>
          </w:tcPr>
          <w:p w14:paraId="4D43603E" w14:textId="77777777" w:rsidR="00DA6C72" w:rsidRPr="00E4265B" w:rsidRDefault="00DA6C72" w:rsidP="0019712D">
            <w:pPr>
              <w:pStyle w:val="ListParagraph"/>
              <w:numPr>
                <w:ilvl w:val="0"/>
                <w:numId w:val="74"/>
              </w:numPr>
              <w:autoSpaceDE w:val="0"/>
              <w:autoSpaceDN w:val="0"/>
              <w:ind w:left="554" w:right="270"/>
              <w:contextualSpacing w:val="0"/>
              <w:rPr>
                <w:rFonts w:ascii="Arial" w:hAnsi="Arial" w:cs="Arial"/>
                <w:bCs/>
                <w:spacing w:val="4"/>
                <w:sz w:val="22"/>
                <w:szCs w:val="22"/>
                <w:lang w:val="en-GB"/>
              </w:rPr>
            </w:pPr>
            <w:r w:rsidRPr="00E4265B">
              <w:rPr>
                <w:rFonts w:ascii="Arial" w:hAnsi="Arial" w:cs="Arial"/>
                <w:sz w:val="22"/>
                <w:szCs w:val="22"/>
                <w:lang w:val="en-GB"/>
              </w:rPr>
              <w:t>L</w:t>
            </w:r>
            <w:r w:rsidRPr="00E4265B">
              <w:rPr>
                <w:rFonts w:ascii="Arial" w:hAnsi="Arial" w:cs="Arial"/>
                <w:spacing w:val="2"/>
                <w:sz w:val="22"/>
                <w:szCs w:val="22"/>
                <w:lang w:val="en-GB"/>
              </w:rPr>
              <w:t>e</w:t>
            </w:r>
            <w:r w:rsidRPr="00E4265B">
              <w:rPr>
                <w:rFonts w:ascii="Arial" w:hAnsi="Arial" w:cs="Arial"/>
                <w:spacing w:val="-1"/>
                <w:sz w:val="22"/>
                <w:szCs w:val="22"/>
                <w:lang w:val="en-GB"/>
              </w:rPr>
              <w:t>v</w:t>
            </w:r>
            <w:r w:rsidRPr="00E4265B">
              <w:rPr>
                <w:rFonts w:ascii="Arial" w:hAnsi="Arial" w:cs="Arial"/>
                <w:spacing w:val="2"/>
                <w:sz w:val="22"/>
                <w:szCs w:val="22"/>
                <w:lang w:val="en-GB"/>
              </w:rPr>
              <w:t>e</w:t>
            </w:r>
            <w:r w:rsidRPr="00E4265B">
              <w:rPr>
                <w:rFonts w:ascii="Arial" w:hAnsi="Arial" w:cs="Arial"/>
                <w:sz w:val="22"/>
                <w:szCs w:val="22"/>
                <w:lang w:val="en-GB"/>
              </w:rPr>
              <w:t>l</w:t>
            </w:r>
            <w:r w:rsidRPr="00E4265B">
              <w:rPr>
                <w:rFonts w:ascii="Arial" w:hAnsi="Arial" w:cs="Arial"/>
                <w:spacing w:val="-6"/>
                <w:sz w:val="22"/>
                <w:szCs w:val="22"/>
                <w:lang w:val="en-GB"/>
              </w:rPr>
              <w:t xml:space="preserve"> </w:t>
            </w:r>
            <w:r w:rsidRPr="00E4265B">
              <w:rPr>
                <w:rFonts w:ascii="Arial" w:hAnsi="Arial" w:cs="Arial"/>
                <w:spacing w:val="2"/>
                <w:sz w:val="22"/>
                <w:szCs w:val="22"/>
                <w:lang w:val="en-GB"/>
              </w:rPr>
              <w:t>2</w:t>
            </w:r>
            <w:r w:rsidRPr="00E4265B">
              <w:rPr>
                <w:rFonts w:ascii="Arial" w:hAnsi="Arial" w:cs="Arial"/>
                <w:sz w:val="22"/>
                <w:szCs w:val="22"/>
                <w:lang w:val="en-GB"/>
              </w:rPr>
              <w:t>A</w:t>
            </w:r>
            <w:r w:rsidRPr="00E4265B">
              <w:rPr>
                <w:rFonts w:ascii="Arial" w:hAnsi="Arial" w:cs="Arial"/>
                <w:spacing w:val="-3"/>
                <w:sz w:val="22"/>
                <w:szCs w:val="22"/>
                <w:lang w:val="en-GB"/>
              </w:rPr>
              <w:t xml:space="preserve"> </w:t>
            </w:r>
            <w:r w:rsidRPr="00E4265B">
              <w:rPr>
                <w:rFonts w:ascii="Arial" w:hAnsi="Arial" w:cs="Arial"/>
                <w:sz w:val="22"/>
                <w:szCs w:val="22"/>
                <w:lang w:val="en-GB"/>
              </w:rPr>
              <w:t>H</w:t>
            </w:r>
            <w:r w:rsidRPr="00E4265B">
              <w:rPr>
                <w:rFonts w:ascii="Arial" w:hAnsi="Arial" w:cs="Arial"/>
                <w:spacing w:val="1"/>
                <w:sz w:val="22"/>
                <w:szCs w:val="22"/>
                <w:lang w:val="en-GB"/>
              </w:rPr>
              <w:t>Q</w:t>
            </w:r>
            <w:r w:rsidRPr="00E4265B">
              <w:rPr>
                <w:rFonts w:ascii="Arial" w:hAnsi="Arial" w:cs="Arial"/>
                <w:spacing w:val="2"/>
                <w:sz w:val="22"/>
                <w:szCs w:val="22"/>
                <w:lang w:val="en-GB"/>
              </w:rPr>
              <w:t>LA</w:t>
            </w:r>
          </w:p>
        </w:tc>
        <w:tc>
          <w:tcPr>
            <w:tcW w:w="1606" w:type="dxa"/>
            <w:tcBorders>
              <w:top w:val="nil"/>
              <w:left w:val="single" w:sz="8" w:space="0" w:color="000000"/>
              <w:right w:val="single" w:sz="8" w:space="0" w:color="000000"/>
            </w:tcBorders>
            <w:vAlign w:val="center"/>
          </w:tcPr>
          <w:p w14:paraId="2CD0124D" w14:textId="77777777" w:rsidR="00DA6C72" w:rsidRPr="00E4265B" w:rsidRDefault="00DA6C72" w:rsidP="005F263A">
            <w:pPr>
              <w:autoSpaceDE w:val="0"/>
              <w:autoSpaceDN w:val="0"/>
              <w:ind w:right="549"/>
              <w:jc w:val="right"/>
              <w:rPr>
                <w:rFonts w:ascii="Arial" w:eastAsia="MS PGothic" w:hAnsi="Arial" w:cs="Arial"/>
                <w:sz w:val="22"/>
                <w:szCs w:val="22"/>
                <w:lang w:val="en-GB"/>
              </w:rPr>
            </w:pPr>
            <w:r w:rsidRPr="00E4265B">
              <w:rPr>
                <w:rFonts w:ascii="Arial" w:eastAsia="MS PGothic" w:hAnsi="Arial" w:cs="Arial"/>
                <w:sz w:val="22"/>
                <w:szCs w:val="22"/>
                <w:lang w:val="en-GB"/>
              </w:rPr>
              <w:t>15%</w:t>
            </w:r>
          </w:p>
        </w:tc>
      </w:tr>
      <w:tr w:rsidR="00DA6C72" w:rsidRPr="00E4265B" w14:paraId="2AE5C442" w14:textId="77777777" w:rsidTr="008D19E8">
        <w:trPr>
          <w:trHeight w:hRule="exact" w:val="360"/>
          <w:tblHeader/>
        </w:trPr>
        <w:tc>
          <w:tcPr>
            <w:tcW w:w="6404" w:type="dxa"/>
            <w:tcBorders>
              <w:top w:val="nil"/>
              <w:left w:val="single" w:sz="8" w:space="0" w:color="000000"/>
              <w:right w:val="single" w:sz="8" w:space="0" w:color="000000"/>
            </w:tcBorders>
            <w:vAlign w:val="center"/>
          </w:tcPr>
          <w:p w14:paraId="49EC928E" w14:textId="0391DBAA" w:rsidR="00DA6C72" w:rsidRPr="00E4265B" w:rsidRDefault="00DA6C72" w:rsidP="0019712D">
            <w:pPr>
              <w:pStyle w:val="ListParagraph"/>
              <w:numPr>
                <w:ilvl w:val="0"/>
                <w:numId w:val="74"/>
              </w:numPr>
              <w:autoSpaceDE w:val="0"/>
              <w:autoSpaceDN w:val="0"/>
              <w:ind w:left="554" w:right="270"/>
              <w:contextualSpacing w:val="0"/>
              <w:rPr>
                <w:rFonts w:ascii="Arial" w:hAnsi="Arial" w:cs="Arial"/>
                <w:bCs/>
                <w:spacing w:val="4"/>
                <w:sz w:val="22"/>
                <w:szCs w:val="22"/>
                <w:lang w:val="en-GB"/>
              </w:rPr>
            </w:pPr>
            <w:r w:rsidRPr="00E4265B">
              <w:rPr>
                <w:rFonts w:ascii="Arial" w:hAnsi="Arial" w:cs="Arial"/>
                <w:sz w:val="22"/>
                <w:szCs w:val="22"/>
                <w:lang w:val="en-GB"/>
              </w:rPr>
              <w:t>L</w:t>
            </w:r>
            <w:r w:rsidRPr="00E4265B">
              <w:rPr>
                <w:rFonts w:ascii="Arial" w:hAnsi="Arial" w:cs="Arial"/>
                <w:spacing w:val="2"/>
                <w:sz w:val="22"/>
                <w:szCs w:val="22"/>
                <w:lang w:val="en-GB"/>
              </w:rPr>
              <w:t>e</w:t>
            </w:r>
            <w:r w:rsidRPr="00E4265B">
              <w:rPr>
                <w:rFonts w:ascii="Arial" w:hAnsi="Arial" w:cs="Arial"/>
                <w:spacing w:val="-1"/>
                <w:sz w:val="22"/>
                <w:szCs w:val="22"/>
                <w:lang w:val="en-GB"/>
              </w:rPr>
              <w:t>v</w:t>
            </w:r>
            <w:r w:rsidRPr="00E4265B">
              <w:rPr>
                <w:rFonts w:ascii="Arial" w:hAnsi="Arial" w:cs="Arial"/>
                <w:spacing w:val="2"/>
                <w:sz w:val="22"/>
                <w:szCs w:val="22"/>
                <w:lang w:val="en-GB"/>
              </w:rPr>
              <w:t>e</w:t>
            </w:r>
            <w:r w:rsidRPr="00E4265B">
              <w:rPr>
                <w:rFonts w:ascii="Arial" w:hAnsi="Arial" w:cs="Arial"/>
                <w:sz w:val="22"/>
                <w:szCs w:val="22"/>
                <w:lang w:val="en-GB"/>
              </w:rPr>
              <w:t>l</w:t>
            </w:r>
            <w:r w:rsidRPr="00E4265B">
              <w:rPr>
                <w:rFonts w:ascii="Arial" w:hAnsi="Arial" w:cs="Arial"/>
                <w:spacing w:val="-6"/>
                <w:sz w:val="22"/>
                <w:szCs w:val="22"/>
                <w:lang w:val="en-GB"/>
              </w:rPr>
              <w:t xml:space="preserve"> </w:t>
            </w:r>
            <w:r w:rsidRPr="00E4265B">
              <w:rPr>
                <w:rFonts w:ascii="Arial" w:hAnsi="Arial" w:cs="Arial"/>
                <w:spacing w:val="2"/>
                <w:sz w:val="22"/>
                <w:szCs w:val="22"/>
                <w:lang w:val="en-GB"/>
              </w:rPr>
              <w:t>2</w:t>
            </w:r>
            <w:r w:rsidRPr="00E4265B">
              <w:rPr>
                <w:rFonts w:ascii="Arial" w:hAnsi="Arial" w:cs="Arial"/>
                <w:sz w:val="22"/>
                <w:szCs w:val="22"/>
                <w:lang w:val="en-GB"/>
              </w:rPr>
              <w:t>B</w:t>
            </w:r>
            <w:r w:rsidRPr="00E4265B">
              <w:rPr>
                <w:rFonts w:ascii="Arial" w:hAnsi="Arial" w:cs="Arial"/>
                <w:spacing w:val="-3"/>
                <w:sz w:val="22"/>
                <w:szCs w:val="22"/>
                <w:lang w:val="en-GB"/>
              </w:rPr>
              <w:t xml:space="preserve"> </w:t>
            </w:r>
            <w:r w:rsidRPr="00E4265B">
              <w:rPr>
                <w:rFonts w:ascii="Arial" w:hAnsi="Arial" w:cs="Arial"/>
                <w:sz w:val="22"/>
                <w:szCs w:val="22"/>
                <w:lang w:val="en-GB"/>
              </w:rPr>
              <w:t>H</w:t>
            </w:r>
            <w:r w:rsidRPr="00E4265B">
              <w:rPr>
                <w:rFonts w:ascii="Arial" w:hAnsi="Arial" w:cs="Arial"/>
                <w:spacing w:val="1"/>
                <w:sz w:val="22"/>
                <w:szCs w:val="22"/>
                <w:lang w:val="en-GB"/>
              </w:rPr>
              <w:t>Q</w:t>
            </w:r>
            <w:r w:rsidRPr="00E4265B">
              <w:rPr>
                <w:rFonts w:ascii="Arial" w:hAnsi="Arial" w:cs="Arial"/>
                <w:spacing w:val="2"/>
                <w:sz w:val="22"/>
                <w:szCs w:val="22"/>
                <w:lang w:val="en-GB"/>
              </w:rPr>
              <w:t>L</w:t>
            </w:r>
            <w:r w:rsidRPr="00E4265B">
              <w:rPr>
                <w:rFonts w:ascii="Arial" w:hAnsi="Arial" w:cs="Arial"/>
                <w:sz w:val="22"/>
                <w:szCs w:val="22"/>
                <w:lang w:val="en-GB"/>
              </w:rPr>
              <w:t>A</w:t>
            </w:r>
          </w:p>
        </w:tc>
        <w:tc>
          <w:tcPr>
            <w:tcW w:w="1606" w:type="dxa"/>
            <w:tcBorders>
              <w:top w:val="nil"/>
              <w:left w:val="single" w:sz="8" w:space="0" w:color="000000"/>
              <w:right w:val="single" w:sz="8" w:space="0" w:color="000000"/>
            </w:tcBorders>
            <w:vAlign w:val="center"/>
          </w:tcPr>
          <w:p w14:paraId="13BF3F22" w14:textId="605429C7" w:rsidR="00DA6C72" w:rsidRPr="00E4265B" w:rsidRDefault="00DA6C72" w:rsidP="005F263A">
            <w:pPr>
              <w:autoSpaceDE w:val="0"/>
              <w:autoSpaceDN w:val="0"/>
              <w:ind w:right="549"/>
              <w:jc w:val="right"/>
              <w:rPr>
                <w:rFonts w:ascii="Arial" w:eastAsia="MS PGothic" w:hAnsi="Arial" w:cs="Arial"/>
                <w:sz w:val="22"/>
                <w:szCs w:val="22"/>
                <w:lang w:val="en-GB"/>
              </w:rPr>
            </w:pPr>
          </w:p>
        </w:tc>
      </w:tr>
      <w:tr w:rsidR="00502702" w:rsidRPr="00E4265B" w14:paraId="4FB1E8C9" w14:textId="77777777" w:rsidTr="008D19E8">
        <w:trPr>
          <w:trHeight w:hRule="exact" w:val="360"/>
          <w:tblHeader/>
        </w:trPr>
        <w:tc>
          <w:tcPr>
            <w:tcW w:w="6404" w:type="dxa"/>
            <w:tcBorders>
              <w:top w:val="nil"/>
              <w:left w:val="single" w:sz="8" w:space="0" w:color="000000"/>
              <w:right w:val="single" w:sz="8" w:space="0" w:color="000000"/>
            </w:tcBorders>
            <w:vAlign w:val="center"/>
          </w:tcPr>
          <w:p w14:paraId="52F5D355" w14:textId="67E24094" w:rsidR="00502702" w:rsidRPr="00E4265B" w:rsidRDefault="00502702" w:rsidP="0019712D">
            <w:pPr>
              <w:pStyle w:val="ListParagraph"/>
              <w:numPr>
                <w:ilvl w:val="1"/>
                <w:numId w:val="74"/>
              </w:numPr>
              <w:autoSpaceDE w:val="0"/>
              <w:autoSpaceDN w:val="0"/>
              <w:ind w:left="900" w:right="270"/>
              <w:contextualSpacing w:val="0"/>
              <w:rPr>
                <w:rFonts w:ascii="Arial" w:hAnsi="Arial" w:cs="Arial"/>
                <w:sz w:val="22"/>
                <w:szCs w:val="22"/>
                <w:lang w:val="en-GB"/>
              </w:rPr>
            </w:pPr>
            <w:r w:rsidRPr="00E4265B">
              <w:rPr>
                <w:rFonts w:ascii="Arial" w:hAnsi="Arial" w:cs="Arial"/>
                <w:spacing w:val="-1"/>
                <w:sz w:val="22"/>
                <w:szCs w:val="22"/>
                <w:lang w:val="en-GB"/>
              </w:rPr>
              <w:t>El</w:t>
            </w:r>
            <w:r w:rsidRPr="00E4265B">
              <w:rPr>
                <w:rFonts w:ascii="Arial" w:hAnsi="Arial" w:cs="Arial"/>
                <w:spacing w:val="1"/>
                <w:sz w:val="22"/>
                <w:szCs w:val="22"/>
                <w:lang w:val="en-GB"/>
              </w:rPr>
              <w:t>i</w:t>
            </w:r>
            <w:r w:rsidRPr="00E4265B">
              <w:rPr>
                <w:rFonts w:ascii="Arial" w:hAnsi="Arial" w:cs="Arial"/>
                <w:sz w:val="22"/>
                <w:szCs w:val="22"/>
                <w:lang w:val="en-GB"/>
              </w:rPr>
              <w:t>g</w:t>
            </w:r>
            <w:r w:rsidRPr="00E4265B">
              <w:rPr>
                <w:rFonts w:ascii="Arial" w:hAnsi="Arial" w:cs="Arial"/>
                <w:spacing w:val="1"/>
                <w:sz w:val="22"/>
                <w:szCs w:val="22"/>
                <w:lang w:val="en-GB"/>
              </w:rPr>
              <w:t>i</w:t>
            </w:r>
            <w:r w:rsidRPr="00E4265B">
              <w:rPr>
                <w:rFonts w:ascii="Arial" w:hAnsi="Arial" w:cs="Arial"/>
                <w:sz w:val="22"/>
                <w:szCs w:val="22"/>
                <w:lang w:val="en-GB"/>
              </w:rPr>
              <w:t>b</w:t>
            </w:r>
            <w:r w:rsidRPr="00E4265B">
              <w:rPr>
                <w:rFonts w:ascii="Arial" w:hAnsi="Arial" w:cs="Arial"/>
                <w:spacing w:val="1"/>
                <w:sz w:val="22"/>
                <w:szCs w:val="22"/>
                <w:lang w:val="en-GB"/>
              </w:rPr>
              <w:t>l</w:t>
            </w:r>
            <w:r w:rsidRPr="00E4265B">
              <w:rPr>
                <w:rFonts w:ascii="Arial" w:hAnsi="Arial" w:cs="Arial"/>
                <w:sz w:val="22"/>
                <w:szCs w:val="22"/>
                <w:lang w:val="en-GB"/>
              </w:rPr>
              <w:t>e</w:t>
            </w:r>
            <w:r w:rsidRPr="00E4265B">
              <w:rPr>
                <w:rFonts w:ascii="Arial" w:hAnsi="Arial" w:cs="Arial"/>
                <w:spacing w:val="-4"/>
                <w:sz w:val="22"/>
                <w:szCs w:val="22"/>
                <w:lang w:val="en-GB"/>
              </w:rPr>
              <w:t xml:space="preserve"> </w:t>
            </w:r>
            <w:r w:rsidRPr="00E4265B">
              <w:rPr>
                <w:rFonts w:ascii="Arial" w:hAnsi="Arial" w:cs="Arial"/>
                <w:sz w:val="22"/>
                <w:szCs w:val="22"/>
                <w:lang w:val="en-GB"/>
              </w:rPr>
              <w:t>RM</w:t>
            </w:r>
            <w:r w:rsidRPr="00E4265B">
              <w:rPr>
                <w:rFonts w:ascii="Arial" w:hAnsi="Arial" w:cs="Arial"/>
                <w:spacing w:val="2"/>
                <w:sz w:val="22"/>
                <w:szCs w:val="22"/>
                <w:lang w:val="en-GB"/>
              </w:rPr>
              <w:t>B</w:t>
            </w:r>
            <w:r w:rsidRPr="00E4265B">
              <w:rPr>
                <w:rFonts w:ascii="Arial" w:hAnsi="Arial" w:cs="Arial"/>
                <w:sz w:val="22"/>
                <w:szCs w:val="22"/>
                <w:lang w:val="en-GB"/>
              </w:rPr>
              <w:t>S</w:t>
            </w:r>
          </w:p>
        </w:tc>
        <w:tc>
          <w:tcPr>
            <w:tcW w:w="1606" w:type="dxa"/>
            <w:tcBorders>
              <w:top w:val="nil"/>
              <w:left w:val="single" w:sz="8" w:space="0" w:color="000000"/>
              <w:right w:val="single" w:sz="8" w:space="0" w:color="000000"/>
            </w:tcBorders>
            <w:vAlign w:val="center"/>
          </w:tcPr>
          <w:p w14:paraId="3BB95300" w14:textId="17D3A6B7" w:rsidR="00502702" w:rsidRPr="00E4265B" w:rsidRDefault="00502702" w:rsidP="005F263A">
            <w:pPr>
              <w:autoSpaceDE w:val="0"/>
              <w:autoSpaceDN w:val="0"/>
              <w:ind w:right="549"/>
              <w:jc w:val="right"/>
              <w:rPr>
                <w:rFonts w:ascii="Arial" w:eastAsia="MS PGothic" w:hAnsi="Arial" w:cs="Arial"/>
                <w:sz w:val="22"/>
                <w:szCs w:val="22"/>
                <w:lang w:val="en-GB"/>
              </w:rPr>
            </w:pPr>
            <w:r w:rsidRPr="00E4265B">
              <w:rPr>
                <w:rFonts w:ascii="Arial" w:eastAsia="MS PGothic" w:hAnsi="Arial" w:cs="Arial"/>
                <w:sz w:val="22"/>
                <w:szCs w:val="22"/>
                <w:lang w:val="en-GB"/>
              </w:rPr>
              <w:t>25%</w:t>
            </w:r>
          </w:p>
        </w:tc>
      </w:tr>
      <w:tr w:rsidR="00DA6C72" w:rsidRPr="00E4265B" w14:paraId="553CDFBB" w14:textId="77777777" w:rsidTr="008D19E8">
        <w:trPr>
          <w:trHeight w:hRule="exact" w:val="360"/>
          <w:tblHeader/>
        </w:trPr>
        <w:tc>
          <w:tcPr>
            <w:tcW w:w="6404" w:type="dxa"/>
            <w:tcBorders>
              <w:top w:val="nil"/>
              <w:left w:val="single" w:sz="8" w:space="0" w:color="000000"/>
              <w:right w:val="single" w:sz="8" w:space="0" w:color="000000"/>
            </w:tcBorders>
            <w:vAlign w:val="center"/>
          </w:tcPr>
          <w:p w14:paraId="4BA6E7B3" w14:textId="6DD46B31" w:rsidR="00DA6C72" w:rsidRPr="00E4265B" w:rsidRDefault="00DA6C72" w:rsidP="0019712D">
            <w:pPr>
              <w:pStyle w:val="ListParagraph"/>
              <w:numPr>
                <w:ilvl w:val="1"/>
                <w:numId w:val="74"/>
              </w:numPr>
              <w:autoSpaceDE w:val="0"/>
              <w:autoSpaceDN w:val="0"/>
              <w:ind w:left="900" w:right="270"/>
              <w:contextualSpacing w:val="0"/>
              <w:rPr>
                <w:rFonts w:ascii="Arial" w:hAnsi="Arial" w:cs="Arial"/>
                <w:bCs/>
                <w:spacing w:val="4"/>
                <w:sz w:val="22"/>
                <w:szCs w:val="22"/>
                <w:lang w:val="en-GB"/>
              </w:rPr>
            </w:pPr>
            <w:r w:rsidRPr="00E4265B">
              <w:rPr>
                <w:rFonts w:ascii="Arial" w:hAnsi="Arial" w:cs="Arial"/>
                <w:spacing w:val="1"/>
                <w:sz w:val="22"/>
                <w:szCs w:val="22"/>
                <w:lang w:val="en-GB"/>
              </w:rPr>
              <w:t>O</w:t>
            </w:r>
            <w:r w:rsidRPr="00E4265B">
              <w:rPr>
                <w:rFonts w:ascii="Arial" w:hAnsi="Arial" w:cs="Arial"/>
                <w:sz w:val="22"/>
                <w:szCs w:val="22"/>
                <w:lang w:val="en-GB"/>
              </w:rPr>
              <w:t>t</w:t>
            </w:r>
            <w:r w:rsidRPr="00E4265B">
              <w:rPr>
                <w:rFonts w:ascii="Arial" w:hAnsi="Arial" w:cs="Arial"/>
                <w:spacing w:val="2"/>
                <w:sz w:val="22"/>
                <w:szCs w:val="22"/>
                <w:lang w:val="en-GB"/>
              </w:rPr>
              <w:t>h</w:t>
            </w:r>
            <w:r w:rsidRPr="00E4265B">
              <w:rPr>
                <w:rFonts w:ascii="Arial" w:hAnsi="Arial" w:cs="Arial"/>
                <w:sz w:val="22"/>
                <w:szCs w:val="22"/>
                <w:lang w:val="en-GB"/>
              </w:rPr>
              <w:t>er</w:t>
            </w:r>
            <w:r w:rsidRPr="00E4265B">
              <w:rPr>
                <w:rFonts w:ascii="Arial" w:hAnsi="Arial" w:cs="Arial"/>
                <w:spacing w:val="-5"/>
                <w:sz w:val="22"/>
                <w:szCs w:val="22"/>
                <w:lang w:val="en-GB"/>
              </w:rPr>
              <w:t xml:space="preserve"> </w:t>
            </w:r>
            <w:r w:rsidRPr="00E4265B">
              <w:rPr>
                <w:rFonts w:ascii="Arial" w:hAnsi="Arial" w:cs="Arial"/>
                <w:spacing w:val="2"/>
                <w:sz w:val="22"/>
                <w:szCs w:val="22"/>
                <w:lang w:val="en-GB"/>
              </w:rPr>
              <w:t>a</w:t>
            </w:r>
            <w:r w:rsidRPr="00E4265B">
              <w:rPr>
                <w:rFonts w:ascii="Arial" w:hAnsi="Arial" w:cs="Arial"/>
                <w:spacing w:val="1"/>
                <w:sz w:val="22"/>
                <w:szCs w:val="22"/>
                <w:lang w:val="en-GB"/>
              </w:rPr>
              <w:t>ss</w:t>
            </w:r>
            <w:r w:rsidRPr="00E4265B">
              <w:rPr>
                <w:rFonts w:ascii="Arial" w:hAnsi="Arial" w:cs="Arial"/>
                <w:sz w:val="22"/>
                <w:szCs w:val="22"/>
                <w:lang w:val="en-GB"/>
              </w:rPr>
              <w:t>ets</w:t>
            </w:r>
          </w:p>
        </w:tc>
        <w:tc>
          <w:tcPr>
            <w:tcW w:w="1606" w:type="dxa"/>
            <w:tcBorders>
              <w:top w:val="nil"/>
              <w:left w:val="single" w:sz="8" w:space="0" w:color="000000"/>
              <w:right w:val="single" w:sz="8" w:space="0" w:color="000000"/>
            </w:tcBorders>
            <w:vAlign w:val="center"/>
          </w:tcPr>
          <w:p w14:paraId="5D13A20E" w14:textId="77777777" w:rsidR="00DA6C72" w:rsidRPr="00E4265B" w:rsidRDefault="00DA6C72" w:rsidP="005F263A">
            <w:pPr>
              <w:autoSpaceDE w:val="0"/>
              <w:autoSpaceDN w:val="0"/>
              <w:ind w:right="549"/>
              <w:jc w:val="right"/>
              <w:rPr>
                <w:rFonts w:ascii="Arial" w:eastAsia="MS PGothic" w:hAnsi="Arial" w:cs="Arial"/>
                <w:sz w:val="22"/>
                <w:szCs w:val="22"/>
                <w:lang w:val="en-GB"/>
              </w:rPr>
            </w:pPr>
            <w:r w:rsidRPr="00E4265B">
              <w:rPr>
                <w:rFonts w:ascii="Arial" w:eastAsia="MS PGothic" w:hAnsi="Arial" w:cs="Arial"/>
                <w:sz w:val="22"/>
                <w:szCs w:val="22"/>
                <w:lang w:val="en-GB"/>
              </w:rPr>
              <w:t>50%</w:t>
            </w:r>
          </w:p>
        </w:tc>
      </w:tr>
      <w:tr w:rsidR="00DA6C72" w:rsidRPr="00E4265B" w14:paraId="3FA00720" w14:textId="77777777" w:rsidTr="008D19E8">
        <w:trPr>
          <w:trHeight w:hRule="exact" w:val="360"/>
          <w:tblHeader/>
        </w:trPr>
        <w:tc>
          <w:tcPr>
            <w:tcW w:w="6404" w:type="dxa"/>
            <w:tcBorders>
              <w:top w:val="nil"/>
              <w:left w:val="single" w:sz="8" w:space="0" w:color="000000"/>
              <w:right w:val="single" w:sz="8" w:space="0" w:color="000000"/>
            </w:tcBorders>
            <w:vAlign w:val="center"/>
          </w:tcPr>
          <w:p w14:paraId="1B5FF150" w14:textId="77777777" w:rsidR="00DA6C72" w:rsidRPr="00E4265B" w:rsidRDefault="00DA6C72" w:rsidP="0019712D">
            <w:pPr>
              <w:pStyle w:val="ListParagraph"/>
              <w:numPr>
                <w:ilvl w:val="0"/>
                <w:numId w:val="74"/>
              </w:numPr>
              <w:autoSpaceDE w:val="0"/>
              <w:autoSpaceDN w:val="0"/>
              <w:ind w:left="554" w:right="270"/>
              <w:contextualSpacing w:val="0"/>
              <w:rPr>
                <w:rFonts w:ascii="Arial" w:hAnsi="Arial" w:cs="Arial"/>
                <w:bCs/>
                <w:spacing w:val="4"/>
                <w:sz w:val="22"/>
                <w:szCs w:val="22"/>
                <w:lang w:val="en-GB"/>
              </w:rPr>
            </w:pPr>
            <w:r w:rsidRPr="00E4265B">
              <w:rPr>
                <w:rFonts w:ascii="Arial" w:hAnsi="Arial" w:cs="Arial"/>
                <w:sz w:val="22"/>
                <w:szCs w:val="22"/>
                <w:lang w:val="en-GB"/>
              </w:rPr>
              <w:t>Ma</w:t>
            </w:r>
            <w:r w:rsidRPr="00E4265B">
              <w:rPr>
                <w:rFonts w:ascii="Arial" w:hAnsi="Arial" w:cs="Arial"/>
                <w:spacing w:val="1"/>
                <w:sz w:val="22"/>
                <w:szCs w:val="22"/>
                <w:lang w:val="en-GB"/>
              </w:rPr>
              <w:t>r</w:t>
            </w:r>
            <w:r w:rsidRPr="00E4265B">
              <w:rPr>
                <w:rFonts w:ascii="Arial" w:hAnsi="Arial" w:cs="Arial"/>
                <w:spacing w:val="2"/>
                <w:sz w:val="22"/>
                <w:szCs w:val="22"/>
                <w:lang w:val="en-GB"/>
              </w:rPr>
              <w:t>g</w:t>
            </w:r>
            <w:r w:rsidRPr="00E4265B">
              <w:rPr>
                <w:rFonts w:ascii="Arial" w:hAnsi="Arial" w:cs="Arial"/>
                <w:spacing w:val="-1"/>
                <w:sz w:val="22"/>
                <w:szCs w:val="22"/>
                <w:lang w:val="en-GB"/>
              </w:rPr>
              <w:t>i</w:t>
            </w:r>
            <w:r w:rsidRPr="00E4265B">
              <w:rPr>
                <w:rFonts w:ascii="Arial" w:hAnsi="Arial" w:cs="Arial"/>
                <w:sz w:val="22"/>
                <w:szCs w:val="22"/>
                <w:lang w:val="en-GB"/>
              </w:rPr>
              <w:t>n</w:t>
            </w:r>
            <w:r w:rsidRPr="00E4265B">
              <w:rPr>
                <w:rFonts w:ascii="Arial" w:hAnsi="Arial" w:cs="Arial"/>
                <w:spacing w:val="-4"/>
                <w:sz w:val="22"/>
                <w:szCs w:val="22"/>
                <w:lang w:val="en-GB"/>
              </w:rPr>
              <w:t xml:space="preserve"> </w:t>
            </w:r>
            <w:r w:rsidRPr="00E4265B">
              <w:rPr>
                <w:rFonts w:ascii="Arial" w:hAnsi="Arial" w:cs="Arial"/>
                <w:spacing w:val="-1"/>
                <w:sz w:val="22"/>
                <w:szCs w:val="22"/>
                <w:lang w:val="en-GB"/>
              </w:rPr>
              <w:t>l</w:t>
            </w:r>
            <w:r w:rsidRPr="00E4265B">
              <w:rPr>
                <w:rFonts w:ascii="Arial" w:hAnsi="Arial" w:cs="Arial"/>
                <w:spacing w:val="2"/>
                <w:sz w:val="22"/>
                <w:szCs w:val="22"/>
                <w:lang w:val="en-GB"/>
              </w:rPr>
              <w:t>e</w:t>
            </w:r>
            <w:r w:rsidRPr="00E4265B">
              <w:rPr>
                <w:rFonts w:ascii="Arial" w:hAnsi="Arial" w:cs="Arial"/>
                <w:sz w:val="22"/>
                <w:szCs w:val="22"/>
                <w:lang w:val="en-GB"/>
              </w:rPr>
              <w:t>n</w:t>
            </w:r>
            <w:r w:rsidRPr="00E4265B">
              <w:rPr>
                <w:rFonts w:ascii="Arial" w:hAnsi="Arial" w:cs="Arial"/>
                <w:spacing w:val="2"/>
                <w:sz w:val="22"/>
                <w:szCs w:val="22"/>
                <w:lang w:val="en-GB"/>
              </w:rPr>
              <w:t>d</w:t>
            </w:r>
            <w:r w:rsidRPr="00E4265B">
              <w:rPr>
                <w:rFonts w:ascii="Arial" w:hAnsi="Arial" w:cs="Arial"/>
                <w:spacing w:val="-1"/>
                <w:sz w:val="22"/>
                <w:szCs w:val="22"/>
                <w:lang w:val="en-GB"/>
              </w:rPr>
              <w:t>i</w:t>
            </w:r>
            <w:r w:rsidRPr="00E4265B">
              <w:rPr>
                <w:rFonts w:ascii="Arial" w:hAnsi="Arial" w:cs="Arial"/>
                <w:sz w:val="22"/>
                <w:szCs w:val="22"/>
                <w:lang w:val="en-GB"/>
              </w:rPr>
              <w:t>ng</w:t>
            </w:r>
            <w:r w:rsidRPr="00E4265B">
              <w:rPr>
                <w:rFonts w:ascii="Arial" w:hAnsi="Arial" w:cs="Arial"/>
                <w:spacing w:val="-4"/>
                <w:sz w:val="22"/>
                <w:szCs w:val="22"/>
                <w:lang w:val="en-GB"/>
              </w:rPr>
              <w:t xml:space="preserve"> </w:t>
            </w:r>
            <w:r w:rsidRPr="00E4265B">
              <w:rPr>
                <w:rFonts w:ascii="Arial" w:hAnsi="Arial" w:cs="Arial"/>
                <w:sz w:val="22"/>
                <w:szCs w:val="22"/>
                <w:lang w:val="en-GB"/>
              </w:rPr>
              <w:t>ba</w:t>
            </w:r>
            <w:r w:rsidRPr="00E4265B">
              <w:rPr>
                <w:rFonts w:ascii="Arial" w:hAnsi="Arial" w:cs="Arial"/>
                <w:spacing w:val="1"/>
                <w:sz w:val="22"/>
                <w:szCs w:val="22"/>
                <w:lang w:val="en-GB"/>
              </w:rPr>
              <w:t>c</w:t>
            </w:r>
            <w:r w:rsidRPr="00E4265B">
              <w:rPr>
                <w:rFonts w:ascii="Arial" w:hAnsi="Arial" w:cs="Arial"/>
                <w:spacing w:val="4"/>
                <w:sz w:val="22"/>
                <w:szCs w:val="22"/>
                <w:lang w:val="en-GB"/>
              </w:rPr>
              <w:t>k</w:t>
            </w:r>
            <w:r w:rsidRPr="00E4265B">
              <w:rPr>
                <w:rFonts w:ascii="Arial" w:hAnsi="Arial" w:cs="Arial"/>
                <w:sz w:val="22"/>
                <w:szCs w:val="22"/>
                <w:lang w:val="en-GB"/>
              </w:rPr>
              <w:t>ed</w:t>
            </w:r>
            <w:r w:rsidRPr="00E4265B">
              <w:rPr>
                <w:rFonts w:ascii="Arial" w:hAnsi="Arial" w:cs="Arial"/>
                <w:spacing w:val="-7"/>
                <w:sz w:val="22"/>
                <w:szCs w:val="22"/>
                <w:lang w:val="en-GB"/>
              </w:rPr>
              <w:t xml:space="preserve"> </w:t>
            </w:r>
            <w:r w:rsidRPr="00E4265B">
              <w:rPr>
                <w:rFonts w:ascii="Arial" w:hAnsi="Arial" w:cs="Arial"/>
                <w:spacing w:val="2"/>
                <w:sz w:val="22"/>
                <w:szCs w:val="22"/>
                <w:lang w:val="en-GB"/>
              </w:rPr>
              <w:t>b</w:t>
            </w:r>
            <w:r w:rsidRPr="00E4265B">
              <w:rPr>
                <w:rFonts w:ascii="Arial" w:hAnsi="Arial" w:cs="Arial"/>
                <w:sz w:val="22"/>
                <w:szCs w:val="22"/>
                <w:lang w:val="en-GB"/>
              </w:rPr>
              <w:t>y</w:t>
            </w:r>
            <w:r w:rsidRPr="00E4265B">
              <w:rPr>
                <w:rFonts w:ascii="Arial" w:hAnsi="Arial" w:cs="Arial"/>
                <w:spacing w:val="-4"/>
                <w:sz w:val="22"/>
                <w:szCs w:val="22"/>
                <w:lang w:val="en-GB"/>
              </w:rPr>
              <w:t xml:space="preserve"> </w:t>
            </w:r>
            <w:r w:rsidRPr="00E4265B">
              <w:rPr>
                <w:rFonts w:ascii="Arial" w:hAnsi="Arial" w:cs="Arial"/>
                <w:spacing w:val="2"/>
                <w:sz w:val="22"/>
                <w:szCs w:val="22"/>
                <w:lang w:val="en-GB"/>
              </w:rPr>
              <w:t>a</w:t>
            </w:r>
            <w:r w:rsidRPr="00E4265B">
              <w:rPr>
                <w:rFonts w:ascii="Arial" w:hAnsi="Arial" w:cs="Arial"/>
                <w:spacing w:val="-1"/>
                <w:sz w:val="22"/>
                <w:szCs w:val="22"/>
                <w:lang w:val="en-GB"/>
              </w:rPr>
              <w:t>l</w:t>
            </w:r>
            <w:r w:rsidRPr="00E4265B">
              <w:rPr>
                <w:rFonts w:ascii="Arial" w:hAnsi="Arial" w:cs="Arial"/>
                <w:sz w:val="22"/>
                <w:szCs w:val="22"/>
                <w:lang w:val="en-GB"/>
              </w:rPr>
              <w:t>l</w:t>
            </w:r>
            <w:r w:rsidRPr="00E4265B">
              <w:rPr>
                <w:rFonts w:ascii="Arial" w:hAnsi="Arial" w:cs="Arial"/>
                <w:spacing w:val="-1"/>
                <w:sz w:val="22"/>
                <w:szCs w:val="22"/>
                <w:lang w:val="en-GB"/>
              </w:rPr>
              <w:t xml:space="preserve"> </w:t>
            </w:r>
            <w:r w:rsidRPr="00E4265B">
              <w:rPr>
                <w:rFonts w:ascii="Arial" w:hAnsi="Arial" w:cs="Arial"/>
                <w:sz w:val="22"/>
                <w:szCs w:val="22"/>
                <w:lang w:val="en-GB"/>
              </w:rPr>
              <w:t>ot</w:t>
            </w:r>
            <w:r w:rsidRPr="00E4265B">
              <w:rPr>
                <w:rFonts w:ascii="Arial" w:hAnsi="Arial" w:cs="Arial"/>
                <w:spacing w:val="2"/>
                <w:sz w:val="22"/>
                <w:szCs w:val="22"/>
                <w:lang w:val="en-GB"/>
              </w:rPr>
              <w:t>h</w:t>
            </w:r>
            <w:r w:rsidRPr="00E4265B">
              <w:rPr>
                <w:rFonts w:ascii="Arial" w:hAnsi="Arial" w:cs="Arial"/>
                <w:sz w:val="22"/>
                <w:szCs w:val="22"/>
                <w:lang w:val="en-GB"/>
              </w:rPr>
              <w:t>er</w:t>
            </w:r>
            <w:r w:rsidRPr="00E4265B">
              <w:rPr>
                <w:rFonts w:ascii="Arial" w:hAnsi="Arial" w:cs="Arial"/>
                <w:spacing w:val="-5"/>
                <w:sz w:val="22"/>
                <w:szCs w:val="22"/>
                <w:lang w:val="en-GB"/>
              </w:rPr>
              <w:t xml:space="preserve"> </w:t>
            </w:r>
            <w:r w:rsidRPr="00E4265B">
              <w:rPr>
                <w:rFonts w:ascii="Arial" w:hAnsi="Arial" w:cs="Arial"/>
                <w:spacing w:val="1"/>
                <w:sz w:val="22"/>
                <w:szCs w:val="22"/>
                <w:lang w:val="en-GB"/>
              </w:rPr>
              <w:t>Collateral</w:t>
            </w:r>
          </w:p>
        </w:tc>
        <w:tc>
          <w:tcPr>
            <w:tcW w:w="1606" w:type="dxa"/>
            <w:tcBorders>
              <w:top w:val="nil"/>
              <w:left w:val="single" w:sz="8" w:space="0" w:color="000000"/>
              <w:right w:val="single" w:sz="8" w:space="0" w:color="000000"/>
            </w:tcBorders>
            <w:vAlign w:val="center"/>
          </w:tcPr>
          <w:p w14:paraId="4AB93E83" w14:textId="77777777" w:rsidR="00DA6C72" w:rsidRPr="00E4265B" w:rsidRDefault="00DA6C72" w:rsidP="005F263A">
            <w:pPr>
              <w:autoSpaceDE w:val="0"/>
              <w:autoSpaceDN w:val="0"/>
              <w:ind w:right="549"/>
              <w:jc w:val="right"/>
              <w:rPr>
                <w:rFonts w:ascii="Arial" w:eastAsia="MS PGothic" w:hAnsi="Arial" w:cs="Arial"/>
                <w:sz w:val="22"/>
                <w:szCs w:val="22"/>
                <w:lang w:val="en-GB"/>
              </w:rPr>
            </w:pPr>
            <w:r w:rsidRPr="00E4265B">
              <w:rPr>
                <w:rFonts w:ascii="Arial" w:eastAsia="MS PGothic" w:hAnsi="Arial" w:cs="Arial"/>
                <w:sz w:val="22"/>
                <w:szCs w:val="22"/>
                <w:lang w:val="en-GB"/>
              </w:rPr>
              <w:t>50%</w:t>
            </w:r>
          </w:p>
        </w:tc>
      </w:tr>
      <w:tr w:rsidR="00DA6C72" w:rsidRPr="00E4265B" w14:paraId="65BD023B" w14:textId="77777777" w:rsidTr="008D19E8">
        <w:trPr>
          <w:trHeight w:hRule="exact" w:val="360"/>
          <w:tblHeader/>
        </w:trPr>
        <w:tc>
          <w:tcPr>
            <w:tcW w:w="6404" w:type="dxa"/>
            <w:tcBorders>
              <w:top w:val="nil"/>
              <w:left w:val="single" w:sz="8" w:space="0" w:color="000000"/>
              <w:right w:val="single" w:sz="8" w:space="0" w:color="000000"/>
            </w:tcBorders>
            <w:vAlign w:val="center"/>
          </w:tcPr>
          <w:p w14:paraId="793E20CD" w14:textId="77777777" w:rsidR="00DA6C72" w:rsidRPr="00E4265B" w:rsidRDefault="00DA6C72" w:rsidP="0019712D">
            <w:pPr>
              <w:pStyle w:val="ListParagraph"/>
              <w:numPr>
                <w:ilvl w:val="0"/>
                <w:numId w:val="74"/>
              </w:numPr>
              <w:autoSpaceDE w:val="0"/>
              <w:autoSpaceDN w:val="0"/>
              <w:ind w:left="554" w:right="270"/>
              <w:contextualSpacing w:val="0"/>
              <w:rPr>
                <w:rFonts w:ascii="Arial" w:hAnsi="Arial" w:cs="Arial"/>
                <w:bCs/>
                <w:spacing w:val="4"/>
                <w:sz w:val="22"/>
                <w:szCs w:val="22"/>
                <w:lang w:val="en-GB"/>
              </w:rPr>
            </w:pPr>
            <w:r w:rsidRPr="00E4265B">
              <w:rPr>
                <w:rFonts w:ascii="Arial" w:hAnsi="Arial" w:cs="Arial"/>
                <w:spacing w:val="2"/>
                <w:sz w:val="22"/>
                <w:szCs w:val="22"/>
                <w:lang w:val="en-GB"/>
              </w:rPr>
              <w:t>A</w:t>
            </w:r>
            <w:r w:rsidRPr="00E4265B">
              <w:rPr>
                <w:rFonts w:ascii="Arial" w:hAnsi="Arial" w:cs="Arial"/>
                <w:spacing w:val="-1"/>
                <w:sz w:val="22"/>
                <w:szCs w:val="22"/>
                <w:lang w:val="en-GB"/>
              </w:rPr>
              <w:t>l</w:t>
            </w:r>
            <w:r w:rsidRPr="00E4265B">
              <w:rPr>
                <w:rFonts w:ascii="Arial" w:hAnsi="Arial" w:cs="Arial"/>
                <w:sz w:val="22"/>
                <w:szCs w:val="22"/>
                <w:lang w:val="en-GB"/>
              </w:rPr>
              <w:t>l</w:t>
            </w:r>
            <w:r w:rsidRPr="00E4265B">
              <w:rPr>
                <w:rFonts w:ascii="Arial" w:hAnsi="Arial" w:cs="Arial"/>
                <w:spacing w:val="-1"/>
                <w:sz w:val="22"/>
                <w:szCs w:val="22"/>
                <w:lang w:val="en-GB"/>
              </w:rPr>
              <w:t xml:space="preserve"> </w:t>
            </w:r>
            <w:r w:rsidRPr="00E4265B">
              <w:rPr>
                <w:rFonts w:ascii="Arial" w:hAnsi="Arial" w:cs="Arial"/>
                <w:sz w:val="22"/>
                <w:szCs w:val="22"/>
                <w:lang w:val="en-GB"/>
              </w:rPr>
              <w:t>ot</w:t>
            </w:r>
            <w:r w:rsidRPr="00E4265B">
              <w:rPr>
                <w:rFonts w:ascii="Arial" w:hAnsi="Arial" w:cs="Arial"/>
                <w:spacing w:val="2"/>
                <w:sz w:val="22"/>
                <w:szCs w:val="22"/>
                <w:lang w:val="en-GB"/>
              </w:rPr>
              <w:t>h</w:t>
            </w:r>
            <w:r w:rsidRPr="00E4265B">
              <w:rPr>
                <w:rFonts w:ascii="Arial" w:hAnsi="Arial" w:cs="Arial"/>
                <w:sz w:val="22"/>
                <w:szCs w:val="22"/>
                <w:lang w:val="en-GB"/>
              </w:rPr>
              <w:t>er</w:t>
            </w:r>
            <w:r w:rsidRPr="00E4265B">
              <w:rPr>
                <w:rFonts w:ascii="Arial" w:hAnsi="Arial" w:cs="Arial"/>
                <w:spacing w:val="-5"/>
                <w:sz w:val="22"/>
                <w:szCs w:val="22"/>
                <w:lang w:val="en-GB"/>
              </w:rPr>
              <w:t xml:space="preserve"> </w:t>
            </w:r>
            <w:r w:rsidRPr="00E4265B">
              <w:rPr>
                <w:rFonts w:ascii="Arial" w:hAnsi="Arial" w:cs="Arial"/>
                <w:sz w:val="22"/>
                <w:szCs w:val="22"/>
                <w:lang w:val="en-GB"/>
              </w:rPr>
              <w:t>a</w:t>
            </w:r>
            <w:r w:rsidRPr="00E4265B">
              <w:rPr>
                <w:rFonts w:ascii="Arial" w:hAnsi="Arial" w:cs="Arial"/>
                <w:spacing w:val="1"/>
                <w:sz w:val="22"/>
                <w:szCs w:val="22"/>
                <w:lang w:val="en-GB"/>
              </w:rPr>
              <w:t>ss</w:t>
            </w:r>
            <w:r w:rsidRPr="00E4265B">
              <w:rPr>
                <w:rFonts w:ascii="Arial" w:hAnsi="Arial" w:cs="Arial"/>
                <w:sz w:val="22"/>
                <w:szCs w:val="22"/>
                <w:lang w:val="en-GB"/>
              </w:rPr>
              <w:t>ets</w:t>
            </w:r>
          </w:p>
        </w:tc>
        <w:tc>
          <w:tcPr>
            <w:tcW w:w="1606" w:type="dxa"/>
            <w:tcBorders>
              <w:top w:val="nil"/>
              <w:left w:val="single" w:sz="8" w:space="0" w:color="000000"/>
              <w:right w:val="single" w:sz="8" w:space="0" w:color="000000"/>
            </w:tcBorders>
            <w:vAlign w:val="center"/>
          </w:tcPr>
          <w:p w14:paraId="5F7D51EE" w14:textId="77777777" w:rsidR="00DA6C72" w:rsidRPr="00E4265B" w:rsidRDefault="00DA6C72" w:rsidP="005F263A">
            <w:pPr>
              <w:autoSpaceDE w:val="0"/>
              <w:autoSpaceDN w:val="0"/>
              <w:ind w:right="549"/>
              <w:jc w:val="right"/>
              <w:rPr>
                <w:rFonts w:ascii="Arial" w:eastAsia="MS PGothic" w:hAnsi="Arial" w:cs="Arial"/>
                <w:sz w:val="22"/>
                <w:szCs w:val="22"/>
                <w:lang w:val="en-GB"/>
              </w:rPr>
            </w:pPr>
            <w:r w:rsidRPr="00E4265B">
              <w:rPr>
                <w:rFonts w:ascii="Arial" w:hAnsi="Arial" w:cs="Arial"/>
                <w:sz w:val="22"/>
                <w:szCs w:val="22"/>
                <w:lang w:val="en-GB"/>
              </w:rPr>
              <w:t>100%</w:t>
            </w:r>
          </w:p>
        </w:tc>
      </w:tr>
      <w:tr w:rsidR="00DA6C72" w:rsidRPr="00E4265B" w14:paraId="5737E7EE" w14:textId="77777777" w:rsidTr="008D19E8">
        <w:trPr>
          <w:trHeight w:hRule="exact" w:val="450"/>
          <w:tblHeader/>
        </w:trPr>
        <w:tc>
          <w:tcPr>
            <w:tcW w:w="6404" w:type="dxa"/>
            <w:tcBorders>
              <w:top w:val="nil"/>
              <w:left w:val="single" w:sz="8" w:space="0" w:color="000000"/>
              <w:right w:val="single" w:sz="8" w:space="0" w:color="000000"/>
            </w:tcBorders>
            <w:vAlign w:val="center"/>
          </w:tcPr>
          <w:p w14:paraId="1F0B8B6B" w14:textId="77777777" w:rsidR="00DA6C72" w:rsidRPr="00E4265B" w:rsidRDefault="00DA6C72" w:rsidP="0019712D">
            <w:pPr>
              <w:pStyle w:val="ListParagraph"/>
              <w:numPr>
                <w:ilvl w:val="0"/>
                <w:numId w:val="74"/>
              </w:numPr>
              <w:autoSpaceDE w:val="0"/>
              <w:autoSpaceDN w:val="0"/>
              <w:ind w:left="554" w:right="270"/>
              <w:contextualSpacing w:val="0"/>
              <w:rPr>
                <w:rFonts w:ascii="Arial" w:hAnsi="Arial" w:cs="Arial"/>
                <w:bCs/>
                <w:spacing w:val="4"/>
                <w:sz w:val="22"/>
                <w:szCs w:val="22"/>
                <w:lang w:val="en-GB"/>
              </w:rPr>
            </w:pPr>
            <w:r w:rsidRPr="00E4265B">
              <w:rPr>
                <w:rFonts w:ascii="Arial" w:hAnsi="Arial" w:cs="Arial"/>
                <w:sz w:val="22"/>
                <w:szCs w:val="22"/>
                <w:lang w:val="en-GB"/>
              </w:rPr>
              <w:t>C</w:t>
            </w:r>
            <w:r w:rsidRPr="00E4265B">
              <w:rPr>
                <w:rFonts w:ascii="Arial" w:hAnsi="Arial" w:cs="Arial"/>
                <w:spacing w:val="1"/>
                <w:sz w:val="22"/>
                <w:szCs w:val="22"/>
                <w:lang w:val="en-GB"/>
              </w:rPr>
              <w:t>r</w:t>
            </w:r>
            <w:r w:rsidRPr="00E4265B">
              <w:rPr>
                <w:rFonts w:ascii="Arial" w:hAnsi="Arial" w:cs="Arial"/>
                <w:sz w:val="22"/>
                <w:szCs w:val="22"/>
                <w:lang w:val="en-GB"/>
              </w:rPr>
              <w:t>e</w:t>
            </w:r>
            <w:r w:rsidRPr="00E4265B">
              <w:rPr>
                <w:rFonts w:ascii="Arial" w:hAnsi="Arial" w:cs="Arial"/>
                <w:spacing w:val="2"/>
                <w:sz w:val="22"/>
                <w:szCs w:val="22"/>
                <w:lang w:val="en-GB"/>
              </w:rPr>
              <w:t>d</w:t>
            </w:r>
            <w:r w:rsidRPr="00E4265B">
              <w:rPr>
                <w:rFonts w:ascii="Arial" w:hAnsi="Arial" w:cs="Arial"/>
                <w:spacing w:val="-1"/>
                <w:sz w:val="22"/>
                <w:szCs w:val="22"/>
                <w:lang w:val="en-GB"/>
              </w:rPr>
              <w:t>i</w:t>
            </w:r>
            <w:r w:rsidRPr="00E4265B">
              <w:rPr>
                <w:rFonts w:ascii="Arial" w:hAnsi="Arial" w:cs="Arial"/>
                <w:sz w:val="22"/>
                <w:szCs w:val="22"/>
                <w:lang w:val="en-GB"/>
              </w:rPr>
              <w:t>t</w:t>
            </w:r>
            <w:r w:rsidRPr="00E4265B">
              <w:rPr>
                <w:rFonts w:ascii="Arial" w:hAnsi="Arial" w:cs="Arial"/>
                <w:spacing w:val="-6"/>
                <w:sz w:val="22"/>
                <w:szCs w:val="22"/>
                <w:lang w:val="en-GB"/>
              </w:rPr>
              <w:t xml:space="preserve"> </w:t>
            </w:r>
            <w:r w:rsidRPr="00E4265B">
              <w:rPr>
                <w:rFonts w:ascii="Arial" w:hAnsi="Arial" w:cs="Arial"/>
                <w:sz w:val="22"/>
                <w:szCs w:val="22"/>
                <w:lang w:val="en-GB"/>
              </w:rPr>
              <w:t>or</w:t>
            </w:r>
            <w:r w:rsidRPr="00E4265B">
              <w:rPr>
                <w:rFonts w:ascii="Arial" w:hAnsi="Arial" w:cs="Arial"/>
                <w:spacing w:val="1"/>
                <w:sz w:val="22"/>
                <w:szCs w:val="22"/>
                <w:lang w:val="en-GB"/>
              </w:rPr>
              <w:t xml:space="preserve"> </w:t>
            </w:r>
            <w:r w:rsidRPr="00E4265B">
              <w:rPr>
                <w:rFonts w:ascii="Arial" w:hAnsi="Arial" w:cs="Arial"/>
                <w:spacing w:val="-1"/>
                <w:sz w:val="22"/>
                <w:szCs w:val="22"/>
                <w:lang w:val="en-GB"/>
              </w:rPr>
              <w:t>l</w:t>
            </w:r>
            <w:r w:rsidRPr="00E4265B">
              <w:rPr>
                <w:rFonts w:ascii="Arial" w:hAnsi="Arial" w:cs="Arial"/>
                <w:spacing w:val="1"/>
                <w:sz w:val="22"/>
                <w:szCs w:val="22"/>
                <w:lang w:val="en-GB"/>
              </w:rPr>
              <w:t>i</w:t>
            </w:r>
            <w:r w:rsidRPr="00E4265B">
              <w:rPr>
                <w:rFonts w:ascii="Arial" w:hAnsi="Arial" w:cs="Arial"/>
                <w:sz w:val="22"/>
                <w:szCs w:val="22"/>
                <w:lang w:val="en-GB"/>
              </w:rPr>
              <w:t>q</w:t>
            </w:r>
            <w:r w:rsidRPr="00E4265B">
              <w:rPr>
                <w:rFonts w:ascii="Arial" w:hAnsi="Arial" w:cs="Arial"/>
                <w:spacing w:val="2"/>
                <w:sz w:val="22"/>
                <w:szCs w:val="22"/>
                <w:lang w:val="en-GB"/>
              </w:rPr>
              <w:t>u</w:t>
            </w:r>
            <w:r w:rsidRPr="00E4265B">
              <w:rPr>
                <w:rFonts w:ascii="Arial" w:hAnsi="Arial" w:cs="Arial"/>
                <w:spacing w:val="-1"/>
                <w:sz w:val="22"/>
                <w:szCs w:val="22"/>
                <w:lang w:val="en-GB"/>
              </w:rPr>
              <w:t>i</w:t>
            </w:r>
            <w:r w:rsidRPr="00E4265B">
              <w:rPr>
                <w:rFonts w:ascii="Arial" w:hAnsi="Arial" w:cs="Arial"/>
                <w:sz w:val="22"/>
                <w:szCs w:val="22"/>
                <w:lang w:val="en-GB"/>
              </w:rPr>
              <w:t>d</w:t>
            </w:r>
            <w:r w:rsidRPr="00E4265B">
              <w:rPr>
                <w:rFonts w:ascii="Arial" w:hAnsi="Arial" w:cs="Arial"/>
                <w:spacing w:val="1"/>
                <w:sz w:val="22"/>
                <w:szCs w:val="22"/>
                <w:lang w:val="en-GB"/>
              </w:rPr>
              <w:t>i</w:t>
            </w:r>
            <w:r w:rsidRPr="00E4265B">
              <w:rPr>
                <w:rFonts w:ascii="Arial" w:hAnsi="Arial" w:cs="Arial"/>
                <w:spacing w:val="2"/>
                <w:sz w:val="22"/>
                <w:szCs w:val="22"/>
                <w:lang w:val="en-GB"/>
              </w:rPr>
              <w:t>t</w:t>
            </w:r>
            <w:r w:rsidRPr="00E4265B">
              <w:rPr>
                <w:rFonts w:ascii="Arial" w:hAnsi="Arial" w:cs="Arial"/>
                <w:sz w:val="22"/>
                <w:szCs w:val="22"/>
                <w:lang w:val="en-GB"/>
              </w:rPr>
              <w:t>y</w:t>
            </w:r>
            <w:r w:rsidRPr="00E4265B">
              <w:rPr>
                <w:rFonts w:ascii="Arial" w:hAnsi="Arial" w:cs="Arial"/>
                <w:spacing w:val="-11"/>
                <w:sz w:val="22"/>
                <w:szCs w:val="22"/>
                <w:lang w:val="en-GB"/>
              </w:rPr>
              <w:t xml:space="preserve"> </w:t>
            </w:r>
            <w:r w:rsidRPr="00E4265B">
              <w:rPr>
                <w:rFonts w:ascii="Arial" w:hAnsi="Arial" w:cs="Arial"/>
                <w:spacing w:val="2"/>
                <w:sz w:val="22"/>
                <w:szCs w:val="22"/>
                <w:lang w:val="en-GB"/>
              </w:rPr>
              <w:t>f</w:t>
            </w:r>
            <w:r w:rsidRPr="00E4265B">
              <w:rPr>
                <w:rFonts w:ascii="Arial" w:hAnsi="Arial" w:cs="Arial"/>
                <w:sz w:val="22"/>
                <w:szCs w:val="22"/>
                <w:lang w:val="en-GB"/>
              </w:rPr>
              <w:t>a</w:t>
            </w:r>
            <w:r w:rsidRPr="00E4265B">
              <w:rPr>
                <w:rFonts w:ascii="Arial" w:hAnsi="Arial" w:cs="Arial"/>
                <w:spacing w:val="1"/>
                <w:sz w:val="22"/>
                <w:szCs w:val="22"/>
                <w:lang w:val="en-GB"/>
              </w:rPr>
              <w:t>ci</w:t>
            </w:r>
            <w:r w:rsidRPr="00E4265B">
              <w:rPr>
                <w:rFonts w:ascii="Arial" w:hAnsi="Arial" w:cs="Arial"/>
                <w:spacing w:val="-1"/>
                <w:sz w:val="22"/>
                <w:szCs w:val="22"/>
                <w:lang w:val="en-GB"/>
              </w:rPr>
              <w:t>li</w:t>
            </w:r>
            <w:r w:rsidRPr="00E4265B">
              <w:rPr>
                <w:rFonts w:ascii="Arial" w:hAnsi="Arial" w:cs="Arial"/>
                <w:spacing w:val="2"/>
                <w:sz w:val="22"/>
                <w:szCs w:val="22"/>
                <w:lang w:val="en-GB"/>
              </w:rPr>
              <w:t>t</w:t>
            </w:r>
            <w:r w:rsidRPr="00E4265B">
              <w:rPr>
                <w:rFonts w:ascii="Arial" w:hAnsi="Arial" w:cs="Arial"/>
                <w:spacing w:val="-1"/>
                <w:sz w:val="22"/>
                <w:szCs w:val="22"/>
                <w:lang w:val="en-GB"/>
              </w:rPr>
              <w:t>i</w:t>
            </w:r>
            <w:r w:rsidRPr="00E4265B">
              <w:rPr>
                <w:rFonts w:ascii="Arial" w:hAnsi="Arial" w:cs="Arial"/>
                <w:spacing w:val="2"/>
                <w:sz w:val="22"/>
                <w:szCs w:val="22"/>
                <w:lang w:val="en-GB"/>
              </w:rPr>
              <w:t>e</w:t>
            </w:r>
            <w:r w:rsidRPr="00E4265B">
              <w:rPr>
                <w:rFonts w:ascii="Arial" w:hAnsi="Arial" w:cs="Arial"/>
                <w:sz w:val="22"/>
                <w:szCs w:val="22"/>
                <w:lang w:val="en-GB"/>
              </w:rPr>
              <w:t>s</w:t>
            </w:r>
            <w:r w:rsidRPr="00E4265B">
              <w:rPr>
                <w:rFonts w:ascii="Arial" w:hAnsi="Arial" w:cs="Arial"/>
                <w:spacing w:val="-6"/>
                <w:sz w:val="22"/>
                <w:szCs w:val="22"/>
                <w:lang w:val="en-GB"/>
              </w:rPr>
              <w:t xml:space="preserve"> </w:t>
            </w:r>
            <w:r w:rsidRPr="00E4265B">
              <w:rPr>
                <w:rFonts w:ascii="Arial" w:hAnsi="Arial" w:cs="Arial"/>
                <w:sz w:val="22"/>
                <w:szCs w:val="22"/>
                <w:lang w:val="en-GB"/>
              </w:rPr>
              <w:t>p</w:t>
            </w:r>
            <w:r w:rsidRPr="00E4265B">
              <w:rPr>
                <w:rFonts w:ascii="Arial" w:hAnsi="Arial" w:cs="Arial"/>
                <w:spacing w:val="1"/>
                <w:sz w:val="22"/>
                <w:szCs w:val="22"/>
                <w:lang w:val="en-GB"/>
              </w:rPr>
              <w:t>r</w:t>
            </w:r>
            <w:r w:rsidRPr="00E4265B">
              <w:rPr>
                <w:rFonts w:ascii="Arial" w:hAnsi="Arial" w:cs="Arial"/>
                <w:sz w:val="22"/>
                <w:szCs w:val="22"/>
                <w:lang w:val="en-GB"/>
              </w:rPr>
              <w:t>o</w:t>
            </w:r>
            <w:r w:rsidRPr="00E4265B">
              <w:rPr>
                <w:rFonts w:ascii="Arial" w:hAnsi="Arial" w:cs="Arial"/>
                <w:spacing w:val="-1"/>
                <w:sz w:val="22"/>
                <w:szCs w:val="22"/>
                <w:lang w:val="en-GB"/>
              </w:rPr>
              <w:t>v</w:t>
            </w:r>
            <w:r w:rsidRPr="00E4265B">
              <w:rPr>
                <w:rFonts w:ascii="Arial" w:hAnsi="Arial" w:cs="Arial"/>
                <w:spacing w:val="1"/>
                <w:sz w:val="22"/>
                <w:szCs w:val="22"/>
                <w:lang w:val="en-GB"/>
              </w:rPr>
              <w:t>i</w:t>
            </w:r>
            <w:r w:rsidRPr="00E4265B">
              <w:rPr>
                <w:rFonts w:ascii="Arial" w:hAnsi="Arial" w:cs="Arial"/>
                <w:sz w:val="22"/>
                <w:szCs w:val="22"/>
                <w:lang w:val="en-GB"/>
              </w:rPr>
              <w:t>d</w:t>
            </w:r>
            <w:r w:rsidRPr="00E4265B">
              <w:rPr>
                <w:rFonts w:ascii="Arial" w:hAnsi="Arial" w:cs="Arial"/>
                <w:spacing w:val="2"/>
                <w:sz w:val="22"/>
                <w:szCs w:val="22"/>
                <w:lang w:val="en-GB"/>
              </w:rPr>
              <w:t>e</w:t>
            </w:r>
            <w:r w:rsidRPr="00E4265B">
              <w:rPr>
                <w:rFonts w:ascii="Arial" w:hAnsi="Arial" w:cs="Arial"/>
                <w:sz w:val="22"/>
                <w:szCs w:val="22"/>
                <w:lang w:val="en-GB"/>
              </w:rPr>
              <w:t>d</w:t>
            </w:r>
            <w:r w:rsidRPr="00E4265B">
              <w:rPr>
                <w:rFonts w:ascii="Arial" w:hAnsi="Arial" w:cs="Arial"/>
                <w:spacing w:val="-9"/>
                <w:sz w:val="22"/>
                <w:szCs w:val="22"/>
                <w:lang w:val="en-GB"/>
              </w:rPr>
              <w:t xml:space="preserve"> </w:t>
            </w:r>
            <w:r w:rsidRPr="00E4265B">
              <w:rPr>
                <w:rFonts w:ascii="Arial" w:hAnsi="Arial" w:cs="Arial"/>
                <w:sz w:val="22"/>
                <w:szCs w:val="22"/>
                <w:lang w:val="en-GB"/>
              </w:rPr>
              <w:t>to</w:t>
            </w:r>
            <w:r w:rsidRPr="00E4265B">
              <w:rPr>
                <w:rFonts w:ascii="Arial" w:hAnsi="Arial" w:cs="Arial"/>
                <w:spacing w:val="-3"/>
                <w:sz w:val="22"/>
                <w:szCs w:val="22"/>
                <w:lang w:val="en-GB"/>
              </w:rPr>
              <w:t xml:space="preserve"> </w:t>
            </w:r>
            <w:r w:rsidRPr="00E4265B">
              <w:rPr>
                <w:rFonts w:ascii="Arial" w:hAnsi="Arial" w:cs="Arial"/>
                <w:spacing w:val="2"/>
                <w:sz w:val="22"/>
                <w:szCs w:val="22"/>
                <w:lang w:val="en-GB"/>
              </w:rPr>
              <w:t>t</w:t>
            </w:r>
            <w:r w:rsidRPr="00E4265B">
              <w:rPr>
                <w:rFonts w:ascii="Arial" w:hAnsi="Arial" w:cs="Arial"/>
                <w:sz w:val="22"/>
                <w:szCs w:val="22"/>
                <w:lang w:val="en-GB"/>
              </w:rPr>
              <w:t>he</w:t>
            </w:r>
            <w:r w:rsidRPr="00E4265B">
              <w:rPr>
                <w:rFonts w:ascii="Arial" w:hAnsi="Arial" w:cs="Arial"/>
                <w:spacing w:val="-4"/>
                <w:sz w:val="22"/>
                <w:szCs w:val="22"/>
                <w:lang w:val="en-GB"/>
              </w:rPr>
              <w:t xml:space="preserve"> </w:t>
            </w:r>
            <w:r w:rsidRPr="00E4265B">
              <w:rPr>
                <w:rFonts w:ascii="Arial" w:hAnsi="Arial" w:cs="Arial"/>
                <w:spacing w:val="1"/>
                <w:sz w:val="22"/>
                <w:szCs w:val="22"/>
                <w:lang w:val="en-GB"/>
              </w:rPr>
              <w:t>r</w:t>
            </w:r>
            <w:r w:rsidRPr="00E4265B">
              <w:rPr>
                <w:rFonts w:ascii="Arial" w:hAnsi="Arial" w:cs="Arial"/>
                <w:spacing w:val="2"/>
                <w:sz w:val="22"/>
                <w:szCs w:val="22"/>
                <w:lang w:val="en-GB"/>
              </w:rPr>
              <w:t>e</w:t>
            </w:r>
            <w:r w:rsidRPr="00E4265B">
              <w:rPr>
                <w:rFonts w:ascii="Arial" w:hAnsi="Arial" w:cs="Arial"/>
                <w:sz w:val="22"/>
                <w:szCs w:val="22"/>
                <w:lang w:val="en-GB"/>
              </w:rPr>
              <w:t>po</w:t>
            </w:r>
            <w:r w:rsidRPr="00E4265B">
              <w:rPr>
                <w:rFonts w:ascii="Arial" w:hAnsi="Arial" w:cs="Arial"/>
                <w:spacing w:val="1"/>
                <w:sz w:val="22"/>
                <w:szCs w:val="22"/>
                <w:lang w:val="en-GB"/>
              </w:rPr>
              <w:t>r</w:t>
            </w:r>
            <w:r w:rsidRPr="00E4265B">
              <w:rPr>
                <w:rFonts w:ascii="Arial" w:hAnsi="Arial" w:cs="Arial"/>
                <w:spacing w:val="2"/>
                <w:sz w:val="22"/>
                <w:szCs w:val="22"/>
                <w:lang w:val="en-GB"/>
              </w:rPr>
              <w:t>t</w:t>
            </w:r>
            <w:r w:rsidRPr="00E4265B">
              <w:rPr>
                <w:rFonts w:ascii="Arial" w:hAnsi="Arial" w:cs="Arial"/>
                <w:spacing w:val="-1"/>
                <w:sz w:val="22"/>
                <w:szCs w:val="22"/>
                <w:lang w:val="en-GB"/>
              </w:rPr>
              <w:t>i</w:t>
            </w:r>
            <w:r w:rsidRPr="00E4265B">
              <w:rPr>
                <w:rFonts w:ascii="Arial" w:hAnsi="Arial" w:cs="Arial"/>
                <w:sz w:val="22"/>
                <w:szCs w:val="22"/>
                <w:lang w:val="en-GB"/>
              </w:rPr>
              <w:t>ng</w:t>
            </w:r>
            <w:r w:rsidRPr="00E4265B">
              <w:rPr>
                <w:rFonts w:ascii="Arial" w:hAnsi="Arial" w:cs="Arial"/>
                <w:spacing w:val="-6"/>
                <w:sz w:val="22"/>
                <w:szCs w:val="22"/>
                <w:lang w:val="en-GB"/>
              </w:rPr>
              <w:t xml:space="preserve"> </w:t>
            </w:r>
            <w:r w:rsidRPr="00E4265B">
              <w:rPr>
                <w:rFonts w:ascii="Arial" w:hAnsi="Arial" w:cs="Arial"/>
                <w:spacing w:val="-1"/>
                <w:sz w:val="22"/>
                <w:szCs w:val="22"/>
                <w:lang w:val="en-GB"/>
              </w:rPr>
              <w:t>B</w:t>
            </w:r>
            <w:r w:rsidRPr="00E4265B">
              <w:rPr>
                <w:rFonts w:ascii="Arial" w:hAnsi="Arial" w:cs="Arial"/>
                <w:sz w:val="22"/>
                <w:szCs w:val="22"/>
                <w:lang w:val="en-GB"/>
              </w:rPr>
              <w:t>ank</w:t>
            </w:r>
          </w:p>
        </w:tc>
        <w:tc>
          <w:tcPr>
            <w:tcW w:w="1606" w:type="dxa"/>
            <w:tcBorders>
              <w:top w:val="nil"/>
              <w:left w:val="single" w:sz="8" w:space="0" w:color="000000"/>
              <w:right w:val="single" w:sz="8" w:space="0" w:color="000000"/>
            </w:tcBorders>
            <w:vAlign w:val="center"/>
          </w:tcPr>
          <w:p w14:paraId="18F056A0" w14:textId="77777777" w:rsidR="00DA6C72" w:rsidRPr="00E4265B" w:rsidRDefault="00DA6C72" w:rsidP="005F263A">
            <w:pPr>
              <w:autoSpaceDE w:val="0"/>
              <w:autoSpaceDN w:val="0"/>
              <w:ind w:right="549"/>
              <w:jc w:val="right"/>
              <w:rPr>
                <w:rFonts w:ascii="Arial" w:eastAsia="MS PGothic" w:hAnsi="Arial" w:cs="Arial"/>
                <w:sz w:val="22"/>
                <w:szCs w:val="22"/>
                <w:lang w:val="en-GB"/>
              </w:rPr>
            </w:pPr>
            <w:r w:rsidRPr="00E4265B">
              <w:rPr>
                <w:rFonts w:ascii="Arial" w:hAnsi="Arial" w:cs="Arial"/>
                <w:sz w:val="22"/>
                <w:szCs w:val="22"/>
                <w:lang w:val="en-GB"/>
              </w:rPr>
              <w:t>0%</w:t>
            </w:r>
          </w:p>
        </w:tc>
      </w:tr>
      <w:tr w:rsidR="00DA6C72" w:rsidRPr="00E4265B" w14:paraId="00A7CBAD" w14:textId="77777777" w:rsidTr="008D19E8">
        <w:trPr>
          <w:trHeight w:hRule="exact" w:val="857"/>
          <w:tblHeader/>
        </w:trPr>
        <w:tc>
          <w:tcPr>
            <w:tcW w:w="6404" w:type="dxa"/>
            <w:tcBorders>
              <w:top w:val="nil"/>
              <w:left w:val="single" w:sz="8" w:space="0" w:color="000000"/>
              <w:bottom w:val="single" w:sz="8" w:space="0" w:color="000000"/>
              <w:right w:val="single" w:sz="8" w:space="0" w:color="000000"/>
            </w:tcBorders>
            <w:vAlign w:val="center"/>
          </w:tcPr>
          <w:p w14:paraId="16C96AF5" w14:textId="77777777" w:rsidR="00DA6C72" w:rsidRPr="00E4265B" w:rsidRDefault="00DA6C72" w:rsidP="0019712D">
            <w:pPr>
              <w:pStyle w:val="ListParagraph"/>
              <w:numPr>
                <w:ilvl w:val="0"/>
                <w:numId w:val="74"/>
              </w:numPr>
              <w:autoSpaceDE w:val="0"/>
              <w:autoSpaceDN w:val="0"/>
              <w:spacing w:after="120"/>
              <w:ind w:left="554" w:right="270"/>
              <w:contextualSpacing w:val="0"/>
              <w:rPr>
                <w:rFonts w:ascii="Arial" w:hAnsi="Arial" w:cs="Arial"/>
                <w:bCs/>
                <w:spacing w:val="4"/>
                <w:sz w:val="22"/>
                <w:szCs w:val="22"/>
                <w:lang w:val="en-GB"/>
              </w:rPr>
            </w:pPr>
            <w:r w:rsidRPr="00E4265B">
              <w:rPr>
                <w:rFonts w:ascii="Arial" w:hAnsi="Arial" w:cs="Arial"/>
                <w:sz w:val="22"/>
                <w:szCs w:val="22"/>
                <w:lang w:val="en-GB"/>
              </w:rPr>
              <w:t>Operational Deposits held at other Financial Institutions (including Deposits held at centralised institution of network of co-operative banks)</w:t>
            </w:r>
          </w:p>
        </w:tc>
        <w:tc>
          <w:tcPr>
            <w:tcW w:w="1606" w:type="dxa"/>
            <w:tcBorders>
              <w:top w:val="nil"/>
              <w:left w:val="nil"/>
              <w:bottom w:val="single" w:sz="8" w:space="0" w:color="000000"/>
              <w:right w:val="single" w:sz="8" w:space="0" w:color="000000"/>
            </w:tcBorders>
            <w:vAlign w:val="center"/>
          </w:tcPr>
          <w:p w14:paraId="4818F625" w14:textId="77777777" w:rsidR="00DA6C72" w:rsidRPr="00E4265B" w:rsidRDefault="00DA6C72" w:rsidP="005F263A">
            <w:pPr>
              <w:autoSpaceDE w:val="0"/>
              <w:autoSpaceDN w:val="0"/>
              <w:spacing w:after="120"/>
              <w:ind w:left="528" w:right="549"/>
              <w:jc w:val="right"/>
              <w:rPr>
                <w:rFonts w:ascii="Arial" w:hAnsi="Arial" w:cs="Arial"/>
                <w:sz w:val="22"/>
                <w:szCs w:val="22"/>
                <w:lang w:val="en-GB"/>
              </w:rPr>
            </w:pPr>
            <w:r w:rsidRPr="00E4265B">
              <w:rPr>
                <w:rFonts w:ascii="Arial" w:hAnsi="Arial" w:cs="Arial"/>
                <w:sz w:val="22"/>
                <w:szCs w:val="22"/>
                <w:lang w:val="en-GB"/>
              </w:rPr>
              <w:t>0%</w:t>
            </w:r>
          </w:p>
        </w:tc>
      </w:tr>
      <w:tr w:rsidR="00DA6C72" w:rsidRPr="00E4265B" w14:paraId="2FBF6E2E" w14:textId="77777777" w:rsidTr="008D19E8">
        <w:trPr>
          <w:trHeight w:hRule="exact" w:val="470"/>
          <w:tblHeader/>
        </w:trPr>
        <w:tc>
          <w:tcPr>
            <w:tcW w:w="6404" w:type="dxa"/>
            <w:tcBorders>
              <w:top w:val="single" w:sz="8" w:space="0" w:color="000000"/>
              <w:left w:val="single" w:sz="8" w:space="0" w:color="000000"/>
              <w:right w:val="single" w:sz="8" w:space="0" w:color="000000"/>
            </w:tcBorders>
            <w:vAlign w:val="center"/>
          </w:tcPr>
          <w:p w14:paraId="403D6458" w14:textId="69D0403A" w:rsidR="00DA6C72" w:rsidRPr="00E4265B" w:rsidRDefault="00DA6C72" w:rsidP="005F263A">
            <w:pPr>
              <w:autoSpaceDE w:val="0"/>
              <w:autoSpaceDN w:val="0"/>
              <w:ind w:left="102" w:right="270"/>
              <w:rPr>
                <w:rFonts w:ascii="Arial" w:eastAsia="MS PGothic" w:hAnsi="Arial" w:cs="Arial"/>
                <w:b/>
                <w:sz w:val="22"/>
                <w:szCs w:val="22"/>
                <w:lang w:val="en-GB"/>
              </w:rPr>
            </w:pPr>
            <w:r w:rsidRPr="00E4265B">
              <w:rPr>
                <w:rFonts w:ascii="Arial" w:hAnsi="Arial" w:cs="Arial"/>
                <w:b/>
                <w:spacing w:val="4"/>
                <w:sz w:val="22"/>
                <w:szCs w:val="22"/>
                <w:lang w:val="en-GB"/>
              </w:rPr>
              <w:t>Other inflows by Counterparty</w:t>
            </w:r>
            <w:r w:rsidR="009329D0" w:rsidRPr="00E4265B">
              <w:rPr>
                <w:rFonts w:ascii="Arial" w:hAnsi="Arial" w:cs="Arial"/>
                <w:b/>
                <w:spacing w:val="4"/>
                <w:sz w:val="22"/>
                <w:szCs w:val="22"/>
                <w:lang w:val="en-GB"/>
              </w:rPr>
              <w:t>:</w:t>
            </w:r>
          </w:p>
        </w:tc>
        <w:tc>
          <w:tcPr>
            <w:tcW w:w="1606" w:type="dxa"/>
            <w:tcBorders>
              <w:top w:val="single" w:sz="8" w:space="0" w:color="000000"/>
              <w:left w:val="single" w:sz="8" w:space="0" w:color="000000"/>
              <w:right w:val="single" w:sz="8" w:space="0" w:color="000000"/>
            </w:tcBorders>
            <w:vAlign w:val="center"/>
          </w:tcPr>
          <w:p w14:paraId="0E3F5C2A" w14:textId="77777777" w:rsidR="00DA6C72" w:rsidRPr="00E4265B" w:rsidRDefault="00DA6C72" w:rsidP="005F263A">
            <w:pPr>
              <w:autoSpaceDE w:val="0"/>
              <w:autoSpaceDN w:val="0"/>
              <w:ind w:left="586" w:right="549"/>
              <w:jc w:val="right"/>
              <w:rPr>
                <w:rFonts w:ascii="Arial" w:hAnsi="Arial" w:cs="Arial"/>
                <w:sz w:val="22"/>
                <w:szCs w:val="22"/>
                <w:lang w:val="en-GB"/>
              </w:rPr>
            </w:pPr>
          </w:p>
        </w:tc>
      </w:tr>
      <w:tr w:rsidR="00DA6C72" w:rsidRPr="00E4265B" w14:paraId="30F79A9A" w14:textId="77777777" w:rsidTr="008D19E8">
        <w:trPr>
          <w:trHeight w:hRule="exact" w:val="387"/>
          <w:tblHeader/>
        </w:trPr>
        <w:tc>
          <w:tcPr>
            <w:tcW w:w="6404" w:type="dxa"/>
            <w:tcBorders>
              <w:top w:val="nil"/>
              <w:left w:val="single" w:sz="8" w:space="0" w:color="000000"/>
              <w:right w:val="single" w:sz="8" w:space="0" w:color="000000"/>
            </w:tcBorders>
            <w:vAlign w:val="center"/>
          </w:tcPr>
          <w:p w14:paraId="5DF2BA05" w14:textId="77777777" w:rsidR="00DA6C72" w:rsidRPr="00E4265B" w:rsidRDefault="00DA6C72" w:rsidP="0019712D">
            <w:pPr>
              <w:pStyle w:val="ListParagraph"/>
              <w:numPr>
                <w:ilvl w:val="0"/>
                <w:numId w:val="74"/>
              </w:numPr>
              <w:autoSpaceDE w:val="0"/>
              <w:autoSpaceDN w:val="0"/>
              <w:ind w:left="554" w:right="270"/>
              <w:contextualSpacing w:val="0"/>
              <w:rPr>
                <w:rFonts w:ascii="Arial" w:hAnsi="Arial" w:cs="Arial"/>
                <w:bCs/>
                <w:spacing w:val="1"/>
                <w:sz w:val="22"/>
                <w:szCs w:val="22"/>
                <w:lang w:val="en-GB"/>
              </w:rPr>
            </w:pPr>
            <w:r w:rsidRPr="00E4265B">
              <w:rPr>
                <w:rFonts w:ascii="Arial" w:hAnsi="Arial" w:cs="Arial"/>
                <w:spacing w:val="-1"/>
                <w:sz w:val="22"/>
                <w:szCs w:val="22"/>
                <w:lang w:val="en-GB"/>
              </w:rPr>
              <w:t>A</w:t>
            </w:r>
            <w:r w:rsidRPr="00E4265B">
              <w:rPr>
                <w:rFonts w:ascii="Arial" w:hAnsi="Arial" w:cs="Arial"/>
                <w:spacing w:val="4"/>
                <w:sz w:val="22"/>
                <w:szCs w:val="22"/>
                <w:lang w:val="en-GB"/>
              </w:rPr>
              <w:t>m</w:t>
            </w:r>
            <w:r w:rsidRPr="00E4265B">
              <w:rPr>
                <w:rFonts w:ascii="Arial" w:hAnsi="Arial" w:cs="Arial"/>
                <w:sz w:val="22"/>
                <w:szCs w:val="22"/>
                <w:lang w:val="en-GB"/>
              </w:rPr>
              <w:t>ounts</w:t>
            </w:r>
            <w:r w:rsidRPr="00E4265B">
              <w:rPr>
                <w:rFonts w:ascii="Arial" w:hAnsi="Arial" w:cs="Arial"/>
                <w:spacing w:val="-7"/>
                <w:sz w:val="22"/>
                <w:szCs w:val="22"/>
                <w:lang w:val="en-GB"/>
              </w:rPr>
              <w:t xml:space="preserve"> </w:t>
            </w:r>
            <w:r w:rsidRPr="00E4265B">
              <w:rPr>
                <w:rFonts w:ascii="Arial" w:hAnsi="Arial" w:cs="Arial"/>
                <w:spacing w:val="1"/>
                <w:sz w:val="22"/>
                <w:szCs w:val="22"/>
                <w:lang w:val="en-GB"/>
              </w:rPr>
              <w:t>r</w:t>
            </w:r>
            <w:r w:rsidRPr="00E4265B">
              <w:rPr>
                <w:rFonts w:ascii="Arial" w:hAnsi="Arial" w:cs="Arial"/>
                <w:sz w:val="22"/>
                <w:szCs w:val="22"/>
                <w:lang w:val="en-GB"/>
              </w:rPr>
              <w:t>e</w:t>
            </w:r>
            <w:r w:rsidRPr="00E4265B">
              <w:rPr>
                <w:rFonts w:ascii="Arial" w:hAnsi="Arial" w:cs="Arial"/>
                <w:spacing w:val="1"/>
                <w:sz w:val="22"/>
                <w:szCs w:val="22"/>
                <w:lang w:val="en-GB"/>
              </w:rPr>
              <w:t>c</w:t>
            </w:r>
            <w:r w:rsidRPr="00E4265B">
              <w:rPr>
                <w:rFonts w:ascii="Arial" w:hAnsi="Arial" w:cs="Arial"/>
                <w:sz w:val="22"/>
                <w:szCs w:val="22"/>
                <w:lang w:val="en-GB"/>
              </w:rPr>
              <w:t>e</w:t>
            </w:r>
            <w:r w:rsidRPr="00E4265B">
              <w:rPr>
                <w:rFonts w:ascii="Arial" w:hAnsi="Arial" w:cs="Arial"/>
                <w:spacing w:val="1"/>
                <w:sz w:val="22"/>
                <w:szCs w:val="22"/>
                <w:lang w:val="en-GB"/>
              </w:rPr>
              <w:t>i</w:t>
            </w:r>
            <w:r w:rsidRPr="00E4265B">
              <w:rPr>
                <w:rFonts w:ascii="Arial" w:hAnsi="Arial" w:cs="Arial"/>
                <w:spacing w:val="-1"/>
                <w:sz w:val="22"/>
                <w:szCs w:val="22"/>
                <w:lang w:val="en-GB"/>
              </w:rPr>
              <w:t>v</w:t>
            </w:r>
            <w:r w:rsidRPr="00E4265B">
              <w:rPr>
                <w:rFonts w:ascii="Arial" w:hAnsi="Arial" w:cs="Arial"/>
                <w:sz w:val="22"/>
                <w:szCs w:val="22"/>
                <w:lang w:val="en-GB"/>
              </w:rPr>
              <w:t>a</w:t>
            </w:r>
            <w:r w:rsidRPr="00E4265B">
              <w:rPr>
                <w:rFonts w:ascii="Arial" w:hAnsi="Arial" w:cs="Arial"/>
                <w:spacing w:val="2"/>
                <w:sz w:val="22"/>
                <w:szCs w:val="22"/>
                <w:lang w:val="en-GB"/>
              </w:rPr>
              <w:t>b</w:t>
            </w:r>
            <w:r w:rsidRPr="00E4265B">
              <w:rPr>
                <w:rFonts w:ascii="Arial" w:hAnsi="Arial" w:cs="Arial"/>
                <w:spacing w:val="-1"/>
                <w:sz w:val="22"/>
                <w:szCs w:val="22"/>
                <w:lang w:val="en-GB"/>
              </w:rPr>
              <w:t>l</w:t>
            </w:r>
            <w:r w:rsidRPr="00E4265B">
              <w:rPr>
                <w:rFonts w:ascii="Arial" w:hAnsi="Arial" w:cs="Arial"/>
                <w:sz w:val="22"/>
                <w:szCs w:val="22"/>
                <w:lang w:val="en-GB"/>
              </w:rPr>
              <w:t>e</w:t>
            </w:r>
            <w:r w:rsidRPr="00E4265B">
              <w:rPr>
                <w:rFonts w:ascii="Arial" w:hAnsi="Arial" w:cs="Arial"/>
                <w:spacing w:val="-10"/>
                <w:sz w:val="22"/>
                <w:szCs w:val="22"/>
                <w:lang w:val="en-GB"/>
              </w:rPr>
              <w:t xml:space="preserve"> </w:t>
            </w:r>
            <w:r w:rsidRPr="00E4265B">
              <w:rPr>
                <w:rFonts w:ascii="Arial" w:hAnsi="Arial" w:cs="Arial"/>
                <w:spacing w:val="2"/>
                <w:sz w:val="22"/>
                <w:szCs w:val="22"/>
                <w:lang w:val="en-GB"/>
              </w:rPr>
              <w:t>f</w:t>
            </w:r>
            <w:r w:rsidRPr="00E4265B">
              <w:rPr>
                <w:rFonts w:ascii="Arial" w:hAnsi="Arial" w:cs="Arial"/>
                <w:spacing w:val="1"/>
                <w:sz w:val="22"/>
                <w:szCs w:val="22"/>
                <w:lang w:val="en-GB"/>
              </w:rPr>
              <w:t>r</w:t>
            </w:r>
            <w:r w:rsidRPr="00E4265B">
              <w:rPr>
                <w:rFonts w:ascii="Arial" w:hAnsi="Arial" w:cs="Arial"/>
                <w:sz w:val="22"/>
                <w:szCs w:val="22"/>
                <w:lang w:val="en-GB"/>
              </w:rPr>
              <w:t>om</w:t>
            </w:r>
            <w:r w:rsidRPr="00E4265B">
              <w:rPr>
                <w:rFonts w:ascii="Arial" w:hAnsi="Arial" w:cs="Arial"/>
                <w:spacing w:val="-2"/>
                <w:sz w:val="22"/>
                <w:szCs w:val="22"/>
                <w:lang w:val="en-GB"/>
              </w:rPr>
              <w:t xml:space="preserve"> </w:t>
            </w:r>
            <w:r w:rsidRPr="00E4265B">
              <w:rPr>
                <w:rFonts w:ascii="Arial" w:hAnsi="Arial" w:cs="Arial"/>
                <w:spacing w:val="1"/>
                <w:sz w:val="22"/>
                <w:szCs w:val="22"/>
                <w:lang w:val="en-GB"/>
              </w:rPr>
              <w:t>r</w:t>
            </w:r>
            <w:r w:rsidRPr="00E4265B">
              <w:rPr>
                <w:rFonts w:ascii="Arial" w:hAnsi="Arial" w:cs="Arial"/>
                <w:sz w:val="22"/>
                <w:szCs w:val="22"/>
                <w:lang w:val="en-GB"/>
              </w:rPr>
              <w:t>eta</w:t>
            </w:r>
            <w:r w:rsidRPr="00E4265B">
              <w:rPr>
                <w:rFonts w:ascii="Arial" w:hAnsi="Arial" w:cs="Arial"/>
                <w:spacing w:val="1"/>
                <w:sz w:val="22"/>
                <w:szCs w:val="22"/>
                <w:lang w:val="en-GB"/>
              </w:rPr>
              <w:t>i</w:t>
            </w:r>
            <w:r w:rsidRPr="00E4265B">
              <w:rPr>
                <w:rFonts w:ascii="Arial" w:hAnsi="Arial" w:cs="Arial"/>
                <w:sz w:val="22"/>
                <w:szCs w:val="22"/>
                <w:lang w:val="en-GB"/>
              </w:rPr>
              <w:t>l</w:t>
            </w:r>
            <w:r w:rsidRPr="00E4265B">
              <w:rPr>
                <w:rFonts w:ascii="Arial" w:hAnsi="Arial" w:cs="Arial"/>
                <w:spacing w:val="-5"/>
                <w:sz w:val="22"/>
                <w:szCs w:val="22"/>
                <w:lang w:val="en-GB"/>
              </w:rPr>
              <w:t xml:space="preserve"> </w:t>
            </w:r>
            <w:r w:rsidRPr="00E4265B">
              <w:rPr>
                <w:rFonts w:ascii="Arial" w:hAnsi="Arial" w:cs="Arial"/>
                <w:spacing w:val="1"/>
                <w:sz w:val="22"/>
                <w:szCs w:val="22"/>
                <w:lang w:val="en-GB"/>
              </w:rPr>
              <w:t>C</w:t>
            </w:r>
            <w:r w:rsidRPr="00E4265B">
              <w:rPr>
                <w:rFonts w:ascii="Arial" w:hAnsi="Arial" w:cs="Arial"/>
                <w:sz w:val="22"/>
                <w:szCs w:val="22"/>
                <w:lang w:val="en-GB"/>
              </w:rPr>
              <w:t>o</w:t>
            </w:r>
            <w:r w:rsidRPr="00E4265B">
              <w:rPr>
                <w:rFonts w:ascii="Arial" w:hAnsi="Arial" w:cs="Arial"/>
                <w:spacing w:val="2"/>
                <w:sz w:val="22"/>
                <w:szCs w:val="22"/>
                <w:lang w:val="en-GB"/>
              </w:rPr>
              <w:t>u</w:t>
            </w:r>
            <w:r w:rsidRPr="00E4265B">
              <w:rPr>
                <w:rFonts w:ascii="Arial" w:hAnsi="Arial" w:cs="Arial"/>
                <w:sz w:val="22"/>
                <w:szCs w:val="22"/>
                <w:lang w:val="en-GB"/>
              </w:rPr>
              <w:t>nte</w:t>
            </w:r>
            <w:r w:rsidRPr="00E4265B">
              <w:rPr>
                <w:rFonts w:ascii="Arial" w:hAnsi="Arial" w:cs="Arial"/>
                <w:spacing w:val="1"/>
                <w:sz w:val="22"/>
                <w:szCs w:val="22"/>
                <w:lang w:val="en-GB"/>
              </w:rPr>
              <w:t>r</w:t>
            </w:r>
            <w:r w:rsidRPr="00E4265B">
              <w:rPr>
                <w:rFonts w:ascii="Arial" w:hAnsi="Arial" w:cs="Arial"/>
                <w:sz w:val="22"/>
                <w:szCs w:val="22"/>
                <w:lang w:val="en-GB"/>
              </w:rPr>
              <w:t>pa</w:t>
            </w:r>
            <w:r w:rsidRPr="00E4265B">
              <w:rPr>
                <w:rFonts w:ascii="Arial" w:hAnsi="Arial" w:cs="Arial"/>
                <w:spacing w:val="1"/>
                <w:sz w:val="22"/>
                <w:szCs w:val="22"/>
                <w:lang w:val="en-GB"/>
              </w:rPr>
              <w:t>r</w:t>
            </w:r>
            <w:r w:rsidRPr="00E4265B">
              <w:rPr>
                <w:rFonts w:ascii="Arial" w:hAnsi="Arial" w:cs="Arial"/>
                <w:spacing w:val="2"/>
                <w:sz w:val="22"/>
                <w:szCs w:val="22"/>
                <w:lang w:val="en-GB"/>
              </w:rPr>
              <w:t>t</w:t>
            </w:r>
            <w:r w:rsidRPr="00E4265B">
              <w:rPr>
                <w:rFonts w:ascii="Arial" w:hAnsi="Arial" w:cs="Arial"/>
                <w:spacing w:val="-1"/>
                <w:sz w:val="22"/>
                <w:szCs w:val="22"/>
                <w:lang w:val="en-GB"/>
              </w:rPr>
              <w:t>i</w:t>
            </w:r>
            <w:r w:rsidRPr="00E4265B">
              <w:rPr>
                <w:rFonts w:ascii="Arial" w:hAnsi="Arial" w:cs="Arial"/>
                <w:sz w:val="22"/>
                <w:szCs w:val="22"/>
                <w:lang w:val="en-GB"/>
              </w:rPr>
              <w:t>es</w:t>
            </w:r>
          </w:p>
        </w:tc>
        <w:tc>
          <w:tcPr>
            <w:tcW w:w="1606" w:type="dxa"/>
            <w:tcBorders>
              <w:top w:val="nil"/>
              <w:left w:val="single" w:sz="8" w:space="0" w:color="000000"/>
              <w:right w:val="single" w:sz="8" w:space="0" w:color="000000"/>
            </w:tcBorders>
            <w:vAlign w:val="center"/>
          </w:tcPr>
          <w:p w14:paraId="43D72D74" w14:textId="77777777" w:rsidR="00DA6C72" w:rsidRPr="00E4265B" w:rsidRDefault="00DA6C72" w:rsidP="005F263A">
            <w:pPr>
              <w:ind w:right="549"/>
              <w:jc w:val="right"/>
              <w:rPr>
                <w:rFonts w:ascii="Arial" w:hAnsi="Arial" w:cs="Arial"/>
                <w:sz w:val="22"/>
                <w:szCs w:val="22"/>
              </w:rPr>
            </w:pPr>
            <w:r w:rsidRPr="00E4265B">
              <w:rPr>
                <w:rFonts w:ascii="Arial" w:hAnsi="Arial" w:cs="Arial"/>
                <w:sz w:val="22"/>
                <w:szCs w:val="22"/>
                <w:lang w:val="en-GB"/>
              </w:rPr>
              <w:t>50%</w:t>
            </w:r>
          </w:p>
        </w:tc>
      </w:tr>
      <w:tr w:rsidR="00DA6C72" w:rsidRPr="00E4265B" w14:paraId="3DA3BBB6" w14:textId="77777777" w:rsidTr="008D19E8">
        <w:trPr>
          <w:trHeight w:hRule="exact" w:val="900"/>
          <w:tblHeader/>
        </w:trPr>
        <w:tc>
          <w:tcPr>
            <w:tcW w:w="6404" w:type="dxa"/>
            <w:tcBorders>
              <w:top w:val="nil"/>
              <w:left w:val="single" w:sz="8" w:space="0" w:color="000000"/>
              <w:right w:val="single" w:sz="8" w:space="0" w:color="000000"/>
            </w:tcBorders>
            <w:vAlign w:val="center"/>
          </w:tcPr>
          <w:p w14:paraId="25F2C928" w14:textId="77777777" w:rsidR="00DA6C72" w:rsidRPr="00E4265B" w:rsidRDefault="00DA6C72" w:rsidP="0019712D">
            <w:pPr>
              <w:pStyle w:val="ListParagraph"/>
              <w:numPr>
                <w:ilvl w:val="0"/>
                <w:numId w:val="74"/>
              </w:numPr>
              <w:autoSpaceDE w:val="0"/>
              <w:autoSpaceDN w:val="0"/>
              <w:ind w:left="554" w:right="270"/>
              <w:contextualSpacing w:val="0"/>
              <w:rPr>
                <w:rFonts w:ascii="Arial" w:hAnsi="Arial" w:cs="Arial"/>
                <w:bCs/>
                <w:spacing w:val="1"/>
                <w:sz w:val="22"/>
                <w:szCs w:val="22"/>
                <w:lang w:val="en-GB"/>
              </w:rPr>
            </w:pPr>
            <w:r w:rsidRPr="00E4265B">
              <w:rPr>
                <w:rFonts w:ascii="Arial" w:hAnsi="Arial" w:cs="Arial"/>
                <w:spacing w:val="-1"/>
                <w:sz w:val="22"/>
                <w:szCs w:val="22"/>
                <w:lang w:val="en-GB"/>
              </w:rPr>
              <w:t>A</w:t>
            </w:r>
            <w:r w:rsidRPr="00E4265B">
              <w:rPr>
                <w:rFonts w:ascii="Arial" w:hAnsi="Arial" w:cs="Arial"/>
                <w:spacing w:val="4"/>
                <w:sz w:val="22"/>
                <w:szCs w:val="22"/>
                <w:lang w:val="en-GB"/>
              </w:rPr>
              <w:t>m</w:t>
            </w:r>
            <w:r w:rsidRPr="00E4265B">
              <w:rPr>
                <w:rFonts w:ascii="Arial" w:hAnsi="Arial" w:cs="Arial"/>
                <w:sz w:val="22"/>
                <w:szCs w:val="22"/>
                <w:lang w:val="en-GB"/>
              </w:rPr>
              <w:t>ounts</w:t>
            </w:r>
            <w:r w:rsidRPr="00E4265B">
              <w:rPr>
                <w:rFonts w:ascii="Arial" w:hAnsi="Arial" w:cs="Arial"/>
                <w:spacing w:val="-7"/>
                <w:sz w:val="22"/>
                <w:szCs w:val="22"/>
                <w:lang w:val="en-GB"/>
              </w:rPr>
              <w:t xml:space="preserve"> </w:t>
            </w:r>
            <w:r w:rsidRPr="00E4265B">
              <w:rPr>
                <w:rFonts w:ascii="Arial" w:hAnsi="Arial" w:cs="Arial"/>
                <w:spacing w:val="1"/>
                <w:sz w:val="22"/>
                <w:szCs w:val="22"/>
                <w:lang w:val="en-GB"/>
              </w:rPr>
              <w:t>r</w:t>
            </w:r>
            <w:r w:rsidRPr="00E4265B">
              <w:rPr>
                <w:rFonts w:ascii="Arial" w:hAnsi="Arial" w:cs="Arial"/>
                <w:sz w:val="22"/>
                <w:szCs w:val="22"/>
                <w:lang w:val="en-GB"/>
              </w:rPr>
              <w:t>e</w:t>
            </w:r>
            <w:r w:rsidRPr="00E4265B">
              <w:rPr>
                <w:rFonts w:ascii="Arial" w:hAnsi="Arial" w:cs="Arial"/>
                <w:spacing w:val="1"/>
                <w:sz w:val="22"/>
                <w:szCs w:val="22"/>
                <w:lang w:val="en-GB"/>
              </w:rPr>
              <w:t>c</w:t>
            </w:r>
            <w:r w:rsidRPr="00E4265B">
              <w:rPr>
                <w:rFonts w:ascii="Arial" w:hAnsi="Arial" w:cs="Arial"/>
                <w:sz w:val="22"/>
                <w:szCs w:val="22"/>
                <w:lang w:val="en-GB"/>
              </w:rPr>
              <w:t>e</w:t>
            </w:r>
            <w:r w:rsidRPr="00E4265B">
              <w:rPr>
                <w:rFonts w:ascii="Arial" w:hAnsi="Arial" w:cs="Arial"/>
                <w:spacing w:val="1"/>
                <w:sz w:val="22"/>
                <w:szCs w:val="22"/>
                <w:lang w:val="en-GB"/>
              </w:rPr>
              <w:t>i</w:t>
            </w:r>
            <w:r w:rsidRPr="00E4265B">
              <w:rPr>
                <w:rFonts w:ascii="Arial" w:hAnsi="Arial" w:cs="Arial"/>
                <w:spacing w:val="-1"/>
                <w:sz w:val="22"/>
                <w:szCs w:val="22"/>
                <w:lang w:val="en-GB"/>
              </w:rPr>
              <w:t>v</w:t>
            </w:r>
            <w:r w:rsidRPr="00E4265B">
              <w:rPr>
                <w:rFonts w:ascii="Arial" w:hAnsi="Arial" w:cs="Arial"/>
                <w:spacing w:val="2"/>
                <w:sz w:val="22"/>
                <w:szCs w:val="22"/>
                <w:lang w:val="en-GB"/>
              </w:rPr>
              <w:t>a</w:t>
            </w:r>
            <w:r w:rsidRPr="00E4265B">
              <w:rPr>
                <w:rFonts w:ascii="Arial" w:hAnsi="Arial" w:cs="Arial"/>
                <w:sz w:val="22"/>
                <w:szCs w:val="22"/>
                <w:lang w:val="en-GB"/>
              </w:rPr>
              <w:t>b</w:t>
            </w:r>
            <w:r w:rsidRPr="00E4265B">
              <w:rPr>
                <w:rFonts w:ascii="Arial" w:hAnsi="Arial" w:cs="Arial"/>
                <w:spacing w:val="-1"/>
                <w:sz w:val="22"/>
                <w:szCs w:val="22"/>
                <w:lang w:val="en-GB"/>
              </w:rPr>
              <w:t>l</w:t>
            </w:r>
            <w:r w:rsidRPr="00E4265B">
              <w:rPr>
                <w:rFonts w:ascii="Arial" w:hAnsi="Arial" w:cs="Arial"/>
                <w:sz w:val="22"/>
                <w:szCs w:val="22"/>
                <w:lang w:val="en-GB"/>
              </w:rPr>
              <w:t>e</w:t>
            </w:r>
            <w:r w:rsidRPr="00E4265B">
              <w:rPr>
                <w:rFonts w:ascii="Arial" w:hAnsi="Arial" w:cs="Arial"/>
                <w:spacing w:val="-7"/>
                <w:sz w:val="22"/>
                <w:szCs w:val="22"/>
                <w:lang w:val="en-GB"/>
              </w:rPr>
              <w:t xml:space="preserve"> </w:t>
            </w:r>
            <w:r w:rsidRPr="00E4265B">
              <w:rPr>
                <w:rFonts w:ascii="Arial" w:hAnsi="Arial" w:cs="Arial"/>
                <w:spacing w:val="2"/>
                <w:sz w:val="22"/>
                <w:szCs w:val="22"/>
                <w:lang w:val="en-GB"/>
              </w:rPr>
              <w:t>f</w:t>
            </w:r>
            <w:r w:rsidRPr="00E4265B">
              <w:rPr>
                <w:rFonts w:ascii="Arial" w:hAnsi="Arial" w:cs="Arial"/>
                <w:spacing w:val="1"/>
                <w:sz w:val="22"/>
                <w:szCs w:val="22"/>
                <w:lang w:val="en-GB"/>
              </w:rPr>
              <w:t>r</w:t>
            </w:r>
            <w:r w:rsidRPr="00E4265B">
              <w:rPr>
                <w:rFonts w:ascii="Arial" w:hAnsi="Arial" w:cs="Arial"/>
                <w:spacing w:val="-3"/>
                <w:sz w:val="22"/>
                <w:szCs w:val="22"/>
                <w:lang w:val="en-GB"/>
              </w:rPr>
              <w:t>o</w:t>
            </w:r>
            <w:r w:rsidRPr="00E4265B">
              <w:rPr>
                <w:rFonts w:ascii="Arial" w:hAnsi="Arial" w:cs="Arial"/>
                <w:sz w:val="22"/>
                <w:szCs w:val="22"/>
                <w:lang w:val="en-GB"/>
              </w:rPr>
              <w:t>m</w:t>
            </w:r>
            <w:r w:rsidRPr="00E4265B">
              <w:rPr>
                <w:rFonts w:ascii="Arial" w:hAnsi="Arial" w:cs="Arial"/>
                <w:spacing w:val="-2"/>
                <w:sz w:val="22"/>
                <w:szCs w:val="22"/>
                <w:lang w:val="en-GB"/>
              </w:rPr>
              <w:t xml:space="preserve"> </w:t>
            </w:r>
            <w:r w:rsidRPr="00E4265B">
              <w:rPr>
                <w:rFonts w:ascii="Arial" w:hAnsi="Arial" w:cs="Arial"/>
                <w:sz w:val="22"/>
                <w:szCs w:val="22"/>
                <w:lang w:val="en-GB"/>
              </w:rPr>
              <w:t>non</w:t>
            </w:r>
            <w:r w:rsidRPr="00E4265B">
              <w:rPr>
                <w:rFonts w:ascii="Arial" w:hAnsi="Arial" w:cs="Arial"/>
                <w:spacing w:val="1"/>
                <w:sz w:val="22"/>
                <w:szCs w:val="22"/>
                <w:lang w:val="en-GB"/>
              </w:rPr>
              <w:t>-</w:t>
            </w:r>
            <w:r w:rsidRPr="00E4265B">
              <w:rPr>
                <w:rFonts w:ascii="Arial" w:hAnsi="Arial" w:cs="Arial"/>
                <w:spacing w:val="2"/>
                <w:sz w:val="22"/>
                <w:szCs w:val="22"/>
                <w:lang w:val="en-GB"/>
              </w:rPr>
              <w:t>f</w:t>
            </w:r>
            <w:r w:rsidRPr="00E4265B">
              <w:rPr>
                <w:rFonts w:ascii="Arial" w:hAnsi="Arial" w:cs="Arial"/>
                <w:spacing w:val="-1"/>
                <w:sz w:val="22"/>
                <w:szCs w:val="22"/>
                <w:lang w:val="en-GB"/>
              </w:rPr>
              <w:t>i</w:t>
            </w:r>
            <w:r w:rsidRPr="00E4265B">
              <w:rPr>
                <w:rFonts w:ascii="Arial" w:hAnsi="Arial" w:cs="Arial"/>
                <w:sz w:val="22"/>
                <w:szCs w:val="22"/>
                <w:lang w:val="en-GB"/>
              </w:rPr>
              <w:t>n</w:t>
            </w:r>
            <w:r w:rsidRPr="00E4265B">
              <w:rPr>
                <w:rFonts w:ascii="Arial" w:hAnsi="Arial" w:cs="Arial"/>
                <w:spacing w:val="2"/>
                <w:sz w:val="22"/>
                <w:szCs w:val="22"/>
                <w:lang w:val="en-GB"/>
              </w:rPr>
              <w:t>a</w:t>
            </w:r>
            <w:r w:rsidRPr="00E4265B">
              <w:rPr>
                <w:rFonts w:ascii="Arial" w:hAnsi="Arial" w:cs="Arial"/>
                <w:sz w:val="22"/>
                <w:szCs w:val="22"/>
                <w:lang w:val="en-GB"/>
              </w:rPr>
              <w:t>n</w:t>
            </w:r>
            <w:r w:rsidRPr="00E4265B">
              <w:rPr>
                <w:rFonts w:ascii="Arial" w:hAnsi="Arial" w:cs="Arial"/>
                <w:spacing w:val="1"/>
                <w:sz w:val="22"/>
                <w:szCs w:val="22"/>
                <w:lang w:val="en-GB"/>
              </w:rPr>
              <w:t>c</w:t>
            </w:r>
            <w:r w:rsidRPr="00E4265B">
              <w:rPr>
                <w:rFonts w:ascii="Arial" w:hAnsi="Arial" w:cs="Arial"/>
                <w:spacing w:val="-1"/>
                <w:sz w:val="22"/>
                <w:szCs w:val="22"/>
                <w:lang w:val="en-GB"/>
              </w:rPr>
              <w:t>i</w:t>
            </w:r>
            <w:r w:rsidRPr="00E4265B">
              <w:rPr>
                <w:rFonts w:ascii="Arial" w:hAnsi="Arial" w:cs="Arial"/>
                <w:spacing w:val="2"/>
                <w:sz w:val="22"/>
                <w:szCs w:val="22"/>
                <w:lang w:val="en-GB"/>
              </w:rPr>
              <w:t>a</w:t>
            </w:r>
            <w:r w:rsidRPr="00E4265B">
              <w:rPr>
                <w:rFonts w:ascii="Arial" w:hAnsi="Arial" w:cs="Arial"/>
                <w:sz w:val="22"/>
                <w:szCs w:val="22"/>
                <w:lang w:val="en-GB"/>
              </w:rPr>
              <w:t>l</w:t>
            </w:r>
            <w:r w:rsidRPr="00E4265B">
              <w:rPr>
                <w:rFonts w:ascii="Arial" w:hAnsi="Arial" w:cs="Arial"/>
                <w:spacing w:val="-10"/>
                <w:sz w:val="22"/>
                <w:szCs w:val="22"/>
                <w:lang w:val="en-GB"/>
              </w:rPr>
              <w:t xml:space="preserve"> </w:t>
            </w:r>
            <w:r w:rsidRPr="00E4265B">
              <w:rPr>
                <w:rFonts w:ascii="Arial" w:hAnsi="Arial" w:cs="Arial"/>
                <w:spacing w:val="-2"/>
                <w:sz w:val="22"/>
                <w:szCs w:val="22"/>
                <w:lang w:val="en-GB"/>
              </w:rPr>
              <w:t>w</w:t>
            </w:r>
            <w:r w:rsidRPr="00E4265B">
              <w:rPr>
                <w:rFonts w:ascii="Arial" w:hAnsi="Arial" w:cs="Arial"/>
                <w:spacing w:val="2"/>
                <w:sz w:val="22"/>
                <w:szCs w:val="22"/>
                <w:lang w:val="en-GB"/>
              </w:rPr>
              <w:t>h</w:t>
            </w:r>
            <w:r w:rsidRPr="00E4265B">
              <w:rPr>
                <w:rFonts w:ascii="Arial" w:hAnsi="Arial" w:cs="Arial"/>
                <w:sz w:val="22"/>
                <w:szCs w:val="22"/>
                <w:lang w:val="en-GB"/>
              </w:rPr>
              <w:t>o</w:t>
            </w:r>
            <w:r w:rsidRPr="00E4265B">
              <w:rPr>
                <w:rFonts w:ascii="Arial" w:hAnsi="Arial" w:cs="Arial"/>
                <w:spacing w:val="1"/>
                <w:sz w:val="22"/>
                <w:szCs w:val="22"/>
                <w:lang w:val="en-GB"/>
              </w:rPr>
              <w:t>l</w:t>
            </w:r>
            <w:r w:rsidRPr="00E4265B">
              <w:rPr>
                <w:rFonts w:ascii="Arial" w:hAnsi="Arial" w:cs="Arial"/>
                <w:sz w:val="22"/>
                <w:szCs w:val="22"/>
                <w:lang w:val="en-GB"/>
              </w:rPr>
              <w:t>e</w:t>
            </w:r>
            <w:r w:rsidRPr="00E4265B">
              <w:rPr>
                <w:rFonts w:ascii="Arial" w:hAnsi="Arial" w:cs="Arial"/>
                <w:spacing w:val="1"/>
                <w:sz w:val="22"/>
                <w:szCs w:val="22"/>
                <w:lang w:val="en-GB"/>
              </w:rPr>
              <w:t>s</w:t>
            </w:r>
            <w:r w:rsidRPr="00E4265B">
              <w:rPr>
                <w:rFonts w:ascii="Arial" w:hAnsi="Arial" w:cs="Arial"/>
                <w:sz w:val="22"/>
                <w:szCs w:val="22"/>
                <w:lang w:val="en-GB"/>
              </w:rPr>
              <w:t>a</w:t>
            </w:r>
            <w:r w:rsidRPr="00E4265B">
              <w:rPr>
                <w:rFonts w:ascii="Arial" w:hAnsi="Arial" w:cs="Arial"/>
                <w:spacing w:val="1"/>
                <w:sz w:val="22"/>
                <w:szCs w:val="22"/>
                <w:lang w:val="en-GB"/>
              </w:rPr>
              <w:t>l</w:t>
            </w:r>
            <w:r w:rsidRPr="00E4265B">
              <w:rPr>
                <w:rFonts w:ascii="Arial" w:hAnsi="Arial" w:cs="Arial"/>
                <w:sz w:val="22"/>
                <w:szCs w:val="22"/>
                <w:lang w:val="en-GB"/>
              </w:rPr>
              <w:t>e</w:t>
            </w:r>
            <w:r w:rsidRPr="00E4265B">
              <w:rPr>
                <w:rFonts w:ascii="Arial" w:hAnsi="Arial" w:cs="Arial"/>
                <w:spacing w:val="-9"/>
                <w:sz w:val="22"/>
                <w:szCs w:val="22"/>
                <w:lang w:val="en-GB"/>
              </w:rPr>
              <w:t xml:space="preserve"> </w:t>
            </w:r>
            <w:r w:rsidRPr="00E4265B">
              <w:rPr>
                <w:rFonts w:ascii="Arial" w:hAnsi="Arial" w:cs="Arial"/>
                <w:spacing w:val="1"/>
                <w:sz w:val="22"/>
                <w:szCs w:val="22"/>
                <w:lang w:val="en-GB"/>
              </w:rPr>
              <w:t>C</w:t>
            </w:r>
            <w:r w:rsidRPr="00E4265B">
              <w:rPr>
                <w:rFonts w:ascii="Arial" w:hAnsi="Arial" w:cs="Arial"/>
                <w:sz w:val="22"/>
                <w:szCs w:val="22"/>
                <w:lang w:val="en-GB"/>
              </w:rPr>
              <w:t>ounte</w:t>
            </w:r>
            <w:r w:rsidRPr="00E4265B">
              <w:rPr>
                <w:rFonts w:ascii="Arial" w:hAnsi="Arial" w:cs="Arial"/>
                <w:spacing w:val="1"/>
                <w:sz w:val="22"/>
                <w:szCs w:val="22"/>
                <w:lang w:val="en-GB"/>
              </w:rPr>
              <w:t>r</w:t>
            </w:r>
            <w:r w:rsidRPr="00E4265B">
              <w:rPr>
                <w:rFonts w:ascii="Arial" w:hAnsi="Arial" w:cs="Arial"/>
                <w:spacing w:val="2"/>
                <w:sz w:val="22"/>
                <w:szCs w:val="22"/>
                <w:lang w:val="en-GB"/>
              </w:rPr>
              <w:t>p</w:t>
            </w:r>
            <w:r w:rsidRPr="00E4265B">
              <w:rPr>
                <w:rFonts w:ascii="Arial" w:hAnsi="Arial" w:cs="Arial"/>
                <w:sz w:val="22"/>
                <w:szCs w:val="22"/>
                <w:lang w:val="en-GB"/>
              </w:rPr>
              <w:t>a</w:t>
            </w:r>
            <w:r w:rsidRPr="00E4265B">
              <w:rPr>
                <w:rFonts w:ascii="Arial" w:hAnsi="Arial" w:cs="Arial"/>
                <w:spacing w:val="1"/>
                <w:sz w:val="22"/>
                <w:szCs w:val="22"/>
                <w:lang w:val="en-GB"/>
              </w:rPr>
              <w:t>r</w:t>
            </w:r>
            <w:r w:rsidRPr="00E4265B">
              <w:rPr>
                <w:rFonts w:ascii="Arial" w:hAnsi="Arial" w:cs="Arial"/>
                <w:sz w:val="22"/>
                <w:szCs w:val="22"/>
                <w:lang w:val="en-GB"/>
              </w:rPr>
              <w:t>t</w:t>
            </w:r>
            <w:r w:rsidRPr="00E4265B">
              <w:rPr>
                <w:rFonts w:ascii="Arial" w:hAnsi="Arial" w:cs="Arial"/>
                <w:spacing w:val="-1"/>
                <w:sz w:val="22"/>
                <w:szCs w:val="22"/>
                <w:lang w:val="en-GB"/>
              </w:rPr>
              <w:t>i</w:t>
            </w:r>
            <w:r w:rsidRPr="00E4265B">
              <w:rPr>
                <w:rFonts w:ascii="Arial" w:hAnsi="Arial" w:cs="Arial"/>
                <w:sz w:val="22"/>
                <w:szCs w:val="22"/>
                <w:lang w:val="en-GB"/>
              </w:rPr>
              <w:t>e</w:t>
            </w:r>
            <w:r w:rsidRPr="00E4265B">
              <w:rPr>
                <w:rFonts w:ascii="Arial" w:hAnsi="Arial" w:cs="Arial"/>
                <w:spacing w:val="1"/>
                <w:sz w:val="22"/>
                <w:szCs w:val="22"/>
                <w:lang w:val="en-GB"/>
              </w:rPr>
              <w:t>s</w:t>
            </w:r>
            <w:r w:rsidRPr="00E4265B">
              <w:rPr>
                <w:rFonts w:ascii="Arial" w:hAnsi="Arial" w:cs="Arial"/>
                <w:sz w:val="22"/>
                <w:szCs w:val="22"/>
                <w:lang w:val="en-GB"/>
              </w:rPr>
              <w:t>,</w:t>
            </w:r>
            <w:r w:rsidRPr="00E4265B">
              <w:rPr>
                <w:rFonts w:ascii="Arial" w:hAnsi="Arial" w:cs="Arial"/>
                <w:spacing w:val="-14"/>
                <w:sz w:val="22"/>
                <w:szCs w:val="22"/>
                <w:lang w:val="en-GB"/>
              </w:rPr>
              <w:t xml:space="preserve"> </w:t>
            </w:r>
            <w:r w:rsidRPr="00E4265B">
              <w:rPr>
                <w:rFonts w:ascii="Arial" w:hAnsi="Arial" w:cs="Arial"/>
                <w:spacing w:val="2"/>
                <w:sz w:val="22"/>
                <w:szCs w:val="22"/>
                <w:lang w:val="en-GB"/>
              </w:rPr>
              <w:t>f</w:t>
            </w:r>
            <w:r w:rsidRPr="00E4265B">
              <w:rPr>
                <w:rFonts w:ascii="Arial" w:hAnsi="Arial" w:cs="Arial"/>
                <w:spacing w:val="1"/>
                <w:sz w:val="22"/>
                <w:szCs w:val="22"/>
                <w:lang w:val="en-GB"/>
              </w:rPr>
              <w:t>r</w:t>
            </w:r>
            <w:r w:rsidRPr="00E4265B">
              <w:rPr>
                <w:rFonts w:ascii="Arial" w:hAnsi="Arial" w:cs="Arial"/>
                <w:sz w:val="22"/>
                <w:szCs w:val="22"/>
                <w:lang w:val="en-GB"/>
              </w:rPr>
              <w:t>om t</w:t>
            </w:r>
            <w:r w:rsidRPr="00E4265B">
              <w:rPr>
                <w:rFonts w:ascii="Arial" w:hAnsi="Arial" w:cs="Arial"/>
                <w:spacing w:val="1"/>
                <w:sz w:val="22"/>
                <w:szCs w:val="22"/>
                <w:lang w:val="en-GB"/>
              </w:rPr>
              <w:t>r</w:t>
            </w:r>
            <w:r w:rsidRPr="00E4265B">
              <w:rPr>
                <w:rFonts w:ascii="Arial" w:hAnsi="Arial" w:cs="Arial"/>
                <w:sz w:val="22"/>
                <w:szCs w:val="22"/>
                <w:lang w:val="en-GB"/>
              </w:rPr>
              <w:t>an</w:t>
            </w:r>
            <w:r w:rsidRPr="00E4265B">
              <w:rPr>
                <w:rFonts w:ascii="Arial" w:hAnsi="Arial" w:cs="Arial"/>
                <w:spacing w:val="1"/>
                <w:sz w:val="22"/>
                <w:szCs w:val="22"/>
                <w:lang w:val="en-GB"/>
              </w:rPr>
              <w:t>s</w:t>
            </w:r>
            <w:r w:rsidRPr="00E4265B">
              <w:rPr>
                <w:rFonts w:ascii="Arial" w:hAnsi="Arial" w:cs="Arial"/>
                <w:sz w:val="22"/>
                <w:szCs w:val="22"/>
                <w:lang w:val="en-GB"/>
              </w:rPr>
              <w:t>a</w:t>
            </w:r>
            <w:r w:rsidRPr="00E4265B">
              <w:rPr>
                <w:rFonts w:ascii="Arial" w:hAnsi="Arial" w:cs="Arial"/>
                <w:spacing w:val="1"/>
                <w:sz w:val="22"/>
                <w:szCs w:val="22"/>
                <w:lang w:val="en-GB"/>
              </w:rPr>
              <w:t>c</w:t>
            </w:r>
            <w:r w:rsidRPr="00E4265B">
              <w:rPr>
                <w:rFonts w:ascii="Arial" w:hAnsi="Arial" w:cs="Arial"/>
                <w:sz w:val="22"/>
                <w:szCs w:val="22"/>
                <w:lang w:val="en-GB"/>
              </w:rPr>
              <w:t>t</w:t>
            </w:r>
            <w:r w:rsidRPr="00E4265B">
              <w:rPr>
                <w:rFonts w:ascii="Arial" w:hAnsi="Arial" w:cs="Arial"/>
                <w:spacing w:val="-1"/>
                <w:sz w:val="22"/>
                <w:szCs w:val="22"/>
                <w:lang w:val="en-GB"/>
              </w:rPr>
              <w:t>i</w:t>
            </w:r>
            <w:r w:rsidRPr="00E4265B">
              <w:rPr>
                <w:rFonts w:ascii="Arial" w:hAnsi="Arial" w:cs="Arial"/>
                <w:sz w:val="22"/>
                <w:szCs w:val="22"/>
                <w:lang w:val="en-GB"/>
              </w:rPr>
              <w:t>ons</w:t>
            </w:r>
            <w:r w:rsidRPr="00E4265B">
              <w:rPr>
                <w:rFonts w:ascii="Arial" w:hAnsi="Arial" w:cs="Arial"/>
                <w:spacing w:val="-10"/>
                <w:sz w:val="22"/>
                <w:szCs w:val="22"/>
                <w:lang w:val="en-GB"/>
              </w:rPr>
              <w:t xml:space="preserve"> </w:t>
            </w:r>
            <w:r w:rsidRPr="00E4265B">
              <w:rPr>
                <w:rFonts w:ascii="Arial" w:hAnsi="Arial" w:cs="Arial"/>
                <w:sz w:val="22"/>
                <w:szCs w:val="22"/>
                <w:lang w:val="en-GB"/>
              </w:rPr>
              <w:t>o</w:t>
            </w:r>
            <w:r w:rsidRPr="00E4265B">
              <w:rPr>
                <w:rFonts w:ascii="Arial" w:hAnsi="Arial" w:cs="Arial"/>
                <w:spacing w:val="2"/>
                <w:sz w:val="22"/>
                <w:szCs w:val="22"/>
                <w:lang w:val="en-GB"/>
              </w:rPr>
              <w:t>t</w:t>
            </w:r>
            <w:r w:rsidRPr="00E4265B">
              <w:rPr>
                <w:rFonts w:ascii="Arial" w:hAnsi="Arial" w:cs="Arial"/>
                <w:sz w:val="22"/>
                <w:szCs w:val="22"/>
                <w:lang w:val="en-GB"/>
              </w:rPr>
              <w:t>her</w:t>
            </w:r>
            <w:r w:rsidRPr="00E4265B">
              <w:rPr>
                <w:rFonts w:ascii="Arial" w:hAnsi="Arial" w:cs="Arial"/>
                <w:spacing w:val="-5"/>
                <w:sz w:val="22"/>
                <w:szCs w:val="22"/>
                <w:lang w:val="en-GB"/>
              </w:rPr>
              <w:t xml:space="preserve"> </w:t>
            </w:r>
            <w:r w:rsidRPr="00E4265B">
              <w:rPr>
                <w:rFonts w:ascii="Arial" w:hAnsi="Arial" w:cs="Arial"/>
                <w:sz w:val="22"/>
                <w:szCs w:val="22"/>
                <w:lang w:val="en-GB"/>
              </w:rPr>
              <w:t>t</w:t>
            </w:r>
            <w:r w:rsidRPr="00E4265B">
              <w:rPr>
                <w:rFonts w:ascii="Arial" w:hAnsi="Arial" w:cs="Arial"/>
                <w:spacing w:val="2"/>
                <w:sz w:val="22"/>
                <w:szCs w:val="22"/>
                <w:lang w:val="en-GB"/>
              </w:rPr>
              <w:t>h</w:t>
            </w:r>
            <w:r w:rsidRPr="00E4265B">
              <w:rPr>
                <w:rFonts w:ascii="Arial" w:hAnsi="Arial" w:cs="Arial"/>
                <w:sz w:val="22"/>
                <w:szCs w:val="22"/>
                <w:lang w:val="en-GB"/>
              </w:rPr>
              <w:t>an</w:t>
            </w:r>
            <w:r w:rsidRPr="00E4265B">
              <w:rPr>
                <w:rFonts w:ascii="Arial" w:hAnsi="Arial" w:cs="Arial"/>
                <w:spacing w:val="-5"/>
                <w:sz w:val="22"/>
                <w:szCs w:val="22"/>
                <w:lang w:val="en-GB"/>
              </w:rPr>
              <w:t xml:space="preserve"> </w:t>
            </w:r>
            <w:r w:rsidRPr="00E4265B">
              <w:rPr>
                <w:rFonts w:ascii="Arial" w:hAnsi="Arial" w:cs="Arial"/>
                <w:spacing w:val="2"/>
                <w:sz w:val="22"/>
                <w:szCs w:val="22"/>
                <w:lang w:val="en-GB"/>
              </w:rPr>
              <w:t>t</w:t>
            </w:r>
            <w:r w:rsidRPr="00E4265B">
              <w:rPr>
                <w:rFonts w:ascii="Arial" w:hAnsi="Arial" w:cs="Arial"/>
                <w:sz w:val="22"/>
                <w:szCs w:val="22"/>
                <w:lang w:val="en-GB"/>
              </w:rPr>
              <w:t>ho</w:t>
            </w:r>
            <w:r w:rsidRPr="00E4265B">
              <w:rPr>
                <w:rFonts w:ascii="Arial" w:hAnsi="Arial" w:cs="Arial"/>
                <w:spacing w:val="1"/>
                <w:sz w:val="22"/>
                <w:szCs w:val="22"/>
                <w:lang w:val="en-GB"/>
              </w:rPr>
              <w:t>s</w:t>
            </w:r>
            <w:r w:rsidRPr="00E4265B">
              <w:rPr>
                <w:rFonts w:ascii="Arial" w:hAnsi="Arial" w:cs="Arial"/>
                <w:sz w:val="22"/>
                <w:szCs w:val="22"/>
                <w:lang w:val="en-GB"/>
              </w:rPr>
              <w:t>e</w:t>
            </w:r>
            <w:r w:rsidRPr="00E4265B">
              <w:rPr>
                <w:rFonts w:ascii="Arial" w:hAnsi="Arial" w:cs="Arial"/>
                <w:spacing w:val="-3"/>
                <w:sz w:val="22"/>
                <w:szCs w:val="22"/>
                <w:lang w:val="en-GB"/>
              </w:rPr>
              <w:t xml:space="preserve"> </w:t>
            </w:r>
            <w:r w:rsidRPr="00E4265B">
              <w:rPr>
                <w:rFonts w:ascii="Arial" w:hAnsi="Arial" w:cs="Arial"/>
                <w:spacing w:val="-1"/>
                <w:sz w:val="22"/>
                <w:szCs w:val="22"/>
                <w:lang w:val="en-GB"/>
              </w:rPr>
              <w:t>li</w:t>
            </w:r>
            <w:r w:rsidRPr="00E4265B">
              <w:rPr>
                <w:rFonts w:ascii="Arial" w:hAnsi="Arial" w:cs="Arial"/>
                <w:spacing w:val="1"/>
                <w:sz w:val="22"/>
                <w:szCs w:val="22"/>
                <w:lang w:val="en-GB"/>
              </w:rPr>
              <w:t>s</w:t>
            </w:r>
            <w:r w:rsidRPr="00E4265B">
              <w:rPr>
                <w:rFonts w:ascii="Arial" w:hAnsi="Arial" w:cs="Arial"/>
                <w:spacing w:val="2"/>
                <w:sz w:val="22"/>
                <w:szCs w:val="22"/>
                <w:lang w:val="en-GB"/>
              </w:rPr>
              <w:t>te</w:t>
            </w:r>
            <w:r w:rsidRPr="00E4265B">
              <w:rPr>
                <w:rFonts w:ascii="Arial" w:hAnsi="Arial" w:cs="Arial"/>
                <w:sz w:val="22"/>
                <w:szCs w:val="22"/>
                <w:lang w:val="en-GB"/>
              </w:rPr>
              <w:t>d</w:t>
            </w:r>
            <w:r w:rsidRPr="00E4265B">
              <w:rPr>
                <w:rFonts w:ascii="Arial" w:hAnsi="Arial" w:cs="Arial"/>
                <w:spacing w:val="-6"/>
                <w:sz w:val="22"/>
                <w:szCs w:val="22"/>
                <w:lang w:val="en-GB"/>
              </w:rPr>
              <w:t xml:space="preserve"> </w:t>
            </w:r>
            <w:r w:rsidRPr="00E4265B">
              <w:rPr>
                <w:rFonts w:ascii="Arial" w:hAnsi="Arial" w:cs="Arial"/>
                <w:spacing w:val="-1"/>
                <w:sz w:val="22"/>
                <w:szCs w:val="22"/>
                <w:lang w:val="en-GB"/>
              </w:rPr>
              <w:t>i</w:t>
            </w:r>
            <w:r w:rsidRPr="00E4265B">
              <w:rPr>
                <w:rFonts w:ascii="Arial" w:hAnsi="Arial" w:cs="Arial"/>
                <w:sz w:val="22"/>
                <w:szCs w:val="22"/>
                <w:lang w:val="en-GB"/>
              </w:rPr>
              <w:t>n the</w:t>
            </w:r>
            <w:r w:rsidRPr="00E4265B">
              <w:rPr>
                <w:rFonts w:ascii="Arial" w:hAnsi="Arial" w:cs="Arial"/>
                <w:spacing w:val="-3"/>
                <w:sz w:val="22"/>
                <w:szCs w:val="22"/>
                <w:lang w:val="en-GB"/>
              </w:rPr>
              <w:t xml:space="preserve"> </w:t>
            </w:r>
            <w:r w:rsidRPr="00E4265B">
              <w:rPr>
                <w:rFonts w:ascii="Arial" w:hAnsi="Arial" w:cs="Arial"/>
                <w:sz w:val="22"/>
                <w:szCs w:val="22"/>
                <w:lang w:val="en-GB"/>
              </w:rPr>
              <w:t>ab</w:t>
            </w:r>
            <w:r w:rsidRPr="00E4265B">
              <w:rPr>
                <w:rFonts w:ascii="Arial" w:hAnsi="Arial" w:cs="Arial"/>
                <w:spacing w:val="2"/>
                <w:sz w:val="22"/>
                <w:szCs w:val="22"/>
                <w:lang w:val="en-GB"/>
              </w:rPr>
              <w:t>o</w:t>
            </w:r>
            <w:r w:rsidRPr="00E4265B">
              <w:rPr>
                <w:rFonts w:ascii="Arial" w:hAnsi="Arial" w:cs="Arial"/>
                <w:spacing w:val="-1"/>
                <w:sz w:val="22"/>
                <w:szCs w:val="22"/>
                <w:lang w:val="en-GB"/>
              </w:rPr>
              <w:t>v</w:t>
            </w:r>
            <w:r w:rsidRPr="00E4265B">
              <w:rPr>
                <w:rFonts w:ascii="Arial" w:hAnsi="Arial" w:cs="Arial"/>
                <w:sz w:val="22"/>
                <w:szCs w:val="22"/>
                <w:lang w:val="en-GB"/>
              </w:rPr>
              <w:t>e</w:t>
            </w:r>
            <w:r w:rsidRPr="00E4265B">
              <w:rPr>
                <w:rFonts w:ascii="Arial" w:hAnsi="Arial" w:cs="Arial"/>
                <w:spacing w:val="-3"/>
                <w:sz w:val="22"/>
                <w:szCs w:val="22"/>
                <w:lang w:val="en-GB"/>
              </w:rPr>
              <w:t xml:space="preserve"> </w:t>
            </w:r>
            <w:r w:rsidRPr="00E4265B">
              <w:rPr>
                <w:rFonts w:ascii="Arial" w:hAnsi="Arial" w:cs="Arial"/>
                <w:spacing w:val="-1"/>
                <w:sz w:val="22"/>
                <w:szCs w:val="22"/>
                <w:lang w:val="en-GB"/>
              </w:rPr>
              <w:t>i</w:t>
            </w:r>
            <w:r w:rsidRPr="00E4265B">
              <w:rPr>
                <w:rFonts w:ascii="Arial" w:hAnsi="Arial" w:cs="Arial"/>
                <w:sz w:val="22"/>
                <w:szCs w:val="22"/>
                <w:lang w:val="en-GB"/>
              </w:rPr>
              <w:t>n</w:t>
            </w:r>
            <w:r w:rsidRPr="00E4265B">
              <w:rPr>
                <w:rFonts w:ascii="Arial" w:hAnsi="Arial" w:cs="Arial"/>
                <w:spacing w:val="2"/>
                <w:sz w:val="22"/>
                <w:szCs w:val="22"/>
                <w:lang w:val="en-GB"/>
              </w:rPr>
              <w:t>f</w:t>
            </w:r>
            <w:r w:rsidRPr="00E4265B">
              <w:rPr>
                <w:rFonts w:ascii="Arial" w:hAnsi="Arial" w:cs="Arial"/>
                <w:spacing w:val="-1"/>
                <w:sz w:val="22"/>
                <w:szCs w:val="22"/>
                <w:lang w:val="en-GB"/>
              </w:rPr>
              <w:t>l</w:t>
            </w:r>
            <w:r w:rsidRPr="00E4265B">
              <w:rPr>
                <w:rFonts w:ascii="Arial" w:hAnsi="Arial" w:cs="Arial"/>
                <w:spacing w:val="2"/>
                <w:sz w:val="22"/>
                <w:szCs w:val="22"/>
                <w:lang w:val="en-GB"/>
              </w:rPr>
              <w:t>o</w:t>
            </w:r>
            <w:r w:rsidRPr="00E4265B">
              <w:rPr>
                <w:rFonts w:ascii="Arial" w:hAnsi="Arial" w:cs="Arial"/>
                <w:sz w:val="22"/>
                <w:szCs w:val="22"/>
                <w:lang w:val="en-GB"/>
              </w:rPr>
              <w:t>w</w:t>
            </w:r>
            <w:r w:rsidRPr="00E4265B">
              <w:rPr>
                <w:rFonts w:ascii="Arial" w:hAnsi="Arial" w:cs="Arial"/>
                <w:spacing w:val="-3"/>
                <w:sz w:val="22"/>
                <w:szCs w:val="22"/>
                <w:lang w:val="en-GB"/>
              </w:rPr>
              <w:t xml:space="preserve"> </w:t>
            </w:r>
            <w:r w:rsidRPr="00E4265B">
              <w:rPr>
                <w:rFonts w:ascii="Arial" w:hAnsi="Arial" w:cs="Arial"/>
                <w:spacing w:val="1"/>
                <w:sz w:val="22"/>
                <w:szCs w:val="22"/>
                <w:lang w:val="en-GB"/>
              </w:rPr>
              <w:t>c</w:t>
            </w:r>
            <w:r w:rsidRPr="00E4265B">
              <w:rPr>
                <w:rFonts w:ascii="Arial" w:hAnsi="Arial" w:cs="Arial"/>
                <w:spacing w:val="2"/>
                <w:sz w:val="22"/>
                <w:szCs w:val="22"/>
                <w:lang w:val="en-GB"/>
              </w:rPr>
              <w:t>a</w:t>
            </w:r>
            <w:r w:rsidRPr="00E4265B">
              <w:rPr>
                <w:rFonts w:ascii="Arial" w:hAnsi="Arial" w:cs="Arial"/>
                <w:sz w:val="22"/>
                <w:szCs w:val="22"/>
                <w:lang w:val="en-GB"/>
              </w:rPr>
              <w:t>te</w:t>
            </w:r>
            <w:r w:rsidRPr="00E4265B">
              <w:rPr>
                <w:rFonts w:ascii="Arial" w:hAnsi="Arial" w:cs="Arial"/>
                <w:spacing w:val="2"/>
                <w:sz w:val="22"/>
                <w:szCs w:val="22"/>
                <w:lang w:val="en-GB"/>
              </w:rPr>
              <w:t>g</w:t>
            </w:r>
            <w:r w:rsidRPr="00E4265B">
              <w:rPr>
                <w:rFonts w:ascii="Arial" w:hAnsi="Arial" w:cs="Arial"/>
                <w:sz w:val="22"/>
                <w:szCs w:val="22"/>
                <w:lang w:val="en-GB"/>
              </w:rPr>
              <w:t>o</w:t>
            </w:r>
            <w:r w:rsidRPr="00E4265B">
              <w:rPr>
                <w:rFonts w:ascii="Arial" w:hAnsi="Arial" w:cs="Arial"/>
                <w:spacing w:val="1"/>
                <w:sz w:val="22"/>
                <w:szCs w:val="22"/>
                <w:lang w:val="en-GB"/>
              </w:rPr>
              <w:t>r</w:t>
            </w:r>
            <w:r w:rsidRPr="00E4265B">
              <w:rPr>
                <w:rFonts w:ascii="Arial" w:hAnsi="Arial" w:cs="Arial"/>
                <w:spacing w:val="-1"/>
                <w:sz w:val="22"/>
                <w:szCs w:val="22"/>
                <w:lang w:val="en-GB"/>
              </w:rPr>
              <w:t>i</w:t>
            </w:r>
            <w:r w:rsidRPr="00E4265B">
              <w:rPr>
                <w:rFonts w:ascii="Arial" w:hAnsi="Arial" w:cs="Arial"/>
                <w:sz w:val="22"/>
                <w:szCs w:val="22"/>
                <w:lang w:val="en-GB"/>
              </w:rPr>
              <w:t>es</w:t>
            </w:r>
          </w:p>
        </w:tc>
        <w:tc>
          <w:tcPr>
            <w:tcW w:w="1606" w:type="dxa"/>
            <w:tcBorders>
              <w:top w:val="nil"/>
              <w:left w:val="single" w:sz="8" w:space="0" w:color="000000"/>
              <w:right w:val="single" w:sz="8" w:space="0" w:color="000000"/>
            </w:tcBorders>
            <w:vAlign w:val="center"/>
          </w:tcPr>
          <w:p w14:paraId="6E1BDABF" w14:textId="77777777" w:rsidR="00DA6C72" w:rsidRPr="00E4265B" w:rsidRDefault="00DA6C72" w:rsidP="005F263A">
            <w:pPr>
              <w:ind w:right="549"/>
              <w:jc w:val="right"/>
              <w:rPr>
                <w:rFonts w:ascii="Arial" w:hAnsi="Arial" w:cs="Arial"/>
                <w:sz w:val="22"/>
                <w:szCs w:val="22"/>
              </w:rPr>
            </w:pPr>
            <w:r w:rsidRPr="00E4265B">
              <w:rPr>
                <w:rFonts w:ascii="Arial" w:hAnsi="Arial" w:cs="Arial"/>
                <w:sz w:val="22"/>
                <w:szCs w:val="22"/>
                <w:lang w:val="en-GB"/>
              </w:rPr>
              <w:t>50%</w:t>
            </w:r>
          </w:p>
        </w:tc>
      </w:tr>
      <w:tr w:rsidR="00DA6C72" w:rsidRPr="00E4265B" w14:paraId="04CE3A3C" w14:textId="77777777" w:rsidTr="008D19E8">
        <w:trPr>
          <w:trHeight w:hRule="exact" w:val="900"/>
          <w:tblHeader/>
        </w:trPr>
        <w:tc>
          <w:tcPr>
            <w:tcW w:w="6404" w:type="dxa"/>
            <w:tcBorders>
              <w:top w:val="nil"/>
              <w:left w:val="single" w:sz="8" w:space="0" w:color="000000"/>
              <w:right w:val="single" w:sz="8" w:space="0" w:color="000000"/>
            </w:tcBorders>
            <w:vAlign w:val="center"/>
          </w:tcPr>
          <w:p w14:paraId="4D65055D" w14:textId="77777777" w:rsidR="00DA6C72" w:rsidRPr="00E4265B" w:rsidRDefault="00DA6C72" w:rsidP="0019712D">
            <w:pPr>
              <w:pStyle w:val="ListParagraph"/>
              <w:numPr>
                <w:ilvl w:val="0"/>
                <w:numId w:val="74"/>
              </w:numPr>
              <w:autoSpaceDE w:val="0"/>
              <w:autoSpaceDN w:val="0"/>
              <w:ind w:left="554" w:right="270"/>
              <w:contextualSpacing w:val="0"/>
              <w:rPr>
                <w:rFonts w:ascii="Arial" w:hAnsi="Arial" w:cs="Arial"/>
                <w:bCs/>
                <w:spacing w:val="1"/>
                <w:sz w:val="22"/>
                <w:szCs w:val="22"/>
                <w:lang w:val="en-GB"/>
              </w:rPr>
            </w:pPr>
            <w:r w:rsidRPr="00E4265B">
              <w:rPr>
                <w:rFonts w:ascii="Arial" w:hAnsi="Arial" w:cs="Arial"/>
                <w:spacing w:val="-1"/>
                <w:sz w:val="22"/>
                <w:szCs w:val="22"/>
                <w:lang w:val="en-GB"/>
              </w:rPr>
              <w:t>A</w:t>
            </w:r>
            <w:r w:rsidRPr="00E4265B">
              <w:rPr>
                <w:rFonts w:ascii="Arial" w:hAnsi="Arial" w:cs="Arial"/>
                <w:spacing w:val="4"/>
                <w:sz w:val="22"/>
                <w:szCs w:val="22"/>
                <w:lang w:val="en-GB"/>
              </w:rPr>
              <w:t>m</w:t>
            </w:r>
            <w:r w:rsidRPr="00E4265B">
              <w:rPr>
                <w:rFonts w:ascii="Arial" w:hAnsi="Arial" w:cs="Arial"/>
                <w:sz w:val="22"/>
                <w:szCs w:val="22"/>
                <w:lang w:val="en-GB"/>
              </w:rPr>
              <w:t>ounts</w:t>
            </w:r>
            <w:r w:rsidRPr="00E4265B">
              <w:rPr>
                <w:rFonts w:ascii="Arial" w:hAnsi="Arial" w:cs="Arial"/>
                <w:spacing w:val="-7"/>
                <w:sz w:val="22"/>
                <w:szCs w:val="22"/>
                <w:lang w:val="en-GB"/>
              </w:rPr>
              <w:t xml:space="preserve"> </w:t>
            </w:r>
            <w:r w:rsidRPr="00E4265B">
              <w:rPr>
                <w:rFonts w:ascii="Arial" w:hAnsi="Arial" w:cs="Arial"/>
                <w:spacing w:val="1"/>
                <w:sz w:val="22"/>
                <w:szCs w:val="22"/>
                <w:lang w:val="en-GB"/>
              </w:rPr>
              <w:t>r</w:t>
            </w:r>
            <w:r w:rsidRPr="00E4265B">
              <w:rPr>
                <w:rFonts w:ascii="Arial" w:hAnsi="Arial" w:cs="Arial"/>
                <w:sz w:val="22"/>
                <w:szCs w:val="22"/>
                <w:lang w:val="en-GB"/>
              </w:rPr>
              <w:t>e</w:t>
            </w:r>
            <w:r w:rsidRPr="00E4265B">
              <w:rPr>
                <w:rFonts w:ascii="Arial" w:hAnsi="Arial" w:cs="Arial"/>
                <w:spacing w:val="1"/>
                <w:sz w:val="22"/>
                <w:szCs w:val="22"/>
                <w:lang w:val="en-GB"/>
              </w:rPr>
              <w:t>c</w:t>
            </w:r>
            <w:r w:rsidRPr="00E4265B">
              <w:rPr>
                <w:rFonts w:ascii="Arial" w:hAnsi="Arial" w:cs="Arial"/>
                <w:sz w:val="22"/>
                <w:szCs w:val="22"/>
                <w:lang w:val="en-GB"/>
              </w:rPr>
              <w:t>e</w:t>
            </w:r>
            <w:r w:rsidRPr="00E4265B">
              <w:rPr>
                <w:rFonts w:ascii="Arial" w:hAnsi="Arial" w:cs="Arial"/>
                <w:spacing w:val="1"/>
                <w:sz w:val="22"/>
                <w:szCs w:val="22"/>
                <w:lang w:val="en-GB"/>
              </w:rPr>
              <w:t>i</w:t>
            </w:r>
            <w:r w:rsidRPr="00E4265B">
              <w:rPr>
                <w:rFonts w:ascii="Arial" w:hAnsi="Arial" w:cs="Arial"/>
                <w:spacing w:val="-1"/>
                <w:sz w:val="22"/>
                <w:szCs w:val="22"/>
                <w:lang w:val="en-GB"/>
              </w:rPr>
              <w:t>v</w:t>
            </w:r>
            <w:r w:rsidRPr="00E4265B">
              <w:rPr>
                <w:rFonts w:ascii="Arial" w:hAnsi="Arial" w:cs="Arial"/>
                <w:spacing w:val="2"/>
                <w:sz w:val="22"/>
                <w:szCs w:val="22"/>
                <w:lang w:val="en-GB"/>
              </w:rPr>
              <w:t>a</w:t>
            </w:r>
            <w:r w:rsidRPr="00E4265B">
              <w:rPr>
                <w:rFonts w:ascii="Arial" w:hAnsi="Arial" w:cs="Arial"/>
                <w:sz w:val="22"/>
                <w:szCs w:val="22"/>
                <w:lang w:val="en-GB"/>
              </w:rPr>
              <w:t>b</w:t>
            </w:r>
            <w:r w:rsidRPr="00E4265B">
              <w:rPr>
                <w:rFonts w:ascii="Arial" w:hAnsi="Arial" w:cs="Arial"/>
                <w:spacing w:val="-1"/>
                <w:sz w:val="22"/>
                <w:szCs w:val="22"/>
                <w:lang w:val="en-GB"/>
              </w:rPr>
              <w:t>l</w:t>
            </w:r>
            <w:r w:rsidRPr="00E4265B">
              <w:rPr>
                <w:rFonts w:ascii="Arial" w:hAnsi="Arial" w:cs="Arial"/>
                <w:sz w:val="22"/>
                <w:szCs w:val="22"/>
                <w:lang w:val="en-GB"/>
              </w:rPr>
              <w:t>e</w:t>
            </w:r>
            <w:r w:rsidRPr="00E4265B">
              <w:rPr>
                <w:rFonts w:ascii="Arial" w:hAnsi="Arial" w:cs="Arial"/>
                <w:spacing w:val="-7"/>
                <w:sz w:val="22"/>
                <w:szCs w:val="22"/>
                <w:lang w:val="en-GB"/>
              </w:rPr>
              <w:t xml:space="preserve"> </w:t>
            </w:r>
            <w:r w:rsidRPr="00E4265B">
              <w:rPr>
                <w:rFonts w:ascii="Arial" w:hAnsi="Arial" w:cs="Arial"/>
                <w:spacing w:val="2"/>
                <w:sz w:val="22"/>
                <w:szCs w:val="22"/>
                <w:lang w:val="en-GB"/>
              </w:rPr>
              <w:t>f</w:t>
            </w:r>
            <w:r w:rsidRPr="00E4265B">
              <w:rPr>
                <w:rFonts w:ascii="Arial" w:hAnsi="Arial" w:cs="Arial"/>
                <w:spacing w:val="1"/>
                <w:sz w:val="22"/>
                <w:szCs w:val="22"/>
                <w:lang w:val="en-GB"/>
              </w:rPr>
              <w:t>r</w:t>
            </w:r>
            <w:r w:rsidRPr="00E4265B">
              <w:rPr>
                <w:rFonts w:ascii="Arial" w:hAnsi="Arial" w:cs="Arial"/>
                <w:spacing w:val="-3"/>
                <w:sz w:val="22"/>
                <w:szCs w:val="22"/>
                <w:lang w:val="en-GB"/>
              </w:rPr>
              <w:t>o</w:t>
            </w:r>
            <w:r w:rsidRPr="00E4265B">
              <w:rPr>
                <w:rFonts w:ascii="Arial" w:hAnsi="Arial" w:cs="Arial"/>
                <w:sz w:val="22"/>
                <w:szCs w:val="22"/>
                <w:lang w:val="en-GB"/>
              </w:rPr>
              <w:t>m</w:t>
            </w:r>
            <w:r w:rsidRPr="00E4265B">
              <w:rPr>
                <w:rFonts w:ascii="Arial" w:hAnsi="Arial" w:cs="Arial"/>
                <w:spacing w:val="-2"/>
                <w:sz w:val="22"/>
                <w:szCs w:val="22"/>
                <w:lang w:val="en-GB"/>
              </w:rPr>
              <w:t xml:space="preserve"> </w:t>
            </w:r>
            <w:r w:rsidRPr="00E4265B">
              <w:rPr>
                <w:rFonts w:ascii="Arial" w:hAnsi="Arial" w:cs="Arial"/>
                <w:spacing w:val="2"/>
                <w:sz w:val="22"/>
                <w:szCs w:val="22"/>
                <w:lang w:val="en-GB"/>
              </w:rPr>
              <w:t>Financial Institution</w:t>
            </w:r>
            <w:r w:rsidRPr="00E4265B">
              <w:rPr>
                <w:rFonts w:ascii="Arial" w:hAnsi="Arial" w:cs="Arial"/>
                <w:sz w:val="22"/>
                <w:szCs w:val="22"/>
                <w:lang w:val="en-GB"/>
              </w:rPr>
              <w:t>s</w:t>
            </w:r>
            <w:r w:rsidRPr="00E4265B">
              <w:rPr>
                <w:rFonts w:ascii="Arial" w:hAnsi="Arial" w:cs="Arial"/>
                <w:spacing w:val="-8"/>
                <w:sz w:val="22"/>
                <w:szCs w:val="22"/>
                <w:lang w:val="en-GB"/>
              </w:rPr>
              <w:t xml:space="preserve"> </w:t>
            </w:r>
            <w:r w:rsidRPr="00E4265B">
              <w:rPr>
                <w:rFonts w:ascii="Arial" w:hAnsi="Arial" w:cs="Arial"/>
                <w:spacing w:val="2"/>
                <w:sz w:val="22"/>
                <w:szCs w:val="22"/>
                <w:lang w:val="en-GB"/>
              </w:rPr>
              <w:t>a</w:t>
            </w:r>
            <w:r w:rsidRPr="00E4265B">
              <w:rPr>
                <w:rFonts w:ascii="Arial" w:hAnsi="Arial" w:cs="Arial"/>
                <w:sz w:val="22"/>
                <w:szCs w:val="22"/>
                <w:lang w:val="en-GB"/>
              </w:rPr>
              <w:t>nd</w:t>
            </w:r>
            <w:r w:rsidRPr="00E4265B">
              <w:rPr>
                <w:rFonts w:ascii="Arial" w:hAnsi="Arial" w:cs="Arial"/>
                <w:spacing w:val="-4"/>
                <w:sz w:val="22"/>
                <w:szCs w:val="22"/>
                <w:lang w:val="en-GB"/>
              </w:rPr>
              <w:t xml:space="preserve"> </w:t>
            </w:r>
            <w:r w:rsidRPr="00E4265B">
              <w:rPr>
                <w:rFonts w:ascii="Arial" w:hAnsi="Arial" w:cs="Arial"/>
                <w:spacing w:val="1"/>
                <w:sz w:val="22"/>
                <w:szCs w:val="22"/>
                <w:lang w:val="en-GB"/>
              </w:rPr>
              <w:t>c</w:t>
            </w:r>
            <w:r w:rsidRPr="00E4265B">
              <w:rPr>
                <w:rFonts w:ascii="Arial" w:hAnsi="Arial" w:cs="Arial"/>
                <w:spacing w:val="2"/>
                <w:sz w:val="22"/>
                <w:szCs w:val="22"/>
                <w:lang w:val="en-GB"/>
              </w:rPr>
              <w:t>e</w:t>
            </w:r>
            <w:r w:rsidRPr="00E4265B">
              <w:rPr>
                <w:rFonts w:ascii="Arial" w:hAnsi="Arial" w:cs="Arial"/>
                <w:sz w:val="22"/>
                <w:szCs w:val="22"/>
                <w:lang w:val="en-GB"/>
              </w:rPr>
              <w:t>nt</w:t>
            </w:r>
            <w:r w:rsidRPr="00E4265B">
              <w:rPr>
                <w:rFonts w:ascii="Arial" w:hAnsi="Arial" w:cs="Arial"/>
                <w:spacing w:val="1"/>
                <w:sz w:val="22"/>
                <w:szCs w:val="22"/>
                <w:lang w:val="en-GB"/>
              </w:rPr>
              <w:t>r</w:t>
            </w:r>
            <w:r w:rsidRPr="00E4265B">
              <w:rPr>
                <w:rFonts w:ascii="Arial" w:hAnsi="Arial" w:cs="Arial"/>
                <w:sz w:val="22"/>
                <w:szCs w:val="22"/>
                <w:lang w:val="en-GB"/>
              </w:rPr>
              <w:t>al</w:t>
            </w:r>
            <w:r w:rsidRPr="00E4265B">
              <w:rPr>
                <w:rFonts w:ascii="Arial" w:hAnsi="Arial" w:cs="Arial"/>
                <w:spacing w:val="-7"/>
                <w:sz w:val="22"/>
                <w:szCs w:val="22"/>
                <w:lang w:val="en-GB"/>
              </w:rPr>
              <w:t xml:space="preserve"> </w:t>
            </w:r>
            <w:r w:rsidRPr="00E4265B">
              <w:rPr>
                <w:rFonts w:ascii="Arial" w:hAnsi="Arial" w:cs="Arial"/>
                <w:sz w:val="22"/>
                <w:szCs w:val="22"/>
                <w:lang w:val="en-GB"/>
              </w:rPr>
              <w:t>ban</w:t>
            </w:r>
            <w:r w:rsidRPr="00E4265B">
              <w:rPr>
                <w:rFonts w:ascii="Arial" w:hAnsi="Arial" w:cs="Arial"/>
                <w:spacing w:val="4"/>
                <w:sz w:val="22"/>
                <w:szCs w:val="22"/>
                <w:lang w:val="en-GB"/>
              </w:rPr>
              <w:t>k</w:t>
            </w:r>
            <w:r w:rsidRPr="00E4265B">
              <w:rPr>
                <w:rFonts w:ascii="Arial" w:hAnsi="Arial" w:cs="Arial"/>
                <w:spacing w:val="1"/>
                <w:sz w:val="22"/>
                <w:szCs w:val="22"/>
                <w:lang w:val="en-GB"/>
              </w:rPr>
              <w:t>s</w:t>
            </w:r>
            <w:r w:rsidRPr="00E4265B">
              <w:rPr>
                <w:rFonts w:ascii="Arial" w:hAnsi="Arial" w:cs="Arial"/>
                <w:sz w:val="22"/>
                <w:szCs w:val="22"/>
                <w:lang w:val="en-GB"/>
              </w:rPr>
              <w:t>,</w:t>
            </w:r>
            <w:r w:rsidRPr="00E4265B">
              <w:rPr>
                <w:rFonts w:ascii="Arial" w:hAnsi="Arial" w:cs="Arial"/>
                <w:spacing w:val="-7"/>
                <w:sz w:val="22"/>
                <w:szCs w:val="22"/>
                <w:lang w:val="en-GB"/>
              </w:rPr>
              <w:t xml:space="preserve"> </w:t>
            </w:r>
            <w:r w:rsidRPr="00E4265B">
              <w:rPr>
                <w:rFonts w:ascii="Arial" w:hAnsi="Arial" w:cs="Arial"/>
                <w:spacing w:val="2"/>
                <w:sz w:val="22"/>
                <w:szCs w:val="22"/>
                <w:lang w:val="en-GB"/>
              </w:rPr>
              <w:t>f</w:t>
            </w:r>
            <w:r w:rsidRPr="00E4265B">
              <w:rPr>
                <w:rFonts w:ascii="Arial" w:hAnsi="Arial" w:cs="Arial"/>
                <w:spacing w:val="1"/>
                <w:sz w:val="22"/>
                <w:szCs w:val="22"/>
                <w:lang w:val="en-GB"/>
              </w:rPr>
              <w:t>r</w:t>
            </w:r>
            <w:r w:rsidRPr="00E4265B">
              <w:rPr>
                <w:rFonts w:ascii="Arial" w:hAnsi="Arial" w:cs="Arial"/>
                <w:spacing w:val="-3"/>
                <w:sz w:val="22"/>
                <w:szCs w:val="22"/>
                <w:lang w:val="en-GB"/>
              </w:rPr>
              <w:t>o</w:t>
            </w:r>
            <w:r w:rsidRPr="00E4265B">
              <w:rPr>
                <w:rFonts w:ascii="Arial" w:hAnsi="Arial" w:cs="Arial"/>
                <w:sz w:val="22"/>
                <w:szCs w:val="22"/>
                <w:lang w:val="en-GB"/>
              </w:rPr>
              <w:t xml:space="preserve">m </w:t>
            </w:r>
            <w:r w:rsidRPr="00E4265B">
              <w:rPr>
                <w:rFonts w:ascii="Arial" w:hAnsi="Arial" w:cs="Arial"/>
                <w:spacing w:val="-3"/>
                <w:sz w:val="22"/>
                <w:szCs w:val="22"/>
                <w:lang w:val="en-GB"/>
              </w:rPr>
              <w:t>t</w:t>
            </w:r>
            <w:r w:rsidRPr="00E4265B">
              <w:rPr>
                <w:rFonts w:ascii="Arial" w:hAnsi="Arial" w:cs="Arial"/>
                <w:spacing w:val="1"/>
                <w:sz w:val="22"/>
                <w:szCs w:val="22"/>
                <w:lang w:val="en-GB"/>
              </w:rPr>
              <w:t>r</w:t>
            </w:r>
            <w:r w:rsidRPr="00E4265B">
              <w:rPr>
                <w:rFonts w:ascii="Arial" w:hAnsi="Arial" w:cs="Arial"/>
                <w:sz w:val="22"/>
                <w:szCs w:val="22"/>
                <w:lang w:val="en-GB"/>
              </w:rPr>
              <w:t>an</w:t>
            </w:r>
            <w:r w:rsidRPr="00E4265B">
              <w:rPr>
                <w:rFonts w:ascii="Arial" w:hAnsi="Arial" w:cs="Arial"/>
                <w:spacing w:val="1"/>
                <w:sz w:val="22"/>
                <w:szCs w:val="22"/>
                <w:lang w:val="en-GB"/>
              </w:rPr>
              <w:t>s</w:t>
            </w:r>
            <w:r w:rsidRPr="00E4265B">
              <w:rPr>
                <w:rFonts w:ascii="Arial" w:hAnsi="Arial" w:cs="Arial"/>
                <w:sz w:val="22"/>
                <w:szCs w:val="22"/>
                <w:lang w:val="en-GB"/>
              </w:rPr>
              <w:t>a</w:t>
            </w:r>
            <w:r w:rsidRPr="00E4265B">
              <w:rPr>
                <w:rFonts w:ascii="Arial" w:hAnsi="Arial" w:cs="Arial"/>
                <w:spacing w:val="1"/>
                <w:sz w:val="22"/>
                <w:szCs w:val="22"/>
                <w:lang w:val="en-GB"/>
              </w:rPr>
              <w:t>c</w:t>
            </w:r>
            <w:r w:rsidRPr="00E4265B">
              <w:rPr>
                <w:rFonts w:ascii="Arial" w:hAnsi="Arial" w:cs="Arial"/>
                <w:sz w:val="22"/>
                <w:szCs w:val="22"/>
                <w:lang w:val="en-GB"/>
              </w:rPr>
              <w:t>t</w:t>
            </w:r>
            <w:r w:rsidRPr="00E4265B">
              <w:rPr>
                <w:rFonts w:ascii="Arial" w:hAnsi="Arial" w:cs="Arial"/>
                <w:spacing w:val="-1"/>
                <w:sz w:val="22"/>
                <w:szCs w:val="22"/>
                <w:lang w:val="en-GB"/>
              </w:rPr>
              <w:t>i</w:t>
            </w:r>
            <w:r w:rsidRPr="00E4265B">
              <w:rPr>
                <w:rFonts w:ascii="Arial" w:hAnsi="Arial" w:cs="Arial"/>
                <w:sz w:val="22"/>
                <w:szCs w:val="22"/>
                <w:lang w:val="en-GB"/>
              </w:rPr>
              <w:t>ons</w:t>
            </w:r>
            <w:r w:rsidRPr="00E4265B">
              <w:rPr>
                <w:rFonts w:ascii="Arial" w:hAnsi="Arial" w:cs="Arial"/>
                <w:spacing w:val="-10"/>
                <w:sz w:val="22"/>
                <w:szCs w:val="22"/>
                <w:lang w:val="en-GB"/>
              </w:rPr>
              <w:t xml:space="preserve"> </w:t>
            </w:r>
            <w:r w:rsidRPr="00E4265B">
              <w:rPr>
                <w:rFonts w:ascii="Arial" w:hAnsi="Arial" w:cs="Arial"/>
                <w:spacing w:val="2"/>
                <w:sz w:val="22"/>
                <w:szCs w:val="22"/>
                <w:lang w:val="en-GB"/>
              </w:rPr>
              <w:t>ot</w:t>
            </w:r>
            <w:r w:rsidRPr="00E4265B">
              <w:rPr>
                <w:rFonts w:ascii="Arial" w:hAnsi="Arial" w:cs="Arial"/>
                <w:sz w:val="22"/>
                <w:szCs w:val="22"/>
                <w:lang w:val="en-GB"/>
              </w:rPr>
              <w:t>her</w:t>
            </w:r>
            <w:r w:rsidRPr="00E4265B">
              <w:rPr>
                <w:rFonts w:ascii="Arial" w:hAnsi="Arial" w:cs="Arial"/>
                <w:spacing w:val="-5"/>
                <w:sz w:val="22"/>
                <w:szCs w:val="22"/>
                <w:lang w:val="en-GB"/>
              </w:rPr>
              <w:t xml:space="preserve"> </w:t>
            </w:r>
            <w:r w:rsidRPr="00E4265B">
              <w:rPr>
                <w:rFonts w:ascii="Arial" w:hAnsi="Arial" w:cs="Arial"/>
                <w:sz w:val="22"/>
                <w:szCs w:val="22"/>
                <w:lang w:val="en-GB"/>
              </w:rPr>
              <w:t>th</w:t>
            </w:r>
            <w:r w:rsidRPr="00E4265B">
              <w:rPr>
                <w:rFonts w:ascii="Arial" w:hAnsi="Arial" w:cs="Arial"/>
                <w:spacing w:val="2"/>
                <w:sz w:val="22"/>
                <w:szCs w:val="22"/>
                <w:lang w:val="en-GB"/>
              </w:rPr>
              <w:t>a</w:t>
            </w:r>
            <w:r w:rsidRPr="00E4265B">
              <w:rPr>
                <w:rFonts w:ascii="Arial" w:hAnsi="Arial" w:cs="Arial"/>
                <w:sz w:val="22"/>
                <w:szCs w:val="22"/>
                <w:lang w:val="en-GB"/>
              </w:rPr>
              <w:t>n</w:t>
            </w:r>
            <w:r w:rsidRPr="00E4265B">
              <w:rPr>
                <w:rFonts w:ascii="Arial" w:hAnsi="Arial" w:cs="Arial"/>
                <w:spacing w:val="-5"/>
                <w:sz w:val="22"/>
                <w:szCs w:val="22"/>
                <w:lang w:val="en-GB"/>
              </w:rPr>
              <w:t xml:space="preserve"> </w:t>
            </w:r>
            <w:r w:rsidRPr="00E4265B">
              <w:rPr>
                <w:rFonts w:ascii="Arial" w:hAnsi="Arial" w:cs="Arial"/>
                <w:sz w:val="22"/>
                <w:szCs w:val="22"/>
                <w:lang w:val="en-GB"/>
              </w:rPr>
              <w:t>t</w:t>
            </w:r>
            <w:r w:rsidRPr="00E4265B">
              <w:rPr>
                <w:rFonts w:ascii="Arial" w:hAnsi="Arial" w:cs="Arial"/>
                <w:spacing w:val="2"/>
                <w:sz w:val="22"/>
                <w:szCs w:val="22"/>
                <w:lang w:val="en-GB"/>
              </w:rPr>
              <w:t>h</w:t>
            </w:r>
            <w:r w:rsidRPr="00E4265B">
              <w:rPr>
                <w:rFonts w:ascii="Arial" w:hAnsi="Arial" w:cs="Arial"/>
                <w:sz w:val="22"/>
                <w:szCs w:val="22"/>
                <w:lang w:val="en-GB"/>
              </w:rPr>
              <w:t>o</w:t>
            </w:r>
            <w:r w:rsidRPr="00E4265B">
              <w:rPr>
                <w:rFonts w:ascii="Arial" w:hAnsi="Arial" w:cs="Arial"/>
                <w:spacing w:val="1"/>
                <w:sz w:val="22"/>
                <w:szCs w:val="22"/>
                <w:lang w:val="en-GB"/>
              </w:rPr>
              <w:t>s</w:t>
            </w:r>
            <w:r w:rsidRPr="00E4265B">
              <w:rPr>
                <w:rFonts w:ascii="Arial" w:hAnsi="Arial" w:cs="Arial"/>
                <w:sz w:val="22"/>
                <w:szCs w:val="22"/>
                <w:lang w:val="en-GB"/>
              </w:rPr>
              <w:t>e</w:t>
            </w:r>
            <w:r w:rsidRPr="00E4265B">
              <w:rPr>
                <w:rFonts w:ascii="Arial" w:hAnsi="Arial" w:cs="Arial"/>
                <w:spacing w:val="-3"/>
                <w:sz w:val="22"/>
                <w:szCs w:val="22"/>
                <w:lang w:val="en-GB"/>
              </w:rPr>
              <w:t xml:space="preserve"> </w:t>
            </w:r>
            <w:r w:rsidRPr="00E4265B">
              <w:rPr>
                <w:rFonts w:ascii="Arial" w:hAnsi="Arial" w:cs="Arial"/>
                <w:spacing w:val="-1"/>
                <w:sz w:val="22"/>
                <w:szCs w:val="22"/>
                <w:lang w:val="en-GB"/>
              </w:rPr>
              <w:t>li</w:t>
            </w:r>
            <w:r w:rsidRPr="00E4265B">
              <w:rPr>
                <w:rFonts w:ascii="Arial" w:hAnsi="Arial" w:cs="Arial"/>
                <w:spacing w:val="1"/>
                <w:sz w:val="22"/>
                <w:szCs w:val="22"/>
                <w:lang w:val="en-GB"/>
              </w:rPr>
              <w:t>s</w:t>
            </w:r>
            <w:r w:rsidRPr="00E4265B">
              <w:rPr>
                <w:rFonts w:ascii="Arial" w:hAnsi="Arial" w:cs="Arial"/>
                <w:sz w:val="22"/>
                <w:szCs w:val="22"/>
                <w:lang w:val="en-GB"/>
              </w:rPr>
              <w:t>t</w:t>
            </w:r>
            <w:r w:rsidRPr="00E4265B">
              <w:rPr>
                <w:rFonts w:ascii="Arial" w:hAnsi="Arial" w:cs="Arial"/>
                <w:spacing w:val="2"/>
                <w:sz w:val="22"/>
                <w:szCs w:val="22"/>
                <w:lang w:val="en-GB"/>
              </w:rPr>
              <w:t>e</w:t>
            </w:r>
            <w:r w:rsidRPr="00E4265B">
              <w:rPr>
                <w:rFonts w:ascii="Arial" w:hAnsi="Arial" w:cs="Arial"/>
                <w:sz w:val="22"/>
                <w:szCs w:val="22"/>
                <w:lang w:val="en-GB"/>
              </w:rPr>
              <w:t>d</w:t>
            </w:r>
            <w:r w:rsidRPr="00E4265B">
              <w:rPr>
                <w:rFonts w:ascii="Arial" w:hAnsi="Arial" w:cs="Arial"/>
                <w:spacing w:val="-6"/>
                <w:sz w:val="22"/>
                <w:szCs w:val="22"/>
                <w:lang w:val="en-GB"/>
              </w:rPr>
              <w:t xml:space="preserve"> </w:t>
            </w:r>
            <w:r w:rsidRPr="00E4265B">
              <w:rPr>
                <w:rFonts w:ascii="Arial" w:hAnsi="Arial" w:cs="Arial"/>
                <w:spacing w:val="1"/>
                <w:sz w:val="22"/>
                <w:szCs w:val="22"/>
                <w:lang w:val="en-GB"/>
              </w:rPr>
              <w:t>i</w:t>
            </w:r>
            <w:r w:rsidRPr="00E4265B">
              <w:rPr>
                <w:rFonts w:ascii="Arial" w:hAnsi="Arial" w:cs="Arial"/>
                <w:sz w:val="22"/>
                <w:szCs w:val="22"/>
                <w:lang w:val="en-GB"/>
              </w:rPr>
              <w:t>n</w:t>
            </w:r>
            <w:r w:rsidRPr="00E4265B">
              <w:rPr>
                <w:rFonts w:ascii="Arial" w:hAnsi="Arial" w:cs="Arial"/>
                <w:spacing w:val="-3"/>
                <w:sz w:val="22"/>
                <w:szCs w:val="22"/>
                <w:lang w:val="en-GB"/>
              </w:rPr>
              <w:t xml:space="preserve"> </w:t>
            </w:r>
            <w:r w:rsidRPr="00E4265B">
              <w:rPr>
                <w:rFonts w:ascii="Arial" w:hAnsi="Arial" w:cs="Arial"/>
                <w:sz w:val="22"/>
                <w:szCs w:val="22"/>
                <w:lang w:val="en-GB"/>
              </w:rPr>
              <w:t>t</w:t>
            </w:r>
            <w:r w:rsidRPr="00E4265B">
              <w:rPr>
                <w:rFonts w:ascii="Arial" w:hAnsi="Arial" w:cs="Arial"/>
                <w:spacing w:val="2"/>
                <w:sz w:val="22"/>
                <w:szCs w:val="22"/>
                <w:lang w:val="en-GB"/>
              </w:rPr>
              <w:t>h</w:t>
            </w:r>
            <w:r w:rsidRPr="00E4265B">
              <w:rPr>
                <w:rFonts w:ascii="Arial" w:hAnsi="Arial" w:cs="Arial"/>
                <w:sz w:val="22"/>
                <w:szCs w:val="22"/>
                <w:lang w:val="en-GB"/>
              </w:rPr>
              <w:t>e</w:t>
            </w:r>
            <w:r w:rsidRPr="00E4265B">
              <w:rPr>
                <w:rFonts w:ascii="Arial" w:hAnsi="Arial" w:cs="Arial"/>
                <w:spacing w:val="-1"/>
                <w:sz w:val="22"/>
                <w:szCs w:val="22"/>
                <w:lang w:val="en-GB"/>
              </w:rPr>
              <w:t xml:space="preserve"> </w:t>
            </w:r>
            <w:r w:rsidRPr="00E4265B">
              <w:rPr>
                <w:rFonts w:ascii="Arial" w:hAnsi="Arial" w:cs="Arial"/>
                <w:sz w:val="22"/>
                <w:szCs w:val="22"/>
                <w:lang w:val="en-GB"/>
              </w:rPr>
              <w:t>ab</w:t>
            </w:r>
            <w:r w:rsidRPr="00E4265B">
              <w:rPr>
                <w:rFonts w:ascii="Arial" w:hAnsi="Arial" w:cs="Arial"/>
                <w:spacing w:val="2"/>
                <w:sz w:val="22"/>
                <w:szCs w:val="22"/>
                <w:lang w:val="en-GB"/>
              </w:rPr>
              <w:t>o</w:t>
            </w:r>
            <w:r w:rsidRPr="00E4265B">
              <w:rPr>
                <w:rFonts w:ascii="Arial" w:hAnsi="Arial" w:cs="Arial"/>
                <w:spacing w:val="-1"/>
                <w:sz w:val="22"/>
                <w:szCs w:val="22"/>
                <w:lang w:val="en-GB"/>
              </w:rPr>
              <w:t>v</w:t>
            </w:r>
            <w:r w:rsidRPr="00E4265B">
              <w:rPr>
                <w:rFonts w:ascii="Arial" w:hAnsi="Arial" w:cs="Arial"/>
                <w:sz w:val="22"/>
                <w:szCs w:val="22"/>
                <w:lang w:val="en-GB"/>
              </w:rPr>
              <w:t>e</w:t>
            </w:r>
            <w:r w:rsidRPr="00E4265B">
              <w:rPr>
                <w:rFonts w:ascii="Arial" w:hAnsi="Arial" w:cs="Arial"/>
                <w:spacing w:val="-6"/>
                <w:sz w:val="22"/>
                <w:szCs w:val="22"/>
                <w:lang w:val="en-GB"/>
              </w:rPr>
              <w:t xml:space="preserve"> </w:t>
            </w:r>
            <w:r w:rsidRPr="00E4265B">
              <w:rPr>
                <w:rFonts w:ascii="Arial" w:hAnsi="Arial" w:cs="Arial"/>
                <w:spacing w:val="-1"/>
                <w:sz w:val="22"/>
                <w:szCs w:val="22"/>
                <w:lang w:val="en-GB"/>
              </w:rPr>
              <w:t>i</w:t>
            </w:r>
            <w:r w:rsidRPr="00E4265B">
              <w:rPr>
                <w:rFonts w:ascii="Arial" w:hAnsi="Arial" w:cs="Arial"/>
                <w:sz w:val="22"/>
                <w:szCs w:val="22"/>
                <w:lang w:val="en-GB"/>
              </w:rPr>
              <w:t>n</w:t>
            </w:r>
            <w:r w:rsidRPr="00E4265B">
              <w:rPr>
                <w:rFonts w:ascii="Arial" w:hAnsi="Arial" w:cs="Arial"/>
                <w:spacing w:val="2"/>
                <w:sz w:val="22"/>
                <w:szCs w:val="22"/>
                <w:lang w:val="en-GB"/>
              </w:rPr>
              <w:t>f</w:t>
            </w:r>
            <w:r w:rsidRPr="00E4265B">
              <w:rPr>
                <w:rFonts w:ascii="Arial" w:hAnsi="Arial" w:cs="Arial"/>
                <w:spacing w:val="-1"/>
                <w:sz w:val="22"/>
                <w:szCs w:val="22"/>
                <w:lang w:val="en-GB"/>
              </w:rPr>
              <w:t>l</w:t>
            </w:r>
            <w:r w:rsidRPr="00E4265B">
              <w:rPr>
                <w:rFonts w:ascii="Arial" w:hAnsi="Arial" w:cs="Arial"/>
                <w:spacing w:val="2"/>
                <w:sz w:val="22"/>
                <w:szCs w:val="22"/>
                <w:lang w:val="en-GB"/>
              </w:rPr>
              <w:t>o</w:t>
            </w:r>
            <w:r w:rsidRPr="00E4265B">
              <w:rPr>
                <w:rFonts w:ascii="Arial" w:hAnsi="Arial" w:cs="Arial"/>
                <w:sz w:val="22"/>
                <w:szCs w:val="22"/>
                <w:lang w:val="en-GB"/>
              </w:rPr>
              <w:t>w</w:t>
            </w:r>
            <w:r w:rsidRPr="00E4265B">
              <w:rPr>
                <w:rFonts w:ascii="Arial" w:hAnsi="Arial" w:cs="Arial"/>
                <w:spacing w:val="-3"/>
                <w:sz w:val="22"/>
                <w:szCs w:val="22"/>
                <w:lang w:val="en-GB"/>
              </w:rPr>
              <w:t xml:space="preserve"> </w:t>
            </w:r>
            <w:r w:rsidRPr="00E4265B">
              <w:rPr>
                <w:rFonts w:ascii="Arial" w:hAnsi="Arial" w:cs="Arial"/>
                <w:spacing w:val="1"/>
                <w:sz w:val="22"/>
                <w:szCs w:val="22"/>
                <w:lang w:val="en-GB"/>
              </w:rPr>
              <w:t>c</w:t>
            </w:r>
            <w:r w:rsidRPr="00E4265B">
              <w:rPr>
                <w:rFonts w:ascii="Arial" w:hAnsi="Arial" w:cs="Arial"/>
                <w:sz w:val="22"/>
                <w:szCs w:val="22"/>
                <w:lang w:val="en-GB"/>
              </w:rPr>
              <w:t>a</w:t>
            </w:r>
            <w:r w:rsidRPr="00E4265B">
              <w:rPr>
                <w:rFonts w:ascii="Arial" w:hAnsi="Arial" w:cs="Arial"/>
                <w:spacing w:val="2"/>
                <w:sz w:val="22"/>
                <w:szCs w:val="22"/>
                <w:lang w:val="en-GB"/>
              </w:rPr>
              <w:t>t</w:t>
            </w:r>
            <w:r w:rsidRPr="00E4265B">
              <w:rPr>
                <w:rFonts w:ascii="Arial" w:hAnsi="Arial" w:cs="Arial"/>
                <w:sz w:val="22"/>
                <w:szCs w:val="22"/>
                <w:lang w:val="en-GB"/>
              </w:rPr>
              <w:t>ego</w:t>
            </w:r>
            <w:r w:rsidRPr="00E4265B">
              <w:rPr>
                <w:rFonts w:ascii="Arial" w:hAnsi="Arial" w:cs="Arial"/>
                <w:spacing w:val="3"/>
                <w:sz w:val="22"/>
                <w:szCs w:val="22"/>
                <w:lang w:val="en-GB"/>
              </w:rPr>
              <w:t>r</w:t>
            </w:r>
            <w:r w:rsidRPr="00E4265B">
              <w:rPr>
                <w:rFonts w:ascii="Arial" w:hAnsi="Arial" w:cs="Arial"/>
                <w:spacing w:val="-1"/>
                <w:sz w:val="22"/>
                <w:szCs w:val="22"/>
                <w:lang w:val="en-GB"/>
              </w:rPr>
              <w:t>i</w:t>
            </w:r>
            <w:r w:rsidRPr="00E4265B">
              <w:rPr>
                <w:rFonts w:ascii="Arial" w:hAnsi="Arial" w:cs="Arial"/>
                <w:sz w:val="22"/>
                <w:szCs w:val="22"/>
                <w:lang w:val="en-GB"/>
              </w:rPr>
              <w:t>es</w:t>
            </w:r>
          </w:p>
        </w:tc>
        <w:tc>
          <w:tcPr>
            <w:tcW w:w="1606" w:type="dxa"/>
            <w:tcBorders>
              <w:top w:val="nil"/>
              <w:left w:val="single" w:sz="8" w:space="0" w:color="000000"/>
              <w:right w:val="single" w:sz="8" w:space="0" w:color="000000"/>
            </w:tcBorders>
            <w:vAlign w:val="center"/>
          </w:tcPr>
          <w:p w14:paraId="378BAF3B" w14:textId="77777777" w:rsidR="00DA6C72" w:rsidRPr="00E4265B" w:rsidRDefault="00DA6C72" w:rsidP="005F263A">
            <w:pPr>
              <w:ind w:right="549"/>
              <w:jc w:val="right"/>
              <w:rPr>
                <w:rFonts w:ascii="Arial" w:hAnsi="Arial" w:cs="Arial"/>
                <w:sz w:val="22"/>
                <w:szCs w:val="22"/>
              </w:rPr>
            </w:pPr>
            <w:r w:rsidRPr="00E4265B">
              <w:rPr>
                <w:rFonts w:ascii="Arial" w:hAnsi="Arial" w:cs="Arial"/>
                <w:sz w:val="22"/>
                <w:szCs w:val="22"/>
                <w:lang w:val="en-GB"/>
              </w:rPr>
              <w:t>100%</w:t>
            </w:r>
          </w:p>
        </w:tc>
      </w:tr>
      <w:tr w:rsidR="00DA6C72" w:rsidRPr="00E4265B" w14:paraId="674B45DF" w14:textId="77777777" w:rsidTr="008D19E8">
        <w:trPr>
          <w:trHeight w:hRule="exact" w:val="360"/>
          <w:tblHeader/>
        </w:trPr>
        <w:tc>
          <w:tcPr>
            <w:tcW w:w="6404" w:type="dxa"/>
            <w:tcBorders>
              <w:top w:val="nil"/>
              <w:left w:val="single" w:sz="8" w:space="0" w:color="000000"/>
              <w:right w:val="single" w:sz="8" w:space="0" w:color="000000"/>
            </w:tcBorders>
            <w:vAlign w:val="center"/>
          </w:tcPr>
          <w:p w14:paraId="769CD46E" w14:textId="77777777" w:rsidR="00DA6C72" w:rsidRPr="00E4265B" w:rsidRDefault="00DA6C72" w:rsidP="0019712D">
            <w:pPr>
              <w:pStyle w:val="ListParagraph"/>
              <w:numPr>
                <w:ilvl w:val="0"/>
                <w:numId w:val="74"/>
              </w:numPr>
              <w:autoSpaceDE w:val="0"/>
              <w:autoSpaceDN w:val="0"/>
              <w:ind w:left="554" w:right="270"/>
              <w:contextualSpacing w:val="0"/>
              <w:rPr>
                <w:rFonts w:ascii="Arial" w:hAnsi="Arial" w:cs="Arial"/>
                <w:bCs/>
                <w:spacing w:val="1"/>
                <w:sz w:val="22"/>
                <w:szCs w:val="22"/>
                <w:lang w:val="en-GB"/>
              </w:rPr>
            </w:pPr>
            <w:r w:rsidRPr="00E4265B">
              <w:rPr>
                <w:rFonts w:ascii="Arial" w:hAnsi="Arial" w:cs="Arial"/>
                <w:sz w:val="22"/>
                <w:szCs w:val="22"/>
                <w:lang w:val="en-GB"/>
              </w:rPr>
              <w:t>Net</w:t>
            </w:r>
            <w:r w:rsidRPr="00E4265B">
              <w:rPr>
                <w:rFonts w:ascii="Arial" w:hAnsi="Arial" w:cs="Arial"/>
                <w:spacing w:val="-1"/>
                <w:sz w:val="22"/>
                <w:szCs w:val="22"/>
                <w:lang w:val="en-GB"/>
              </w:rPr>
              <w:t xml:space="preserve"> </w:t>
            </w:r>
            <w:r w:rsidRPr="00E4265B">
              <w:rPr>
                <w:rFonts w:ascii="Arial" w:hAnsi="Arial" w:cs="Arial"/>
                <w:sz w:val="22"/>
                <w:szCs w:val="22"/>
                <w:lang w:val="en-GB"/>
              </w:rPr>
              <w:t>Derivative</w:t>
            </w:r>
            <w:r w:rsidRPr="00E4265B">
              <w:rPr>
                <w:rFonts w:ascii="Arial" w:hAnsi="Arial" w:cs="Arial"/>
                <w:spacing w:val="-10"/>
                <w:sz w:val="22"/>
                <w:szCs w:val="22"/>
                <w:lang w:val="en-GB"/>
              </w:rPr>
              <w:t xml:space="preserve"> </w:t>
            </w:r>
            <w:r w:rsidRPr="00E4265B">
              <w:rPr>
                <w:rFonts w:ascii="Arial" w:hAnsi="Arial" w:cs="Arial"/>
                <w:spacing w:val="1"/>
                <w:sz w:val="22"/>
                <w:szCs w:val="22"/>
                <w:lang w:val="en-GB"/>
              </w:rPr>
              <w:t>r</w:t>
            </w:r>
            <w:r w:rsidRPr="00E4265B">
              <w:rPr>
                <w:rFonts w:ascii="Arial" w:hAnsi="Arial" w:cs="Arial"/>
                <w:sz w:val="22"/>
                <w:szCs w:val="22"/>
                <w:lang w:val="en-GB"/>
              </w:rPr>
              <w:t>e</w:t>
            </w:r>
            <w:r w:rsidRPr="00E4265B">
              <w:rPr>
                <w:rFonts w:ascii="Arial" w:hAnsi="Arial" w:cs="Arial"/>
                <w:spacing w:val="1"/>
                <w:sz w:val="22"/>
                <w:szCs w:val="22"/>
                <w:lang w:val="en-GB"/>
              </w:rPr>
              <w:t>c</w:t>
            </w:r>
            <w:r w:rsidRPr="00E4265B">
              <w:rPr>
                <w:rFonts w:ascii="Arial" w:hAnsi="Arial" w:cs="Arial"/>
                <w:spacing w:val="2"/>
                <w:sz w:val="22"/>
                <w:szCs w:val="22"/>
                <w:lang w:val="en-GB"/>
              </w:rPr>
              <w:t>e</w:t>
            </w:r>
            <w:r w:rsidRPr="00E4265B">
              <w:rPr>
                <w:rFonts w:ascii="Arial" w:hAnsi="Arial" w:cs="Arial"/>
                <w:spacing w:val="-1"/>
                <w:sz w:val="22"/>
                <w:szCs w:val="22"/>
                <w:lang w:val="en-GB"/>
              </w:rPr>
              <w:t>i</w:t>
            </w:r>
            <w:r w:rsidRPr="00E4265B">
              <w:rPr>
                <w:rFonts w:ascii="Arial" w:hAnsi="Arial" w:cs="Arial"/>
                <w:spacing w:val="1"/>
                <w:sz w:val="22"/>
                <w:szCs w:val="22"/>
                <w:lang w:val="en-GB"/>
              </w:rPr>
              <w:t>v</w:t>
            </w:r>
            <w:r w:rsidRPr="00E4265B">
              <w:rPr>
                <w:rFonts w:ascii="Arial" w:hAnsi="Arial" w:cs="Arial"/>
                <w:sz w:val="22"/>
                <w:szCs w:val="22"/>
                <w:lang w:val="en-GB"/>
              </w:rPr>
              <w:t>a</w:t>
            </w:r>
            <w:r w:rsidRPr="00E4265B">
              <w:rPr>
                <w:rFonts w:ascii="Arial" w:hAnsi="Arial" w:cs="Arial"/>
                <w:spacing w:val="2"/>
                <w:sz w:val="22"/>
                <w:szCs w:val="22"/>
                <w:lang w:val="en-GB"/>
              </w:rPr>
              <w:t>b</w:t>
            </w:r>
            <w:r w:rsidRPr="00E4265B">
              <w:rPr>
                <w:rFonts w:ascii="Arial" w:hAnsi="Arial" w:cs="Arial"/>
                <w:spacing w:val="-1"/>
                <w:sz w:val="22"/>
                <w:szCs w:val="22"/>
                <w:lang w:val="en-GB"/>
              </w:rPr>
              <w:t>l</w:t>
            </w:r>
            <w:r w:rsidRPr="00E4265B">
              <w:rPr>
                <w:rFonts w:ascii="Arial" w:hAnsi="Arial" w:cs="Arial"/>
                <w:sz w:val="22"/>
                <w:szCs w:val="22"/>
                <w:lang w:val="en-GB"/>
              </w:rPr>
              <w:t>es</w:t>
            </w:r>
          </w:p>
        </w:tc>
        <w:tc>
          <w:tcPr>
            <w:tcW w:w="1606" w:type="dxa"/>
            <w:tcBorders>
              <w:top w:val="nil"/>
              <w:left w:val="single" w:sz="8" w:space="0" w:color="000000"/>
              <w:right w:val="single" w:sz="8" w:space="0" w:color="000000"/>
            </w:tcBorders>
            <w:vAlign w:val="center"/>
          </w:tcPr>
          <w:p w14:paraId="798E687C" w14:textId="77777777" w:rsidR="00DA6C72" w:rsidRPr="00E4265B" w:rsidRDefault="00DA6C72" w:rsidP="005F263A">
            <w:pPr>
              <w:ind w:right="549"/>
              <w:jc w:val="right"/>
              <w:rPr>
                <w:rFonts w:ascii="Arial" w:hAnsi="Arial" w:cs="Arial"/>
                <w:sz w:val="22"/>
                <w:szCs w:val="22"/>
              </w:rPr>
            </w:pPr>
            <w:r w:rsidRPr="00E4265B">
              <w:rPr>
                <w:rFonts w:ascii="Arial" w:hAnsi="Arial" w:cs="Arial"/>
                <w:sz w:val="22"/>
                <w:szCs w:val="22"/>
                <w:lang w:val="en-GB"/>
              </w:rPr>
              <w:t>100%</w:t>
            </w:r>
          </w:p>
        </w:tc>
      </w:tr>
      <w:tr w:rsidR="00DA6C72" w:rsidRPr="00E4265B" w14:paraId="0084B87B" w14:textId="77777777" w:rsidTr="008D19E8">
        <w:trPr>
          <w:trHeight w:hRule="exact" w:val="470"/>
          <w:tblHeader/>
        </w:trPr>
        <w:tc>
          <w:tcPr>
            <w:tcW w:w="6404" w:type="dxa"/>
            <w:tcBorders>
              <w:top w:val="nil"/>
              <w:left w:val="single" w:sz="8" w:space="0" w:color="000000"/>
              <w:bottom w:val="single" w:sz="8" w:space="0" w:color="000000"/>
              <w:right w:val="single" w:sz="8" w:space="0" w:color="000000"/>
            </w:tcBorders>
            <w:vAlign w:val="center"/>
          </w:tcPr>
          <w:p w14:paraId="4DC45A59" w14:textId="77777777" w:rsidR="00DA6C72" w:rsidRPr="00E4265B" w:rsidRDefault="00DA6C72" w:rsidP="0019712D">
            <w:pPr>
              <w:pStyle w:val="ListParagraph"/>
              <w:numPr>
                <w:ilvl w:val="0"/>
                <w:numId w:val="74"/>
              </w:numPr>
              <w:autoSpaceDE w:val="0"/>
              <w:autoSpaceDN w:val="0"/>
              <w:ind w:left="554" w:right="270"/>
              <w:contextualSpacing w:val="0"/>
              <w:rPr>
                <w:rFonts w:ascii="Arial" w:hAnsi="Arial" w:cs="Arial"/>
                <w:bCs/>
                <w:spacing w:val="1"/>
                <w:sz w:val="22"/>
                <w:szCs w:val="22"/>
                <w:lang w:val="en-GB"/>
              </w:rPr>
            </w:pPr>
            <w:r w:rsidRPr="00E4265B">
              <w:rPr>
                <w:rFonts w:ascii="Arial" w:hAnsi="Arial" w:cs="Arial"/>
                <w:spacing w:val="1"/>
                <w:sz w:val="22"/>
                <w:szCs w:val="22"/>
                <w:lang w:val="en-GB"/>
              </w:rPr>
              <w:t>O</w:t>
            </w:r>
            <w:r w:rsidRPr="00E4265B">
              <w:rPr>
                <w:rFonts w:ascii="Arial" w:hAnsi="Arial" w:cs="Arial"/>
                <w:sz w:val="22"/>
                <w:szCs w:val="22"/>
                <w:lang w:val="en-GB"/>
              </w:rPr>
              <w:t>ther</w:t>
            </w:r>
            <w:r w:rsidRPr="00E4265B">
              <w:rPr>
                <w:rFonts w:ascii="Arial" w:hAnsi="Arial" w:cs="Arial"/>
                <w:spacing w:val="-5"/>
                <w:sz w:val="22"/>
                <w:szCs w:val="22"/>
                <w:lang w:val="en-GB"/>
              </w:rPr>
              <w:t xml:space="preserve"> </w:t>
            </w:r>
            <w:r w:rsidRPr="00E4265B">
              <w:rPr>
                <w:rFonts w:ascii="Arial" w:hAnsi="Arial" w:cs="Arial"/>
                <w:spacing w:val="1"/>
                <w:sz w:val="22"/>
                <w:szCs w:val="22"/>
                <w:lang w:val="en-GB"/>
              </w:rPr>
              <w:t>c</w:t>
            </w:r>
            <w:r w:rsidRPr="00E4265B">
              <w:rPr>
                <w:rFonts w:ascii="Arial" w:hAnsi="Arial" w:cs="Arial"/>
                <w:sz w:val="22"/>
                <w:szCs w:val="22"/>
                <w:lang w:val="en-GB"/>
              </w:rPr>
              <w:t>o</w:t>
            </w:r>
            <w:r w:rsidRPr="00E4265B">
              <w:rPr>
                <w:rFonts w:ascii="Arial" w:hAnsi="Arial" w:cs="Arial"/>
                <w:spacing w:val="2"/>
                <w:sz w:val="22"/>
                <w:szCs w:val="22"/>
                <w:lang w:val="en-GB"/>
              </w:rPr>
              <w:t>n</w:t>
            </w:r>
            <w:r w:rsidRPr="00E4265B">
              <w:rPr>
                <w:rFonts w:ascii="Arial" w:hAnsi="Arial" w:cs="Arial"/>
                <w:sz w:val="22"/>
                <w:szCs w:val="22"/>
                <w:lang w:val="en-GB"/>
              </w:rPr>
              <w:t>t</w:t>
            </w:r>
            <w:r w:rsidRPr="00E4265B">
              <w:rPr>
                <w:rFonts w:ascii="Arial" w:hAnsi="Arial" w:cs="Arial"/>
                <w:spacing w:val="1"/>
                <w:sz w:val="22"/>
                <w:szCs w:val="22"/>
                <w:lang w:val="en-GB"/>
              </w:rPr>
              <w:t>r</w:t>
            </w:r>
            <w:r w:rsidRPr="00E4265B">
              <w:rPr>
                <w:rFonts w:ascii="Arial" w:hAnsi="Arial" w:cs="Arial"/>
                <w:sz w:val="22"/>
                <w:szCs w:val="22"/>
                <w:lang w:val="en-GB"/>
              </w:rPr>
              <w:t>a</w:t>
            </w:r>
            <w:r w:rsidRPr="00E4265B">
              <w:rPr>
                <w:rFonts w:ascii="Arial" w:hAnsi="Arial" w:cs="Arial"/>
                <w:spacing w:val="1"/>
                <w:sz w:val="22"/>
                <w:szCs w:val="22"/>
                <w:lang w:val="en-GB"/>
              </w:rPr>
              <w:t>c</w:t>
            </w:r>
            <w:r w:rsidRPr="00E4265B">
              <w:rPr>
                <w:rFonts w:ascii="Arial" w:hAnsi="Arial" w:cs="Arial"/>
                <w:sz w:val="22"/>
                <w:szCs w:val="22"/>
                <w:lang w:val="en-GB"/>
              </w:rPr>
              <w:t>tu</w:t>
            </w:r>
            <w:r w:rsidRPr="00E4265B">
              <w:rPr>
                <w:rFonts w:ascii="Arial" w:hAnsi="Arial" w:cs="Arial"/>
                <w:spacing w:val="2"/>
                <w:sz w:val="22"/>
                <w:szCs w:val="22"/>
                <w:lang w:val="en-GB"/>
              </w:rPr>
              <w:t>a</w:t>
            </w:r>
            <w:r w:rsidRPr="00E4265B">
              <w:rPr>
                <w:rFonts w:ascii="Arial" w:hAnsi="Arial" w:cs="Arial"/>
                <w:sz w:val="22"/>
                <w:szCs w:val="22"/>
                <w:lang w:val="en-GB"/>
              </w:rPr>
              <w:t>l</w:t>
            </w:r>
            <w:r w:rsidRPr="00E4265B">
              <w:rPr>
                <w:rFonts w:ascii="Arial" w:hAnsi="Arial" w:cs="Arial"/>
                <w:spacing w:val="-11"/>
                <w:sz w:val="22"/>
                <w:szCs w:val="22"/>
                <w:lang w:val="en-GB"/>
              </w:rPr>
              <w:t xml:space="preserve"> </w:t>
            </w:r>
            <w:r w:rsidRPr="00E4265B">
              <w:rPr>
                <w:rFonts w:ascii="Arial" w:hAnsi="Arial" w:cs="Arial"/>
                <w:spacing w:val="1"/>
                <w:sz w:val="22"/>
                <w:szCs w:val="22"/>
                <w:lang w:val="en-GB"/>
              </w:rPr>
              <w:t>c</w:t>
            </w:r>
            <w:r w:rsidRPr="00E4265B">
              <w:rPr>
                <w:rFonts w:ascii="Arial" w:hAnsi="Arial" w:cs="Arial"/>
                <w:sz w:val="22"/>
                <w:szCs w:val="22"/>
                <w:lang w:val="en-GB"/>
              </w:rPr>
              <w:t>a</w:t>
            </w:r>
            <w:r w:rsidRPr="00E4265B">
              <w:rPr>
                <w:rFonts w:ascii="Arial" w:hAnsi="Arial" w:cs="Arial"/>
                <w:spacing w:val="1"/>
                <w:sz w:val="22"/>
                <w:szCs w:val="22"/>
                <w:lang w:val="en-GB"/>
              </w:rPr>
              <w:t>s</w:t>
            </w:r>
            <w:r w:rsidRPr="00E4265B">
              <w:rPr>
                <w:rFonts w:ascii="Arial" w:hAnsi="Arial" w:cs="Arial"/>
                <w:sz w:val="22"/>
                <w:szCs w:val="22"/>
                <w:lang w:val="en-GB"/>
              </w:rPr>
              <w:t>h</w:t>
            </w:r>
            <w:r w:rsidRPr="00E4265B">
              <w:rPr>
                <w:rFonts w:ascii="Arial" w:hAnsi="Arial" w:cs="Arial"/>
                <w:spacing w:val="-2"/>
                <w:sz w:val="22"/>
                <w:szCs w:val="22"/>
                <w:lang w:val="en-GB"/>
              </w:rPr>
              <w:t xml:space="preserve"> </w:t>
            </w:r>
            <w:r w:rsidRPr="00E4265B">
              <w:rPr>
                <w:rFonts w:ascii="Arial" w:hAnsi="Arial" w:cs="Arial"/>
                <w:spacing w:val="-1"/>
                <w:sz w:val="22"/>
                <w:szCs w:val="22"/>
                <w:lang w:val="en-GB"/>
              </w:rPr>
              <w:t>i</w:t>
            </w:r>
            <w:r w:rsidRPr="00E4265B">
              <w:rPr>
                <w:rFonts w:ascii="Arial" w:hAnsi="Arial" w:cs="Arial"/>
                <w:sz w:val="22"/>
                <w:szCs w:val="22"/>
                <w:lang w:val="en-GB"/>
              </w:rPr>
              <w:t>n</w:t>
            </w:r>
            <w:r w:rsidRPr="00E4265B">
              <w:rPr>
                <w:rFonts w:ascii="Arial" w:hAnsi="Arial" w:cs="Arial"/>
                <w:spacing w:val="2"/>
                <w:sz w:val="22"/>
                <w:szCs w:val="22"/>
                <w:lang w:val="en-GB"/>
              </w:rPr>
              <w:t>f</w:t>
            </w:r>
            <w:r w:rsidRPr="00E4265B">
              <w:rPr>
                <w:rFonts w:ascii="Arial" w:hAnsi="Arial" w:cs="Arial"/>
                <w:spacing w:val="-1"/>
                <w:sz w:val="22"/>
                <w:szCs w:val="22"/>
                <w:lang w:val="en-GB"/>
              </w:rPr>
              <w:t>l</w:t>
            </w:r>
            <w:r w:rsidRPr="00E4265B">
              <w:rPr>
                <w:rFonts w:ascii="Arial" w:hAnsi="Arial" w:cs="Arial"/>
                <w:spacing w:val="2"/>
                <w:sz w:val="22"/>
                <w:szCs w:val="22"/>
                <w:lang w:val="en-GB"/>
              </w:rPr>
              <w:t>o</w:t>
            </w:r>
            <w:r w:rsidRPr="00E4265B">
              <w:rPr>
                <w:rFonts w:ascii="Arial" w:hAnsi="Arial" w:cs="Arial"/>
                <w:spacing w:val="-2"/>
                <w:sz w:val="22"/>
                <w:szCs w:val="22"/>
                <w:lang w:val="en-GB"/>
              </w:rPr>
              <w:t>w</w:t>
            </w:r>
            <w:r w:rsidRPr="00E4265B">
              <w:rPr>
                <w:rFonts w:ascii="Arial" w:hAnsi="Arial" w:cs="Arial"/>
                <w:sz w:val="22"/>
                <w:szCs w:val="22"/>
                <w:lang w:val="en-GB"/>
              </w:rPr>
              <w:t>s</w:t>
            </w:r>
          </w:p>
        </w:tc>
        <w:tc>
          <w:tcPr>
            <w:tcW w:w="1606" w:type="dxa"/>
            <w:tcBorders>
              <w:top w:val="nil"/>
              <w:left w:val="single" w:sz="8" w:space="0" w:color="000000"/>
              <w:bottom w:val="single" w:sz="8" w:space="0" w:color="000000"/>
              <w:right w:val="single" w:sz="8" w:space="0" w:color="000000"/>
            </w:tcBorders>
            <w:vAlign w:val="center"/>
          </w:tcPr>
          <w:p w14:paraId="00CAD61D" w14:textId="77777777" w:rsidR="00DA6C72" w:rsidRPr="00E4265B" w:rsidRDefault="00DA6C72" w:rsidP="005F263A">
            <w:pPr>
              <w:ind w:right="549"/>
              <w:jc w:val="right"/>
              <w:rPr>
                <w:rFonts w:ascii="Arial" w:hAnsi="Arial" w:cs="Arial"/>
                <w:sz w:val="22"/>
                <w:szCs w:val="22"/>
              </w:rPr>
            </w:pPr>
            <w:r w:rsidRPr="00E4265B">
              <w:rPr>
                <w:rFonts w:ascii="Arial" w:hAnsi="Arial" w:cs="Arial"/>
                <w:sz w:val="22"/>
                <w:szCs w:val="22"/>
                <w:lang w:val="en-GB"/>
              </w:rPr>
              <w:t>100%</w:t>
            </w:r>
          </w:p>
        </w:tc>
      </w:tr>
    </w:tbl>
    <w:p w14:paraId="1C0505C5" w14:textId="77777777" w:rsidR="00DA6C72" w:rsidRPr="00E4265B" w:rsidRDefault="00DA6C72" w:rsidP="00F75DF0">
      <w:pPr>
        <w:pStyle w:val="UK12Block"/>
        <w:rPr>
          <w:rFonts w:ascii="Arial" w:hAnsi="Arial" w:cs="Arial"/>
          <w:sz w:val="22"/>
          <w:szCs w:val="22"/>
          <w:lang w:val="en-GB"/>
        </w:rPr>
      </w:pPr>
    </w:p>
    <w:p w14:paraId="6289EA3D"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Guidance </w:t>
      </w:r>
    </w:p>
    <w:p w14:paraId="5FEC1AE6" w14:textId="77777777" w:rsidR="00E22FF2" w:rsidRPr="00E4265B" w:rsidRDefault="00E22FF2" w:rsidP="00F75DF0">
      <w:pPr>
        <w:pStyle w:val="UK12Block05"/>
        <w:rPr>
          <w:rFonts w:ascii="Arial" w:hAnsi="Arial" w:cs="Arial"/>
          <w:b/>
          <w:bCs/>
          <w:sz w:val="22"/>
          <w:szCs w:val="22"/>
          <w:lang w:val="en-GB"/>
        </w:rPr>
      </w:pPr>
      <w:r w:rsidRPr="00E4265B">
        <w:rPr>
          <w:rFonts w:ascii="Arial" w:hAnsi="Arial" w:cs="Arial"/>
          <w:b/>
          <w:bCs/>
          <w:sz w:val="22"/>
          <w:szCs w:val="22"/>
          <w:lang w:val="en-GB"/>
        </w:rPr>
        <w:t xml:space="preserve">Maturing secured lending, including reverse repos and </w:t>
      </w:r>
      <w:r w:rsidR="00877CEA" w:rsidRPr="00E4265B">
        <w:rPr>
          <w:rFonts w:ascii="Arial" w:hAnsi="Arial" w:cs="Arial"/>
          <w:b/>
          <w:bCs/>
          <w:sz w:val="22"/>
          <w:szCs w:val="22"/>
          <w:lang w:val="en-GB"/>
        </w:rPr>
        <w:t>Securities</w:t>
      </w:r>
      <w:r w:rsidRPr="00E4265B">
        <w:rPr>
          <w:rFonts w:ascii="Arial" w:hAnsi="Arial" w:cs="Arial"/>
          <w:b/>
          <w:bCs/>
          <w:sz w:val="22"/>
          <w:szCs w:val="22"/>
          <w:lang w:val="en-GB"/>
        </w:rPr>
        <w:t xml:space="preserve"> borrowing </w:t>
      </w:r>
    </w:p>
    <w:p w14:paraId="7FD0C33E" w14:textId="680C9781" w:rsidR="00E22FF2" w:rsidRPr="00E4265B" w:rsidRDefault="00E22FF2" w:rsidP="00C55E84">
      <w:pPr>
        <w:pStyle w:val="1List0"/>
        <w:rPr>
          <w:rFonts w:ascii="Arial" w:hAnsi="Arial" w:cs="Arial"/>
          <w:sz w:val="22"/>
          <w:szCs w:val="22"/>
          <w:lang w:val="en-GB"/>
        </w:rPr>
      </w:pPr>
      <w:r w:rsidRPr="00E4265B">
        <w:rPr>
          <w:rFonts w:ascii="Arial" w:hAnsi="Arial" w:cs="Arial"/>
          <w:sz w:val="22"/>
          <w:szCs w:val="22"/>
          <w:lang w:val="en-GB"/>
        </w:rPr>
        <w:t>1.</w:t>
      </w:r>
      <w:r w:rsidR="00384436"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assume that maturing reverse repurchase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borrowing agreements secured by Level 1 HQLA will be rolled over and will not give rise to any cash inflows (zero %). Maturing reverse repurchase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borrowing agreements secured by Level 2 HQLA should be modelled as cash inflows, equivalent to the relevant haircut for the specific assets.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assumed not to roll-over maturing reserve repurchase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borrowing agreements secured by non-HQLA assets and can assume it will receive 100% of the cash related to those agreements. Collateralised loans extended to customers for the purpose of taking leveraged trading positions, i.e. margin loans, should be modelled with a 50% cash inflow from contractual inflows made against non-HQLA </w:t>
      </w:r>
      <w:r w:rsidR="00BB26A3" w:rsidRPr="00E4265B">
        <w:rPr>
          <w:rFonts w:ascii="Arial" w:hAnsi="Arial" w:cs="Arial"/>
          <w:sz w:val="22"/>
          <w:szCs w:val="22"/>
          <w:lang w:val="en-GB"/>
        </w:rPr>
        <w:t>Collateral</w:t>
      </w:r>
      <w:r w:rsidRPr="00E4265B">
        <w:rPr>
          <w:rFonts w:ascii="Arial" w:hAnsi="Arial" w:cs="Arial"/>
          <w:sz w:val="22"/>
          <w:szCs w:val="22"/>
          <w:lang w:val="en-GB"/>
        </w:rPr>
        <w:t xml:space="preserve">. </w:t>
      </w:r>
    </w:p>
    <w:p w14:paraId="06DF0BA0" w14:textId="63A26935"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lastRenderedPageBreak/>
        <w:t>2.</w:t>
      </w:r>
      <w:r w:rsidR="00384436" w:rsidRPr="00E4265B">
        <w:rPr>
          <w:rFonts w:ascii="Arial" w:hAnsi="Arial" w:cs="Arial"/>
          <w:sz w:val="22"/>
          <w:szCs w:val="22"/>
          <w:lang w:val="en-GB"/>
        </w:rPr>
        <w:tab/>
      </w:r>
      <w:r w:rsidRPr="00E4265B">
        <w:rPr>
          <w:rFonts w:ascii="Arial" w:hAnsi="Arial" w:cs="Arial"/>
          <w:sz w:val="22"/>
          <w:szCs w:val="22"/>
          <w:lang w:val="en-GB"/>
        </w:rPr>
        <w:t xml:space="preserve">An exception to paragraph 1 is the situation where, if the </w:t>
      </w:r>
      <w:r w:rsidR="00BB26A3" w:rsidRPr="00E4265B">
        <w:rPr>
          <w:rFonts w:ascii="Arial" w:hAnsi="Arial" w:cs="Arial"/>
          <w:sz w:val="22"/>
          <w:szCs w:val="22"/>
          <w:lang w:val="en-GB"/>
        </w:rPr>
        <w:t>Collateral</w:t>
      </w:r>
      <w:r w:rsidRPr="00E4265B">
        <w:rPr>
          <w:rFonts w:ascii="Arial" w:hAnsi="Arial" w:cs="Arial"/>
          <w:sz w:val="22"/>
          <w:szCs w:val="22"/>
          <w:lang w:val="en-GB"/>
        </w:rPr>
        <w:t xml:space="preserve"> obtained through reverse repo,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borrowing or </w:t>
      </w:r>
      <w:r w:rsidR="00BB26A3" w:rsidRPr="00E4265B">
        <w:rPr>
          <w:rFonts w:ascii="Arial" w:hAnsi="Arial" w:cs="Arial"/>
          <w:sz w:val="22"/>
          <w:szCs w:val="22"/>
          <w:lang w:val="en-GB"/>
        </w:rPr>
        <w:t>Collateral</w:t>
      </w:r>
      <w:r w:rsidRPr="00E4265B">
        <w:rPr>
          <w:rFonts w:ascii="Arial" w:hAnsi="Arial" w:cs="Arial"/>
          <w:sz w:val="22"/>
          <w:szCs w:val="22"/>
          <w:lang w:val="en-GB"/>
        </w:rPr>
        <w:t xml:space="preserve"> swaps, which matures within the 30-day period, is re-used (i.e. rehypothecated) and is tied up for 30 days or longer to cover short positions.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then assume that such reverse repo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borrowing arrangements will be rolled over and will not give rise to any cash inflows (zero %), reflecting its need to continue to cover the short position or to repurchase the relevant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w:t>
      </w:r>
    </w:p>
    <w:p w14:paraId="35CDB465" w14:textId="027BA6DE"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3.</w:t>
      </w:r>
      <w:r w:rsidR="00384436" w:rsidRPr="00E4265B">
        <w:rPr>
          <w:rFonts w:ascii="Arial" w:hAnsi="Arial" w:cs="Arial"/>
          <w:sz w:val="22"/>
          <w:szCs w:val="22"/>
          <w:lang w:val="en-GB"/>
        </w:rPr>
        <w:tab/>
      </w:r>
      <w:r w:rsidRPr="00E4265B">
        <w:rPr>
          <w:rFonts w:ascii="Arial" w:hAnsi="Arial" w:cs="Arial"/>
          <w:sz w:val="22"/>
          <w:szCs w:val="22"/>
          <w:lang w:val="en-GB"/>
        </w:rPr>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manage its </w:t>
      </w:r>
      <w:r w:rsidR="00BB26A3" w:rsidRPr="00E4265B">
        <w:rPr>
          <w:rFonts w:ascii="Arial" w:hAnsi="Arial" w:cs="Arial"/>
          <w:sz w:val="22"/>
          <w:szCs w:val="22"/>
          <w:lang w:val="en-GB"/>
        </w:rPr>
        <w:t>Collateral</w:t>
      </w:r>
      <w:r w:rsidRPr="00E4265B">
        <w:rPr>
          <w:rFonts w:ascii="Arial" w:hAnsi="Arial" w:cs="Arial"/>
          <w:sz w:val="22"/>
          <w:szCs w:val="22"/>
          <w:lang w:val="en-GB"/>
        </w:rPr>
        <w:t xml:space="preserve"> so that it is able to fulfil obligations to return </w:t>
      </w:r>
      <w:r w:rsidR="00BB26A3" w:rsidRPr="00E4265B">
        <w:rPr>
          <w:rFonts w:ascii="Arial" w:hAnsi="Arial" w:cs="Arial"/>
          <w:sz w:val="22"/>
          <w:szCs w:val="22"/>
          <w:lang w:val="en-GB"/>
        </w:rPr>
        <w:t>Collateral</w:t>
      </w:r>
      <w:r w:rsidRPr="00E4265B">
        <w:rPr>
          <w:rFonts w:ascii="Arial" w:hAnsi="Arial" w:cs="Arial"/>
          <w:sz w:val="22"/>
          <w:szCs w:val="22"/>
          <w:lang w:val="en-GB"/>
        </w:rPr>
        <w:t xml:space="preserve"> whenever </w:t>
      </w:r>
      <w:r w:rsidR="00322D1A" w:rsidRPr="00E4265B">
        <w:rPr>
          <w:rFonts w:ascii="Arial" w:hAnsi="Arial" w:cs="Arial"/>
          <w:sz w:val="22"/>
          <w:szCs w:val="22"/>
          <w:lang w:val="en-GB"/>
        </w:rPr>
        <w:t>the C</w:t>
      </w:r>
      <w:r w:rsidRPr="00E4265B">
        <w:rPr>
          <w:rFonts w:ascii="Arial" w:hAnsi="Arial" w:cs="Arial"/>
          <w:sz w:val="22"/>
          <w:szCs w:val="22"/>
          <w:lang w:val="en-GB"/>
        </w:rPr>
        <w:t xml:space="preserve">ounterparty decides not to roll-over any reverse repo or </w:t>
      </w:r>
      <w:r w:rsidR="00877CEA" w:rsidRPr="00E4265B">
        <w:rPr>
          <w:rFonts w:ascii="Arial" w:hAnsi="Arial" w:cs="Arial"/>
          <w:sz w:val="22"/>
          <w:szCs w:val="22"/>
          <w:lang w:val="en-GB"/>
        </w:rPr>
        <w:t>Securities</w:t>
      </w:r>
      <w:r w:rsidRPr="00E4265B">
        <w:rPr>
          <w:rFonts w:ascii="Arial" w:hAnsi="Arial" w:cs="Arial"/>
          <w:sz w:val="22"/>
          <w:szCs w:val="22"/>
          <w:lang w:val="en-GB"/>
        </w:rPr>
        <w:t xml:space="preserve"> lending transaction. This is especially the case for non-HQLA </w:t>
      </w:r>
      <w:r w:rsidR="00BB26A3" w:rsidRPr="00E4265B">
        <w:rPr>
          <w:rFonts w:ascii="Arial" w:hAnsi="Arial" w:cs="Arial"/>
          <w:sz w:val="22"/>
          <w:szCs w:val="22"/>
          <w:lang w:val="en-GB"/>
        </w:rPr>
        <w:t>Collateral</w:t>
      </w:r>
      <w:r w:rsidRPr="00E4265B">
        <w:rPr>
          <w:rFonts w:ascii="Arial" w:hAnsi="Arial" w:cs="Arial"/>
          <w:sz w:val="22"/>
          <w:szCs w:val="22"/>
          <w:lang w:val="en-GB"/>
        </w:rPr>
        <w:t xml:space="preserve">, since such outflows are not captured in the LCR framework. </w:t>
      </w:r>
    </w:p>
    <w:p w14:paraId="2F8E542B"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Lines of credit </w:t>
      </w:r>
    </w:p>
    <w:p w14:paraId="023FC86C" w14:textId="62E1FAB0"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4.</w:t>
      </w:r>
      <w:r w:rsidR="00384436" w:rsidRPr="00E4265B">
        <w:rPr>
          <w:rFonts w:ascii="Arial" w:hAnsi="Arial" w:cs="Arial"/>
          <w:sz w:val="22"/>
          <w:szCs w:val="22"/>
          <w:lang w:val="en-GB"/>
        </w:rPr>
        <w:tab/>
      </w:r>
      <w:r w:rsidRPr="00E4265B">
        <w:rPr>
          <w:rFonts w:ascii="Arial" w:hAnsi="Arial" w:cs="Arial"/>
          <w:sz w:val="22"/>
          <w:szCs w:val="22"/>
          <w:lang w:val="en-GB"/>
        </w:rPr>
        <w:t xml:space="preserve">Lines of credit, liquidity facilities and other contingent funding facilities that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holds at other institutions for its own purposes should be assumed to be able to be drawn and so such facilities should receive a zero % inflow rate. </w:t>
      </w:r>
    </w:p>
    <w:p w14:paraId="63F87FB2" w14:textId="77777777" w:rsidR="00E22FF2" w:rsidRPr="00E4265B" w:rsidRDefault="00322D1A" w:rsidP="00A66872">
      <w:pPr>
        <w:pStyle w:val="TitleL5"/>
        <w:rPr>
          <w:rFonts w:ascii="Arial" w:hAnsi="Arial" w:cs="Arial"/>
          <w:sz w:val="22"/>
          <w:szCs w:val="22"/>
          <w:lang w:val="en-GB"/>
        </w:rPr>
      </w:pPr>
      <w:r w:rsidRPr="00E4265B">
        <w:rPr>
          <w:rFonts w:ascii="Arial" w:hAnsi="Arial" w:cs="Arial"/>
          <w:sz w:val="22"/>
          <w:szCs w:val="22"/>
          <w:lang w:val="en-GB"/>
        </w:rPr>
        <w:t>Inflows by C</w:t>
      </w:r>
      <w:r w:rsidR="00E22FF2" w:rsidRPr="00E4265B">
        <w:rPr>
          <w:rFonts w:ascii="Arial" w:hAnsi="Arial" w:cs="Arial"/>
          <w:sz w:val="22"/>
          <w:szCs w:val="22"/>
          <w:lang w:val="en-GB"/>
        </w:rPr>
        <w:t xml:space="preserve">ounterparty </w:t>
      </w:r>
    </w:p>
    <w:p w14:paraId="4F47ACCD" w14:textId="4C01CA64"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5.</w:t>
      </w:r>
      <w:r w:rsidR="00384436" w:rsidRPr="00E4265B">
        <w:rPr>
          <w:rFonts w:ascii="Arial" w:hAnsi="Arial" w:cs="Arial"/>
          <w:sz w:val="22"/>
          <w:szCs w:val="22"/>
          <w:lang w:val="en-GB"/>
        </w:rPr>
        <w:tab/>
      </w:r>
      <w:r w:rsidRPr="00E4265B">
        <w:rPr>
          <w:rFonts w:ascii="Arial" w:hAnsi="Arial" w:cs="Arial"/>
          <w:sz w:val="22"/>
          <w:szCs w:val="22"/>
          <w:lang w:val="en-GB"/>
        </w:rPr>
        <w:t>All inflows should be taken only at the latest possible date, based on the c</w:t>
      </w:r>
      <w:r w:rsidR="00322D1A" w:rsidRPr="00E4265B">
        <w:rPr>
          <w:rFonts w:ascii="Arial" w:hAnsi="Arial" w:cs="Arial"/>
          <w:sz w:val="22"/>
          <w:szCs w:val="22"/>
          <w:lang w:val="en-GB"/>
        </w:rPr>
        <w:t>ontractual rights available to C</w:t>
      </w:r>
      <w:r w:rsidRPr="00E4265B">
        <w:rPr>
          <w:rFonts w:ascii="Arial" w:hAnsi="Arial" w:cs="Arial"/>
          <w:sz w:val="22"/>
          <w:szCs w:val="22"/>
          <w:lang w:val="en-GB"/>
        </w:rPr>
        <w:t xml:space="preserve">ounterparties. Inflows from loans that have no specific maturity should not be included, with the exception of minimum payments of principal, fee or interest associated with an open maturity loan. </w:t>
      </w:r>
    </w:p>
    <w:p w14:paraId="0BBD1CDA" w14:textId="4ED07503" w:rsidR="00E22FF2"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6.</w:t>
      </w:r>
      <w:r w:rsidR="00384436" w:rsidRPr="00E4265B">
        <w:rPr>
          <w:rFonts w:ascii="Arial" w:hAnsi="Arial" w:cs="Arial"/>
          <w:sz w:val="22"/>
          <w:szCs w:val="22"/>
          <w:lang w:val="en-GB"/>
        </w:rPr>
        <w:tab/>
      </w:r>
      <w:r w:rsidRPr="00E4265B">
        <w:rPr>
          <w:rFonts w:ascii="Arial" w:hAnsi="Arial" w:cs="Arial"/>
          <w:sz w:val="22"/>
          <w:szCs w:val="22"/>
          <w:lang w:val="en-GB"/>
        </w:rPr>
        <w:t xml:space="preserve">Operational </w:t>
      </w:r>
      <w:r w:rsidR="006C764B" w:rsidRPr="00E4265B">
        <w:rPr>
          <w:rFonts w:ascii="Arial" w:hAnsi="Arial" w:cs="Arial"/>
          <w:sz w:val="22"/>
          <w:szCs w:val="22"/>
          <w:lang w:val="en-GB"/>
        </w:rPr>
        <w:t>Deposit</w:t>
      </w:r>
      <w:r w:rsidR="00FF62EE" w:rsidRPr="00E4265B">
        <w:rPr>
          <w:rFonts w:ascii="Arial" w:hAnsi="Arial" w:cs="Arial"/>
          <w:sz w:val="22"/>
          <w:szCs w:val="22"/>
          <w:lang w:val="en-GB"/>
        </w:rPr>
        <w:t>s</w:t>
      </w:r>
      <w:r w:rsidRPr="00E4265B">
        <w:rPr>
          <w:rFonts w:ascii="Arial" w:hAnsi="Arial" w:cs="Arial"/>
          <w:sz w:val="22"/>
          <w:szCs w:val="22"/>
          <w:lang w:val="en-GB"/>
        </w:rPr>
        <w:t xml:space="preserve">: a zero % inflow rate should apply to </w:t>
      </w:r>
      <w:r w:rsidR="006C764B" w:rsidRPr="00E4265B">
        <w:rPr>
          <w:rFonts w:ascii="Arial" w:hAnsi="Arial" w:cs="Arial"/>
          <w:sz w:val="22"/>
          <w:szCs w:val="22"/>
          <w:lang w:val="en-GB"/>
        </w:rPr>
        <w:t>Deposit</w:t>
      </w:r>
      <w:r w:rsidR="00FF62EE" w:rsidRPr="00E4265B">
        <w:rPr>
          <w:rFonts w:ascii="Arial" w:hAnsi="Arial" w:cs="Arial"/>
          <w:sz w:val="22"/>
          <w:szCs w:val="22"/>
          <w:lang w:val="en-GB"/>
        </w:rPr>
        <w:t>s</w:t>
      </w:r>
      <w:r w:rsidRPr="00E4265B">
        <w:rPr>
          <w:rFonts w:ascii="Arial" w:hAnsi="Arial" w:cs="Arial"/>
          <w:sz w:val="22"/>
          <w:szCs w:val="22"/>
          <w:lang w:val="en-GB"/>
        </w:rPr>
        <w:t xml:space="preserve"> held at other </w:t>
      </w:r>
      <w:r w:rsidR="00F57406" w:rsidRPr="00E4265B">
        <w:rPr>
          <w:rFonts w:ascii="Arial" w:hAnsi="Arial" w:cs="Arial"/>
          <w:sz w:val="22"/>
          <w:szCs w:val="22"/>
          <w:lang w:val="en-GB"/>
        </w:rPr>
        <w:t>Financial Institution</w:t>
      </w:r>
      <w:r w:rsidRPr="00E4265B">
        <w:rPr>
          <w:rFonts w:ascii="Arial" w:hAnsi="Arial" w:cs="Arial"/>
          <w:sz w:val="22"/>
          <w:szCs w:val="22"/>
          <w:lang w:val="en-GB"/>
        </w:rPr>
        <w:t xml:space="preserve">s for operational purposes. </w:t>
      </w:r>
    </w:p>
    <w:p w14:paraId="71088BA4" w14:textId="77777777" w:rsidR="00E22FF2" w:rsidRPr="00E4265B" w:rsidRDefault="00E22FF2" w:rsidP="00A66872">
      <w:pPr>
        <w:pStyle w:val="TitleL5"/>
        <w:rPr>
          <w:rFonts w:ascii="Arial" w:hAnsi="Arial" w:cs="Arial"/>
          <w:sz w:val="22"/>
          <w:szCs w:val="22"/>
          <w:lang w:val="en-GB"/>
        </w:rPr>
      </w:pPr>
      <w:r w:rsidRPr="00E4265B">
        <w:rPr>
          <w:rFonts w:ascii="Arial" w:hAnsi="Arial" w:cs="Arial"/>
          <w:sz w:val="22"/>
          <w:szCs w:val="22"/>
          <w:lang w:val="en-GB"/>
        </w:rPr>
        <w:t xml:space="preserve">Other cash inflows </w:t>
      </w:r>
    </w:p>
    <w:p w14:paraId="6FE21879" w14:textId="11373624" w:rsidR="000816A1" w:rsidRPr="00E4265B" w:rsidRDefault="00E22FF2" w:rsidP="00A66872">
      <w:pPr>
        <w:pStyle w:val="1List0"/>
        <w:rPr>
          <w:rFonts w:ascii="Arial" w:hAnsi="Arial" w:cs="Arial"/>
          <w:sz w:val="22"/>
          <w:szCs w:val="22"/>
          <w:lang w:val="en-GB"/>
        </w:rPr>
      </w:pPr>
      <w:r w:rsidRPr="00E4265B">
        <w:rPr>
          <w:rFonts w:ascii="Arial" w:hAnsi="Arial" w:cs="Arial"/>
          <w:sz w:val="22"/>
          <w:szCs w:val="22"/>
          <w:lang w:val="en-GB"/>
        </w:rPr>
        <w:t>7.</w:t>
      </w:r>
      <w:r w:rsidR="00384436" w:rsidRPr="00E4265B">
        <w:rPr>
          <w:rFonts w:ascii="Arial" w:hAnsi="Arial" w:cs="Arial"/>
          <w:sz w:val="22"/>
          <w:szCs w:val="22"/>
          <w:lang w:val="en-GB"/>
        </w:rPr>
        <w:tab/>
      </w:r>
      <w:r w:rsidRPr="00E4265B">
        <w:rPr>
          <w:rFonts w:ascii="Arial" w:hAnsi="Arial" w:cs="Arial"/>
          <w:sz w:val="22"/>
          <w:szCs w:val="22"/>
          <w:lang w:val="en-GB"/>
        </w:rPr>
        <w:t xml:space="preserve">Other contractual cash inflows: other contractual cash inflows should be included under this category. Cash inflows related to non-financial revenues should not be taken into account in the calculation of the net cash outflows for the purposes of the LCR. These items should </w:t>
      </w:r>
      <w:r w:rsidR="000816A1" w:rsidRPr="00E4265B">
        <w:rPr>
          <w:rFonts w:ascii="Arial" w:hAnsi="Arial" w:cs="Arial"/>
          <w:sz w:val="22"/>
          <w:szCs w:val="22"/>
          <w:lang w:val="en-GB"/>
        </w:rPr>
        <w:t>receive an inflow rate of 100%.</w:t>
      </w:r>
    </w:p>
    <w:p w14:paraId="0E24B369" w14:textId="77777777" w:rsidR="000816A1" w:rsidRPr="00E4265B" w:rsidRDefault="000816A1">
      <w:pPr>
        <w:rPr>
          <w:rFonts w:ascii="Arial" w:hAnsi="Arial" w:cs="Arial"/>
          <w:sz w:val="22"/>
          <w:szCs w:val="22"/>
          <w:lang w:val="en-GB"/>
        </w:rPr>
      </w:pPr>
      <w:r w:rsidRPr="00E4265B">
        <w:rPr>
          <w:rFonts w:ascii="Arial" w:hAnsi="Arial" w:cs="Arial"/>
          <w:sz w:val="22"/>
          <w:szCs w:val="22"/>
          <w:lang w:val="en-GB"/>
        </w:rPr>
        <w:br w:type="page"/>
      </w:r>
    </w:p>
    <w:p w14:paraId="4FD1CA93" w14:textId="5BBFA3A4" w:rsidR="00E22FF2" w:rsidRPr="00E4265B" w:rsidRDefault="00E22FF2" w:rsidP="00A43B6D">
      <w:pPr>
        <w:pStyle w:val="UK12Title2"/>
        <w:tabs>
          <w:tab w:val="clear" w:pos="994"/>
          <w:tab w:val="left" w:pos="1134"/>
        </w:tabs>
        <w:ind w:left="1134" w:hanging="1134"/>
        <w:rPr>
          <w:rFonts w:ascii="Arial" w:hAnsi="Arial" w:cs="Arial"/>
          <w:sz w:val="22"/>
          <w:szCs w:val="22"/>
        </w:rPr>
      </w:pPr>
      <w:bookmarkStart w:id="1010" w:name="_Toc33622514"/>
      <w:r w:rsidRPr="00E4265B">
        <w:rPr>
          <w:rFonts w:ascii="Arial" w:hAnsi="Arial" w:cs="Arial"/>
          <w:sz w:val="22"/>
          <w:szCs w:val="22"/>
        </w:rPr>
        <w:lastRenderedPageBreak/>
        <w:t>A</w:t>
      </w:r>
      <w:r w:rsidR="00984387" w:rsidRPr="00E4265B">
        <w:rPr>
          <w:rFonts w:ascii="Arial" w:hAnsi="Arial" w:cs="Arial"/>
          <w:sz w:val="22"/>
          <w:szCs w:val="22"/>
        </w:rPr>
        <w:t>10</w:t>
      </w:r>
      <w:r w:rsidRPr="00E4265B">
        <w:rPr>
          <w:rFonts w:ascii="Arial" w:hAnsi="Arial" w:cs="Arial"/>
          <w:sz w:val="22"/>
          <w:szCs w:val="22"/>
        </w:rPr>
        <w:t>.</w:t>
      </w:r>
      <w:r w:rsidR="00EF79A8" w:rsidRPr="00E4265B">
        <w:rPr>
          <w:rFonts w:ascii="Arial" w:hAnsi="Arial" w:cs="Arial"/>
          <w:sz w:val="22"/>
          <w:szCs w:val="22"/>
        </w:rPr>
        <w:t>3</w:t>
      </w:r>
      <w:r w:rsidR="00384436" w:rsidRPr="00E4265B">
        <w:rPr>
          <w:rFonts w:ascii="Arial" w:hAnsi="Arial" w:cs="Arial"/>
          <w:sz w:val="22"/>
          <w:szCs w:val="22"/>
        </w:rPr>
        <w:tab/>
      </w:r>
      <w:r w:rsidRPr="00E4265B">
        <w:rPr>
          <w:rFonts w:ascii="Arial" w:hAnsi="Arial" w:cs="Arial"/>
          <w:sz w:val="22"/>
          <w:szCs w:val="22"/>
        </w:rPr>
        <w:t xml:space="preserve">The </w:t>
      </w:r>
      <w:r w:rsidR="00E9019A" w:rsidRPr="00E4265B">
        <w:rPr>
          <w:rFonts w:ascii="Arial" w:hAnsi="Arial" w:cs="Arial"/>
          <w:sz w:val="22"/>
          <w:szCs w:val="22"/>
        </w:rPr>
        <w:t>Liquidity</w:t>
      </w:r>
      <w:r w:rsidRPr="00E4265B">
        <w:rPr>
          <w:rFonts w:ascii="Arial" w:hAnsi="Arial" w:cs="Arial"/>
          <w:sz w:val="22"/>
          <w:szCs w:val="22"/>
        </w:rPr>
        <w:t xml:space="preserve"> Mismatch </w:t>
      </w:r>
      <w:r w:rsidR="00E9019A" w:rsidRPr="00E4265B">
        <w:rPr>
          <w:rFonts w:ascii="Arial" w:hAnsi="Arial" w:cs="Arial"/>
          <w:sz w:val="22"/>
          <w:szCs w:val="22"/>
        </w:rPr>
        <w:t>A</w:t>
      </w:r>
      <w:r w:rsidRPr="00E4265B">
        <w:rPr>
          <w:rFonts w:ascii="Arial" w:hAnsi="Arial" w:cs="Arial"/>
          <w:sz w:val="22"/>
          <w:szCs w:val="22"/>
        </w:rPr>
        <w:t>pproach</w:t>
      </w:r>
      <w:bookmarkEnd w:id="1010"/>
      <w:r w:rsidRPr="00E4265B">
        <w:rPr>
          <w:rFonts w:ascii="Arial" w:hAnsi="Arial" w:cs="Arial"/>
          <w:sz w:val="22"/>
          <w:szCs w:val="22"/>
        </w:rPr>
        <w:t xml:space="preserve"> </w:t>
      </w:r>
    </w:p>
    <w:p w14:paraId="3E55438B" w14:textId="77777777" w:rsidR="00E22FF2" w:rsidRPr="00E4265B" w:rsidRDefault="00E22FF2" w:rsidP="00DA6C72">
      <w:pPr>
        <w:pStyle w:val="TitleL5"/>
        <w:ind w:left="990"/>
        <w:rPr>
          <w:rFonts w:ascii="Arial" w:hAnsi="Arial" w:cs="Arial"/>
          <w:sz w:val="22"/>
          <w:szCs w:val="22"/>
          <w:lang w:val="en-GB"/>
        </w:rPr>
      </w:pPr>
      <w:r w:rsidRPr="00E4265B">
        <w:rPr>
          <w:rFonts w:ascii="Arial" w:hAnsi="Arial" w:cs="Arial"/>
          <w:sz w:val="22"/>
          <w:szCs w:val="22"/>
          <w:lang w:val="en-GB"/>
        </w:rPr>
        <w:t xml:space="preserve">Including inflows (assets) and outflows (liabilities) in the timebands </w:t>
      </w:r>
    </w:p>
    <w:p w14:paraId="680CF2AD" w14:textId="77F9EF89" w:rsidR="00E22FF2" w:rsidRPr="00E4265B" w:rsidRDefault="00E22FF2" w:rsidP="00E9019A">
      <w:pPr>
        <w:pStyle w:val="A1List"/>
        <w:ind w:left="1800" w:hanging="1800"/>
        <w:rPr>
          <w:rFonts w:ascii="Arial" w:hAnsi="Arial" w:cs="Arial"/>
          <w:sz w:val="22"/>
          <w:szCs w:val="22"/>
          <w:lang w:val="en-GB"/>
        </w:rPr>
      </w:pPr>
      <w:r w:rsidRPr="00E4265B">
        <w:rPr>
          <w:rFonts w:ascii="Arial" w:hAnsi="Arial" w:cs="Arial"/>
          <w:b/>
          <w:bCs/>
          <w:sz w:val="22"/>
          <w:szCs w:val="22"/>
          <w:lang w:val="en-GB"/>
        </w:rPr>
        <w:t>A</w:t>
      </w:r>
      <w:r w:rsidR="00806C3C" w:rsidRPr="00E4265B">
        <w:rPr>
          <w:rFonts w:ascii="Arial" w:hAnsi="Arial" w:cs="Arial"/>
          <w:b/>
          <w:bCs/>
          <w:sz w:val="22"/>
          <w:szCs w:val="22"/>
          <w:lang w:val="en-GB"/>
        </w:rPr>
        <w:t>10</w:t>
      </w:r>
      <w:r w:rsidRPr="00E4265B">
        <w:rPr>
          <w:rFonts w:ascii="Arial" w:hAnsi="Arial" w:cs="Arial"/>
          <w:b/>
          <w:bCs/>
          <w:sz w:val="22"/>
          <w:szCs w:val="22"/>
          <w:lang w:val="en-GB"/>
        </w:rPr>
        <w:t>.</w:t>
      </w:r>
      <w:r w:rsidR="00EF79A8" w:rsidRPr="00E4265B">
        <w:rPr>
          <w:rFonts w:ascii="Arial" w:hAnsi="Arial" w:cs="Arial"/>
          <w:b/>
          <w:bCs/>
          <w:sz w:val="22"/>
          <w:szCs w:val="22"/>
          <w:lang w:val="en-GB"/>
        </w:rPr>
        <w:t>3</w:t>
      </w:r>
      <w:r w:rsidRPr="00E4265B">
        <w:rPr>
          <w:rFonts w:ascii="Arial" w:hAnsi="Arial" w:cs="Arial"/>
          <w:b/>
          <w:bCs/>
          <w:sz w:val="22"/>
          <w:szCs w:val="22"/>
          <w:lang w:val="en-GB"/>
        </w:rPr>
        <w:t>.1</w:t>
      </w:r>
      <w:r w:rsidR="00384436" w:rsidRPr="00E4265B">
        <w:rPr>
          <w:rFonts w:ascii="Arial" w:hAnsi="Arial" w:cs="Arial"/>
          <w:bCs/>
          <w:sz w:val="22"/>
          <w:szCs w:val="22"/>
          <w:lang w:val="en-GB"/>
        </w:rPr>
        <w:tab/>
      </w:r>
      <w:r w:rsidRPr="00E4265B">
        <w:rPr>
          <w:rFonts w:ascii="Arial" w:hAnsi="Arial" w:cs="Arial"/>
          <w:sz w:val="22"/>
          <w:szCs w:val="22"/>
          <w:lang w:val="en-GB"/>
        </w:rPr>
        <w:t>(1)</w:t>
      </w:r>
      <w:r w:rsidRPr="00E4265B">
        <w:rPr>
          <w:rFonts w:ascii="Arial" w:hAnsi="Arial" w:cs="Arial"/>
          <w:sz w:val="22"/>
          <w:szCs w:val="22"/>
          <w:lang w:val="en-GB"/>
        </w:rPr>
        <w:tab/>
        <w:t xml:space="preserve">Outflows (liabilities) must be included in the </w:t>
      </w:r>
      <w:r w:rsidR="00E9019A" w:rsidRPr="00E4265B">
        <w:rPr>
          <w:rFonts w:ascii="Arial" w:hAnsi="Arial" w:cs="Arial"/>
          <w:sz w:val="22"/>
          <w:szCs w:val="22"/>
          <w:lang w:val="en-GB"/>
        </w:rPr>
        <w:t>sight-eight day time band</w:t>
      </w:r>
      <w:r w:rsidRPr="00E4265B">
        <w:rPr>
          <w:rFonts w:ascii="Arial" w:hAnsi="Arial" w:cs="Arial"/>
          <w:sz w:val="22"/>
          <w:szCs w:val="22"/>
          <w:lang w:val="en-GB"/>
        </w:rPr>
        <w:t xml:space="preserve"> according to their earliest contractual maturity.</w:t>
      </w:r>
    </w:p>
    <w:p w14:paraId="53C6C61E" w14:textId="72D536FE" w:rsidR="00E22FF2" w:rsidRPr="00E4265B" w:rsidRDefault="00E22FF2" w:rsidP="00E9019A">
      <w:pPr>
        <w:pStyle w:val="1List"/>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Pr="00E4265B">
        <w:rPr>
          <w:rFonts w:ascii="Arial" w:hAnsi="Arial" w:cs="Arial"/>
          <w:sz w:val="22"/>
          <w:szCs w:val="22"/>
          <w:lang w:val="en-GB"/>
        </w:rPr>
        <w:t xml:space="preserve">Contingent liabilities may be excluded from the </w:t>
      </w:r>
      <w:r w:rsidR="00E9019A" w:rsidRPr="00E4265B">
        <w:rPr>
          <w:rFonts w:ascii="Arial" w:hAnsi="Arial" w:cs="Arial"/>
          <w:sz w:val="22"/>
          <w:szCs w:val="22"/>
          <w:lang w:val="en-GB"/>
        </w:rPr>
        <w:t>sight-eight day time band</w:t>
      </w:r>
      <w:r w:rsidRPr="00E4265B">
        <w:rPr>
          <w:rFonts w:ascii="Arial" w:hAnsi="Arial" w:cs="Arial"/>
          <w:sz w:val="22"/>
          <w:szCs w:val="22"/>
          <w:lang w:val="en-GB"/>
        </w:rPr>
        <w:t xml:space="preserve"> only if there is a likelihood that the conditions necessary to trigger them will not be fulfilled. </w:t>
      </w:r>
    </w:p>
    <w:p w14:paraId="0BAB3CA0" w14:textId="17065CED" w:rsidR="00E22FF2" w:rsidRPr="00E4265B" w:rsidRDefault="00E22FF2" w:rsidP="000E2466">
      <w:pPr>
        <w:pStyle w:val="1List"/>
        <w:rPr>
          <w:rFonts w:ascii="Arial" w:hAnsi="Arial" w:cs="Arial"/>
          <w:sz w:val="22"/>
          <w:szCs w:val="22"/>
          <w:lang w:val="en-GB"/>
        </w:rPr>
      </w:pPr>
      <w:r w:rsidRPr="00E4265B">
        <w:rPr>
          <w:rFonts w:ascii="Arial" w:hAnsi="Arial" w:cs="Arial"/>
          <w:sz w:val="22"/>
          <w:szCs w:val="22"/>
          <w:lang w:val="en-GB"/>
        </w:rPr>
        <w:t>(3)</w:t>
      </w:r>
      <w:r w:rsidR="00384436" w:rsidRPr="00E4265B">
        <w:rPr>
          <w:rFonts w:ascii="Arial" w:hAnsi="Arial" w:cs="Arial"/>
          <w:sz w:val="22"/>
          <w:szCs w:val="22"/>
          <w:lang w:val="en-GB"/>
        </w:rPr>
        <w:tab/>
      </w:r>
      <w:r w:rsidRPr="00E4265B">
        <w:rPr>
          <w:rFonts w:ascii="Arial" w:hAnsi="Arial" w:cs="Arial"/>
          <w:sz w:val="22"/>
          <w:szCs w:val="22"/>
          <w:lang w:val="en-GB"/>
        </w:rPr>
        <w:t xml:space="preserve">Inflows (assets) must be included in the </w:t>
      </w:r>
      <w:r w:rsidR="000E2466" w:rsidRPr="00E4265B">
        <w:rPr>
          <w:rFonts w:ascii="Arial" w:hAnsi="Arial" w:cs="Arial"/>
          <w:sz w:val="22"/>
          <w:szCs w:val="22"/>
          <w:lang w:val="en-GB"/>
        </w:rPr>
        <w:t xml:space="preserve">sight-eight day time band </w:t>
      </w:r>
      <w:r w:rsidRPr="00E4265B">
        <w:rPr>
          <w:rFonts w:ascii="Arial" w:hAnsi="Arial" w:cs="Arial"/>
          <w:sz w:val="22"/>
          <w:szCs w:val="22"/>
          <w:lang w:val="en-GB"/>
        </w:rPr>
        <w:t>according to their latest contractual maturity, except that</w:t>
      </w:r>
      <w:r w:rsidR="000E2466" w:rsidRPr="00E4265B">
        <w:rPr>
          <w:rFonts w:ascii="Arial" w:hAnsi="Arial" w:cs="Arial"/>
          <w:sz w:val="22"/>
          <w:szCs w:val="22"/>
          <w:lang w:val="en-GB"/>
        </w:rPr>
        <w:t xml:space="preserve"> </w:t>
      </w:r>
      <w:r w:rsidR="000E2466" w:rsidRPr="00E4265B">
        <w:rPr>
          <w:rFonts w:ascii="Arial" w:hAnsi="Arial" w:cs="Arial"/>
          <w:color w:val="000000" w:themeColor="text1"/>
          <w:sz w:val="22"/>
          <w:szCs w:val="22"/>
          <w:lang w:val="en-GB"/>
        </w:rPr>
        <w:t>the following assets must be included regardless of their contractual maturity</w:t>
      </w:r>
      <w:r w:rsidRPr="00E4265B">
        <w:rPr>
          <w:rFonts w:ascii="Arial" w:hAnsi="Arial" w:cs="Arial"/>
          <w:sz w:val="22"/>
          <w:szCs w:val="22"/>
          <w:lang w:val="en-GB"/>
        </w:rPr>
        <w:t xml:space="preserve">: </w:t>
      </w:r>
    </w:p>
    <w:p w14:paraId="434183CB" w14:textId="3CE2A4FB" w:rsidR="00E22FF2" w:rsidRPr="00E4265B" w:rsidRDefault="00E22FF2" w:rsidP="00D23E8D">
      <w:pPr>
        <w:pStyle w:val="aList"/>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undrawn committed standby facilities provided by other banks; </w:t>
      </w:r>
      <w:r w:rsidR="00D23E8D" w:rsidRPr="00E4265B">
        <w:rPr>
          <w:rFonts w:ascii="Arial" w:hAnsi="Arial" w:cs="Arial"/>
          <w:sz w:val="22"/>
          <w:szCs w:val="22"/>
          <w:lang w:val="en-GB"/>
        </w:rPr>
        <w:t>and</w:t>
      </w:r>
    </w:p>
    <w:p w14:paraId="4369C907" w14:textId="4CE0802A" w:rsidR="00E22FF2" w:rsidRPr="00E4265B" w:rsidRDefault="00E22FF2" w:rsidP="00D23E8D">
      <w:pPr>
        <w:pStyle w:val="aList"/>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marketable assets, at a discount</w:t>
      </w:r>
      <w:r w:rsidR="00D23E8D" w:rsidRPr="00E4265B">
        <w:rPr>
          <w:rFonts w:ascii="Arial" w:hAnsi="Arial" w:cs="Arial"/>
          <w:sz w:val="22"/>
          <w:szCs w:val="22"/>
          <w:lang w:val="en-GB"/>
        </w:rPr>
        <w:t>.</w:t>
      </w:r>
    </w:p>
    <w:p w14:paraId="4C51F9EB" w14:textId="52407ADE" w:rsidR="00E22FF2" w:rsidRPr="00E4265B" w:rsidRDefault="00D23E8D" w:rsidP="00D23E8D">
      <w:pPr>
        <w:pStyle w:val="aList"/>
        <w:ind w:left="1843" w:hanging="850"/>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A</w:t>
      </w:r>
      <w:r w:rsidR="00E22FF2" w:rsidRPr="00E4265B">
        <w:rPr>
          <w:rFonts w:ascii="Arial" w:hAnsi="Arial" w:cs="Arial"/>
          <w:sz w:val="22"/>
          <w:szCs w:val="22"/>
          <w:lang w:val="en-GB"/>
        </w:rPr>
        <w:t xml:space="preserve">ssets which have been pledged as Collateral </w:t>
      </w:r>
      <w:r w:rsidRPr="00E4265B">
        <w:rPr>
          <w:rFonts w:ascii="Arial" w:hAnsi="Arial" w:cs="Arial"/>
          <w:sz w:val="22"/>
          <w:szCs w:val="22"/>
          <w:lang w:val="en-GB"/>
        </w:rPr>
        <w:t>must be</w:t>
      </w:r>
      <w:r w:rsidR="00E22FF2" w:rsidRPr="00E4265B">
        <w:rPr>
          <w:rFonts w:ascii="Arial" w:hAnsi="Arial" w:cs="Arial"/>
          <w:sz w:val="22"/>
          <w:szCs w:val="22"/>
          <w:lang w:val="en-GB"/>
        </w:rPr>
        <w:t xml:space="preserve"> excluded from the </w:t>
      </w:r>
      <w:r w:rsidRPr="00E4265B">
        <w:rPr>
          <w:rFonts w:ascii="Arial" w:hAnsi="Arial" w:cs="Arial"/>
          <w:sz w:val="22"/>
          <w:szCs w:val="22"/>
          <w:lang w:val="en-GB"/>
        </w:rPr>
        <w:t>sight-eight day time band</w:t>
      </w:r>
      <w:r w:rsidR="00E22FF2" w:rsidRPr="00E4265B">
        <w:rPr>
          <w:rFonts w:ascii="Arial" w:hAnsi="Arial" w:cs="Arial"/>
          <w:sz w:val="22"/>
          <w:szCs w:val="22"/>
          <w:lang w:val="en-GB"/>
        </w:rPr>
        <w:t xml:space="preserve">. </w:t>
      </w:r>
    </w:p>
    <w:p w14:paraId="7FED872E" w14:textId="77777777" w:rsidR="00E22FF2" w:rsidRPr="00E4265B" w:rsidRDefault="00E22FF2" w:rsidP="00DA6C72">
      <w:pPr>
        <w:pStyle w:val="TitleL5"/>
        <w:ind w:left="990"/>
        <w:rPr>
          <w:rFonts w:ascii="Arial" w:hAnsi="Arial" w:cs="Arial"/>
          <w:sz w:val="22"/>
          <w:szCs w:val="22"/>
          <w:lang w:val="en-GB"/>
        </w:rPr>
      </w:pPr>
      <w:r w:rsidRPr="00E4265B">
        <w:rPr>
          <w:rFonts w:ascii="Arial" w:hAnsi="Arial" w:cs="Arial"/>
          <w:sz w:val="22"/>
          <w:szCs w:val="22"/>
          <w:lang w:val="en-GB"/>
        </w:rPr>
        <w:t xml:space="preserve">Including marketable assets in the Maturity Ladder </w:t>
      </w:r>
    </w:p>
    <w:p w14:paraId="5667F59B" w14:textId="5A3227F7" w:rsidR="00E22FF2" w:rsidRPr="00E4265B" w:rsidRDefault="00E22FF2" w:rsidP="00D23E8D">
      <w:pPr>
        <w:pStyle w:val="A1List"/>
        <w:tabs>
          <w:tab w:val="left" w:pos="1800"/>
        </w:tabs>
        <w:ind w:left="1800" w:hanging="1800"/>
        <w:rPr>
          <w:rFonts w:ascii="Arial" w:hAnsi="Arial" w:cs="Arial"/>
          <w:sz w:val="22"/>
          <w:szCs w:val="22"/>
          <w:lang w:val="en-GB"/>
        </w:rPr>
      </w:pPr>
      <w:r w:rsidRPr="00E4265B">
        <w:rPr>
          <w:rFonts w:ascii="Arial" w:hAnsi="Arial" w:cs="Arial"/>
          <w:b/>
          <w:bCs/>
          <w:sz w:val="22"/>
          <w:szCs w:val="22"/>
          <w:lang w:val="en-GB"/>
        </w:rPr>
        <w:t>A</w:t>
      </w:r>
      <w:r w:rsidR="00806C3C" w:rsidRPr="00E4265B">
        <w:rPr>
          <w:rFonts w:ascii="Arial" w:hAnsi="Arial" w:cs="Arial"/>
          <w:b/>
          <w:bCs/>
          <w:sz w:val="22"/>
          <w:szCs w:val="22"/>
          <w:lang w:val="en-GB"/>
        </w:rPr>
        <w:t>10</w:t>
      </w:r>
      <w:r w:rsidRPr="00E4265B">
        <w:rPr>
          <w:rFonts w:ascii="Arial" w:hAnsi="Arial" w:cs="Arial"/>
          <w:b/>
          <w:bCs/>
          <w:sz w:val="22"/>
          <w:szCs w:val="22"/>
          <w:lang w:val="en-GB"/>
        </w:rPr>
        <w:t>.</w:t>
      </w:r>
      <w:r w:rsidR="00EF79A8" w:rsidRPr="00E4265B">
        <w:rPr>
          <w:rFonts w:ascii="Arial" w:hAnsi="Arial" w:cs="Arial"/>
          <w:b/>
          <w:bCs/>
          <w:sz w:val="22"/>
          <w:szCs w:val="22"/>
          <w:lang w:val="en-GB"/>
        </w:rPr>
        <w:t>3</w:t>
      </w:r>
      <w:r w:rsidRPr="00E4265B">
        <w:rPr>
          <w:rFonts w:ascii="Arial" w:hAnsi="Arial" w:cs="Arial"/>
          <w:b/>
          <w:bCs/>
          <w:sz w:val="22"/>
          <w:szCs w:val="22"/>
          <w:lang w:val="en-GB"/>
        </w:rPr>
        <w:t>.2</w:t>
      </w:r>
      <w:r w:rsidR="00384436" w:rsidRPr="00E4265B">
        <w:rPr>
          <w:rFonts w:ascii="Arial" w:hAnsi="Arial" w:cs="Arial"/>
          <w:bCs/>
          <w:sz w:val="22"/>
          <w:szCs w:val="22"/>
          <w:lang w:val="en-GB"/>
        </w:rPr>
        <w:tab/>
      </w:r>
      <w:r w:rsidRPr="00E4265B">
        <w:rPr>
          <w:rFonts w:ascii="Arial" w:hAnsi="Arial" w:cs="Arial"/>
          <w:sz w:val="22"/>
          <w:szCs w:val="22"/>
          <w:lang w:val="en-GB"/>
        </w:rPr>
        <w:t>(1)</w:t>
      </w:r>
      <w:r w:rsidR="00384436" w:rsidRPr="00E4265B">
        <w:rPr>
          <w:rFonts w:ascii="Arial" w:hAnsi="Arial" w:cs="Arial"/>
          <w:sz w:val="22"/>
          <w:szCs w:val="22"/>
          <w:lang w:val="en-GB"/>
        </w:rPr>
        <w:tab/>
      </w:r>
      <w:r w:rsidRPr="00E4265B">
        <w:rPr>
          <w:rFonts w:ascii="Arial" w:hAnsi="Arial" w:cs="Arial"/>
          <w:sz w:val="22"/>
          <w:szCs w:val="22"/>
          <w:lang w:val="en-GB"/>
        </w:rPr>
        <w:t>Assets which are readily marketable are included in t</w:t>
      </w:r>
      <w:r w:rsidR="00D23E8D" w:rsidRPr="00E4265B">
        <w:rPr>
          <w:rFonts w:ascii="Arial" w:hAnsi="Arial" w:cs="Arial"/>
          <w:sz w:val="22"/>
          <w:szCs w:val="22"/>
          <w:lang w:val="en-GB"/>
        </w:rPr>
        <w:t>he Maturity Ladder in the sight</w:t>
      </w:r>
      <w:r w:rsidRPr="00E4265B">
        <w:rPr>
          <w:rFonts w:ascii="Arial" w:hAnsi="Arial" w:cs="Arial"/>
          <w:sz w:val="22"/>
          <w:szCs w:val="22"/>
          <w:lang w:val="en-GB"/>
        </w:rPr>
        <w:t>-</w:t>
      </w:r>
      <w:r w:rsidR="00D23E8D" w:rsidRPr="00E4265B">
        <w:rPr>
          <w:rFonts w:ascii="Arial" w:hAnsi="Arial" w:cs="Arial"/>
          <w:sz w:val="22"/>
          <w:szCs w:val="22"/>
          <w:lang w:val="en-GB"/>
        </w:rPr>
        <w:t>eight</w:t>
      </w:r>
      <w:r w:rsidRPr="00E4265B">
        <w:rPr>
          <w:rFonts w:ascii="Arial" w:hAnsi="Arial" w:cs="Arial"/>
          <w:sz w:val="22"/>
          <w:szCs w:val="22"/>
          <w:lang w:val="en-GB"/>
        </w:rPr>
        <w:t xml:space="preserve"> days time band, generally at a discount to their recorded value calculated in accordance with (4). </w:t>
      </w:r>
    </w:p>
    <w:p w14:paraId="6D462BEC" w14:textId="2E536BE6" w:rsidR="00E22FF2" w:rsidRPr="00E4265B" w:rsidRDefault="00E22FF2" w:rsidP="00846F4F">
      <w:pPr>
        <w:pStyle w:val="1List"/>
        <w:rPr>
          <w:rFonts w:ascii="Arial" w:hAnsi="Arial" w:cs="Arial"/>
          <w:sz w:val="22"/>
          <w:szCs w:val="22"/>
          <w:lang w:val="en-GB"/>
        </w:rPr>
      </w:pPr>
      <w:r w:rsidRPr="00E4265B">
        <w:rPr>
          <w:rFonts w:ascii="Arial" w:hAnsi="Arial" w:cs="Arial"/>
          <w:sz w:val="22"/>
          <w:szCs w:val="22"/>
          <w:lang w:val="en-GB"/>
        </w:rPr>
        <w:t>(2)</w:t>
      </w:r>
      <w:r w:rsidR="00384436" w:rsidRPr="00E4265B">
        <w:rPr>
          <w:rFonts w:ascii="Arial" w:hAnsi="Arial" w:cs="Arial"/>
          <w:sz w:val="22"/>
          <w:szCs w:val="22"/>
          <w:lang w:val="en-GB"/>
        </w:rPr>
        <w:tab/>
      </w:r>
      <w:r w:rsidRPr="00E4265B">
        <w:rPr>
          <w:rFonts w:ascii="Arial" w:hAnsi="Arial" w:cs="Arial"/>
          <w:sz w:val="22"/>
          <w:szCs w:val="22"/>
          <w:lang w:val="en-GB"/>
        </w:rPr>
        <w:t xml:space="preserve">An asset is regarded as readily marketable if: </w:t>
      </w:r>
    </w:p>
    <w:p w14:paraId="380FFD2A" w14:textId="4946C197"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(a)</w:t>
      </w:r>
      <w:r w:rsidR="00384436" w:rsidRPr="00E4265B">
        <w:rPr>
          <w:rFonts w:ascii="Arial" w:hAnsi="Arial" w:cs="Arial"/>
          <w:sz w:val="22"/>
          <w:szCs w:val="22"/>
          <w:lang w:val="en-GB"/>
        </w:rPr>
        <w:tab/>
      </w:r>
      <w:r w:rsidRPr="00E4265B">
        <w:rPr>
          <w:rFonts w:ascii="Arial" w:hAnsi="Arial" w:cs="Arial"/>
          <w:sz w:val="22"/>
          <w:szCs w:val="22"/>
          <w:lang w:val="en-GB"/>
        </w:rPr>
        <w:t xml:space="preserve">prices are regularly quoted for the asset; </w:t>
      </w:r>
    </w:p>
    <w:p w14:paraId="586FF49F" w14:textId="00B847C0"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(b)</w:t>
      </w:r>
      <w:r w:rsidR="00384436" w:rsidRPr="00E4265B">
        <w:rPr>
          <w:rFonts w:ascii="Arial" w:hAnsi="Arial" w:cs="Arial"/>
          <w:sz w:val="22"/>
          <w:szCs w:val="22"/>
          <w:lang w:val="en-GB"/>
        </w:rPr>
        <w:tab/>
      </w:r>
      <w:r w:rsidRPr="00E4265B">
        <w:rPr>
          <w:rFonts w:ascii="Arial" w:hAnsi="Arial" w:cs="Arial"/>
          <w:sz w:val="22"/>
          <w:szCs w:val="22"/>
          <w:lang w:val="en-GB"/>
        </w:rPr>
        <w:t xml:space="preserve">the asset is regularly traded; </w:t>
      </w:r>
    </w:p>
    <w:p w14:paraId="5A0852B9" w14:textId="3964DDA8"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(c)</w:t>
      </w:r>
      <w:r w:rsidR="00384436" w:rsidRPr="00E4265B">
        <w:rPr>
          <w:rFonts w:ascii="Arial" w:hAnsi="Arial" w:cs="Arial"/>
          <w:sz w:val="22"/>
          <w:szCs w:val="22"/>
          <w:lang w:val="en-GB"/>
        </w:rPr>
        <w:tab/>
      </w:r>
      <w:r w:rsidRPr="00E4265B">
        <w:rPr>
          <w:rFonts w:ascii="Arial" w:hAnsi="Arial" w:cs="Arial"/>
          <w:sz w:val="22"/>
          <w:szCs w:val="22"/>
          <w:lang w:val="en-GB"/>
        </w:rPr>
        <w:t xml:space="preserve">the asset may readily be sold, including by repurchase agreement, either on an exchange, or in a deep and liquid market for payment in cash; and </w:t>
      </w:r>
    </w:p>
    <w:p w14:paraId="0C5A70AE" w14:textId="040F7449" w:rsidR="00E22FF2" w:rsidRPr="00E4265B" w:rsidRDefault="00E22FF2" w:rsidP="00A66872">
      <w:pPr>
        <w:pStyle w:val="aList"/>
        <w:rPr>
          <w:rFonts w:ascii="Arial" w:hAnsi="Arial" w:cs="Arial"/>
          <w:sz w:val="22"/>
          <w:szCs w:val="22"/>
          <w:lang w:val="en-GB"/>
        </w:rPr>
      </w:pPr>
      <w:r w:rsidRPr="00E4265B">
        <w:rPr>
          <w:rFonts w:ascii="Arial" w:hAnsi="Arial" w:cs="Arial"/>
          <w:sz w:val="22"/>
          <w:szCs w:val="22"/>
          <w:lang w:val="en-GB"/>
        </w:rPr>
        <w:t>(d)</w:t>
      </w:r>
      <w:r w:rsidR="00384436" w:rsidRPr="00E4265B">
        <w:rPr>
          <w:rFonts w:ascii="Arial" w:hAnsi="Arial" w:cs="Arial"/>
          <w:sz w:val="22"/>
          <w:szCs w:val="22"/>
          <w:lang w:val="en-GB"/>
        </w:rPr>
        <w:tab/>
      </w:r>
      <w:r w:rsidRPr="00E4265B">
        <w:rPr>
          <w:rFonts w:ascii="Arial" w:hAnsi="Arial" w:cs="Arial"/>
          <w:sz w:val="22"/>
          <w:szCs w:val="22"/>
          <w:lang w:val="en-GB"/>
        </w:rPr>
        <w:t xml:space="preserve">settlement is according to a prescribed timetable rather than a negotiated timetable. </w:t>
      </w:r>
    </w:p>
    <w:p w14:paraId="04A18527" w14:textId="342EBA50" w:rsidR="00E22FF2" w:rsidRPr="00E4265B" w:rsidRDefault="00E22FF2" w:rsidP="00D23E8D">
      <w:pPr>
        <w:pStyle w:val="1List"/>
        <w:rPr>
          <w:rFonts w:ascii="Arial" w:hAnsi="Arial" w:cs="Arial"/>
          <w:sz w:val="22"/>
          <w:szCs w:val="22"/>
          <w:lang w:val="en-GB"/>
        </w:rPr>
      </w:pPr>
      <w:r w:rsidRPr="00E4265B">
        <w:rPr>
          <w:rFonts w:ascii="Arial" w:hAnsi="Arial" w:cs="Arial"/>
          <w:sz w:val="22"/>
          <w:szCs w:val="22"/>
          <w:lang w:val="en-GB"/>
        </w:rPr>
        <w:t>(3)</w:t>
      </w:r>
      <w:r w:rsidR="00384436" w:rsidRPr="00E4265B">
        <w:rPr>
          <w:rFonts w:ascii="Arial" w:hAnsi="Arial" w:cs="Arial"/>
          <w:sz w:val="22"/>
          <w:szCs w:val="22"/>
          <w:lang w:val="en-GB"/>
        </w:rPr>
        <w:tab/>
      </w:r>
      <w:r w:rsidRPr="00E4265B">
        <w:rPr>
          <w:rFonts w:ascii="Arial" w:hAnsi="Arial" w:cs="Arial"/>
          <w:sz w:val="22"/>
          <w:szCs w:val="22"/>
          <w:lang w:val="en-GB"/>
        </w:rPr>
        <w:t xml:space="preserve">The Regulator may allow, on a case by case basis,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include a longer term asset which is relatively</w:t>
      </w:r>
      <w:r w:rsidR="00D23E8D" w:rsidRPr="00E4265B">
        <w:rPr>
          <w:rFonts w:ascii="Arial" w:hAnsi="Arial" w:cs="Arial"/>
          <w:sz w:val="22"/>
          <w:szCs w:val="22"/>
          <w:lang w:val="en-GB"/>
        </w:rPr>
        <w:t xml:space="preserve"> easy to liquidate in the sight-eight </w:t>
      </w:r>
      <w:r w:rsidRPr="00E4265B">
        <w:rPr>
          <w:rFonts w:ascii="Arial" w:hAnsi="Arial" w:cs="Arial"/>
          <w:sz w:val="22"/>
          <w:szCs w:val="22"/>
          <w:lang w:val="en-GB"/>
        </w:rPr>
        <w:t xml:space="preserve">days time band. </w:t>
      </w:r>
    </w:p>
    <w:p w14:paraId="437DD6A6" w14:textId="693D75EE" w:rsidR="003A2A15" w:rsidRPr="00E4265B" w:rsidRDefault="00E22FF2" w:rsidP="00846F4F">
      <w:pPr>
        <w:pStyle w:val="1List"/>
        <w:rPr>
          <w:rFonts w:ascii="Arial" w:hAnsi="Arial" w:cs="Arial"/>
          <w:sz w:val="22"/>
          <w:szCs w:val="22"/>
          <w:lang w:val="en-GB"/>
        </w:rPr>
      </w:pPr>
      <w:r w:rsidRPr="00E4265B">
        <w:rPr>
          <w:rFonts w:ascii="Arial" w:hAnsi="Arial" w:cs="Arial"/>
          <w:sz w:val="22"/>
          <w:szCs w:val="22"/>
          <w:lang w:val="en-GB"/>
        </w:rPr>
        <w:t>(4)</w:t>
      </w:r>
      <w:r w:rsidR="00384436" w:rsidRPr="00E4265B">
        <w:rPr>
          <w:rFonts w:ascii="Arial" w:hAnsi="Arial" w:cs="Arial"/>
          <w:sz w:val="22"/>
          <w:szCs w:val="22"/>
          <w:lang w:val="en-GB"/>
        </w:rPr>
        <w:tab/>
      </w:r>
      <w:r w:rsidRPr="00E4265B">
        <w:rPr>
          <w:rFonts w:ascii="Arial" w:hAnsi="Arial" w:cs="Arial"/>
          <w:sz w:val="22"/>
          <w:szCs w:val="22"/>
          <w:lang w:val="en-GB"/>
        </w:rPr>
        <w:t>The discount factor to be applied to types of marketable assets must be determined by reference to the following table</w:t>
      </w:r>
      <w:r w:rsidR="00D23E8D" w:rsidRPr="00E4265B">
        <w:rPr>
          <w:rFonts w:ascii="Arial" w:hAnsi="Arial" w:cs="Arial"/>
          <w:sz w:val="22"/>
          <w:szCs w:val="22"/>
          <w:lang w:val="en-GB"/>
        </w:rPr>
        <w:t xml:space="preserve"> and Rules A10.2.6 to A10.2.9</w:t>
      </w:r>
      <w:r w:rsidRPr="00E4265B">
        <w:rPr>
          <w:rFonts w:ascii="Arial" w:hAnsi="Arial" w:cs="Arial"/>
          <w:sz w:val="22"/>
          <w:szCs w:val="22"/>
          <w:lang w:val="en-GB"/>
        </w:rPr>
        <w:t>:</w:t>
      </w:r>
    </w:p>
    <w:p w14:paraId="1A362246" w14:textId="77777777" w:rsidR="003A2A15" w:rsidRPr="00E4265B" w:rsidRDefault="003A2A15">
      <w:pPr>
        <w:rPr>
          <w:rFonts w:ascii="Arial" w:hAnsi="Arial" w:cs="Arial"/>
          <w:sz w:val="22"/>
          <w:szCs w:val="22"/>
          <w:lang w:val="en-GB"/>
        </w:rPr>
      </w:pPr>
      <w:r w:rsidRPr="00E4265B">
        <w:rPr>
          <w:rFonts w:ascii="Arial" w:hAnsi="Arial" w:cs="Arial"/>
          <w:sz w:val="22"/>
          <w:szCs w:val="22"/>
          <w:lang w:val="en-GB"/>
        </w:rPr>
        <w:br w:type="page"/>
      </w:r>
    </w:p>
    <w:p w14:paraId="0A7209E9" w14:textId="77777777" w:rsidR="00250039" w:rsidRPr="00E4265B" w:rsidRDefault="00250039" w:rsidP="00250039">
      <w:pPr>
        <w:pStyle w:val="1List"/>
        <w:rPr>
          <w:rFonts w:ascii="Arial" w:hAnsi="Arial" w:cs="Arial"/>
          <w:color w:val="000000" w:themeColor="text1"/>
          <w:sz w:val="22"/>
          <w:szCs w:val="22"/>
          <w:lang w:val="en-GB"/>
        </w:rPr>
      </w:pPr>
    </w:p>
    <w:tbl>
      <w:tblPr>
        <w:tblW w:w="44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3"/>
        <w:gridCol w:w="1843"/>
      </w:tblGrid>
      <w:tr w:rsidR="00250039" w:rsidRPr="00E4265B" w14:paraId="2C7BCA3D" w14:textId="77777777" w:rsidTr="004E1995">
        <w:trPr>
          <w:jc w:val="center"/>
        </w:trPr>
        <w:tc>
          <w:tcPr>
            <w:tcW w:w="3859" w:type="pct"/>
            <w:shd w:val="clear" w:color="auto" w:fill="D9D9D9" w:themeFill="background1" w:themeFillShade="D9"/>
          </w:tcPr>
          <w:p w14:paraId="53F2D615" w14:textId="77777777" w:rsidR="00250039" w:rsidRPr="00E4265B" w:rsidRDefault="00250039" w:rsidP="00250039">
            <w:pPr>
              <w:spacing w:before="120" w:after="120" w:line="276" w:lineRule="auto"/>
              <w:rPr>
                <w:rFonts w:ascii="Arial" w:eastAsia="Arial" w:hAnsi="Arial" w:cs="Arial"/>
                <w:b/>
                <w:color w:val="000000" w:themeColor="text1"/>
                <w:sz w:val="22"/>
                <w:szCs w:val="22"/>
              </w:rPr>
            </w:pPr>
            <w:r w:rsidRPr="00E4265B">
              <w:rPr>
                <w:rFonts w:ascii="Arial" w:hAnsi="Arial" w:cs="Arial"/>
                <w:b/>
                <w:color w:val="000000" w:themeColor="text1"/>
                <w:sz w:val="22"/>
                <w:szCs w:val="22"/>
              </w:rPr>
              <w:t>Marketable Asset</w:t>
            </w:r>
          </w:p>
        </w:tc>
        <w:tc>
          <w:tcPr>
            <w:tcW w:w="1141" w:type="pct"/>
            <w:shd w:val="clear" w:color="auto" w:fill="D9D9D9" w:themeFill="background1" w:themeFillShade="D9"/>
          </w:tcPr>
          <w:p w14:paraId="260BC470" w14:textId="77777777" w:rsidR="00250039" w:rsidRPr="00E4265B" w:rsidRDefault="00250039" w:rsidP="00250039">
            <w:pPr>
              <w:spacing w:before="120" w:after="120" w:line="276" w:lineRule="auto"/>
              <w:jc w:val="center"/>
              <w:rPr>
                <w:rFonts w:ascii="Arial" w:hAnsi="Arial" w:cs="Arial"/>
                <w:b/>
                <w:color w:val="000000" w:themeColor="text1"/>
                <w:sz w:val="22"/>
                <w:szCs w:val="22"/>
              </w:rPr>
            </w:pPr>
            <w:r w:rsidRPr="00E4265B">
              <w:rPr>
                <w:rFonts w:ascii="Arial" w:hAnsi="Arial" w:cs="Arial"/>
                <w:b/>
                <w:color w:val="000000" w:themeColor="text1"/>
                <w:sz w:val="22"/>
                <w:szCs w:val="22"/>
              </w:rPr>
              <w:t>Discount factor</w:t>
            </w:r>
          </w:p>
        </w:tc>
      </w:tr>
      <w:tr w:rsidR="00250039" w:rsidRPr="00E4265B" w14:paraId="7C9382FB" w14:textId="77777777" w:rsidTr="004E1995">
        <w:trPr>
          <w:jc w:val="center"/>
        </w:trPr>
        <w:tc>
          <w:tcPr>
            <w:tcW w:w="3859" w:type="pct"/>
          </w:tcPr>
          <w:p w14:paraId="240A5FED" w14:textId="77777777" w:rsidR="00250039" w:rsidRPr="00E4265B" w:rsidRDefault="00250039" w:rsidP="00250039">
            <w:pPr>
              <w:spacing w:before="120" w:after="120" w:line="276" w:lineRule="auto"/>
              <w:rPr>
                <w:rFonts w:ascii="Arial" w:hAnsi="Arial" w:cs="Arial"/>
                <w:color w:val="000000" w:themeColor="text1"/>
                <w:sz w:val="22"/>
                <w:szCs w:val="22"/>
              </w:rPr>
            </w:pPr>
            <w:r w:rsidRPr="00E4265B">
              <w:rPr>
                <w:rFonts w:ascii="Arial" w:hAnsi="Arial" w:cs="Arial"/>
                <w:color w:val="000000" w:themeColor="text1"/>
                <w:sz w:val="22"/>
                <w:szCs w:val="22"/>
              </w:rPr>
              <w:t>Level 1 HQLA</w:t>
            </w:r>
          </w:p>
        </w:tc>
        <w:tc>
          <w:tcPr>
            <w:tcW w:w="1141" w:type="pct"/>
          </w:tcPr>
          <w:p w14:paraId="3D0ED1CD" w14:textId="77777777" w:rsidR="00250039" w:rsidRPr="00E4265B" w:rsidRDefault="00250039" w:rsidP="00250039">
            <w:pPr>
              <w:spacing w:before="120" w:after="120" w:line="276" w:lineRule="auto"/>
              <w:jc w:val="center"/>
              <w:rPr>
                <w:rFonts w:ascii="Arial" w:hAnsi="Arial" w:cs="Arial"/>
                <w:color w:val="000000" w:themeColor="text1"/>
                <w:sz w:val="22"/>
                <w:szCs w:val="22"/>
              </w:rPr>
            </w:pPr>
            <w:r w:rsidRPr="00E4265B">
              <w:rPr>
                <w:rFonts w:ascii="Arial" w:hAnsi="Arial" w:cs="Arial"/>
                <w:color w:val="000000" w:themeColor="text1"/>
                <w:sz w:val="22"/>
                <w:szCs w:val="22"/>
              </w:rPr>
              <w:t>0%</w:t>
            </w:r>
          </w:p>
        </w:tc>
      </w:tr>
      <w:tr w:rsidR="00250039" w:rsidRPr="00E4265B" w14:paraId="511371F8" w14:textId="77777777" w:rsidTr="004E1995">
        <w:trPr>
          <w:jc w:val="center"/>
        </w:trPr>
        <w:tc>
          <w:tcPr>
            <w:tcW w:w="3859" w:type="pct"/>
          </w:tcPr>
          <w:p w14:paraId="4214CB66" w14:textId="77777777" w:rsidR="00250039" w:rsidRPr="00E4265B" w:rsidRDefault="00250039" w:rsidP="00250039">
            <w:pPr>
              <w:spacing w:before="120" w:after="120" w:line="276" w:lineRule="auto"/>
              <w:rPr>
                <w:rFonts w:ascii="Arial" w:hAnsi="Arial" w:cs="Arial"/>
                <w:color w:val="000000" w:themeColor="text1"/>
                <w:sz w:val="22"/>
                <w:szCs w:val="22"/>
              </w:rPr>
            </w:pPr>
            <w:r w:rsidRPr="00E4265B">
              <w:rPr>
                <w:rFonts w:ascii="Arial" w:hAnsi="Arial" w:cs="Arial"/>
                <w:color w:val="000000" w:themeColor="text1"/>
                <w:sz w:val="22"/>
                <w:szCs w:val="22"/>
              </w:rPr>
              <w:t>Level 2A HQLA</w:t>
            </w:r>
          </w:p>
        </w:tc>
        <w:tc>
          <w:tcPr>
            <w:tcW w:w="1141" w:type="pct"/>
          </w:tcPr>
          <w:p w14:paraId="32CBD768" w14:textId="77777777" w:rsidR="00250039" w:rsidRPr="00E4265B" w:rsidRDefault="00250039" w:rsidP="00250039">
            <w:pPr>
              <w:spacing w:before="120" w:after="120" w:line="276" w:lineRule="auto"/>
              <w:jc w:val="center"/>
              <w:rPr>
                <w:rFonts w:ascii="Arial" w:hAnsi="Arial" w:cs="Arial"/>
                <w:color w:val="000000" w:themeColor="text1"/>
                <w:sz w:val="22"/>
                <w:szCs w:val="22"/>
              </w:rPr>
            </w:pPr>
            <w:r w:rsidRPr="00E4265B">
              <w:rPr>
                <w:rFonts w:ascii="Arial" w:hAnsi="Arial" w:cs="Arial"/>
                <w:color w:val="000000" w:themeColor="text1"/>
                <w:sz w:val="22"/>
                <w:szCs w:val="22"/>
              </w:rPr>
              <w:t>15%</w:t>
            </w:r>
          </w:p>
        </w:tc>
      </w:tr>
      <w:tr w:rsidR="00250039" w:rsidRPr="00E4265B" w14:paraId="27D515FF" w14:textId="77777777" w:rsidTr="004E1995">
        <w:trPr>
          <w:jc w:val="center"/>
        </w:trPr>
        <w:tc>
          <w:tcPr>
            <w:tcW w:w="3859" w:type="pct"/>
          </w:tcPr>
          <w:p w14:paraId="720811FB" w14:textId="77777777" w:rsidR="00250039" w:rsidRPr="00E4265B" w:rsidRDefault="00250039" w:rsidP="00250039">
            <w:pPr>
              <w:spacing w:before="120" w:after="120" w:line="276" w:lineRule="auto"/>
              <w:rPr>
                <w:rFonts w:ascii="Arial" w:hAnsi="Arial" w:cs="Arial"/>
                <w:color w:val="000000" w:themeColor="text1"/>
                <w:sz w:val="22"/>
                <w:szCs w:val="22"/>
              </w:rPr>
            </w:pPr>
            <w:r w:rsidRPr="00E4265B">
              <w:rPr>
                <w:rFonts w:ascii="Arial" w:hAnsi="Arial" w:cs="Arial"/>
                <w:color w:val="000000" w:themeColor="text1"/>
                <w:sz w:val="22"/>
                <w:szCs w:val="22"/>
              </w:rPr>
              <w:t>Level 2B HQLA – eligible asset –backed securities</w:t>
            </w:r>
          </w:p>
        </w:tc>
        <w:tc>
          <w:tcPr>
            <w:tcW w:w="1141" w:type="pct"/>
          </w:tcPr>
          <w:p w14:paraId="3AA6B0B0" w14:textId="77777777" w:rsidR="00250039" w:rsidRPr="00E4265B" w:rsidRDefault="00250039" w:rsidP="00250039">
            <w:pPr>
              <w:spacing w:before="120" w:after="120" w:line="276" w:lineRule="auto"/>
              <w:jc w:val="center"/>
              <w:rPr>
                <w:rFonts w:ascii="Arial" w:hAnsi="Arial" w:cs="Arial"/>
                <w:color w:val="000000" w:themeColor="text1"/>
                <w:sz w:val="22"/>
                <w:szCs w:val="22"/>
              </w:rPr>
            </w:pPr>
            <w:r w:rsidRPr="00E4265B">
              <w:rPr>
                <w:rFonts w:ascii="Arial" w:hAnsi="Arial" w:cs="Arial"/>
                <w:color w:val="000000" w:themeColor="text1"/>
                <w:sz w:val="22"/>
                <w:szCs w:val="22"/>
              </w:rPr>
              <w:t>25%</w:t>
            </w:r>
          </w:p>
        </w:tc>
      </w:tr>
      <w:tr w:rsidR="00250039" w:rsidRPr="00E4265B" w14:paraId="024CCEF6" w14:textId="77777777" w:rsidTr="004E1995">
        <w:trPr>
          <w:jc w:val="center"/>
        </w:trPr>
        <w:tc>
          <w:tcPr>
            <w:tcW w:w="3859" w:type="pct"/>
          </w:tcPr>
          <w:p w14:paraId="34B9AB1C" w14:textId="77777777" w:rsidR="00250039" w:rsidRPr="00E4265B" w:rsidRDefault="00250039" w:rsidP="00250039">
            <w:pPr>
              <w:spacing w:before="120" w:after="120" w:line="276" w:lineRule="auto"/>
              <w:rPr>
                <w:rFonts w:ascii="Arial" w:hAnsi="Arial" w:cs="Arial"/>
                <w:color w:val="000000" w:themeColor="text1"/>
                <w:sz w:val="22"/>
                <w:szCs w:val="22"/>
              </w:rPr>
            </w:pPr>
            <w:r w:rsidRPr="00E4265B">
              <w:rPr>
                <w:rFonts w:ascii="Arial" w:hAnsi="Arial" w:cs="Arial"/>
                <w:color w:val="000000" w:themeColor="text1"/>
                <w:sz w:val="22"/>
                <w:szCs w:val="22"/>
              </w:rPr>
              <w:t>Level 2B HQLA – other HQLA</w:t>
            </w:r>
          </w:p>
        </w:tc>
        <w:tc>
          <w:tcPr>
            <w:tcW w:w="1141" w:type="pct"/>
          </w:tcPr>
          <w:p w14:paraId="51E611FC" w14:textId="77777777" w:rsidR="00250039" w:rsidRPr="00E4265B" w:rsidRDefault="00250039" w:rsidP="00250039">
            <w:pPr>
              <w:spacing w:before="120" w:after="120" w:line="276" w:lineRule="auto"/>
              <w:jc w:val="center"/>
              <w:rPr>
                <w:rFonts w:ascii="Arial" w:hAnsi="Arial" w:cs="Arial"/>
                <w:color w:val="000000" w:themeColor="text1"/>
                <w:sz w:val="22"/>
                <w:szCs w:val="22"/>
              </w:rPr>
            </w:pPr>
            <w:r w:rsidRPr="00E4265B">
              <w:rPr>
                <w:rFonts w:ascii="Arial" w:hAnsi="Arial" w:cs="Arial"/>
                <w:color w:val="000000" w:themeColor="text1"/>
                <w:sz w:val="22"/>
                <w:szCs w:val="22"/>
              </w:rPr>
              <w:t>50%</w:t>
            </w:r>
          </w:p>
        </w:tc>
      </w:tr>
      <w:tr w:rsidR="00250039" w:rsidRPr="00E4265B" w14:paraId="1C92BAE8" w14:textId="77777777" w:rsidTr="004E1995">
        <w:trPr>
          <w:jc w:val="center"/>
        </w:trPr>
        <w:tc>
          <w:tcPr>
            <w:tcW w:w="3859" w:type="pct"/>
          </w:tcPr>
          <w:p w14:paraId="57AC61BF" w14:textId="77777777" w:rsidR="00250039" w:rsidRPr="00E4265B" w:rsidRDefault="00250039" w:rsidP="00250039">
            <w:pPr>
              <w:spacing w:before="120" w:after="120" w:line="276" w:lineRule="auto"/>
              <w:rPr>
                <w:rFonts w:ascii="Arial" w:hAnsi="Arial" w:cs="Arial"/>
                <w:color w:val="000000" w:themeColor="text1"/>
                <w:sz w:val="22"/>
                <w:szCs w:val="22"/>
              </w:rPr>
            </w:pPr>
            <w:r w:rsidRPr="00E4265B">
              <w:rPr>
                <w:rFonts w:ascii="Arial" w:hAnsi="Arial" w:cs="Arial"/>
                <w:color w:val="000000" w:themeColor="text1"/>
                <w:sz w:val="22"/>
                <w:szCs w:val="22"/>
              </w:rPr>
              <w:t>Non-HQLA eligible trading assets that are Investment Grade</w:t>
            </w:r>
          </w:p>
        </w:tc>
        <w:tc>
          <w:tcPr>
            <w:tcW w:w="1141" w:type="pct"/>
          </w:tcPr>
          <w:p w14:paraId="0B2EC6F1" w14:textId="77777777" w:rsidR="00250039" w:rsidRPr="00E4265B" w:rsidRDefault="00250039" w:rsidP="00250039">
            <w:pPr>
              <w:spacing w:before="120" w:after="120" w:line="276" w:lineRule="auto"/>
              <w:jc w:val="center"/>
              <w:rPr>
                <w:rFonts w:ascii="Arial" w:hAnsi="Arial" w:cs="Arial"/>
                <w:color w:val="000000" w:themeColor="text1"/>
                <w:sz w:val="22"/>
                <w:szCs w:val="22"/>
              </w:rPr>
            </w:pPr>
            <w:r w:rsidRPr="00E4265B">
              <w:rPr>
                <w:rFonts w:ascii="Arial" w:hAnsi="Arial" w:cs="Arial"/>
                <w:color w:val="000000" w:themeColor="text1"/>
                <w:sz w:val="22"/>
                <w:szCs w:val="22"/>
              </w:rPr>
              <w:t>60%</w:t>
            </w:r>
          </w:p>
        </w:tc>
      </w:tr>
    </w:tbl>
    <w:p w14:paraId="1A43A689" w14:textId="77777777" w:rsidR="00250039" w:rsidRPr="00E4265B" w:rsidRDefault="00250039" w:rsidP="00D05716">
      <w:pPr>
        <w:pStyle w:val="1List"/>
        <w:rPr>
          <w:rFonts w:ascii="Arial" w:hAnsi="Arial" w:cs="Arial"/>
          <w:sz w:val="22"/>
          <w:szCs w:val="22"/>
          <w:lang w:val="en-GB"/>
        </w:rPr>
      </w:pPr>
    </w:p>
    <w:p w14:paraId="02BE4B8B" w14:textId="4A68D4D3" w:rsidR="00B02FBA" w:rsidRPr="00E4265B" w:rsidRDefault="00EF79A8" w:rsidP="00D05716">
      <w:pPr>
        <w:pStyle w:val="1List"/>
        <w:rPr>
          <w:rFonts w:ascii="Arial" w:hAnsi="Arial" w:cs="Arial"/>
          <w:sz w:val="22"/>
          <w:szCs w:val="22"/>
          <w:lang w:val="en-GB"/>
        </w:rPr>
      </w:pPr>
      <w:r w:rsidRPr="00E4265B">
        <w:rPr>
          <w:rFonts w:ascii="Arial" w:hAnsi="Arial" w:cs="Arial"/>
          <w:sz w:val="22"/>
          <w:szCs w:val="22"/>
          <w:lang w:val="en-GB"/>
        </w:rPr>
        <w:t>(5</w:t>
      </w:r>
      <w:r w:rsidR="00384436" w:rsidRPr="00E4265B">
        <w:rPr>
          <w:rFonts w:ascii="Arial" w:hAnsi="Arial" w:cs="Arial"/>
          <w:sz w:val="22"/>
          <w:szCs w:val="22"/>
          <w:lang w:val="en-GB"/>
        </w:rPr>
        <w:t>)</w:t>
      </w:r>
      <w:r w:rsidR="00E22FF2" w:rsidRPr="00E4265B">
        <w:rPr>
          <w:rFonts w:ascii="Arial" w:hAnsi="Arial" w:cs="Arial"/>
          <w:sz w:val="22"/>
          <w:szCs w:val="22"/>
          <w:lang w:val="en-GB"/>
        </w:rPr>
        <w:tab/>
        <w:t>The Regulator may va</w:t>
      </w:r>
      <w:r w:rsidR="00250039" w:rsidRPr="00E4265B">
        <w:rPr>
          <w:rFonts w:ascii="Arial" w:hAnsi="Arial" w:cs="Arial"/>
          <w:sz w:val="22"/>
          <w:szCs w:val="22"/>
          <w:lang w:val="en-GB"/>
        </w:rPr>
        <w:t>ry the discount factors</w:t>
      </w:r>
      <w:r w:rsidR="00E22FF2" w:rsidRPr="00E4265B">
        <w:rPr>
          <w:rFonts w:ascii="Arial" w:hAnsi="Arial" w:cs="Arial"/>
          <w:sz w:val="22"/>
          <w:szCs w:val="22"/>
          <w:lang w:val="en-GB"/>
        </w:rPr>
        <w:t xml:space="preserve"> to reflect the conditions of a particular market or institution.</w:t>
      </w:r>
      <w:bookmarkStart w:id="1011" w:name="_Toc404624449"/>
    </w:p>
    <w:p w14:paraId="5D310930" w14:textId="77777777" w:rsidR="00250039" w:rsidRPr="00E4265B" w:rsidRDefault="00250039" w:rsidP="00250039">
      <w:pPr>
        <w:pStyle w:val="UK12Title2"/>
        <w:tabs>
          <w:tab w:val="clear" w:pos="994"/>
          <w:tab w:val="left" w:pos="1134"/>
        </w:tabs>
        <w:ind w:left="1134" w:hanging="1134"/>
        <w:rPr>
          <w:rFonts w:ascii="Arial" w:hAnsi="Arial" w:cs="Arial"/>
          <w:sz w:val="22"/>
          <w:szCs w:val="22"/>
        </w:rPr>
      </w:pPr>
      <w:bookmarkStart w:id="1012" w:name="_Toc33622515"/>
      <w:r w:rsidRPr="00E4265B">
        <w:rPr>
          <w:rFonts w:ascii="Arial" w:hAnsi="Arial" w:cs="Arial"/>
          <w:sz w:val="22"/>
          <w:szCs w:val="22"/>
        </w:rPr>
        <w:t>A10.4</w:t>
      </w:r>
      <w:r w:rsidRPr="00E4265B">
        <w:rPr>
          <w:rFonts w:ascii="Arial" w:hAnsi="Arial" w:cs="Arial"/>
          <w:sz w:val="22"/>
          <w:szCs w:val="22"/>
        </w:rPr>
        <w:tab/>
        <w:t>The Net Stable Funding Ratio</w:t>
      </w:r>
      <w:bookmarkEnd w:id="1012"/>
    </w:p>
    <w:p w14:paraId="3D3A4E41" w14:textId="77777777" w:rsidR="00250039" w:rsidRPr="00E4265B" w:rsidRDefault="00250039" w:rsidP="00250039">
      <w:pPr>
        <w:pStyle w:val="TitleL5"/>
        <w:ind w:left="1134"/>
        <w:rPr>
          <w:rFonts w:ascii="Arial" w:hAnsi="Arial" w:cs="Arial"/>
          <w:sz w:val="22"/>
          <w:szCs w:val="22"/>
        </w:rPr>
      </w:pPr>
      <w:r w:rsidRPr="00E4265B">
        <w:rPr>
          <w:rFonts w:ascii="Arial" w:hAnsi="Arial" w:cs="Arial"/>
          <w:sz w:val="22"/>
          <w:szCs w:val="22"/>
        </w:rPr>
        <w:t xml:space="preserve">Guidance </w:t>
      </w:r>
    </w:p>
    <w:p w14:paraId="00D8E8F6" w14:textId="77777777" w:rsidR="00250039" w:rsidRPr="00E4265B" w:rsidRDefault="00250039" w:rsidP="00250039">
      <w:pPr>
        <w:pStyle w:val="1List0"/>
        <w:ind w:left="1701" w:hanging="567"/>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Neither the NSFR, nor the LCR, should be seen by an Authorised Person as providing a complete picture of its funding profile or the stability of the funding available to it.  An Authorised Person should always conduct further assessments of its funding needs and sources of funding to complement the information obtained from the two measures.</w:t>
      </w:r>
    </w:p>
    <w:p w14:paraId="1C6DD493" w14:textId="77777777" w:rsidR="00250039" w:rsidRPr="00E4265B" w:rsidRDefault="00250039" w:rsidP="00250039">
      <w:pPr>
        <w:pStyle w:val="1List0"/>
        <w:ind w:left="1701" w:hanging="567"/>
        <w:rPr>
          <w:rFonts w:ascii="Arial" w:hAnsi="Arial" w:cs="Arial"/>
          <w:sz w:val="22"/>
          <w:szCs w:val="22"/>
        </w:rPr>
      </w:pPr>
      <w:r w:rsidRPr="00E4265B">
        <w:rPr>
          <w:rFonts w:ascii="Arial" w:hAnsi="Arial" w:cs="Arial"/>
          <w:sz w:val="22"/>
          <w:szCs w:val="22"/>
        </w:rPr>
        <w:t>2.</w:t>
      </w:r>
      <w:r w:rsidRPr="00E4265B">
        <w:rPr>
          <w:rFonts w:ascii="Arial" w:hAnsi="Arial" w:cs="Arial"/>
          <w:sz w:val="22"/>
          <w:szCs w:val="22"/>
        </w:rPr>
        <w:tab/>
        <w:t>Terms used for the NSFR mirror those in use for the LCR, unless otherwise stated.</w:t>
      </w:r>
    </w:p>
    <w:p w14:paraId="3C80CF84"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A10.4.1</w:t>
      </w:r>
      <w:r w:rsidRPr="00E4265B">
        <w:rPr>
          <w:rFonts w:ascii="Arial" w:hAnsi="Arial" w:cs="Arial"/>
          <w:bCs/>
          <w:sz w:val="22"/>
          <w:szCs w:val="22"/>
          <w:lang w:val="en-GB"/>
        </w:rPr>
        <w:tab/>
      </w:r>
      <w:r w:rsidRPr="00E4265B">
        <w:rPr>
          <w:rFonts w:ascii="Arial" w:hAnsi="Arial" w:cs="Arial"/>
          <w:sz w:val="22"/>
          <w:szCs w:val="22"/>
          <w:lang w:val="en-GB"/>
        </w:rPr>
        <w:t>An Authorised Person must calculate its NSFR on an ongoing basis, using the total amount of Available Stable Funding calculated in accordance with Rule A10.4.8 and the total amount of Required Stable Funding calculated in accordance with Rule A10.4.9.</w:t>
      </w:r>
    </w:p>
    <w:p w14:paraId="34A5BE34" w14:textId="77777777" w:rsidR="00250039" w:rsidRPr="00E4265B" w:rsidRDefault="00250039" w:rsidP="00250039">
      <w:pPr>
        <w:pStyle w:val="TitleL5"/>
        <w:ind w:left="1134"/>
        <w:rPr>
          <w:rFonts w:ascii="Arial" w:hAnsi="Arial" w:cs="Arial"/>
          <w:sz w:val="22"/>
          <w:szCs w:val="22"/>
        </w:rPr>
      </w:pPr>
      <w:r w:rsidRPr="00E4265B">
        <w:rPr>
          <w:rFonts w:ascii="Arial" w:hAnsi="Arial" w:cs="Arial"/>
          <w:sz w:val="22"/>
          <w:szCs w:val="22"/>
        </w:rPr>
        <w:t xml:space="preserve">Guidance </w:t>
      </w:r>
    </w:p>
    <w:p w14:paraId="557E985F" w14:textId="77777777" w:rsidR="00250039" w:rsidRPr="00E4265B" w:rsidRDefault="00250039" w:rsidP="00250039">
      <w:pPr>
        <w:pStyle w:val="1List0"/>
        <w:ind w:left="1701" w:hanging="567"/>
        <w:rPr>
          <w:rFonts w:ascii="Arial" w:hAnsi="Arial" w:cs="Arial"/>
          <w:sz w:val="22"/>
          <w:szCs w:val="22"/>
        </w:rPr>
      </w:pPr>
      <w:r w:rsidRPr="00E4265B">
        <w:rPr>
          <w:rFonts w:ascii="Arial" w:hAnsi="Arial" w:cs="Arial"/>
          <w:sz w:val="22"/>
          <w:szCs w:val="22"/>
        </w:rPr>
        <w:t>1.</w:t>
      </w:r>
      <w:r w:rsidRPr="00E4265B">
        <w:rPr>
          <w:rFonts w:ascii="Arial" w:hAnsi="Arial" w:cs="Arial"/>
          <w:sz w:val="22"/>
          <w:szCs w:val="22"/>
        </w:rPr>
        <w:tab/>
        <w:t>An Authorised Person should calculate its NSFR with appropriate frequency to ensure that it is able to monitor its satisfaction of the requirement in Rule 10.4.1 at all times and, additionally, where it believes that a change has happened to its Available Stable Funding or Required Stable Funding that might result in a material change to the level of its NSFR.</w:t>
      </w:r>
    </w:p>
    <w:p w14:paraId="74A8594A" w14:textId="77777777" w:rsidR="00250039" w:rsidRPr="00E4265B" w:rsidRDefault="00250039" w:rsidP="00250039">
      <w:pPr>
        <w:pStyle w:val="1List0"/>
        <w:ind w:left="1701" w:hanging="567"/>
        <w:rPr>
          <w:rFonts w:ascii="Arial" w:hAnsi="Arial" w:cs="Arial"/>
          <w:sz w:val="22"/>
          <w:szCs w:val="22"/>
        </w:rPr>
      </w:pPr>
      <w:r w:rsidRPr="00E4265B">
        <w:rPr>
          <w:rFonts w:ascii="Arial" w:hAnsi="Arial" w:cs="Arial"/>
          <w:sz w:val="22"/>
          <w:szCs w:val="22"/>
        </w:rPr>
        <w:t>2.</w:t>
      </w:r>
      <w:r w:rsidRPr="00E4265B">
        <w:rPr>
          <w:rFonts w:ascii="Arial" w:hAnsi="Arial" w:cs="Arial"/>
          <w:sz w:val="22"/>
          <w:szCs w:val="22"/>
        </w:rPr>
        <w:tab/>
        <w:t>For Available Stable Funding, i.e. on the funding side, the ASF factors have been calibrated to reflect the tenor of the funding with longer-term liabilities assumed to be more stable than short-term liabilities, and also the nature of the counterparty providing the funding.</w:t>
      </w:r>
    </w:p>
    <w:p w14:paraId="7976517B" w14:textId="77777777" w:rsidR="00250039" w:rsidRPr="00E4265B" w:rsidRDefault="00250039" w:rsidP="00250039">
      <w:pPr>
        <w:pStyle w:val="1List0"/>
        <w:ind w:left="1701" w:hanging="567"/>
        <w:rPr>
          <w:rFonts w:ascii="Arial" w:hAnsi="Arial" w:cs="Arial"/>
          <w:sz w:val="22"/>
          <w:szCs w:val="22"/>
        </w:rPr>
      </w:pPr>
      <w:r w:rsidRPr="00E4265B">
        <w:rPr>
          <w:rFonts w:ascii="Arial" w:hAnsi="Arial" w:cs="Arial"/>
          <w:sz w:val="22"/>
          <w:szCs w:val="22"/>
        </w:rPr>
        <w:t>3.</w:t>
      </w:r>
      <w:r w:rsidRPr="00E4265B">
        <w:rPr>
          <w:rFonts w:ascii="Arial" w:hAnsi="Arial" w:cs="Arial"/>
          <w:sz w:val="22"/>
          <w:szCs w:val="22"/>
        </w:rPr>
        <w:tab/>
        <w:t xml:space="preserve">For Required Stable Funding, i.e. covering assets and off-balance sheet items, the RSF factors again reflect the tenor of the assets.  The calibration of the factors assumes that short-dated assets should attract lower RSF factors as a proportion of them could be allowed to run to maturity instead of </w:t>
      </w:r>
      <w:r w:rsidRPr="00E4265B">
        <w:rPr>
          <w:rFonts w:ascii="Arial" w:hAnsi="Arial" w:cs="Arial"/>
          <w:sz w:val="22"/>
          <w:szCs w:val="22"/>
        </w:rPr>
        <w:lastRenderedPageBreak/>
        <w:t>requiring further funding in the event of their being rolled over, which may also be influenced by the desire to maintain customer relationships.  Similarly, unencumbered, high-quality assets may be more easily securitised or traded to provide additional funding and this is recognised in lower RSF factors.</w:t>
      </w:r>
    </w:p>
    <w:p w14:paraId="4B20E793" w14:textId="77777777" w:rsidR="00250039" w:rsidRPr="00E4265B" w:rsidRDefault="00250039" w:rsidP="00250039">
      <w:pPr>
        <w:pStyle w:val="TitleL5"/>
        <w:ind w:left="1134"/>
        <w:rPr>
          <w:rFonts w:ascii="Arial" w:hAnsi="Arial" w:cs="Arial"/>
          <w:sz w:val="22"/>
          <w:szCs w:val="22"/>
        </w:rPr>
      </w:pPr>
      <w:r w:rsidRPr="00E4265B">
        <w:rPr>
          <w:rFonts w:ascii="Arial" w:hAnsi="Arial" w:cs="Arial"/>
          <w:sz w:val="22"/>
          <w:szCs w:val="22"/>
        </w:rPr>
        <w:t>Available Stable Funding (ASF)</w:t>
      </w:r>
    </w:p>
    <w:p w14:paraId="4860D109"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A10.4.2</w:t>
      </w:r>
      <w:r w:rsidRPr="00E4265B">
        <w:rPr>
          <w:rFonts w:ascii="Arial" w:hAnsi="Arial" w:cs="Arial"/>
          <w:bCs/>
          <w:sz w:val="22"/>
          <w:szCs w:val="22"/>
          <w:lang w:val="en-GB"/>
        </w:rPr>
        <w:tab/>
        <w:t>Subject to Rule A10.4.6, a</w:t>
      </w:r>
      <w:r w:rsidRPr="00E4265B">
        <w:rPr>
          <w:rFonts w:ascii="Arial" w:hAnsi="Arial" w:cs="Arial"/>
          <w:sz w:val="22"/>
          <w:szCs w:val="22"/>
          <w:lang w:val="en-GB"/>
        </w:rPr>
        <w:t>n Authorised Person must identify its capital instruments that are to be included in its Available Stable Funding by considering the capital elements that are meet the requirements for eligibility under:</w:t>
      </w:r>
    </w:p>
    <w:p w14:paraId="45402FEB" w14:textId="77777777" w:rsidR="00250039" w:rsidRPr="00E4265B" w:rsidRDefault="00250039" w:rsidP="0019712D">
      <w:pPr>
        <w:pStyle w:val="A1List"/>
        <w:numPr>
          <w:ilvl w:val="0"/>
          <w:numId w:val="82"/>
        </w:numPr>
        <w:ind w:left="1701" w:hanging="567"/>
        <w:rPr>
          <w:rFonts w:ascii="Arial" w:hAnsi="Arial" w:cs="Arial"/>
          <w:sz w:val="22"/>
          <w:szCs w:val="22"/>
          <w:lang w:val="en-GB"/>
        </w:rPr>
      </w:pPr>
      <w:r w:rsidRPr="00E4265B">
        <w:rPr>
          <w:rFonts w:ascii="Arial" w:hAnsi="Arial" w:cs="Arial"/>
          <w:sz w:val="22"/>
          <w:szCs w:val="22"/>
          <w:lang w:val="en-GB"/>
        </w:rPr>
        <w:t>Rule 3.10.2;</w:t>
      </w:r>
    </w:p>
    <w:p w14:paraId="4A7B288E" w14:textId="77777777" w:rsidR="00250039" w:rsidRPr="00E4265B" w:rsidRDefault="00250039" w:rsidP="0019712D">
      <w:pPr>
        <w:pStyle w:val="A1List"/>
        <w:numPr>
          <w:ilvl w:val="0"/>
          <w:numId w:val="82"/>
        </w:numPr>
        <w:ind w:left="1701" w:hanging="567"/>
        <w:rPr>
          <w:rFonts w:ascii="Arial" w:hAnsi="Arial" w:cs="Arial"/>
          <w:sz w:val="22"/>
          <w:szCs w:val="22"/>
          <w:lang w:val="en-GB"/>
        </w:rPr>
      </w:pPr>
      <w:r w:rsidRPr="00E4265B">
        <w:rPr>
          <w:rFonts w:ascii="Arial" w:hAnsi="Arial" w:cs="Arial"/>
          <w:sz w:val="22"/>
          <w:szCs w:val="22"/>
          <w:lang w:val="en-GB"/>
        </w:rPr>
        <w:t>Rule 3.11.2; and</w:t>
      </w:r>
    </w:p>
    <w:p w14:paraId="71CFB5C9" w14:textId="77777777" w:rsidR="00250039" w:rsidRPr="00E4265B" w:rsidRDefault="00250039" w:rsidP="0019712D">
      <w:pPr>
        <w:pStyle w:val="A1List"/>
        <w:numPr>
          <w:ilvl w:val="0"/>
          <w:numId w:val="82"/>
        </w:numPr>
        <w:ind w:left="1701" w:hanging="567"/>
        <w:rPr>
          <w:rFonts w:ascii="Arial" w:hAnsi="Arial" w:cs="Arial"/>
          <w:sz w:val="22"/>
          <w:szCs w:val="22"/>
          <w:lang w:val="en-GB"/>
        </w:rPr>
      </w:pPr>
      <w:r w:rsidRPr="00E4265B">
        <w:rPr>
          <w:rFonts w:ascii="Arial" w:hAnsi="Arial" w:cs="Arial"/>
          <w:sz w:val="22"/>
          <w:szCs w:val="22"/>
          <w:lang w:val="en-GB"/>
        </w:rPr>
        <w:t>Rule 3.12.2, excluding all Tier 2 capital instruments with residual maturity of less than one year.</w:t>
      </w:r>
    </w:p>
    <w:p w14:paraId="487DD6EE"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A10.4.3</w:t>
      </w:r>
      <w:r w:rsidRPr="00E4265B">
        <w:rPr>
          <w:rFonts w:ascii="Arial" w:hAnsi="Arial" w:cs="Arial"/>
          <w:bCs/>
          <w:sz w:val="22"/>
          <w:szCs w:val="22"/>
          <w:lang w:val="en-GB"/>
        </w:rPr>
        <w:tab/>
        <w:t>Subject to Rule A10.4.6, a</w:t>
      </w:r>
      <w:r w:rsidRPr="00E4265B">
        <w:rPr>
          <w:rFonts w:ascii="Arial" w:hAnsi="Arial" w:cs="Arial"/>
          <w:sz w:val="22"/>
          <w:szCs w:val="22"/>
          <w:lang w:val="en-GB"/>
        </w:rPr>
        <w:t>n Authorised Person must include in the calculation of its Available Stable Funding the total amount of its other capital instruments that are not captured under A10.4.2 and that have a residual maturity of one year or more.</w:t>
      </w:r>
    </w:p>
    <w:p w14:paraId="1EAB4C7E"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A10.4.4</w:t>
      </w:r>
      <w:r w:rsidRPr="00E4265B">
        <w:rPr>
          <w:rFonts w:ascii="Arial" w:hAnsi="Arial" w:cs="Arial"/>
          <w:bCs/>
          <w:sz w:val="22"/>
          <w:szCs w:val="22"/>
          <w:lang w:val="en-GB"/>
        </w:rPr>
        <w:tab/>
        <w:t>Where the value of a Derivative Contract</w:t>
      </w:r>
      <w:r w:rsidRPr="00E4265B">
        <w:rPr>
          <w:rFonts w:ascii="Arial" w:hAnsi="Arial" w:cs="Arial"/>
          <w:sz w:val="22"/>
          <w:szCs w:val="22"/>
          <w:lang w:val="en-GB"/>
        </w:rPr>
        <w:t xml:space="preserve"> represents a liability for an Authorised Person, the Authorised Person must:</w:t>
      </w:r>
    </w:p>
    <w:p w14:paraId="2CA2440F" w14:textId="77777777" w:rsidR="00250039" w:rsidRPr="00E4265B" w:rsidRDefault="00250039" w:rsidP="0019712D">
      <w:pPr>
        <w:pStyle w:val="1List"/>
        <w:numPr>
          <w:ilvl w:val="0"/>
          <w:numId w:val="85"/>
        </w:numPr>
        <w:ind w:left="1701" w:hanging="567"/>
        <w:rPr>
          <w:rFonts w:ascii="Arial" w:hAnsi="Arial" w:cs="Arial"/>
          <w:sz w:val="22"/>
          <w:szCs w:val="22"/>
          <w:lang w:val="en-GB"/>
        </w:rPr>
      </w:pPr>
      <w:r w:rsidRPr="00E4265B">
        <w:rPr>
          <w:rFonts w:ascii="Arial" w:hAnsi="Arial" w:cs="Arial"/>
          <w:sz w:val="22"/>
          <w:szCs w:val="22"/>
          <w:lang w:val="en-GB"/>
        </w:rPr>
        <w:t>calculate the negative value of the liability as the replacement cost for the contract, obtained by marking-to-market; and</w:t>
      </w:r>
    </w:p>
    <w:p w14:paraId="6819B575" w14:textId="77777777" w:rsidR="00250039" w:rsidRPr="00E4265B" w:rsidRDefault="00250039" w:rsidP="0019712D">
      <w:pPr>
        <w:pStyle w:val="1List"/>
        <w:numPr>
          <w:ilvl w:val="0"/>
          <w:numId w:val="85"/>
        </w:numPr>
        <w:ind w:left="1701" w:hanging="567"/>
        <w:rPr>
          <w:rFonts w:ascii="Arial" w:hAnsi="Arial" w:cs="Arial"/>
          <w:sz w:val="22"/>
          <w:szCs w:val="22"/>
          <w:lang w:val="en-GB"/>
        </w:rPr>
      </w:pPr>
      <w:r w:rsidRPr="00E4265B">
        <w:rPr>
          <w:rFonts w:ascii="Arial" w:hAnsi="Arial" w:cs="Arial"/>
          <w:sz w:val="22"/>
          <w:szCs w:val="22"/>
          <w:lang w:val="en-GB"/>
        </w:rPr>
        <w:t>deduct any collateral posted in the form of variation margin from the negative replacement cost amount.</w:t>
      </w:r>
    </w:p>
    <w:p w14:paraId="3D534AAE"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A10.4.5</w:t>
      </w:r>
      <w:r w:rsidRPr="00E4265B">
        <w:rPr>
          <w:rFonts w:ascii="Arial" w:hAnsi="Arial" w:cs="Arial"/>
          <w:sz w:val="22"/>
          <w:szCs w:val="22"/>
          <w:lang w:val="en-GB"/>
        </w:rPr>
        <w:tab/>
        <w:t>An Authorised Person may use the net replacement cost as the replacement cost for a set of derivative exposures between the Authorised Person and a Counterparty where the following conditions are met:</w:t>
      </w:r>
    </w:p>
    <w:p w14:paraId="3F64D4BF" w14:textId="77777777" w:rsidR="00250039" w:rsidRPr="00E4265B" w:rsidRDefault="00250039" w:rsidP="0019712D">
      <w:pPr>
        <w:pStyle w:val="1List"/>
        <w:numPr>
          <w:ilvl w:val="0"/>
          <w:numId w:val="94"/>
        </w:numPr>
        <w:ind w:left="1701" w:hanging="567"/>
        <w:rPr>
          <w:rFonts w:ascii="Arial" w:hAnsi="Arial" w:cs="Arial"/>
          <w:sz w:val="22"/>
          <w:szCs w:val="22"/>
          <w:lang w:val="en-GB"/>
        </w:rPr>
      </w:pPr>
      <w:r w:rsidRPr="00E4265B">
        <w:rPr>
          <w:rFonts w:ascii="Arial" w:hAnsi="Arial" w:cs="Arial"/>
          <w:sz w:val="22"/>
          <w:szCs w:val="22"/>
          <w:lang w:val="en-GB"/>
        </w:rPr>
        <w:t>an eligible bilateral netting contract must be in place between the Authorised Person and the Counterparty that is binding on the Authorised Person and the Counterparty and that is legally enforceable in all relevant jurisdictions;</w:t>
      </w:r>
    </w:p>
    <w:p w14:paraId="1A426D91" w14:textId="77777777" w:rsidR="00250039" w:rsidRPr="00E4265B" w:rsidRDefault="00250039" w:rsidP="0019712D">
      <w:pPr>
        <w:pStyle w:val="1List"/>
        <w:numPr>
          <w:ilvl w:val="0"/>
          <w:numId w:val="94"/>
        </w:numPr>
        <w:ind w:left="1701" w:hanging="567"/>
        <w:rPr>
          <w:rFonts w:ascii="Arial" w:hAnsi="Arial" w:cs="Arial"/>
          <w:sz w:val="22"/>
          <w:szCs w:val="22"/>
          <w:lang w:val="en-GB"/>
        </w:rPr>
      </w:pPr>
      <w:r w:rsidRPr="00E4265B">
        <w:rPr>
          <w:rFonts w:ascii="Arial" w:hAnsi="Arial" w:cs="Arial"/>
          <w:sz w:val="22"/>
          <w:szCs w:val="22"/>
          <w:lang w:val="en-GB"/>
        </w:rPr>
        <w:t>that contract is a qualified financial contract as specified in the ADGM Insolvency Regulations and meets the conditions specified in Part 7, Chapter 2 therein; and</w:t>
      </w:r>
    </w:p>
    <w:p w14:paraId="017226C7" w14:textId="77777777" w:rsidR="00250039" w:rsidRPr="00E4265B" w:rsidRDefault="00250039" w:rsidP="0019712D">
      <w:pPr>
        <w:pStyle w:val="1List"/>
        <w:numPr>
          <w:ilvl w:val="0"/>
          <w:numId w:val="94"/>
        </w:numPr>
        <w:ind w:left="1701" w:hanging="567"/>
        <w:rPr>
          <w:rFonts w:ascii="Arial" w:hAnsi="Arial" w:cs="Arial"/>
          <w:sz w:val="22"/>
          <w:szCs w:val="22"/>
          <w:lang w:val="en-GB"/>
        </w:rPr>
      </w:pPr>
      <w:r w:rsidRPr="00E4265B">
        <w:rPr>
          <w:rFonts w:ascii="Arial" w:hAnsi="Arial" w:cs="Arial"/>
          <w:sz w:val="22"/>
          <w:szCs w:val="22"/>
          <w:lang w:val="en-GB"/>
        </w:rPr>
        <w:t>the Authorised Person meets the disclosure requirements for the NSFR as specified in App12.</w:t>
      </w:r>
    </w:p>
    <w:p w14:paraId="13463E44"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A10.4.6</w:t>
      </w:r>
      <w:r w:rsidRPr="00E4265B">
        <w:rPr>
          <w:rFonts w:ascii="Arial" w:hAnsi="Arial" w:cs="Arial"/>
          <w:bCs/>
          <w:sz w:val="22"/>
          <w:szCs w:val="22"/>
          <w:lang w:val="en-GB"/>
        </w:rPr>
        <w:tab/>
        <w:t>In determining the residual maturity of an instrument captured under Rule A10.4.2 or Rule A10.4.3 or any other liability that is to be included in the Available Stable Funding, an Authorised Person must calculate the residual maturity of each instrument or liability as being that period up to the earliest point in time at which an investor has the right to exercise their right to redeem their investment or withdraw that source of funding</w:t>
      </w:r>
      <w:r w:rsidRPr="00E4265B">
        <w:rPr>
          <w:rFonts w:ascii="Arial" w:hAnsi="Arial" w:cs="Arial"/>
          <w:sz w:val="22"/>
          <w:szCs w:val="22"/>
          <w:lang w:val="en-GB"/>
        </w:rPr>
        <w:t>.</w:t>
      </w:r>
    </w:p>
    <w:p w14:paraId="08CF835C"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lastRenderedPageBreak/>
        <w:t>A10.4.7</w:t>
      </w:r>
      <w:r w:rsidRPr="00E4265B">
        <w:rPr>
          <w:rFonts w:ascii="Arial" w:hAnsi="Arial" w:cs="Arial"/>
          <w:bCs/>
          <w:sz w:val="22"/>
          <w:szCs w:val="22"/>
          <w:lang w:val="en-GB"/>
        </w:rPr>
        <w:tab/>
      </w:r>
      <w:r w:rsidRPr="00E4265B">
        <w:rPr>
          <w:rFonts w:ascii="Arial" w:hAnsi="Arial" w:cs="Arial"/>
          <w:sz w:val="22"/>
          <w:szCs w:val="22"/>
          <w:lang w:val="en-GB"/>
        </w:rPr>
        <w:t>For long-dated liabilities, the portion of cashflows falling at or beyond the six-month and one-year time horizons must be treated as having an effective residual maturity of six months or more and one year or more, respectively.</w:t>
      </w:r>
    </w:p>
    <w:p w14:paraId="1BEF186F" w14:textId="77777777" w:rsidR="00250039" w:rsidRPr="00E4265B" w:rsidRDefault="00250039" w:rsidP="00250039">
      <w:pPr>
        <w:pStyle w:val="TitleL5"/>
        <w:ind w:left="1134"/>
        <w:rPr>
          <w:rFonts w:ascii="Arial" w:hAnsi="Arial" w:cs="Arial"/>
          <w:sz w:val="22"/>
          <w:szCs w:val="22"/>
        </w:rPr>
      </w:pPr>
      <w:r w:rsidRPr="00E4265B">
        <w:rPr>
          <w:rFonts w:ascii="Arial" w:hAnsi="Arial" w:cs="Arial"/>
          <w:sz w:val="22"/>
          <w:szCs w:val="22"/>
        </w:rPr>
        <w:t>Guidance</w:t>
      </w:r>
    </w:p>
    <w:p w14:paraId="3E891867" w14:textId="77777777" w:rsidR="00250039" w:rsidRPr="00E4265B" w:rsidRDefault="00250039" w:rsidP="0019712D">
      <w:pPr>
        <w:pStyle w:val="A1List"/>
        <w:numPr>
          <w:ilvl w:val="0"/>
          <w:numId w:val="97"/>
        </w:numPr>
        <w:tabs>
          <w:tab w:val="clear" w:pos="990"/>
        </w:tabs>
        <w:ind w:left="1701" w:hanging="567"/>
        <w:rPr>
          <w:rFonts w:ascii="Arial" w:hAnsi="Arial" w:cs="Arial"/>
          <w:sz w:val="22"/>
          <w:szCs w:val="22"/>
          <w:lang w:val="en-GB"/>
        </w:rPr>
      </w:pPr>
      <w:r w:rsidRPr="00E4265B">
        <w:rPr>
          <w:rFonts w:ascii="Arial" w:hAnsi="Arial" w:cs="Arial"/>
          <w:sz w:val="22"/>
          <w:szCs w:val="22"/>
          <w:lang w:val="en-GB"/>
        </w:rPr>
        <w:t>When determining the maturity of a liability or a capital instrument, investors should be assumed to redeem a call option at the earliest possible date available to them. For funding with options exercisable at the discretion of an Authorised Person, the Regulator will take into account reputational factors that may limit the ability of the Authorised Person not to exercise the option.</w:t>
      </w:r>
    </w:p>
    <w:p w14:paraId="2C7A00D9" w14:textId="77777777" w:rsidR="00250039" w:rsidRPr="00E4265B" w:rsidRDefault="00250039" w:rsidP="0019712D">
      <w:pPr>
        <w:pStyle w:val="A1List"/>
        <w:numPr>
          <w:ilvl w:val="0"/>
          <w:numId w:val="97"/>
        </w:numPr>
        <w:tabs>
          <w:tab w:val="clear" w:pos="990"/>
        </w:tabs>
        <w:ind w:left="1701" w:hanging="567"/>
        <w:rPr>
          <w:rFonts w:ascii="Arial" w:hAnsi="Arial" w:cs="Arial"/>
          <w:sz w:val="22"/>
          <w:szCs w:val="22"/>
          <w:lang w:val="en-GB"/>
        </w:rPr>
      </w:pPr>
      <w:r w:rsidRPr="00E4265B">
        <w:rPr>
          <w:rFonts w:ascii="Arial" w:hAnsi="Arial" w:cs="Arial"/>
          <w:sz w:val="22"/>
          <w:szCs w:val="22"/>
          <w:lang w:val="en-GB"/>
        </w:rPr>
        <w:t xml:space="preserve">In particular, where the market expects certain liabilities to be redeemed before their legal final maturity date, Authorised Persons and the Regulator should assume such behaviour for the purpose of calculating the NSFR and include these liabilities in the corresponding ASF category. </w:t>
      </w:r>
    </w:p>
    <w:p w14:paraId="5F7F4352"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A10.4.8</w:t>
      </w:r>
      <w:r w:rsidRPr="00E4265B">
        <w:rPr>
          <w:rFonts w:ascii="Arial" w:hAnsi="Arial" w:cs="Arial"/>
          <w:bCs/>
          <w:sz w:val="22"/>
          <w:szCs w:val="22"/>
          <w:lang w:val="en-GB"/>
        </w:rPr>
        <w:tab/>
      </w:r>
      <w:r w:rsidRPr="00E4265B">
        <w:rPr>
          <w:rFonts w:ascii="Arial" w:hAnsi="Arial" w:cs="Arial"/>
          <w:sz w:val="22"/>
          <w:szCs w:val="22"/>
          <w:lang w:val="en-GB"/>
        </w:rPr>
        <w:t>An Authorised Person must calculate its Available Stable Funding by:</w:t>
      </w:r>
    </w:p>
    <w:p w14:paraId="30468D5D" w14:textId="77777777" w:rsidR="00250039" w:rsidRPr="00E4265B" w:rsidRDefault="00250039" w:rsidP="0019712D">
      <w:pPr>
        <w:pStyle w:val="1List"/>
        <w:numPr>
          <w:ilvl w:val="0"/>
          <w:numId w:val="83"/>
        </w:numPr>
        <w:ind w:left="1701" w:hanging="567"/>
        <w:rPr>
          <w:rFonts w:ascii="Arial" w:hAnsi="Arial" w:cs="Arial"/>
          <w:sz w:val="22"/>
          <w:szCs w:val="22"/>
          <w:lang w:val="en-GB"/>
        </w:rPr>
      </w:pPr>
      <w:r w:rsidRPr="00E4265B">
        <w:rPr>
          <w:rFonts w:ascii="Arial" w:hAnsi="Arial" w:cs="Arial"/>
          <w:sz w:val="22"/>
          <w:szCs w:val="22"/>
          <w:lang w:val="en-GB"/>
        </w:rPr>
        <w:t>assigning each capital instrument and liability to one of the categories in the following table;</w:t>
      </w:r>
    </w:p>
    <w:p w14:paraId="1DA9E3D5" w14:textId="77777777" w:rsidR="00250039" w:rsidRPr="00E4265B" w:rsidRDefault="00250039" w:rsidP="0019712D">
      <w:pPr>
        <w:pStyle w:val="1List"/>
        <w:numPr>
          <w:ilvl w:val="0"/>
          <w:numId w:val="83"/>
        </w:numPr>
        <w:ind w:left="1701" w:hanging="567"/>
        <w:rPr>
          <w:rFonts w:ascii="Arial" w:hAnsi="Arial" w:cs="Arial"/>
          <w:sz w:val="22"/>
          <w:szCs w:val="22"/>
          <w:lang w:val="en-GB"/>
        </w:rPr>
      </w:pPr>
      <w:r w:rsidRPr="00E4265B">
        <w:rPr>
          <w:rFonts w:ascii="Arial" w:hAnsi="Arial" w:cs="Arial"/>
          <w:sz w:val="22"/>
          <w:szCs w:val="22"/>
          <w:lang w:val="en-GB"/>
        </w:rPr>
        <w:t>multiplying the Carrying Value of each capital instrument and liability by the ASF factor associated with that category; and</w:t>
      </w:r>
    </w:p>
    <w:p w14:paraId="19961AF4" w14:textId="77777777" w:rsidR="00250039" w:rsidRPr="00E4265B" w:rsidRDefault="00250039" w:rsidP="0019712D">
      <w:pPr>
        <w:pStyle w:val="1List"/>
        <w:numPr>
          <w:ilvl w:val="0"/>
          <w:numId w:val="83"/>
        </w:numPr>
        <w:ind w:left="1701" w:hanging="567"/>
        <w:rPr>
          <w:rFonts w:ascii="Arial" w:hAnsi="Arial" w:cs="Arial"/>
          <w:sz w:val="22"/>
          <w:szCs w:val="22"/>
          <w:lang w:val="en-GB"/>
        </w:rPr>
      </w:pPr>
      <w:r w:rsidRPr="00E4265B">
        <w:rPr>
          <w:rFonts w:ascii="Arial" w:hAnsi="Arial" w:cs="Arial"/>
          <w:sz w:val="22"/>
          <w:szCs w:val="22"/>
          <w:lang w:val="en-GB"/>
        </w:rPr>
        <w:t>summing those weighted values.</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0"/>
        <w:gridCol w:w="7920"/>
      </w:tblGrid>
      <w:tr w:rsidR="00250039" w:rsidRPr="00E4265B" w14:paraId="3EF50EAA" w14:textId="77777777" w:rsidTr="004E1995">
        <w:trPr>
          <w:trHeight w:val="288"/>
          <w:tblHeader/>
        </w:trPr>
        <w:tc>
          <w:tcPr>
            <w:tcW w:w="1350" w:type="dxa"/>
            <w:shd w:val="clear" w:color="auto" w:fill="D9D9D9" w:themeFill="background1" w:themeFillShade="D9"/>
            <w:vAlign w:val="center"/>
          </w:tcPr>
          <w:p w14:paraId="2E94BB70" w14:textId="77777777" w:rsidR="00250039" w:rsidRPr="00E4265B" w:rsidRDefault="00250039" w:rsidP="004E1995">
            <w:pPr>
              <w:autoSpaceDE w:val="0"/>
              <w:autoSpaceDN w:val="0"/>
              <w:spacing w:before="40" w:afterLines="40" w:after="96" w:line="273" w:lineRule="exact"/>
              <w:ind w:right="93"/>
              <w:jc w:val="center"/>
              <w:rPr>
                <w:rFonts w:ascii="Arial" w:hAnsi="Arial" w:cs="Arial"/>
                <w:b/>
                <w:sz w:val="22"/>
                <w:szCs w:val="22"/>
              </w:rPr>
            </w:pPr>
            <w:r w:rsidRPr="00E4265B">
              <w:rPr>
                <w:rFonts w:ascii="Arial" w:hAnsi="Arial" w:cs="Arial"/>
                <w:b/>
                <w:spacing w:val="1"/>
                <w:sz w:val="22"/>
                <w:szCs w:val="22"/>
              </w:rPr>
              <w:t>ASF factor</w:t>
            </w:r>
          </w:p>
        </w:tc>
        <w:tc>
          <w:tcPr>
            <w:tcW w:w="7920" w:type="dxa"/>
            <w:shd w:val="clear" w:color="auto" w:fill="D9D9D9" w:themeFill="background1" w:themeFillShade="D9"/>
            <w:vAlign w:val="center"/>
            <w:hideMark/>
          </w:tcPr>
          <w:p w14:paraId="1AE78564" w14:textId="77777777" w:rsidR="00250039" w:rsidRPr="00E4265B" w:rsidRDefault="00250039" w:rsidP="004E1995">
            <w:pPr>
              <w:autoSpaceDE w:val="0"/>
              <w:autoSpaceDN w:val="0"/>
              <w:spacing w:before="40" w:afterLines="40" w:after="96" w:line="273" w:lineRule="exact"/>
              <w:ind w:left="-5" w:right="1011"/>
              <w:jc w:val="center"/>
              <w:rPr>
                <w:rFonts w:ascii="Arial" w:hAnsi="Arial" w:cs="Arial"/>
                <w:b/>
                <w:sz w:val="22"/>
                <w:szCs w:val="22"/>
              </w:rPr>
            </w:pPr>
            <w:r w:rsidRPr="00E4265B">
              <w:rPr>
                <w:rFonts w:ascii="Arial" w:hAnsi="Arial" w:cs="Arial"/>
                <w:b/>
                <w:sz w:val="22"/>
                <w:szCs w:val="22"/>
              </w:rPr>
              <w:t>ASF category</w:t>
            </w:r>
          </w:p>
        </w:tc>
      </w:tr>
      <w:tr w:rsidR="00250039" w:rsidRPr="00E4265B" w14:paraId="2D872523" w14:textId="77777777" w:rsidTr="004E1995">
        <w:trPr>
          <w:trHeight w:val="288"/>
        </w:trPr>
        <w:tc>
          <w:tcPr>
            <w:tcW w:w="1350" w:type="dxa"/>
            <w:vMerge w:val="restart"/>
            <w:tcBorders>
              <w:right w:val="single" w:sz="4" w:space="0" w:color="auto"/>
            </w:tcBorders>
            <w:vAlign w:val="center"/>
          </w:tcPr>
          <w:p w14:paraId="5A407895" w14:textId="77777777" w:rsidR="00250039" w:rsidRPr="00E4265B" w:rsidRDefault="00250039" w:rsidP="004E1995">
            <w:pPr>
              <w:autoSpaceDE w:val="0"/>
              <w:autoSpaceDN w:val="0"/>
              <w:spacing w:before="40" w:afterLines="40" w:after="96" w:line="229" w:lineRule="exact"/>
              <w:ind w:left="440" w:right="-20"/>
              <w:rPr>
                <w:rFonts w:ascii="Arial" w:hAnsi="Arial" w:cs="Arial"/>
                <w:sz w:val="22"/>
                <w:szCs w:val="22"/>
              </w:rPr>
            </w:pPr>
            <w:r w:rsidRPr="00E4265B">
              <w:rPr>
                <w:rFonts w:ascii="Arial" w:hAnsi="Arial" w:cs="Arial"/>
                <w:sz w:val="22"/>
                <w:szCs w:val="22"/>
              </w:rPr>
              <w:t>100%</w:t>
            </w:r>
          </w:p>
        </w:tc>
        <w:tc>
          <w:tcPr>
            <w:tcW w:w="7920" w:type="dxa"/>
            <w:tcBorders>
              <w:bottom w:val="nil"/>
              <w:right w:val="single" w:sz="4" w:space="0" w:color="auto"/>
            </w:tcBorders>
            <w:vAlign w:val="center"/>
          </w:tcPr>
          <w:p w14:paraId="765ECA63" w14:textId="77777777" w:rsidR="00250039" w:rsidRPr="00E4265B" w:rsidRDefault="00250039" w:rsidP="0019712D">
            <w:pPr>
              <w:pStyle w:val="ListParagraph"/>
              <w:numPr>
                <w:ilvl w:val="0"/>
                <w:numId w:val="84"/>
              </w:numPr>
              <w:autoSpaceDE w:val="0"/>
              <w:autoSpaceDN w:val="0"/>
              <w:spacing w:before="40" w:afterLines="40" w:after="96" w:line="229" w:lineRule="exact"/>
              <w:ind w:left="541" w:right="-20"/>
              <w:rPr>
                <w:rFonts w:ascii="Arial" w:hAnsi="Arial" w:cs="Arial"/>
                <w:sz w:val="22"/>
                <w:szCs w:val="22"/>
              </w:rPr>
            </w:pPr>
            <w:r w:rsidRPr="00E4265B">
              <w:rPr>
                <w:rFonts w:ascii="Arial" w:hAnsi="Arial" w:cs="Arial"/>
                <w:sz w:val="22"/>
                <w:szCs w:val="22"/>
              </w:rPr>
              <w:t>amounts from Rule A10.4.2</w:t>
            </w:r>
          </w:p>
        </w:tc>
      </w:tr>
      <w:tr w:rsidR="00250039" w:rsidRPr="00E4265B" w14:paraId="55B2C2D4" w14:textId="77777777" w:rsidTr="004E1995">
        <w:trPr>
          <w:trHeight w:val="288"/>
        </w:trPr>
        <w:tc>
          <w:tcPr>
            <w:tcW w:w="1350" w:type="dxa"/>
            <w:vMerge/>
            <w:tcBorders>
              <w:right w:val="single" w:sz="4" w:space="0" w:color="auto"/>
            </w:tcBorders>
            <w:vAlign w:val="center"/>
          </w:tcPr>
          <w:p w14:paraId="34A87C38"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pacing w:val="-1"/>
                <w:sz w:val="22"/>
                <w:szCs w:val="22"/>
              </w:rPr>
            </w:pPr>
          </w:p>
        </w:tc>
        <w:tc>
          <w:tcPr>
            <w:tcW w:w="7920" w:type="dxa"/>
            <w:tcBorders>
              <w:top w:val="nil"/>
              <w:bottom w:val="nil"/>
              <w:right w:val="single" w:sz="4" w:space="0" w:color="auto"/>
            </w:tcBorders>
            <w:vAlign w:val="center"/>
          </w:tcPr>
          <w:p w14:paraId="3EB23547"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amounts from Rule A10.4.3</w:t>
            </w:r>
          </w:p>
        </w:tc>
      </w:tr>
      <w:tr w:rsidR="00250039" w:rsidRPr="00E4265B" w14:paraId="17D1101F" w14:textId="77777777" w:rsidTr="004E1995">
        <w:trPr>
          <w:trHeight w:val="288"/>
        </w:trPr>
        <w:tc>
          <w:tcPr>
            <w:tcW w:w="1350" w:type="dxa"/>
            <w:vMerge/>
            <w:tcBorders>
              <w:right w:val="single" w:sz="4" w:space="0" w:color="auto"/>
            </w:tcBorders>
            <w:vAlign w:val="center"/>
          </w:tcPr>
          <w:p w14:paraId="45E91748"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pacing w:val="-1"/>
                <w:sz w:val="22"/>
                <w:szCs w:val="22"/>
              </w:rPr>
            </w:pPr>
          </w:p>
        </w:tc>
        <w:tc>
          <w:tcPr>
            <w:tcW w:w="7920" w:type="dxa"/>
            <w:tcBorders>
              <w:top w:val="nil"/>
              <w:bottom w:val="single" w:sz="4" w:space="0" w:color="auto"/>
              <w:right w:val="single" w:sz="4" w:space="0" w:color="auto"/>
            </w:tcBorders>
            <w:vAlign w:val="center"/>
          </w:tcPr>
          <w:p w14:paraId="1A2EFDF3"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the total amount of secured and unsecured borrowings and liabilities (including term deposits) with effective residual maturities of one year or more, excluding all cashflows falling below the one-year horizon that are associated with such borrowings and liabilities</w:t>
            </w:r>
          </w:p>
        </w:tc>
      </w:tr>
      <w:tr w:rsidR="00250039" w:rsidRPr="00E4265B" w14:paraId="3F92CCB3" w14:textId="77777777" w:rsidTr="004E1995">
        <w:trPr>
          <w:trHeight w:val="1088"/>
        </w:trPr>
        <w:tc>
          <w:tcPr>
            <w:tcW w:w="1350" w:type="dxa"/>
            <w:vAlign w:val="center"/>
          </w:tcPr>
          <w:p w14:paraId="4A643B9E" w14:textId="77777777" w:rsidR="00250039" w:rsidRPr="00E4265B" w:rsidRDefault="00250039" w:rsidP="004E1995">
            <w:pPr>
              <w:autoSpaceDE w:val="0"/>
              <w:autoSpaceDN w:val="0"/>
              <w:spacing w:before="40" w:afterLines="40" w:after="96" w:line="229" w:lineRule="exact"/>
              <w:ind w:left="440" w:right="-20"/>
              <w:rPr>
                <w:rFonts w:ascii="Arial" w:hAnsi="Arial" w:cs="Arial"/>
                <w:spacing w:val="3"/>
                <w:sz w:val="22"/>
                <w:szCs w:val="22"/>
              </w:rPr>
            </w:pPr>
            <w:r w:rsidRPr="00E4265B">
              <w:rPr>
                <w:rFonts w:ascii="Arial" w:hAnsi="Arial" w:cs="Arial"/>
                <w:sz w:val="22"/>
                <w:szCs w:val="22"/>
              </w:rPr>
              <w:t>95%</w:t>
            </w:r>
          </w:p>
        </w:tc>
        <w:tc>
          <w:tcPr>
            <w:tcW w:w="7920" w:type="dxa"/>
            <w:vAlign w:val="center"/>
            <w:hideMark/>
          </w:tcPr>
          <w:p w14:paraId="02500BBF"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eastAsia="MS PGothic" w:hAnsi="Arial" w:cs="Arial"/>
                <w:sz w:val="22"/>
                <w:szCs w:val="22"/>
              </w:rPr>
            </w:pPr>
            <w:r w:rsidRPr="00E4265B">
              <w:rPr>
                <w:rFonts w:ascii="Arial" w:hAnsi="Arial" w:cs="Arial"/>
                <w:sz w:val="22"/>
                <w:szCs w:val="22"/>
              </w:rPr>
              <w:t>stable</w:t>
            </w:r>
          </w:p>
          <w:p w14:paraId="53DF4EB7" w14:textId="77777777" w:rsidR="00250039" w:rsidRPr="00E4265B" w:rsidRDefault="00250039" w:rsidP="0019712D">
            <w:pPr>
              <w:pStyle w:val="ListParagraph"/>
              <w:numPr>
                <w:ilvl w:val="1"/>
                <w:numId w:val="84"/>
              </w:numPr>
              <w:autoSpaceDE w:val="0"/>
              <w:autoSpaceDN w:val="0"/>
              <w:spacing w:before="40" w:afterLines="40" w:after="96"/>
              <w:ind w:left="901" w:right="-20"/>
              <w:rPr>
                <w:rFonts w:ascii="Arial" w:hAnsi="Arial" w:cs="Arial"/>
                <w:sz w:val="22"/>
                <w:szCs w:val="22"/>
              </w:rPr>
            </w:pPr>
            <w:r w:rsidRPr="00E4265B">
              <w:rPr>
                <w:rFonts w:ascii="Arial" w:hAnsi="Arial" w:cs="Arial"/>
                <w:sz w:val="22"/>
                <w:szCs w:val="22"/>
              </w:rPr>
              <w:t>demand Deposits; and</w:t>
            </w:r>
          </w:p>
          <w:p w14:paraId="38DBA264" w14:textId="77777777" w:rsidR="00250039" w:rsidRPr="00E4265B" w:rsidRDefault="00250039" w:rsidP="0019712D">
            <w:pPr>
              <w:pStyle w:val="ListParagraph"/>
              <w:numPr>
                <w:ilvl w:val="1"/>
                <w:numId w:val="84"/>
              </w:numPr>
              <w:autoSpaceDE w:val="0"/>
              <w:autoSpaceDN w:val="0"/>
              <w:spacing w:before="40" w:afterLines="40" w:after="96"/>
              <w:ind w:left="901" w:right="-20"/>
              <w:rPr>
                <w:rFonts w:ascii="Arial" w:hAnsi="Arial" w:cs="Arial"/>
                <w:sz w:val="22"/>
                <w:szCs w:val="22"/>
              </w:rPr>
            </w:pPr>
            <w:r w:rsidRPr="00E4265B">
              <w:rPr>
                <w:rFonts w:ascii="Arial" w:hAnsi="Arial" w:cs="Arial"/>
                <w:sz w:val="22"/>
                <w:szCs w:val="22"/>
              </w:rPr>
              <w:t>term Deposits and PSIAus with residual maturities of less than one year</w:t>
            </w:r>
          </w:p>
          <w:p w14:paraId="5CF1B3FD" w14:textId="77777777" w:rsidR="00250039" w:rsidRPr="00E4265B" w:rsidRDefault="00250039" w:rsidP="004E1995">
            <w:pPr>
              <w:autoSpaceDE w:val="0"/>
              <w:autoSpaceDN w:val="0"/>
              <w:spacing w:before="40" w:afterLines="40" w:after="96"/>
              <w:ind w:left="185" w:right="-20"/>
              <w:rPr>
                <w:rFonts w:ascii="Arial" w:eastAsia="MS PGothic" w:hAnsi="Arial" w:cs="Arial"/>
                <w:sz w:val="22"/>
                <w:szCs w:val="22"/>
              </w:rPr>
            </w:pPr>
            <w:r w:rsidRPr="00E4265B">
              <w:rPr>
                <w:rFonts w:ascii="Arial" w:hAnsi="Arial" w:cs="Arial"/>
                <w:sz w:val="22"/>
                <w:szCs w:val="22"/>
              </w:rPr>
              <w:t>from retail and small business customers</w:t>
            </w:r>
          </w:p>
        </w:tc>
      </w:tr>
      <w:tr w:rsidR="00250039" w:rsidRPr="00E4265B" w14:paraId="7F0CA949" w14:textId="77777777" w:rsidTr="004E1995">
        <w:trPr>
          <w:trHeight w:val="1160"/>
        </w:trPr>
        <w:tc>
          <w:tcPr>
            <w:tcW w:w="1350" w:type="dxa"/>
            <w:tcBorders>
              <w:bottom w:val="single" w:sz="4" w:space="0" w:color="auto"/>
            </w:tcBorders>
            <w:vAlign w:val="center"/>
          </w:tcPr>
          <w:p w14:paraId="7DC3B60E" w14:textId="77777777" w:rsidR="00250039" w:rsidRPr="00E4265B" w:rsidRDefault="00250039" w:rsidP="004E1995">
            <w:pPr>
              <w:autoSpaceDE w:val="0"/>
              <w:autoSpaceDN w:val="0"/>
              <w:spacing w:before="40" w:afterLines="40" w:after="96" w:line="229" w:lineRule="exact"/>
              <w:ind w:left="440" w:right="-20"/>
              <w:rPr>
                <w:rFonts w:ascii="Arial" w:hAnsi="Arial" w:cs="Arial"/>
                <w:sz w:val="22"/>
                <w:szCs w:val="22"/>
              </w:rPr>
            </w:pPr>
            <w:r w:rsidRPr="00E4265B">
              <w:rPr>
                <w:rFonts w:ascii="Arial" w:hAnsi="Arial" w:cs="Arial"/>
                <w:sz w:val="22"/>
                <w:szCs w:val="22"/>
              </w:rPr>
              <w:t>90%</w:t>
            </w:r>
          </w:p>
        </w:tc>
        <w:tc>
          <w:tcPr>
            <w:tcW w:w="7920" w:type="dxa"/>
            <w:tcBorders>
              <w:bottom w:val="single" w:sz="4" w:space="0" w:color="auto"/>
            </w:tcBorders>
            <w:vAlign w:val="center"/>
          </w:tcPr>
          <w:p w14:paraId="582C3EC8"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less stable</w:t>
            </w:r>
          </w:p>
          <w:p w14:paraId="347156B3" w14:textId="77777777" w:rsidR="00250039" w:rsidRPr="00E4265B" w:rsidRDefault="00250039" w:rsidP="0019712D">
            <w:pPr>
              <w:pStyle w:val="ListParagraph"/>
              <w:numPr>
                <w:ilvl w:val="1"/>
                <w:numId w:val="84"/>
              </w:numPr>
              <w:autoSpaceDE w:val="0"/>
              <w:autoSpaceDN w:val="0"/>
              <w:spacing w:before="40" w:afterLines="40" w:after="96"/>
              <w:ind w:left="901" w:right="-20"/>
              <w:rPr>
                <w:rFonts w:ascii="Arial" w:hAnsi="Arial" w:cs="Arial"/>
                <w:sz w:val="22"/>
                <w:szCs w:val="22"/>
              </w:rPr>
            </w:pPr>
            <w:r w:rsidRPr="00E4265B">
              <w:rPr>
                <w:rFonts w:ascii="Arial" w:hAnsi="Arial" w:cs="Arial"/>
                <w:sz w:val="22"/>
                <w:szCs w:val="22"/>
              </w:rPr>
              <w:t>demand Deposits; and</w:t>
            </w:r>
          </w:p>
          <w:p w14:paraId="7B17D4E9" w14:textId="77777777" w:rsidR="00250039" w:rsidRPr="00E4265B" w:rsidRDefault="00250039" w:rsidP="0019712D">
            <w:pPr>
              <w:pStyle w:val="ListParagraph"/>
              <w:numPr>
                <w:ilvl w:val="1"/>
                <w:numId w:val="84"/>
              </w:numPr>
              <w:autoSpaceDE w:val="0"/>
              <w:autoSpaceDN w:val="0"/>
              <w:spacing w:before="40" w:afterLines="40" w:after="96"/>
              <w:ind w:left="901" w:right="-20"/>
              <w:rPr>
                <w:rFonts w:ascii="Arial" w:hAnsi="Arial" w:cs="Arial"/>
                <w:sz w:val="22"/>
                <w:szCs w:val="22"/>
              </w:rPr>
            </w:pPr>
            <w:r w:rsidRPr="00E4265B">
              <w:rPr>
                <w:rFonts w:ascii="Arial" w:hAnsi="Arial" w:cs="Arial"/>
                <w:sz w:val="22"/>
                <w:szCs w:val="22"/>
              </w:rPr>
              <w:t>term Deposits and PSIAus with residual maturities of less than one year</w:t>
            </w:r>
          </w:p>
          <w:p w14:paraId="5C4FDE36" w14:textId="77777777" w:rsidR="00250039" w:rsidRPr="00E4265B" w:rsidRDefault="00250039" w:rsidP="004E1995">
            <w:pPr>
              <w:autoSpaceDE w:val="0"/>
              <w:autoSpaceDN w:val="0"/>
              <w:spacing w:before="40" w:afterLines="40" w:after="96"/>
              <w:ind w:left="185" w:right="-20"/>
              <w:rPr>
                <w:rFonts w:ascii="Arial" w:hAnsi="Arial" w:cs="Arial"/>
                <w:sz w:val="22"/>
                <w:szCs w:val="22"/>
              </w:rPr>
            </w:pPr>
            <w:r w:rsidRPr="00E4265B">
              <w:rPr>
                <w:rFonts w:ascii="Arial" w:hAnsi="Arial" w:cs="Arial"/>
                <w:sz w:val="22"/>
                <w:szCs w:val="22"/>
              </w:rPr>
              <w:t>from retail and small business customers</w:t>
            </w:r>
          </w:p>
        </w:tc>
      </w:tr>
      <w:tr w:rsidR="00250039" w:rsidRPr="00E4265B" w14:paraId="0A212926" w14:textId="77777777" w:rsidTr="004E1995">
        <w:trPr>
          <w:trHeight w:val="288"/>
        </w:trPr>
        <w:tc>
          <w:tcPr>
            <w:tcW w:w="1350" w:type="dxa"/>
            <w:vMerge w:val="restart"/>
            <w:tcBorders>
              <w:bottom w:val="dotted" w:sz="4" w:space="0" w:color="auto"/>
            </w:tcBorders>
            <w:vAlign w:val="center"/>
          </w:tcPr>
          <w:p w14:paraId="23C75666" w14:textId="77777777" w:rsidR="00250039" w:rsidRPr="00E4265B" w:rsidRDefault="00250039" w:rsidP="004E1995">
            <w:pPr>
              <w:autoSpaceDE w:val="0"/>
              <w:autoSpaceDN w:val="0"/>
              <w:spacing w:before="40" w:afterLines="40" w:after="96" w:line="229" w:lineRule="exact"/>
              <w:ind w:left="440" w:right="-20"/>
              <w:rPr>
                <w:rFonts w:ascii="Arial" w:hAnsi="Arial" w:cs="Arial"/>
                <w:sz w:val="22"/>
                <w:szCs w:val="22"/>
              </w:rPr>
            </w:pPr>
            <w:r w:rsidRPr="00E4265B">
              <w:rPr>
                <w:rFonts w:ascii="Arial" w:hAnsi="Arial" w:cs="Arial"/>
                <w:sz w:val="22"/>
                <w:szCs w:val="22"/>
              </w:rPr>
              <w:t>50%</w:t>
            </w:r>
          </w:p>
        </w:tc>
        <w:tc>
          <w:tcPr>
            <w:tcW w:w="7920" w:type="dxa"/>
            <w:tcBorders>
              <w:bottom w:val="nil"/>
            </w:tcBorders>
            <w:vAlign w:val="center"/>
          </w:tcPr>
          <w:p w14:paraId="314A4AB7"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funding (secured and unsecured) with a residual maturity of less than one year provided by non-financial corporate customers</w:t>
            </w:r>
          </w:p>
        </w:tc>
      </w:tr>
      <w:tr w:rsidR="00250039" w:rsidRPr="00E4265B" w14:paraId="2830876F" w14:textId="77777777" w:rsidTr="004E1995">
        <w:trPr>
          <w:trHeight w:val="288"/>
        </w:trPr>
        <w:tc>
          <w:tcPr>
            <w:tcW w:w="1350" w:type="dxa"/>
            <w:vMerge/>
            <w:tcBorders>
              <w:top w:val="dotted" w:sz="4" w:space="0" w:color="auto"/>
              <w:bottom w:val="dotted" w:sz="4" w:space="0" w:color="auto"/>
            </w:tcBorders>
            <w:vAlign w:val="center"/>
          </w:tcPr>
          <w:p w14:paraId="3534420A" w14:textId="77777777" w:rsidR="00250039" w:rsidRPr="00E4265B" w:rsidRDefault="00250039" w:rsidP="004E1995">
            <w:pPr>
              <w:autoSpaceDE w:val="0"/>
              <w:autoSpaceDN w:val="0"/>
              <w:spacing w:before="40" w:afterLines="40" w:after="96" w:line="229" w:lineRule="exact"/>
              <w:ind w:left="440" w:right="-20"/>
              <w:rPr>
                <w:rFonts w:ascii="Arial" w:hAnsi="Arial" w:cs="Arial"/>
                <w:spacing w:val="-1"/>
                <w:sz w:val="22"/>
                <w:szCs w:val="22"/>
              </w:rPr>
            </w:pPr>
          </w:p>
        </w:tc>
        <w:tc>
          <w:tcPr>
            <w:tcW w:w="7920" w:type="dxa"/>
            <w:tcBorders>
              <w:top w:val="nil"/>
              <w:bottom w:val="nil"/>
            </w:tcBorders>
            <w:vAlign w:val="center"/>
          </w:tcPr>
          <w:p w14:paraId="30D64C0E"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operational deposits generated by clearing, custody and cash management activities</w:t>
            </w:r>
          </w:p>
        </w:tc>
      </w:tr>
      <w:tr w:rsidR="00250039" w:rsidRPr="00E4265B" w14:paraId="2E50D9F4" w14:textId="77777777" w:rsidTr="004E1995">
        <w:trPr>
          <w:trHeight w:val="288"/>
        </w:trPr>
        <w:tc>
          <w:tcPr>
            <w:tcW w:w="1350" w:type="dxa"/>
            <w:vMerge/>
            <w:tcBorders>
              <w:top w:val="dotted" w:sz="4" w:space="0" w:color="auto"/>
              <w:bottom w:val="dotted" w:sz="4" w:space="0" w:color="auto"/>
            </w:tcBorders>
            <w:vAlign w:val="center"/>
          </w:tcPr>
          <w:p w14:paraId="68C878B3" w14:textId="77777777" w:rsidR="00250039" w:rsidRPr="00E4265B" w:rsidRDefault="00250039" w:rsidP="004E1995">
            <w:pPr>
              <w:autoSpaceDE w:val="0"/>
              <w:autoSpaceDN w:val="0"/>
              <w:spacing w:before="40" w:afterLines="40" w:after="96" w:line="229" w:lineRule="exact"/>
              <w:ind w:left="440" w:right="-20"/>
              <w:rPr>
                <w:rFonts w:ascii="Arial" w:hAnsi="Arial" w:cs="Arial"/>
                <w:sz w:val="22"/>
                <w:szCs w:val="22"/>
              </w:rPr>
            </w:pPr>
          </w:p>
        </w:tc>
        <w:tc>
          <w:tcPr>
            <w:tcW w:w="7920" w:type="dxa"/>
            <w:tcBorders>
              <w:top w:val="nil"/>
              <w:bottom w:val="nil"/>
            </w:tcBorders>
            <w:vAlign w:val="center"/>
            <w:hideMark/>
          </w:tcPr>
          <w:p w14:paraId="6DCB60E3"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funding with residual maturity of less than one year from sovereigns, public sector entities (PSEs), and multilateral and national development banks</w:t>
            </w:r>
          </w:p>
        </w:tc>
      </w:tr>
      <w:tr w:rsidR="00250039" w:rsidRPr="00E4265B" w14:paraId="15B77E19" w14:textId="77777777" w:rsidTr="004E1995">
        <w:trPr>
          <w:trHeight w:val="288"/>
        </w:trPr>
        <w:tc>
          <w:tcPr>
            <w:tcW w:w="1350" w:type="dxa"/>
            <w:vMerge/>
            <w:tcBorders>
              <w:top w:val="dotted" w:sz="4" w:space="0" w:color="auto"/>
              <w:bottom w:val="single" w:sz="4" w:space="0" w:color="auto"/>
            </w:tcBorders>
            <w:vAlign w:val="center"/>
          </w:tcPr>
          <w:p w14:paraId="6EC63849" w14:textId="77777777" w:rsidR="00250039" w:rsidRPr="00E4265B" w:rsidRDefault="00250039" w:rsidP="004E1995">
            <w:pPr>
              <w:autoSpaceDE w:val="0"/>
              <w:autoSpaceDN w:val="0"/>
              <w:spacing w:before="40" w:afterLines="40" w:after="96" w:line="229" w:lineRule="exact"/>
              <w:ind w:left="440" w:right="-20"/>
              <w:rPr>
                <w:rFonts w:ascii="Arial" w:hAnsi="Arial" w:cs="Arial"/>
                <w:sz w:val="22"/>
                <w:szCs w:val="22"/>
              </w:rPr>
            </w:pPr>
          </w:p>
        </w:tc>
        <w:tc>
          <w:tcPr>
            <w:tcW w:w="7920" w:type="dxa"/>
            <w:tcBorders>
              <w:top w:val="nil"/>
              <w:bottom w:val="single" w:sz="4" w:space="0" w:color="auto"/>
            </w:tcBorders>
            <w:vAlign w:val="center"/>
          </w:tcPr>
          <w:p w14:paraId="456A2FC5"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other funding (secured and unsecured) not included in the categories above with residual maturity between six months to less than one year, including funding from central banks and financial institutions</w:t>
            </w:r>
          </w:p>
        </w:tc>
      </w:tr>
      <w:tr w:rsidR="00250039" w:rsidRPr="00E4265B" w14:paraId="425C9743" w14:textId="77777777" w:rsidTr="004E1995">
        <w:trPr>
          <w:trHeight w:val="288"/>
        </w:trPr>
        <w:tc>
          <w:tcPr>
            <w:tcW w:w="1350" w:type="dxa"/>
            <w:vMerge w:val="restart"/>
            <w:tcBorders>
              <w:top w:val="single" w:sz="4" w:space="0" w:color="auto"/>
              <w:bottom w:val="nil"/>
            </w:tcBorders>
            <w:vAlign w:val="center"/>
          </w:tcPr>
          <w:p w14:paraId="3B6D3D47" w14:textId="77777777" w:rsidR="00250039" w:rsidRPr="00E4265B" w:rsidRDefault="00250039" w:rsidP="004E1995">
            <w:pPr>
              <w:autoSpaceDE w:val="0"/>
              <w:autoSpaceDN w:val="0"/>
              <w:spacing w:before="40" w:afterLines="40" w:after="96" w:line="229" w:lineRule="exact"/>
              <w:ind w:left="440" w:right="-20"/>
              <w:rPr>
                <w:rFonts w:ascii="Arial" w:hAnsi="Arial" w:cs="Arial"/>
                <w:spacing w:val="-1"/>
                <w:sz w:val="22"/>
                <w:szCs w:val="22"/>
              </w:rPr>
            </w:pPr>
            <w:r w:rsidRPr="00E4265B">
              <w:rPr>
                <w:rFonts w:ascii="Arial" w:hAnsi="Arial" w:cs="Arial"/>
                <w:sz w:val="22"/>
                <w:szCs w:val="22"/>
              </w:rPr>
              <w:t>0%</w:t>
            </w:r>
          </w:p>
        </w:tc>
        <w:tc>
          <w:tcPr>
            <w:tcW w:w="7920" w:type="dxa"/>
            <w:tcBorders>
              <w:top w:val="single" w:sz="4" w:space="0" w:color="auto"/>
              <w:bottom w:val="nil"/>
            </w:tcBorders>
            <w:vAlign w:val="center"/>
          </w:tcPr>
          <w:p w14:paraId="68D4AF79"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all other liabilities and equity categories not included in the above categories, including other funding with residual maturity of less than six months from central banks and financial institutions</w:t>
            </w:r>
          </w:p>
        </w:tc>
      </w:tr>
      <w:tr w:rsidR="00250039" w:rsidRPr="00E4265B" w14:paraId="20122B78" w14:textId="77777777" w:rsidTr="004E1995">
        <w:trPr>
          <w:trHeight w:val="288"/>
        </w:trPr>
        <w:tc>
          <w:tcPr>
            <w:tcW w:w="1350" w:type="dxa"/>
            <w:vMerge/>
            <w:tcBorders>
              <w:top w:val="nil"/>
              <w:bottom w:val="nil"/>
            </w:tcBorders>
            <w:vAlign w:val="center"/>
          </w:tcPr>
          <w:p w14:paraId="7523CB2A"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z w:val="22"/>
                <w:szCs w:val="22"/>
              </w:rPr>
            </w:pPr>
          </w:p>
        </w:tc>
        <w:tc>
          <w:tcPr>
            <w:tcW w:w="7920" w:type="dxa"/>
            <w:tcBorders>
              <w:top w:val="nil"/>
              <w:bottom w:val="nil"/>
            </w:tcBorders>
            <w:vAlign w:val="center"/>
          </w:tcPr>
          <w:p w14:paraId="793604B0"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other liabilities without a stated maturity, and this category may include short positions and open maturity positions</w:t>
            </w:r>
          </w:p>
          <w:p w14:paraId="285ECCA6" w14:textId="77777777" w:rsidR="00250039" w:rsidRPr="00E4265B" w:rsidRDefault="00250039" w:rsidP="0019712D">
            <w:pPr>
              <w:pStyle w:val="ListParagraph"/>
              <w:numPr>
                <w:ilvl w:val="1"/>
                <w:numId w:val="84"/>
              </w:numPr>
              <w:autoSpaceDE w:val="0"/>
              <w:autoSpaceDN w:val="0"/>
              <w:spacing w:before="40" w:afterLines="40" w:after="96"/>
              <w:ind w:left="901" w:right="-20"/>
              <w:rPr>
                <w:rFonts w:ascii="Arial" w:hAnsi="Arial" w:cs="Arial"/>
                <w:sz w:val="22"/>
                <w:szCs w:val="22"/>
              </w:rPr>
            </w:pPr>
            <w:r w:rsidRPr="00E4265B">
              <w:rPr>
                <w:rFonts w:ascii="Arial" w:hAnsi="Arial" w:cs="Arial"/>
                <w:sz w:val="22"/>
                <w:szCs w:val="22"/>
              </w:rPr>
              <w:t>Two exceptions may be recognised for liabilities without a stated maturity:</w:t>
            </w:r>
          </w:p>
          <w:p w14:paraId="57DDC7C2" w14:textId="77777777" w:rsidR="00250039" w:rsidRPr="00E4265B" w:rsidRDefault="00250039" w:rsidP="0019712D">
            <w:pPr>
              <w:pStyle w:val="ListParagraph"/>
              <w:numPr>
                <w:ilvl w:val="2"/>
                <w:numId w:val="84"/>
              </w:numPr>
              <w:autoSpaceDE w:val="0"/>
              <w:autoSpaceDN w:val="0"/>
              <w:spacing w:before="40" w:afterLines="40" w:after="96"/>
              <w:ind w:left="1319" w:right="-20" w:hanging="397"/>
              <w:rPr>
                <w:rFonts w:ascii="Arial" w:hAnsi="Arial" w:cs="Arial"/>
                <w:sz w:val="22"/>
                <w:szCs w:val="22"/>
              </w:rPr>
            </w:pPr>
            <w:r w:rsidRPr="00E4265B">
              <w:rPr>
                <w:rFonts w:ascii="Arial" w:hAnsi="Arial" w:cs="Arial"/>
                <w:sz w:val="22"/>
                <w:szCs w:val="22"/>
              </w:rPr>
              <w:t>deferred tax liabilities, which should be treated according to the nearest possible date on which such liabilities could be realised; and</w:t>
            </w:r>
          </w:p>
          <w:p w14:paraId="724533F1" w14:textId="77777777" w:rsidR="00250039" w:rsidRPr="00E4265B" w:rsidRDefault="00250039" w:rsidP="0019712D">
            <w:pPr>
              <w:pStyle w:val="ListParagraph"/>
              <w:numPr>
                <w:ilvl w:val="2"/>
                <w:numId w:val="84"/>
              </w:numPr>
              <w:autoSpaceDE w:val="0"/>
              <w:autoSpaceDN w:val="0"/>
              <w:spacing w:before="40" w:afterLines="40" w:after="96"/>
              <w:ind w:left="1319" w:right="-20" w:hanging="397"/>
              <w:rPr>
                <w:rFonts w:ascii="Arial" w:hAnsi="Arial" w:cs="Arial"/>
                <w:sz w:val="22"/>
                <w:szCs w:val="22"/>
              </w:rPr>
            </w:pPr>
            <w:r w:rsidRPr="00E4265B">
              <w:rPr>
                <w:rFonts w:ascii="Arial" w:hAnsi="Arial" w:cs="Arial"/>
                <w:sz w:val="22"/>
                <w:szCs w:val="22"/>
              </w:rPr>
              <w:t>minority interest, which should be treated according to the term of the instrument, usually in perpetuity</w:t>
            </w:r>
          </w:p>
          <w:p w14:paraId="63E695EA" w14:textId="77777777" w:rsidR="00250039" w:rsidRPr="00E4265B" w:rsidRDefault="00250039" w:rsidP="0019712D">
            <w:pPr>
              <w:pStyle w:val="ListParagraph"/>
              <w:numPr>
                <w:ilvl w:val="1"/>
                <w:numId w:val="84"/>
              </w:numPr>
              <w:autoSpaceDE w:val="0"/>
              <w:autoSpaceDN w:val="0"/>
              <w:spacing w:before="40" w:afterLines="40" w:after="96"/>
              <w:ind w:left="901" w:right="-20"/>
              <w:rPr>
                <w:rFonts w:ascii="Arial" w:hAnsi="Arial" w:cs="Arial"/>
                <w:sz w:val="22"/>
                <w:szCs w:val="22"/>
              </w:rPr>
            </w:pPr>
            <w:r w:rsidRPr="00E4265B">
              <w:rPr>
                <w:rFonts w:ascii="Arial" w:hAnsi="Arial" w:cs="Arial"/>
                <w:sz w:val="22"/>
                <w:szCs w:val="22"/>
              </w:rPr>
              <w:t>These liabilities would then be assigned either a 100% ASF factor if the effective maturity is one year or greater, or 50%, if the effective maturity is between six months and less than one year</w:t>
            </w:r>
          </w:p>
        </w:tc>
      </w:tr>
      <w:tr w:rsidR="00250039" w:rsidRPr="00E4265B" w14:paraId="6F70347A" w14:textId="77777777" w:rsidTr="004E1995">
        <w:trPr>
          <w:trHeight w:val="288"/>
        </w:trPr>
        <w:tc>
          <w:tcPr>
            <w:tcW w:w="1350" w:type="dxa"/>
            <w:vMerge/>
            <w:tcBorders>
              <w:top w:val="nil"/>
              <w:bottom w:val="nil"/>
            </w:tcBorders>
            <w:vAlign w:val="center"/>
          </w:tcPr>
          <w:p w14:paraId="741A5EED"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pacing w:val="-1"/>
                <w:sz w:val="22"/>
                <w:szCs w:val="22"/>
              </w:rPr>
            </w:pPr>
          </w:p>
        </w:tc>
        <w:tc>
          <w:tcPr>
            <w:tcW w:w="7920" w:type="dxa"/>
            <w:tcBorders>
              <w:top w:val="nil"/>
              <w:bottom w:val="nil"/>
            </w:tcBorders>
            <w:vAlign w:val="center"/>
          </w:tcPr>
          <w:p w14:paraId="32B89D1D"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NSFR derivative liabilities as calculated according to Rule A10.4.4 net of NSFR derivative assets as calculated according to Rule A10.4.11, if NSFR derivative liabilities are greater than NSFR derivative assets</w:t>
            </w:r>
          </w:p>
        </w:tc>
      </w:tr>
      <w:tr w:rsidR="00250039" w:rsidRPr="00E4265B" w14:paraId="727A518F" w14:textId="77777777" w:rsidTr="004E1995">
        <w:trPr>
          <w:trHeight w:val="288"/>
        </w:trPr>
        <w:tc>
          <w:tcPr>
            <w:tcW w:w="1350" w:type="dxa"/>
            <w:vMerge/>
            <w:tcBorders>
              <w:top w:val="nil"/>
              <w:bottom w:val="nil"/>
            </w:tcBorders>
            <w:vAlign w:val="center"/>
          </w:tcPr>
          <w:p w14:paraId="3E9A2F72"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pacing w:val="-1"/>
                <w:sz w:val="22"/>
                <w:szCs w:val="22"/>
              </w:rPr>
            </w:pPr>
          </w:p>
        </w:tc>
        <w:tc>
          <w:tcPr>
            <w:tcW w:w="7920" w:type="dxa"/>
            <w:tcBorders>
              <w:top w:val="nil"/>
              <w:bottom w:val="nil"/>
            </w:tcBorders>
            <w:vAlign w:val="center"/>
          </w:tcPr>
          <w:p w14:paraId="3C1AFD75"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Net NSFR Shari’a compliant hedging liabilities (where NSFR Shari’a compliant hedging liabilities are greater than NSFR Shari’a compliant hedging assets)</w:t>
            </w:r>
          </w:p>
        </w:tc>
      </w:tr>
      <w:tr w:rsidR="00250039" w:rsidRPr="00E4265B" w14:paraId="322C56E9" w14:textId="77777777" w:rsidTr="004E1995">
        <w:trPr>
          <w:trHeight w:val="288"/>
        </w:trPr>
        <w:tc>
          <w:tcPr>
            <w:tcW w:w="1350" w:type="dxa"/>
            <w:vMerge/>
            <w:tcBorders>
              <w:top w:val="nil"/>
              <w:bottom w:val="single" w:sz="4" w:space="0" w:color="auto"/>
            </w:tcBorders>
            <w:vAlign w:val="center"/>
          </w:tcPr>
          <w:p w14:paraId="5997D5E8"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pacing w:val="-1"/>
                <w:sz w:val="22"/>
                <w:szCs w:val="22"/>
              </w:rPr>
            </w:pPr>
          </w:p>
        </w:tc>
        <w:tc>
          <w:tcPr>
            <w:tcW w:w="7920" w:type="dxa"/>
            <w:tcBorders>
              <w:top w:val="nil"/>
              <w:bottom w:val="single" w:sz="4" w:space="0" w:color="auto"/>
            </w:tcBorders>
            <w:vAlign w:val="center"/>
          </w:tcPr>
          <w:p w14:paraId="30F601F8"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“trade date” payables arising from purchases of financial instruments, foreign currencies and commodities that:</w:t>
            </w:r>
          </w:p>
          <w:p w14:paraId="68B65504" w14:textId="77777777" w:rsidR="00250039" w:rsidRPr="00E4265B" w:rsidRDefault="00250039" w:rsidP="0019712D">
            <w:pPr>
              <w:pStyle w:val="ListParagraph"/>
              <w:numPr>
                <w:ilvl w:val="1"/>
                <w:numId w:val="84"/>
              </w:numPr>
              <w:autoSpaceDE w:val="0"/>
              <w:autoSpaceDN w:val="0"/>
              <w:spacing w:before="40" w:afterLines="40" w:after="96"/>
              <w:ind w:left="901" w:right="-20"/>
              <w:rPr>
                <w:rFonts w:ascii="Arial" w:hAnsi="Arial" w:cs="Arial"/>
                <w:sz w:val="22"/>
                <w:szCs w:val="22"/>
              </w:rPr>
            </w:pPr>
            <w:r w:rsidRPr="00E4265B">
              <w:rPr>
                <w:rFonts w:ascii="Arial" w:hAnsi="Arial" w:cs="Arial"/>
                <w:sz w:val="22"/>
                <w:szCs w:val="22"/>
              </w:rPr>
              <w:t>are expected to settle within the standard settlement cycle or period that is customary for the relevant exchange or type of transaction; or</w:t>
            </w:r>
          </w:p>
          <w:p w14:paraId="35E8770F" w14:textId="77777777" w:rsidR="00250039" w:rsidRPr="00E4265B" w:rsidRDefault="00250039" w:rsidP="0019712D">
            <w:pPr>
              <w:pStyle w:val="ListParagraph"/>
              <w:numPr>
                <w:ilvl w:val="1"/>
                <w:numId w:val="84"/>
              </w:numPr>
              <w:autoSpaceDE w:val="0"/>
              <w:autoSpaceDN w:val="0"/>
              <w:spacing w:before="40" w:afterLines="40" w:after="96"/>
              <w:ind w:left="901" w:right="-20"/>
              <w:rPr>
                <w:rFonts w:ascii="Arial" w:hAnsi="Arial" w:cs="Arial"/>
                <w:sz w:val="22"/>
                <w:szCs w:val="22"/>
              </w:rPr>
            </w:pPr>
            <w:r w:rsidRPr="00E4265B">
              <w:rPr>
                <w:rFonts w:ascii="Arial" w:hAnsi="Arial" w:cs="Arial"/>
                <w:sz w:val="22"/>
                <w:szCs w:val="22"/>
              </w:rPr>
              <w:t>have failed to, but are still expected to, settle</w:t>
            </w:r>
          </w:p>
        </w:tc>
      </w:tr>
    </w:tbl>
    <w:p w14:paraId="6A0F0807" w14:textId="77777777" w:rsidR="00250039" w:rsidRPr="00E4265B" w:rsidRDefault="00250039" w:rsidP="00250039">
      <w:pPr>
        <w:pStyle w:val="UK12Title2"/>
        <w:ind w:left="2160"/>
        <w:rPr>
          <w:rFonts w:ascii="Arial" w:hAnsi="Arial" w:cs="Arial"/>
          <w:b w:val="0"/>
          <w:bCs/>
          <w:sz w:val="22"/>
          <w:szCs w:val="22"/>
        </w:rPr>
      </w:pPr>
    </w:p>
    <w:p w14:paraId="5DB3D726" w14:textId="77777777" w:rsidR="00250039" w:rsidRPr="00E4265B" w:rsidRDefault="00250039" w:rsidP="00250039">
      <w:pPr>
        <w:pStyle w:val="TitleL5"/>
        <w:ind w:left="1134"/>
        <w:rPr>
          <w:rFonts w:ascii="Arial" w:hAnsi="Arial" w:cs="Arial"/>
          <w:sz w:val="22"/>
          <w:szCs w:val="22"/>
        </w:rPr>
      </w:pPr>
      <w:r w:rsidRPr="00E4265B">
        <w:rPr>
          <w:rFonts w:ascii="Arial" w:hAnsi="Arial" w:cs="Arial"/>
          <w:sz w:val="22"/>
          <w:szCs w:val="22"/>
        </w:rPr>
        <w:t>Guidance</w:t>
      </w:r>
    </w:p>
    <w:p w14:paraId="5751A824" w14:textId="77777777" w:rsidR="00250039" w:rsidRPr="00E4265B" w:rsidRDefault="00250039" w:rsidP="0019712D">
      <w:pPr>
        <w:pStyle w:val="A1List"/>
        <w:numPr>
          <w:ilvl w:val="0"/>
          <w:numId w:val="98"/>
        </w:numPr>
        <w:tabs>
          <w:tab w:val="clear" w:pos="990"/>
        </w:tabs>
        <w:ind w:left="1701" w:hanging="567"/>
        <w:rPr>
          <w:rFonts w:ascii="Arial" w:hAnsi="Arial" w:cs="Arial"/>
          <w:sz w:val="22"/>
          <w:szCs w:val="22"/>
          <w:lang w:val="en-GB"/>
        </w:rPr>
      </w:pPr>
      <w:r w:rsidRPr="00E4265B">
        <w:rPr>
          <w:rFonts w:ascii="Arial" w:hAnsi="Arial" w:cs="Arial"/>
          <w:sz w:val="22"/>
          <w:szCs w:val="22"/>
          <w:lang w:val="en-GB"/>
        </w:rPr>
        <w:t>Guidance on the characteristics of “stable”, “less stable” and “operational” Deposits and PSIAus is given under A10.2.15.</w:t>
      </w:r>
    </w:p>
    <w:p w14:paraId="72AC5706" w14:textId="77777777" w:rsidR="00250039" w:rsidRPr="00E4265B" w:rsidRDefault="00250039" w:rsidP="0019712D">
      <w:pPr>
        <w:pStyle w:val="A1List"/>
        <w:numPr>
          <w:ilvl w:val="0"/>
          <w:numId w:val="98"/>
        </w:numPr>
        <w:tabs>
          <w:tab w:val="clear" w:pos="990"/>
        </w:tabs>
        <w:ind w:left="1701" w:hanging="567"/>
        <w:rPr>
          <w:rFonts w:ascii="Arial" w:hAnsi="Arial" w:cs="Arial"/>
          <w:sz w:val="22"/>
          <w:szCs w:val="22"/>
          <w:lang w:val="en-GB"/>
        </w:rPr>
      </w:pPr>
      <w:r w:rsidRPr="00E4265B">
        <w:rPr>
          <w:rFonts w:ascii="Arial" w:hAnsi="Arial" w:cs="Arial"/>
          <w:sz w:val="22"/>
          <w:szCs w:val="22"/>
          <w:lang w:val="en-GB"/>
        </w:rPr>
        <w:t>In order to calculate the value of Shari’a compliant hedging liabilities (e.g. Islamic swaps), the replacement cost must be obtained for the Shari’a compliant hedging contracts (obtained by marking to market), such as ISDA/IIFM Tahawwut Master Agreement (TMA), where the contract has a negative value. When an eligible bilateral netting contract is in place, the replacement cost for the set of Shari’a compliant hedging exposures covered by the contract will be the net replacement cost.</w:t>
      </w:r>
    </w:p>
    <w:p w14:paraId="58937B3D" w14:textId="77777777" w:rsidR="00250039" w:rsidRPr="00E4265B" w:rsidRDefault="00250039" w:rsidP="0019712D">
      <w:pPr>
        <w:pStyle w:val="A1List"/>
        <w:numPr>
          <w:ilvl w:val="0"/>
          <w:numId w:val="98"/>
        </w:numPr>
        <w:tabs>
          <w:tab w:val="clear" w:pos="990"/>
        </w:tabs>
        <w:ind w:left="1701" w:hanging="567"/>
        <w:rPr>
          <w:rFonts w:ascii="Arial" w:hAnsi="Arial" w:cs="Arial"/>
          <w:sz w:val="22"/>
          <w:szCs w:val="22"/>
          <w:lang w:val="en-GB"/>
        </w:rPr>
      </w:pPr>
      <w:r w:rsidRPr="00E4265B">
        <w:rPr>
          <w:rFonts w:ascii="Arial" w:hAnsi="Arial" w:cs="Arial"/>
          <w:sz w:val="22"/>
          <w:szCs w:val="22"/>
          <w:lang w:val="en-GB"/>
        </w:rPr>
        <w:t xml:space="preserve">In calculating the NSFR, collateral posted in the form of variation margin that follows Shari’a principles in connection with Shari’a compliant hedging contracts as in the TMA contract, regardless of the asset type, must be </w:t>
      </w:r>
      <w:r w:rsidRPr="00E4265B">
        <w:rPr>
          <w:rFonts w:ascii="Arial" w:hAnsi="Arial" w:cs="Arial"/>
          <w:sz w:val="22"/>
          <w:szCs w:val="22"/>
          <w:lang w:val="en-GB"/>
        </w:rPr>
        <w:lastRenderedPageBreak/>
        <w:t>deducted from the negative replacement cost amount of the corresponding Shari’a compliant hedging liabilities.</w:t>
      </w:r>
    </w:p>
    <w:p w14:paraId="2CEBA8F4" w14:textId="77777777" w:rsidR="00250039" w:rsidRPr="00E4265B" w:rsidRDefault="00250039" w:rsidP="00250039">
      <w:pPr>
        <w:pStyle w:val="TitleL5"/>
        <w:ind w:left="1134"/>
        <w:rPr>
          <w:rFonts w:ascii="Arial" w:hAnsi="Arial" w:cs="Arial"/>
          <w:sz w:val="22"/>
          <w:szCs w:val="22"/>
        </w:rPr>
      </w:pPr>
      <w:r w:rsidRPr="00E4265B">
        <w:rPr>
          <w:rFonts w:ascii="Arial" w:hAnsi="Arial" w:cs="Arial"/>
          <w:sz w:val="22"/>
          <w:szCs w:val="22"/>
        </w:rPr>
        <w:t>Required Stable Funding (RSF)</w:t>
      </w:r>
    </w:p>
    <w:p w14:paraId="67BD71A7"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A10.4.9</w:t>
      </w:r>
      <w:r w:rsidRPr="00E4265B">
        <w:rPr>
          <w:rFonts w:ascii="Arial" w:hAnsi="Arial" w:cs="Arial"/>
          <w:bCs/>
          <w:sz w:val="22"/>
          <w:szCs w:val="22"/>
          <w:lang w:val="en-GB"/>
        </w:rPr>
        <w:tab/>
        <w:t>Subject to Rules A10.4.15, a</w:t>
      </w:r>
      <w:r w:rsidRPr="00E4265B">
        <w:rPr>
          <w:rFonts w:ascii="Arial" w:hAnsi="Arial" w:cs="Arial"/>
          <w:sz w:val="22"/>
          <w:szCs w:val="22"/>
          <w:lang w:val="en-GB"/>
        </w:rPr>
        <w:t>n Authorised Person must calculate its Required Stable Funding as the sum of the Required Stable Funding for its assets and for its off-balance sheet items, calculated in accordance with Rules A10.4.16, A10.4.18 and A10.4.19.</w:t>
      </w:r>
    </w:p>
    <w:p w14:paraId="69BE0BC7"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A10.4.10</w:t>
      </w:r>
      <w:r w:rsidRPr="00E4265B">
        <w:rPr>
          <w:rFonts w:ascii="Arial" w:hAnsi="Arial" w:cs="Arial"/>
          <w:bCs/>
          <w:sz w:val="22"/>
          <w:szCs w:val="22"/>
          <w:lang w:val="en-GB"/>
        </w:rPr>
        <w:tab/>
        <w:t xml:space="preserve">In </w:t>
      </w:r>
      <w:r w:rsidRPr="00E4265B">
        <w:rPr>
          <w:rFonts w:ascii="Arial" w:hAnsi="Arial" w:cs="Arial"/>
          <w:sz w:val="22"/>
          <w:szCs w:val="22"/>
          <w:lang w:val="en-GB"/>
        </w:rPr>
        <w:t>calculating the Required Stable Funding, an Authorised Person must, subject to (b) and (c):</w:t>
      </w:r>
    </w:p>
    <w:p w14:paraId="3AD6B1A7" w14:textId="77777777" w:rsidR="00250039" w:rsidRPr="00E4265B" w:rsidRDefault="00250039" w:rsidP="0019712D">
      <w:pPr>
        <w:pStyle w:val="A1List"/>
        <w:numPr>
          <w:ilvl w:val="0"/>
          <w:numId w:val="87"/>
        </w:numPr>
        <w:tabs>
          <w:tab w:val="clear" w:pos="990"/>
          <w:tab w:val="left" w:pos="1134"/>
          <w:tab w:val="left" w:pos="1701"/>
        </w:tabs>
        <w:ind w:left="2268" w:hanging="1134"/>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include financial instruments, foreign currencies and commodities for which a purchase order has been executed; and</w:t>
      </w:r>
    </w:p>
    <w:p w14:paraId="596A1DC5" w14:textId="77777777" w:rsidR="00250039" w:rsidRPr="00E4265B" w:rsidRDefault="00250039" w:rsidP="00250039">
      <w:pPr>
        <w:pStyle w:val="A1List"/>
        <w:ind w:left="2268" w:hanging="567"/>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exclude financial instruments, foreign currencies and commodities for which a sales order has been executed.</w:t>
      </w:r>
    </w:p>
    <w:p w14:paraId="5705010E" w14:textId="77777777" w:rsidR="00250039" w:rsidRPr="00E4265B" w:rsidRDefault="00250039" w:rsidP="0019712D">
      <w:pPr>
        <w:pStyle w:val="A1List"/>
        <w:numPr>
          <w:ilvl w:val="0"/>
          <w:numId w:val="87"/>
        </w:numPr>
        <w:tabs>
          <w:tab w:val="clear" w:pos="990"/>
          <w:tab w:val="left" w:pos="1134"/>
          <w:tab w:val="left" w:pos="1701"/>
        </w:tabs>
        <w:ind w:left="2268" w:hanging="1134"/>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 effects of such transactions must be reflected in the balance sheet of the Authorised Person when settled; and</w:t>
      </w:r>
    </w:p>
    <w:p w14:paraId="760664E7" w14:textId="77777777" w:rsidR="00250039" w:rsidRPr="00E4265B" w:rsidRDefault="00250039" w:rsidP="00250039">
      <w:pPr>
        <w:pStyle w:val="A1List"/>
        <w:ind w:left="2268" w:hanging="567"/>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such transactions must not be reflected as derivatives or secured financing transactions in the balance sheet of the Authorised Person.</w:t>
      </w:r>
    </w:p>
    <w:p w14:paraId="6E59E48E" w14:textId="77777777" w:rsidR="00250039" w:rsidRPr="00E4265B" w:rsidRDefault="00250039" w:rsidP="0019712D">
      <w:pPr>
        <w:pStyle w:val="A1List"/>
        <w:numPr>
          <w:ilvl w:val="0"/>
          <w:numId w:val="87"/>
        </w:numPr>
        <w:tabs>
          <w:tab w:val="clear" w:pos="990"/>
          <w:tab w:val="left" w:pos="1134"/>
        </w:tabs>
        <w:ind w:left="1710" w:hanging="576"/>
        <w:rPr>
          <w:rFonts w:ascii="Arial" w:hAnsi="Arial" w:cs="Arial"/>
          <w:sz w:val="22"/>
          <w:szCs w:val="22"/>
          <w:lang w:val="en-GB"/>
        </w:rPr>
      </w:pPr>
      <w:r w:rsidRPr="00E4265B">
        <w:rPr>
          <w:rFonts w:ascii="Arial" w:hAnsi="Arial" w:cs="Arial"/>
          <w:sz w:val="22"/>
          <w:szCs w:val="22"/>
          <w:lang w:val="en-GB"/>
        </w:rPr>
        <w:t>This treatment is to be applied whether or not such transactions have been reflected in the balance sheet under a settlement-date accounting model.</w:t>
      </w:r>
    </w:p>
    <w:p w14:paraId="09A2187F"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A10.4.11</w:t>
      </w:r>
      <w:r w:rsidRPr="00E4265B">
        <w:rPr>
          <w:rFonts w:ascii="Arial" w:hAnsi="Arial" w:cs="Arial"/>
          <w:bCs/>
          <w:sz w:val="22"/>
          <w:szCs w:val="22"/>
          <w:lang w:val="en-GB"/>
        </w:rPr>
        <w:tab/>
        <w:t>Where the value of a Derivative Contract</w:t>
      </w:r>
      <w:r w:rsidRPr="00E4265B">
        <w:rPr>
          <w:rFonts w:ascii="Arial" w:hAnsi="Arial" w:cs="Arial"/>
          <w:sz w:val="22"/>
          <w:szCs w:val="22"/>
          <w:lang w:val="en-GB"/>
        </w:rPr>
        <w:t xml:space="preserve"> represents an asset for an Authorised Person, the Authorised Person must:</w:t>
      </w:r>
    </w:p>
    <w:p w14:paraId="2A926BD2" w14:textId="77777777" w:rsidR="00250039" w:rsidRPr="00E4265B" w:rsidRDefault="00250039" w:rsidP="0019712D">
      <w:pPr>
        <w:pStyle w:val="1List"/>
        <w:numPr>
          <w:ilvl w:val="0"/>
          <w:numId w:val="88"/>
        </w:numPr>
        <w:ind w:left="1701" w:hanging="567"/>
        <w:rPr>
          <w:rFonts w:ascii="Arial" w:hAnsi="Arial" w:cs="Arial"/>
          <w:sz w:val="22"/>
          <w:szCs w:val="22"/>
          <w:lang w:val="en-GB"/>
        </w:rPr>
      </w:pPr>
      <w:r w:rsidRPr="00E4265B">
        <w:rPr>
          <w:rFonts w:ascii="Arial" w:hAnsi="Arial" w:cs="Arial"/>
          <w:sz w:val="22"/>
          <w:szCs w:val="22"/>
          <w:lang w:val="en-GB"/>
        </w:rPr>
        <w:t>calculate the positive value of the asset as the replacement cost for the contract, obtained by marking-to-market; and</w:t>
      </w:r>
    </w:p>
    <w:p w14:paraId="4E3F2D28" w14:textId="77777777" w:rsidR="00250039" w:rsidRPr="00E4265B" w:rsidRDefault="00250039" w:rsidP="0019712D">
      <w:pPr>
        <w:pStyle w:val="1List"/>
        <w:numPr>
          <w:ilvl w:val="0"/>
          <w:numId w:val="88"/>
        </w:numPr>
        <w:ind w:left="1701" w:hanging="567"/>
        <w:rPr>
          <w:rFonts w:ascii="Arial" w:hAnsi="Arial" w:cs="Arial"/>
          <w:sz w:val="22"/>
          <w:szCs w:val="22"/>
          <w:lang w:val="en-GB"/>
        </w:rPr>
      </w:pPr>
      <w:r w:rsidRPr="00E4265B">
        <w:rPr>
          <w:rFonts w:ascii="Arial" w:hAnsi="Arial" w:cs="Arial"/>
          <w:sz w:val="22"/>
          <w:szCs w:val="22"/>
          <w:lang w:val="en-GB"/>
        </w:rPr>
        <w:t>deduct any collateral received in the form of variation margin from the positive replacement cost amount.</w:t>
      </w:r>
    </w:p>
    <w:p w14:paraId="68B43783"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A10.4.12</w:t>
      </w:r>
      <w:r w:rsidRPr="00E4265B">
        <w:rPr>
          <w:rFonts w:ascii="Arial" w:hAnsi="Arial" w:cs="Arial"/>
          <w:sz w:val="22"/>
          <w:szCs w:val="22"/>
          <w:lang w:val="en-GB"/>
        </w:rPr>
        <w:tab/>
        <w:t>An Authorised Person may use the net replacement cost as the replacement cost for a set of derivative exposures between the Authorised Person and a Counterparty where the following conditions are met:</w:t>
      </w:r>
    </w:p>
    <w:p w14:paraId="64C29094" w14:textId="77777777" w:rsidR="00250039" w:rsidRPr="00E4265B" w:rsidRDefault="00250039" w:rsidP="0019712D">
      <w:pPr>
        <w:pStyle w:val="1List"/>
        <w:numPr>
          <w:ilvl w:val="0"/>
          <w:numId w:val="95"/>
        </w:numPr>
        <w:ind w:left="1701" w:hanging="567"/>
        <w:rPr>
          <w:rFonts w:ascii="Arial" w:hAnsi="Arial" w:cs="Arial"/>
          <w:sz w:val="22"/>
          <w:szCs w:val="22"/>
          <w:lang w:val="en-GB"/>
        </w:rPr>
      </w:pPr>
      <w:r w:rsidRPr="00E4265B">
        <w:rPr>
          <w:rFonts w:ascii="Arial" w:hAnsi="Arial" w:cs="Arial"/>
          <w:sz w:val="22"/>
          <w:szCs w:val="22"/>
          <w:lang w:val="en-GB"/>
        </w:rPr>
        <w:t>an eligible bilateral netting contract must be in place between the Authorised Person and the Counterparty that is binding on the Authorised Person and the Counterparty and that is legally enforceable in all relevant jurisdictions;</w:t>
      </w:r>
    </w:p>
    <w:p w14:paraId="17315E80" w14:textId="77777777" w:rsidR="00250039" w:rsidRPr="00E4265B" w:rsidRDefault="00250039" w:rsidP="0019712D">
      <w:pPr>
        <w:pStyle w:val="1List"/>
        <w:numPr>
          <w:ilvl w:val="0"/>
          <w:numId w:val="95"/>
        </w:numPr>
        <w:ind w:left="1701" w:hanging="567"/>
        <w:rPr>
          <w:rFonts w:ascii="Arial" w:hAnsi="Arial" w:cs="Arial"/>
          <w:sz w:val="22"/>
          <w:szCs w:val="22"/>
          <w:lang w:val="en-GB"/>
        </w:rPr>
      </w:pPr>
      <w:r w:rsidRPr="00E4265B">
        <w:rPr>
          <w:rFonts w:ascii="Arial" w:hAnsi="Arial" w:cs="Arial"/>
          <w:sz w:val="22"/>
          <w:szCs w:val="22"/>
          <w:lang w:val="en-GB"/>
        </w:rPr>
        <w:t>that contract is a qualified financial contract as specified in the ADGM Insolvency Regulations and meets the conditions specified in Part 7, Chapter 2 therein; and</w:t>
      </w:r>
    </w:p>
    <w:p w14:paraId="5C031B15" w14:textId="77777777" w:rsidR="00250039" w:rsidRPr="00E4265B" w:rsidRDefault="00250039" w:rsidP="0019712D">
      <w:pPr>
        <w:pStyle w:val="1List"/>
        <w:numPr>
          <w:ilvl w:val="0"/>
          <w:numId w:val="95"/>
        </w:numPr>
        <w:ind w:left="1701" w:hanging="567"/>
        <w:rPr>
          <w:rFonts w:ascii="Arial" w:hAnsi="Arial" w:cs="Arial"/>
          <w:sz w:val="22"/>
          <w:szCs w:val="22"/>
          <w:lang w:val="en-GB"/>
        </w:rPr>
      </w:pPr>
      <w:r w:rsidRPr="00E4265B">
        <w:rPr>
          <w:rFonts w:ascii="Arial" w:hAnsi="Arial" w:cs="Arial"/>
          <w:sz w:val="22"/>
          <w:szCs w:val="22"/>
          <w:lang w:val="en-GB"/>
        </w:rPr>
        <w:t>the Authorised Person meets the disclosure requirements for the NSFR as specified in App12.</w:t>
      </w:r>
    </w:p>
    <w:p w14:paraId="7E32D283"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A10.4.13</w:t>
      </w:r>
      <w:r w:rsidRPr="00E4265B">
        <w:rPr>
          <w:rFonts w:ascii="Arial" w:hAnsi="Arial" w:cs="Arial"/>
          <w:bCs/>
          <w:sz w:val="22"/>
          <w:szCs w:val="22"/>
          <w:lang w:val="en-GB"/>
        </w:rPr>
        <w:tab/>
        <w:t xml:space="preserve">Where </w:t>
      </w:r>
      <w:r w:rsidRPr="00E4265B">
        <w:rPr>
          <w:rFonts w:ascii="Arial" w:hAnsi="Arial" w:cs="Arial"/>
          <w:sz w:val="22"/>
          <w:szCs w:val="22"/>
          <w:lang w:val="en-GB"/>
        </w:rPr>
        <w:t>an Authorised Person has entered into secured funding arrangements, the</w:t>
      </w:r>
      <w:r w:rsidRPr="00E4265B">
        <w:rPr>
          <w:rFonts w:ascii="Arial" w:hAnsi="Arial" w:cs="Arial"/>
          <w:i/>
          <w:iCs/>
          <w:color w:val="0070C0"/>
          <w:sz w:val="22"/>
          <w:szCs w:val="22"/>
          <w:lang w:val="en-GB"/>
        </w:rPr>
        <w:t xml:space="preserve"> </w:t>
      </w:r>
      <w:r w:rsidRPr="00E4265B">
        <w:rPr>
          <w:rFonts w:ascii="Arial" w:hAnsi="Arial" w:cs="Arial"/>
          <w:sz w:val="22"/>
          <w:szCs w:val="22"/>
          <w:lang w:val="en-GB"/>
        </w:rPr>
        <w:t>Authorised Person must:</w:t>
      </w:r>
    </w:p>
    <w:p w14:paraId="7EC2DC47" w14:textId="77777777" w:rsidR="00250039" w:rsidRPr="00E4265B" w:rsidRDefault="00250039" w:rsidP="0019712D">
      <w:pPr>
        <w:pStyle w:val="A1List"/>
        <w:numPr>
          <w:ilvl w:val="0"/>
          <w:numId w:val="89"/>
        </w:numPr>
        <w:tabs>
          <w:tab w:val="clear" w:pos="990"/>
          <w:tab w:val="left" w:pos="1134"/>
        </w:tabs>
        <w:ind w:left="1710" w:hanging="576"/>
        <w:rPr>
          <w:rFonts w:ascii="Arial" w:hAnsi="Arial" w:cs="Arial"/>
          <w:sz w:val="22"/>
          <w:szCs w:val="22"/>
          <w:lang w:val="en-GB"/>
        </w:rPr>
      </w:pPr>
      <w:r w:rsidRPr="00E4265B">
        <w:rPr>
          <w:rFonts w:ascii="Arial" w:hAnsi="Arial" w:cs="Arial"/>
          <w:sz w:val="22"/>
          <w:szCs w:val="22"/>
          <w:lang w:val="en-GB"/>
        </w:rPr>
        <w:lastRenderedPageBreak/>
        <w:t>include in its calculation of the RSF;</w:t>
      </w:r>
    </w:p>
    <w:p w14:paraId="14899731" w14:textId="77777777" w:rsidR="00250039" w:rsidRPr="00E4265B" w:rsidRDefault="00250039" w:rsidP="0019712D">
      <w:pPr>
        <w:pStyle w:val="A1List"/>
        <w:numPr>
          <w:ilvl w:val="0"/>
          <w:numId w:val="91"/>
        </w:numPr>
        <w:ind w:left="2250" w:hanging="407"/>
        <w:rPr>
          <w:rFonts w:ascii="Arial" w:hAnsi="Arial" w:cs="Arial"/>
          <w:sz w:val="22"/>
          <w:szCs w:val="22"/>
          <w:lang w:val="en-GB"/>
        </w:rPr>
      </w:pPr>
      <w:r w:rsidRPr="00E4265B">
        <w:rPr>
          <w:rFonts w:ascii="Arial" w:hAnsi="Arial" w:cs="Arial"/>
          <w:sz w:val="22"/>
          <w:szCs w:val="22"/>
          <w:lang w:val="en-GB"/>
        </w:rPr>
        <w:t>securities it has lent in SFTs where it retains beneficial ownership; and</w:t>
      </w:r>
    </w:p>
    <w:p w14:paraId="7D79EEF7" w14:textId="77777777" w:rsidR="00250039" w:rsidRPr="00E4265B" w:rsidRDefault="00250039" w:rsidP="0019712D">
      <w:pPr>
        <w:pStyle w:val="A1List"/>
        <w:numPr>
          <w:ilvl w:val="0"/>
          <w:numId w:val="91"/>
        </w:numPr>
        <w:ind w:left="2268" w:hanging="425"/>
        <w:rPr>
          <w:rFonts w:ascii="Arial" w:hAnsi="Arial" w:cs="Arial"/>
          <w:sz w:val="22"/>
          <w:szCs w:val="22"/>
          <w:lang w:val="en-GB"/>
        </w:rPr>
      </w:pPr>
      <w:r w:rsidRPr="00E4265B">
        <w:rPr>
          <w:rFonts w:ascii="Arial" w:hAnsi="Arial" w:cs="Arial"/>
          <w:sz w:val="22"/>
          <w:szCs w:val="22"/>
          <w:lang w:val="en-GB"/>
        </w:rPr>
        <w:t>encumbered securities in repos or other securities financing transactions where it has retained beneficial ownership and those assets remain on its balance sheet; and</w:t>
      </w:r>
    </w:p>
    <w:p w14:paraId="49D17476" w14:textId="77777777" w:rsidR="00250039" w:rsidRPr="00E4265B" w:rsidRDefault="00250039" w:rsidP="0019712D">
      <w:pPr>
        <w:pStyle w:val="A1List"/>
        <w:numPr>
          <w:ilvl w:val="0"/>
          <w:numId w:val="89"/>
        </w:numPr>
        <w:tabs>
          <w:tab w:val="clear" w:pos="990"/>
          <w:tab w:val="left" w:pos="1134"/>
        </w:tabs>
        <w:ind w:left="1710" w:hanging="576"/>
        <w:rPr>
          <w:rFonts w:ascii="Arial" w:hAnsi="Arial" w:cs="Arial"/>
          <w:sz w:val="22"/>
          <w:szCs w:val="22"/>
          <w:lang w:val="en-GB"/>
        </w:rPr>
      </w:pPr>
      <w:r w:rsidRPr="00E4265B">
        <w:rPr>
          <w:rFonts w:ascii="Arial" w:hAnsi="Arial" w:cs="Arial"/>
          <w:sz w:val="22"/>
          <w:szCs w:val="22"/>
          <w:lang w:val="en-GB"/>
        </w:rPr>
        <w:t>exclude from its calculation of the RSF;</w:t>
      </w:r>
    </w:p>
    <w:p w14:paraId="036DC117" w14:textId="77777777" w:rsidR="00250039" w:rsidRPr="00E4265B" w:rsidRDefault="00250039" w:rsidP="0019712D">
      <w:pPr>
        <w:pStyle w:val="A1List"/>
        <w:numPr>
          <w:ilvl w:val="0"/>
          <w:numId w:val="90"/>
        </w:numPr>
        <w:ind w:left="2268" w:hanging="407"/>
        <w:rPr>
          <w:rFonts w:ascii="Arial" w:hAnsi="Arial" w:cs="Arial"/>
          <w:sz w:val="22"/>
          <w:szCs w:val="22"/>
          <w:lang w:val="en-GB"/>
        </w:rPr>
      </w:pPr>
      <w:r w:rsidRPr="00E4265B">
        <w:rPr>
          <w:rFonts w:ascii="Arial" w:hAnsi="Arial" w:cs="Arial"/>
          <w:sz w:val="22"/>
          <w:szCs w:val="22"/>
          <w:lang w:val="en-GB"/>
        </w:rPr>
        <w:t>securities which it has borrowed in SFTs (such as reverse repos and collateral swaps) and to which it does not have beneficial ownership; and</w:t>
      </w:r>
    </w:p>
    <w:p w14:paraId="24954A40" w14:textId="77777777" w:rsidR="00250039" w:rsidRPr="00E4265B" w:rsidRDefault="00250039" w:rsidP="0019712D">
      <w:pPr>
        <w:pStyle w:val="A1List"/>
        <w:numPr>
          <w:ilvl w:val="0"/>
          <w:numId w:val="90"/>
        </w:numPr>
        <w:ind w:left="2268"/>
        <w:rPr>
          <w:rFonts w:ascii="Arial" w:hAnsi="Arial" w:cs="Arial"/>
          <w:sz w:val="22"/>
          <w:szCs w:val="22"/>
          <w:lang w:val="en-GB"/>
        </w:rPr>
      </w:pPr>
      <w:r w:rsidRPr="00E4265B">
        <w:rPr>
          <w:rFonts w:ascii="Arial" w:hAnsi="Arial" w:cs="Arial"/>
          <w:sz w:val="22"/>
          <w:szCs w:val="22"/>
          <w:lang w:val="en-GB"/>
        </w:rPr>
        <w:t>any securities it has received through collateral swaps if those securities do not appear on its balance sheet.</w:t>
      </w:r>
    </w:p>
    <w:p w14:paraId="0E4E4A40"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A10.4.14</w:t>
      </w:r>
      <w:r w:rsidRPr="00E4265B">
        <w:rPr>
          <w:rFonts w:ascii="Arial" w:hAnsi="Arial" w:cs="Arial"/>
          <w:sz w:val="22"/>
          <w:szCs w:val="22"/>
          <w:lang w:val="en-GB"/>
        </w:rPr>
        <w:tab/>
        <w:t>An Authorised Person may measure SFTs with a single Counterparty net when calculating the NSFR where the following conditions are met:</w:t>
      </w:r>
    </w:p>
    <w:p w14:paraId="6C833A49" w14:textId="77777777" w:rsidR="00250039" w:rsidRPr="00E4265B" w:rsidRDefault="00250039" w:rsidP="0019712D">
      <w:pPr>
        <w:pStyle w:val="1List"/>
        <w:numPr>
          <w:ilvl w:val="0"/>
          <w:numId w:val="96"/>
        </w:numPr>
        <w:ind w:left="1701" w:hanging="567"/>
        <w:rPr>
          <w:rFonts w:ascii="Arial" w:hAnsi="Arial" w:cs="Arial"/>
          <w:sz w:val="22"/>
          <w:szCs w:val="22"/>
          <w:lang w:val="en-GB"/>
        </w:rPr>
      </w:pPr>
      <w:r w:rsidRPr="00E4265B">
        <w:rPr>
          <w:rFonts w:ascii="Arial" w:hAnsi="Arial" w:cs="Arial"/>
          <w:sz w:val="22"/>
          <w:szCs w:val="22"/>
          <w:lang w:val="en-GB"/>
        </w:rPr>
        <w:t>an eligible bilateral netting contract must be in place between the Authorised Person and the Counterparty that is binding on the Authorised Person and the Counterparty and that is legally enforceable in all relevant jurisdictions;</w:t>
      </w:r>
    </w:p>
    <w:p w14:paraId="015FF5D7" w14:textId="77777777" w:rsidR="00250039" w:rsidRPr="00E4265B" w:rsidRDefault="00250039" w:rsidP="0019712D">
      <w:pPr>
        <w:pStyle w:val="1List"/>
        <w:numPr>
          <w:ilvl w:val="0"/>
          <w:numId w:val="96"/>
        </w:numPr>
        <w:ind w:left="1701" w:hanging="567"/>
        <w:rPr>
          <w:rFonts w:ascii="Arial" w:hAnsi="Arial" w:cs="Arial"/>
          <w:sz w:val="22"/>
          <w:szCs w:val="22"/>
          <w:lang w:val="en-GB"/>
        </w:rPr>
      </w:pPr>
      <w:r w:rsidRPr="00E4265B">
        <w:rPr>
          <w:rFonts w:ascii="Arial" w:hAnsi="Arial" w:cs="Arial"/>
          <w:sz w:val="22"/>
          <w:szCs w:val="22"/>
          <w:lang w:val="en-GB"/>
        </w:rPr>
        <w:t>that contract is a qualified financial contract as specified in the ADGM Insolvency Regulations and meets the conditions specified in Part 7, Chapter 2 therein; and</w:t>
      </w:r>
    </w:p>
    <w:p w14:paraId="5966DB32" w14:textId="77777777" w:rsidR="00250039" w:rsidRPr="00E4265B" w:rsidRDefault="00250039" w:rsidP="0019712D">
      <w:pPr>
        <w:pStyle w:val="1List"/>
        <w:numPr>
          <w:ilvl w:val="0"/>
          <w:numId w:val="96"/>
        </w:numPr>
        <w:ind w:left="1701" w:hanging="567"/>
        <w:rPr>
          <w:rFonts w:ascii="Arial" w:hAnsi="Arial" w:cs="Arial"/>
          <w:sz w:val="22"/>
          <w:szCs w:val="22"/>
          <w:lang w:val="en-GB"/>
        </w:rPr>
      </w:pPr>
      <w:r w:rsidRPr="00E4265B">
        <w:rPr>
          <w:rFonts w:ascii="Arial" w:hAnsi="Arial" w:cs="Arial"/>
          <w:sz w:val="22"/>
          <w:szCs w:val="22"/>
          <w:lang w:val="en-GB"/>
        </w:rPr>
        <w:t>the Authorised Person meets the disclosure requirements for the NSFR as specified in App12.</w:t>
      </w:r>
    </w:p>
    <w:p w14:paraId="59F3FFCE"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A10.4.15</w:t>
      </w:r>
      <w:r w:rsidRPr="00E4265B">
        <w:rPr>
          <w:rFonts w:ascii="Arial" w:hAnsi="Arial" w:cs="Arial"/>
          <w:bCs/>
          <w:sz w:val="22"/>
          <w:szCs w:val="22"/>
          <w:lang w:val="en-GB"/>
        </w:rPr>
        <w:tab/>
        <w:t>In determining the residual maturity of both assets and off-balance sheet items that are to be included in the Required Stable Funding, an Authorised Person must calculate the residual maturity of each individual asset or off-balance sheet item as being that period up to the latest point in time to which investors have the right to extend the maturity of an asset or an off-balance sheet item</w:t>
      </w:r>
      <w:r w:rsidRPr="00E4265B">
        <w:rPr>
          <w:rFonts w:ascii="Arial" w:hAnsi="Arial" w:cs="Arial"/>
          <w:sz w:val="22"/>
          <w:szCs w:val="22"/>
          <w:lang w:val="en-GB"/>
        </w:rPr>
        <w:t>.</w:t>
      </w:r>
    </w:p>
    <w:p w14:paraId="00A963B2" w14:textId="77777777" w:rsidR="00250039" w:rsidRPr="00E4265B" w:rsidRDefault="00250039" w:rsidP="00250039">
      <w:pPr>
        <w:pStyle w:val="TitleL5"/>
        <w:ind w:left="1134"/>
        <w:rPr>
          <w:rFonts w:ascii="Arial" w:hAnsi="Arial" w:cs="Arial"/>
          <w:sz w:val="22"/>
          <w:szCs w:val="22"/>
        </w:rPr>
      </w:pPr>
      <w:r w:rsidRPr="00E4265B">
        <w:rPr>
          <w:rFonts w:ascii="Arial" w:hAnsi="Arial" w:cs="Arial"/>
          <w:sz w:val="22"/>
          <w:szCs w:val="22"/>
        </w:rPr>
        <w:t>Guidance</w:t>
      </w:r>
    </w:p>
    <w:p w14:paraId="7D625FAE" w14:textId="77777777" w:rsidR="00250039" w:rsidRPr="00E4265B" w:rsidRDefault="00250039" w:rsidP="0019712D">
      <w:pPr>
        <w:pStyle w:val="A1List"/>
        <w:numPr>
          <w:ilvl w:val="0"/>
          <w:numId w:val="99"/>
        </w:numPr>
        <w:tabs>
          <w:tab w:val="clear" w:pos="990"/>
        </w:tabs>
        <w:ind w:left="1701" w:hanging="567"/>
        <w:rPr>
          <w:rFonts w:ascii="Arial" w:hAnsi="Arial" w:cs="Arial"/>
          <w:sz w:val="22"/>
          <w:szCs w:val="22"/>
          <w:lang w:val="en-GB"/>
        </w:rPr>
      </w:pPr>
      <w:r w:rsidRPr="00E4265B">
        <w:rPr>
          <w:rFonts w:ascii="Arial" w:hAnsi="Arial" w:cs="Arial"/>
          <w:sz w:val="22"/>
          <w:szCs w:val="22"/>
          <w:lang w:val="en-GB"/>
        </w:rPr>
        <w:t>When determining the residual maturity of assets and off-balance sheet items, investors should be assumed to exercise any option to extend maturity.  For assets with options exercisable at the discretion of the Authorised Person, the Regulator will take into account reputational factors that may limit the ability of the Authorised Person not to exercise the option.</w:t>
      </w:r>
    </w:p>
    <w:p w14:paraId="41FD8302" w14:textId="77777777" w:rsidR="00250039" w:rsidRPr="00E4265B" w:rsidRDefault="00250039" w:rsidP="0019712D">
      <w:pPr>
        <w:pStyle w:val="A1List"/>
        <w:numPr>
          <w:ilvl w:val="0"/>
          <w:numId w:val="99"/>
        </w:numPr>
        <w:tabs>
          <w:tab w:val="clear" w:pos="990"/>
        </w:tabs>
        <w:ind w:left="1701" w:hanging="567"/>
        <w:rPr>
          <w:rFonts w:ascii="Arial" w:hAnsi="Arial" w:cs="Arial"/>
          <w:sz w:val="22"/>
          <w:szCs w:val="22"/>
          <w:lang w:val="en-GB"/>
        </w:rPr>
      </w:pPr>
      <w:r w:rsidRPr="00E4265B">
        <w:rPr>
          <w:rFonts w:ascii="Arial" w:hAnsi="Arial" w:cs="Arial"/>
          <w:sz w:val="22"/>
          <w:szCs w:val="22"/>
          <w:lang w:val="en-GB"/>
        </w:rPr>
        <w:t>In particular, where the market expects certain assets to be extended in their maturity, Authorised Persons and the Regulator should assume such behaviour for the purpose of the NSFR and include these assets in the corresponding RSF category.  For amortising loans, the portion that comes due within the one-year horizon may be considered as a having a residual maturity of less than one year and included in the appropriate RSF category.</w:t>
      </w:r>
    </w:p>
    <w:p w14:paraId="3597BF37"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A10.4.16</w:t>
      </w:r>
      <w:r w:rsidRPr="00E4265B">
        <w:rPr>
          <w:rFonts w:ascii="Arial" w:hAnsi="Arial" w:cs="Arial"/>
          <w:bCs/>
          <w:sz w:val="22"/>
          <w:szCs w:val="22"/>
          <w:lang w:val="en-GB"/>
        </w:rPr>
        <w:tab/>
        <w:t>Subject to A10.4.17, a</w:t>
      </w:r>
      <w:r w:rsidRPr="00E4265B">
        <w:rPr>
          <w:rFonts w:ascii="Arial" w:hAnsi="Arial" w:cs="Arial"/>
          <w:sz w:val="22"/>
          <w:szCs w:val="22"/>
          <w:lang w:val="en-GB"/>
        </w:rPr>
        <w:t>n Authorised Person must calculate the Required Stable Funding that it needs for its assets by:</w:t>
      </w:r>
    </w:p>
    <w:p w14:paraId="198F7281" w14:textId="77777777" w:rsidR="00250039" w:rsidRPr="00E4265B" w:rsidRDefault="00250039" w:rsidP="0019712D">
      <w:pPr>
        <w:pStyle w:val="1List"/>
        <w:numPr>
          <w:ilvl w:val="0"/>
          <w:numId w:val="86"/>
        </w:numPr>
        <w:ind w:left="1701" w:hanging="567"/>
        <w:rPr>
          <w:rFonts w:ascii="Arial" w:hAnsi="Arial" w:cs="Arial"/>
          <w:sz w:val="22"/>
          <w:szCs w:val="22"/>
          <w:lang w:val="en-GB"/>
        </w:rPr>
      </w:pPr>
      <w:r w:rsidRPr="00E4265B">
        <w:rPr>
          <w:rFonts w:ascii="Arial" w:hAnsi="Arial" w:cs="Arial"/>
          <w:sz w:val="22"/>
          <w:szCs w:val="22"/>
          <w:lang w:val="en-GB"/>
        </w:rPr>
        <w:lastRenderedPageBreak/>
        <w:t>assigning each asset to one of the RSF asset categories in the following table;</w:t>
      </w:r>
    </w:p>
    <w:p w14:paraId="2F288A51" w14:textId="77777777" w:rsidR="00250039" w:rsidRPr="00E4265B" w:rsidRDefault="00250039" w:rsidP="0019712D">
      <w:pPr>
        <w:pStyle w:val="1List"/>
        <w:numPr>
          <w:ilvl w:val="0"/>
          <w:numId w:val="86"/>
        </w:numPr>
        <w:ind w:left="1701" w:hanging="567"/>
        <w:rPr>
          <w:rFonts w:ascii="Arial" w:hAnsi="Arial" w:cs="Arial"/>
          <w:sz w:val="22"/>
          <w:szCs w:val="22"/>
          <w:lang w:val="en-GB"/>
        </w:rPr>
      </w:pPr>
      <w:r w:rsidRPr="00E4265B">
        <w:rPr>
          <w:rFonts w:ascii="Arial" w:hAnsi="Arial" w:cs="Arial"/>
          <w:sz w:val="22"/>
          <w:szCs w:val="22"/>
          <w:lang w:val="en-GB"/>
        </w:rPr>
        <w:t>multiplying the Carrying Value of each asset by the RSF factor associated with that asset category; and</w:t>
      </w:r>
    </w:p>
    <w:p w14:paraId="414F1BE5" w14:textId="77777777" w:rsidR="00250039" w:rsidRPr="00E4265B" w:rsidRDefault="00250039" w:rsidP="0019712D">
      <w:pPr>
        <w:pStyle w:val="1List"/>
        <w:numPr>
          <w:ilvl w:val="0"/>
          <w:numId w:val="86"/>
        </w:numPr>
        <w:ind w:left="1701" w:hanging="567"/>
        <w:rPr>
          <w:rFonts w:ascii="Arial" w:hAnsi="Arial" w:cs="Arial"/>
          <w:sz w:val="22"/>
          <w:szCs w:val="22"/>
          <w:lang w:val="en-GB"/>
        </w:rPr>
      </w:pPr>
      <w:r w:rsidRPr="00E4265B">
        <w:rPr>
          <w:rFonts w:ascii="Arial" w:hAnsi="Arial" w:cs="Arial"/>
          <w:sz w:val="22"/>
          <w:szCs w:val="22"/>
          <w:lang w:val="en-GB"/>
        </w:rPr>
        <w:t>summing those weighted values.</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0"/>
        <w:gridCol w:w="7920"/>
      </w:tblGrid>
      <w:tr w:rsidR="00250039" w:rsidRPr="00E4265B" w14:paraId="4DC7DECE" w14:textId="77777777" w:rsidTr="004E1995">
        <w:trPr>
          <w:trHeight w:val="288"/>
          <w:tblHeader/>
        </w:trPr>
        <w:tc>
          <w:tcPr>
            <w:tcW w:w="1350" w:type="dxa"/>
            <w:shd w:val="clear" w:color="auto" w:fill="D9D9D9" w:themeFill="background1" w:themeFillShade="D9"/>
            <w:vAlign w:val="center"/>
          </w:tcPr>
          <w:p w14:paraId="12EDEB33" w14:textId="77777777" w:rsidR="00250039" w:rsidRPr="00E4265B" w:rsidRDefault="00250039" w:rsidP="004E1995">
            <w:pPr>
              <w:autoSpaceDE w:val="0"/>
              <w:autoSpaceDN w:val="0"/>
              <w:spacing w:before="40" w:afterLines="40" w:after="96" w:line="273" w:lineRule="exact"/>
              <w:ind w:right="93"/>
              <w:jc w:val="center"/>
              <w:rPr>
                <w:rFonts w:ascii="Arial" w:hAnsi="Arial" w:cs="Arial"/>
                <w:b/>
                <w:sz w:val="22"/>
                <w:szCs w:val="22"/>
              </w:rPr>
            </w:pPr>
            <w:r w:rsidRPr="00E4265B">
              <w:rPr>
                <w:rFonts w:ascii="Arial" w:hAnsi="Arial" w:cs="Arial"/>
                <w:b/>
                <w:spacing w:val="1"/>
                <w:sz w:val="22"/>
                <w:szCs w:val="22"/>
              </w:rPr>
              <w:t>RSF factor</w:t>
            </w:r>
          </w:p>
        </w:tc>
        <w:tc>
          <w:tcPr>
            <w:tcW w:w="7920" w:type="dxa"/>
            <w:shd w:val="clear" w:color="auto" w:fill="D9D9D9" w:themeFill="background1" w:themeFillShade="D9"/>
            <w:vAlign w:val="center"/>
            <w:hideMark/>
          </w:tcPr>
          <w:p w14:paraId="4C64B02F" w14:textId="77777777" w:rsidR="00250039" w:rsidRPr="00E4265B" w:rsidRDefault="00250039" w:rsidP="004E1995">
            <w:pPr>
              <w:autoSpaceDE w:val="0"/>
              <w:autoSpaceDN w:val="0"/>
              <w:spacing w:before="40" w:afterLines="40" w:after="96" w:line="273" w:lineRule="exact"/>
              <w:ind w:left="-5" w:right="1011"/>
              <w:jc w:val="center"/>
              <w:rPr>
                <w:rFonts w:ascii="Arial" w:eastAsia="MS PGothic" w:hAnsi="Arial" w:cs="Arial"/>
                <w:b/>
                <w:sz w:val="22"/>
                <w:szCs w:val="22"/>
              </w:rPr>
            </w:pPr>
            <w:r w:rsidRPr="00E4265B">
              <w:rPr>
                <w:rFonts w:ascii="Arial" w:hAnsi="Arial" w:cs="Arial"/>
                <w:b/>
                <w:sz w:val="22"/>
                <w:szCs w:val="22"/>
              </w:rPr>
              <w:t>RSF asset category</w:t>
            </w:r>
          </w:p>
        </w:tc>
      </w:tr>
      <w:tr w:rsidR="00250039" w:rsidRPr="00E4265B" w14:paraId="21A28EF0" w14:textId="77777777" w:rsidTr="004E1995">
        <w:trPr>
          <w:trHeight w:val="288"/>
        </w:trPr>
        <w:tc>
          <w:tcPr>
            <w:tcW w:w="1350" w:type="dxa"/>
            <w:vMerge w:val="restart"/>
            <w:tcBorders>
              <w:right w:val="single" w:sz="4" w:space="0" w:color="auto"/>
            </w:tcBorders>
            <w:vAlign w:val="center"/>
          </w:tcPr>
          <w:p w14:paraId="07BB559D" w14:textId="77777777" w:rsidR="00250039" w:rsidRPr="00E4265B" w:rsidRDefault="00250039" w:rsidP="004E1995">
            <w:pPr>
              <w:autoSpaceDE w:val="0"/>
              <w:autoSpaceDN w:val="0"/>
              <w:spacing w:before="40" w:afterLines="40" w:after="96" w:line="229" w:lineRule="exact"/>
              <w:ind w:left="440" w:right="-20"/>
              <w:rPr>
                <w:rFonts w:ascii="Arial" w:hAnsi="Arial" w:cs="Arial"/>
                <w:sz w:val="22"/>
                <w:szCs w:val="22"/>
              </w:rPr>
            </w:pPr>
            <w:r w:rsidRPr="00E4265B">
              <w:rPr>
                <w:rFonts w:ascii="Arial" w:hAnsi="Arial" w:cs="Arial"/>
                <w:sz w:val="22"/>
                <w:szCs w:val="22"/>
              </w:rPr>
              <w:t>0%</w:t>
            </w:r>
          </w:p>
        </w:tc>
        <w:tc>
          <w:tcPr>
            <w:tcW w:w="7920" w:type="dxa"/>
            <w:tcBorders>
              <w:bottom w:val="nil"/>
              <w:right w:val="single" w:sz="4" w:space="0" w:color="auto"/>
            </w:tcBorders>
            <w:vAlign w:val="center"/>
          </w:tcPr>
          <w:p w14:paraId="38D0142B"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coins and banknotes immediately available to meet obligations</w:t>
            </w:r>
          </w:p>
        </w:tc>
      </w:tr>
      <w:tr w:rsidR="00250039" w:rsidRPr="00E4265B" w14:paraId="2D9A07A3" w14:textId="77777777" w:rsidTr="004E1995">
        <w:trPr>
          <w:trHeight w:val="288"/>
        </w:trPr>
        <w:tc>
          <w:tcPr>
            <w:tcW w:w="1350" w:type="dxa"/>
            <w:vMerge/>
            <w:tcBorders>
              <w:right w:val="single" w:sz="4" w:space="0" w:color="auto"/>
            </w:tcBorders>
            <w:vAlign w:val="center"/>
          </w:tcPr>
          <w:p w14:paraId="74525471"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pacing w:val="-1"/>
                <w:sz w:val="22"/>
                <w:szCs w:val="22"/>
              </w:rPr>
            </w:pPr>
          </w:p>
        </w:tc>
        <w:tc>
          <w:tcPr>
            <w:tcW w:w="7920" w:type="dxa"/>
            <w:tcBorders>
              <w:top w:val="nil"/>
              <w:bottom w:val="nil"/>
              <w:right w:val="single" w:sz="4" w:space="0" w:color="auto"/>
            </w:tcBorders>
            <w:vAlign w:val="center"/>
          </w:tcPr>
          <w:p w14:paraId="157E694A"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all central bank reserves (including required reserves and excess reserves)</w:t>
            </w:r>
          </w:p>
        </w:tc>
      </w:tr>
      <w:tr w:rsidR="00250039" w:rsidRPr="00E4265B" w14:paraId="42984A18" w14:textId="77777777" w:rsidTr="004E1995">
        <w:trPr>
          <w:trHeight w:val="288"/>
        </w:trPr>
        <w:tc>
          <w:tcPr>
            <w:tcW w:w="1350" w:type="dxa"/>
            <w:vMerge/>
            <w:tcBorders>
              <w:right w:val="single" w:sz="4" w:space="0" w:color="auto"/>
            </w:tcBorders>
            <w:vAlign w:val="center"/>
          </w:tcPr>
          <w:p w14:paraId="0923C432"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pacing w:val="-1"/>
                <w:sz w:val="22"/>
                <w:szCs w:val="22"/>
              </w:rPr>
            </w:pPr>
          </w:p>
        </w:tc>
        <w:tc>
          <w:tcPr>
            <w:tcW w:w="7920" w:type="dxa"/>
            <w:tcBorders>
              <w:top w:val="nil"/>
              <w:bottom w:val="nil"/>
              <w:right w:val="single" w:sz="4" w:space="0" w:color="auto"/>
            </w:tcBorders>
            <w:vAlign w:val="center"/>
          </w:tcPr>
          <w:p w14:paraId="3C2A6CAF"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all claims on central banks with residual maturities of less than six months</w:t>
            </w:r>
          </w:p>
        </w:tc>
      </w:tr>
      <w:tr w:rsidR="00250039" w:rsidRPr="00E4265B" w14:paraId="2E5EC3C8" w14:textId="77777777" w:rsidTr="004E1995">
        <w:trPr>
          <w:trHeight w:val="288"/>
        </w:trPr>
        <w:tc>
          <w:tcPr>
            <w:tcW w:w="1350" w:type="dxa"/>
            <w:vMerge/>
            <w:tcBorders>
              <w:right w:val="single" w:sz="4" w:space="0" w:color="auto"/>
            </w:tcBorders>
            <w:vAlign w:val="center"/>
          </w:tcPr>
          <w:p w14:paraId="675F505C"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pacing w:val="-1"/>
                <w:sz w:val="22"/>
                <w:szCs w:val="22"/>
              </w:rPr>
            </w:pPr>
          </w:p>
        </w:tc>
        <w:tc>
          <w:tcPr>
            <w:tcW w:w="7920" w:type="dxa"/>
            <w:tcBorders>
              <w:top w:val="nil"/>
              <w:bottom w:val="single" w:sz="4" w:space="0" w:color="auto"/>
              <w:right w:val="single" w:sz="4" w:space="0" w:color="auto"/>
            </w:tcBorders>
            <w:vAlign w:val="center"/>
          </w:tcPr>
          <w:p w14:paraId="4E9ACADD"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“trade date” receivables arising from sales of financial instruments, foreign currencies and commodities that:</w:t>
            </w:r>
          </w:p>
          <w:p w14:paraId="23655A47" w14:textId="77777777" w:rsidR="00250039" w:rsidRPr="00E4265B" w:rsidRDefault="00250039" w:rsidP="0019712D">
            <w:pPr>
              <w:pStyle w:val="ListParagraph"/>
              <w:numPr>
                <w:ilvl w:val="1"/>
                <w:numId w:val="84"/>
              </w:numPr>
              <w:autoSpaceDE w:val="0"/>
              <w:autoSpaceDN w:val="0"/>
              <w:spacing w:before="40" w:afterLines="40" w:after="96"/>
              <w:ind w:left="901" w:right="-20"/>
              <w:rPr>
                <w:rFonts w:ascii="Arial" w:hAnsi="Arial" w:cs="Arial"/>
                <w:sz w:val="22"/>
                <w:szCs w:val="22"/>
              </w:rPr>
            </w:pPr>
            <w:r w:rsidRPr="00E4265B">
              <w:rPr>
                <w:rFonts w:ascii="Arial" w:hAnsi="Arial" w:cs="Arial"/>
                <w:sz w:val="22"/>
                <w:szCs w:val="22"/>
              </w:rPr>
              <w:t>are expected to settle within the standard settlement cycle or period that is customary for the relevant exchange or type of transaction; or</w:t>
            </w:r>
          </w:p>
          <w:p w14:paraId="02450F0B" w14:textId="77777777" w:rsidR="00250039" w:rsidRPr="00E4265B" w:rsidRDefault="00250039" w:rsidP="0019712D">
            <w:pPr>
              <w:pStyle w:val="ListParagraph"/>
              <w:numPr>
                <w:ilvl w:val="1"/>
                <w:numId w:val="84"/>
              </w:numPr>
              <w:autoSpaceDE w:val="0"/>
              <w:autoSpaceDN w:val="0"/>
              <w:spacing w:before="40" w:afterLines="40" w:after="96"/>
              <w:ind w:left="901" w:right="-20"/>
              <w:rPr>
                <w:rFonts w:ascii="Arial" w:hAnsi="Arial" w:cs="Arial"/>
                <w:sz w:val="22"/>
                <w:szCs w:val="22"/>
              </w:rPr>
            </w:pPr>
            <w:r w:rsidRPr="00E4265B">
              <w:rPr>
                <w:rFonts w:ascii="Arial" w:hAnsi="Arial" w:cs="Arial"/>
                <w:sz w:val="22"/>
                <w:szCs w:val="22"/>
              </w:rPr>
              <w:t>have failed to, but are still expected to, settle</w:t>
            </w:r>
          </w:p>
        </w:tc>
      </w:tr>
      <w:tr w:rsidR="00250039" w:rsidRPr="00E4265B" w14:paraId="065EE2BE" w14:textId="77777777" w:rsidTr="004E1995">
        <w:trPr>
          <w:trHeight w:val="593"/>
        </w:trPr>
        <w:tc>
          <w:tcPr>
            <w:tcW w:w="1350" w:type="dxa"/>
            <w:tcBorders>
              <w:left w:val="single" w:sz="4" w:space="0" w:color="auto"/>
            </w:tcBorders>
            <w:vAlign w:val="center"/>
          </w:tcPr>
          <w:p w14:paraId="04899EA3" w14:textId="77777777" w:rsidR="00250039" w:rsidRPr="00E4265B" w:rsidRDefault="00250039" w:rsidP="004E1995">
            <w:pPr>
              <w:autoSpaceDE w:val="0"/>
              <w:autoSpaceDN w:val="0"/>
              <w:spacing w:before="40" w:afterLines="40" w:after="96" w:line="229" w:lineRule="exact"/>
              <w:ind w:left="440" w:right="-20"/>
              <w:rPr>
                <w:rFonts w:ascii="Arial" w:hAnsi="Arial" w:cs="Arial"/>
                <w:spacing w:val="3"/>
                <w:sz w:val="22"/>
                <w:szCs w:val="22"/>
              </w:rPr>
            </w:pPr>
            <w:r w:rsidRPr="00E4265B">
              <w:rPr>
                <w:rFonts w:ascii="Arial" w:hAnsi="Arial" w:cs="Arial"/>
                <w:sz w:val="22"/>
                <w:szCs w:val="22"/>
              </w:rPr>
              <w:t>5%</w:t>
            </w:r>
          </w:p>
        </w:tc>
        <w:tc>
          <w:tcPr>
            <w:tcW w:w="7920" w:type="dxa"/>
            <w:vAlign w:val="center"/>
            <w:hideMark/>
          </w:tcPr>
          <w:p w14:paraId="2E978891"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unencumbered Level 1 HQLA as defined in Rule A10.2.6(2), excluding those assets receiving an RSF factor of 0% as above</w:t>
            </w:r>
          </w:p>
        </w:tc>
      </w:tr>
      <w:tr w:rsidR="00250039" w:rsidRPr="00E4265B" w14:paraId="0D8F846E" w14:textId="77777777" w:rsidTr="004E1995">
        <w:trPr>
          <w:trHeight w:val="1160"/>
        </w:trPr>
        <w:tc>
          <w:tcPr>
            <w:tcW w:w="1350" w:type="dxa"/>
            <w:tcBorders>
              <w:left w:val="single" w:sz="4" w:space="0" w:color="auto"/>
              <w:bottom w:val="single" w:sz="4" w:space="0" w:color="auto"/>
            </w:tcBorders>
            <w:vAlign w:val="center"/>
          </w:tcPr>
          <w:p w14:paraId="012D521E" w14:textId="77777777" w:rsidR="00250039" w:rsidRPr="00E4265B" w:rsidRDefault="00250039" w:rsidP="004E1995">
            <w:pPr>
              <w:autoSpaceDE w:val="0"/>
              <w:autoSpaceDN w:val="0"/>
              <w:spacing w:before="40" w:afterLines="40" w:after="96" w:line="229" w:lineRule="exact"/>
              <w:ind w:left="440" w:right="-20"/>
              <w:rPr>
                <w:rFonts w:ascii="Arial" w:hAnsi="Arial" w:cs="Arial"/>
                <w:sz w:val="22"/>
                <w:szCs w:val="22"/>
              </w:rPr>
            </w:pPr>
            <w:r w:rsidRPr="00E4265B">
              <w:rPr>
                <w:rFonts w:ascii="Arial" w:hAnsi="Arial" w:cs="Arial"/>
                <w:sz w:val="22"/>
                <w:szCs w:val="22"/>
              </w:rPr>
              <w:t>10%</w:t>
            </w:r>
          </w:p>
        </w:tc>
        <w:tc>
          <w:tcPr>
            <w:tcW w:w="7920" w:type="dxa"/>
            <w:tcBorders>
              <w:bottom w:val="single" w:sz="4" w:space="0" w:color="auto"/>
            </w:tcBorders>
            <w:vAlign w:val="center"/>
          </w:tcPr>
          <w:p w14:paraId="42B3FA20"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unencumbered loans to financial institutions with residual maturities of less than six months, where the loan is secured against Level 1 HQLA as defined in Rule A10.2.7(2), and where the bank has the ability to freely re-hypothecate the received collateral for the life of the loan</w:t>
            </w:r>
          </w:p>
        </w:tc>
      </w:tr>
      <w:tr w:rsidR="00250039" w:rsidRPr="00E4265B" w14:paraId="5D0C0546" w14:textId="77777777" w:rsidTr="004E1995">
        <w:trPr>
          <w:trHeight w:val="288"/>
        </w:trPr>
        <w:tc>
          <w:tcPr>
            <w:tcW w:w="1350" w:type="dxa"/>
            <w:vMerge w:val="restart"/>
            <w:tcBorders>
              <w:left w:val="single" w:sz="4" w:space="0" w:color="auto"/>
              <w:bottom w:val="dotted" w:sz="4" w:space="0" w:color="auto"/>
            </w:tcBorders>
            <w:vAlign w:val="center"/>
          </w:tcPr>
          <w:p w14:paraId="55D836FE" w14:textId="77777777" w:rsidR="00250039" w:rsidRPr="00E4265B" w:rsidRDefault="00250039" w:rsidP="004E1995">
            <w:pPr>
              <w:autoSpaceDE w:val="0"/>
              <w:autoSpaceDN w:val="0"/>
              <w:spacing w:before="40" w:afterLines="40" w:after="96" w:line="229" w:lineRule="exact"/>
              <w:ind w:left="440" w:right="-20"/>
              <w:rPr>
                <w:rFonts w:ascii="Arial" w:hAnsi="Arial" w:cs="Arial"/>
                <w:sz w:val="22"/>
                <w:szCs w:val="22"/>
              </w:rPr>
            </w:pPr>
            <w:r w:rsidRPr="00E4265B">
              <w:rPr>
                <w:rFonts w:ascii="Arial" w:hAnsi="Arial" w:cs="Arial"/>
                <w:sz w:val="22"/>
                <w:szCs w:val="22"/>
              </w:rPr>
              <w:t>15%</w:t>
            </w:r>
          </w:p>
        </w:tc>
        <w:tc>
          <w:tcPr>
            <w:tcW w:w="7920" w:type="dxa"/>
            <w:tcBorders>
              <w:bottom w:val="dashSmallGap" w:sz="4" w:space="0" w:color="auto"/>
            </w:tcBorders>
            <w:vAlign w:val="center"/>
          </w:tcPr>
          <w:p w14:paraId="62C28F9A"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unencumbered Level 2A assets as defined in Rule A10.2.8(2)</w:t>
            </w:r>
          </w:p>
        </w:tc>
      </w:tr>
      <w:tr w:rsidR="00250039" w:rsidRPr="00E4265B" w14:paraId="66DD3A45" w14:textId="77777777" w:rsidTr="004E1995">
        <w:trPr>
          <w:trHeight w:val="288"/>
        </w:trPr>
        <w:tc>
          <w:tcPr>
            <w:tcW w:w="1350" w:type="dxa"/>
            <w:vMerge/>
            <w:tcBorders>
              <w:left w:val="single" w:sz="4" w:space="0" w:color="auto"/>
              <w:bottom w:val="dotted" w:sz="4" w:space="0" w:color="auto"/>
            </w:tcBorders>
            <w:vAlign w:val="center"/>
          </w:tcPr>
          <w:p w14:paraId="313331B6" w14:textId="77777777" w:rsidR="00250039" w:rsidRPr="00E4265B" w:rsidRDefault="00250039" w:rsidP="004E1995">
            <w:pPr>
              <w:autoSpaceDE w:val="0"/>
              <w:autoSpaceDN w:val="0"/>
              <w:spacing w:before="40" w:afterLines="40" w:after="96" w:line="229" w:lineRule="exact"/>
              <w:ind w:left="440" w:right="-20"/>
              <w:rPr>
                <w:rFonts w:ascii="Arial" w:hAnsi="Arial" w:cs="Arial"/>
                <w:sz w:val="22"/>
                <w:szCs w:val="22"/>
              </w:rPr>
            </w:pPr>
          </w:p>
        </w:tc>
        <w:tc>
          <w:tcPr>
            <w:tcW w:w="7920" w:type="dxa"/>
            <w:tcBorders>
              <w:top w:val="dashSmallGap" w:sz="4" w:space="0" w:color="auto"/>
              <w:bottom w:val="single" w:sz="4" w:space="0" w:color="auto"/>
            </w:tcBorders>
            <w:vAlign w:val="center"/>
          </w:tcPr>
          <w:p w14:paraId="1406E072"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all other unencumbered loans to financial institutions with residual maturities of less than six months not receiving an RSF factor of 10%</w:t>
            </w:r>
          </w:p>
        </w:tc>
      </w:tr>
      <w:tr w:rsidR="00250039" w:rsidRPr="00E4265B" w14:paraId="0185D719" w14:textId="77777777" w:rsidTr="004E1995">
        <w:trPr>
          <w:trHeight w:val="288"/>
        </w:trPr>
        <w:tc>
          <w:tcPr>
            <w:tcW w:w="1350" w:type="dxa"/>
            <w:vMerge w:val="restart"/>
            <w:tcBorders>
              <w:top w:val="single" w:sz="4" w:space="0" w:color="auto"/>
              <w:left w:val="single" w:sz="4" w:space="0" w:color="auto"/>
              <w:bottom w:val="nil"/>
            </w:tcBorders>
            <w:vAlign w:val="center"/>
          </w:tcPr>
          <w:p w14:paraId="5011667F" w14:textId="77777777" w:rsidR="00250039" w:rsidRPr="00E4265B" w:rsidRDefault="00250039" w:rsidP="004E1995">
            <w:pPr>
              <w:autoSpaceDE w:val="0"/>
              <w:autoSpaceDN w:val="0"/>
              <w:spacing w:before="40" w:afterLines="40" w:after="96" w:line="229" w:lineRule="exact"/>
              <w:ind w:left="440" w:right="-20"/>
              <w:rPr>
                <w:rFonts w:ascii="Arial" w:hAnsi="Arial" w:cs="Arial"/>
                <w:spacing w:val="-1"/>
                <w:sz w:val="22"/>
                <w:szCs w:val="22"/>
              </w:rPr>
            </w:pPr>
            <w:r w:rsidRPr="00E4265B">
              <w:rPr>
                <w:rFonts w:ascii="Arial" w:hAnsi="Arial" w:cs="Arial"/>
                <w:sz w:val="22"/>
                <w:szCs w:val="22"/>
              </w:rPr>
              <w:t>50%</w:t>
            </w:r>
          </w:p>
        </w:tc>
        <w:tc>
          <w:tcPr>
            <w:tcW w:w="7920" w:type="dxa"/>
            <w:tcBorders>
              <w:top w:val="single" w:sz="4" w:space="0" w:color="auto"/>
              <w:bottom w:val="nil"/>
            </w:tcBorders>
            <w:vAlign w:val="center"/>
          </w:tcPr>
          <w:p w14:paraId="4695F286"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unencumbered Level 2B assets as defined and subject to the conditions set forth in Rule A10.2.8</w:t>
            </w:r>
          </w:p>
        </w:tc>
      </w:tr>
      <w:tr w:rsidR="00250039" w:rsidRPr="00E4265B" w14:paraId="61E775D7" w14:textId="77777777" w:rsidTr="004E1995">
        <w:trPr>
          <w:trHeight w:val="288"/>
        </w:trPr>
        <w:tc>
          <w:tcPr>
            <w:tcW w:w="1350" w:type="dxa"/>
            <w:vMerge/>
            <w:tcBorders>
              <w:top w:val="nil"/>
              <w:left w:val="single" w:sz="4" w:space="0" w:color="auto"/>
              <w:bottom w:val="nil"/>
            </w:tcBorders>
            <w:vAlign w:val="center"/>
          </w:tcPr>
          <w:p w14:paraId="06999A73"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z w:val="22"/>
                <w:szCs w:val="22"/>
              </w:rPr>
            </w:pPr>
          </w:p>
        </w:tc>
        <w:tc>
          <w:tcPr>
            <w:tcW w:w="7920" w:type="dxa"/>
            <w:tcBorders>
              <w:top w:val="nil"/>
              <w:bottom w:val="nil"/>
            </w:tcBorders>
            <w:vAlign w:val="center"/>
          </w:tcPr>
          <w:p w14:paraId="4DC6E261"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any HQLA as defined in Rule A10.2.6, Rule 10.2.7 or Rule 10.2.8 that are encumbered for a period of between six months and less than one year</w:t>
            </w:r>
          </w:p>
        </w:tc>
      </w:tr>
      <w:tr w:rsidR="00250039" w:rsidRPr="00E4265B" w14:paraId="5CE34D80" w14:textId="77777777" w:rsidTr="004E1995">
        <w:trPr>
          <w:trHeight w:val="288"/>
        </w:trPr>
        <w:tc>
          <w:tcPr>
            <w:tcW w:w="1350" w:type="dxa"/>
            <w:vMerge/>
            <w:tcBorders>
              <w:top w:val="nil"/>
              <w:left w:val="single" w:sz="4" w:space="0" w:color="auto"/>
              <w:bottom w:val="nil"/>
            </w:tcBorders>
            <w:vAlign w:val="center"/>
          </w:tcPr>
          <w:p w14:paraId="07A0A874"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pacing w:val="-1"/>
                <w:sz w:val="22"/>
                <w:szCs w:val="22"/>
              </w:rPr>
            </w:pPr>
          </w:p>
        </w:tc>
        <w:tc>
          <w:tcPr>
            <w:tcW w:w="7920" w:type="dxa"/>
            <w:tcBorders>
              <w:top w:val="nil"/>
              <w:bottom w:val="nil"/>
            </w:tcBorders>
            <w:vAlign w:val="center"/>
          </w:tcPr>
          <w:p w14:paraId="396B1A78"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all loans to financial institutions and central banks with residual maturity of between six months and less than one year</w:t>
            </w:r>
          </w:p>
        </w:tc>
      </w:tr>
      <w:tr w:rsidR="00250039" w:rsidRPr="00E4265B" w14:paraId="560EB931" w14:textId="77777777" w:rsidTr="004E1995">
        <w:trPr>
          <w:trHeight w:val="288"/>
        </w:trPr>
        <w:tc>
          <w:tcPr>
            <w:tcW w:w="1350" w:type="dxa"/>
            <w:vMerge/>
            <w:tcBorders>
              <w:top w:val="nil"/>
              <w:left w:val="single" w:sz="4" w:space="0" w:color="auto"/>
              <w:bottom w:val="nil"/>
            </w:tcBorders>
            <w:vAlign w:val="center"/>
          </w:tcPr>
          <w:p w14:paraId="17211486"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pacing w:val="-1"/>
                <w:sz w:val="22"/>
                <w:szCs w:val="22"/>
              </w:rPr>
            </w:pPr>
          </w:p>
        </w:tc>
        <w:tc>
          <w:tcPr>
            <w:tcW w:w="7920" w:type="dxa"/>
            <w:tcBorders>
              <w:top w:val="nil"/>
              <w:bottom w:val="nil"/>
            </w:tcBorders>
            <w:vAlign w:val="center"/>
          </w:tcPr>
          <w:p w14:paraId="6B1D172B"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operational deposits held at other financial institutions for operational purposes that are subject to the 50% ASF factor</w:t>
            </w:r>
          </w:p>
        </w:tc>
      </w:tr>
      <w:tr w:rsidR="00250039" w:rsidRPr="00E4265B" w14:paraId="5891687C" w14:textId="77777777" w:rsidTr="004E1995">
        <w:trPr>
          <w:trHeight w:val="288"/>
        </w:trPr>
        <w:tc>
          <w:tcPr>
            <w:tcW w:w="1350" w:type="dxa"/>
            <w:vMerge/>
            <w:tcBorders>
              <w:top w:val="nil"/>
              <w:left w:val="single" w:sz="4" w:space="0" w:color="auto"/>
              <w:bottom w:val="single" w:sz="4" w:space="0" w:color="auto"/>
            </w:tcBorders>
            <w:vAlign w:val="center"/>
          </w:tcPr>
          <w:p w14:paraId="0DE36E49"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pacing w:val="-1"/>
                <w:sz w:val="22"/>
                <w:szCs w:val="22"/>
              </w:rPr>
            </w:pPr>
          </w:p>
        </w:tc>
        <w:tc>
          <w:tcPr>
            <w:tcW w:w="7920" w:type="dxa"/>
            <w:tcBorders>
              <w:top w:val="nil"/>
              <w:bottom w:val="single" w:sz="4" w:space="0" w:color="auto"/>
            </w:tcBorders>
            <w:vAlign w:val="center"/>
          </w:tcPr>
          <w:p w14:paraId="690AA60E"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all other non-HQLA not included in the above categories that have a residual maturity of less than one year, including loans to non-financial corporate clients, loans to retail customers (i.e. natural persons) and small business customers, and loans to sovereigns and PSEs</w:t>
            </w:r>
          </w:p>
        </w:tc>
      </w:tr>
      <w:tr w:rsidR="00250039" w:rsidRPr="00E4265B" w14:paraId="78791349" w14:textId="77777777" w:rsidTr="004E1995">
        <w:trPr>
          <w:trHeight w:val="288"/>
        </w:trPr>
        <w:tc>
          <w:tcPr>
            <w:tcW w:w="1350" w:type="dxa"/>
            <w:vMerge w:val="restart"/>
            <w:tcBorders>
              <w:top w:val="single" w:sz="4" w:space="0" w:color="auto"/>
              <w:left w:val="single" w:sz="4" w:space="0" w:color="auto"/>
              <w:right w:val="single" w:sz="4" w:space="0" w:color="auto"/>
            </w:tcBorders>
            <w:vAlign w:val="center"/>
          </w:tcPr>
          <w:p w14:paraId="5D62517C" w14:textId="77777777" w:rsidR="00250039" w:rsidRPr="00E4265B" w:rsidRDefault="00250039" w:rsidP="004E1995">
            <w:pPr>
              <w:autoSpaceDE w:val="0"/>
              <w:autoSpaceDN w:val="0"/>
              <w:spacing w:before="40" w:afterLines="40" w:after="96"/>
              <w:ind w:left="440" w:right="-20"/>
              <w:rPr>
                <w:rFonts w:ascii="Arial" w:hAnsi="Arial" w:cs="Arial"/>
                <w:spacing w:val="-1"/>
                <w:sz w:val="22"/>
                <w:szCs w:val="22"/>
              </w:rPr>
            </w:pPr>
            <w:r w:rsidRPr="00E4265B">
              <w:rPr>
                <w:rFonts w:ascii="Arial" w:hAnsi="Arial" w:cs="Arial"/>
                <w:spacing w:val="-1"/>
                <w:sz w:val="22"/>
                <w:szCs w:val="22"/>
              </w:rPr>
              <w:t>65%</w:t>
            </w:r>
          </w:p>
        </w:tc>
        <w:tc>
          <w:tcPr>
            <w:tcW w:w="7920" w:type="dxa"/>
            <w:tcBorders>
              <w:top w:val="single" w:sz="4" w:space="0" w:color="auto"/>
              <w:left w:val="single" w:sz="4" w:space="0" w:color="auto"/>
              <w:bottom w:val="nil"/>
              <w:right w:val="single" w:sz="4" w:space="0" w:color="auto"/>
            </w:tcBorders>
            <w:vAlign w:val="center"/>
          </w:tcPr>
          <w:p w14:paraId="1FDCE63A"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unencumbered residential mortgages with a residual maturity of one year or more that would qualify for a 50% or lower risk weight under Rule 4.12.17</w:t>
            </w:r>
          </w:p>
        </w:tc>
      </w:tr>
      <w:tr w:rsidR="00250039" w:rsidRPr="00E4265B" w14:paraId="48B320D0" w14:textId="77777777" w:rsidTr="004E1995">
        <w:trPr>
          <w:trHeight w:val="288"/>
        </w:trPr>
        <w:tc>
          <w:tcPr>
            <w:tcW w:w="1350" w:type="dxa"/>
            <w:vMerge/>
            <w:tcBorders>
              <w:left w:val="single" w:sz="4" w:space="0" w:color="auto"/>
              <w:bottom w:val="single" w:sz="4" w:space="0" w:color="auto"/>
              <w:right w:val="single" w:sz="4" w:space="0" w:color="auto"/>
            </w:tcBorders>
            <w:vAlign w:val="center"/>
          </w:tcPr>
          <w:p w14:paraId="57E5DE04" w14:textId="77777777" w:rsidR="00250039" w:rsidRPr="00E4265B" w:rsidRDefault="00250039" w:rsidP="004E1995">
            <w:pPr>
              <w:autoSpaceDE w:val="0"/>
              <w:autoSpaceDN w:val="0"/>
              <w:spacing w:before="40" w:afterLines="40" w:after="96"/>
              <w:ind w:left="440" w:right="-20"/>
              <w:rPr>
                <w:rFonts w:ascii="Arial" w:hAnsi="Arial" w:cs="Arial"/>
                <w:spacing w:val="-1"/>
                <w:sz w:val="22"/>
                <w:szCs w:val="22"/>
              </w:rPr>
            </w:pPr>
          </w:p>
        </w:tc>
        <w:tc>
          <w:tcPr>
            <w:tcW w:w="7920" w:type="dxa"/>
            <w:tcBorders>
              <w:top w:val="nil"/>
              <w:left w:val="single" w:sz="4" w:space="0" w:color="auto"/>
              <w:bottom w:val="single" w:sz="4" w:space="0" w:color="auto"/>
              <w:right w:val="single" w:sz="4" w:space="0" w:color="auto"/>
            </w:tcBorders>
            <w:vAlign w:val="center"/>
          </w:tcPr>
          <w:p w14:paraId="28831B18"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other unencumbered loans not included in the above categories, excluding loans to financial institutions, with a residual maturity of one year or more that would qualify for a 50% or lower risk weight under Section 4.12</w:t>
            </w:r>
          </w:p>
        </w:tc>
      </w:tr>
      <w:tr w:rsidR="00250039" w:rsidRPr="00E4265B" w14:paraId="687D52C8" w14:textId="77777777" w:rsidTr="004E1995">
        <w:trPr>
          <w:trHeight w:val="288"/>
        </w:trPr>
        <w:tc>
          <w:tcPr>
            <w:tcW w:w="1350" w:type="dxa"/>
            <w:vMerge w:val="restart"/>
            <w:tcBorders>
              <w:top w:val="single" w:sz="4" w:space="0" w:color="auto"/>
              <w:left w:val="single" w:sz="4" w:space="0" w:color="auto"/>
              <w:right w:val="single" w:sz="4" w:space="0" w:color="auto"/>
            </w:tcBorders>
            <w:vAlign w:val="center"/>
          </w:tcPr>
          <w:p w14:paraId="1AFEB524" w14:textId="77777777" w:rsidR="00250039" w:rsidRPr="00E4265B" w:rsidRDefault="00250039" w:rsidP="004E1995">
            <w:pPr>
              <w:autoSpaceDE w:val="0"/>
              <w:autoSpaceDN w:val="0"/>
              <w:spacing w:before="40" w:afterLines="40" w:after="96"/>
              <w:ind w:left="440" w:right="-20"/>
              <w:rPr>
                <w:rFonts w:ascii="Arial" w:hAnsi="Arial" w:cs="Arial"/>
                <w:spacing w:val="-1"/>
                <w:sz w:val="22"/>
                <w:szCs w:val="22"/>
              </w:rPr>
            </w:pPr>
            <w:r w:rsidRPr="00E4265B">
              <w:rPr>
                <w:rFonts w:ascii="Arial" w:hAnsi="Arial" w:cs="Arial"/>
                <w:spacing w:val="-1"/>
                <w:sz w:val="22"/>
                <w:szCs w:val="22"/>
              </w:rPr>
              <w:t>85%</w:t>
            </w:r>
          </w:p>
        </w:tc>
        <w:tc>
          <w:tcPr>
            <w:tcW w:w="7920" w:type="dxa"/>
            <w:tcBorders>
              <w:top w:val="single" w:sz="4" w:space="0" w:color="auto"/>
              <w:left w:val="single" w:sz="4" w:space="0" w:color="auto"/>
              <w:bottom w:val="nil"/>
              <w:right w:val="single" w:sz="4" w:space="0" w:color="auto"/>
            </w:tcBorders>
          </w:tcPr>
          <w:p w14:paraId="3877D6EF"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 xml:space="preserve">cash, securities or other assets posted as initial margin for Derivative Contracts or Shari’a compliant hedging contracts and cash or other assets </w:t>
            </w:r>
            <w:r w:rsidRPr="00E4265B">
              <w:rPr>
                <w:rFonts w:ascii="Arial" w:hAnsi="Arial" w:cs="Arial"/>
                <w:sz w:val="22"/>
                <w:szCs w:val="22"/>
              </w:rPr>
              <w:lastRenderedPageBreak/>
              <w:t>provided to contribute to the default fund of a central counterparty (CCP). Where securities or other assets posted as initial margin for Derivative Contracts would otherwise receive a higher RSF factor, they must retain that higher factor</w:t>
            </w:r>
          </w:p>
        </w:tc>
      </w:tr>
      <w:tr w:rsidR="00250039" w:rsidRPr="00E4265B" w14:paraId="53779BB6" w14:textId="77777777" w:rsidTr="004E1995">
        <w:trPr>
          <w:trHeight w:val="288"/>
        </w:trPr>
        <w:tc>
          <w:tcPr>
            <w:tcW w:w="1350" w:type="dxa"/>
            <w:vMerge/>
            <w:tcBorders>
              <w:left w:val="single" w:sz="4" w:space="0" w:color="auto"/>
              <w:right w:val="single" w:sz="4" w:space="0" w:color="auto"/>
            </w:tcBorders>
            <w:vAlign w:val="center"/>
          </w:tcPr>
          <w:p w14:paraId="2ADDB932" w14:textId="77777777" w:rsidR="00250039" w:rsidRPr="00E4265B" w:rsidRDefault="00250039" w:rsidP="004E1995">
            <w:pPr>
              <w:autoSpaceDE w:val="0"/>
              <w:autoSpaceDN w:val="0"/>
              <w:spacing w:before="40" w:afterLines="40" w:after="96"/>
              <w:ind w:left="440" w:right="-20"/>
              <w:rPr>
                <w:rFonts w:ascii="Arial" w:hAnsi="Arial" w:cs="Arial"/>
                <w:spacing w:val="-1"/>
                <w:sz w:val="22"/>
                <w:szCs w:val="22"/>
              </w:rPr>
            </w:pPr>
          </w:p>
        </w:tc>
        <w:tc>
          <w:tcPr>
            <w:tcW w:w="7920" w:type="dxa"/>
            <w:tcBorders>
              <w:top w:val="nil"/>
              <w:left w:val="single" w:sz="4" w:space="0" w:color="auto"/>
              <w:bottom w:val="nil"/>
              <w:right w:val="single" w:sz="4" w:space="0" w:color="auto"/>
            </w:tcBorders>
          </w:tcPr>
          <w:p w14:paraId="17167448"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other unencumbered performing loans19 that do not qualify for a 50% or lower risk weight under Section 4.12 and have residual maturities of one year or more, excluding loans to financial institutions</w:t>
            </w:r>
          </w:p>
        </w:tc>
      </w:tr>
      <w:tr w:rsidR="00250039" w:rsidRPr="00E4265B" w14:paraId="39C333BF" w14:textId="77777777" w:rsidTr="004E1995">
        <w:trPr>
          <w:trHeight w:val="746"/>
        </w:trPr>
        <w:tc>
          <w:tcPr>
            <w:tcW w:w="1350" w:type="dxa"/>
            <w:vMerge/>
            <w:tcBorders>
              <w:left w:val="single" w:sz="4" w:space="0" w:color="auto"/>
              <w:right w:val="single" w:sz="4" w:space="0" w:color="auto"/>
            </w:tcBorders>
            <w:vAlign w:val="center"/>
          </w:tcPr>
          <w:p w14:paraId="2E9D7FBE" w14:textId="77777777" w:rsidR="00250039" w:rsidRPr="00E4265B" w:rsidRDefault="00250039" w:rsidP="004E1995">
            <w:pPr>
              <w:autoSpaceDE w:val="0"/>
              <w:autoSpaceDN w:val="0"/>
              <w:spacing w:before="40" w:afterLines="40" w:after="96"/>
              <w:ind w:left="440" w:right="-20"/>
              <w:rPr>
                <w:rFonts w:ascii="Arial" w:hAnsi="Arial" w:cs="Arial"/>
                <w:spacing w:val="-1"/>
                <w:sz w:val="22"/>
                <w:szCs w:val="22"/>
              </w:rPr>
            </w:pPr>
          </w:p>
        </w:tc>
        <w:tc>
          <w:tcPr>
            <w:tcW w:w="7920" w:type="dxa"/>
            <w:tcBorders>
              <w:top w:val="nil"/>
              <w:left w:val="single" w:sz="4" w:space="0" w:color="auto"/>
              <w:bottom w:val="nil"/>
              <w:right w:val="single" w:sz="4" w:space="0" w:color="auto"/>
            </w:tcBorders>
          </w:tcPr>
          <w:p w14:paraId="6B3A61B4"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unencumbered securities with a remaining maturity of one year or more and exchange-traded equities, that are not in default and do not qualify as HQLA according to the LCR</w:t>
            </w:r>
          </w:p>
        </w:tc>
      </w:tr>
      <w:tr w:rsidR="00250039" w:rsidRPr="00E4265B" w14:paraId="09DE8EC2" w14:textId="77777777" w:rsidTr="004E1995">
        <w:trPr>
          <w:trHeight w:val="288"/>
        </w:trPr>
        <w:tc>
          <w:tcPr>
            <w:tcW w:w="1350" w:type="dxa"/>
            <w:vMerge/>
            <w:tcBorders>
              <w:left w:val="single" w:sz="4" w:space="0" w:color="auto"/>
              <w:bottom w:val="single" w:sz="4" w:space="0" w:color="auto"/>
              <w:right w:val="single" w:sz="4" w:space="0" w:color="auto"/>
            </w:tcBorders>
            <w:vAlign w:val="center"/>
          </w:tcPr>
          <w:p w14:paraId="10A4FBE2" w14:textId="77777777" w:rsidR="00250039" w:rsidRPr="00E4265B" w:rsidRDefault="00250039" w:rsidP="004E1995">
            <w:pPr>
              <w:autoSpaceDE w:val="0"/>
              <w:autoSpaceDN w:val="0"/>
              <w:spacing w:before="40" w:afterLines="40" w:after="96"/>
              <w:ind w:left="440" w:right="-20"/>
              <w:rPr>
                <w:rFonts w:ascii="Arial" w:hAnsi="Arial" w:cs="Arial"/>
                <w:spacing w:val="-1"/>
                <w:sz w:val="22"/>
                <w:szCs w:val="22"/>
              </w:rPr>
            </w:pPr>
          </w:p>
        </w:tc>
        <w:tc>
          <w:tcPr>
            <w:tcW w:w="7920" w:type="dxa"/>
            <w:tcBorders>
              <w:top w:val="nil"/>
              <w:left w:val="single" w:sz="4" w:space="0" w:color="auto"/>
              <w:bottom w:val="single" w:sz="4" w:space="0" w:color="auto"/>
              <w:right w:val="single" w:sz="4" w:space="0" w:color="auto"/>
            </w:tcBorders>
          </w:tcPr>
          <w:p w14:paraId="245FCA3F"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physical traded commodities, including gold</w:t>
            </w:r>
          </w:p>
        </w:tc>
      </w:tr>
      <w:tr w:rsidR="00250039" w:rsidRPr="00E4265B" w14:paraId="6C889A20" w14:textId="77777777" w:rsidTr="004E1995">
        <w:trPr>
          <w:trHeight w:val="288"/>
        </w:trPr>
        <w:tc>
          <w:tcPr>
            <w:tcW w:w="1350" w:type="dxa"/>
            <w:vMerge w:val="restart"/>
            <w:tcBorders>
              <w:top w:val="single" w:sz="4" w:space="0" w:color="auto"/>
              <w:left w:val="single" w:sz="4" w:space="0" w:color="auto"/>
              <w:right w:val="single" w:sz="4" w:space="0" w:color="auto"/>
            </w:tcBorders>
            <w:vAlign w:val="center"/>
          </w:tcPr>
          <w:p w14:paraId="3A1760F9" w14:textId="77777777" w:rsidR="00250039" w:rsidRPr="00E4265B" w:rsidRDefault="00250039" w:rsidP="004E1995">
            <w:pPr>
              <w:autoSpaceDE w:val="0"/>
              <w:autoSpaceDN w:val="0"/>
              <w:spacing w:before="40" w:afterLines="40" w:after="96"/>
              <w:ind w:left="440" w:right="-20"/>
              <w:rPr>
                <w:rFonts w:ascii="Arial" w:hAnsi="Arial" w:cs="Arial"/>
                <w:spacing w:val="-1"/>
                <w:sz w:val="22"/>
                <w:szCs w:val="22"/>
              </w:rPr>
            </w:pPr>
            <w:r w:rsidRPr="00E4265B">
              <w:rPr>
                <w:rFonts w:ascii="Arial" w:hAnsi="Arial" w:cs="Arial"/>
                <w:spacing w:val="-1"/>
                <w:sz w:val="22"/>
                <w:szCs w:val="22"/>
              </w:rPr>
              <w:t>100%</w:t>
            </w:r>
          </w:p>
        </w:tc>
        <w:tc>
          <w:tcPr>
            <w:tcW w:w="7920" w:type="dxa"/>
            <w:tcBorders>
              <w:top w:val="single" w:sz="4" w:space="0" w:color="auto"/>
              <w:left w:val="single" w:sz="4" w:space="0" w:color="auto"/>
              <w:bottom w:val="nil"/>
              <w:right w:val="single" w:sz="4" w:space="0" w:color="auto"/>
            </w:tcBorders>
          </w:tcPr>
          <w:p w14:paraId="2DF008A6"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all assets on the balance sheet that are encumbered for a period of one year or more</w:t>
            </w:r>
          </w:p>
        </w:tc>
      </w:tr>
      <w:tr w:rsidR="00250039" w:rsidRPr="00E4265B" w14:paraId="3321A880" w14:textId="77777777" w:rsidTr="004E1995">
        <w:trPr>
          <w:trHeight w:val="288"/>
        </w:trPr>
        <w:tc>
          <w:tcPr>
            <w:tcW w:w="1350" w:type="dxa"/>
            <w:vMerge/>
            <w:tcBorders>
              <w:left w:val="single" w:sz="4" w:space="0" w:color="auto"/>
              <w:right w:val="single" w:sz="4" w:space="0" w:color="auto"/>
            </w:tcBorders>
            <w:vAlign w:val="center"/>
          </w:tcPr>
          <w:p w14:paraId="4F8DA4F3"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pacing w:val="-1"/>
                <w:sz w:val="22"/>
                <w:szCs w:val="22"/>
              </w:rPr>
            </w:pPr>
          </w:p>
        </w:tc>
        <w:tc>
          <w:tcPr>
            <w:tcW w:w="7920" w:type="dxa"/>
            <w:tcBorders>
              <w:top w:val="nil"/>
              <w:left w:val="single" w:sz="4" w:space="0" w:color="auto"/>
              <w:bottom w:val="nil"/>
              <w:right w:val="single" w:sz="4" w:space="0" w:color="auto"/>
            </w:tcBorders>
          </w:tcPr>
          <w:p w14:paraId="07FDEAB4"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NSFR derivative assets as calculated according to A10.4.11, net of NSFR derivative liabilities as calculated according to A10.4.4, if NSFR derivative assets are greater than NSFR derivative liabilities</w:t>
            </w:r>
          </w:p>
        </w:tc>
      </w:tr>
      <w:tr w:rsidR="00250039" w:rsidRPr="00E4265B" w14:paraId="171674B4" w14:textId="77777777" w:rsidTr="004E1995">
        <w:trPr>
          <w:trHeight w:val="288"/>
        </w:trPr>
        <w:tc>
          <w:tcPr>
            <w:tcW w:w="1350" w:type="dxa"/>
            <w:vMerge/>
            <w:tcBorders>
              <w:left w:val="single" w:sz="4" w:space="0" w:color="auto"/>
              <w:right w:val="single" w:sz="4" w:space="0" w:color="auto"/>
            </w:tcBorders>
            <w:vAlign w:val="center"/>
          </w:tcPr>
          <w:p w14:paraId="2D49F750"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pacing w:val="-1"/>
                <w:sz w:val="22"/>
                <w:szCs w:val="22"/>
              </w:rPr>
            </w:pPr>
          </w:p>
        </w:tc>
        <w:tc>
          <w:tcPr>
            <w:tcW w:w="7920" w:type="dxa"/>
            <w:tcBorders>
              <w:top w:val="nil"/>
              <w:left w:val="single" w:sz="4" w:space="0" w:color="auto"/>
              <w:bottom w:val="nil"/>
              <w:right w:val="single" w:sz="4" w:space="0" w:color="auto"/>
            </w:tcBorders>
          </w:tcPr>
          <w:p w14:paraId="09A1967A"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NSFR Shari’a compliant hedging assets net of NSFR Shari’a compliant hedging liabilities (where NSFR Shari’a compliant hedging assets are greater than NSFR Shari’a compliant hedging liabilities)</w:t>
            </w:r>
          </w:p>
        </w:tc>
      </w:tr>
      <w:tr w:rsidR="00250039" w:rsidRPr="00E4265B" w14:paraId="6BA3AECB" w14:textId="77777777" w:rsidTr="004E1995">
        <w:trPr>
          <w:trHeight w:val="288"/>
        </w:trPr>
        <w:tc>
          <w:tcPr>
            <w:tcW w:w="1350" w:type="dxa"/>
            <w:vMerge/>
            <w:tcBorders>
              <w:left w:val="single" w:sz="4" w:space="0" w:color="auto"/>
              <w:right w:val="single" w:sz="4" w:space="0" w:color="auto"/>
            </w:tcBorders>
            <w:vAlign w:val="center"/>
          </w:tcPr>
          <w:p w14:paraId="5387E193"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pacing w:val="-1"/>
                <w:sz w:val="22"/>
                <w:szCs w:val="22"/>
              </w:rPr>
            </w:pPr>
          </w:p>
        </w:tc>
        <w:tc>
          <w:tcPr>
            <w:tcW w:w="7920" w:type="dxa"/>
            <w:tcBorders>
              <w:top w:val="nil"/>
              <w:left w:val="single" w:sz="4" w:space="0" w:color="auto"/>
              <w:bottom w:val="nil"/>
              <w:right w:val="single" w:sz="4" w:space="0" w:color="auto"/>
            </w:tcBorders>
          </w:tcPr>
          <w:p w14:paraId="1EE5A97C"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all other assets not included in the above categories, including non-performing loans, loans to financial institutions with a residual maturity of one year or more, non-exchange-traded equities, fixed assets, items deducted from regulatory capital, retained interest, insurance assets, subsidiary interests and defaulted securities</w:t>
            </w:r>
          </w:p>
        </w:tc>
      </w:tr>
      <w:tr w:rsidR="00250039" w:rsidRPr="00E4265B" w14:paraId="55768289" w14:textId="77777777" w:rsidTr="004E1995">
        <w:trPr>
          <w:trHeight w:val="288"/>
        </w:trPr>
        <w:tc>
          <w:tcPr>
            <w:tcW w:w="1350" w:type="dxa"/>
            <w:vMerge/>
            <w:tcBorders>
              <w:left w:val="single" w:sz="4" w:space="0" w:color="auto"/>
              <w:right w:val="single" w:sz="4" w:space="0" w:color="auto"/>
            </w:tcBorders>
            <w:vAlign w:val="center"/>
          </w:tcPr>
          <w:p w14:paraId="01759D28"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pacing w:val="-1"/>
                <w:sz w:val="22"/>
                <w:szCs w:val="22"/>
              </w:rPr>
            </w:pPr>
          </w:p>
        </w:tc>
        <w:tc>
          <w:tcPr>
            <w:tcW w:w="7920" w:type="dxa"/>
            <w:tcBorders>
              <w:top w:val="nil"/>
              <w:left w:val="single" w:sz="4" w:space="0" w:color="auto"/>
              <w:bottom w:val="nil"/>
              <w:right w:val="single" w:sz="4" w:space="0" w:color="auto"/>
            </w:tcBorders>
            <w:vAlign w:val="center"/>
          </w:tcPr>
          <w:p w14:paraId="181AC14E"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20% of derivative liabilities (i.e. negative replacement cost amounts) as calculated according to A10.4.4(a) (before deducting variation margin posted)</w:t>
            </w:r>
          </w:p>
        </w:tc>
      </w:tr>
      <w:tr w:rsidR="00250039" w:rsidRPr="00E4265B" w14:paraId="6CA5627A" w14:textId="77777777" w:rsidTr="004E1995">
        <w:trPr>
          <w:trHeight w:val="288"/>
        </w:trPr>
        <w:tc>
          <w:tcPr>
            <w:tcW w:w="1350" w:type="dxa"/>
            <w:vMerge/>
            <w:tcBorders>
              <w:left w:val="single" w:sz="4" w:space="0" w:color="auto"/>
              <w:bottom w:val="single" w:sz="4" w:space="0" w:color="auto"/>
              <w:right w:val="single" w:sz="4" w:space="0" w:color="auto"/>
            </w:tcBorders>
            <w:vAlign w:val="center"/>
          </w:tcPr>
          <w:p w14:paraId="3E7AA5C3" w14:textId="77777777" w:rsidR="00250039" w:rsidRPr="00E4265B" w:rsidRDefault="00250039" w:rsidP="0019712D">
            <w:pPr>
              <w:pStyle w:val="ListParagraph"/>
              <w:numPr>
                <w:ilvl w:val="0"/>
                <w:numId w:val="75"/>
              </w:numPr>
              <w:autoSpaceDE w:val="0"/>
              <w:autoSpaceDN w:val="0"/>
              <w:spacing w:before="40" w:afterLines="40" w:after="96"/>
              <w:ind w:left="800" w:right="-20"/>
              <w:rPr>
                <w:rFonts w:ascii="Arial" w:hAnsi="Arial" w:cs="Arial"/>
                <w:spacing w:val="-1"/>
                <w:sz w:val="22"/>
                <w:szCs w:val="22"/>
              </w:rPr>
            </w:pPr>
          </w:p>
        </w:tc>
        <w:tc>
          <w:tcPr>
            <w:tcW w:w="7920" w:type="dxa"/>
            <w:tcBorders>
              <w:top w:val="nil"/>
              <w:left w:val="single" w:sz="4" w:space="0" w:color="auto"/>
              <w:bottom w:val="single" w:sz="4" w:space="0" w:color="auto"/>
              <w:right w:val="single" w:sz="4" w:space="0" w:color="auto"/>
            </w:tcBorders>
            <w:vAlign w:val="center"/>
          </w:tcPr>
          <w:p w14:paraId="0235FFDD"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20% of Shari’a compliant hedging liabilities</w:t>
            </w:r>
          </w:p>
        </w:tc>
      </w:tr>
    </w:tbl>
    <w:p w14:paraId="1FBFCE12" w14:textId="77777777" w:rsidR="00250039" w:rsidRPr="00E4265B" w:rsidRDefault="00250039" w:rsidP="00250039">
      <w:pPr>
        <w:pStyle w:val="ListParagraph"/>
        <w:ind w:left="360"/>
        <w:rPr>
          <w:rFonts w:ascii="Arial" w:hAnsi="Arial" w:cs="Arial"/>
          <w:sz w:val="22"/>
          <w:szCs w:val="22"/>
        </w:rPr>
      </w:pPr>
    </w:p>
    <w:p w14:paraId="1C515ABD" w14:textId="77777777" w:rsidR="00250039" w:rsidRPr="00E4265B" w:rsidRDefault="00250039" w:rsidP="00250039">
      <w:pPr>
        <w:pStyle w:val="TitleL5"/>
        <w:ind w:left="1134"/>
        <w:rPr>
          <w:rFonts w:ascii="Arial" w:hAnsi="Arial" w:cs="Arial"/>
          <w:sz w:val="22"/>
          <w:szCs w:val="22"/>
        </w:rPr>
      </w:pPr>
      <w:r w:rsidRPr="00E4265B">
        <w:rPr>
          <w:rFonts w:ascii="Arial" w:hAnsi="Arial" w:cs="Arial"/>
          <w:sz w:val="22"/>
          <w:szCs w:val="22"/>
        </w:rPr>
        <w:t>Guidance</w:t>
      </w:r>
    </w:p>
    <w:p w14:paraId="7812C219" w14:textId="77777777" w:rsidR="00250039" w:rsidRPr="00E4265B" w:rsidRDefault="00250039" w:rsidP="00250039">
      <w:pPr>
        <w:pStyle w:val="A1List"/>
        <w:tabs>
          <w:tab w:val="clear" w:pos="990"/>
        </w:tabs>
        <w:ind w:left="1134" w:firstLine="0"/>
        <w:rPr>
          <w:rFonts w:ascii="Arial" w:hAnsi="Arial" w:cs="Arial"/>
          <w:sz w:val="22"/>
          <w:szCs w:val="22"/>
          <w:lang w:val="en-GB"/>
        </w:rPr>
      </w:pPr>
      <w:r w:rsidRPr="00E4265B">
        <w:rPr>
          <w:rFonts w:ascii="Arial" w:hAnsi="Arial" w:cs="Arial"/>
          <w:sz w:val="22"/>
          <w:szCs w:val="22"/>
          <w:lang w:val="en-GB"/>
        </w:rPr>
        <w:t>Guidance on the characteristics of “operational” Deposits is given under Rule A10.2.15.</w:t>
      </w:r>
    </w:p>
    <w:p w14:paraId="02AD3731"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A10.4.17</w:t>
      </w:r>
      <w:r w:rsidRPr="00E4265B">
        <w:rPr>
          <w:rFonts w:ascii="Arial" w:hAnsi="Arial" w:cs="Arial"/>
          <w:bCs/>
          <w:sz w:val="22"/>
          <w:szCs w:val="22"/>
          <w:lang w:val="en-GB"/>
        </w:rPr>
        <w:tab/>
        <w:t>For encumbered assets not captured in the table in Rule A10.4.16, a</w:t>
      </w:r>
      <w:r w:rsidRPr="00E4265B">
        <w:rPr>
          <w:rFonts w:ascii="Arial" w:hAnsi="Arial" w:cs="Arial"/>
          <w:sz w:val="22"/>
          <w:szCs w:val="22"/>
          <w:lang w:val="en-GB"/>
        </w:rPr>
        <w:t>n Authorised Person must assign an RSF factor for Required Stable Funding in accordance with the following.</w:t>
      </w:r>
    </w:p>
    <w:p w14:paraId="4A2AFAE3" w14:textId="77777777" w:rsidR="00250039" w:rsidRPr="00E4265B" w:rsidRDefault="00250039" w:rsidP="0019712D">
      <w:pPr>
        <w:pStyle w:val="1List"/>
        <w:numPr>
          <w:ilvl w:val="0"/>
          <w:numId w:val="93"/>
        </w:numPr>
        <w:ind w:left="1701" w:hanging="567"/>
        <w:rPr>
          <w:rFonts w:ascii="Arial" w:hAnsi="Arial" w:cs="Arial"/>
          <w:sz w:val="22"/>
          <w:szCs w:val="22"/>
          <w:lang w:val="en-GB"/>
        </w:rPr>
      </w:pPr>
      <w:r w:rsidRPr="00E4265B">
        <w:rPr>
          <w:rFonts w:ascii="Arial" w:hAnsi="Arial" w:cs="Arial"/>
          <w:sz w:val="22"/>
          <w:szCs w:val="22"/>
          <w:lang w:val="en-GB"/>
        </w:rPr>
        <w:t>Assets encumbered for a period of between six months and less than one year that would, if unencumbered, receive an RSF factor lower than or equal to 50% must receive an RSF factor of 50%.</w:t>
      </w:r>
    </w:p>
    <w:p w14:paraId="6DE7B71F" w14:textId="77777777" w:rsidR="00250039" w:rsidRPr="00E4265B" w:rsidRDefault="00250039" w:rsidP="0019712D">
      <w:pPr>
        <w:pStyle w:val="1List"/>
        <w:numPr>
          <w:ilvl w:val="0"/>
          <w:numId w:val="93"/>
        </w:numPr>
        <w:ind w:left="1701" w:hanging="567"/>
        <w:rPr>
          <w:rFonts w:ascii="Arial" w:hAnsi="Arial" w:cs="Arial"/>
          <w:sz w:val="22"/>
          <w:szCs w:val="22"/>
          <w:lang w:val="en-GB"/>
        </w:rPr>
      </w:pPr>
      <w:r w:rsidRPr="00E4265B">
        <w:rPr>
          <w:rFonts w:ascii="Arial" w:hAnsi="Arial" w:cs="Arial"/>
          <w:sz w:val="22"/>
          <w:szCs w:val="22"/>
          <w:lang w:val="en-GB"/>
        </w:rPr>
        <w:t>Assets encumbered for between six months and less than one year that would, if unencumbered, receive an RSF factor higher than 50% retain that higher RSF factor.</w:t>
      </w:r>
    </w:p>
    <w:p w14:paraId="6D691D3D" w14:textId="77777777" w:rsidR="00250039" w:rsidRPr="00E4265B" w:rsidRDefault="00250039" w:rsidP="0019712D">
      <w:pPr>
        <w:pStyle w:val="1List"/>
        <w:numPr>
          <w:ilvl w:val="0"/>
          <w:numId w:val="93"/>
        </w:numPr>
        <w:ind w:left="1701" w:hanging="567"/>
        <w:rPr>
          <w:rFonts w:ascii="Arial" w:hAnsi="Arial" w:cs="Arial"/>
          <w:sz w:val="22"/>
          <w:szCs w:val="22"/>
          <w:lang w:val="en-GB"/>
        </w:rPr>
      </w:pPr>
      <w:r w:rsidRPr="00E4265B">
        <w:rPr>
          <w:rFonts w:ascii="Arial" w:hAnsi="Arial" w:cs="Arial"/>
          <w:sz w:val="22"/>
          <w:szCs w:val="22"/>
          <w:lang w:val="en-GB"/>
        </w:rPr>
        <w:lastRenderedPageBreak/>
        <w:t>Where assets have less than six months remaining in the encumbrance period, those assets may receive the same RSF factor as an equivalent asset that is unencumbered.</w:t>
      </w:r>
    </w:p>
    <w:p w14:paraId="7493AC76" w14:textId="77777777" w:rsidR="00250039" w:rsidRPr="00E4265B" w:rsidRDefault="00250039" w:rsidP="0019712D">
      <w:pPr>
        <w:pStyle w:val="1List"/>
        <w:numPr>
          <w:ilvl w:val="0"/>
          <w:numId w:val="93"/>
        </w:numPr>
        <w:ind w:left="1701" w:hanging="567"/>
        <w:rPr>
          <w:rFonts w:ascii="Arial" w:hAnsi="Arial" w:cs="Arial"/>
          <w:sz w:val="22"/>
          <w:szCs w:val="22"/>
          <w:lang w:val="en-GB"/>
        </w:rPr>
      </w:pPr>
      <w:r w:rsidRPr="00E4265B">
        <w:rPr>
          <w:rFonts w:ascii="Arial" w:hAnsi="Arial" w:cs="Arial"/>
          <w:sz w:val="22"/>
          <w:szCs w:val="22"/>
          <w:lang w:val="en-GB"/>
        </w:rPr>
        <w:t xml:space="preserve">For the purposes of calculating the NSFR, assets that are encumbered for exceptional central bank liquidity operations must receive the RSF factor that they would if they were unencumbered. </w:t>
      </w:r>
    </w:p>
    <w:p w14:paraId="604C1C15"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A10.4.18</w:t>
      </w:r>
      <w:r w:rsidRPr="00E4265B">
        <w:rPr>
          <w:rFonts w:ascii="Arial" w:hAnsi="Arial" w:cs="Arial"/>
          <w:bCs/>
          <w:sz w:val="22"/>
          <w:szCs w:val="22"/>
          <w:lang w:val="en-GB"/>
        </w:rPr>
        <w:tab/>
        <w:t>A</w:t>
      </w:r>
      <w:r w:rsidRPr="00E4265B">
        <w:rPr>
          <w:rFonts w:ascii="Arial" w:hAnsi="Arial" w:cs="Arial"/>
          <w:sz w:val="22"/>
          <w:szCs w:val="22"/>
          <w:lang w:val="en-GB"/>
        </w:rPr>
        <w:t>n Authorised Person must calculate the Required Stable Funding that it needs for the assets to which Rule A10.4.17 applies by:</w:t>
      </w:r>
    </w:p>
    <w:p w14:paraId="62DE3D26" w14:textId="77777777" w:rsidR="00250039" w:rsidRPr="00E4265B" w:rsidRDefault="00250039" w:rsidP="0019712D">
      <w:pPr>
        <w:pStyle w:val="1List"/>
        <w:numPr>
          <w:ilvl w:val="0"/>
          <w:numId w:val="100"/>
        </w:numPr>
        <w:ind w:left="1701" w:hanging="567"/>
        <w:rPr>
          <w:rFonts w:ascii="Arial" w:hAnsi="Arial" w:cs="Arial"/>
          <w:sz w:val="22"/>
          <w:szCs w:val="22"/>
          <w:lang w:val="en-GB"/>
        </w:rPr>
      </w:pPr>
      <w:r w:rsidRPr="00E4265B">
        <w:rPr>
          <w:rFonts w:ascii="Arial" w:hAnsi="Arial" w:cs="Arial"/>
          <w:sz w:val="22"/>
          <w:szCs w:val="22"/>
          <w:lang w:val="en-GB"/>
        </w:rPr>
        <w:t>multiplying the Carrying Value of each of those assets by the RSF factor identified in Rule A10.4.17; and</w:t>
      </w:r>
    </w:p>
    <w:p w14:paraId="02DCCDC0" w14:textId="77777777" w:rsidR="00250039" w:rsidRPr="00E4265B" w:rsidRDefault="00250039" w:rsidP="0019712D">
      <w:pPr>
        <w:pStyle w:val="1List"/>
        <w:numPr>
          <w:ilvl w:val="0"/>
          <w:numId w:val="100"/>
        </w:numPr>
        <w:ind w:left="1701" w:hanging="567"/>
        <w:rPr>
          <w:rFonts w:ascii="Arial" w:hAnsi="Arial" w:cs="Arial"/>
          <w:sz w:val="22"/>
          <w:szCs w:val="22"/>
          <w:lang w:val="en-GB"/>
        </w:rPr>
      </w:pPr>
      <w:r w:rsidRPr="00E4265B">
        <w:rPr>
          <w:rFonts w:ascii="Arial" w:hAnsi="Arial" w:cs="Arial"/>
          <w:sz w:val="22"/>
          <w:szCs w:val="22"/>
          <w:lang w:val="en-GB"/>
        </w:rPr>
        <w:t>summing those weighted values.</w:t>
      </w:r>
    </w:p>
    <w:p w14:paraId="6BCDE449" w14:textId="77777777" w:rsidR="00250039" w:rsidRPr="00E4265B" w:rsidRDefault="00250039" w:rsidP="00250039">
      <w:pPr>
        <w:pStyle w:val="A1List"/>
        <w:tabs>
          <w:tab w:val="clear" w:pos="990"/>
          <w:tab w:val="left" w:pos="1134"/>
        </w:tabs>
        <w:ind w:left="1134" w:hanging="1134"/>
        <w:rPr>
          <w:rFonts w:ascii="Arial" w:hAnsi="Arial" w:cs="Arial"/>
          <w:sz w:val="22"/>
          <w:szCs w:val="22"/>
          <w:lang w:val="en-GB"/>
        </w:rPr>
      </w:pPr>
      <w:r w:rsidRPr="00E4265B">
        <w:rPr>
          <w:rFonts w:ascii="Arial" w:hAnsi="Arial" w:cs="Arial"/>
          <w:b/>
          <w:bCs/>
          <w:sz w:val="22"/>
          <w:szCs w:val="22"/>
          <w:lang w:val="en-GB"/>
        </w:rPr>
        <w:t>A10.4.19</w:t>
      </w:r>
      <w:r w:rsidRPr="00E4265B">
        <w:rPr>
          <w:rFonts w:ascii="Arial" w:hAnsi="Arial" w:cs="Arial"/>
          <w:bCs/>
          <w:sz w:val="22"/>
          <w:szCs w:val="22"/>
          <w:lang w:val="en-GB"/>
        </w:rPr>
        <w:tab/>
      </w:r>
      <w:r w:rsidRPr="00E4265B">
        <w:rPr>
          <w:rFonts w:ascii="Arial" w:hAnsi="Arial" w:cs="Arial"/>
          <w:sz w:val="22"/>
          <w:szCs w:val="22"/>
          <w:lang w:val="en-GB"/>
        </w:rPr>
        <w:t>An Authorised Person must calculate the Required Stable Funding that it needs for its off-balance sheet items, including potential liquidity exposures, by:</w:t>
      </w:r>
    </w:p>
    <w:p w14:paraId="54BBC4CC" w14:textId="77777777" w:rsidR="00250039" w:rsidRPr="00E4265B" w:rsidRDefault="00250039" w:rsidP="0019712D">
      <w:pPr>
        <w:pStyle w:val="1List"/>
        <w:numPr>
          <w:ilvl w:val="0"/>
          <w:numId w:val="92"/>
        </w:numPr>
        <w:ind w:left="1701" w:hanging="567"/>
        <w:rPr>
          <w:rFonts w:ascii="Arial" w:hAnsi="Arial" w:cs="Arial"/>
          <w:sz w:val="22"/>
          <w:szCs w:val="22"/>
          <w:lang w:val="en-GB"/>
        </w:rPr>
      </w:pPr>
      <w:r w:rsidRPr="00E4265B">
        <w:rPr>
          <w:rFonts w:ascii="Arial" w:hAnsi="Arial" w:cs="Arial"/>
          <w:sz w:val="22"/>
          <w:szCs w:val="22"/>
          <w:lang w:val="en-GB"/>
        </w:rPr>
        <w:t>assigning each off-balance sheet items to one of the RSF off-balance categories in the following table;</w:t>
      </w:r>
    </w:p>
    <w:p w14:paraId="4279B5D4" w14:textId="77777777" w:rsidR="00250039" w:rsidRPr="00E4265B" w:rsidRDefault="00250039" w:rsidP="0019712D">
      <w:pPr>
        <w:pStyle w:val="1List"/>
        <w:numPr>
          <w:ilvl w:val="0"/>
          <w:numId w:val="92"/>
        </w:numPr>
        <w:ind w:left="1701" w:hanging="567"/>
        <w:rPr>
          <w:rFonts w:ascii="Arial" w:hAnsi="Arial" w:cs="Arial"/>
          <w:sz w:val="22"/>
          <w:szCs w:val="22"/>
          <w:lang w:val="en-GB"/>
        </w:rPr>
      </w:pPr>
      <w:r w:rsidRPr="00E4265B">
        <w:rPr>
          <w:rFonts w:ascii="Arial" w:hAnsi="Arial" w:cs="Arial"/>
          <w:sz w:val="22"/>
          <w:szCs w:val="22"/>
          <w:lang w:val="en-GB"/>
        </w:rPr>
        <w:t>multiplying the value of each of those items by the RSF factor associated with that off-balance sheet category; and</w:t>
      </w:r>
    </w:p>
    <w:p w14:paraId="5241592F" w14:textId="77777777" w:rsidR="00250039" w:rsidRPr="00E4265B" w:rsidRDefault="00250039" w:rsidP="0019712D">
      <w:pPr>
        <w:pStyle w:val="1List"/>
        <w:numPr>
          <w:ilvl w:val="0"/>
          <w:numId w:val="92"/>
        </w:numPr>
        <w:ind w:left="1701" w:hanging="567"/>
        <w:rPr>
          <w:rFonts w:ascii="Arial" w:hAnsi="Arial" w:cs="Arial"/>
          <w:sz w:val="22"/>
          <w:szCs w:val="22"/>
          <w:lang w:val="en-GB"/>
        </w:rPr>
      </w:pPr>
      <w:r w:rsidRPr="00E4265B">
        <w:rPr>
          <w:rFonts w:ascii="Arial" w:hAnsi="Arial" w:cs="Arial"/>
          <w:sz w:val="22"/>
          <w:szCs w:val="22"/>
          <w:lang w:val="en-GB"/>
        </w:rPr>
        <w:t>summing those weighted values.</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41"/>
        <w:gridCol w:w="918"/>
        <w:gridCol w:w="6811"/>
      </w:tblGrid>
      <w:tr w:rsidR="00250039" w:rsidRPr="00E4265B" w14:paraId="245050D5" w14:textId="77777777" w:rsidTr="004E1995">
        <w:trPr>
          <w:trHeight w:val="1470"/>
          <w:tblHeader/>
        </w:trPr>
        <w:tc>
          <w:tcPr>
            <w:tcW w:w="2403" w:type="dxa"/>
            <w:gridSpan w:val="2"/>
            <w:shd w:val="clear" w:color="auto" w:fill="D9D9D9" w:themeFill="background1" w:themeFillShade="D9"/>
            <w:vAlign w:val="center"/>
          </w:tcPr>
          <w:p w14:paraId="300751BE" w14:textId="77777777" w:rsidR="00250039" w:rsidRPr="00E4265B" w:rsidRDefault="00250039" w:rsidP="004E1995">
            <w:pPr>
              <w:autoSpaceDE w:val="0"/>
              <w:autoSpaceDN w:val="0"/>
              <w:spacing w:before="40" w:afterLines="40" w:after="96" w:line="273" w:lineRule="exact"/>
              <w:ind w:right="93"/>
              <w:jc w:val="center"/>
              <w:rPr>
                <w:rFonts w:ascii="Arial" w:hAnsi="Arial" w:cs="Arial"/>
                <w:b/>
                <w:sz w:val="22"/>
                <w:szCs w:val="22"/>
              </w:rPr>
            </w:pPr>
            <w:r w:rsidRPr="00E4265B">
              <w:rPr>
                <w:rFonts w:ascii="Arial" w:hAnsi="Arial" w:cs="Arial"/>
                <w:b/>
                <w:spacing w:val="1"/>
                <w:sz w:val="22"/>
                <w:szCs w:val="22"/>
              </w:rPr>
              <w:t>RSF factor</w:t>
            </w:r>
          </w:p>
        </w:tc>
        <w:tc>
          <w:tcPr>
            <w:tcW w:w="6867" w:type="dxa"/>
            <w:shd w:val="clear" w:color="auto" w:fill="D9D9D9" w:themeFill="background1" w:themeFillShade="D9"/>
            <w:vAlign w:val="center"/>
            <w:hideMark/>
          </w:tcPr>
          <w:p w14:paraId="23D7AE8E" w14:textId="77777777" w:rsidR="00250039" w:rsidRPr="00E4265B" w:rsidRDefault="00250039" w:rsidP="004E1995">
            <w:pPr>
              <w:autoSpaceDE w:val="0"/>
              <w:autoSpaceDN w:val="0"/>
              <w:spacing w:before="40" w:afterLines="40" w:after="96" w:line="273" w:lineRule="exact"/>
              <w:ind w:left="-5" w:right="1011"/>
              <w:jc w:val="center"/>
              <w:rPr>
                <w:rFonts w:ascii="Arial" w:eastAsia="MS PGothic" w:hAnsi="Arial" w:cs="Arial"/>
                <w:b/>
                <w:sz w:val="22"/>
                <w:szCs w:val="22"/>
              </w:rPr>
            </w:pPr>
            <w:r w:rsidRPr="00E4265B">
              <w:rPr>
                <w:rFonts w:ascii="Arial" w:hAnsi="Arial" w:cs="Arial"/>
                <w:b/>
                <w:sz w:val="22"/>
                <w:szCs w:val="22"/>
              </w:rPr>
              <w:t>RSF off-balance sheet category</w:t>
            </w:r>
          </w:p>
        </w:tc>
      </w:tr>
      <w:tr w:rsidR="00250039" w:rsidRPr="00E4265B" w14:paraId="58A786E2" w14:textId="77777777" w:rsidTr="004E1995">
        <w:trPr>
          <w:trHeight w:val="575"/>
        </w:trPr>
        <w:tc>
          <w:tcPr>
            <w:tcW w:w="2403" w:type="dxa"/>
            <w:gridSpan w:val="2"/>
            <w:tcBorders>
              <w:bottom w:val="single" w:sz="4" w:space="0" w:color="auto"/>
              <w:right w:val="single" w:sz="4" w:space="0" w:color="auto"/>
            </w:tcBorders>
          </w:tcPr>
          <w:p w14:paraId="3839CDA7" w14:textId="77777777" w:rsidR="00250039" w:rsidRPr="00E4265B" w:rsidRDefault="00250039" w:rsidP="004E1995">
            <w:pPr>
              <w:autoSpaceDE w:val="0"/>
              <w:autoSpaceDN w:val="0"/>
              <w:spacing w:before="40" w:afterLines="40" w:after="96" w:line="229" w:lineRule="exact"/>
              <w:ind w:left="181" w:right="-20"/>
              <w:rPr>
                <w:rFonts w:ascii="Arial" w:hAnsi="Arial" w:cs="Arial"/>
                <w:sz w:val="22"/>
                <w:szCs w:val="22"/>
              </w:rPr>
            </w:pPr>
            <w:r w:rsidRPr="00E4265B">
              <w:rPr>
                <w:rFonts w:ascii="Arial" w:hAnsi="Arial" w:cs="Arial"/>
                <w:sz w:val="22"/>
                <w:szCs w:val="22"/>
              </w:rPr>
              <w:t>5% of the currently undrawn portion</w:t>
            </w:r>
          </w:p>
        </w:tc>
        <w:tc>
          <w:tcPr>
            <w:tcW w:w="6867" w:type="dxa"/>
            <w:tcBorders>
              <w:bottom w:val="single" w:sz="4" w:space="0" w:color="auto"/>
              <w:right w:val="single" w:sz="4" w:space="0" w:color="auto"/>
            </w:tcBorders>
            <w:vAlign w:val="center"/>
          </w:tcPr>
          <w:p w14:paraId="1C934414"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Irrevocable and conditionally revocable credit and liquidity facilities to any client</w:t>
            </w:r>
          </w:p>
        </w:tc>
      </w:tr>
      <w:tr w:rsidR="00250039" w:rsidRPr="00E4265B" w14:paraId="7D9E8B1C" w14:textId="77777777" w:rsidTr="004E1995">
        <w:trPr>
          <w:trHeight w:val="288"/>
        </w:trPr>
        <w:tc>
          <w:tcPr>
            <w:tcW w:w="1556" w:type="dxa"/>
            <w:vMerge w:val="restart"/>
            <w:tcBorders>
              <w:top w:val="single" w:sz="4" w:space="0" w:color="auto"/>
              <w:left w:val="single" w:sz="4" w:space="0" w:color="auto"/>
              <w:right w:val="single" w:sz="4" w:space="0" w:color="auto"/>
            </w:tcBorders>
            <w:textDirection w:val="btLr"/>
            <w:vAlign w:val="center"/>
          </w:tcPr>
          <w:p w14:paraId="2DEE8137" w14:textId="77777777" w:rsidR="00250039" w:rsidRPr="00E4265B" w:rsidRDefault="00250039" w:rsidP="004E1995">
            <w:pPr>
              <w:autoSpaceDE w:val="0"/>
              <w:autoSpaceDN w:val="0"/>
              <w:spacing w:before="40" w:afterLines="40" w:after="96"/>
              <w:ind w:left="181" w:right="-20"/>
              <w:jc w:val="center"/>
              <w:rPr>
                <w:rFonts w:ascii="Arial" w:hAnsi="Arial" w:cs="Arial"/>
                <w:spacing w:val="-1"/>
                <w:sz w:val="22"/>
                <w:szCs w:val="22"/>
              </w:rPr>
            </w:pPr>
            <w:r w:rsidRPr="00E4265B">
              <w:rPr>
                <w:rFonts w:ascii="Arial" w:hAnsi="Arial" w:cs="Arial"/>
                <w:spacing w:val="-1"/>
                <w:sz w:val="22"/>
                <w:szCs w:val="22"/>
              </w:rPr>
              <w:t>National discretion</w:t>
            </w:r>
          </w:p>
        </w:tc>
        <w:tc>
          <w:tcPr>
            <w:tcW w:w="847" w:type="dxa"/>
            <w:tcBorders>
              <w:top w:val="single" w:sz="4" w:space="0" w:color="auto"/>
              <w:left w:val="single" w:sz="4" w:space="0" w:color="auto"/>
              <w:bottom w:val="dotted" w:sz="4" w:space="0" w:color="auto"/>
              <w:right w:val="single" w:sz="4" w:space="0" w:color="auto"/>
            </w:tcBorders>
            <w:vAlign w:val="center"/>
          </w:tcPr>
          <w:p w14:paraId="31DFF126" w14:textId="77777777" w:rsidR="00250039" w:rsidRPr="00E4265B" w:rsidRDefault="00250039" w:rsidP="004E1995">
            <w:pPr>
              <w:autoSpaceDE w:val="0"/>
              <w:autoSpaceDN w:val="0"/>
              <w:spacing w:before="40" w:afterLines="40" w:after="96"/>
              <w:ind w:left="181" w:right="164"/>
              <w:jc w:val="right"/>
              <w:rPr>
                <w:rFonts w:ascii="Arial" w:hAnsi="Arial" w:cs="Arial"/>
                <w:spacing w:val="-1"/>
                <w:sz w:val="22"/>
                <w:szCs w:val="22"/>
              </w:rPr>
            </w:pPr>
          </w:p>
        </w:tc>
        <w:tc>
          <w:tcPr>
            <w:tcW w:w="6867" w:type="dxa"/>
            <w:tcBorders>
              <w:top w:val="single" w:sz="4" w:space="0" w:color="auto"/>
              <w:left w:val="single" w:sz="4" w:space="0" w:color="auto"/>
              <w:bottom w:val="dotted" w:sz="4" w:space="0" w:color="auto"/>
              <w:right w:val="single" w:sz="4" w:space="0" w:color="auto"/>
            </w:tcBorders>
            <w:vAlign w:val="center"/>
          </w:tcPr>
          <w:p w14:paraId="7733144B" w14:textId="77777777" w:rsidR="00250039" w:rsidRPr="00E4265B" w:rsidRDefault="00250039" w:rsidP="0019712D">
            <w:pPr>
              <w:pStyle w:val="ListParagraph"/>
              <w:numPr>
                <w:ilvl w:val="0"/>
                <w:numId w:val="84"/>
              </w:numPr>
              <w:autoSpaceDE w:val="0"/>
              <w:autoSpaceDN w:val="0"/>
              <w:spacing w:before="40" w:afterLines="40" w:after="96"/>
              <w:ind w:left="541" w:right="-20"/>
              <w:rPr>
                <w:rFonts w:ascii="Arial" w:hAnsi="Arial" w:cs="Arial"/>
                <w:sz w:val="22"/>
                <w:szCs w:val="22"/>
              </w:rPr>
            </w:pPr>
            <w:r w:rsidRPr="00E4265B">
              <w:rPr>
                <w:rFonts w:ascii="Arial" w:hAnsi="Arial" w:cs="Arial"/>
                <w:sz w:val="22"/>
                <w:szCs w:val="22"/>
              </w:rPr>
              <w:t xml:space="preserve">Other contingent funding obligations, including products and instruments such as: </w:t>
            </w:r>
          </w:p>
        </w:tc>
      </w:tr>
      <w:tr w:rsidR="00250039" w:rsidRPr="00E4265B" w14:paraId="6A043313" w14:textId="77777777" w:rsidTr="004E1995">
        <w:trPr>
          <w:trHeight w:val="288"/>
        </w:trPr>
        <w:tc>
          <w:tcPr>
            <w:tcW w:w="1556" w:type="dxa"/>
            <w:vMerge/>
            <w:tcBorders>
              <w:left w:val="single" w:sz="4" w:space="0" w:color="auto"/>
              <w:right w:val="single" w:sz="4" w:space="0" w:color="auto"/>
            </w:tcBorders>
          </w:tcPr>
          <w:p w14:paraId="464BB9C4" w14:textId="77777777" w:rsidR="00250039" w:rsidRPr="00E4265B" w:rsidRDefault="00250039" w:rsidP="004E1995">
            <w:pPr>
              <w:autoSpaceDE w:val="0"/>
              <w:autoSpaceDN w:val="0"/>
              <w:spacing w:before="40" w:afterLines="40" w:after="96"/>
              <w:ind w:left="181" w:right="-20"/>
              <w:rPr>
                <w:rFonts w:ascii="Arial" w:hAnsi="Arial" w:cs="Arial"/>
                <w:spacing w:val="-1"/>
                <w:sz w:val="22"/>
                <w:szCs w:val="22"/>
              </w:rPr>
            </w:pPr>
          </w:p>
        </w:tc>
        <w:tc>
          <w:tcPr>
            <w:tcW w:w="847" w:type="dxa"/>
            <w:tcBorders>
              <w:top w:val="dotted" w:sz="4" w:space="0" w:color="auto"/>
              <w:left w:val="single" w:sz="4" w:space="0" w:color="auto"/>
              <w:bottom w:val="dotted" w:sz="4" w:space="0" w:color="auto"/>
              <w:right w:val="single" w:sz="4" w:space="0" w:color="auto"/>
            </w:tcBorders>
          </w:tcPr>
          <w:p w14:paraId="62227323" w14:textId="77777777" w:rsidR="00250039" w:rsidRPr="00E4265B" w:rsidRDefault="00250039" w:rsidP="004E1995">
            <w:pPr>
              <w:autoSpaceDE w:val="0"/>
              <w:autoSpaceDN w:val="0"/>
              <w:spacing w:before="40" w:afterLines="40" w:after="96"/>
              <w:ind w:left="181" w:right="164"/>
              <w:jc w:val="right"/>
              <w:rPr>
                <w:rFonts w:ascii="Arial" w:hAnsi="Arial" w:cs="Arial"/>
                <w:spacing w:val="-1"/>
                <w:sz w:val="22"/>
                <w:szCs w:val="22"/>
              </w:rPr>
            </w:pPr>
            <w:r w:rsidRPr="00E4265B">
              <w:rPr>
                <w:rFonts w:ascii="Arial" w:hAnsi="Arial" w:cs="Arial"/>
                <w:sz w:val="22"/>
                <w:szCs w:val="22"/>
              </w:rPr>
              <w:t>5%</w:t>
            </w:r>
          </w:p>
        </w:tc>
        <w:tc>
          <w:tcPr>
            <w:tcW w:w="6867" w:type="dxa"/>
            <w:tcBorders>
              <w:top w:val="dotted" w:sz="4" w:space="0" w:color="auto"/>
              <w:left w:val="single" w:sz="4" w:space="0" w:color="auto"/>
              <w:bottom w:val="dotted" w:sz="4" w:space="0" w:color="auto"/>
              <w:right w:val="single" w:sz="4" w:space="0" w:color="auto"/>
            </w:tcBorders>
            <w:vAlign w:val="center"/>
          </w:tcPr>
          <w:p w14:paraId="5EA7E4DF" w14:textId="77777777" w:rsidR="00250039" w:rsidRPr="00E4265B" w:rsidRDefault="00250039" w:rsidP="0019712D">
            <w:pPr>
              <w:pStyle w:val="ListParagraph"/>
              <w:numPr>
                <w:ilvl w:val="1"/>
                <w:numId w:val="84"/>
              </w:numPr>
              <w:autoSpaceDE w:val="0"/>
              <w:autoSpaceDN w:val="0"/>
              <w:spacing w:before="40" w:afterLines="40" w:after="96"/>
              <w:ind w:left="901" w:right="-20"/>
              <w:rPr>
                <w:rFonts w:ascii="Arial" w:hAnsi="Arial" w:cs="Arial"/>
                <w:sz w:val="22"/>
                <w:szCs w:val="22"/>
              </w:rPr>
            </w:pPr>
            <w:r w:rsidRPr="00E4265B">
              <w:rPr>
                <w:rFonts w:ascii="Arial" w:hAnsi="Arial" w:cs="Arial"/>
                <w:sz w:val="22"/>
                <w:szCs w:val="22"/>
              </w:rPr>
              <w:t>unconditionally revocable credit and liquidity facilities</w:t>
            </w:r>
          </w:p>
        </w:tc>
      </w:tr>
      <w:tr w:rsidR="00250039" w:rsidRPr="00E4265B" w14:paraId="5BD2C1D2" w14:textId="77777777" w:rsidTr="004E1995">
        <w:trPr>
          <w:trHeight w:val="288"/>
        </w:trPr>
        <w:tc>
          <w:tcPr>
            <w:tcW w:w="1556" w:type="dxa"/>
            <w:vMerge/>
            <w:tcBorders>
              <w:left w:val="single" w:sz="4" w:space="0" w:color="auto"/>
              <w:right w:val="single" w:sz="4" w:space="0" w:color="auto"/>
            </w:tcBorders>
          </w:tcPr>
          <w:p w14:paraId="3E28479B" w14:textId="77777777" w:rsidR="00250039" w:rsidRPr="00E4265B" w:rsidRDefault="00250039" w:rsidP="004E1995">
            <w:pPr>
              <w:autoSpaceDE w:val="0"/>
              <w:autoSpaceDN w:val="0"/>
              <w:spacing w:before="40" w:afterLines="40" w:after="96"/>
              <w:ind w:left="181" w:right="-20"/>
              <w:rPr>
                <w:rFonts w:ascii="Arial" w:hAnsi="Arial" w:cs="Arial"/>
                <w:spacing w:val="-1"/>
                <w:sz w:val="22"/>
                <w:szCs w:val="22"/>
              </w:rPr>
            </w:pPr>
          </w:p>
        </w:tc>
        <w:tc>
          <w:tcPr>
            <w:tcW w:w="847" w:type="dxa"/>
            <w:tcBorders>
              <w:top w:val="dotted" w:sz="4" w:space="0" w:color="auto"/>
              <w:left w:val="single" w:sz="4" w:space="0" w:color="auto"/>
              <w:bottom w:val="dotted" w:sz="4" w:space="0" w:color="auto"/>
              <w:right w:val="single" w:sz="4" w:space="0" w:color="auto"/>
            </w:tcBorders>
          </w:tcPr>
          <w:p w14:paraId="2A4FC7C6" w14:textId="77777777" w:rsidR="00250039" w:rsidRPr="00E4265B" w:rsidRDefault="00250039" w:rsidP="004E1995">
            <w:pPr>
              <w:autoSpaceDE w:val="0"/>
              <w:autoSpaceDN w:val="0"/>
              <w:spacing w:before="40" w:afterLines="40" w:after="96"/>
              <w:ind w:left="181" w:right="164"/>
              <w:jc w:val="right"/>
              <w:rPr>
                <w:rFonts w:ascii="Arial" w:hAnsi="Arial" w:cs="Arial"/>
                <w:spacing w:val="-1"/>
                <w:sz w:val="22"/>
                <w:szCs w:val="22"/>
              </w:rPr>
            </w:pPr>
            <w:r w:rsidRPr="00E4265B">
              <w:rPr>
                <w:rFonts w:ascii="Arial" w:hAnsi="Arial" w:cs="Arial"/>
                <w:sz w:val="22"/>
                <w:szCs w:val="22"/>
              </w:rPr>
              <w:t>3%</w:t>
            </w:r>
          </w:p>
        </w:tc>
        <w:tc>
          <w:tcPr>
            <w:tcW w:w="6867" w:type="dxa"/>
            <w:tcBorders>
              <w:top w:val="dotted" w:sz="4" w:space="0" w:color="auto"/>
              <w:left w:val="single" w:sz="4" w:space="0" w:color="auto"/>
              <w:bottom w:val="dotted" w:sz="4" w:space="0" w:color="auto"/>
              <w:right w:val="single" w:sz="4" w:space="0" w:color="auto"/>
            </w:tcBorders>
            <w:vAlign w:val="center"/>
          </w:tcPr>
          <w:p w14:paraId="51AFAED3" w14:textId="77777777" w:rsidR="00250039" w:rsidRPr="00E4265B" w:rsidRDefault="00250039" w:rsidP="0019712D">
            <w:pPr>
              <w:pStyle w:val="ListParagraph"/>
              <w:numPr>
                <w:ilvl w:val="1"/>
                <w:numId w:val="84"/>
              </w:numPr>
              <w:autoSpaceDE w:val="0"/>
              <w:autoSpaceDN w:val="0"/>
              <w:spacing w:before="40" w:afterLines="40" w:after="96"/>
              <w:ind w:left="901" w:right="-20"/>
              <w:rPr>
                <w:rFonts w:ascii="Arial" w:hAnsi="Arial" w:cs="Arial"/>
                <w:sz w:val="22"/>
                <w:szCs w:val="22"/>
              </w:rPr>
            </w:pPr>
            <w:r w:rsidRPr="00E4265B">
              <w:rPr>
                <w:rFonts w:ascii="Arial" w:hAnsi="Arial" w:cs="Arial"/>
                <w:sz w:val="22"/>
                <w:szCs w:val="22"/>
              </w:rPr>
              <w:t>trade finance-related obligations (including guarantees and letters of credit)</w:t>
            </w:r>
          </w:p>
        </w:tc>
      </w:tr>
      <w:tr w:rsidR="00250039" w:rsidRPr="00E4265B" w14:paraId="686282C4" w14:textId="77777777" w:rsidTr="004E1995">
        <w:trPr>
          <w:trHeight w:val="288"/>
        </w:trPr>
        <w:tc>
          <w:tcPr>
            <w:tcW w:w="1556" w:type="dxa"/>
            <w:vMerge/>
            <w:tcBorders>
              <w:left w:val="single" w:sz="4" w:space="0" w:color="auto"/>
              <w:right w:val="single" w:sz="4" w:space="0" w:color="auto"/>
            </w:tcBorders>
          </w:tcPr>
          <w:p w14:paraId="3F628814" w14:textId="77777777" w:rsidR="00250039" w:rsidRPr="00E4265B" w:rsidRDefault="00250039" w:rsidP="004E1995">
            <w:pPr>
              <w:autoSpaceDE w:val="0"/>
              <w:autoSpaceDN w:val="0"/>
              <w:spacing w:before="40" w:afterLines="40" w:after="96"/>
              <w:ind w:left="181" w:right="-20"/>
              <w:rPr>
                <w:rFonts w:ascii="Arial" w:hAnsi="Arial" w:cs="Arial"/>
                <w:spacing w:val="-1"/>
                <w:sz w:val="22"/>
                <w:szCs w:val="22"/>
              </w:rPr>
            </w:pPr>
          </w:p>
        </w:tc>
        <w:tc>
          <w:tcPr>
            <w:tcW w:w="847" w:type="dxa"/>
            <w:tcBorders>
              <w:top w:val="dotted" w:sz="4" w:space="0" w:color="auto"/>
              <w:left w:val="single" w:sz="4" w:space="0" w:color="auto"/>
              <w:bottom w:val="dotted" w:sz="4" w:space="0" w:color="auto"/>
              <w:right w:val="single" w:sz="4" w:space="0" w:color="auto"/>
            </w:tcBorders>
          </w:tcPr>
          <w:p w14:paraId="420B4B98" w14:textId="77777777" w:rsidR="00250039" w:rsidRPr="00E4265B" w:rsidRDefault="00250039" w:rsidP="004E1995">
            <w:pPr>
              <w:autoSpaceDE w:val="0"/>
              <w:autoSpaceDN w:val="0"/>
              <w:spacing w:before="40" w:afterLines="40" w:after="96"/>
              <w:ind w:left="181" w:right="164"/>
              <w:jc w:val="right"/>
              <w:rPr>
                <w:rFonts w:ascii="Arial" w:hAnsi="Arial" w:cs="Arial"/>
                <w:spacing w:val="-1"/>
                <w:sz w:val="22"/>
                <w:szCs w:val="22"/>
              </w:rPr>
            </w:pPr>
            <w:r w:rsidRPr="00E4265B">
              <w:rPr>
                <w:rFonts w:ascii="Arial" w:hAnsi="Arial" w:cs="Arial"/>
                <w:sz w:val="22"/>
                <w:szCs w:val="22"/>
              </w:rPr>
              <w:t>10%</w:t>
            </w:r>
          </w:p>
        </w:tc>
        <w:tc>
          <w:tcPr>
            <w:tcW w:w="6867" w:type="dxa"/>
            <w:tcBorders>
              <w:top w:val="dotted" w:sz="4" w:space="0" w:color="auto"/>
              <w:left w:val="single" w:sz="4" w:space="0" w:color="auto"/>
              <w:bottom w:val="dotted" w:sz="4" w:space="0" w:color="auto"/>
              <w:right w:val="single" w:sz="4" w:space="0" w:color="auto"/>
            </w:tcBorders>
            <w:vAlign w:val="center"/>
          </w:tcPr>
          <w:p w14:paraId="465FE860" w14:textId="77777777" w:rsidR="00250039" w:rsidRPr="00E4265B" w:rsidRDefault="00250039" w:rsidP="0019712D">
            <w:pPr>
              <w:pStyle w:val="ListParagraph"/>
              <w:numPr>
                <w:ilvl w:val="1"/>
                <w:numId w:val="84"/>
              </w:numPr>
              <w:autoSpaceDE w:val="0"/>
              <w:autoSpaceDN w:val="0"/>
              <w:spacing w:before="40" w:afterLines="40" w:after="96"/>
              <w:ind w:left="901" w:right="-20"/>
              <w:rPr>
                <w:rFonts w:ascii="Arial" w:hAnsi="Arial" w:cs="Arial"/>
                <w:sz w:val="22"/>
                <w:szCs w:val="22"/>
              </w:rPr>
            </w:pPr>
            <w:r w:rsidRPr="00E4265B">
              <w:rPr>
                <w:rFonts w:ascii="Arial" w:hAnsi="Arial" w:cs="Arial"/>
                <w:sz w:val="22"/>
                <w:szCs w:val="22"/>
              </w:rPr>
              <w:t>guarantees and letters of credit unrelated to trade finance obligations</w:t>
            </w:r>
          </w:p>
        </w:tc>
      </w:tr>
      <w:tr w:rsidR="00250039" w:rsidRPr="00E4265B" w14:paraId="50C103B6" w14:textId="77777777" w:rsidTr="004E1995">
        <w:trPr>
          <w:trHeight w:val="288"/>
        </w:trPr>
        <w:tc>
          <w:tcPr>
            <w:tcW w:w="1556" w:type="dxa"/>
            <w:vMerge/>
            <w:tcBorders>
              <w:left w:val="single" w:sz="4" w:space="0" w:color="auto"/>
              <w:bottom w:val="single" w:sz="4" w:space="0" w:color="auto"/>
              <w:right w:val="single" w:sz="4" w:space="0" w:color="auto"/>
            </w:tcBorders>
          </w:tcPr>
          <w:p w14:paraId="263F7584" w14:textId="77777777" w:rsidR="00250039" w:rsidRPr="00E4265B" w:rsidRDefault="00250039" w:rsidP="004E1995">
            <w:pPr>
              <w:autoSpaceDE w:val="0"/>
              <w:autoSpaceDN w:val="0"/>
              <w:spacing w:before="40" w:afterLines="40" w:after="96"/>
              <w:ind w:left="181" w:right="-20"/>
              <w:rPr>
                <w:rFonts w:ascii="Arial" w:hAnsi="Arial" w:cs="Arial"/>
                <w:spacing w:val="-1"/>
                <w:sz w:val="22"/>
                <w:szCs w:val="22"/>
              </w:rPr>
            </w:pPr>
          </w:p>
        </w:tc>
        <w:tc>
          <w:tcPr>
            <w:tcW w:w="847" w:type="dxa"/>
            <w:tcBorders>
              <w:top w:val="dotted" w:sz="4" w:space="0" w:color="auto"/>
              <w:left w:val="single" w:sz="4" w:space="0" w:color="auto"/>
              <w:bottom w:val="single" w:sz="4" w:space="0" w:color="auto"/>
              <w:right w:val="single" w:sz="4" w:space="0" w:color="auto"/>
            </w:tcBorders>
          </w:tcPr>
          <w:p w14:paraId="6B8C1A66" w14:textId="77777777" w:rsidR="00250039" w:rsidRPr="00E4265B" w:rsidRDefault="00250039" w:rsidP="004E1995">
            <w:pPr>
              <w:autoSpaceDE w:val="0"/>
              <w:autoSpaceDN w:val="0"/>
              <w:spacing w:before="40" w:afterLines="40" w:after="96"/>
              <w:ind w:left="181" w:right="164"/>
              <w:jc w:val="right"/>
              <w:rPr>
                <w:rFonts w:ascii="Arial" w:hAnsi="Arial" w:cs="Arial"/>
                <w:spacing w:val="-1"/>
                <w:sz w:val="22"/>
                <w:szCs w:val="22"/>
              </w:rPr>
            </w:pPr>
            <w:r w:rsidRPr="00E4265B">
              <w:rPr>
                <w:rFonts w:ascii="Arial" w:hAnsi="Arial" w:cs="Arial"/>
                <w:sz w:val="22"/>
                <w:szCs w:val="22"/>
              </w:rPr>
              <w:t>100%</w:t>
            </w:r>
          </w:p>
        </w:tc>
        <w:tc>
          <w:tcPr>
            <w:tcW w:w="6867" w:type="dxa"/>
            <w:tcBorders>
              <w:top w:val="dotted" w:sz="4" w:space="0" w:color="auto"/>
              <w:left w:val="single" w:sz="4" w:space="0" w:color="auto"/>
              <w:bottom w:val="single" w:sz="4" w:space="0" w:color="auto"/>
              <w:right w:val="single" w:sz="4" w:space="0" w:color="auto"/>
            </w:tcBorders>
            <w:vAlign w:val="center"/>
          </w:tcPr>
          <w:p w14:paraId="78DDA5E6" w14:textId="77777777" w:rsidR="00250039" w:rsidRPr="00E4265B" w:rsidRDefault="00250039" w:rsidP="0019712D">
            <w:pPr>
              <w:pStyle w:val="ListParagraph"/>
              <w:numPr>
                <w:ilvl w:val="1"/>
                <w:numId w:val="84"/>
              </w:numPr>
              <w:autoSpaceDE w:val="0"/>
              <w:autoSpaceDN w:val="0"/>
              <w:spacing w:before="40" w:afterLines="40" w:after="96"/>
              <w:ind w:left="901" w:right="-20"/>
              <w:rPr>
                <w:rFonts w:ascii="Arial" w:hAnsi="Arial" w:cs="Arial"/>
                <w:sz w:val="22"/>
                <w:szCs w:val="22"/>
              </w:rPr>
            </w:pPr>
            <w:r w:rsidRPr="00E4265B">
              <w:rPr>
                <w:rFonts w:ascii="Arial" w:hAnsi="Arial" w:cs="Arial"/>
                <w:sz w:val="22"/>
                <w:szCs w:val="22"/>
              </w:rPr>
              <w:t>non-contractual obligations such as:</w:t>
            </w:r>
          </w:p>
          <w:p w14:paraId="6A3269A7" w14:textId="77777777" w:rsidR="00250039" w:rsidRPr="00E4265B" w:rsidRDefault="00250039" w:rsidP="0019712D">
            <w:pPr>
              <w:pStyle w:val="ListParagraph"/>
              <w:numPr>
                <w:ilvl w:val="2"/>
                <w:numId w:val="84"/>
              </w:numPr>
              <w:autoSpaceDE w:val="0"/>
              <w:autoSpaceDN w:val="0"/>
              <w:spacing w:before="40" w:afterLines="40" w:after="96"/>
              <w:ind w:left="1319" w:right="-20"/>
              <w:rPr>
                <w:rFonts w:ascii="Arial" w:hAnsi="Arial" w:cs="Arial"/>
                <w:sz w:val="22"/>
                <w:szCs w:val="22"/>
              </w:rPr>
            </w:pPr>
            <w:r w:rsidRPr="00E4265B">
              <w:rPr>
                <w:rFonts w:ascii="Arial" w:hAnsi="Arial" w:cs="Arial"/>
                <w:sz w:val="22"/>
                <w:szCs w:val="22"/>
              </w:rPr>
              <w:t>potential requests for debt repurchases of the bank’s own debt or that of related conduits, securities investment vehicles and other such financing facilities</w:t>
            </w:r>
          </w:p>
          <w:p w14:paraId="2B0C2AAC" w14:textId="77777777" w:rsidR="00250039" w:rsidRPr="00E4265B" w:rsidRDefault="00250039" w:rsidP="0019712D">
            <w:pPr>
              <w:pStyle w:val="ListParagraph"/>
              <w:numPr>
                <w:ilvl w:val="2"/>
                <w:numId w:val="84"/>
              </w:numPr>
              <w:autoSpaceDE w:val="0"/>
              <w:autoSpaceDN w:val="0"/>
              <w:spacing w:before="40" w:afterLines="40" w:after="96"/>
              <w:ind w:left="1319" w:right="-20"/>
              <w:rPr>
                <w:rFonts w:ascii="Arial" w:hAnsi="Arial" w:cs="Arial"/>
                <w:sz w:val="22"/>
                <w:szCs w:val="22"/>
              </w:rPr>
            </w:pPr>
            <w:r w:rsidRPr="00E4265B">
              <w:rPr>
                <w:rFonts w:ascii="Arial" w:hAnsi="Arial" w:cs="Arial"/>
                <w:sz w:val="22"/>
                <w:szCs w:val="22"/>
              </w:rPr>
              <w:t>structured products where customers anticipate ready marketability, such as adjustable rate notes and variable rate demand notes (VRDNs)</w:t>
            </w:r>
          </w:p>
          <w:p w14:paraId="0CCDDDC2" w14:textId="77777777" w:rsidR="00250039" w:rsidRPr="00E4265B" w:rsidRDefault="00250039" w:rsidP="0019712D">
            <w:pPr>
              <w:pStyle w:val="ListParagraph"/>
              <w:numPr>
                <w:ilvl w:val="2"/>
                <w:numId w:val="84"/>
              </w:numPr>
              <w:autoSpaceDE w:val="0"/>
              <w:autoSpaceDN w:val="0"/>
              <w:spacing w:before="40" w:afterLines="40" w:after="96"/>
              <w:ind w:left="1319" w:right="-20"/>
              <w:rPr>
                <w:rFonts w:ascii="Arial" w:hAnsi="Arial" w:cs="Arial"/>
                <w:sz w:val="22"/>
                <w:szCs w:val="22"/>
              </w:rPr>
            </w:pPr>
            <w:r w:rsidRPr="00E4265B">
              <w:rPr>
                <w:rFonts w:ascii="Arial" w:hAnsi="Arial" w:cs="Arial"/>
                <w:sz w:val="22"/>
                <w:szCs w:val="22"/>
              </w:rPr>
              <w:t>managed funds that are marketed with the objective of maintaining a stable value</w:t>
            </w:r>
          </w:p>
        </w:tc>
      </w:tr>
    </w:tbl>
    <w:p w14:paraId="0C2ED93E" w14:textId="79E34CD3" w:rsidR="00E22FF2" w:rsidRPr="00E4265B" w:rsidRDefault="00E22FF2" w:rsidP="008D19E8">
      <w:pPr>
        <w:pStyle w:val="UK12Title"/>
        <w:rPr>
          <w:rFonts w:ascii="Arial" w:hAnsi="Arial" w:cs="Arial"/>
          <w:sz w:val="22"/>
          <w:szCs w:val="22"/>
          <w:lang w:val="en-GB"/>
        </w:rPr>
      </w:pPr>
      <w:bookmarkStart w:id="1013" w:name="_Toc33622516"/>
      <w:r w:rsidRPr="00E4265B">
        <w:rPr>
          <w:rFonts w:ascii="Arial" w:hAnsi="Arial" w:cs="Arial"/>
          <w:sz w:val="22"/>
          <w:szCs w:val="22"/>
          <w:lang w:val="en-GB"/>
        </w:rPr>
        <w:lastRenderedPageBreak/>
        <w:t>APP1</w:t>
      </w:r>
      <w:r w:rsidR="00F00B8B" w:rsidRPr="00E4265B">
        <w:rPr>
          <w:rFonts w:ascii="Arial" w:hAnsi="Arial" w:cs="Arial"/>
          <w:sz w:val="22"/>
          <w:szCs w:val="22"/>
          <w:lang w:val="en-GB"/>
        </w:rPr>
        <w:t>1</w:t>
      </w:r>
      <w:r w:rsidR="008D19E8" w:rsidRPr="00E4265B">
        <w:rPr>
          <w:rFonts w:ascii="Arial" w:hAnsi="Arial" w:cs="Arial"/>
          <w:sz w:val="22"/>
          <w:szCs w:val="22"/>
          <w:lang w:val="en-GB"/>
        </w:rPr>
        <w:tab/>
      </w:r>
      <w:r w:rsidRPr="00E4265B">
        <w:rPr>
          <w:rFonts w:ascii="Arial" w:hAnsi="Arial" w:cs="Arial"/>
          <w:sz w:val="22"/>
          <w:szCs w:val="22"/>
          <w:lang w:val="en-GB"/>
        </w:rPr>
        <w:t>SUPERVISORY REVIEW AND EVALUATION PROCESS</w:t>
      </w:r>
      <w:bookmarkEnd w:id="1011"/>
      <w:bookmarkEnd w:id="1013"/>
    </w:p>
    <w:p w14:paraId="7C50E906" w14:textId="2B3F27DF" w:rsidR="00E22FF2" w:rsidRPr="00E4265B" w:rsidRDefault="00E22FF2" w:rsidP="00592544">
      <w:pPr>
        <w:pStyle w:val="UK12Title2"/>
        <w:rPr>
          <w:rFonts w:ascii="Arial" w:hAnsi="Arial" w:cs="Arial"/>
          <w:sz w:val="22"/>
          <w:szCs w:val="22"/>
        </w:rPr>
      </w:pPr>
      <w:bookmarkStart w:id="1014" w:name="_Toc33622517"/>
      <w:r w:rsidRPr="00E4265B">
        <w:rPr>
          <w:rFonts w:ascii="Arial" w:hAnsi="Arial" w:cs="Arial"/>
          <w:sz w:val="22"/>
          <w:szCs w:val="22"/>
        </w:rPr>
        <w:t>A1</w:t>
      </w:r>
      <w:r w:rsidR="00F00B8B" w:rsidRPr="00E4265B">
        <w:rPr>
          <w:rFonts w:ascii="Arial" w:hAnsi="Arial" w:cs="Arial"/>
          <w:sz w:val="22"/>
          <w:szCs w:val="22"/>
        </w:rPr>
        <w:t>1</w:t>
      </w:r>
      <w:r w:rsidRPr="00E4265B">
        <w:rPr>
          <w:rFonts w:ascii="Arial" w:hAnsi="Arial" w:cs="Arial"/>
          <w:sz w:val="22"/>
          <w:szCs w:val="22"/>
        </w:rPr>
        <w:t>.1</w:t>
      </w:r>
      <w:r w:rsidR="00592544" w:rsidRPr="00E4265B">
        <w:rPr>
          <w:rFonts w:ascii="Arial" w:hAnsi="Arial" w:cs="Arial"/>
          <w:sz w:val="22"/>
          <w:szCs w:val="22"/>
        </w:rPr>
        <w:tab/>
      </w:r>
      <w:r w:rsidRPr="00E4265B">
        <w:rPr>
          <w:rFonts w:ascii="Arial" w:hAnsi="Arial" w:cs="Arial"/>
          <w:sz w:val="22"/>
          <w:szCs w:val="22"/>
        </w:rPr>
        <w:t>IRAP</w:t>
      </w:r>
      <w:bookmarkEnd w:id="1014"/>
    </w:p>
    <w:p w14:paraId="470892A6" w14:textId="77777777" w:rsidR="00E22FF2" w:rsidRPr="00E4265B" w:rsidRDefault="00E22FF2" w:rsidP="007360A2">
      <w:pPr>
        <w:pStyle w:val="TitleL5"/>
        <w:rPr>
          <w:rFonts w:ascii="Arial" w:hAnsi="Arial" w:cs="Arial"/>
          <w:sz w:val="22"/>
          <w:szCs w:val="22"/>
          <w:lang w:val="en-GB"/>
        </w:rPr>
      </w:pPr>
      <w:r w:rsidRPr="00E4265B">
        <w:rPr>
          <w:rFonts w:ascii="Arial" w:hAnsi="Arial" w:cs="Arial"/>
          <w:sz w:val="22"/>
          <w:szCs w:val="22"/>
          <w:lang w:val="en-GB"/>
        </w:rPr>
        <w:t>Guidance</w:t>
      </w:r>
    </w:p>
    <w:p w14:paraId="2EEED3BB" w14:textId="77777777" w:rsidR="00E22FF2" w:rsidRPr="00E4265B" w:rsidRDefault="00E22FF2" w:rsidP="007360A2">
      <w:pPr>
        <w:pStyle w:val="TitleL5"/>
        <w:rPr>
          <w:rFonts w:ascii="Arial" w:hAnsi="Arial" w:cs="Arial"/>
          <w:sz w:val="22"/>
          <w:szCs w:val="22"/>
          <w:lang w:val="en-GB"/>
        </w:rPr>
      </w:pPr>
      <w:r w:rsidRPr="00E4265B">
        <w:rPr>
          <w:rFonts w:ascii="Arial" w:hAnsi="Arial" w:cs="Arial"/>
          <w:sz w:val="22"/>
          <w:szCs w:val="22"/>
          <w:lang w:val="en-GB"/>
        </w:rPr>
        <w:t>Application</w:t>
      </w:r>
    </w:p>
    <w:p w14:paraId="1B3D763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w:t>
      </w:r>
      <w:r w:rsidRPr="00E4265B">
        <w:rPr>
          <w:rFonts w:ascii="Arial" w:hAnsi="Arial" w:cs="Arial"/>
          <w:sz w:val="22"/>
          <w:szCs w:val="22"/>
          <w:lang w:val="en-GB"/>
        </w:rPr>
        <w:tab/>
        <w:t xml:space="preserve">This Guidance is relevant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described in Section 10.3 (that is, a firm in Category 1, 2, 3A, 3B, 3C, or 5) in regard to an Internal Risk Assessment Process (referred to in this Guidance as an IRAP).</w:t>
      </w:r>
    </w:p>
    <w:p w14:paraId="1FECE82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following Guidance generally assumes that the Rules relating to capital adequacy in these Rules apply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on a solo basis. However, the Guidance is to be read as also applying where the capital adequacy requirements in these Rules apply to the Financial Group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on a consolidated basis.</w:t>
      </w:r>
    </w:p>
    <w:p w14:paraId="5E94227F" w14:textId="77777777" w:rsidR="00E22FF2" w:rsidRPr="00E4265B" w:rsidRDefault="00E22FF2" w:rsidP="007360A2">
      <w:pPr>
        <w:pStyle w:val="TitleL5"/>
        <w:rPr>
          <w:rFonts w:ascii="Arial" w:hAnsi="Arial" w:cs="Arial"/>
          <w:sz w:val="22"/>
          <w:szCs w:val="22"/>
          <w:lang w:val="en-GB"/>
        </w:rPr>
      </w:pPr>
      <w:r w:rsidRPr="00E4265B">
        <w:rPr>
          <w:rFonts w:ascii="Arial" w:hAnsi="Arial" w:cs="Arial"/>
          <w:sz w:val="22"/>
          <w:szCs w:val="22"/>
          <w:lang w:val="en-GB"/>
        </w:rPr>
        <w:t>Purpose of the IRAP</w:t>
      </w:r>
    </w:p>
    <w:p w14:paraId="73FC50A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The IRAP is an internal process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which enables it to identify, assess, aggregate and monitor its risks adequately. The objective of the IRAP is to develop a comprehensive and detailed risk profile for the firm. The IRAP should help the firm ensure that sound risk management systems are in place, address any weaknesses in its risk management framework, and maintain adequate internal capital</w:t>
      </w:r>
      <w:r w:rsidR="00F00B8B" w:rsidRPr="00E4265B">
        <w:rPr>
          <w:rFonts w:ascii="Arial" w:hAnsi="Arial" w:cs="Arial"/>
          <w:sz w:val="22"/>
          <w:szCs w:val="22"/>
          <w:lang w:val="en-GB"/>
        </w:rPr>
        <w:t xml:space="preserve"> and liquid financial resources</w:t>
      </w:r>
      <w:r w:rsidRPr="00E4265B">
        <w:rPr>
          <w:rFonts w:ascii="Arial" w:hAnsi="Arial" w:cs="Arial"/>
          <w:sz w:val="22"/>
          <w:szCs w:val="22"/>
          <w:lang w:val="en-GB"/>
        </w:rPr>
        <w:t xml:space="preserve"> relative to its risk profile</w:t>
      </w:r>
      <w:r w:rsidR="00F00B8B" w:rsidRPr="00E4265B">
        <w:rPr>
          <w:rFonts w:ascii="Arial" w:hAnsi="Arial" w:cs="Arial"/>
          <w:sz w:val="22"/>
          <w:szCs w:val="22"/>
          <w:lang w:val="en-GB"/>
        </w:rPr>
        <w:t xml:space="preserve"> and to meet its liquidity risk management needs</w:t>
      </w:r>
      <w:r w:rsidRPr="00E4265B">
        <w:rPr>
          <w:rFonts w:ascii="Arial" w:hAnsi="Arial" w:cs="Arial"/>
          <w:sz w:val="22"/>
          <w:szCs w:val="22"/>
          <w:lang w:val="en-GB"/>
        </w:rPr>
        <w:t>.</w:t>
      </w:r>
    </w:p>
    <w:p w14:paraId="31AF13C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ensure that the IRAP forms an integral part of the firm's risk management framework and decision</w:t>
      </w:r>
      <w:r w:rsidRPr="00E4265B">
        <w:rPr>
          <w:rFonts w:ascii="Arial" w:hAnsi="Arial" w:cs="Arial"/>
          <w:sz w:val="22"/>
          <w:szCs w:val="22"/>
          <w:lang w:val="en-GB"/>
        </w:rPr>
        <w:noBreakHyphen/>
        <w:t xml:space="preserve">making processes. The IRAP should cover all activities of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should be proportionate to the nature and complexity of the firm's activities.</w:t>
      </w:r>
    </w:p>
    <w:p w14:paraId="24976023"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 xml:space="preserve">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be able to demonstrate to the Regulator that its internal risk assessment is comprehensive and adequate relative to the nature of risks posed by its business activities and its operating environment.</w:t>
      </w:r>
    </w:p>
    <w:p w14:paraId="5E4FEF30"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6.</w:t>
      </w:r>
      <w:r w:rsidRPr="00E4265B">
        <w:rPr>
          <w:rFonts w:ascii="Arial" w:hAnsi="Arial" w:cs="Arial"/>
          <w:sz w:val="22"/>
          <w:szCs w:val="22"/>
          <w:lang w:val="en-GB"/>
        </w:rPr>
        <w:tab/>
        <w:t xml:space="preserve">The Regulator does not prescribe any specific approach for the IRAP and, consequently,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can choose to implement an IRAP which is proportionate to the nature, size and complexity of the business activities.</w:t>
      </w:r>
    </w:p>
    <w:p w14:paraId="3B97E16D"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7.</w:t>
      </w:r>
      <w:r w:rsidRPr="00E4265B">
        <w:rPr>
          <w:rFonts w:ascii="Arial" w:hAnsi="Arial" w:cs="Arial"/>
          <w:sz w:val="22"/>
          <w:szCs w:val="22"/>
          <w:lang w:val="en-GB"/>
        </w:rPr>
        <w:tab/>
        <w:t xml:space="preserve">The IRAP should be subject to adequate internal controls and reviews by internal audit to ensure the integrity and objectivity of the process. The IRAP should consider the quality and effectiveness of the </w:t>
      </w:r>
      <w:r w:rsidR="000D1A90" w:rsidRPr="00E4265B">
        <w:rPr>
          <w:rFonts w:ascii="Arial" w:hAnsi="Arial" w:cs="Arial"/>
          <w:sz w:val="22"/>
          <w:szCs w:val="22"/>
          <w:lang w:val="en-GB"/>
        </w:rPr>
        <w:t>Authorised Person</w:t>
      </w:r>
      <w:r w:rsidRPr="00E4265B">
        <w:rPr>
          <w:rFonts w:ascii="Arial" w:hAnsi="Arial" w:cs="Arial"/>
          <w:sz w:val="22"/>
          <w:szCs w:val="22"/>
          <w:lang w:val="en-GB"/>
        </w:rPr>
        <w:t>'s risk management framework while determining its risk profile.</w:t>
      </w:r>
    </w:p>
    <w:p w14:paraId="4CAFD608"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8.</w:t>
      </w:r>
      <w:r w:rsidRPr="00E4265B">
        <w:rPr>
          <w:rFonts w:ascii="Arial" w:hAnsi="Arial" w:cs="Arial"/>
          <w:sz w:val="22"/>
          <w:szCs w:val="22"/>
          <w:lang w:val="en-GB"/>
        </w:rPr>
        <w:tab/>
        <w:t>The IRAP should:</w:t>
      </w:r>
    </w:p>
    <w:p w14:paraId="10B2DD08" w14:textId="77777777" w:rsidR="00E22FF2" w:rsidRPr="00E4265B" w:rsidRDefault="00E22FF2" w:rsidP="007360A2">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identify and outline all related parties of the </w:t>
      </w:r>
      <w:r w:rsidR="000D1A90" w:rsidRPr="00E4265B">
        <w:rPr>
          <w:rFonts w:ascii="Arial" w:hAnsi="Arial" w:cs="Arial"/>
          <w:sz w:val="22"/>
          <w:szCs w:val="22"/>
          <w:lang w:val="en-GB"/>
        </w:rPr>
        <w:t>Authorised Person</w:t>
      </w:r>
      <w:r w:rsidRPr="00E4265B">
        <w:rPr>
          <w:rFonts w:ascii="Arial" w:hAnsi="Arial" w:cs="Arial"/>
          <w:sz w:val="22"/>
          <w:szCs w:val="22"/>
          <w:lang w:val="en-GB"/>
        </w:rPr>
        <w:t>, and list the types of transactions that occur between those related parties and the firm;</w:t>
      </w:r>
    </w:p>
    <w:p w14:paraId="38D63381" w14:textId="77777777" w:rsidR="00E22FF2" w:rsidRPr="00E4265B" w:rsidRDefault="00E22FF2" w:rsidP="007360A2">
      <w:pPr>
        <w:pStyle w:val="aList"/>
        <w:rPr>
          <w:rFonts w:ascii="Arial" w:hAnsi="Arial" w:cs="Arial"/>
          <w:sz w:val="22"/>
          <w:szCs w:val="22"/>
          <w:lang w:val="en-GB"/>
        </w:rPr>
      </w:pPr>
      <w:r w:rsidRPr="00E4265B">
        <w:rPr>
          <w:rFonts w:ascii="Arial" w:hAnsi="Arial" w:cs="Arial"/>
          <w:sz w:val="22"/>
          <w:szCs w:val="22"/>
          <w:lang w:val="en-GB"/>
        </w:rPr>
        <w:lastRenderedPageBreak/>
        <w:t>b.</w:t>
      </w:r>
      <w:r w:rsidRPr="00E4265B">
        <w:rPr>
          <w:rFonts w:ascii="Arial" w:hAnsi="Arial" w:cs="Arial"/>
          <w:sz w:val="22"/>
          <w:szCs w:val="22"/>
          <w:lang w:val="en-GB"/>
        </w:rPr>
        <w:tab/>
        <w:t>identify the most significant risks to which the firm is exposed, which should, at a minimum, include the risks identified in Guidance note 9;</w:t>
      </w:r>
    </w:p>
    <w:p w14:paraId="0C82AD2A" w14:textId="77777777" w:rsidR="00E22FF2" w:rsidRPr="00E4265B" w:rsidRDefault="00E22FF2" w:rsidP="007360A2">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identify each of the firm's major business lines and prepare a comprehensive list of the major risks to which each of the businesses are exposed;</w:t>
      </w:r>
    </w:p>
    <w:p w14:paraId="0C39DACF" w14:textId="77777777" w:rsidR="00E22FF2" w:rsidRPr="00E4265B" w:rsidRDefault="00E22FF2" w:rsidP="007360A2">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identify the controls and risk management measures used to address the risks referred to in b. and c. and assess the strength of such controls and systems; and</w:t>
      </w:r>
    </w:p>
    <w:p w14:paraId="228BF3AB" w14:textId="77777777" w:rsidR="00E22FF2" w:rsidRPr="00E4265B" w:rsidRDefault="00E22FF2" w:rsidP="007360A2">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consider the impact of an economic or industry downturn on its future earnings, taking into account its business plans.</w:t>
      </w:r>
    </w:p>
    <w:p w14:paraId="6E0FB0F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9.</w:t>
      </w:r>
      <w:r w:rsidRPr="00E4265B">
        <w:rPr>
          <w:rFonts w:ascii="Arial" w:hAnsi="Arial" w:cs="Arial"/>
          <w:sz w:val="22"/>
          <w:szCs w:val="22"/>
          <w:lang w:val="en-GB"/>
        </w:rPr>
        <w:tab/>
        <w:t>The IRAP should, in addition to the aforementioned factors:</w:t>
      </w:r>
    </w:p>
    <w:p w14:paraId="6B062A95" w14:textId="77777777" w:rsidR="00E22FF2" w:rsidRPr="00E4265B" w:rsidRDefault="00E22FF2" w:rsidP="007360A2">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estimate, with the aid of historical data, where available, the range and distribution of possible losses which might arise from each of those risks and consider using stress tests to provide risk estimates;</w:t>
      </w:r>
    </w:p>
    <w:p w14:paraId="669C9162" w14:textId="77777777" w:rsidR="00E22FF2" w:rsidRPr="00E4265B" w:rsidRDefault="00E22FF2" w:rsidP="007360A2">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consider the extent to which the firm's Capital Requirement adequately addresses the type of risks referred to under Guidance note 8.b. and c.; and</w:t>
      </w:r>
    </w:p>
    <w:p w14:paraId="1F82552A" w14:textId="2F1D97E0" w:rsidR="00E22FF2" w:rsidRPr="00E4265B" w:rsidRDefault="00E22FF2" w:rsidP="007360A2">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estimate the expected change in the firm's risk profile on the basis of projections of the firm's business activities for the next three to five years</w:t>
      </w:r>
      <w:r w:rsidR="00250039" w:rsidRPr="00E4265B">
        <w:rPr>
          <w:rFonts w:ascii="Arial" w:hAnsi="Arial" w:cs="Arial"/>
          <w:sz w:val="22"/>
          <w:szCs w:val="22"/>
          <w:lang w:val="en-GB"/>
        </w:rPr>
        <w:t xml:space="preserve"> and be informed by the business plan of the Authorised Person, as required by GEN 3.3.16</w:t>
      </w:r>
      <w:r w:rsidRPr="00E4265B">
        <w:rPr>
          <w:rFonts w:ascii="Arial" w:hAnsi="Arial" w:cs="Arial"/>
          <w:sz w:val="22"/>
          <w:szCs w:val="22"/>
          <w:lang w:val="en-GB"/>
        </w:rPr>
        <w:t>.</w:t>
      </w:r>
    </w:p>
    <w:p w14:paraId="6609E9B2"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10.</w:t>
      </w:r>
      <w:r w:rsidRPr="00E4265B">
        <w:rPr>
          <w:rFonts w:ascii="Arial" w:hAnsi="Arial" w:cs="Arial"/>
          <w:sz w:val="22"/>
          <w:szCs w:val="22"/>
          <w:lang w:val="en-GB"/>
        </w:rPr>
        <w:tab/>
        <w:t>If the firm's IRAP is based on this Guidance, it may enable the Regulator more easily to review the IRAP as part of its SREP. However, the Regulator may decide to rely on an IRAP that is not consistent with the elements of this Guidance, owing to specific reasons and/or circumstances which necessitate an alternative approach.</w:t>
      </w:r>
    </w:p>
    <w:p w14:paraId="25574FC5" w14:textId="77777777" w:rsidR="00E22FF2" w:rsidRPr="00E4265B" w:rsidRDefault="00E22FF2" w:rsidP="00E672BE">
      <w:pPr>
        <w:pStyle w:val="TitleL5"/>
        <w:rPr>
          <w:rFonts w:ascii="Arial" w:hAnsi="Arial" w:cs="Arial"/>
          <w:sz w:val="22"/>
          <w:szCs w:val="22"/>
          <w:lang w:val="en-GB"/>
        </w:rPr>
      </w:pPr>
      <w:r w:rsidRPr="00E4265B">
        <w:rPr>
          <w:rFonts w:ascii="Arial" w:hAnsi="Arial" w:cs="Arial"/>
          <w:sz w:val="22"/>
          <w:szCs w:val="22"/>
          <w:lang w:val="en-GB"/>
        </w:rPr>
        <w:t>Guidance on risks to be covered as part of the IRAP</w:t>
      </w:r>
    </w:p>
    <w:p w14:paraId="219C06F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11.</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consider the following risks, where relevant, in its IRAP:</w:t>
      </w:r>
    </w:p>
    <w:p w14:paraId="79C3253D" w14:textId="19F05295"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Credit Risk,</w:t>
      </w:r>
      <w:r w:rsidR="0050084D" w:rsidRPr="00E4265B">
        <w:rPr>
          <w:rFonts w:ascii="Arial" w:hAnsi="Arial" w:cs="Arial"/>
          <w:sz w:val="22"/>
          <w:szCs w:val="22"/>
          <w:lang w:val="en-GB"/>
        </w:rPr>
        <w:t xml:space="preserve"> including Large Exposures and concentration r</w:t>
      </w:r>
      <w:r w:rsidRPr="00E4265B">
        <w:rPr>
          <w:rFonts w:ascii="Arial" w:hAnsi="Arial" w:cs="Arial"/>
          <w:sz w:val="22"/>
          <w:szCs w:val="22"/>
          <w:lang w:val="en-GB"/>
        </w:rPr>
        <w:t>isks;</w:t>
      </w:r>
    </w:p>
    <w:p w14:paraId="4E787F42"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Market Risk;</w:t>
      </w:r>
    </w:p>
    <w:p w14:paraId="7FB6E89B"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Liquidity Risk;</w:t>
      </w:r>
    </w:p>
    <w:p w14:paraId="27067626"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for Islamic Financial Business involving PSIAs, displaced commercial risk;</w:t>
      </w:r>
    </w:p>
    <w:p w14:paraId="3DEF62C0"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interest rate risk in the Non</w:t>
      </w:r>
      <w:r w:rsidRPr="00E4265B">
        <w:rPr>
          <w:rFonts w:ascii="Arial" w:hAnsi="Arial" w:cs="Arial"/>
          <w:sz w:val="22"/>
          <w:szCs w:val="22"/>
          <w:lang w:val="en-GB"/>
        </w:rPr>
        <w:noBreakHyphen/>
        <w:t>Trading Book;</w:t>
      </w:r>
    </w:p>
    <w:p w14:paraId="23AC3C83"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Operational Risk;</w:t>
      </w:r>
    </w:p>
    <w:p w14:paraId="219A427C"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g.</w:t>
      </w:r>
      <w:r w:rsidRPr="00E4265B">
        <w:rPr>
          <w:rFonts w:ascii="Arial" w:hAnsi="Arial" w:cs="Arial"/>
          <w:sz w:val="22"/>
          <w:szCs w:val="22"/>
          <w:lang w:val="en-GB"/>
        </w:rPr>
        <w:tab/>
        <w:t xml:space="preserve">internal controls and systems; and </w:t>
      </w:r>
    </w:p>
    <w:p w14:paraId="35F5612B"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lastRenderedPageBreak/>
        <w:t>h.</w:t>
      </w:r>
      <w:r w:rsidRPr="00E4265B">
        <w:rPr>
          <w:rFonts w:ascii="Arial" w:hAnsi="Arial" w:cs="Arial"/>
          <w:sz w:val="22"/>
          <w:szCs w:val="22"/>
          <w:lang w:val="en-GB"/>
        </w:rPr>
        <w:tab/>
        <w:t>reputational risk.</w:t>
      </w:r>
    </w:p>
    <w:p w14:paraId="219D8B76"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12.</w:t>
      </w:r>
      <w:r w:rsidRPr="00E4265B">
        <w:rPr>
          <w:rFonts w:ascii="Arial" w:hAnsi="Arial" w:cs="Arial"/>
          <w:sz w:val="22"/>
          <w:szCs w:val="22"/>
          <w:lang w:val="en-GB"/>
        </w:rPr>
        <w:tab/>
        <w:t xml:space="preserve">This Guidance is merely an indicative list of risk categories, which does not preclude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from assessing other risks that it considers significant (for example, securitisation risks and residual risks). Likewise, certain categories of risks might not be relevant to all </w:t>
      </w:r>
      <w:r w:rsidR="000D1A90" w:rsidRPr="00E4265B">
        <w:rPr>
          <w:rFonts w:ascii="Arial" w:hAnsi="Arial" w:cs="Arial"/>
          <w:sz w:val="22"/>
          <w:szCs w:val="22"/>
          <w:lang w:val="en-GB"/>
        </w:rPr>
        <w:t>Authorised Person</w:t>
      </w:r>
      <w:r w:rsidRPr="00E4265B">
        <w:rPr>
          <w:rFonts w:ascii="Arial" w:hAnsi="Arial" w:cs="Arial"/>
          <w:sz w:val="22"/>
          <w:szCs w:val="22"/>
          <w:lang w:val="en-GB"/>
        </w:rPr>
        <w:t>s completing the IRAP. In this case, the IRAP should clearly indicate why the risk is considered minimal or not relevant. The IRAP should also consider all risks arising from any non</w:t>
      </w:r>
      <w:r w:rsidRPr="00E4265B">
        <w:rPr>
          <w:rFonts w:ascii="Arial" w:hAnsi="Arial" w:cs="Arial"/>
          <w:sz w:val="22"/>
          <w:szCs w:val="22"/>
          <w:lang w:val="en-GB"/>
        </w:rPr>
        <w:noBreakHyphen/>
        <w:t xml:space="preserve">regulated activities of the </w:t>
      </w:r>
      <w:r w:rsidR="000D1A90" w:rsidRPr="00E4265B">
        <w:rPr>
          <w:rFonts w:ascii="Arial" w:hAnsi="Arial" w:cs="Arial"/>
          <w:sz w:val="22"/>
          <w:szCs w:val="22"/>
          <w:lang w:val="en-GB"/>
        </w:rPr>
        <w:t>Authorised Person</w:t>
      </w:r>
      <w:r w:rsidRPr="00E4265B">
        <w:rPr>
          <w:rFonts w:ascii="Arial" w:hAnsi="Arial" w:cs="Arial"/>
          <w:sz w:val="22"/>
          <w:szCs w:val="22"/>
          <w:lang w:val="en-GB"/>
        </w:rPr>
        <w:t>, if they are seen as material to the risk profile of the firm.</w:t>
      </w:r>
    </w:p>
    <w:p w14:paraId="33FBE35E" w14:textId="62572A62" w:rsidR="00E22FF2" w:rsidRPr="00E4265B" w:rsidRDefault="00E22FF2" w:rsidP="00592544">
      <w:pPr>
        <w:pStyle w:val="UK12Title2"/>
        <w:rPr>
          <w:rFonts w:ascii="Arial" w:hAnsi="Arial" w:cs="Arial"/>
          <w:sz w:val="22"/>
          <w:szCs w:val="22"/>
        </w:rPr>
      </w:pPr>
      <w:bookmarkStart w:id="1015" w:name="_Toc33622518"/>
      <w:r w:rsidRPr="00E4265B">
        <w:rPr>
          <w:rFonts w:ascii="Arial" w:hAnsi="Arial" w:cs="Arial"/>
          <w:sz w:val="22"/>
          <w:szCs w:val="22"/>
        </w:rPr>
        <w:t>A1</w:t>
      </w:r>
      <w:r w:rsidR="00365CD1" w:rsidRPr="00E4265B">
        <w:rPr>
          <w:rFonts w:ascii="Arial" w:hAnsi="Arial" w:cs="Arial"/>
          <w:sz w:val="22"/>
          <w:szCs w:val="22"/>
        </w:rPr>
        <w:t>1</w:t>
      </w:r>
      <w:r w:rsidRPr="00E4265B">
        <w:rPr>
          <w:rFonts w:ascii="Arial" w:hAnsi="Arial" w:cs="Arial"/>
          <w:sz w:val="22"/>
          <w:szCs w:val="22"/>
        </w:rPr>
        <w:t>.2</w:t>
      </w:r>
      <w:r w:rsidR="00592544" w:rsidRPr="00E4265B">
        <w:rPr>
          <w:rFonts w:ascii="Arial" w:hAnsi="Arial" w:cs="Arial"/>
          <w:sz w:val="22"/>
          <w:szCs w:val="22"/>
        </w:rPr>
        <w:tab/>
      </w:r>
      <w:r w:rsidRPr="00E4265B">
        <w:rPr>
          <w:rFonts w:ascii="Arial" w:hAnsi="Arial" w:cs="Arial"/>
          <w:sz w:val="22"/>
          <w:szCs w:val="22"/>
        </w:rPr>
        <w:t>ICAAP</w:t>
      </w:r>
      <w:bookmarkEnd w:id="1015"/>
    </w:p>
    <w:p w14:paraId="614E5B26" w14:textId="77777777" w:rsidR="00E22FF2" w:rsidRPr="00E4265B" w:rsidRDefault="00E22FF2" w:rsidP="00E672BE">
      <w:pPr>
        <w:pStyle w:val="TitleL5"/>
        <w:rPr>
          <w:rFonts w:ascii="Arial" w:hAnsi="Arial" w:cs="Arial"/>
          <w:sz w:val="22"/>
          <w:szCs w:val="22"/>
          <w:lang w:val="en-GB"/>
        </w:rPr>
      </w:pPr>
      <w:r w:rsidRPr="00E4265B">
        <w:rPr>
          <w:rFonts w:ascii="Arial" w:hAnsi="Arial" w:cs="Arial"/>
          <w:sz w:val="22"/>
          <w:szCs w:val="22"/>
          <w:lang w:val="en-GB"/>
        </w:rPr>
        <w:t>Guidance</w:t>
      </w:r>
    </w:p>
    <w:p w14:paraId="160B9E05" w14:textId="77777777" w:rsidR="00E22FF2" w:rsidRPr="00E4265B" w:rsidRDefault="00E22FF2" w:rsidP="00E672BE">
      <w:pPr>
        <w:pStyle w:val="TitleL5"/>
        <w:rPr>
          <w:rFonts w:ascii="Arial" w:hAnsi="Arial" w:cs="Arial"/>
          <w:sz w:val="22"/>
          <w:szCs w:val="22"/>
          <w:lang w:val="en-GB"/>
        </w:rPr>
      </w:pPr>
      <w:r w:rsidRPr="00E4265B">
        <w:rPr>
          <w:rFonts w:ascii="Arial" w:hAnsi="Arial" w:cs="Arial"/>
          <w:sz w:val="22"/>
          <w:szCs w:val="22"/>
          <w:lang w:val="en-GB"/>
        </w:rPr>
        <w:t>Application</w:t>
      </w:r>
    </w:p>
    <w:p w14:paraId="56B9D7CB" w14:textId="77777777" w:rsidR="00E22FF2" w:rsidRPr="00E4265B" w:rsidRDefault="00E22FF2" w:rsidP="00922630">
      <w:pPr>
        <w:pStyle w:val="1List"/>
        <w:numPr>
          <w:ilvl w:val="0"/>
          <w:numId w:val="31"/>
        </w:numPr>
        <w:ind w:left="1800" w:hanging="864"/>
        <w:rPr>
          <w:rFonts w:ascii="Arial" w:hAnsi="Arial" w:cs="Arial"/>
          <w:sz w:val="22"/>
          <w:szCs w:val="22"/>
          <w:lang w:val="en-GB"/>
        </w:rPr>
      </w:pPr>
      <w:r w:rsidRPr="00E4265B">
        <w:rPr>
          <w:rFonts w:ascii="Arial" w:hAnsi="Arial" w:cs="Arial"/>
          <w:sz w:val="22"/>
          <w:szCs w:val="22"/>
          <w:lang w:val="en-GB"/>
        </w:rPr>
        <w:t xml:space="preserve">This Guidance is relevant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as described in Section 10.4 (that is, a firm in Category 1, 2, 3A or 5) in regard to an Internal Risk Capital Adequacy Assessment Process (referred to in this Guidance as an ICAAP).</w:t>
      </w:r>
    </w:p>
    <w:p w14:paraId="32986681" w14:textId="77777777" w:rsidR="00E22FF2" w:rsidRPr="00E4265B" w:rsidRDefault="00E22FF2" w:rsidP="00E672BE">
      <w:pPr>
        <w:pStyle w:val="TitleL5"/>
        <w:rPr>
          <w:rFonts w:ascii="Arial" w:hAnsi="Arial" w:cs="Arial"/>
          <w:sz w:val="22"/>
          <w:szCs w:val="22"/>
          <w:lang w:val="en-GB"/>
        </w:rPr>
      </w:pPr>
      <w:r w:rsidRPr="00E4265B">
        <w:rPr>
          <w:rFonts w:ascii="Arial" w:hAnsi="Arial" w:cs="Arial"/>
          <w:sz w:val="22"/>
          <w:szCs w:val="22"/>
          <w:lang w:val="en-GB"/>
        </w:rPr>
        <w:t>Purpose and process of the ICAAP</w:t>
      </w:r>
    </w:p>
    <w:p w14:paraId="1BA141F3" w14:textId="3CFD7B13"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The ICAAP is an internal process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which enables it to determine and maintain the amount and quality of capital that is adequate in relation to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risk profile as assessed in the IRAP. </w:t>
      </w:r>
      <w:r w:rsidR="000D1A90" w:rsidRPr="00E4265B">
        <w:rPr>
          <w:rFonts w:ascii="Arial" w:hAnsi="Arial" w:cs="Arial"/>
          <w:sz w:val="22"/>
          <w:szCs w:val="22"/>
          <w:lang w:val="en-GB"/>
        </w:rPr>
        <w:t>Authorised Person</w:t>
      </w:r>
      <w:r w:rsidRPr="00E4265B">
        <w:rPr>
          <w:rFonts w:ascii="Arial" w:hAnsi="Arial" w:cs="Arial"/>
          <w:sz w:val="22"/>
          <w:szCs w:val="22"/>
          <w:lang w:val="en-GB"/>
        </w:rPr>
        <w:t>s are encouraged to maintain capital over and above th</w:t>
      </w:r>
      <w:r w:rsidR="00DF7CAF" w:rsidRPr="00E4265B">
        <w:rPr>
          <w:rFonts w:ascii="Arial" w:hAnsi="Arial" w:cs="Arial"/>
          <w:sz w:val="22"/>
          <w:szCs w:val="22"/>
          <w:lang w:val="en-GB"/>
        </w:rPr>
        <w:t>e regulatory</w:t>
      </w:r>
      <w:r w:rsidRPr="00E4265B">
        <w:rPr>
          <w:rFonts w:ascii="Arial" w:hAnsi="Arial" w:cs="Arial"/>
          <w:sz w:val="22"/>
          <w:szCs w:val="22"/>
          <w:lang w:val="en-GB"/>
        </w:rPr>
        <w:t xml:space="preserve"> minimum capital. The ICAAP, in conjunction with the IRAP, should be embedded in the </w:t>
      </w:r>
      <w:r w:rsidR="000D1A90" w:rsidRPr="00E4265B">
        <w:rPr>
          <w:rFonts w:ascii="Arial" w:hAnsi="Arial" w:cs="Arial"/>
          <w:sz w:val="22"/>
          <w:szCs w:val="22"/>
          <w:lang w:val="en-GB"/>
        </w:rPr>
        <w:t>Authorised Person</w:t>
      </w:r>
      <w:r w:rsidRPr="00E4265B">
        <w:rPr>
          <w:rFonts w:ascii="Arial" w:hAnsi="Arial" w:cs="Arial"/>
          <w:sz w:val="22"/>
          <w:szCs w:val="22"/>
          <w:lang w:val="en-GB"/>
        </w:rPr>
        <w:t>'s business and organisational processes</w:t>
      </w:r>
      <w:r w:rsidR="0050084D" w:rsidRPr="00E4265B">
        <w:rPr>
          <w:rFonts w:ascii="Arial" w:hAnsi="Arial" w:cs="Arial"/>
          <w:sz w:val="22"/>
          <w:szCs w:val="22"/>
          <w:lang w:val="en-GB"/>
        </w:rPr>
        <w:t xml:space="preserve"> and be informed by the business plan of the Authorised Person, as required by GEN 3.3.16</w:t>
      </w:r>
      <w:r w:rsidRPr="00E4265B">
        <w:rPr>
          <w:rFonts w:ascii="Arial" w:hAnsi="Arial" w:cs="Arial"/>
          <w:sz w:val="22"/>
          <w:szCs w:val="22"/>
          <w:lang w:val="en-GB"/>
        </w:rPr>
        <w:t>.</w:t>
      </w:r>
    </w:p>
    <w:p w14:paraId="146BCE03"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When assessing its capital needs,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take into account the impact of economic cycles, and sensitivity to other external risks and factors. For larger or more complex institutions, this may mean developing an appropriate stress testing and scenario testing framework.</w:t>
      </w:r>
    </w:p>
    <w:p w14:paraId="06CB0E8D"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The Regulator does not prescribe any specific approach for the ICAAP and, consequently,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can choose to implement an ICAAP which is proportionate to the nature, size and complexity of the business activities.</w:t>
      </w:r>
    </w:p>
    <w:p w14:paraId="36F9F94F"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 xml:space="preserve">In completing an ICAAP,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w:t>
      </w:r>
    </w:p>
    <w:p w14:paraId="2EDE2D7B"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estimate the amount of capital required to absorb potential losses, if any, for the significant risks identified in the IRAP (particularly risks which lead to financial losses);</w:t>
      </w:r>
    </w:p>
    <w:p w14:paraId="1C83A319"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 xml:space="preserve">perform reasonable and proportionate sensitivity tests to analyse the impact of variation in the risk parameters of significant risks identified in the IRAP on the profitability and the capital position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0114C0A4"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lastRenderedPageBreak/>
        <w:t>c.</w:t>
      </w:r>
      <w:r w:rsidRPr="00E4265B">
        <w:rPr>
          <w:rFonts w:ascii="Arial" w:hAnsi="Arial" w:cs="Arial"/>
          <w:sz w:val="22"/>
          <w:szCs w:val="22"/>
          <w:lang w:val="en-GB"/>
        </w:rPr>
        <w:tab/>
        <w:t>estimate, using the range and distribution of possible losses estimated from historical data, the level of capital required reasonably to cover likely losses;</w:t>
      </w:r>
    </w:p>
    <w:p w14:paraId="142EFCCB"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estimate the Capital Resources required to address potential variation in the </w:t>
      </w:r>
      <w:r w:rsidR="000D1A90" w:rsidRPr="00E4265B">
        <w:rPr>
          <w:rFonts w:ascii="Arial" w:hAnsi="Arial" w:cs="Arial"/>
          <w:sz w:val="22"/>
          <w:szCs w:val="22"/>
          <w:lang w:val="en-GB"/>
        </w:rPr>
        <w:t>Authorised Person</w:t>
      </w:r>
      <w:r w:rsidRPr="00E4265B">
        <w:rPr>
          <w:rFonts w:ascii="Arial" w:hAnsi="Arial" w:cs="Arial"/>
          <w:sz w:val="22"/>
          <w:szCs w:val="22"/>
          <w:lang w:val="en-GB"/>
        </w:rPr>
        <w:t>'s Capital Requirement arising from planned growth in business levels or any significant deviation in growth from plans; and</w:t>
      </w:r>
    </w:p>
    <w:p w14:paraId="69A4A779"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 xml:space="preserve">document the ranges of capital required for each of the factors identified above and enable the Governing Body and the senior management to form an overall view on the amount and quality of capital which that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hold.</w:t>
      </w:r>
    </w:p>
    <w:p w14:paraId="6CB9CD58"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6.</w:t>
      </w:r>
      <w:r w:rsidRPr="00E4265B">
        <w:rPr>
          <w:rFonts w:ascii="Arial" w:hAnsi="Arial" w:cs="Arial"/>
          <w:sz w:val="22"/>
          <w:szCs w:val="22"/>
          <w:lang w:val="en-GB"/>
        </w:rPr>
        <w:tab/>
        <w:t xml:space="preserve">The Regulator does not require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to implement ICAAP through sophisticated models and the Regulator has no prescribed approach for developing an internal capital model for the firm's ICAAP assessment. However,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be able to demonstrate:</w:t>
      </w:r>
    </w:p>
    <w:p w14:paraId="2F079F35"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the confidence levels set and whether these are linked to its corporate strategy;</w:t>
      </w:r>
    </w:p>
    <w:p w14:paraId="52738001"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the time horizons set for the different types of business that it undertakes;</w:t>
      </w:r>
    </w:p>
    <w:p w14:paraId="340298B4"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the extent of historic data used and back</w:t>
      </w:r>
      <w:r w:rsidRPr="00E4265B">
        <w:rPr>
          <w:rFonts w:ascii="Arial" w:hAnsi="Arial" w:cs="Arial"/>
          <w:sz w:val="22"/>
          <w:szCs w:val="22"/>
          <w:lang w:val="en-GB"/>
        </w:rPr>
        <w:noBreakHyphen/>
        <w:t>testing carried out;</w:t>
      </w:r>
    </w:p>
    <w:p w14:paraId="62A91245"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 xml:space="preserve">that it has in place a process to verify the correctness of the model's outputs; and </w:t>
      </w:r>
    </w:p>
    <w:p w14:paraId="0B2EDBF4"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that it has the skills and resources to operate, maintain and develop the model.</w:t>
      </w:r>
    </w:p>
    <w:p w14:paraId="1FB8CEEC"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7.</w:t>
      </w:r>
      <w:r w:rsidRPr="00E4265B">
        <w:rPr>
          <w:rFonts w:ascii="Arial" w:hAnsi="Arial" w:cs="Arial"/>
          <w:sz w:val="22"/>
          <w:szCs w:val="22"/>
          <w:lang w:val="en-GB"/>
        </w:rPr>
        <w:tab/>
        <w:t xml:space="preserve">If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internal model makes explicit or implicit assumptions in relation to correlations within or between risk types, or in relation to diversification benefits between business lines, the firm should be able to explain to the Regulator, with the support of empirical evidence, the basis of those assumptions. An </w:t>
      </w:r>
      <w:r w:rsidR="000D1A90" w:rsidRPr="00E4265B">
        <w:rPr>
          <w:rFonts w:ascii="Arial" w:hAnsi="Arial" w:cs="Arial"/>
          <w:sz w:val="22"/>
          <w:szCs w:val="22"/>
          <w:lang w:val="en-GB"/>
        </w:rPr>
        <w:t>Authorised Person</w:t>
      </w:r>
      <w:r w:rsidRPr="00E4265B">
        <w:rPr>
          <w:rFonts w:ascii="Arial" w:hAnsi="Arial" w:cs="Arial"/>
          <w:sz w:val="22"/>
          <w:szCs w:val="22"/>
          <w:lang w:val="en-GB"/>
        </w:rPr>
        <w:t>'s model should also reflect the past experience of both the firm and the sectors in which it operates.</w:t>
      </w:r>
    </w:p>
    <w:p w14:paraId="0FE6FED1"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8.</w:t>
      </w:r>
      <w:r w:rsidRPr="00E4265B">
        <w:rPr>
          <w:rFonts w:ascii="Arial" w:hAnsi="Arial" w:cs="Arial"/>
          <w:sz w:val="22"/>
          <w:szCs w:val="22"/>
          <w:lang w:val="en-GB"/>
        </w:rPr>
        <w:tab/>
        <w:t xml:space="preserve">The assumptions required to aggregate risks that are modelled and the confidence levels adopted should be considered by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senior management.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should also consider whether any relevant risks, including systems and control risks, are not captured by the model.</w:t>
      </w:r>
    </w:p>
    <w:p w14:paraId="2BCA4B8E"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9.</w:t>
      </w:r>
      <w:r w:rsidRPr="00E4265B">
        <w:rPr>
          <w:rFonts w:ascii="Arial" w:hAnsi="Arial" w:cs="Arial"/>
          <w:sz w:val="22"/>
          <w:szCs w:val="22"/>
          <w:lang w:val="en-GB"/>
        </w:rPr>
        <w:tab/>
        <w:t xml:space="preserve">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using an internal capital model should validate the assumptions of the model through a comprehensive stress testing programme. In particular this validation should:</w:t>
      </w:r>
    </w:p>
    <w:p w14:paraId="0AC13FD6"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test correlation assumptions (where risks are aggregated in this way) using combined stresses and scenario analyses;</w:t>
      </w:r>
    </w:p>
    <w:p w14:paraId="32BA9F87"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lastRenderedPageBreak/>
        <w:t>b.</w:t>
      </w:r>
      <w:r w:rsidRPr="00E4265B">
        <w:rPr>
          <w:rFonts w:ascii="Arial" w:hAnsi="Arial" w:cs="Arial"/>
          <w:sz w:val="22"/>
          <w:szCs w:val="22"/>
          <w:lang w:val="en-GB"/>
        </w:rPr>
        <w:tab/>
        <w:t>use stress tests to identify the extent to which the firm's risk models omit non</w:t>
      </w:r>
      <w:r w:rsidRPr="00E4265B">
        <w:rPr>
          <w:rFonts w:ascii="Arial" w:hAnsi="Arial" w:cs="Arial"/>
          <w:sz w:val="22"/>
          <w:szCs w:val="22"/>
          <w:lang w:val="en-GB"/>
        </w:rPr>
        <w:noBreakHyphen/>
        <w:t xml:space="preserve">linear effects, for instance the behaviour of </w:t>
      </w:r>
      <w:r w:rsidR="005F3B3B" w:rsidRPr="00E4265B">
        <w:rPr>
          <w:rFonts w:ascii="Arial" w:hAnsi="Arial" w:cs="Arial"/>
          <w:sz w:val="22"/>
          <w:szCs w:val="22"/>
          <w:lang w:val="en-GB"/>
        </w:rPr>
        <w:t>Derivative</w:t>
      </w:r>
      <w:r w:rsidRPr="00E4265B">
        <w:rPr>
          <w:rFonts w:ascii="Arial" w:hAnsi="Arial" w:cs="Arial"/>
          <w:sz w:val="22"/>
          <w:szCs w:val="22"/>
          <w:lang w:val="en-GB"/>
        </w:rPr>
        <w:t>s in Market Risk models; and</w:t>
      </w:r>
    </w:p>
    <w:p w14:paraId="3C86CD05"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consider not just the effect of parallel shifts in interest rate curves, but also the effect of the curves becoming steeper or flatter.</w:t>
      </w:r>
    </w:p>
    <w:p w14:paraId="1A73FD87"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10.</w:t>
      </w:r>
      <w:r w:rsidRPr="00E4265B">
        <w:rPr>
          <w:rFonts w:ascii="Arial" w:hAnsi="Arial" w:cs="Arial"/>
          <w:sz w:val="22"/>
          <w:szCs w:val="22"/>
          <w:lang w:val="en-GB"/>
        </w:rPr>
        <w:tab/>
        <w:t xml:space="preserve">Any internal assessment of capital adequacy should address diversification benefits and transferability of Capital Resources between members of the Financial Group. It should also describe the distribution of the capital required by the Financial Group across all entities, including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6ED1ED2C" w14:textId="0F201B4A" w:rsidR="00E22FF2" w:rsidRPr="00E4265B" w:rsidRDefault="00E22FF2" w:rsidP="00592544">
      <w:pPr>
        <w:pStyle w:val="UK12Title2"/>
        <w:rPr>
          <w:rFonts w:ascii="Arial" w:hAnsi="Arial" w:cs="Arial"/>
          <w:sz w:val="22"/>
          <w:szCs w:val="22"/>
        </w:rPr>
      </w:pPr>
      <w:bookmarkStart w:id="1016" w:name="_Toc33622519"/>
      <w:r w:rsidRPr="00E4265B">
        <w:rPr>
          <w:rFonts w:ascii="Arial" w:hAnsi="Arial" w:cs="Arial"/>
          <w:sz w:val="22"/>
          <w:szCs w:val="22"/>
        </w:rPr>
        <w:t>A1</w:t>
      </w:r>
      <w:r w:rsidR="00365CD1" w:rsidRPr="00E4265B">
        <w:rPr>
          <w:rFonts w:ascii="Arial" w:hAnsi="Arial" w:cs="Arial"/>
          <w:sz w:val="22"/>
          <w:szCs w:val="22"/>
        </w:rPr>
        <w:t>1</w:t>
      </w:r>
      <w:r w:rsidRPr="00E4265B">
        <w:rPr>
          <w:rFonts w:ascii="Arial" w:hAnsi="Arial" w:cs="Arial"/>
          <w:sz w:val="22"/>
          <w:szCs w:val="22"/>
        </w:rPr>
        <w:t>.3</w:t>
      </w:r>
      <w:r w:rsidR="00592544" w:rsidRPr="00E4265B">
        <w:rPr>
          <w:rFonts w:ascii="Arial" w:hAnsi="Arial" w:cs="Arial"/>
          <w:sz w:val="22"/>
          <w:szCs w:val="22"/>
        </w:rPr>
        <w:tab/>
      </w:r>
      <w:r w:rsidRPr="00E4265B">
        <w:rPr>
          <w:rFonts w:ascii="Arial" w:hAnsi="Arial" w:cs="Arial"/>
          <w:sz w:val="22"/>
          <w:szCs w:val="22"/>
        </w:rPr>
        <w:t>Supervisory Review and Evaluation Process (SREP)</w:t>
      </w:r>
      <w:bookmarkEnd w:id="1016"/>
    </w:p>
    <w:p w14:paraId="0684959E" w14:textId="77777777" w:rsidR="00E22FF2" w:rsidRPr="00E4265B" w:rsidRDefault="00E22FF2" w:rsidP="00E672BE">
      <w:pPr>
        <w:pStyle w:val="TitleL5"/>
        <w:rPr>
          <w:rFonts w:ascii="Arial" w:hAnsi="Arial" w:cs="Arial"/>
          <w:sz w:val="22"/>
          <w:szCs w:val="22"/>
          <w:lang w:val="en-GB"/>
        </w:rPr>
      </w:pPr>
      <w:r w:rsidRPr="00E4265B">
        <w:rPr>
          <w:rFonts w:ascii="Arial" w:hAnsi="Arial" w:cs="Arial"/>
          <w:sz w:val="22"/>
          <w:szCs w:val="22"/>
          <w:lang w:val="en-GB"/>
        </w:rPr>
        <w:t>Guidance</w:t>
      </w:r>
    </w:p>
    <w:p w14:paraId="276C7FC7" w14:textId="77777777" w:rsidR="00E22FF2" w:rsidRPr="00E4265B" w:rsidRDefault="00E22FF2" w:rsidP="00E672BE">
      <w:pPr>
        <w:pStyle w:val="TitleL5"/>
        <w:rPr>
          <w:rFonts w:ascii="Arial" w:hAnsi="Arial" w:cs="Arial"/>
          <w:sz w:val="22"/>
          <w:szCs w:val="22"/>
          <w:lang w:val="en-GB"/>
        </w:rPr>
      </w:pPr>
      <w:r w:rsidRPr="00E4265B">
        <w:rPr>
          <w:rFonts w:ascii="Arial" w:hAnsi="Arial" w:cs="Arial"/>
          <w:sz w:val="22"/>
          <w:szCs w:val="22"/>
          <w:lang w:val="en-GB"/>
        </w:rPr>
        <w:t>Application</w:t>
      </w:r>
    </w:p>
    <w:p w14:paraId="086EC3AC" w14:textId="77777777" w:rsidR="00E22FF2" w:rsidRPr="00E4265B" w:rsidRDefault="00E22FF2" w:rsidP="0019712D">
      <w:pPr>
        <w:pStyle w:val="1List"/>
        <w:numPr>
          <w:ilvl w:val="0"/>
          <w:numId w:val="66"/>
        </w:numPr>
        <w:ind w:left="1800" w:hanging="864"/>
        <w:rPr>
          <w:rFonts w:ascii="Arial" w:hAnsi="Arial" w:cs="Arial"/>
          <w:sz w:val="22"/>
          <w:szCs w:val="22"/>
          <w:lang w:val="en-GB"/>
        </w:rPr>
      </w:pPr>
      <w:r w:rsidRPr="00E4265B">
        <w:rPr>
          <w:rFonts w:ascii="Arial" w:hAnsi="Arial" w:cs="Arial"/>
          <w:sz w:val="22"/>
          <w:szCs w:val="22"/>
          <w:lang w:val="en-GB"/>
        </w:rPr>
        <w:t xml:space="preserve">This Guidance is relevant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as described in Section 10.5 (that is, a firm in Category 1, 2, 3A, 3B, 3C or 5) in regard to a Supervisory Review and Evaluation Process (referred to in this Guidance as a SREP).</w:t>
      </w:r>
    </w:p>
    <w:p w14:paraId="1C5550D0" w14:textId="77777777" w:rsidR="00E22FF2" w:rsidRPr="00E4265B" w:rsidRDefault="00E22FF2" w:rsidP="00E672BE">
      <w:pPr>
        <w:pStyle w:val="TitleL5"/>
        <w:rPr>
          <w:rFonts w:ascii="Arial" w:hAnsi="Arial" w:cs="Arial"/>
          <w:sz w:val="22"/>
          <w:szCs w:val="22"/>
          <w:lang w:val="en-GB"/>
        </w:rPr>
      </w:pPr>
      <w:r w:rsidRPr="00E4265B">
        <w:rPr>
          <w:rFonts w:ascii="Arial" w:hAnsi="Arial" w:cs="Arial"/>
          <w:sz w:val="22"/>
          <w:szCs w:val="22"/>
          <w:lang w:val="en-GB"/>
        </w:rPr>
        <w:t>Introduction</w:t>
      </w:r>
    </w:p>
    <w:p w14:paraId="1009FF4D"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2.</w:t>
      </w:r>
      <w:r w:rsidRPr="00E4265B">
        <w:rPr>
          <w:rFonts w:ascii="Arial" w:hAnsi="Arial" w:cs="Arial"/>
          <w:sz w:val="22"/>
          <w:szCs w:val="22"/>
          <w:lang w:val="en-GB"/>
        </w:rPr>
        <w:tab/>
        <w:t xml:space="preserve">This Guidance covers the evaluation criteria and methodology (referred to as a SREP) that the Regulator may use when reviewing and evaluating the IRAP and ICAAP of an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6A93E83D" w14:textId="77777777" w:rsidR="00E22FF2" w:rsidRPr="00E4265B" w:rsidRDefault="00E22FF2" w:rsidP="00E672BE">
      <w:pPr>
        <w:pStyle w:val="TitleL5"/>
        <w:rPr>
          <w:rFonts w:ascii="Arial" w:hAnsi="Arial" w:cs="Arial"/>
          <w:sz w:val="22"/>
          <w:szCs w:val="22"/>
          <w:lang w:val="en-GB"/>
        </w:rPr>
      </w:pPr>
      <w:r w:rsidRPr="00E4265B">
        <w:rPr>
          <w:rFonts w:ascii="Arial" w:hAnsi="Arial" w:cs="Arial"/>
          <w:sz w:val="22"/>
          <w:szCs w:val="22"/>
          <w:lang w:val="en-GB"/>
        </w:rPr>
        <w:t>The SREP in detail</w:t>
      </w:r>
    </w:p>
    <w:p w14:paraId="47416000"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3.</w:t>
      </w:r>
      <w:r w:rsidRPr="00E4265B">
        <w:rPr>
          <w:rFonts w:ascii="Arial" w:hAnsi="Arial" w:cs="Arial"/>
          <w:sz w:val="22"/>
          <w:szCs w:val="22"/>
          <w:lang w:val="en-GB"/>
        </w:rPr>
        <w:tab/>
        <w:t xml:space="preserve">A SREP of an IRAP and an ICAAP forms an integral part of the overall supervisory approach of the Regulator. A SREP is expected to enable assessment of the effectiveness, completeness and quality of an IRAP and ICAAP in relation to the overall risk profile of the </w:t>
      </w:r>
      <w:r w:rsidR="000D1A90" w:rsidRPr="00E4265B">
        <w:rPr>
          <w:rFonts w:ascii="Arial" w:hAnsi="Arial" w:cs="Arial"/>
          <w:sz w:val="22"/>
          <w:szCs w:val="22"/>
          <w:lang w:val="en-GB"/>
        </w:rPr>
        <w:t>Authorised Person</w:t>
      </w:r>
      <w:r w:rsidRPr="00E4265B">
        <w:rPr>
          <w:rFonts w:ascii="Arial" w:hAnsi="Arial" w:cs="Arial"/>
          <w:sz w:val="22"/>
          <w:szCs w:val="22"/>
          <w:lang w:val="en-GB"/>
        </w:rPr>
        <w:t>. It leverages from information collected and assessments carried out as part of the wider supervisory regime, including desk</w:t>
      </w:r>
      <w:r w:rsidRPr="00E4265B">
        <w:rPr>
          <w:rFonts w:ascii="Arial" w:hAnsi="Arial" w:cs="Arial"/>
          <w:sz w:val="22"/>
          <w:szCs w:val="22"/>
          <w:lang w:val="en-GB"/>
        </w:rPr>
        <w:noBreakHyphen/>
        <w:t>based reviews, on</w:t>
      </w:r>
      <w:r w:rsidRPr="00E4265B">
        <w:rPr>
          <w:rFonts w:ascii="Arial" w:hAnsi="Arial" w:cs="Arial"/>
          <w:sz w:val="22"/>
          <w:szCs w:val="22"/>
          <w:lang w:val="en-GB"/>
        </w:rPr>
        <w:noBreakHyphen/>
        <w:t>site risk assessments, discussions with the firm's management, and reviews comp</w:t>
      </w:r>
      <w:r w:rsidR="00D77FC6" w:rsidRPr="00E4265B">
        <w:rPr>
          <w:rFonts w:ascii="Arial" w:hAnsi="Arial" w:cs="Arial"/>
          <w:sz w:val="22"/>
          <w:szCs w:val="22"/>
          <w:lang w:val="en-GB"/>
        </w:rPr>
        <w:t>leted by internal and external A</w:t>
      </w:r>
      <w:r w:rsidRPr="00E4265B">
        <w:rPr>
          <w:rFonts w:ascii="Arial" w:hAnsi="Arial" w:cs="Arial"/>
          <w:sz w:val="22"/>
          <w:szCs w:val="22"/>
          <w:lang w:val="en-GB"/>
        </w:rPr>
        <w:t>uditors.</w:t>
      </w:r>
    </w:p>
    <w:p w14:paraId="320CB2CC"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4.</w:t>
      </w:r>
      <w:r w:rsidRPr="00E4265B">
        <w:rPr>
          <w:rFonts w:ascii="Arial" w:hAnsi="Arial" w:cs="Arial"/>
          <w:sz w:val="22"/>
          <w:szCs w:val="22"/>
          <w:lang w:val="en-GB"/>
        </w:rPr>
        <w:tab/>
        <w:t xml:space="preserve">The SREP is structured to provide consistency of treatment across </w:t>
      </w:r>
      <w:r w:rsidR="000D1A90" w:rsidRPr="00E4265B">
        <w:rPr>
          <w:rFonts w:ascii="Arial" w:hAnsi="Arial" w:cs="Arial"/>
          <w:sz w:val="22"/>
          <w:szCs w:val="22"/>
          <w:lang w:val="en-GB"/>
        </w:rPr>
        <w:t>Authorised Person</w:t>
      </w:r>
      <w:r w:rsidRPr="00E4265B">
        <w:rPr>
          <w:rFonts w:ascii="Arial" w:hAnsi="Arial" w:cs="Arial"/>
          <w:sz w:val="22"/>
          <w:szCs w:val="22"/>
          <w:lang w:val="en-GB"/>
        </w:rPr>
        <w:t>s, taking into consideration the differences in risk profiles, business strategies and management. An essential element of the SREP is the qualitative assessment of each type of risk and its management within the overall context of the firm's internal governance.</w:t>
      </w:r>
    </w:p>
    <w:p w14:paraId="2C340AEF"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5.</w:t>
      </w:r>
      <w:r w:rsidRPr="00E4265B">
        <w:rPr>
          <w:rFonts w:ascii="Arial" w:hAnsi="Arial" w:cs="Arial"/>
          <w:sz w:val="22"/>
          <w:szCs w:val="22"/>
          <w:lang w:val="en-GB"/>
        </w:rPr>
        <w:tab/>
        <w:t xml:space="preserve">The Regulator's assessment of the individual risk profile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will provide the context for evaluation of the firm's IRAP and/or ICAAP. The evaluation in turn will be used by the Regulator to augment its understanding of the overall risk profile of a firm. Also, in relation to a firm in Category 1, 2, 3A or 5, the Regulator might involve such a firm in a formalised discussion of risks and capital adequacy, which might lead to a requirement for additional capital.</w:t>
      </w:r>
    </w:p>
    <w:p w14:paraId="63944FF5"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lastRenderedPageBreak/>
        <w:t>6.</w:t>
      </w:r>
      <w:r w:rsidRPr="00E4265B">
        <w:rPr>
          <w:rFonts w:ascii="Arial" w:hAnsi="Arial" w:cs="Arial"/>
          <w:sz w:val="22"/>
          <w:szCs w:val="22"/>
          <w:lang w:val="en-GB"/>
        </w:rPr>
        <w:tab/>
        <w:t xml:space="preserve">The SREP may be used as a regulatory tool for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s which are required to perform an IRAP and/or ICAAP. The SREP for each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will be proportionate in terms of the size, scale and complexity of its business and its impact on financial sector stability. The Regulator will cooperate actively with other supervisory authorities whenever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is part of a Group and is prudentially regulated on a consolidated basis.</w:t>
      </w:r>
    </w:p>
    <w:p w14:paraId="4BCC61BD"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7.</w:t>
      </w:r>
      <w:r w:rsidRPr="00E4265B">
        <w:rPr>
          <w:rFonts w:ascii="Arial" w:hAnsi="Arial" w:cs="Arial"/>
          <w:sz w:val="22"/>
          <w:szCs w:val="22"/>
          <w:lang w:val="en-GB"/>
        </w:rPr>
        <w:tab/>
        <w:t xml:space="preserve">The SREP evaluation cycle will be determined in the discretion of the Regulator and be based on the risk assessment, developments in the risk profile and changes in the </w:t>
      </w:r>
      <w:r w:rsidR="000D1A90" w:rsidRPr="00E4265B">
        <w:rPr>
          <w:rFonts w:ascii="Arial" w:hAnsi="Arial" w:cs="Arial"/>
          <w:sz w:val="22"/>
          <w:szCs w:val="22"/>
          <w:lang w:val="en-GB"/>
        </w:rPr>
        <w:t>Authorised Person</w:t>
      </w:r>
      <w:r w:rsidRPr="00E4265B">
        <w:rPr>
          <w:rFonts w:ascii="Arial" w:hAnsi="Arial" w:cs="Arial"/>
          <w:sz w:val="22"/>
          <w:szCs w:val="22"/>
          <w:lang w:val="en-GB"/>
        </w:rPr>
        <w:t>'s strategy or products. The SREP is as far as possible aligned with the risk assessment process to ensure that a recent risk assessment is available for the SREP evaluation process.</w:t>
      </w:r>
    </w:p>
    <w:p w14:paraId="7ACE7389"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8.</w:t>
      </w:r>
      <w:r w:rsidRPr="00E4265B">
        <w:rPr>
          <w:rFonts w:ascii="Arial" w:hAnsi="Arial" w:cs="Arial"/>
          <w:sz w:val="22"/>
          <w:szCs w:val="22"/>
          <w:lang w:val="en-GB"/>
        </w:rPr>
        <w:tab/>
        <w:t xml:space="preserve">It is envisaged that the Regulator will use a range of supervisory tools of qualitative or quantitative nature to perform the SREP. The SREP is not intended as, and should not constitute, a parallel or secondary IRAP or ICAAP. Its purpose is to evaluate the quality, completeness and consistency of the IRAP or ICAAP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5D3353D7" w14:textId="77777777" w:rsidR="00E22FF2" w:rsidRPr="00E4265B" w:rsidRDefault="00E22FF2" w:rsidP="00E672BE">
      <w:pPr>
        <w:pStyle w:val="TitleL5"/>
        <w:rPr>
          <w:rFonts w:ascii="Arial" w:hAnsi="Arial" w:cs="Arial"/>
          <w:sz w:val="22"/>
          <w:szCs w:val="22"/>
          <w:lang w:val="en-GB"/>
        </w:rPr>
      </w:pPr>
      <w:r w:rsidRPr="00E4265B">
        <w:rPr>
          <w:rFonts w:ascii="Arial" w:hAnsi="Arial" w:cs="Arial"/>
          <w:sz w:val="22"/>
          <w:szCs w:val="22"/>
          <w:lang w:val="en-GB"/>
        </w:rPr>
        <w:t>Review of the IRAP and ICAAP Assessment</w:t>
      </w:r>
    </w:p>
    <w:p w14:paraId="15244FBA"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9.</w:t>
      </w:r>
      <w:r w:rsidRPr="00E4265B">
        <w:rPr>
          <w:rFonts w:ascii="Arial" w:hAnsi="Arial" w:cs="Arial"/>
          <w:sz w:val="22"/>
          <w:szCs w:val="22"/>
          <w:lang w:val="en-GB"/>
        </w:rPr>
        <w:tab/>
        <w:t>Upon receipt of an IRAP or ICAAP the Regulator would normally:</w:t>
      </w:r>
    </w:p>
    <w:p w14:paraId="2D134646" w14:textId="77777777" w:rsidR="00E22FF2" w:rsidRPr="00E4265B" w:rsidRDefault="00E22FF2" w:rsidP="00D05716">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subject the data provided to an initial analysis for completeness and accuracy followed by a more detailed comparison with the relevant data held on file at the Regulator about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577BABA4"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b.</w:t>
      </w:r>
      <w:r w:rsidRPr="00E4265B">
        <w:rPr>
          <w:rFonts w:ascii="Arial" w:hAnsi="Arial" w:cs="Arial"/>
          <w:sz w:val="22"/>
          <w:szCs w:val="22"/>
          <w:lang w:val="en-GB"/>
        </w:rPr>
        <w:tab/>
        <w:t>determine if there are material changes compared with previous submissions;</w:t>
      </w:r>
    </w:p>
    <w:p w14:paraId="3E74A5F8"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determine if the submitted data contains indicators of a possible material change in the firm's risk profile;</w:t>
      </w:r>
    </w:p>
    <w:p w14:paraId="1C0FEA72"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address and discuss any information gaps or anomalies with the firm; and</w:t>
      </w:r>
    </w:p>
    <w:p w14:paraId="29A1D89A"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form an assessment about content and quality of the submission which will be integrated into the overall supervisory approach.</w:t>
      </w:r>
    </w:p>
    <w:p w14:paraId="40FF66D5" w14:textId="77777777" w:rsidR="00E22FF2" w:rsidRPr="00E4265B" w:rsidRDefault="00E22FF2" w:rsidP="00C55E84">
      <w:pPr>
        <w:pStyle w:val="TitleL5"/>
        <w:rPr>
          <w:rFonts w:ascii="Arial" w:hAnsi="Arial" w:cs="Arial"/>
          <w:sz w:val="22"/>
          <w:szCs w:val="22"/>
          <w:lang w:val="en-GB"/>
        </w:rPr>
      </w:pPr>
      <w:r w:rsidRPr="00E4265B">
        <w:rPr>
          <w:rFonts w:ascii="Arial" w:hAnsi="Arial" w:cs="Arial"/>
          <w:sz w:val="22"/>
          <w:szCs w:val="22"/>
          <w:lang w:val="en-GB"/>
        </w:rPr>
        <w:t>Evaluation of the IRAP and ICAAP</w:t>
      </w:r>
    </w:p>
    <w:p w14:paraId="2118DFE2" w14:textId="77777777" w:rsidR="00E22FF2" w:rsidRPr="00E4265B" w:rsidRDefault="00E22FF2" w:rsidP="00520DD3">
      <w:pPr>
        <w:pStyle w:val="1List"/>
        <w:rPr>
          <w:rFonts w:ascii="Arial" w:hAnsi="Arial" w:cs="Arial"/>
          <w:sz w:val="22"/>
          <w:szCs w:val="22"/>
          <w:lang w:val="en-GB"/>
        </w:rPr>
      </w:pPr>
      <w:r w:rsidRPr="00E4265B">
        <w:rPr>
          <w:rFonts w:ascii="Arial" w:hAnsi="Arial" w:cs="Arial"/>
          <w:sz w:val="22"/>
          <w:szCs w:val="22"/>
          <w:lang w:val="en-GB"/>
        </w:rPr>
        <w:t>10.</w:t>
      </w:r>
      <w:r w:rsidRPr="00E4265B">
        <w:rPr>
          <w:rFonts w:ascii="Arial" w:hAnsi="Arial" w:cs="Arial"/>
          <w:sz w:val="22"/>
          <w:szCs w:val="22"/>
          <w:lang w:val="en-GB"/>
        </w:rPr>
        <w:tab/>
        <w:t xml:space="preserve">The SREP evaluation of the IRAP and, where applicable, the ICAAP covers all activities of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takes all relevant data collected during the supervisory process into account. The SREP evaluation process will use desk based reviews, firm visits and meetings to arrive at a final view.</w:t>
      </w:r>
    </w:p>
    <w:p w14:paraId="5251A729"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11.</w:t>
      </w:r>
      <w:r w:rsidRPr="00E4265B">
        <w:rPr>
          <w:rFonts w:ascii="Arial" w:hAnsi="Arial" w:cs="Arial"/>
          <w:sz w:val="22"/>
          <w:szCs w:val="22"/>
          <w:lang w:val="en-GB"/>
        </w:rPr>
        <w:tab/>
        <w:t>As part of the SREP, the Regulator will consider:</w:t>
      </w:r>
    </w:p>
    <w:p w14:paraId="2186A35E"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a.</w:t>
      </w:r>
      <w:r w:rsidRPr="00E4265B">
        <w:rPr>
          <w:rFonts w:ascii="Arial" w:hAnsi="Arial" w:cs="Arial"/>
          <w:sz w:val="22"/>
          <w:szCs w:val="22"/>
          <w:lang w:val="en-GB"/>
        </w:rPr>
        <w:tab/>
        <w:t xml:space="preserve">the completeness of the IRAP and, where applicable, the ICAAP by ensuring that it covers all business areas, internal governance and all risk categories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p w14:paraId="45360DF6"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lastRenderedPageBreak/>
        <w:t>b.</w:t>
      </w:r>
      <w:r w:rsidRPr="00E4265B">
        <w:rPr>
          <w:rFonts w:ascii="Arial" w:hAnsi="Arial" w:cs="Arial"/>
          <w:sz w:val="22"/>
          <w:szCs w:val="22"/>
          <w:lang w:val="en-GB"/>
        </w:rPr>
        <w:tab/>
        <w:t>the soundness and quality of the IRAP and, where applicable, the ICAAP process in relation to the firm's size, business complexity and risk profile;</w:t>
      </w:r>
    </w:p>
    <w:p w14:paraId="45C274C7"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c.</w:t>
      </w:r>
      <w:r w:rsidRPr="00E4265B">
        <w:rPr>
          <w:rFonts w:ascii="Arial" w:hAnsi="Arial" w:cs="Arial"/>
          <w:sz w:val="22"/>
          <w:szCs w:val="22"/>
          <w:lang w:val="en-GB"/>
        </w:rPr>
        <w:tab/>
        <w:t>soundness of qualitative calibration and quantitative methodology whenever employed by the firm;</w:t>
      </w:r>
    </w:p>
    <w:p w14:paraId="5006CB09"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d.</w:t>
      </w:r>
      <w:r w:rsidRPr="00E4265B">
        <w:rPr>
          <w:rFonts w:ascii="Arial" w:hAnsi="Arial" w:cs="Arial"/>
          <w:sz w:val="22"/>
          <w:szCs w:val="22"/>
          <w:lang w:val="en-GB"/>
        </w:rPr>
        <w:tab/>
        <w:t>execution of the IRAP and, where applicable, the ICAAP in terms of consistency, quality and documentation;</w:t>
      </w:r>
    </w:p>
    <w:p w14:paraId="2FA802D2"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e.</w:t>
      </w:r>
      <w:r w:rsidRPr="00E4265B">
        <w:rPr>
          <w:rFonts w:ascii="Arial" w:hAnsi="Arial" w:cs="Arial"/>
          <w:sz w:val="22"/>
          <w:szCs w:val="22"/>
          <w:lang w:val="en-GB"/>
        </w:rPr>
        <w:tab/>
        <w:t>adequacy of internal controls and quality assurance processes on the IRAP and, where applicable, the ICAAP; and</w:t>
      </w:r>
    </w:p>
    <w:p w14:paraId="5B80F101" w14:textId="77777777" w:rsidR="00E22FF2" w:rsidRPr="00E4265B" w:rsidRDefault="00E22FF2" w:rsidP="00E672BE">
      <w:pPr>
        <w:pStyle w:val="aList"/>
        <w:rPr>
          <w:rFonts w:ascii="Arial" w:hAnsi="Arial" w:cs="Arial"/>
          <w:sz w:val="22"/>
          <w:szCs w:val="22"/>
          <w:lang w:val="en-GB"/>
        </w:rPr>
      </w:pPr>
      <w:r w:rsidRPr="00E4265B">
        <w:rPr>
          <w:rFonts w:ascii="Arial" w:hAnsi="Arial" w:cs="Arial"/>
          <w:sz w:val="22"/>
          <w:szCs w:val="22"/>
          <w:lang w:val="en-GB"/>
        </w:rPr>
        <w:t>f.</w:t>
      </w:r>
      <w:r w:rsidRPr="00E4265B">
        <w:rPr>
          <w:rFonts w:ascii="Arial" w:hAnsi="Arial" w:cs="Arial"/>
          <w:sz w:val="22"/>
          <w:szCs w:val="22"/>
          <w:lang w:val="en-GB"/>
        </w:rPr>
        <w:tab/>
        <w:t>adequacy of management information and whether the management had responded adequately and in a timely manner to such information.</w:t>
      </w:r>
    </w:p>
    <w:p w14:paraId="7CAA8E79" w14:textId="77777777" w:rsidR="00E22FF2" w:rsidRPr="00E4265B" w:rsidRDefault="00E22FF2" w:rsidP="00D05716">
      <w:pPr>
        <w:pStyle w:val="1List"/>
        <w:rPr>
          <w:rFonts w:ascii="Arial" w:hAnsi="Arial" w:cs="Arial"/>
          <w:sz w:val="22"/>
          <w:szCs w:val="22"/>
          <w:lang w:val="en-GB"/>
        </w:rPr>
      </w:pPr>
      <w:r w:rsidRPr="00E4265B">
        <w:rPr>
          <w:rFonts w:ascii="Arial" w:hAnsi="Arial" w:cs="Arial"/>
          <w:sz w:val="22"/>
          <w:szCs w:val="22"/>
          <w:lang w:val="en-GB"/>
        </w:rPr>
        <w:t>12.</w:t>
      </w:r>
      <w:r w:rsidRPr="00E4265B">
        <w:rPr>
          <w:rFonts w:ascii="Arial" w:hAnsi="Arial" w:cs="Arial"/>
          <w:sz w:val="22"/>
          <w:szCs w:val="22"/>
          <w:lang w:val="en-GB"/>
        </w:rPr>
        <w:tab/>
        <w:t xml:space="preserve">Based on the SREP, the Regulator will form an assessment which will be communicated to the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and flow into the overall supervisory approach. The action required resulting from the IRAP and ICAAP will be communicated to the firm as part of a risk mitigation programme.</w:t>
      </w:r>
    </w:p>
    <w:p w14:paraId="3628B35D" w14:textId="77777777" w:rsidR="00E22FF2" w:rsidRPr="00E4265B" w:rsidRDefault="00E22FF2" w:rsidP="00AF47C7">
      <w:pPr>
        <w:pStyle w:val="1List"/>
        <w:rPr>
          <w:rFonts w:ascii="Arial" w:hAnsi="Arial" w:cs="Arial"/>
          <w:sz w:val="22"/>
          <w:szCs w:val="22"/>
          <w:lang w:val="en-GB"/>
        </w:rPr>
      </w:pPr>
      <w:r w:rsidRPr="00E4265B">
        <w:rPr>
          <w:rFonts w:ascii="Arial" w:hAnsi="Arial" w:cs="Arial"/>
          <w:sz w:val="22"/>
          <w:szCs w:val="22"/>
          <w:lang w:val="en-GB"/>
        </w:rPr>
        <w:t>13.</w:t>
      </w:r>
      <w:r w:rsidRPr="00E4265B">
        <w:rPr>
          <w:rFonts w:ascii="Arial" w:hAnsi="Arial" w:cs="Arial"/>
          <w:sz w:val="22"/>
          <w:szCs w:val="22"/>
          <w:lang w:val="en-GB"/>
        </w:rPr>
        <w:tab/>
        <w:t xml:space="preserve">In relation to an </w:t>
      </w:r>
      <w:r w:rsidR="000D1A90" w:rsidRPr="00E4265B">
        <w:rPr>
          <w:rFonts w:ascii="Arial" w:hAnsi="Arial" w:cs="Arial"/>
          <w:sz w:val="22"/>
          <w:szCs w:val="22"/>
          <w:lang w:val="en-GB"/>
        </w:rPr>
        <w:t>Authorised Person</w:t>
      </w:r>
      <w:r w:rsidRPr="00E4265B">
        <w:rPr>
          <w:rFonts w:ascii="Arial" w:hAnsi="Arial" w:cs="Arial"/>
          <w:sz w:val="22"/>
          <w:szCs w:val="22"/>
          <w:lang w:val="en-GB"/>
        </w:rPr>
        <w:t xml:space="preserve"> in Category 1, 2, 3A or 5, where the Regulator does not agree with the results of the firm's ICAAP results, the Regulator will involve the firm in a dialogue to reconcile any difference in view to arrive at a consensus estimate of the capital level required to address all risks identified either by the firm or by the Regulator in its SREP. Such an estimate will be specified by the Regulator as the Individual Capital Requirement for the firm. Where consensus is not possible the Regulator may impose an Individual Capital Requirement on a firm.</w:t>
      </w:r>
      <w:r w:rsidRPr="00E4265B">
        <w:rPr>
          <w:rFonts w:ascii="Arial" w:hAnsi="Arial" w:cs="Arial"/>
          <w:sz w:val="22"/>
          <w:szCs w:val="22"/>
          <w:lang w:val="en-GB"/>
        </w:rPr>
        <w:br w:type="page"/>
      </w:r>
    </w:p>
    <w:p w14:paraId="5275D6EB" w14:textId="340D2E07" w:rsidR="00E22FF2" w:rsidRPr="00E4265B" w:rsidRDefault="00E22FF2" w:rsidP="00CA25C3">
      <w:pPr>
        <w:pStyle w:val="UK12Title"/>
        <w:rPr>
          <w:rFonts w:ascii="Arial" w:hAnsi="Arial" w:cs="Arial"/>
          <w:sz w:val="22"/>
          <w:szCs w:val="22"/>
          <w:lang w:val="en-GB"/>
        </w:rPr>
      </w:pPr>
      <w:bookmarkStart w:id="1017" w:name="_Toc404624450"/>
      <w:bookmarkStart w:id="1018" w:name="_Toc33622520"/>
      <w:r w:rsidRPr="00E4265B">
        <w:rPr>
          <w:rFonts w:ascii="Arial" w:hAnsi="Arial" w:cs="Arial"/>
          <w:sz w:val="22"/>
          <w:szCs w:val="22"/>
          <w:lang w:val="en-GB"/>
        </w:rPr>
        <w:lastRenderedPageBreak/>
        <w:t>APP1</w:t>
      </w:r>
      <w:r w:rsidR="004A64EE" w:rsidRPr="00E4265B">
        <w:rPr>
          <w:rFonts w:ascii="Arial" w:hAnsi="Arial" w:cs="Arial"/>
          <w:sz w:val="22"/>
          <w:szCs w:val="22"/>
          <w:lang w:val="en-GB"/>
        </w:rPr>
        <w:t>2</w:t>
      </w:r>
      <w:r w:rsidR="00592544" w:rsidRPr="00E4265B">
        <w:rPr>
          <w:rFonts w:ascii="Arial" w:hAnsi="Arial" w:cs="Arial"/>
          <w:sz w:val="22"/>
          <w:szCs w:val="22"/>
          <w:lang w:val="en-GB"/>
        </w:rPr>
        <w:tab/>
      </w:r>
      <w:r w:rsidRPr="00E4265B">
        <w:rPr>
          <w:rFonts w:ascii="Arial" w:hAnsi="Arial" w:cs="Arial"/>
          <w:sz w:val="22"/>
          <w:szCs w:val="22"/>
          <w:lang w:val="en-GB"/>
        </w:rPr>
        <w:t>PUBLIC DISCLOSURE REQUIREMENTS</w:t>
      </w:r>
      <w:bookmarkEnd w:id="1017"/>
      <w:bookmarkEnd w:id="1018"/>
    </w:p>
    <w:p w14:paraId="0DC2D0F0" w14:textId="77777777" w:rsidR="00E22FF2" w:rsidRPr="00E4265B" w:rsidRDefault="00E22FF2" w:rsidP="004A64EE">
      <w:pPr>
        <w:pStyle w:val="TitleL"/>
        <w:jc w:val="center"/>
        <w:rPr>
          <w:rFonts w:ascii="Arial" w:hAnsi="Arial" w:cs="Arial"/>
          <w:sz w:val="22"/>
          <w:szCs w:val="22"/>
          <w:lang w:val="en-GB"/>
        </w:rPr>
      </w:pPr>
      <w:r w:rsidRPr="00E4265B">
        <w:rPr>
          <w:rFonts w:ascii="Arial" w:hAnsi="Arial" w:cs="Arial"/>
          <w:sz w:val="22"/>
          <w:szCs w:val="22"/>
          <w:lang w:val="en-GB"/>
        </w:rPr>
        <w:t>Table 1 – Scope of application</w:t>
      </w:r>
    </w:p>
    <w:tbl>
      <w:tblPr>
        <w:tblStyle w:val="TableGrid"/>
        <w:tblW w:w="0" w:type="auto"/>
        <w:tblLook w:val="04A0" w:firstRow="1" w:lastRow="0" w:firstColumn="1" w:lastColumn="0" w:noHBand="0" w:noVBand="1"/>
      </w:tblPr>
      <w:tblGrid>
        <w:gridCol w:w="2653"/>
        <w:gridCol w:w="623"/>
        <w:gridCol w:w="5741"/>
      </w:tblGrid>
      <w:tr w:rsidR="00E22FF2" w:rsidRPr="00E4265B" w14:paraId="67F18D45" w14:textId="77777777" w:rsidTr="00050198">
        <w:tc>
          <w:tcPr>
            <w:tcW w:w="2718" w:type="dxa"/>
            <w:vMerge w:val="restart"/>
          </w:tcPr>
          <w:p w14:paraId="05D63952" w14:textId="77777777" w:rsidR="00E22FF2" w:rsidRPr="00E4265B" w:rsidRDefault="00E22FF2" w:rsidP="002C7665">
            <w:pPr>
              <w:spacing w:after="240"/>
              <w:rPr>
                <w:rFonts w:ascii="Arial" w:hAnsi="Arial" w:cs="Arial"/>
                <w:sz w:val="22"/>
                <w:szCs w:val="22"/>
                <w:lang w:val="en-GB"/>
              </w:rPr>
            </w:pPr>
            <w:r w:rsidRPr="00E4265B">
              <w:rPr>
                <w:rFonts w:ascii="Arial" w:hAnsi="Arial" w:cs="Arial"/>
                <w:sz w:val="22"/>
                <w:szCs w:val="22"/>
                <w:lang w:val="en-GB"/>
              </w:rPr>
              <w:t>Qualitative Disclosures</w:t>
            </w:r>
          </w:p>
        </w:tc>
        <w:tc>
          <w:tcPr>
            <w:tcW w:w="630" w:type="dxa"/>
          </w:tcPr>
          <w:p w14:paraId="06619FC3" w14:textId="77777777" w:rsidR="00E22FF2" w:rsidRPr="00E4265B" w:rsidRDefault="00E22FF2" w:rsidP="002C7665">
            <w:pPr>
              <w:spacing w:after="240"/>
              <w:rPr>
                <w:rFonts w:ascii="Arial" w:hAnsi="Arial" w:cs="Arial"/>
                <w:sz w:val="22"/>
                <w:szCs w:val="22"/>
                <w:lang w:val="en-GB"/>
              </w:rPr>
            </w:pPr>
            <w:r w:rsidRPr="00E4265B">
              <w:rPr>
                <w:rFonts w:ascii="Arial" w:hAnsi="Arial" w:cs="Arial"/>
                <w:sz w:val="22"/>
                <w:szCs w:val="22"/>
                <w:lang w:val="en-GB"/>
              </w:rPr>
              <w:t>(a)</w:t>
            </w:r>
          </w:p>
        </w:tc>
        <w:tc>
          <w:tcPr>
            <w:tcW w:w="5895" w:type="dxa"/>
          </w:tcPr>
          <w:p w14:paraId="6A3AAC51" w14:textId="77777777" w:rsidR="00E22FF2" w:rsidRPr="00E4265B" w:rsidRDefault="00E22FF2" w:rsidP="00BC03B0">
            <w:pPr>
              <w:spacing w:after="240"/>
              <w:jc w:val="both"/>
              <w:rPr>
                <w:rFonts w:ascii="Arial" w:hAnsi="Arial" w:cs="Arial"/>
                <w:sz w:val="22"/>
                <w:szCs w:val="22"/>
                <w:lang w:val="en-GB"/>
              </w:rPr>
            </w:pPr>
            <w:r w:rsidRPr="00E4265B">
              <w:rPr>
                <w:rFonts w:ascii="Arial" w:hAnsi="Arial" w:cs="Arial"/>
                <w:sz w:val="22"/>
                <w:szCs w:val="22"/>
                <w:lang w:val="en-GB"/>
              </w:rPr>
              <w:t xml:space="preserve">The name of the </w:t>
            </w:r>
            <w:r w:rsidR="000D1A90" w:rsidRPr="00E4265B">
              <w:rPr>
                <w:rFonts w:ascii="Arial" w:hAnsi="Arial" w:cs="Arial"/>
                <w:sz w:val="22"/>
                <w:szCs w:val="22"/>
                <w:lang w:val="en-GB"/>
              </w:rPr>
              <w:t>Authorised Person</w:t>
            </w:r>
            <w:r w:rsidRPr="00E4265B">
              <w:rPr>
                <w:rFonts w:ascii="Arial" w:hAnsi="Arial" w:cs="Arial"/>
                <w:sz w:val="22"/>
                <w:szCs w:val="22"/>
                <w:lang w:val="en-GB"/>
              </w:rPr>
              <w:t>.</w:t>
            </w:r>
          </w:p>
        </w:tc>
      </w:tr>
      <w:tr w:rsidR="00E22FF2" w:rsidRPr="00E4265B" w14:paraId="1FD6F0FB" w14:textId="77777777" w:rsidTr="00093777">
        <w:tc>
          <w:tcPr>
            <w:tcW w:w="2718" w:type="dxa"/>
            <w:vMerge/>
          </w:tcPr>
          <w:p w14:paraId="38C574D9" w14:textId="77777777" w:rsidR="00E22FF2" w:rsidRPr="00E4265B" w:rsidRDefault="00E22FF2" w:rsidP="002C7665">
            <w:pPr>
              <w:spacing w:after="240"/>
              <w:rPr>
                <w:rFonts w:ascii="Arial" w:hAnsi="Arial" w:cs="Arial"/>
                <w:sz w:val="22"/>
                <w:szCs w:val="22"/>
                <w:lang w:val="en-GB"/>
              </w:rPr>
            </w:pPr>
          </w:p>
        </w:tc>
        <w:tc>
          <w:tcPr>
            <w:tcW w:w="630" w:type="dxa"/>
            <w:vMerge w:val="restart"/>
          </w:tcPr>
          <w:p w14:paraId="0A206813" w14:textId="77777777" w:rsidR="00E22FF2" w:rsidRPr="00E4265B" w:rsidRDefault="00E22FF2" w:rsidP="002C7665">
            <w:pPr>
              <w:spacing w:after="240"/>
              <w:rPr>
                <w:rFonts w:ascii="Arial" w:hAnsi="Arial" w:cs="Arial"/>
                <w:sz w:val="22"/>
                <w:szCs w:val="22"/>
                <w:lang w:val="en-GB"/>
              </w:rPr>
            </w:pPr>
            <w:r w:rsidRPr="00E4265B">
              <w:rPr>
                <w:rFonts w:ascii="Arial" w:hAnsi="Arial" w:cs="Arial"/>
                <w:sz w:val="22"/>
                <w:szCs w:val="22"/>
                <w:lang w:val="en-GB"/>
              </w:rPr>
              <w:t>(b)</w:t>
            </w:r>
          </w:p>
        </w:tc>
        <w:tc>
          <w:tcPr>
            <w:tcW w:w="5895" w:type="dxa"/>
            <w:tcBorders>
              <w:bottom w:val="nil"/>
            </w:tcBorders>
          </w:tcPr>
          <w:p w14:paraId="38834ABC" w14:textId="7162ECF4" w:rsidR="00E22FF2" w:rsidRPr="00E4265B" w:rsidRDefault="00E22FF2" w:rsidP="00864A68">
            <w:pPr>
              <w:spacing w:after="240"/>
              <w:jc w:val="both"/>
              <w:rPr>
                <w:rFonts w:ascii="Arial" w:hAnsi="Arial" w:cs="Arial"/>
                <w:sz w:val="22"/>
                <w:szCs w:val="22"/>
                <w:lang w:val="en-GB"/>
              </w:rPr>
            </w:pPr>
            <w:r w:rsidRPr="00E4265B">
              <w:rPr>
                <w:rFonts w:ascii="Arial" w:hAnsi="Arial" w:cs="Arial"/>
                <w:sz w:val="22"/>
                <w:szCs w:val="22"/>
                <w:lang w:val="en-GB"/>
              </w:rPr>
              <w:t xml:space="preserve">In the case of a Financial Group, a list of all the entities forming part of the Financial Group and a brief description of each of those entities. In addition, a description of differences in the basis of consolidation for regulatory purposes compared to that required under the International Financial Reporting Standards. </w:t>
            </w:r>
            <w:r w:rsidR="002C49CB" w:rsidRPr="00E4265B">
              <w:rPr>
                <w:rFonts w:ascii="Arial" w:hAnsi="Arial" w:cs="Arial"/>
                <w:sz w:val="22"/>
                <w:szCs w:val="22"/>
                <w:lang w:val="en-GB"/>
              </w:rPr>
              <w:t xml:space="preserve">The </w:t>
            </w:r>
            <w:r w:rsidRPr="00E4265B">
              <w:rPr>
                <w:rFonts w:ascii="Arial" w:hAnsi="Arial" w:cs="Arial"/>
                <w:sz w:val="22"/>
                <w:szCs w:val="22"/>
                <w:lang w:val="en-GB"/>
              </w:rPr>
              <w:t>description must include a brief description of the entities:</w:t>
            </w:r>
          </w:p>
        </w:tc>
      </w:tr>
      <w:tr w:rsidR="00E22FF2" w:rsidRPr="00E4265B" w14:paraId="02312DD1" w14:textId="77777777" w:rsidTr="00093777">
        <w:tc>
          <w:tcPr>
            <w:tcW w:w="2718" w:type="dxa"/>
            <w:vMerge/>
          </w:tcPr>
          <w:p w14:paraId="13E78921" w14:textId="77777777" w:rsidR="00E22FF2" w:rsidRPr="00E4265B" w:rsidRDefault="00E22FF2" w:rsidP="002C7665">
            <w:pPr>
              <w:spacing w:after="240"/>
              <w:rPr>
                <w:rFonts w:ascii="Arial" w:hAnsi="Arial" w:cs="Arial"/>
                <w:sz w:val="22"/>
                <w:szCs w:val="22"/>
                <w:lang w:val="en-GB"/>
              </w:rPr>
            </w:pPr>
          </w:p>
        </w:tc>
        <w:tc>
          <w:tcPr>
            <w:tcW w:w="630" w:type="dxa"/>
            <w:vMerge/>
          </w:tcPr>
          <w:p w14:paraId="34847674" w14:textId="77777777" w:rsidR="00E22FF2" w:rsidRPr="00E4265B" w:rsidRDefault="00E22FF2" w:rsidP="002C7665">
            <w:pPr>
              <w:spacing w:after="240"/>
              <w:rPr>
                <w:rFonts w:ascii="Arial" w:hAnsi="Arial" w:cs="Arial"/>
                <w:sz w:val="22"/>
                <w:szCs w:val="22"/>
                <w:lang w:val="en-GB"/>
              </w:rPr>
            </w:pPr>
          </w:p>
        </w:tc>
        <w:tc>
          <w:tcPr>
            <w:tcW w:w="5895" w:type="dxa"/>
            <w:tcBorders>
              <w:top w:val="nil"/>
              <w:bottom w:val="nil"/>
            </w:tcBorders>
          </w:tcPr>
          <w:p w14:paraId="58C11435" w14:textId="7B2948DE" w:rsidR="00E22FF2" w:rsidRPr="00E4265B" w:rsidRDefault="00E22FF2" w:rsidP="00864A68">
            <w:pPr>
              <w:tabs>
                <w:tab w:val="left" w:pos="679"/>
              </w:tabs>
              <w:spacing w:after="240"/>
              <w:ind w:left="702" w:hanging="702"/>
              <w:jc w:val="both"/>
              <w:rPr>
                <w:rFonts w:ascii="Arial" w:hAnsi="Arial" w:cs="Arial"/>
                <w:sz w:val="22"/>
                <w:szCs w:val="22"/>
                <w:lang w:val="en-GB"/>
              </w:rPr>
            </w:pPr>
            <w:r w:rsidRPr="00E4265B">
              <w:rPr>
                <w:rFonts w:ascii="Arial" w:hAnsi="Arial" w:cs="Arial"/>
                <w:sz w:val="22"/>
                <w:szCs w:val="22"/>
                <w:lang w:val="en-GB"/>
              </w:rPr>
              <w:t>(</w:t>
            </w:r>
            <w:r w:rsidR="004A64EE" w:rsidRPr="00E4265B">
              <w:rPr>
                <w:rFonts w:ascii="Arial" w:hAnsi="Arial" w:cs="Arial"/>
                <w:sz w:val="22"/>
                <w:szCs w:val="22"/>
                <w:lang w:val="en-GB"/>
              </w:rPr>
              <w:t>i</w:t>
            </w:r>
            <w:r w:rsidRPr="00E4265B">
              <w:rPr>
                <w:rFonts w:ascii="Arial" w:hAnsi="Arial" w:cs="Arial"/>
                <w:sz w:val="22"/>
                <w:szCs w:val="22"/>
                <w:lang w:val="en-GB"/>
              </w:rPr>
              <w:t>)</w:t>
            </w:r>
            <w:r w:rsidRPr="00E4265B">
              <w:rPr>
                <w:rFonts w:ascii="Arial" w:hAnsi="Arial" w:cs="Arial"/>
                <w:sz w:val="22"/>
                <w:szCs w:val="22"/>
                <w:lang w:val="en-GB"/>
              </w:rPr>
              <w:tab/>
              <w:t>that are fully consolidated;</w:t>
            </w:r>
          </w:p>
        </w:tc>
      </w:tr>
      <w:tr w:rsidR="00E22FF2" w:rsidRPr="00E4265B" w14:paraId="777FAEE0" w14:textId="77777777" w:rsidTr="00093777">
        <w:tc>
          <w:tcPr>
            <w:tcW w:w="2718" w:type="dxa"/>
            <w:vMerge/>
          </w:tcPr>
          <w:p w14:paraId="33B7685E" w14:textId="77777777" w:rsidR="00E22FF2" w:rsidRPr="00E4265B" w:rsidRDefault="00E22FF2" w:rsidP="002C7665">
            <w:pPr>
              <w:spacing w:after="240"/>
              <w:rPr>
                <w:rFonts w:ascii="Arial" w:hAnsi="Arial" w:cs="Arial"/>
                <w:sz w:val="22"/>
                <w:szCs w:val="22"/>
                <w:lang w:val="en-GB"/>
              </w:rPr>
            </w:pPr>
          </w:p>
        </w:tc>
        <w:tc>
          <w:tcPr>
            <w:tcW w:w="630" w:type="dxa"/>
            <w:vMerge/>
          </w:tcPr>
          <w:p w14:paraId="1E2BB5E5" w14:textId="77777777" w:rsidR="00E22FF2" w:rsidRPr="00E4265B" w:rsidRDefault="00E22FF2" w:rsidP="002C7665">
            <w:pPr>
              <w:spacing w:after="240"/>
              <w:rPr>
                <w:rFonts w:ascii="Arial" w:hAnsi="Arial" w:cs="Arial"/>
                <w:sz w:val="22"/>
                <w:szCs w:val="22"/>
                <w:lang w:val="en-GB"/>
              </w:rPr>
            </w:pPr>
          </w:p>
        </w:tc>
        <w:tc>
          <w:tcPr>
            <w:tcW w:w="5895" w:type="dxa"/>
            <w:tcBorders>
              <w:top w:val="nil"/>
              <w:bottom w:val="nil"/>
            </w:tcBorders>
          </w:tcPr>
          <w:p w14:paraId="0DEDD136" w14:textId="79DD7324" w:rsidR="00E22FF2" w:rsidRPr="00E4265B" w:rsidRDefault="00E22FF2" w:rsidP="00864A68">
            <w:pPr>
              <w:tabs>
                <w:tab w:val="left" w:pos="679"/>
              </w:tabs>
              <w:spacing w:after="240"/>
              <w:jc w:val="both"/>
              <w:rPr>
                <w:rFonts w:ascii="Arial" w:hAnsi="Arial" w:cs="Arial"/>
                <w:sz w:val="22"/>
                <w:szCs w:val="22"/>
                <w:lang w:val="en-GB"/>
              </w:rPr>
            </w:pPr>
            <w:r w:rsidRPr="00E4265B">
              <w:rPr>
                <w:rFonts w:ascii="Arial" w:hAnsi="Arial" w:cs="Arial"/>
                <w:sz w:val="22"/>
                <w:szCs w:val="22"/>
                <w:lang w:val="en-GB"/>
              </w:rPr>
              <w:t>(i</w:t>
            </w:r>
            <w:r w:rsidR="004A64EE" w:rsidRPr="00E4265B">
              <w:rPr>
                <w:rFonts w:ascii="Arial" w:hAnsi="Arial" w:cs="Arial"/>
                <w:sz w:val="22"/>
                <w:szCs w:val="22"/>
                <w:lang w:val="en-GB"/>
              </w:rPr>
              <w:t>i</w:t>
            </w:r>
            <w:r w:rsidRPr="00E4265B">
              <w:rPr>
                <w:rFonts w:ascii="Arial" w:hAnsi="Arial" w:cs="Arial"/>
                <w:sz w:val="22"/>
                <w:szCs w:val="22"/>
                <w:lang w:val="en-GB"/>
              </w:rPr>
              <w:t>)</w:t>
            </w:r>
            <w:r w:rsidRPr="00E4265B">
              <w:rPr>
                <w:rFonts w:ascii="Arial" w:hAnsi="Arial" w:cs="Arial"/>
                <w:sz w:val="22"/>
                <w:szCs w:val="22"/>
                <w:lang w:val="en-GB"/>
              </w:rPr>
              <w:tab/>
              <w:t>that are consolidated on a pro</w:t>
            </w:r>
            <w:r w:rsidRPr="00E4265B">
              <w:rPr>
                <w:rFonts w:ascii="Arial" w:hAnsi="Arial" w:cs="Arial"/>
                <w:sz w:val="22"/>
                <w:szCs w:val="22"/>
                <w:lang w:val="en-GB"/>
              </w:rPr>
              <w:noBreakHyphen/>
              <w:t>rata basis;</w:t>
            </w:r>
          </w:p>
        </w:tc>
      </w:tr>
      <w:tr w:rsidR="00E22FF2" w:rsidRPr="00E4265B" w14:paraId="20AD11AB" w14:textId="77777777" w:rsidTr="00093777">
        <w:tc>
          <w:tcPr>
            <w:tcW w:w="2718" w:type="dxa"/>
            <w:vMerge/>
          </w:tcPr>
          <w:p w14:paraId="7864B24B" w14:textId="77777777" w:rsidR="00E22FF2" w:rsidRPr="00E4265B" w:rsidRDefault="00E22FF2" w:rsidP="002C7665">
            <w:pPr>
              <w:spacing w:after="240"/>
              <w:rPr>
                <w:rFonts w:ascii="Arial" w:hAnsi="Arial" w:cs="Arial"/>
                <w:sz w:val="22"/>
                <w:szCs w:val="22"/>
                <w:lang w:val="en-GB"/>
              </w:rPr>
            </w:pPr>
          </w:p>
        </w:tc>
        <w:tc>
          <w:tcPr>
            <w:tcW w:w="630" w:type="dxa"/>
            <w:vMerge/>
          </w:tcPr>
          <w:p w14:paraId="4A18EF3E" w14:textId="77777777" w:rsidR="00E22FF2" w:rsidRPr="00E4265B" w:rsidRDefault="00E22FF2" w:rsidP="002C7665">
            <w:pPr>
              <w:spacing w:after="240"/>
              <w:rPr>
                <w:rFonts w:ascii="Arial" w:hAnsi="Arial" w:cs="Arial"/>
                <w:sz w:val="22"/>
                <w:szCs w:val="22"/>
                <w:lang w:val="en-GB"/>
              </w:rPr>
            </w:pPr>
          </w:p>
        </w:tc>
        <w:tc>
          <w:tcPr>
            <w:tcW w:w="5895" w:type="dxa"/>
            <w:tcBorders>
              <w:top w:val="nil"/>
              <w:bottom w:val="nil"/>
            </w:tcBorders>
          </w:tcPr>
          <w:p w14:paraId="399EEB13" w14:textId="77002982" w:rsidR="00E22FF2" w:rsidRPr="00E4265B" w:rsidRDefault="00864A68" w:rsidP="0019712D">
            <w:pPr>
              <w:pStyle w:val="ListParagraph"/>
              <w:numPr>
                <w:ilvl w:val="0"/>
                <w:numId w:val="65"/>
              </w:numPr>
              <w:tabs>
                <w:tab w:val="left" w:pos="679"/>
              </w:tabs>
              <w:spacing w:after="240"/>
              <w:ind w:left="763"/>
              <w:jc w:val="both"/>
              <w:rPr>
                <w:rFonts w:ascii="Arial" w:hAnsi="Arial" w:cs="Arial"/>
                <w:sz w:val="22"/>
                <w:szCs w:val="22"/>
                <w:lang w:val="en-GB"/>
              </w:rPr>
            </w:pPr>
            <w:r w:rsidRPr="00E4265B">
              <w:rPr>
                <w:rFonts w:ascii="Arial" w:hAnsi="Arial" w:cs="Arial"/>
                <w:sz w:val="22"/>
                <w:szCs w:val="22"/>
                <w:lang w:val="en-GB"/>
              </w:rPr>
              <w:t>that are equity</w:t>
            </w:r>
            <w:r w:rsidRPr="00E4265B">
              <w:rPr>
                <w:rFonts w:ascii="Arial" w:hAnsi="Arial" w:cs="Arial"/>
                <w:sz w:val="22"/>
                <w:szCs w:val="22"/>
                <w:lang w:val="en-GB"/>
              </w:rPr>
              <w:noBreakHyphen/>
              <w:t>accounted</w:t>
            </w:r>
          </w:p>
        </w:tc>
      </w:tr>
      <w:tr w:rsidR="00A97C20" w:rsidRPr="00E4265B" w14:paraId="79B4C04C" w14:textId="77777777" w:rsidTr="00093777">
        <w:tc>
          <w:tcPr>
            <w:tcW w:w="2718" w:type="dxa"/>
            <w:vMerge/>
          </w:tcPr>
          <w:p w14:paraId="15A3A86E" w14:textId="77777777" w:rsidR="00A97C20" w:rsidRPr="00E4265B" w:rsidRDefault="00A97C20" w:rsidP="002C7665">
            <w:pPr>
              <w:spacing w:after="240"/>
              <w:rPr>
                <w:rFonts w:ascii="Arial" w:hAnsi="Arial" w:cs="Arial"/>
                <w:sz w:val="22"/>
                <w:szCs w:val="22"/>
                <w:lang w:val="en-GB"/>
              </w:rPr>
            </w:pPr>
          </w:p>
        </w:tc>
        <w:tc>
          <w:tcPr>
            <w:tcW w:w="630" w:type="dxa"/>
            <w:vMerge/>
          </w:tcPr>
          <w:p w14:paraId="42813DF5" w14:textId="77777777" w:rsidR="00A97C20" w:rsidRPr="00E4265B" w:rsidRDefault="00A97C20" w:rsidP="002C7665">
            <w:pPr>
              <w:spacing w:after="240"/>
              <w:rPr>
                <w:rFonts w:ascii="Arial" w:hAnsi="Arial" w:cs="Arial"/>
                <w:sz w:val="22"/>
                <w:szCs w:val="22"/>
                <w:lang w:val="en-GB"/>
              </w:rPr>
            </w:pPr>
          </w:p>
        </w:tc>
        <w:tc>
          <w:tcPr>
            <w:tcW w:w="5895" w:type="dxa"/>
            <w:tcBorders>
              <w:top w:val="nil"/>
              <w:bottom w:val="nil"/>
            </w:tcBorders>
          </w:tcPr>
          <w:p w14:paraId="7332AA1B" w14:textId="6C3811A4" w:rsidR="00A97C20" w:rsidRPr="00E4265B" w:rsidRDefault="00A97C20" w:rsidP="0019712D">
            <w:pPr>
              <w:pStyle w:val="ListParagraph"/>
              <w:numPr>
                <w:ilvl w:val="0"/>
                <w:numId w:val="65"/>
              </w:numPr>
              <w:tabs>
                <w:tab w:val="left" w:pos="679"/>
              </w:tabs>
              <w:spacing w:after="240"/>
              <w:ind w:left="763"/>
              <w:jc w:val="both"/>
              <w:rPr>
                <w:rFonts w:ascii="Arial" w:hAnsi="Arial" w:cs="Arial"/>
                <w:sz w:val="22"/>
                <w:szCs w:val="22"/>
                <w:lang w:val="en-GB"/>
              </w:rPr>
            </w:pPr>
            <w:r w:rsidRPr="00E4265B">
              <w:rPr>
                <w:rFonts w:ascii="Arial" w:hAnsi="Arial" w:cs="Arial"/>
                <w:sz w:val="22"/>
                <w:szCs w:val="22"/>
                <w:lang w:val="en-GB"/>
              </w:rPr>
              <w:t>that are included as deductions from any of the components of Capital Resources;</w:t>
            </w:r>
          </w:p>
        </w:tc>
      </w:tr>
      <w:tr w:rsidR="00E22FF2" w:rsidRPr="00E4265B" w14:paraId="4FE26572" w14:textId="77777777" w:rsidTr="00093777">
        <w:tc>
          <w:tcPr>
            <w:tcW w:w="2718" w:type="dxa"/>
            <w:vMerge/>
          </w:tcPr>
          <w:p w14:paraId="2A8B97D4" w14:textId="77777777" w:rsidR="00E22FF2" w:rsidRPr="00E4265B" w:rsidRDefault="00E22FF2" w:rsidP="002C7665">
            <w:pPr>
              <w:spacing w:after="240"/>
              <w:rPr>
                <w:rFonts w:ascii="Arial" w:hAnsi="Arial" w:cs="Arial"/>
                <w:sz w:val="22"/>
                <w:szCs w:val="22"/>
                <w:lang w:val="en-GB"/>
              </w:rPr>
            </w:pPr>
          </w:p>
        </w:tc>
        <w:tc>
          <w:tcPr>
            <w:tcW w:w="630" w:type="dxa"/>
            <w:vMerge/>
          </w:tcPr>
          <w:p w14:paraId="484C572A" w14:textId="77777777" w:rsidR="00E22FF2" w:rsidRPr="00E4265B" w:rsidRDefault="00E22FF2" w:rsidP="002C7665">
            <w:pPr>
              <w:spacing w:after="240"/>
              <w:rPr>
                <w:rFonts w:ascii="Arial" w:hAnsi="Arial" w:cs="Arial"/>
                <w:sz w:val="22"/>
                <w:szCs w:val="22"/>
                <w:lang w:val="en-GB"/>
              </w:rPr>
            </w:pPr>
          </w:p>
        </w:tc>
        <w:tc>
          <w:tcPr>
            <w:tcW w:w="5895" w:type="dxa"/>
            <w:tcBorders>
              <w:top w:val="nil"/>
              <w:bottom w:val="nil"/>
            </w:tcBorders>
          </w:tcPr>
          <w:p w14:paraId="33B8B41C" w14:textId="3E09A6A2" w:rsidR="00E22FF2" w:rsidRPr="00E4265B" w:rsidRDefault="00E22FF2" w:rsidP="00A97C20">
            <w:pPr>
              <w:tabs>
                <w:tab w:val="left" w:pos="679"/>
              </w:tabs>
              <w:spacing w:after="240"/>
              <w:ind w:left="679" w:hanging="679"/>
              <w:jc w:val="both"/>
              <w:rPr>
                <w:rFonts w:ascii="Arial" w:hAnsi="Arial" w:cs="Arial"/>
                <w:sz w:val="22"/>
                <w:szCs w:val="22"/>
                <w:lang w:val="en-GB"/>
              </w:rPr>
            </w:pPr>
            <w:r w:rsidRPr="00E4265B">
              <w:rPr>
                <w:rFonts w:ascii="Arial" w:hAnsi="Arial" w:cs="Arial"/>
                <w:sz w:val="22"/>
                <w:szCs w:val="22"/>
                <w:lang w:val="en-GB"/>
              </w:rPr>
              <w:t>(v)</w:t>
            </w:r>
            <w:r w:rsidRPr="00E4265B">
              <w:rPr>
                <w:rFonts w:ascii="Arial" w:hAnsi="Arial" w:cs="Arial"/>
                <w:sz w:val="22"/>
                <w:szCs w:val="22"/>
                <w:lang w:val="en-GB"/>
              </w:rPr>
              <w:tab/>
              <w:t>from which surplus capital is recognised, if any; and</w:t>
            </w:r>
          </w:p>
        </w:tc>
      </w:tr>
      <w:tr w:rsidR="00E22FF2" w:rsidRPr="00E4265B" w14:paraId="168C571F" w14:textId="77777777" w:rsidTr="00093777">
        <w:tc>
          <w:tcPr>
            <w:tcW w:w="2718" w:type="dxa"/>
            <w:vMerge/>
          </w:tcPr>
          <w:p w14:paraId="3B5AA6FF" w14:textId="77777777" w:rsidR="00E22FF2" w:rsidRPr="00E4265B" w:rsidRDefault="00E22FF2" w:rsidP="002C7665">
            <w:pPr>
              <w:spacing w:after="240"/>
              <w:rPr>
                <w:rFonts w:ascii="Arial" w:hAnsi="Arial" w:cs="Arial"/>
                <w:sz w:val="22"/>
                <w:szCs w:val="22"/>
                <w:lang w:val="en-GB"/>
              </w:rPr>
            </w:pPr>
          </w:p>
        </w:tc>
        <w:tc>
          <w:tcPr>
            <w:tcW w:w="630" w:type="dxa"/>
            <w:vMerge/>
          </w:tcPr>
          <w:p w14:paraId="1FC563A6" w14:textId="77777777" w:rsidR="00E22FF2" w:rsidRPr="00E4265B" w:rsidRDefault="00E22FF2" w:rsidP="002C7665">
            <w:pPr>
              <w:spacing w:after="240"/>
              <w:rPr>
                <w:rFonts w:ascii="Arial" w:hAnsi="Arial" w:cs="Arial"/>
                <w:sz w:val="22"/>
                <w:szCs w:val="22"/>
                <w:lang w:val="en-GB"/>
              </w:rPr>
            </w:pPr>
          </w:p>
        </w:tc>
        <w:tc>
          <w:tcPr>
            <w:tcW w:w="5895" w:type="dxa"/>
            <w:tcBorders>
              <w:top w:val="nil"/>
            </w:tcBorders>
          </w:tcPr>
          <w:p w14:paraId="728C9711" w14:textId="134A579E" w:rsidR="00E22FF2" w:rsidRPr="00E4265B" w:rsidRDefault="00E22FF2" w:rsidP="00864A68">
            <w:pPr>
              <w:tabs>
                <w:tab w:val="left" w:pos="679"/>
              </w:tabs>
              <w:spacing w:after="240"/>
              <w:jc w:val="both"/>
              <w:rPr>
                <w:rFonts w:ascii="Arial" w:hAnsi="Arial" w:cs="Arial"/>
                <w:sz w:val="22"/>
                <w:szCs w:val="22"/>
                <w:lang w:val="en-GB"/>
              </w:rPr>
            </w:pPr>
            <w:r w:rsidRPr="00E4265B">
              <w:rPr>
                <w:rFonts w:ascii="Arial" w:hAnsi="Arial" w:cs="Arial"/>
                <w:sz w:val="22"/>
                <w:szCs w:val="22"/>
                <w:lang w:val="en-GB"/>
              </w:rPr>
              <w:t>(v</w:t>
            </w:r>
            <w:r w:rsidR="00A97C20" w:rsidRPr="00E4265B">
              <w:rPr>
                <w:rFonts w:ascii="Arial" w:hAnsi="Arial" w:cs="Arial"/>
                <w:sz w:val="22"/>
                <w:szCs w:val="22"/>
                <w:lang w:val="en-GB"/>
              </w:rPr>
              <w:t>i</w:t>
            </w:r>
            <w:r w:rsidRPr="00E4265B">
              <w:rPr>
                <w:rFonts w:ascii="Arial" w:hAnsi="Arial" w:cs="Arial"/>
                <w:sz w:val="22"/>
                <w:szCs w:val="22"/>
                <w:lang w:val="en-GB"/>
              </w:rPr>
              <w:t>)</w:t>
            </w:r>
            <w:r w:rsidRPr="00E4265B">
              <w:rPr>
                <w:rFonts w:ascii="Arial" w:hAnsi="Arial" w:cs="Arial"/>
                <w:sz w:val="22"/>
                <w:szCs w:val="22"/>
                <w:lang w:val="en-GB"/>
              </w:rPr>
              <w:tab/>
              <w:t>that are not consolidated and not deducted.</w:t>
            </w:r>
          </w:p>
        </w:tc>
      </w:tr>
      <w:tr w:rsidR="00E22FF2" w:rsidRPr="00E4265B" w14:paraId="236ECD3A" w14:textId="77777777" w:rsidTr="00050198">
        <w:tc>
          <w:tcPr>
            <w:tcW w:w="2718" w:type="dxa"/>
            <w:vMerge/>
          </w:tcPr>
          <w:p w14:paraId="20F70220" w14:textId="77777777" w:rsidR="00E22FF2" w:rsidRPr="00E4265B" w:rsidRDefault="00E22FF2" w:rsidP="002C7665">
            <w:pPr>
              <w:spacing w:after="240"/>
              <w:rPr>
                <w:rFonts w:ascii="Arial" w:hAnsi="Arial" w:cs="Arial"/>
                <w:sz w:val="22"/>
                <w:szCs w:val="22"/>
                <w:lang w:val="en-GB"/>
              </w:rPr>
            </w:pPr>
          </w:p>
        </w:tc>
        <w:tc>
          <w:tcPr>
            <w:tcW w:w="630" w:type="dxa"/>
          </w:tcPr>
          <w:p w14:paraId="3F195280" w14:textId="77777777" w:rsidR="00E22FF2" w:rsidRPr="00E4265B" w:rsidRDefault="00E22FF2" w:rsidP="002C7665">
            <w:pPr>
              <w:spacing w:after="240"/>
              <w:rPr>
                <w:rFonts w:ascii="Arial" w:hAnsi="Arial" w:cs="Arial"/>
                <w:sz w:val="22"/>
                <w:szCs w:val="22"/>
                <w:lang w:val="en-GB"/>
              </w:rPr>
            </w:pPr>
            <w:r w:rsidRPr="00E4265B">
              <w:rPr>
                <w:rFonts w:ascii="Arial" w:hAnsi="Arial" w:cs="Arial"/>
                <w:sz w:val="22"/>
                <w:szCs w:val="22"/>
                <w:lang w:val="en-GB"/>
              </w:rPr>
              <w:t>(c)</w:t>
            </w:r>
          </w:p>
        </w:tc>
        <w:tc>
          <w:tcPr>
            <w:tcW w:w="5895" w:type="dxa"/>
          </w:tcPr>
          <w:p w14:paraId="497EE047" w14:textId="77777777" w:rsidR="00E22FF2" w:rsidRPr="00E4265B" w:rsidRDefault="00E22FF2" w:rsidP="00BC03B0">
            <w:pPr>
              <w:spacing w:after="240"/>
              <w:jc w:val="both"/>
              <w:rPr>
                <w:rFonts w:ascii="Arial" w:hAnsi="Arial" w:cs="Arial"/>
                <w:sz w:val="22"/>
                <w:szCs w:val="22"/>
                <w:lang w:val="en-GB"/>
              </w:rPr>
            </w:pPr>
            <w:r w:rsidRPr="00E4265B">
              <w:rPr>
                <w:rFonts w:ascii="Arial" w:hAnsi="Arial" w:cs="Arial"/>
                <w:sz w:val="22"/>
                <w:szCs w:val="22"/>
                <w:lang w:val="en-GB"/>
              </w:rPr>
              <w:t>Any restrictions or impediments on transfer of funds or regulatory capital within the Financial Group.</w:t>
            </w:r>
          </w:p>
        </w:tc>
      </w:tr>
    </w:tbl>
    <w:p w14:paraId="6CC3DDD8" w14:textId="77777777" w:rsidR="00E22FF2" w:rsidRPr="00E4265B" w:rsidRDefault="00E22FF2" w:rsidP="00E672BE">
      <w:pPr>
        <w:rPr>
          <w:rFonts w:ascii="Arial" w:hAnsi="Arial" w:cs="Arial"/>
          <w:sz w:val="22"/>
          <w:szCs w:val="22"/>
          <w:lang w:val="en-GB"/>
        </w:rPr>
      </w:pPr>
    </w:p>
    <w:p w14:paraId="31229504" w14:textId="77777777" w:rsidR="00E22FF2" w:rsidRPr="00E4265B" w:rsidRDefault="00E22FF2" w:rsidP="004A64EE">
      <w:pPr>
        <w:pStyle w:val="TitleL"/>
        <w:jc w:val="center"/>
        <w:rPr>
          <w:rFonts w:ascii="Arial" w:hAnsi="Arial" w:cs="Arial"/>
          <w:sz w:val="22"/>
          <w:szCs w:val="22"/>
          <w:lang w:val="en-GB"/>
        </w:rPr>
      </w:pPr>
      <w:r w:rsidRPr="00E4265B">
        <w:rPr>
          <w:rFonts w:ascii="Arial" w:hAnsi="Arial" w:cs="Arial"/>
          <w:sz w:val="22"/>
          <w:szCs w:val="22"/>
          <w:lang w:val="en-GB"/>
        </w:rPr>
        <w:t>Table 2 – Capital</w:t>
      </w:r>
    </w:p>
    <w:tbl>
      <w:tblPr>
        <w:tblStyle w:val="TableGrid"/>
        <w:tblW w:w="5000" w:type="pct"/>
        <w:tblLook w:val="04A0" w:firstRow="1" w:lastRow="0" w:firstColumn="1" w:lastColumn="0" w:noHBand="0" w:noVBand="1"/>
      </w:tblPr>
      <w:tblGrid>
        <w:gridCol w:w="2651"/>
        <w:gridCol w:w="615"/>
        <w:gridCol w:w="5751"/>
      </w:tblGrid>
      <w:tr w:rsidR="00E22FF2" w:rsidRPr="00E4265B" w14:paraId="2EBC8BA6" w14:textId="77777777" w:rsidTr="00125218">
        <w:tc>
          <w:tcPr>
            <w:tcW w:w="1470" w:type="pct"/>
            <w:tcBorders>
              <w:bottom w:val="single" w:sz="4" w:space="0" w:color="auto"/>
            </w:tcBorders>
          </w:tcPr>
          <w:p w14:paraId="16BB8383" w14:textId="77777777" w:rsidR="00E22FF2" w:rsidRPr="00E4265B" w:rsidRDefault="00E22FF2" w:rsidP="002C7665">
            <w:pPr>
              <w:spacing w:after="240"/>
              <w:rPr>
                <w:rFonts w:ascii="Arial" w:hAnsi="Arial" w:cs="Arial"/>
                <w:sz w:val="22"/>
                <w:szCs w:val="22"/>
                <w:lang w:val="en-GB"/>
              </w:rPr>
            </w:pPr>
            <w:r w:rsidRPr="00E4265B">
              <w:rPr>
                <w:rFonts w:ascii="Arial" w:hAnsi="Arial" w:cs="Arial"/>
                <w:sz w:val="22"/>
                <w:szCs w:val="22"/>
                <w:lang w:val="en-GB"/>
              </w:rPr>
              <w:t>Qualitative Disclosures</w:t>
            </w:r>
          </w:p>
        </w:tc>
        <w:tc>
          <w:tcPr>
            <w:tcW w:w="341" w:type="pct"/>
          </w:tcPr>
          <w:p w14:paraId="32B0EFE3" w14:textId="77777777" w:rsidR="00E22FF2" w:rsidRPr="00E4265B" w:rsidRDefault="00E22FF2" w:rsidP="002C7665">
            <w:pPr>
              <w:spacing w:after="240"/>
              <w:rPr>
                <w:rFonts w:ascii="Arial" w:hAnsi="Arial" w:cs="Arial"/>
                <w:sz w:val="22"/>
                <w:szCs w:val="22"/>
                <w:lang w:val="en-GB"/>
              </w:rPr>
            </w:pPr>
            <w:r w:rsidRPr="00E4265B">
              <w:rPr>
                <w:rFonts w:ascii="Arial" w:hAnsi="Arial" w:cs="Arial"/>
                <w:sz w:val="22"/>
                <w:szCs w:val="22"/>
                <w:lang w:val="en-GB"/>
              </w:rPr>
              <w:t>(a)</w:t>
            </w:r>
          </w:p>
        </w:tc>
        <w:tc>
          <w:tcPr>
            <w:tcW w:w="3189" w:type="pct"/>
          </w:tcPr>
          <w:p w14:paraId="48EFB340" w14:textId="77777777" w:rsidR="00E22FF2" w:rsidRPr="00E4265B" w:rsidRDefault="00E22FF2" w:rsidP="00BC03B0">
            <w:pPr>
              <w:spacing w:after="240"/>
              <w:jc w:val="both"/>
              <w:rPr>
                <w:rFonts w:ascii="Arial" w:hAnsi="Arial" w:cs="Arial"/>
                <w:sz w:val="22"/>
                <w:szCs w:val="22"/>
                <w:lang w:val="en-GB"/>
              </w:rPr>
            </w:pPr>
            <w:r w:rsidRPr="00E4265B">
              <w:rPr>
                <w:rFonts w:ascii="Arial" w:hAnsi="Arial" w:cs="Arial"/>
                <w:sz w:val="22"/>
                <w:szCs w:val="22"/>
                <w:lang w:val="en-GB"/>
              </w:rPr>
              <w:t>A description of the terms and conditions and main features of all capital instruments included within every component of Capital Resources – CET 1 Capital, AT1 Capital and T2 Capital.</w:t>
            </w:r>
          </w:p>
        </w:tc>
      </w:tr>
      <w:tr w:rsidR="00E22FF2" w:rsidRPr="00E4265B" w14:paraId="14DF2DC9" w14:textId="77777777" w:rsidTr="00125218">
        <w:tc>
          <w:tcPr>
            <w:tcW w:w="1470" w:type="pct"/>
            <w:vMerge w:val="restart"/>
            <w:tcBorders>
              <w:bottom w:val="single" w:sz="4" w:space="0" w:color="auto"/>
            </w:tcBorders>
          </w:tcPr>
          <w:p w14:paraId="12461A47" w14:textId="77777777" w:rsidR="00E22FF2" w:rsidRPr="00E4265B" w:rsidRDefault="00E22FF2" w:rsidP="002C7665">
            <w:pPr>
              <w:spacing w:after="240"/>
              <w:rPr>
                <w:rFonts w:ascii="Arial" w:hAnsi="Arial" w:cs="Arial"/>
                <w:sz w:val="22"/>
                <w:szCs w:val="22"/>
                <w:lang w:val="en-GB"/>
              </w:rPr>
            </w:pPr>
            <w:r w:rsidRPr="00E4265B">
              <w:rPr>
                <w:rFonts w:ascii="Arial" w:hAnsi="Arial" w:cs="Arial"/>
                <w:sz w:val="22"/>
                <w:szCs w:val="22"/>
                <w:lang w:val="en-GB"/>
              </w:rPr>
              <w:t>Quantitative Disclosures</w:t>
            </w:r>
          </w:p>
        </w:tc>
        <w:tc>
          <w:tcPr>
            <w:tcW w:w="341" w:type="pct"/>
            <w:vMerge w:val="restart"/>
          </w:tcPr>
          <w:p w14:paraId="266AC766" w14:textId="77777777" w:rsidR="00E22FF2" w:rsidRPr="00E4265B" w:rsidRDefault="00E22FF2" w:rsidP="002C7665">
            <w:pPr>
              <w:spacing w:after="240"/>
              <w:rPr>
                <w:rFonts w:ascii="Arial" w:hAnsi="Arial" w:cs="Arial"/>
                <w:sz w:val="22"/>
                <w:szCs w:val="22"/>
                <w:lang w:val="en-GB"/>
              </w:rPr>
            </w:pPr>
            <w:r w:rsidRPr="00E4265B">
              <w:rPr>
                <w:rFonts w:ascii="Arial" w:hAnsi="Arial" w:cs="Arial"/>
                <w:sz w:val="22"/>
                <w:szCs w:val="22"/>
                <w:lang w:val="en-GB"/>
              </w:rPr>
              <w:t>(b)</w:t>
            </w:r>
          </w:p>
        </w:tc>
        <w:tc>
          <w:tcPr>
            <w:tcW w:w="3189" w:type="pct"/>
            <w:tcBorders>
              <w:bottom w:val="nil"/>
            </w:tcBorders>
          </w:tcPr>
          <w:p w14:paraId="697050F8" w14:textId="77777777" w:rsidR="00E22FF2" w:rsidRPr="00E4265B" w:rsidRDefault="00E22FF2" w:rsidP="00BC03B0">
            <w:pPr>
              <w:tabs>
                <w:tab w:val="left" w:pos="704"/>
              </w:tabs>
              <w:spacing w:after="240"/>
              <w:ind w:left="702" w:hanging="702"/>
              <w:jc w:val="both"/>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Amounts of every element eligible for inclusion in CET1 Capital;</w:t>
            </w:r>
          </w:p>
        </w:tc>
      </w:tr>
      <w:tr w:rsidR="00E22FF2" w:rsidRPr="00E4265B" w14:paraId="379AFC20" w14:textId="77777777" w:rsidTr="00125218">
        <w:tc>
          <w:tcPr>
            <w:tcW w:w="1470" w:type="pct"/>
            <w:vMerge/>
            <w:tcBorders>
              <w:bottom w:val="single" w:sz="4" w:space="0" w:color="auto"/>
            </w:tcBorders>
          </w:tcPr>
          <w:p w14:paraId="50EC3CE1" w14:textId="77777777" w:rsidR="00E22FF2" w:rsidRPr="00E4265B" w:rsidRDefault="00E22FF2" w:rsidP="002C7665">
            <w:pPr>
              <w:spacing w:after="240"/>
              <w:rPr>
                <w:rFonts w:ascii="Arial" w:hAnsi="Arial" w:cs="Arial"/>
                <w:sz w:val="22"/>
                <w:szCs w:val="22"/>
                <w:lang w:val="en-GB"/>
              </w:rPr>
            </w:pPr>
          </w:p>
        </w:tc>
        <w:tc>
          <w:tcPr>
            <w:tcW w:w="341" w:type="pct"/>
            <w:vMerge/>
          </w:tcPr>
          <w:p w14:paraId="11E85ACF" w14:textId="77777777" w:rsidR="00E22FF2" w:rsidRPr="00E4265B" w:rsidRDefault="00E22FF2" w:rsidP="002C7665">
            <w:pPr>
              <w:spacing w:after="240"/>
              <w:rPr>
                <w:rFonts w:ascii="Arial" w:hAnsi="Arial" w:cs="Arial"/>
                <w:sz w:val="22"/>
                <w:szCs w:val="22"/>
                <w:lang w:val="en-GB"/>
              </w:rPr>
            </w:pPr>
          </w:p>
        </w:tc>
        <w:tc>
          <w:tcPr>
            <w:tcW w:w="3189" w:type="pct"/>
            <w:tcBorders>
              <w:top w:val="nil"/>
              <w:bottom w:val="nil"/>
            </w:tcBorders>
          </w:tcPr>
          <w:p w14:paraId="19F06D3A" w14:textId="77777777" w:rsidR="00E22FF2" w:rsidRPr="00E4265B" w:rsidRDefault="00E22FF2" w:rsidP="00BC03B0">
            <w:pPr>
              <w:tabs>
                <w:tab w:val="left" w:pos="704"/>
              </w:tabs>
              <w:spacing w:after="240"/>
              <w:jc w:val="both"/>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Regulatory adjustments to CET1 Capital;</w:t>
            </w:r>
          </w:p>
        </w:tc>
      </w:tr>
      <w:tr w:rsidR="00E22FF2" w:rsidRPr="00E4265B" w14:paraId="7B70A5FB" w14:textId="77777777" w:rsidTr="00125218">
        <w:tc>
          <w:tcPr>
            <w:tcW w:w="1470" w:type="pct"/>
            <w:vMerge/>
            <w:tcBorders>
              <w:bottom w:val="single" w:sz="4" w:space="0" w:color="auto"/>
            </w:tcBorders>
          </w:tcPr>
          <w:p w14:paraId="4FC717FD" w14:textId="77777777" w:rsidR="00E22FF2" w:rsidRPr="00E4265B" w:rsidRDefault="00E22FF2" w:rsidP="002C7665">
            <w:pPr>
              <w:spacing w:after="240"/>
              <w:rPr>
                <w:rFonts w:ascii="Arial" w:hAnsi="Arial" w:cs="Arial"/>
                <w:sz w:val="22"/>
                <w:szCs w:val="22"/>
                <w:lang w:val="en-GB"/>
              </w:rPr>
            </w:pPr>
          </w:p>
        </w:tc>
        <w:tc>
          <w:tcPr>
            <w:tcW w:w="341" w:type="pct"/>
            <w:vMerge/>
          </w:tcPr>
          <w:p w14:paraId="23F01FE0" w14:textId="77777777" w:rsidR="00E22FF2" w:rsidRPr="00E4265B" w:rsidRDefault="00E22FF2" w:rsidP="002C7665">
            <w:pPr>
              <w:spacing w:after="240"/>
              <w:rPr>
                <w:rFonts w:ascii="Arial" w:hAnsi="Arial" w:cs="Arial"/>
                <w:sz w:val="22"/>
                <w:szCs w:val="22"/>
                <w:lang w:val="en-GB"/>
              </w:rPr>
            </w:pPr>
          </w:p>
        </w:tc>
        <w:tc>
          <w:tcPr>
            <w:tcW w:w="3189" w:type="pct"/>
            <w:tcBorders>
              <w:top w:val="nil"/>
              <w:bottom w:val="nil"/>
            </w:tcBorders>
          </w:tcPr>
          <w:p w14:paraId="4E039B7B" w14:textId="77777777" w:rsidR="00E22FF2" w:rsidRPr="00E4265B" w:rsidRDefault="00E22FF2" w:rsidP="00BC03B0">
            <w:pPr>
              <w:tabs>
                <w:tab w:val="left" w:pos="704"/>
              </w:tabs>
              <w:spacing w:after="240"/>
              <w:jc w:val="both"/>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Deductions from CET1 Capital; and</w:t>
            </w:r>
          </w:p>
        </w:tc>
      </w:tr>
      <w:tr w:rsidR="00E22FF2" w:rsidRPr="00E4265B" w14:paraId="6F576534" w14:textId="77777777" w:rsidTr="00125218">
        <w:tc>
          <w:tcPr>
            <w:tcW w:w="1470" w:type="pct"/>
            <w:vMerge/>
            <w:tcBorders>
              <w:bottom w:val="single" w:sz="4" w:space="0" w:color="auto"/>
            </w:tcBorders>
          </w:tcPr>
          <w:p w14:paraId="2B9C8865" w14:textId="77777777" w:rsidR="00E22FF2" w:rsidRPr="00E4265B" w:rsidRDefault="00E22FF2" w:rsidP="002C7665">
            <w:pPr>
              <w:spacing w:after="240"/>
              <w:rPr>
                <w:rFonts w:ascii="Arial" w:hAnsi="Arial" w:cs="Arial"/>
                <w:sz w:val="22"/>
                <w:szCs w:val="22"/>
                <w:lang w:val="en-GB"/>
              </w:rPr>
            </w:pPr>
          </w:p>
        </w:tc>
        <w:tc>
          <w:tcPr>
            <w:tcW w:w="341" w:type="pct"/>
            <w:vMerge/>
          </w:tcPr>
          <w:p w14:paraId="2F29480F" w14:textId="77777777" w:rsidR="00E22FF2" w:rsidRPr="00E4265B" w:rsidRDefault="00E22FF2" w:rsidP="002C7665">
            <w:pPr>
              <w:spacing w:after="240"/>
              <w:rPr>
                <w:rFonts w:ascii="Arial" w:hAnsi="Arial" w:cs="Arial"/>
                <w:sz w:val="22"/>
                <w:szCs w:val="22"/>
                <w:lang w:val="en-GB"/>
              </w:rPr>
            </w:pPr>
          </w:p>
        </w:tc>
        <w:tc>
          <w:tcPr>
            <w:tcW w:w="3189" w:type="pct"/>
            <w:tcBorders>
              <w:top w:val="nil"/>
              <w:bottom w:val="single" w:sz="4" w:space="0" w:color="auto"/>
            </w:tcBorders>
          </w:tcPr>
          <w:p w14:paraId="5DBE3838" w14:textId="77777777" w:rsidR="00E22FF2" w:rsidRPr="00E4265B" w:rsidRDefault="00E22FF2" w:rsidP="00BC03B0">
            <w:pPr>
              <w:tabs>
                <w:tab w:val="left" w:pos="704"/>
              </w:tabs>
              <w:spacing w:after="240"/>
              <w:jc w:val="both"/>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Amount of total CET1 Capital.</w:t>
            </w:r>
          </w:p>
          <w:p w14:paraId="657FB533" w14:textId="77777777" w:rsidR="004A64EE" w:rsidRPr="00E4265B" w:rsidRDefault="004A64EE" w:rsidP="00BC03B0">
            <w:pPr>
              <w:tabs>
                <w:tab w:val="left" w:pos="704"/>
              </w:tabs>
              <w:spacing w:after="240"/>
              <w:jc w:val="both"/>
              <w:rPr>
                <w:rFonts w:ascii="Arial" w:hAnsi="Arial" w:cs="Arial"/>
                <w:sz w:val="22"/>
                <w:szCs w:val="22"/>
                <w:lang w:val="en-GB"/>
              </w:rPr>
            </w:pPr>
          </w:p>
        </w:tc>
      </w:tr>
      <w:tr w:rsidR="00E22FF2" w:rsidRPr="00E4265B" w14:paraId="0D5D1FAD" w14:textId="77777777" w:rsidTr="00125218">
        <w:tc>
          <w:tcPr>
            <w:tcW w:w="1470" w:type="pct"/>
            <w:vMerge/>
            <w:tcBorders>
              <w:bottom w:val="single" w:sz="4" w:space="0" w:color="auto"/>
            </w:tcBorders>
          </w:tcPr>
          <w:p w14:paraId="06D26984" w14:textId="77777777" w:rsidR="00E22FF2" w:rsidRPr="00E4265B" w:rsidRDefault="00E22FF2" w:rsidP="002C7665">
            <w:pPr>
              <w:spacing w:after="240"/>
              <w:rPr>
                <w:rFonts w:ascii="Arial" w:hAnsi="Arial" w:cs="Arial"/>
                <w:sz w:val="22"/>
                <w:szCs w:val="22"/>
                <w:lang w:val="en-GB"/>
              </w:rPr>
            </w:pPr>
          </w:p>
        </w:tc>
        <w:tc>
          <w:tcPr>
            <w:tcW w:w="341" w:type="pct"/>
            <w:vMerge w:val="restart"/>
          </w:tcPr>
          <w:p w14:paraId="5126968A" w14:textId="77777777" w:rsidR="00E22FF2" w:rsidRPr="00E4265B" w:rsidRDefault="00E22FF2" w:rsidP="002C7665">
            <w:pPr>
              <w:spacing w:after="240"/>
              <w:rPr>
                <w:rFonts w:ascii="Arial" w:hAnsi="Arial" w:cs="Arial"/>
                <w:sz w:val="22"/>
                <w:szCs w:val="22"/>
                <w:lang w:val="en-GB"/>
              </w:rPr>
            </w:pPr>
            <w:r w:rsidRPr="00E4265B">
              <w:rPr>
                <w:rFonts w:ascii="Arial" w:hAnsi="Arial" w:cs="Arial"/>
                <w:sz w:val="22"/>
                <w:szCs w:val="22"/>
                <w:lang w:val="en-GB"/>
              </w:rPr>
              <w:t>(c)</w:t>
            </w:r>
          </w:p>
        </w:tc>
        <w:tc>
          <w:tcPr>
            <w:tcW w:w="3189" w:type="pct"/>
            <w:tcBorders>
              <w:bottom w:val="single" w:sz="4" w:space="0" w:color="auto"/>
            </w:tcBorders>
          </w:tcPr>
          <w:p w14:paraId="5069FEB4" w14:textId="77777777" w:rsidR="00E22FF2" w:rsidRPr="00E4265B" w:rsidRDefault="00E22FF2" w:rsidP="00BC03B0">
            <w:pPr>
              <w:tabs>
                <w:tab w:val="left" w:pos="704"/>
              </w:tabs>
              <w:spacing w:after="240"/>
              <w:ind w:left="702" w:hanging="702"/>
              <w:jc w:val="both"/>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Amounts of every element eligible for inclusion in AT1 Capital; </w:t>
            </w:r>
          </w:p>
        </w:tc>
      </w:tr>
      <w:tr w:rsidR="00E22FF2" w:rsidRPr="00E4265B" w14:paraId="0564FE9A" w14:textId="77777777" w:rsidTr="00125218">
        <w:tc>
          <w:tcPr>
            <w:tcW w:w="1470" w:type="pct"/>
            <w:vMerge/>
            <w:tcBorders>
              <w:bottom w:val="single" w:sz="4" w:space="0" w:color="auto"/>
            </w:tcBorders>
          </w:tcPr>
          <w:p w14:paraId="4894F2FC" w14:textId="77777777" w:rsidR="00E22FF2" w:rsidRPr="00E4265B" w:rsidRDefault="00E22FF2" w:rsidP="002C7665">
            <w:pPr>
              <w:spacing w:after="240"/>
              <w:rPr>
                <w:rFonts w:ascii="Arial" w:hAnsi="Arial" w:cs="Arial"/>
                <w:sz w:val="22"/>
                <w:szCs w:val="22"/>
                <w:lang w:val="en-GB"/>
              </w:rPr>
            </w:pPr>
          </w:p>
        </w:tc>
        <w:tc>
          <w:tcPr>
            <w:tcW w:w="341" w:type="pct"/>
            <w:vMerge/>
          </w:tcPr>
          <w:p w14:paraId="153A7DCC" w14:textId="77777777" w:rsidR="00E22FF2" w:rsidRPr="00E4265B" w:rsidRDefault="00E22FF2" w:rsidP="002C7665">
            <w:pPr>
              <w:spacing w:after="240"/>
              <w:rPr>
                <w:rFonts w:ascii="Arial" w:hAnsi="Arial" w:cs="Arial"/>
                <w:sz w:val="22"/>
                <w:szCs w:val="22"/>
                <w:lang w:val="en-GB"/>
              </w:rPr>
            </w:pPr>
          </w:p>
        </w:tc>
        <w:tc>
          <w:tcPr>
            <w:tcW w:w="3189" w:type="pct"/>
            <w:tcBorders>
              <w:top w:val="single" w:sz="4" w:space="0" w:color="auto"/>
              <w:bottom w:val="nil"/>
            </w:tcBorders>
          </w:tcPr>
          <w:p w14:paraId="7FF8C330" w14:textId="77777777" w:rsidR="00E22FF2" w:rsidRPr="00E4265B" w:rsidRDefault="00E22FF2" w:rsidP="00BC03B0">
            <w:pPr>
              <w:tabs>
                <w:tab w:val="left" w:pos="704"/>
              </w:tabs>
              <w:spacing w:after="240"/>
              <w:jc w:val="both"/>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Regulatory adjustments to AT1 Capital;</w:t>
            </w:r>
          </w:p>
        </w:tc>
      </w:tr>
      <w:tr w:rsidR="00E22FF2" w:rsidRPr="00E4265B" w14:paraId="7FE5ED58" w14:textId="77777777" w:rsidTr="00125218">
        <w:tc>
          <w:tcPr>
            <w:tcW w:w="1470" w:type="pct"/>
            <w:vMerge/>
            <w:tcBorders>
              <w:bottom w:val="single" w:sz="4" w:space="0" w:color="auto"/>
            </w:tcBorders>
          </w:tcPr>
          <w:p w14:paraId="0E881EA8" w14:textId="77777777" w:rsidR="00E22FF2" w:rsidRPr="00E4265B" w:rsidRDefault="00E22FF2" w:rsidP="002C7665">
            <w:pPr>
              <w:spacing w:after="240"/>
              <w:rPr>
                <w:rFonts w:ascii="Arial" w:hAnsi="Arial" w:cs="Arial"/>
                <w:sz w:val="22"/>
                <w:szCs w:val="22"/>
                <w:lang w:val="en-GB"/>
              </w:rPr>
            </w:pPr>
          </w:p>
        </w:tc>
        <w:tc>
          <w:tcPr>
            <w:tcW w:w="341" w:type="pct"/>
            <w:vMerge/>
          </w:tcPr>
          <w:p w14:paraId="170CDC2A" w14:textId="77777777" w:rsidR="00E22FF2" w:rsidRPr="00E4265B" w:rsidRDefault="00E22FF2" w:rsidP="002C7665">
            <w:pPr>
              <w:spacing w:after="240"/>
              <w:rPr>
                <w:rFonts w:ascii="Arial" w:hAnsi="Arial" w:cs="Arial"/>
                <w:sz w:val="22"/>
                <w:szCs w:val="22"/>
                <w:lang w:val="en-GB"/>
              </w:rPr>
            </w:pPr>
          </w:p>
        </w:tc>
        <w:tc>
          <w:tcPr>
            <w:tcW w:w="3189" w:type="pct"/>
            <w:tcBorders>
              <w:top w:val="nil"/>
              <w:bottom w:val="nil"/>
            </w:tcBorders>
          </w:tcPr>
          <w:p w14:paraId="6366F585" w14:textId="77777777" w:rsidR="00E22FF2" w:rsidRPr="00E4265B" w:rsidRDefault="00E22FF2" w:rsidP="00BC03B0">
            <w:pPr>
              <w:tabs>
                <w:tab w:val="left" w:pos="704"/>
              </w:tabs>
              <w:spacing w:after="240"/>
              <w:jc w:val="both"/>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Deductions from AT1 Capital; and</w:t>
            </w:r>
          </w:p>
        </w:tc>
      </w:tr>
      <w:tr w:rsidR="00E22FF2" w:rsidRPr="00E4265B" w14:paraId="67996178" w14:textId="77777777" w:rsidTr="00125218">
        <w:tc>
          <w:tcPr>
            <w:tcW w:w="1470" w:type="pct"/>
            <w:vMerge/>
            <w:tcBorders>
              <w:bottom w:val="single" w:sz="4" w:space="0" w:color="auto"/>
            </w:tcBorders>
          </w:tcPr>
          <w:p w14:paraId="32CF36BD" w14:textId="77777777" w:rsidR="00E22FF2" w:rsidRPr="00E4265B" w:rsidRDefault="00E22FF2" w:rsidP="002C7665">
            <w:pPr>
              <w:spacing w:after="240"/>
              <w:rPr>
                <w:rFonts w:ascii="Arial" w:hAnsi="Arial" w:cs="Arial"/>
                <w:sz w:val="22"/>
                <w:szCs w:val="22"/>
                <w:lang w:val="en-GB"/>
              </w:rPr>
            </w:pPr>
          </w:p>
        </w:tc>
        <w:tc>
          <w:tcPr>
            <w:tcW w:w="341" w:type="pct"/>
            <w:vMerge/>
          </w:tcPr>
          <w:p w14:paraId="5273CE8B" w14:textId="77777777" w:rsidR="00E22FF2" w:rsidRPr="00E4265B" w:rsidRDefault="00E22FF2" w:rsidP="002C7665">
            <w:pPr>
              <w:spacing w:after="240"/>
              <w:rPr>
                <w:rFonts w:ascii="Arial" w:hAnsi="Arial" w:cs="Arial"/>
                <w:sz w:val="22"/>
                <w:szCs w:val="22"/>
                <w:lang w:val="en-GB"/>
              </w:rPr>
            </w:pPr>
          </w:p>
        </w:tc>
        <w:tc>
          <w:tcPr>
            <w:tcW w:w="3189" w:type="pct"/>
            <w:tcBorders>
              <w:top w:val="nil"/>
            </w:tcBorders>
          </w:tcPr>
          <w:p w14:paraId="3FC79B30" w14:textId="77777777" w:rsidR="00E22FF2" w:rsidRPr="00E4265B" w:rsidRDefault="00E22FF2" w:rsidP="00BC03B0">
            <w:pPr>
              <w:tabs>
                <w:tab w:val="left" w:pos="704"/>
              </w:tabs>
              <w:spacing w:after="240"/>
              <w:jc w:val="both"/>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Amount of total AT1 Capital.</w:t>
            </w:r>
          </w:p>
        </w:tc>
      </w:tr>
      <w:tr w:rsidR="00E22FF2" w:rsidRPr="00E4265B" w14:paraId="788A6E29" w14:textId="77777777" w:rsidTr="00125218">
        <w:tc>
          <w:tcPr>
            <w:tcW w:w="1470" w:type="pct"/>
            <w:vMerge/>
            <w:tcBorders>
              <w:bottom w:val="single" w:sz="4" w:space="0" w:color="auto"/>
            </w:tcBorders>
          </w:tcPr>
          <w:p w14:paraId="023D1B0E" w14:textId="77777777" w:rsidR="00E22FF2" w:rsidRPr="00E4265B" w:rsidRDefault="00E22FF2" w:rsidP="002C7665">
            <w:pPr>
              <w:spacing w:after="240"/>
              <w:rPr>
                <w:rFonts w:ascii="Arial" w:hAnsi="Arial" w:cs="Arial"/>
                <w:sz w:val="22"/>
                <w:szCs w:val="22"/>
                <w:lang w:val="en-GB"/>
              </w:rPr>
            </w:pPr>
          </w:p>
        </w:tc>
        <w:tc>
          <w:tcPr>
            <w:tcW w:w="341" w:type="pct"/>
            <w:vMerge w:val="restart"/>
          </w:tcPr>
          <w:p w14:paraId="7D438F1F" w14:textId="77777777" w:rsidR="00E22FF2" w:rsidRPr="00E4265B" w:rsidRDefault="00E22FF2" w:rsidP="002C7665">
            <w:pPr>
              <w:spacing w:after="240"/>
              <w:rPr>
                <w:rFonts w:ascii="Arial" w:hAnsi="Arial" w:cs="Arial"/>
                <w:sz w:val="22"/>
                <w:szCs w:val="22"/>
                <w:lang w:val="en-GB"/>
              </w:rPr>
            </w:pPr>
            <w:r w:rsidRPr="00E4265B">
              <w:rPr>
                <w:rFonts w:ascii="Arial" w:hAnsi="Arial" w:cs="Arial"/>
                <w:sz w:val="22"/>
                <w:szCs w:val="22"/>
                <w:lang w:val="en-GB"/>
              </w:rPr>
              <w:t>(d)</w:t>
            </w:r>
          </w:p>
        </w:tc>
        <w:tc>
          <w:tcPr>
            <w:tcW w:w="3189" w:type="pct"/>
            <w:tcBorders>
              <w:bottom w:val="nil"/>
            </w:tcBorders>
          </w:tcPr>
          <w:p w14:paraId="23D68A75" w14:textId="77777777" w:rsidR="00E22FF2" w:rsidRPr="00E4265B" w:rsidRDefault="00E22FF2" w:rsidP="00BC03B0">
            <w:pPr>
              <w:tabs>
                <w:tab w:val="left" w:pos="704"/>
              </w:tabs>
              <w:spacing w:after="240"/>
              <w:ind w:left="702" w:hanging="702"/>
              <w:jc w:val="both"/>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Amounts of every element eligible for inclusion in T2 Capital;</w:t>
            </w:r>
          </w:p>
        </w:tc>
      </w:tr>
      <w:tr w:rsidR="00E22FF2" w:rsidRPr="00E4265B" w14:paraId="6E4070F8" w14:textId="77777777" w:rsidTr="00125218">
        <w:tc>
          <w:tcPr>
            <w:tcW w:w="1470" w:type="pct"/>
            <w:vMerge/>
            <w:tcBorders>
              <w:bottom w:val="single" w:sz="4" w:space="0" w:color="auto"/>
            </w:tcBorders>
          </w:tcPr>
          <w:p w14:paraId="71B11BEB" w14:textId="77777777" w:rsidR="00E22FF2" w:rsidRPr="00E4265B" w:rsidRDefault="00E22FF2" w:rsidP="002C7665">
            <w:pPr>
              <w:spacing w:after="240"/>
              <w:rPr>
                <w:rFonts w:ascii="Arial" w:hAnsi="Arial" w:cs="Arial"/>
                <w:sz w:val="22"/>
                <w:szCs w:val="22"/>
                <w:lang w:val="en-GB"/>
              </w:rPr>
            </w:pPr>
          </w:p>
        </w:tc>
        <w:tc>
          <w:tcPr>
            <w:tcW w:w="341" w:type="pct"/>
            <w:vMerge/>
          </w:tcPr>
          <w:p w14:paraId="3288FE7B" w14:textId="77777777" w:rsidR="00E22FF2" w:rsidRPr="00E4265B" w:rsidRDefault="00E22FF2" w:rsidP="002C7665">
            <w:pPr>
              <w:spacing w:after="240"/>
              <w:rPr>
                <w:rFonts w:ascii="Arial" w:hAnsi="Arial" w:cs="Arial"/>
                <w:sz w:val="22"/>
                <w:szCs w:val="22"/>
                <w:lang w:val="en-GB"/>
              </w:rPr>
            </w:pPr>
          </w:p>
        </w:tc>
        <w:tc>
          <w:tcPr>
            <w:tcW w:w="3189" w:type="pct"/>
            <w:tcBorders>
              <w:top w:val="nil"/>
              <w:bottom w:val="nil"/>
            </w:tcBorders>
          </w:tcPr>
          <w:p w14:paraId="4C97951E" w14:textId="77777777" w:rsidR="00E22FF2" w:rsidRPr="00E4265B" w:rsidRDefault="00E22FF2" w:rsidP="00BC03B0">
            <w:pPr>
              <w:tabs>
                <w:tab w:val="left" w:pos="704"/>
              </w:tabs>
              <w:spacing w:after="240"/>
              <w:jc w:val="both"/>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Regulatory adjustments to T2 Capital;</w:t>
            </w:r>
          </w:p>
        </w:tc>
      </w:tr>
      <w:tr w:rsidR="00E22FF2" w:rsidRPr="00E4265B" w14:paraId="48D6B8B7" w14:textId="77777777" w:rsidTr="00125218">
        <w:tc>
          <w:tcPr>
            <w:tcW w:w="1470" w:type="pct"/>
            <w:vMerge/>
            <w:tcBorders>
              <w:bottom w:val="single" w:sz="4" w:space="0" w:color="auto"/>
            </w:tcBorders>
          </w:tcPr>
          <w:p w14:paraId="393AC877" w14:textId="77777777" w:rsidR="00E22FF2" w:rsidRPr="00E4265B" w:rsidRDefault="00E22FF2" w:rsidP="002C7665">
            <w:pPr>
              <w:spacing w:after="240"/>
              <w:rPr>
                <w:rFonts w:ascii="Arial" w:hAnsi="Arial" w:cs="Arial"/>
                <w:sz w:val="22"/>
                <w:szCs w:val="22"/>
                <w:lang w:val="en-GB"/>
              </w:rPr>
            </w:pPr>
          </w:p>
        </w:tc>
        <w:tc>
          <w:tcPr>
            <w:tcW w:w="341" w:type="pct"/>
            <w:vMerge/>
          </w:tcPr>
          <w:p w14:paraId="1F294623" w14:textId="77777777" w:rsidR="00E22FF2" w:rsidRPr="00E4265B" w:rsidRDefault="00E22FF2" w:rsidP="002C7665">
            <w:pPr>
              <w:spacing w:after="240"/>
              <w:rPr>
                <w:rFonts w:ascii="Arial" w:hAnsi="Arial" w:cs="Arial"/>
                <w:sz w:val="22"/>
                <w:szCs w:val="22"/>
                <w:lang w:val="en-GB"/>
              </w:rPr>
            </w:pPr>
          </w:p>
        </w:tc>
        <w:tc>
          <w:tcPr>
            <w:tcW w:w="3189" w:type="pct"/>
            <w:tcBorders>
              <w:top w:val="nil"/>
              <w:bottom w:val="nil"/>
            </w:tcBorders>
          </w:tcPr>
          <w:p w14:paraId="0D747C71" w14:textId="77777777" w:rsidR="00E22FF2" w:rsidRPr="00E4265B" w:rsidRDefault="00E22FF2" w:rsidP="00BC03B0">
            <w:pPr>
              <w:tabs>
                <w:tab w:val="left" w:pos="704"/>
              </w:tabs>
              <w:spacing w:after="240"/>
              <w:jc w:val="both"/>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Deductions from T2 Capital; and</w:t>
            </w:r>
          </w:p>
        </w:tc>
      </w:tr>
      <w:tr w:rsidR="00E22FF2" w:rsidRPr="00E4265B" w14:paraId="39A6660B" w14:textId="77777777" w:rsidTr="00125218">
        <w:tc>
          <w:tcPr>
            <w:tcW w:w="1470" w:type="pct"/>
            <w:vMerge/>
            <w:tcBorders>
              <w:bottom w:val="single" w:sz="4" w:space="0" w:color="auto"/>
            </w:tcBorders>
          </w:tcPr>
          <w:p w14:paraId="70793120" w14:textId="77777777" w:rsidR="00E22FF2" w:rsidRPr="00E4265B" w:rsidRDefault="00E22FF2" w:rsidP="002C7665">
            <w:pPr>
              <w:spacing w:after="240"/>
              <w:rPr>
                <w:rFonts w:ascii="Arial" w:hAnsi="Arial" w:cs="Arial"/>
                <w:sz w:val="22"/>
                <w:szCs w:val="22"/>
                <w:lang w:val="en-GB"/>
              </w:rPr>
            </w:pPr>
          </w:p>
        </w:tc>
        <w:tc>
          <w:tcPr>
            <w:tcW w:w="341" w:type="pct"/>
            <w:vMerge/>
          </w:tcPr>
          <w:p w14:paraId="745E80FF" w14:textId="77777777" w:rsidR="00E22FF2" w:rsidRPr="00E4265B" w:rsidRDefault="00E22FF2" w:rsidP="002C7665">
            <w:pPr>
              <w:spacing w:after="240"/>
              <w:rPr>
                <w:rFonts w:ascii="Arial" w:hAnsi="Arial" w:cs="Arial"/>
                <w:sz w:val="22"/>
                <w:szCs w:val="22"/>
                <w:lang w:val="en-GB"/>
              </w:rPr>
            </w:pPr>
          </w:p>
        </w:tc>
        <w:tc>
          <w:tcPr>
            <w:tcW w:w="3189" w:type="pct"/>
            <w:tcBorders>
              <w:top w:val="nil"/>
            </w:tcBorders>
          </w:tcPr>
          <w:p w14:paraId="6887B7E3" w14:textId="77777777" w:rsidR="00E22FF2" w:rsidRPr="00E4265B" w:rsidRDefault="00E22FF2" w:rsidP="00BC03B0">
            <w:pPr>
              <w:tabs>
                <w:tab w:val="left" w:pos="704"/>
              </w:tabs>
              <w:spacing w:after="240"/>
              <w:jc w:val="both"/>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Amount of total T2 Capital.</w:t>
            </w:r>
          </w:p>
        </w:tc>
      </w:tr>
      <w:tr w:rsidR="00E22FF2" w:rsidRPr="00E4265B" w14:paraId="26A09E1C" w14:textId="77777777" w:rsidTr="00125218">
        <w:tc>
          <w:tcPr>
            <w:tcW w:w="1470" w:type="pct"/>
            <w:vMerge/>
            <w:tcBorders>
              <w:bottom w:val="single" w:sz="4" w:space="0" w:color="auto"/>
            </w:tcBorders>
          </w:tcPr>
          <w:p w14:paraId="3FA58106" w14:textId="77777777" w:rsidR="00E22FF2" w:rsidRPr="00E4265B" w:rsidRDefault="00E22FF2" w:rsidP="002C7665">
            <w:pPr>
              <w:spacing w:after="240"/>
              <w:rPr>
                <w:rFonts w:ascii="Arial" w:hAnsi="Arial" w:cs="Arial"/>
                <w:sz w:val="22"/>
                <w:szCs w:val="22"/>
                <w:lang w:val="en-GB"/>
              </w:rPr>
            </w:pPr>
          </w:p>
        </w:tc>
        <w:tc>
          <w:tcPr>
            <w:tcW w:w="341" w:type="pct"/>
          </w:tcPr>
          <w:p w14:paraId="4B539287" w14:textId="77777777" w:rsidR="00E22FF2" w:rsidRPr="00E4265B" w:rsidRDefault="00E22FF2" w:rsidP="002C7665">
            <w:pPr>
              <w:spacing w:after="240"/>
              <w:rPr>
                <w:rFonts w:ascii="Arial" w:hAnsi="Arial" w:cs="Arial"/>
                <w:sz w:val="22"/>
                <w:szCs w:val="22"/>
                <w:lang w:val="en-GB"/>
              </w:rPr>
            </w:pPr>
            <w:r w:rsidRPr="00E4265B">
              <w:rPr>
                <w:rFonts w:ascii="Arial" w:hAnsi="Arial" w:cs="Arial"/>
                <w:sz w:val="22"/>
                <w:szCs w:val="22"/>
                <w:lang w:val="en-GB"/>
              </w:rPr>
              <w:t>(e)</w:t>
            </w:r>
          </w:p>
        </w:tc>
        <w:tc>
          <w:tcPr>
            <w:tcW w:w="3189" w:type="pct"/>
          </w:tcPr>
          <w:p w14:paraId="60292C98" w14:textId="77777777" w:rsidR="00E22FF2" w:rsidRPr="00E4265B" w:rsidRDefault="00E22FF2" w:rsidP="00BC03B0">
            <w:pPr>
              <w:spacing w:after="240"/>
              <w:jc w:val="both"/>
              <w:rPr>
                <w:rFonts w:ascii="Arial" w:hAnsi="Arial" w:cs="Arial"/>
                <w:sz w:val="22"/>
                <w:szCs w:val="22"/>
                <w:lang w:val="en-GB"/>
              </w:rPr>
            </w:pPr>
            <w:r w:rsidRPr="00E4265B">
              <w:rPr>
                <w:rFonts w:ascii="Arial" w:hAnsi="Arial" w:cs="Arial"/>
                <w:sz w:val="22"/>
                <w:szCs w:val="22"/>
                <w:lang w:val="en-GB"/>
              </w:rPr>
              <w:t>Amount of eligible Capital Resources.</w:t>
            </w:r>
          </w:p>
        </w:tc>
      </w:tr>
    </w:tbl>
    <w:p w14:paraId="7ADE584F" w14:textId="77777777" w:rsidR="00E22FF2" w:rsidRPr="00E4265B" w:rsidRDefault="00E22FF2" w:rsidP="004A64EE">
      <w:pPr>
        <w:jc w:val="center"/>
        <w:rPr>
          <w:rFonts w:ascii="Arial" w:hAnsi="Arial" w:cs="Arial"/>
          <w:sz w:val="22"/>
          <w:szCs w:val="22"/>
          <w:lang w:val="en-GB"/>
        </w:rPr>
      </w:pPr>
    </w:p>
    <w:p w14:paraId="3EEEBB1F" w14:textId="446757B7" w:rsidR="00E22FF2" w:rsidRPr="00E4265B" w:rsidRDefault="00E22FF2" w:rsidP="004A64EE">
      <w:pPr>
        <w:pStyle w:val="TitleL"/>
        <w:jc w:val="center"/>
        <w:rPr>
          <w:rFonts w:ascii="Arial" w:hAnsi="Arial" w:cs="Arial"/>
          <w:sz w:val="22"/>
          <w:szCs w:val="22"/>
          <w:lang w:val="en-GB"/>
        </w:rPr>
      </w:pPr>
      <w:r w:rsidRPr="00E4265B">
        <w:rPr>
          <w:rFonts w:ascii="Arial" w:hAnsi="Arial" w:cs="Arial"/>
          <w:sz w:val="22"/>
          <w:szCs w:val="22"/>
          <w:lang w:val="en-GB"/>
        </w:rPr>
        <w:t>Table 3 – Capital Adequacy</w:t>
      </w:r>
      <w:r w:rsidR="0050084D" w:rsidRPr="00E4265B">
        <w:rPr>
          <w:rFonts w:ascii="Arial" w:hAnsi="Arial" w:cs="Arial"/>
          <w:sz w:val="22"/>
          <w:szCs w:val="22"/>
          <w:lang w:val="en-GB"/>
        </w:rPr>
        <w:t xml:space="preserve"> and Leverage</w:t>
      </w:r>
    </w:p>
    <w:tbl>
      <w:tblPr>
        <w:tblStyle w:val="TableGrid"/>
        <w:tblW w:w="5000" w:type="pct"/>
        <w:tblLook w:val="04A0" w:firstRow="1" w:lastRow="0" w:firstColumn="1" w:lastColumn="0" w:noHBand="0" w:noVBand="1"/>
      </w:tblPr>
      <w:tblGrid>
        <w:gridCol w:w="2651"/>
        <w:gridCol w:w="615"/>
        <w:gridCol w:w="5751"/>
      </w:tblGrid>
      <w:tr w:rsidR="00E22FF2" w:rsidRPr="00E4265B" w14:paraId="2590FCEE" w14:textId="77777777" w:rsidTr="00050198">
        <w:tc>
          <w:tcPr>
            <w:tcW w:w="1470" w:type="pct"/>
          </w:tcPr>
          <w:p w14:paraId="678D67CE" w14:textId="77777777" w:rsidR="00E22FF2" w:rsidRPr="00E4265B" w:rsidRDefault="00E22FF2" w:rsidP="002C7665">
            <w:pPr>
              <w:spacing w:after="240"/>
              <w:rPr>
                <w:rFonts w:ascii="Arial" w:hAnsi="Arial" w:cs="Arial"/>
                <w:sz w:val="22"/>
                <w:szCs w:val="22"/>
                <w:lang w:val="en-GB"/>
              </w:rPr>
            </w:pPr>
            <w:r w:rsidRPr="00E4265B">
              <w:rPr>
                <w:rFonts w:ascii="Arial" w:hAnsi="Arial" w:cs="Arial"/>
                <w:sz w:val="22"/>
                <w:szCs w:val="22"/>
                <w:lang w:val="en-GB"/>
              </w:rPr>
              <w:t>Qualitative Disclosures</w:t>
            </w:r>
          </w:p>
        </w:tc>
        <w:tc>
          <w:tcPr>
            <w:tcW w:w="341" w:type="pct"/>
          </w:tcPr>
          <w:p w14:paraId="36D437FB" w14:textId="77777777" w:rsidR="00E22FF2" w:rsidRPr="00E4265B" w:rsidRDefault="00E22FF2" w:rsidP="002C7665">
            <w:pPr>
              <w:spacing w:after="240"/>
              <w:rPr>
                <w:rFonts w:ascii="Arial" w:hAnsi="Arial" w:cs="Arial"/>
                <w:sz w:val="22"/>
                <w:szCs w:val="22"/>
                <w:lang w:val="en-GB"/>
              </w:rPr>
            </w:pPr>
            <w:r w:rsidRPr="00E4265B">
              <w:rPr>
                <w:rFonts w:ascii="Arial" w:hAnsi="Arial" w:cs="Arial"/>
                <w:sz w:val="22"/>
                <w:szCs w:val="22"/>
                <w:lang w:val="en-GB"/>
              </w:rPr>
              <w:t>(a)</w:t>
            </w:r>
          </w:p>
        </w:tc>
        <w:tc>
          <w:tcPr>
            <w:tcW w:w="3189" w:type="pct"/>
          </w:tcPr>
          <w:p w14:paraId="0674727A" w14:textId="6D2E2E9A" w:rsidR="00E22FF2" w:rsidRPr="00E4265B" w:rsidRDefault="00E22FF2" w:rsidP="00A97C20">
            <w:pPr>
              <w:spacing w:after="240"/>
              <w:jc w:val="both"/>
              <w:rPr>
                <w:rFonts w:ascii="Arial" w:hAnsi="Arial" w:cs="Arial"/>
                <w:sz w:val="22"/>
                <w:szCs w:val="22"/>
                <w:lang w:val="en-GB"/>
              </w:rPr>
            </w:pPr>
            <w:r w:rsidRPr="00E4265B">
              <w:rPr>
                <w:rFonts w:ascii="Arial" w:hAnsi="Arial" w:cs="Arial"/>
                <w:sz w:val="22"/>
                <w:szCs w:val="22"/>
                <w:lang w:val="en-GB"/>
              </w:rPr>
              <w:t>A description of the overall capital management system and approach to</w:t>
            </w:r>
            <w:r w:rsidR="004A64EE" w:rsidRPr="00E4265B">
              <w:rPr>
                <w:rFonts w:ascii="Arial" w:hAnsi="Arial" w:cs="Arial"/>
                <w:sz w:val="22"/>
                <w:szCs w:val="22"/>
                <w:lang w:val="en-GB"/>
              </w:rPr>
              <w:t xml:space="preserve"> assessing the adequacy of its </w:t>
            </w:r>
            <w:r w:rsidR="00A97C20" w:rsidRPr="00E4265B">
              <w:rPr>
                <w:rFonts w:ascii="Arial" w:hAnsi="Arial" w:cs="Arial"/>
                <w:sz w:val="22"/>
                <w:szCs w:val="22"/>
                <w:lang w:val="en-GB"/>
              </w:rPr>
              <w:t>c</w:t>
            </w:r>
            <w:r w:rsidRPr="00E4265B">
              <w:rPr>
                <w:rFonts w:ascii="Arial" w:hAnsi="Arial" w:cs="Arial"/>
                <w:sz w:val="22"/>
                <w:szCs w:val="22"/>
                <w:lang w:val="en-GB"/>
              </w:rPr>
              <w:t>apital</w:t>
            </w:r>
            <w:r w:rsidR="004A64EE" w:rsidRPr="00E4265B">
              <w:rPr>
                <w:rFonts w:ascii="Arial" w:hAnsi="Arial" w:cs="Arial"/>
                <w:sz w:val="22"/>
                <w:szCs w:val="22"/>
                <w:lang w:val="en-GB"/>
              </w:rPr>
              <w:t xml:space="preserve"> </w:t>
            </w:r>
            <w:r w:rsidRPr="00E4265B">
              <w:rPr>
                <w:rFonts w:ascii="Arial" w:hAnsi="Arial" w:cs="Arial"/>
                <w:sz w:val="22"/>
                <w:szCs w:val="22"/>
                <w:lang w:val="en-GB"/>
              </w:rPr>
              <w:t>to support current and future activities.</w:t>
            </w:r>
          </w:p>
          <w:p w14:paraId="3C586113" w14:textId="77777777" w:rsidR="00E22FF2" w:rsidRPr="00E4265B" w:rsidRDefault="00E22FF2" w:rsidP="00BC03B0">
            <w:pPr>
              <w:spacing w:after="240"/>
              <w:jc w:val="both"/>
              <w:rPr>
                <w:rFonts w:ascii="Arial" w:hAnsi="Arial" w:cs="Arial"/>
                <w:sz w:val="22"/>
                <w:szCs w:val="22"/>
                <w:lang w:val="en-GB"/>
              </w:rPr>
            </w:pPr>
            <w:r w:rsidRPr="00E4265B">
              <w:rPr>
                <w:rFonts w:ascii="Arial" w:hAnsi="Arial" w:cs="Arial"/>
                <w:sz w:val="22"/>
                <w:szCs w:val="22"/>
                <w:lang w:val="en-GB"/>
              </w:rPr>
              <w:t>This should include description of systems, controls and processes for capital management and capital mobilisation plans for the medium term.</w:t>
            </w:r>
          </w:p>
        </w:tc>
      </w:tr>
      <w:tr w:rsidR="007E4B5E" w:rsidRPr="00E4265B" w14:paraId="51718BC2" w14:textId="77777777" w:rsidTr="00093777">
        <w:tc>
          <w:tcPr>
            <w:tcW w:w="1470" w:type="pct"/>
            <w:vMerge w:val="restart"/>
          </w:tcPr>
          <w:p w14:paraId="464406EF" w14:textId="77777777" w:rsidR="007E4B5E" w:rsidRPr="00E4265B" w:rsidRDefault="007E4B5E" w:rsidP="002C7665">
            <w:pPr>
              <w:spacing w:after="240"/>
              <w:rPr>
                <w:rFonts w:ascii="Arial" w:hAnsi="Arial" w:cs="Arial"/>
                <w:sz w:val="22"/>
                <w:szCs w:val="22"/>
                <w:lang w:val="en-GB"/>
              </w:rPr>
            </w:pPr>
            <w:r w:rsidRPr="00E4265B">
              <w:rPr>
                <w:rFonts w:ascii="Arial" w:hAnsi="Arial" w:cs="Arial"/>
                <w:sz w:val="22"/>
                <w:szCs w:val="22"/>
                <w:lang w:val="en-GB"/>
              </w:rPr>
              <w:t>Quantitative Disclosures</w:t>
            </w:r>
          </w:p>
        </w:tc>
        <w:tc>
          <w:tcPr>
            <w:tcW w:w="341" w:type="pct"/>
            <w:vMerge w:val="restart"/>
          </w:tcPr>
          <w:p w14:paraId="3ACADBD0" w14:textId="77777777" w:rsidR="007E4B5E" w:rsidRPr="00E4265B" w:rsidRDefault="007E4B5E" w:rsidP="002C7665">
            <w:pPr>
              <w:spacing w:after="240"/>
              <w:rPr>
                <w:rFonts w:ascii="Arial" w:hAnsi="Arial" w:cs="Arial"/>
                <w:sz w:val="22"/>
                <w:szCs w:val="22"/>
                <w:lang w:val="en-GB"/>
              </w:rPr>
            </w:pPr>
            <w:r w:rsidRPr="00E4265B">
              <w:rPr>
                <w:rFonts w:ascii="Arial" w:hAnsi="Arial" w:cs="Arial"/>
                <w:sz w:val="22"/>
                <w:szCs w:val="22"/>
                <w:lang w:val="en-GB"/>
              </w:rPr>
              <w:t>(b)</w:t>
            </w:r>
          </w:p>
        </w:tc>
        <w:tc>
          <w:tcPr>
            <w:tcW w:w="3189" w:type="pct"/>
            <w:tcBorders>
              <w:bottom w:val="nil"/>
            </w:tcBorders>
          </w:tcPr>
          <w:p w14:paraId="135F7E00" w14:textId="16D0C422" w:rsidR="007E4B5E" w:rsidRPr="00E4265B" w:rsidRDefault="007E4B5E" w:rsidP="0050084D">
            <w:pPr>
              <w:tabs>
                <w:tab w:val="left" w:pos="702"/>
              </w:tabs>
              <w:spacing w:after="240"/>
              <w:jc w:val="both"/>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r>
            <w:r w:rsidR="0050084D" w:rsidRPr="00E4265B">
              <w:rPr>
                <w:rFonts w:ascii="Arial" w:hAnsi="Arial" w:cs="Arial"/>
                <w:sz w:val="22"/>
                <w:szCs w:val="22"/>
                <w:lang w:val="en-GB"/>
              </w:rPr>
              <w:t>Total Credit Risk RWA</w:t>
            </w:r>
            <w:r w:rsidRPr="00E4265B">
              <w:rPr>
                <w:rFonts w:ascii="Arial" w:hAnsi="Arial" w:cs="Arial"/>
                <w:sz w:val="22"/>
                <w:szCs w:val="22"/>
                <w:lang w:val="en-GB"/>
              </w:rPr>
              <w:t>;</w:t>
            </w:r>
          </w:p>
        </w:tc>
      </w:tr>
      <w:tr w:rsidR="007E4B5E" w:rsidRPr="00E4265B" w14:paraId="7365D755" w14:textId="77777777" w:rsidTr="00093777">
        <w:tc>
          <w:tcPr>
            <w:tcW w:w="1470" w:type="pct"/>
            <w:vMerge/>
          </w:tcPr>
          <w:p w14:paraId="0C0B6F71" w14:textId="77777777" w:rsidR="007E4B5E" w:rsidRPr="00E4265B" w:rsidRDefault="007E4B5E" w:rsidP="002C7665">
            <w:pPr>
              <w:spacing w:after="240"/>
              <w:rPr>
                <w:rFonts w:ascii="Arial" w:hAnsi="Arial" w:cs="Arial"/>
                <w:sz w:val="22"/>
                <w:szCs w:val="22"/>
                <w:lang w:val="en-GB"/>
              </w:rPr>
            </w:pPr>
          </w:p>
        </w:tc>
        <w:tc>
          <w:tcPr>
            <w:tcW w:w="341" w:type="pct"/>
            <w:vMerge/>
          </w:tcPr>
          <w:p w14:paraId="2DBEECFC" w14:textId="77777777" w:rsidR="007E4B5E" w:rsidRPr="00E4265B" w:rsidRDefault="007E4B5E" w:rsidP="002C7665">
            <w:pPr>
              <w:spacing w:after="240"/>
              <w:rPr>
                <w:rFonts w:ascii="Arial" w:hAnsi="Arial" w:cs="Arial"/>
                <w:sz w:val="22"/>
                <w:szCs w:val="22"/>
                <w:lang w:val="en-GB"/>
              </w:rPr>
            </w:pPr>
          </w:p>
        </w:tc>
        <w:tc>
          <w:tcPr>
            <w:tcW w:w="3189" w:type="pct"/>
            <w:tcBorders>
              <w:top w:val="nil"/>
              <w:bottom w:val="nil"/>
            </w:tcBorders>
          </w:tcPr>
          <w:p w14:paraId="10965C76" w14:textId="77777777" w:rsidR="007E4B5E" w:rsidRPr="00E4265B" w:rsidRDefault="007E4B5E" w:rsidP="00BC03B0">
            <w:pPr>
              <w:tabs>
                <w:tab w:val="left" w:pos="702"/>
              </w:tabs>
              <w:spacing w:after="240"/>
              <w:ind w:left="702" w:hanging="702"/>
              <w:jc w:val="both"/>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Amount of Credit RWA for each asset class giving rise to CR Exposures and Counterparty Risk Exposures, and for SE Exposures; and</w:t>
            </w:r>
          </w:p>
        </w:tc>
      </w:tr>
      <w:tr w:rsidR="007E4B5E" w:rsidRPr="00E4265B" w14:paraId="7B68F4C0" w14:textId="77777777" w:rsidTr="00093777">
        <w:tc>
          <w:tcPr>
            <w:tcW w:w="1470" w:type="pct"/>
            <w:vMerge/>
          </w:tcPr>
          <w:p w14:paraId="2502C820" w14:textId="77777777" w:rsidR="007E4B5E" w:rsidRPr="00E4265B" w:rsidRDefault="007E4B5E" w:rsidP="002C7665">
            <w:pPr>
              <w:spacing w:after="240"/>
              <w:rPr>
                <w:rFonts w:ascii="Arial" w:hAnsi="Arial" w:cs="Arial"/>
                <w:sz w:val="22"/>
                <w:szCs w:val="22"/>
                <w:lang w:val="en-GB"/>
              </w:rPr>
            </w:pPr>
          </w:p>
        </w:tc>
        <w:tc>
          <w:tcPr>
            <w:tcW w:w="341" w:type="pct"/>
            <w:vMerge/>
          </w:tcPr>
          <w:p w14:paraId="76C42AFE" w14:textId="77777777" w:rsidR="007E4B5E" w:rsidRPr="00E4265B" w:rsidRDefault="007E4B5E" w:rsidP="002C7665">
            <w:pPr>
              <w:spacing w:after="240"/>
              <w:rPr>
                <w:rFonts w:ascii="Arial" w:hAnsi="Arial" w:cs="Arial"/>
                <w:sz w:val="22"/>
                <w:szCs w:val="22"/>
                <w:lang w:val="en-GB"/>
              </w:rPr>
            </w:pPr>
          </w:p>
        </w:tc>
        <w:tc>
          <w:tcPr>
            <w:tcW w:w="3189" w:type="pct"/>
            <w:tcBorders>
              <w:top w:val="nil"/>
            </w:tcBorders>
          </w:tcPr>
          <w:p w14:paraId="5EB25B64" w14:textId="77777777" w:rsidR="007E4B5E" w:rsidRPr="00E4265B" w:rsidRDefault="007E4B5E" w:rsidP="00BC03B0">
            <w:pPr>
              <w:tabs>
                <w:tab w:val="left" w:pos="702"/>
              </w:tabs>
              <w:spacing w:after="240"/>
              <w:ind w:left="702" w:hanging="702"/>
              <w:jc w:val="both"/>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Amount of Credit RWAs for Early Amortisation Exposures, included in SE Exposures, if any.</w:t>
            </w:r>
          </w:p>
        </w:tc>
      </w:tr>
      <w:tr w:rsidR="007E4B5E" w:rsidRPr="00E4265B" w14:paraId="17478457" w14:textId="77777777" w:rsidTr="00093777">
        <w:tc>
          <w:tcPr>
            <w:tcW w:w="1470" w:type="pct"/>
            <w:vMerge/>
          </w:tcPr>
          <w:p w14:paraId="04825966" w14:textId="77777777" w:rsidR="007E4B5E" w:rsidRPr="00E4265B" w:rsidRDefault="007E4B5E" w:rsidP="002C7665">
            <w:pPr>
              <w:spacing w:after="240"/>
              <w:rPr>
                <w:rFonts w:ascii="Arial" w:hAnsi="Arial" w:cs="Arial"/>
                <w:sz w:val="22"/>
                <w:szCs w:val="22"/>
                <w:lang w:val="en-GB"/>
              </w:rPr>
            </w:pPr>
          </w:p>
        </w:tc>
        <w:tc>
          <w:tcPr>
            <w:tcW w:w="341" w:type="pct"/>
            <w:vMerge w:val="restart"/>
          </w:tcPr>
          <w:p w14:paraId="17AC440C" w14:textId="77777777" w:rsidR="007E4B5E" w:rsidRPr="00E4265B" w:rsidRDefault="007E4B5E" w:rsidP="002C7665">
            <w:pPr>
              <w:spacing w:after="240"/>
              <w:rPr>
                <w:rFonts w:ascii="Arial" w:hAnsi="Arial" w:cs="Arial"/>
                <w:sz w:val="22"/>
                <w:szCs w:val="22"/>
                <w:lang w:val="en-GB"/>
              </w:rPr>
            </w:pPr>
            <w:r w:rsidRPr="00E4265B">
              <w:rPr>
                <w:rFonts w:ascii="Arial" w:hAnsi="Arial" w:cs="Arial"/>
                <w:sz w:val="22"/>
                <w:szCs w:val="22"/>
                <w:lang w:val="en-GB"/>
              </w:rPr>
              <w:t>(c)</w:t>
            </w:r>
          </w:p>
        </w:tc>
        <w:tc>
          <w:tcPr>
            <w:tcW w:w="3189" w:type="pct"/>
            <w:tcBorders>
              <w:bottom w:val="nil"/>
            </w:tcBorders>
          </w:tcPr>
          <w:p w14:paraId="46BB375B" w14:textId="77777777" w:rsidR="007E4B5E" w:rsidRPr="00E4265B" w:rsidRDefault="007E4B5E" w:rsidP="00BC03B0">
            <w:pPr>
              <w:spacing w:after="240"/>
              <w:jc w:val="both"/>
              <w:rPr>
                <w:rFonts w:ascii="Arial" w:hAnsi="Arial" w:cs="Arial"/>
                <w:sz w:val="22"/>
                <w:szCs w:val="22"/>
                <w:lang w:val="en-GB"/>
              </w:rPr>
            </w:pPr>
            <w:r w:rsidRPr="00E4265B">
              <w:rPr>
                <w:rFonts w:ascii="Arial" w:hAnsi="Arial" w:cs="Arial"/>
                <w:sz w:val="22"/>
                <w:szCs w:val="22"/>
                <w:lang w:val="en-GB"/>
              </w:rPr>
              <w:t>Market Risk Capital Requirement for each component of Market Risk as listed in Rule 5.1.1, calculated using:</w:t>
            </w:r>
          </w:p>
        </w:tc>
      </w:tr>
      <w:tr w:rsidR="007E4B5E" w:rsidRPr="00E4265B" w14:paraId="2EF662BA" w14:textId="77777777" w:rsidTr="00093777">
        <w:tc>
          <w:tcPr>
            <w:tcW w:w="1470" w:type="pct"/>
            <w:vMerge/>
          </w:tcPr>
          <w:p w14:paraId="2DACAEC3" w14:textId="77777777" w:rsidR="007E4B5E" w:rsidRPr="00E4265B" w:rsidRDefault="007E4B5E" w:rsidP="002C7665">
            <w:pPr>
              <w:spacing w:after="240"/>
              <w:rPr>
                <w:rFonts w:ascii="Arial" w:hAnsi="Arial" w:cs="Arial"/>
                <w:sz w:val="22"/>
                <w:szCs w:val="22"/>
                <w:lang w:val="en-GB"/>
              </w:rPr>
            </w:pPr>
          </w:p>
        </w:tc>
        <w:tc>
          <w:tcPr>
            <w:tcW w:w="341" w:type="pct"/>
            <w:vMerge/>
          </w:tcPr>
          <w:p w14:paraId="54B9284F" w14:textId="77777777" w:rsidR="007E4B5E" w:rsidRPr="00E4265B" w:rsidRDefault="007E4B5E" w:rsidP="002C7665">
            <w:pPr>
              <w:spacing w:after="240"/>
              <w:rPr>
                <w:rFonts w:ascii="Arial" w:hAnsi="Arial" w:cs="Arial"/>
                <w:sz w:val="22"/>
                <w:szCs w:val="22"/>
                <w:lang w:val="en-GB"/>
              </w:rPr>
            </w:pPr>
          </w:p>
        </w:tc>
        <w:tc>
          <w:tcPr>
            <w:tcW w:w="3189" w:type="pct"/>
            <w:tcBorders>
              <w:top w:val="nil"/>
              <w:bottom w:val="nil"/>
            </w:tcBorders>
          </w:tcPr>
          <w:p w14:paraId="5E4C44C0" w14:textId="77777777" w:rsidR="007E4B5E" w:rsidRPr="00E4265B" w:rsidRDefault="007E4B5E" w:rsidP="00BC03B0">
            <w:pPr>
              <w:tabs>
                <w:tab w:val="left" w:pos="702"/>
              </w:tabs>
              <w:spacing w:after="240"/>
              <w:jc w:val="both"/>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Rules prescribed in Chapter 5;</w:t>
            </w:r>
          </w:p>
        </w:tc>
      </w:tr>
      <w:tr w:rsidR="007E4B5E" w:rsidRPr="00E4265B" w14:paraId="345A3E83" w14:textId="77777777" w:rsidTr="00093777">
        <w:tc>
          <w:tcPr>
            <w:tcW w:w="1470" w:type="pct"/>
            <w:vMerge/>
          </w:tcPr>
          <w:p w14:paraId="3D363F67" w14:textId="77777777" w:rsidR="007E4B5E" w:rsidRPr="00E4265B" w:rsidRDefault="007E4B5E" w:rsidP="002C7665">
            <w:pPr>
              <w:spacing w:after="240"/>
              <w:rPr>
                <w:rFonts w:ascii="Arial" w:hAnsi="Arial" w:cs="Arial"/>
                <w:sz w:val="22"/>
                <w:szCs w:val="22"/>
                <w:lang w:val="en-GB"/>
              </w:rPr>
            </w:pPr>
          </w:p>
        </w:tc>
        <w:tc>
          <w:tcPr>
            <w:tcW w:w="341" w:type="pct"/>
            <w:vMerge/>
          </w:tcPr>
          <w:p w14:paraId="652B3758" w14:textId="77777777" w:rsidR="007E4B5E" w:rsidRPr="00E4265B" w:rsidRDefault="007E4B5E" w:rsidP="002C7665">
            <w:pPr>
              <w:spacing w:after="240"/>
              <w:rPr>
                <w:rFonts w:ascii="Arial" w:hAnsi="Arial" w:cs="Arial"/>
                <w:sz w:val="22"/>
                <w:szCs w:val="22"/>
                <w:lang w:val="en-GB"/>
              </w:rPr>
            </w:pPr>
          </w:p>
        </w:tc>
        <w:tc>
          <w:tcPr>
            <w:tcW w:w="3189" w:type="pct"/>
            <w:tcBorders>
              <w:top w:val="nil"/>
              <w:bottom w:val="nil"/>
            </w:tcBorders>
          </w:tcPr>
          <w:p w14:paraId="45F71E82" w14:textId="77777777" w:rsidR="007E4B5E" w:rsidRPr="00E4265B" w:rsidRDefault="007E4B5E" w:rsidP="00BC03B0">
            <w:pPr>
              <w:tabs>
                <w:tab w:val="left" w:pos="702"/>
              </w:tabs>
              <w:spacing w:after="240"/>
              <w:jc w:val="both"/>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Internal Models Approach;</w:t>
            </w:r>
          </w:p>
        </w:tc>
      </w:tr>
      <w:tr w:rsidR="007E4B5E" w:rsidRPr="00E4265B" w14:paraId="5F49118D" w14:textId="77777777" w:rsidTr="00093777">
        <w:tc>
          <w:tcPr>
            <w:tcW w:w="1470" w:type="pct"/>
            <w:vMerge/>
          </w:tcPr>
          <w:p w14:paraId="051D06E7" w14:textId="77777777" w:rsidR="007E4B5E" w:rsidRPr="00E4265B" w:rsidRDefault="007E4B5E" w:rsidP="002C7665">
            <w:pPr>
              <w:spacing w:after="240"/>
              <w:rPr>
                <w:rFonts w:ascii="Arial" w:hAnsi="Arial" w:cs="Arial"/>
                <w:sz w:val="22"/>
                <w:szCs w:val="22"/>
                <w:lang w:val="en-GB"/>
              </w:rPr>
            </w:pPr>
          </w:p>
        </w:tc>
        <w:tc>
          <w:tcPr>
            <w:tcW w:w="341" w:type="pct"/>
            <w:vMerge/>
          </w:tcPr>
          <w:p w14:paraId="459E8131" w14:textId="77777777" w:rsidR="007E4B5E" w:rsidRPr="00E4265B" w:rsidRDefault="007E4B5E" w:rsidP="002C7665">
            <w:pPr>
              <w:spacing w:after="240"/>
              <w:rPr>
                <w:rFonts w:ascii="Arial" w:hAnsi="Arial" w:cs="Arial"/>
                <w:sz w:val="22"/>
                <w:szCs w:val="22"/>
                <w:lang w:val="en-GB"/>
              </w:rPr>
            </w:pPr>
          </w:p>
        </w:tc>
        <w:tc>
          <w:tcPr>
            <w:tcW w:w="3189" w:type="pct"/>
            <w:tcBorders>
              <w:top w:val="nil"/>
            </w:tcBorders>
          </w:tcPr>
          <w:p w14:paraId="6CCF1442" w14:textId="77777777" w:rsidR="007E4B5E" w:rsidRPr="00E4265B" w:rsidRDefault="007E4B5E" w:rsidP="00BC03B0">
            <w:pPr>
              <w:tabs>
                <w:tab w:val="left" w:pos="702"/>
              </w:tabs>
              <w:spacing w:after="240"/>
              <w:jc w:val="both"/>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both (i) and (ii).</w:t>
            </w:r>
          </w:p>
        </w:tc>
      </w:tr>
      <w:tr w:rsidR="007E4B5E" w:rsidRPr="00E4265B" w14:paraId="7886DD17" w14:textId="77777777" w:rsidTr="00093777">
        <w:tc>
          <w:tcPr>
            <w:tcW w:w="1470" w:type="pct"/>
            <w:vMerge/>
          </w:tcPr>
          <w:p w14:paraId="11332584" w14:textId="77777777" w:rsidR="007E4B5E" w:rsidRPr="00E4265B" w:rsidRDefault="007E4B5E" w:rsidP="002C7665">
            <w:pPr>
              <w:spacing w:after="240"/>
              <w:rPr>
                <w:rFonts w:ascii="Arial" w:hAnsi="Arial" w:cs="Arial"/>
                <w:sz w:val="22"/>
                <w:szCs w:val="22"/>
                <w:lang w:val="en-GB"/>
              </w:rPr>
            </w:pPr>
          </w:p>
        </w:tc>
        <w:tc>
          <w:tcPr>
            <w:tcW w:w="341" w:type="pct"/>
            <w:vMerge w:val="restart"/>
          </w:tcPr>
          <w:p w14:paraId="723303E1" w14:textId="77777777" w:rsidR="007E4B5E" w:rsidRPr="00E4265B" w:rsidRDefault="007E4B5E" w:rsidP="002C7665">
            <w:pPr>
              <w:spacing w:after="240"/>
              <w:rPr>
                <w:rFonts w:ascii="Arial" w:hAnsi="Arial" w:cs="Arial"/>
                <w:sz w:val="22"/>
                <w:szCs w:val="22"/>
                <w:lang w:val="en-GB"/>
              </w:rPr>
            </w:pPr>
            <w:r w:rsidRPr="00E4265B">
              <w:rPr>
                <w:rFonts w:ascii="Arial" w:hAnsi="Arial" w:cs="Arial"/>
                <w:sz w:val="22"/>
                <w:szCs w:val="22"/>
                <w:lang w:val="en-GB"/>
              </w:rPr>
              <w:t>(d)</w:t>
            </w:r>
          </w:p>
        </w:tc>
        <w:tc>
          <w:tcPr>
            <w:tcW w:w="3189" w:type="pct"/>
            <w:tcBorders>
              <w:bottom w:val="nil"/>
            </w:tcBorders>
          </w:tcPr>
          <w:p w14:paraId="2A28C128" w14:textId="77777777" w:rsidR="007E4B5E" w:rsidRPr="00E4265B" w:rsidRDefault="007E4B5E" w:rsidP="00BC03B0">
            <w:pPr>
              <w:spacing w:after="240"/>
              <w:jc w:val="both"/>
              <w:rPr>
                <w:rFonts w:ascii="Arial" w:hAnsi="Arial" w:cs="Arial"/>
                <w:sz w:val="22"/>
                <w:szCs w:val="22"/>
                <w:lang w:val="en-GB"/>
              </w:rPr>
            </w:pPr>
            <w:r w:rsidRPr="00E4265B">
              <w:rPr>
                <w:rFonts w:ascii="Arial" w:hAnsi="Arial" w:cs="Arial"/>
                <w:sz w:val="22"/>
                <w:szCs w:val="22"/>
                <w:lang w:val="en-GB"/>
              </w:rPr>
              <w:t>Operational Risk Capital Requirement calculated under the following approaches, where applicable:</w:t>
            </w:r>
          </w:p>
        </w:tc>
      </w:tr>
      <w:tr w:rsidR="007E4B5E" w:rsidRPr="00E4265B" w14:paraId="0F981AA3" w14:textId="77777777" w:rsidTr="00125218">
        <w:tc>
          <w:tcPr>
            <w:tcW w:w="1470" w:type="pct"/>
            <w:vMerge/>
          </w:tcPr>
          <w:p w14:paraId="68DCB915" w14:textId="77777777" w:rsidR="007E4B5E" w:rsidRPr="00E4265B" w:rsidRDefault="007E4B5E" w:rsidP="002C7665">
            <w:pPr>
              <w:spacing w:after="240"/>
              <w:rPr>
                <w:rFonts w:ascii="Arial" w:hAnsi="Arial" w:cs="Arial"/>
                <w:sz w:val="22"/>
                <w:szCs w:val="22"/>
                <w:lang w:val="en-GB"/>
              </w:rPr>
            </w:pPr>
          </w:p>
        </w:tc>
        <w:tc>
          <w:tcPr>
            <w:tcW w:w="341" w:type="pct"/>
            <w:vMerge/>
          </w:tcPr>
          <w:p w14:paraId="76B55309" w14:textId="77777777" w:rsidR="007E4B5E" w:rsidRPr="00E4265B" w:rsidRDefault="007E4B5E" w:rsidP="002C7665">
            <w:pPr>
              <w:spacing w:after="240"/>
              <w:rPr>
                <w:rFonts w:ascii="Arial" w:hAnsi="Arial" w:cs="Arial"/>
                <w:sz w:val="22"/>
                <w:szCs w:val="22"/>
                <w:lang w:val="en-GB"/>
              </w:rPr>
            </w:pPr>
          </w:p>
        </w:tc>
        <w:tc>
          <w:tcPr>
            <w:tcW w:w="3189" w:type="pct"/>
            <w:tcBorders>
              <w:top w:val="nil"/>
              <w:bottom w:val="nil"/>
            </w:tcBorders>
          </w:tcPr>
          <w:p w14:paraId="253F7C81" w14:textId="77777777" w:rsidR="007E4B5E" w:rsidRPr="00E4265B" w:rsidRDefault="007E4B5E" w:rsidP="00BC03B0">
            <w:pPr>
              <w:tabs>
                <w:tab w:val="left" w:pos="702"/>
              </w:tabs>
              <w:spacing w:after="240"/>
              <w:jc w:val="both"/>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Basic Indicator Approach;</w:t>
            </w:r>
          </w:p>
        </w:tc>
      </w:tr>
      <w:tr w:rsidR="007E4B5E" w:rsidRPr="00E4265B" w14:paraId="16D295B9" w14:textId="77777777" w:rsidTr="00125218">
        <w:tc>
          <w:tcPr>
            <w:tcW w:w="1470" w:type="pct"/>
            <w:vMerge/>
          </w:tcPr>
          <w:p w14:paraId="5942946A" w14:textId="77777777" w:rsidR="007E4B5E" w:rsidRPr="00E4265B" w:rsidRDefault="007E4B5E" w:rsidP="002C7665">
            <w:pPr>
              <w:spacing w:after="240"/>
              <w:rPr>
                <w:rFonts w:ascii="Arial" w:hAnsi="Arial" w:cs="Arial"/>
                <w:sz w:val="22"/>
                <w:szCs w:val="22"/>
                <w:lang w:val="en-GB"/>
              </w:rPr>
            </w:pPr>
          </w:p>
        </w:tc>
        <w:tc>
          <w:tcPr>
            <w:tcW w:w="341" w:type="pct"/>
            <w:vMerge/>
          </w:tcPr>
          <w:p w14:paraId="6A447EFF" w14:textId="77777777" w:rsidR="007E4B5E" w:rsidRPr="00E4265B" w:rsidRDefault="007E4B5E" w:rsidP="002C7665">
            <w:pPr>
              <w:spacing w:after="240"/>
              <w:rPr>
                <w:rFonts w:ascii="Arial" w:hAnsi="Arial" w:cs="Arial"/>
                <w:sz w:val="22"/>
                <w:szCs w:val="22"/>
                <w:lang w:val="en-GB"/>
              </w:rPr>
            </w:pPr>
          </w:p>
        </w:tc>
        <w:tc>
          <w:tcPr>
            <w:tcW w:w="3189" w:type="pct"/>
            <w:tcBorders>
              <w:top w:val="nil"/>
              <w:bottom w:val="single" w:sz="4" w:space="0" w:color="auto"/>
            </w:tcBorders>
          </w:tcPr>
          <w:p w14:paraId="60C8EA54" w14:textId="77777777" w:rsidR="007E4B5E" w:rsidRPr="00E4265B" w:rsidRDefault="007E4B5E" w:rsidP="00BC03B0">
            <w:pPr>
              <w:tabs>
                <w:tab w:val="left" w:pos="702"/>
              </w:tabs>
              <w:spacing w:after="240"/>
              <w:jc w:val="both"/>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Standardised Approach;</w:t>
            </w:r>
          </w:p>
        </w:tc>
      </w:tr>
      <w:tr w:rsidR="007E4B5E" w:rsidRPr="00E4265B" w14:paraId="27935E29" w14:textId="77777777" w:rsidTr="00125218">
        <w:tc>
          <w:tcPr>
            <w:tcW w:w="1470" w:type="pct"/>
            <w:vMerge/>
          </w:tcPr>
          <w:p w14:paraId="27C6A1B1" w14:textId="77777777" w:rsidR="007E4B5E" w:rsidRPr="00E4265B" w:rsidRDefault="007E4B5E" w:rsidP="002C7665">
            <w:pPr>
              <w:spacing w:after="240"/>
              <w:rPr>
                <w:rFonts w:ascii="Arial" w:hAnsi="Arial" w:cs="Arial"/>
                <w:sz w:val="22"/>
                <w:szCs w:val="22"/>
                <w:lang w:val="en-GB"/>
              </w:rPr>
            </w:pPr>
          </w:p>
        </w:tc>
        <w:tc>
          <w:tcPr>
            <w:tcW w:w="341" w:type="pct"/>
            <w:vMerge/>
          </w:tcPr>
          <w:p w14:paraId="0A35C1B8" w14:textId="77777777" w:rsidR="007E4B5E" w:rsidRPr="00E4265B" w:rsidRDefault="007E4B5E" w:rsidP="002C7665">
            <w:pPr>
              <w:spacing w:after="240"/>
              <w:rPr>
                <w:rFonts w:ascii="Arial" w:hAnsi="Arial" w:cs="Arial"/>
                <w:sz w:val="22"/>
                <w:szCs w:val="22"/>
                <w:lang w:val="en-GB"/>
              </w:rPr>
            </w:pPr>
          </w:p>
        </w:tc>
        <w:tc>
          <w:tcPr>
            <w:tcW w:w="3189" w:type="pct"/>
            <w:tcBorders>
              <w:top w:val="single" w:sz="4" w:space="0" w:color="auto"/>
              <w:bottom w:val="nil"/>
            </w:tcBorders>
          </w:tcPr>
          <w:p w14:paraId="4B556F15" w14:textId="77777777" w:rsidR="007E4B5E" w:rsidRPr="00E4265B" w:rsidRDefault="007E4B5E" w:rsidP="00BC03B0">
            <w:pPr>
              <w:tabs>
                <w:tab w:val="left" w:pos="702"/>
              </w:tabs>
              <w:spacing w:after="240"/>
              <w:jc w:val="both"/>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Alternative Standardised Approach; or</w:t>
            </w:r>
          </w:p>
        </w:tc>
      </w:tr>
      <w:tr w:rsidR="007E4B5E" w:rsidRPr="00E4265B" w14:paraId="0ACC283C" w14:textId="77777777" w:rsidTr="00093777">
        <w:tc>
          <w:tcPr>
            <w:tcW w:w="1470" w:type="pct"/>
            <w:vMerge/>
          </w:tcPr>
          <w:p w14:paraId="5B900317" w14:textId="77777777" w:rsidR="007E4B5E" w:rsidRPr="00E4265B" w:rsidRDefault="007E4B5E" w:rsidP="002C7665">
            <w:pPr>
              <w:spacing w:after="240"/>
              <w:rPr>
                <w:rFonts w:ascii="Arial" w:hAnsi="Arial" w:cs="Arial"/>
                <w:sz w:val="22"/>
                <w:szCs w:val="22"/>
                <w:lang w:val="en-GB"/>
              </w:rPr>
            </w:pPr>
          </w:p>
        </w:tc>
        <w:tc>
          <w:tcPr>
            <w:tcW w:w="341" w:type="pct"/>
            <w:vMerge/>
          </w:tcPr>
          <w:p w14:paraId="3ED36C09" w14:textId="77777777" w:rsidR="007E4B5E" w:rsidRPr="00E4265B" w:rsidRDefault="007E4B5E" w:rsidP="002C7665">
            <w:pPr>
              <w:spacing w:after="240"/>
              <w:rPr>
                <w:rFonts w:ascii="Arial" w:hAnsi="Arial" w:cs="Arial"/>
                <w:sz w:val="22"/>
                <w:szCs w:val="22"/>
                <w:lang w:val="en-GB"/>
              </w:rPr>
            </w:pPr>
          </w:p>
        </w:tc>
        <w:tc>
          <w:tcPr>
            <w:tcW w:w="3189" w:type="pct"/>
            <w:tcBorders>
              <w:top w:val="nil"/>
            </w:tcBorders>
          </w:tcPr>
          <w:p w14:paraId="4FE47793" w14:textId="77777777" w:rsidR="007E4B5E" w:rsidRPr="00E4265B" w:rsidRDefault="007E4B5E" w:rsidP="00BC03B0">
            <w:pPr>
              <w:tabs>
                <w:tab w:val="left" w:pos="702"/>
              </w:tabs>
              <w:spacing w:after="240"/>
              <w:jc w:val="both"/>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a combination of any of the above.</w:t>
            </w:r>
          </w:p>
        </w:tc>
      </w:tr>
      <w:tr w:rsidR="007E4B5E" w:rsidRPr="00E4265B" w14:paraId="2B9AEA5B" w14:textId="77777777" w:rsidTr="00050198">
        <w:tc>
          <w:tcPr>
            <w:tcW w:w="1470" w:type="pct"/>
            <w:vMerge/>
          </w:tcPr>
          <w:p w14:paraId="55303381" w14:textId="77777777" w:rsidR="007E4B5E" w:rsidRPr="00E4265B" w:rsidRDefault="007E4B5E" w:rsidP="002C7665">
            <w:pPr>
              <w:spacing w:after="240"/>
              <w:rPr>
                <w:rFonts w:ascii="Arial" w:hAnsi="Arial" w:cs="Arial"/>
                <w:sz w:val="22"/>
                <w:szCs w:val="22"/>
                <w:lang w:val="en-GB"/>
              </w:rPr>
            </w:pPr>
          </w:p>
        </w:tc>
        <w:tc>
          <w:tcPr>
            <w:tcW w:w="341" w:type="pct"/>
          </w:tcPr>
          <w:p w14:paraId="3534AE10" w14:textId="77777777" w:rsidR="007E4B5E" w:rsidRPr="00E4265B" w:rsidRDefault="007E4B5E" w:rsidP="002C7665">
            <w:pPr>
              <w:spacing w:after="240"/>
              <w:rPr>
                <w:rFonts w:ascii="Arial" w:hAnsi="Arial" w:cs="Arial"/>
                <w:sz w:val="22"/>
                <w:szCs w:val="22"/>
                <w:lang w:val="en-GB"/>
              </w:rPr>
            </w:pPr>
            <w:r w:rsidRPr="00E4265B">
              <w:rPr>
                <w:rFonts w:ascii="Arial" w:hAnsi="Arial" w:cs="Arial"/>
                <w:sz w:val="22"/>
                <w:szCs w:val="22"/>
                <w:lang w:val="en-GB"/>
              </w:rPr>
              <w:t>(e)</w:t>
            </w:r>
          </w:p>
        </w:tc>
        <w:tc>
          <w:tcPr>
            <w:tcW w:w="3189" w:type="pct"/>
          </w:tcPr>
          <w:p w14:paraId="41065941" w14:textId="6BAC7ED7" w:rsidR="007E4B5E" w:rsidRPr="00E4265B" w:rsidRDefault="0050084D" w:rsidP="00BC03B0">
            <w:pPr>
              <w:spacing w:after="240"/>
              <w:jc w:val="both"/>
              <w:rPr>
                <w:rFonts w:ascii="Arial" w:hAnsi="Arial" w:cs="Arial"/>
                <w:sz w:val="22"/>
                <w:szCs w:val="22"/>
                <w:lang w:val="en-GB"/>
              </w:rPr>
            </w:pPr>
            <w:r w:rsidRPr="00E4265B">
              <w:rPr>
                <w:rFonts w:ascii="Arial" w:hAnsi="Arial" w:cs="Arial"/>
                <w:sz w:val="22"/>
                <w:szCs w:val="22"/>
                <w:lang w:val="en-GB"/>
              </w:rPr>
              <w:t>Total Risk Exposure Amount</w:t>
            </w:r>
            <w:r w:rsidR="007E4B5E" w:rsidRPr="00E4265B">
              <w:rPr>
                <w:rFonts w:ascii="Arial" w:hAnsi="Arial" w:cs="Arial"/>
                <w:sz w:val="22"/>
                <w:szCs w:val="22"/>
                <w:lang w:val="en-GB"/>
              </w:rPr>
              <w:t xml:space="preserve"> at the solo and at the Financial Group level.</w:t>
            </w:r>
          </w:p>
        </w:tc>
      </w:tr>
      <w:tr w:rsidR="007E4B5E" w:rsidRPr="00E4265B" w14:paraId="7DDD56F0" w14:textId="77777777" w:rsidTr="00093777">
        <w:tc>
          <w:tcPr>
            <w:tcW w:w="1470" w:type="pct"/>
            <w:vMerge/>
          </w:tcPr>
          <w:p w14:paraId="711D736E" w14:textId="77777777" w:rsidR="007E4B5E" w:rsidRPr="00E4265B" w:rsidRDefault="007E4B5E" w:rsidP="002C7665">
            <w:pPr>
              <w:spacing w:after="240"/>
              <w:rPr>
                <w:rFonts w:ascii="Arial" w:hAnsi="Arial" w:cs="Arial"/>
                <w:sz w:val="22"/>
                <w:szCs w:val="22"/>
                <w:lang w:val="en-GB"/>
              </w:rPr>
            </w:pPr>
          </w:p>
        </w:tc>
        <w:tc>
          <w:tcPr>
            <w:tcW w:w="341" w:type="pct"/>
            <w:vMerge w:val="restart"/>
          </w:tcPr>
          <w:p w14:paraId="11E24304" w14:textId="77777777" w:rsidR="007E4B5E" w:rsidRPr="00E4265B" w:rsidRDefault="007E4B5E" w:rsidP="002C7665">
            <w:pPr>
              <w:spacing w:after="240"/>
              <w:rPr>
                <w:rFonts w:ascii="Arial" w:hAnsi="Arial" w:cs="Arial"/>
                <w:sz w:val="22"/>
                <w:szCs w:val="22"/>
                <w:lang w:val="en-GB"/>
              </w:rPr>
            </w:pPr>
            <w:r w:rsidRPr="00E4265B">
              <w:rPr>
                <w:rFonts w:ascii="Arial" w:hAnsi="Arial" w:cs="Arial"/>
                <w:sz w:val="22"/>
                <w:szCs w:val="22"/>
                <w:lang w:val="en-GB"/>
              </w:rPr>
              <w:t>(f)</w:t>
            </w:r>
          </w:p>
        </w:tc>
        <w:tc>
          <w:tcPr>
            <w:tcW w:w="3189" w:type="pct"/>
            <w:tcBorders>
              <w:bottom w:val="nil"/>
            </w:tcBorders>
          </w:tcPr>
          <w:p w14:paraId="3031B444" w14:textId="77777777" w:rsidR="007E4B5E" w:rsidRPr="00E4265B" w:rsidRDefault="007E4B5E" w:rsidP="00EA5CB5">
            <w:pPr>
              <w:spacing w:after="240"/>
              <w:ind w:left="702" w:hanging="702"/>
              <w:jc w:val="both"/>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 xml:space="preserve">CET1 Capital ratio as a percentage of Total Risk Exposure Amount; </w:t>
            </w:r>
          </w:p>
        </w:tc>
      </w:tr>
      <w:tr w:rsidR="007E4B5E" w:rsidRPr="00E4265B" w14:paraId="5ED2E3D5" w14:textId="77777777" w:rsidTr="00093777">
        <w:tc>
          <w:tcPr>
            <w:tcW w:w="1470" w:type="pct"/>
            <w:vMerge/>
          </w:tcPr>
          <w:p w14:paraId="2F5D24E8" w14:textId="77777777" w:rsidR="007E4B5E" w:rsidRPr="00E4265B" w:rsidRDefault="007E4B5E" w:rsidP="002C7665">
            <w:pPr>
              <w:spacing w:after="240"/>
              <w:rPr>
                <w:rFonts w:ascii="Arial" w:hAnsi="Arial" w:cs="Arial"/>
                <w:sz w:val="22"/>
                <w:szCs w:val="22"/>
                <w:lang w:val="en-GB"/>
              </w:rPr>
            </w:pPr>
          </w:p>
        </w:tc>
        <w:tc>
          <w:tcPr>
            <w:tcW w:w="341" w:type="pct"/>
            <w:vMerge/>
          </w:tcPr>
          <w:p w14:paraId="235DAB87" w14:textId="77777777" w:rsidR="007E4B5E" w:rsidRPr="00E4265B" w:rsidRDefault="007E4B5E" w:rsidP="002C7665">
            <w:pPr>
              <w:spacing w:after="240"/>
              <w:rPr>
                <w:rFonts w:ascii="Arial" w:hAnsi="Arial" w:cs="Arial"/>
                <w:sz w:val="22"/>
                <w:szCs w:val="22"/>
                <w:lang w:val="en-GB"/>
              </w:rPr>
            </w:pPr>
          </w:p>
        </w:tc>
        <w:tc>
          <w:tcPr>
            <w:tcW w:w="3189" w:type="pct"/>
            <w:tcBorders>
              <w:top w:val="nil"/>
              <w:bottom w:val="nil"/>
            </w:tcBorders>
          </w:tcPr>
          <w:p w14:paraId="5B8A2C50" w14:textId="77777777" w:rsidR="007E4B5E" w:rsidRPr="00E4265B" w:rsidRDefault="007E4B5E" w:rsidP="00EA5CB5">
            <w:pPr>
              <w:spacing w:after="240"/>
              <w:ind w:left="702" w:hanging="702"/>
              <w:jc w:val="both"/>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T1 Capital ratio as a percentage of Total Risk Exposure Amount;</w:t>
            </w:r>
          </w:p>
        </w:tc>
      </w:tr>
      <w:tr w:rsidR="007E4B5E" w:rsidRPr="00E4265B" w14:paraId="2FAB8FAF" w14:textId="77777777" w:rsidTr="00093777">
        <w:tc>
          <w:tcPr>
            <w:tcW w:w="1470" w:type="pct"/>
            <w:vMerge/>
          </w:tcPr>
          <w:p w14:paraId="5B7B5C5C" w14:textId="77777777" w:rsidR="007E4B5E" w:rsidRPr="00E4265B" w:rsidRDefault="007E4B5E" w:rsidP="002C7665">
            <w:pPr>
              <w:spacing w:after="240"/>
              <w:rPr>
                <w:rFonts w:ascii="Arial" w:hAnsi="Arial" w:cs="Arial"/>
                <w:sz w:val="22"/>
                <w:szCs w:val="22"/>
                <w:lang w:val="en-GB"/>
              </w:rPr>
            </w:pPr>
          </w:p>
        </w:tc>
        <w:tc>
          <w:tcPr>
            <w:tcW w:w="341" w:type="pct"/>
            <w:vMerge/>
          </w:tcPr>
          <w:p w14:paraId="26932A89" w14:textId="77777777" w:rsidR="007E4B5E" w:rsidRPr="00E4265B" w:rsidRDefault="007E4B5E" w:rsidP="002C7665">
            <w:pPr>
              <w:spacing w:after="240"/>
              <w:rPr>
                <w:rFonts w:ascii="Arial" w:hAnsi="Arial" w:cs="Arial"/>
                <w:sz w:val="22"/>
                <w:szCs w:val="22"/>
                <w:lang w:val="en-GB"/>
              </w:rPr>
            </w:pPr>
          </w:p>
        </w:tc>
        <w:tc>
          <w:tcPr>
            <w:tcW w:w="3189" w:type="pct"/>
            <w:tcBorders>
              <w:top w:val="nil"/>
              <w:bottom w:val="nil"/>
            </w:tcBorders>
          </w:tcPr>
          <w:p w14:paraId="76D39FEF" w14:textId="77777777" w:rsidR="007E4B5E" w:rsidRPr="00E4265B" w:rsidRDefault="007E4B5E" w:rsidP="005D548D">
            <w:pPr>
              <w:spacing w:after="240"/>
              <w:ind w:left="720" w:hanging="720"/>
              <w:jc w:val="both"/>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lang w:val="en-GB"/>
              </w:rPr>
              <w:tab/>
              <w:t>Capital Resources as a percentage of Total Risk Exposure Amount; and</w:t>
            </w:r>
          </w:p>
        </w:tc>
      </w:tr>
      <w:tr w:rsidR="007E4B5E" w:rsidRPr="00E4265B" w14:paraId="43327E37" w14:textId="77777777" w:rsidTr="00093777">
        <w:tc>
          <w:tcPr>
            <w:tcW w:w="1470" w:type="pct"/>
            <w:vMerge/>
          </w:tcPr>
          <w:p w14:paraId="63B3E9CA" w14:textId="77777777" w:rsidR="007E4B5E" w:rsidRPr="00E4265B" w:rsidRDefault="007E4B5E" w:rsidP="002C7665">
            <w:pPr>
              <w:spacing w:after="240"/>
              <w:rPr>
                <w:rFonts w:ascii="Arial" w:hAnsi="Arial" w:cs="Arial"/>
                <w:sz w:val="22"/>
                <w:szCs w:val="22"/>
                <w:lang w:val="en-GB"/>
              </w:rPr>
            </w:pPr>
          </w:p>
        </w:tc>
        <w:tc>
          <w:tcPr>
            <w:tcW w:w="341" w:type="pct"/>
            <w:vMerge/>
          </w:tcPr>
          <w:p w14:paraId="081CD396" w14:textId="77777777" w:rsidR="007E4B5E" w:rsidRPr="00E4265B" w:rsidRDefault="007E4B5E" w:rsidP="002C7665">
            <w:pPr>
              <w:spacing w:after="240"/>
              <w:rPr>
                <w:rFonts w:ascii="Arial" w:hAnsi="Arial" w:cs="Arial"/>
                <w:sz w:val="22"/>
                <w:szCs w:val="22"/>
                <w:lang w:val="en-GB"/>
              </w:rPr>
            </w:pPr>
          </w:p>
        </w:tc>
        <w:tc>
          <w:tcPr>
            <w:tcW w:w="3189" w:type="pct"/>
            <w:tcBorders>
              <w:top w:val="nil"/>
            </w:tcBorders>
          </w:tcPr>
          <w:p w14:paraId="54EDD5DE" w14:textId="77777777" w:rsidR="007E4B5E" w:rsidRPr="00E4265B" w:rsidRDefault="007E4B5E" w:rsidP="00EA5CB5">
            <w:pPr>
              <w:spacing w:after="240"/>
              <w:ind w:left="720" w:hanging="720"/>
              <w:jc w:val="both"/>
              <w:rPr>
                <w:rFonts w:ascii="Arial" w:hAnsi="Arial" w:cs="Arial"/>
                <w:sz w:val="22"/>
                <w:szCs w:val="22"/>
                <w:lang w:val="en-GB"/>
              </w:rPr>
            </w:pPr>
            <w:r w:rsidRPr="00E4265B">
              <w:rPr>
                <w:rFonts w:ascii="Arial" w:hAnsi="Arial" w:cs="Arial"/>
                <w:sz w:val="22"/>
                <w:szCs w:val="22"/>
                <w:lang w:val="en-GB"/>
              </w:rPr>
              <w:t>(iv)</w:t>
            </w:r>
            <w:r w:rsidRPr="00E4265B">
              <w:rPr>
                <w:rFonts w:ascii="Arial" w:hAnsi="Arial" w:cs="Arial"/>
                <w:sz w:val="22"/>
                <w:szCs w:val="22"/>
                <w:lang w:val="en-GB"/>
              </w:rPr>
              <w:tab/>
              <w:t>These ratios must be disclosed at both the Authorised Person level and at the Financial Group level.</w:t>
            </w:r>
          </w:p>
        </w:tc>
      </w:tr>
      <w:tr w:rsidR="007E4B5E" w:rsidRPr="00E4265B" w14:paraId="434B787B" w14:textId="77777777" w:rsidTr="00050198">
        <w:tc>
          <w:tcPr>
            <w:tcW w:w="1470" w:type="pct"/>
            <w:vMerge/>
          </w:tcPr>
          <w:p w14:paraId="0320D249" w14:textId="77777777" w:rsidR="007E4B5E" w:rsidRPr="00E4265B" w:rsidRDefault="007E4B5E" w:rsidP="002C7665">
            <w:pPr>
              <w:spacing w:after="240"/>
              <w:rPr>
                <w:rFonts w:ascii="Arial" w:hAnsi="Arial" w:cs="Arial"/>
                <w:sz w:val="22"/>
                <w:szCs w:val="22"/>
                <w:lang w:val="en-GB"/>
              </w:rPr>
            </w:pPr>
          </w:p>
        </w:tc>
        <w:tc>
          <w:tcPr>
            <w:tcW w:w="341" w:type="pct"/>
          </w:tcPr>
          <w:p w14:paraId="1D2FE6E1" w14:textId="77777777" w:rsidR="007E4B5E" w:rsidRPr="00E4265B" w:rsidRDefault="007E4B5E" w:rsidP="002C7665">
            <w:pPr>
              <w:spacing w:after="240"/>
              <w:rPr>
                <w:rFonts w:ascii="Arial" w:hAnsi="Arial" w:cs="Arial"/>
                <w:sz w:val="22"/>
                <w:szCs w:val="22"/>
                <w:lang w:val="en-GB"/>
              </w:rPr>
            </w:pPr>
            <w:r w:rsidRPr="00E4265B">
              <w:rPr>
                <w:rFonts w:ascii="Arial" w:hAnsi="Arial" w:cs="Arial"/>
                <w:sz w:val="22"/>
                <w:szCs w:val="22"/>
                <w:lang w:val="en-GB"/>
              </w:rPr>
              <w:t>(g)</w:t>
            </w:r>
          </w:p>
        </w:tc>
        <w:tc>
          <w:tcPr>
            <w:tcW w:w="3189" w:type="pct"/>
          </w:tcPr>
          <w:p w14:paraId="51B90D99" w14:textId="77777777" w:rsidR="007E4B5E" w:rsidRPr="00E4265B" w:rsidRDefault="007E4B5E" w:rsidP="00BC03B0">
            <w:pPr>
              <w:spacing w:after="240"/>
              <w:jc w:val="both"/>
              <w:rPr>
                <w:rFonts w:ascii="Arial" w:hAnsi="Arial" w:cs="Arial"/>
                <w:sz w:val="22"/>
                <w:szCs w:val="22"/>
                <w:lang w:val="en-GB"/>
              </w:rPr>
            </w:pPr>
            <w:r w:rsidRPr="00E4265B">
              <w:rPr>
                <w:rFonts w:ascii="Arial" w:hAnsi="Arial" w:cs="Arial"/>
                <w:sz w:val="22"/>
                <w:szCs w:val="22"/>
                <w:lang w:val="en-GB"/>
              </w:rPr>
              <w:t>The ratios referred to in (f) must be disclosed for each significant entity in the case of a Financial Group.</w:t>
            </w:r>
          </w:p>
        </w:tc>
      </w:tr>
      <w:tr w:rsidR="007E4B5E" w:rsidRPr="00E4265B" w14:paraId="680EC26B" w14:textId="77777777" w:rsidTr="00050198">
        <w:tc>
          <w:tcPr>
            <w:tcW w:w="1470" w:type="pct"/>
            <w:vMerge/>
          </w:tcPr>
          <w:p w14:paraId="4159CE9D" w14:textId="77777777" w:rsidR="007E4B5E" w:rsidRPr="00E4265B" w:rsidRDefault="007E4B5E" w:rsidP="002C7665">
            <w:pPr>
              <w:spacing w:after="240"/>
              <w:rPr>
                <w:rFonts w:ascii="Arial" w:hAnsi="Arial" w:cs="Arial"/>
                <w:sz w:val="22"/>
                <w:szCs w:val="22"/>
                <w:lang w:val="en-GB"/>
              </w:rPr>
            </w:pPr>
          </w:p>
        </w:tc>
        <w:tc>
          <w:tcPr>
            <w:tcW w:w="341" w:type="pct"/>
          </w:tcPr>
          <w:p w14:paraId="2D584543" w14:textId="77777777" w:rsidR="007E4B5E" w:rsidRPr="00E4265B" w:rsidRDefault="007E4B5E" w:rsidP="002C7665">
            <w:pPr>
              <w:spacing w:after="240"/>
              <w:rPr>
                <w:rFonts w:ascii="Arial" w:hAnsi="Arial" w:cs="Arial"/>
                <w:sz w:val="22"/>
                <w:szCs w:val="22"/>
                <w:lang w:val="en-GB"/>
              </w:rPr>
            </w:pPr>
            <w:r w:rsidRPr="00E4265B">
              <w:rPr>
                <w:rFonts w:ascii="Arial" w:hAnsi="Arial" w:cs="Arial"/>
                <w:sz w:val="22"/>
                <w:szCs w:val="22"/>
                <w:lang w:val="en-GB"/>
              </w:rPr>
              <w:t>(h)</w:t>
            </w:r>
          </w:p>
        </w:tc>
        <w:tc>
          <w:tcPr>
            <w:tcW w:w="3189" w:type="pct"/>
          </w:tcPr>
          <w:p w14:paraId="2E65E838" w14:textId="7F89BF0F" w:rsidR="007E4B5E" w:rsidRPr="00E4265B" w:rsidRDefault="00A12656" w:rsidP="005F263A">
            <w:pPr>
              <w:spacing w:after="240"/>
              <w:jc w:val="both"/>
              <w:rPr>
                <w:rFonts w:ascii="Arial" w:hAnsi="Arial" w:cs="Arial"/>
                <w:sz w:val="22"/>
                <w:szCs w:val="22"/>
                <w:lang w:val="en-GB"/>
              </w:rPr>
            </w:pPr>
            <w:r w:rsidRPr="00E4265B">
              <w:rPr>
                <w:rFonts w:ascii="Arial" w:hAnsi="Arial" w:cs="Arial"/>
                <w:sz w:val="22"/>
                <w:szCs w:val="22"/>
                <w:lang w:val="en-GB"/>
              </w:rPr>
              <w:t>(i)</w:t>
            </w:r>
            <w:r w:rsidR="005F263A" w:rsidRPr="00E4265B">
              <w:rPr>
                <w:rFonts w:ascii="Arial" w:hAnsi="Arial" w:cs="Arial"/>
                <w:sz w:val="22"/>
                <w:szCs w:val="22"/>
                <w:lang w:val="en-GB"/>
              </w:rPr>
              <w:tab/>
            </w:r>
            <w:r w:rsidR="007E4B5E" w:rsidRPr="00E4265B">
              <w:rPr>
                <w:rFonts w:ascii="Arial" w:hAnsi="Arial" w:cs="Arial"/>
                <w:sz w:val="22"/>
                <w:szCs w:val="22"/>
                <w:lang w:val="en-GB"/>
              </w:rPr>
              <w:t>The Leverage Ratio</w:t>
            </w:r>
            <w:r w:rsidRPr="00E4265B">
              <w:rPr>
                <w:rFonts w:ascii="Arial" w:hAnsi="Arial" w:cs="Arial"/>
                <w:sz w:val="22"/>
                <w:szCs w:val="22"/>
                <w:lang w:val="en-GB"/>
              </w:rPr>
              <w:t>;</w:t>
            </w:r>
          </w:p>
          <w:p w14:paraId="168A6DC2" w14:textId="088A19F9" w:rsidR="00A12656" w:rsidRPr="00E4265B" w:rsidRDefault="00A12656" w:rsidP="005F263A">
            <w:pPr>
              <w:spacing w:after="240"/>
              <w:jc w:val="both"/>
              <w:rPr>
                <w:rFonts w:ascii="Arial" w:hAnsi="Arial" w:cs="Arial"/>
                <w:sz w:val="22"/>
                <w:szCs w:val="22"/>
                <w:lang w:val="en-GB"/>
              </w:rPr>
            </w:pPr>
            <w:r w:rsidRPr="00E4265B">
              <w:rPr>
                <w:rFonts w:ascii="Arial" w:hAnsi="Arial" w:cs="Arial"/>
                <w:sz w:val="22"/>
                <w:szCs w:val="22"/>
                <w:lang w:val="en-GB"/>
              </w:rPr>
              <w:t>(ii)</w:t>
            </w:r>
            <w:r w:rsidR="005F263A" w:rsidRPr="00E4265B">
              <w:rPr>
                <w:rFonts w:ascii="Arial" w:hAnsi="Arial" w:cs="Arial"/>
                <w:sz w:val="22"/>
                <w:szCs w:val="22"/>
                <w:lang w:val="en-GB"/>
              </w:rPr>
              <w:tab/>
            </w:r>
            <w:r w:rsidR="00A97C20" w:rsidRPr="00E4265B">
              <w:rPr>
                <w:rFonts w:ascii="Arial" w:hAnsi="Arial" w:cs="Arial"/>
                <w:sz w:val="22"/>
                <w:szCs w:val="22"/>
                <w:lang w:val="en-GB"/>
              </w:rPr>
              <w:t>t</w:t>
            </w:r>
            <w:r w:rsidRPr="00E4265B">
              <w:rPr>
                <w:rFonts w:ascii="Arial" w:hAnsi="Arial" w:cs="Arial"/>
                <w:sz w:val="22"/>
                <w:szCs w:val="22"/>
                <w:lang w:val="en-GB"/>
              </w:rPr>
              <w:t>he Capital Measure; and</w:t>
            </w:r>
          </w:p>
          <w:p w14:paraId="57A174E8" w14:textId="507BA744" w:rsidR="00A12656" w:rsidRPr="00E4265B" w:rsidRDefault="00A97C20" w:rsidP="0019712D">
            <w:pPr>
              <w:pStyle w:val="ListParagraph"/>
              <w:numPr>
                <w:ilvl w:val="0"/>
                <w:numId w:val="72"/>
              </w:numPr>
              <w:spacing w:after="240"/>
              <w:ind w:hanging="720"/>
              <w:jc w:val="both"/>
              <w:rPr>
                <w:rFonts w:ascii="Arial" w:hAnsi="Arial" w:cs="Arial"/>
                <w:sz w:val="22"/>
                <w:szCs w:val="22"/>
                <w:lang w:val="en-GB"/>
              </w:rPr>
            </w:pPr>
            <w:r w:rsidRPr="00E4265B">
              <w:rPr>
                <w:rFonts w:ascii="Arial" w:hAnsi="Arial" w:cs="Arial"/>
                <w:sz w:val="22"/>
                <w:szCs w:val="22"/>
                <w:lang w:val="en-GB"/>
              </w:rPr>
              <w:t>the Exposure Measure.</w:t>
            </w:r>
          </w:p>
        </w:tc>
      </w:tr>
    </w:tbl>
    <w:p w14:paraId="1945706B" w14:textId="77777777" w:rsidR="00E22FF2" w:rsidRPr="00E4265B" w:rsidRDefault="00E22FF2" w:rsidP="00050198">
      <w:pPr>
        <w:rPr>
          <w:rFonts w:ascii="Arial" w:hAnsi="Arial" w:cs="Arial"/>
          <w:sz w:val="22"/>
          <w:szCs w:val="22"/>
          <w:lang w:val="en-GB"/>
        </w:rPr>
      </w:pPr>
    </w:p>
    <w:p w14:paraId="2D4EB4DE" w14:textId="7ACD836F" w:rsidR="00EA2711" w:rsidRPr="00E4265B" w:rsidRDefault="00EA2711" w:rsidP="0028396B">
      <w:pPr>
        <w:jc w:val="center"/>
        <w:rPr>
          <w:rFonts w:ascii="Arial" w:hAnsi="Arial" w:cs="Arial"/>
          <w:b/>
          <w:sz w:val="22"/>
          <w:szCs w:val="22"/>
          <w:lang w:val="en-GB"/>
        </w:rPr>
      </w:pPr>
      <w:r w:rsidRPr="00E4265B">
        <w:rPr>
          <w:rFonts w:ascii="Arial" w:hAnsi="Arial" w:cs="Arial"/>
          <w:b/>
          <w:sz w:val="22"/>
          <w:szCs w:val="22"/>
          <w:lang w:val="en-GB"/>
        </w:rPr>
        <w:t xml:space="preserve">Table </w:t>
      </w:r>
      <w:r w:rsidR="0028396B" w:rsidRPr="00E4265B">
        <w:rPr>
          <w:rFonts w:ascii="Arial" w:hAnsi="Arial" w:cs="Arial"/>
          <w:b/>
          <w:sz w:val="22"/>
          <w:szCs w:val="22"/>
          <w:lang w:val="en-GB"/>
        </w:rPr>
        <w:t>4</w:t>
      </w:r>
      <w:r w:rsidRPr="00E4265B">
        <w:rPr>
          <w:rFonts w:ascii="Arial" w:hAnsi="Arial" w:cs="Arial"/>
          <w:b/>
          <w:sz w:val="22"/>
          <w:szCs w:val="22"/>
          <w:lang w:val="en-GB"/>
        </w:rPr>
        <w:t xml:space="preserve"> – Liquidity Risk</w:t>
      </w:r>
    </w:p>
    <w:tbl>
      <w:tblPr>
        <w:tblStyle w:val="TableGrid"/>
        <w:tblW w:w="0" w:type="auto"/>
        <w:tblLook w:val="04A0" w:firstRow="1" w:lastRow="0" w:firstColumn="1" w:lastColumn="0" w:noHBand="0" w:noVBand="1"/>
      </w:tblPr>
      <w:tblGrid>
        <w:gridCol w:w="2607"/>
        <w:gridCol w:w="699"/>
        <w:gridCol w:w="5711"/>
      </w:tblGrid>
      <w:tr w:rsidR="0019712D" w:rsidRPr="00E4265B" w14:paraId="629B6DAC" w14:textId="77777777" w:rsidTr="0019712D">
        <w:tc>
          <w:tcPr>
            <w:tcW w:w="2607" w:type="dxa"/>
            <w:vMerge w:val="restart"/>
          </w:tcPr>
          <w:p w14:paraId="3F7D8257" w14:textId="77777777" w:rsidR="0019712D" w:rsidRPr="00E4265B" w:rsidRDefault="0019712D" w:rsidP="00EA2711">
            <w:pPr>
              <w:rPr>
                <w:rFonts w:ascii="Arial" w:hAnsi="Arial" w:cs="Arial"/>
                <w:sz w:val="22"/>
                <w:szCs w:val="22"/>
                <w:lang w:val="en-GB"/>
              </w:rPr>
            </w:pPr>
            <w:r w:rsidRPr="00E4265B">
              <w:rPr>
                <w:rFonts w:ascii="Arial" w:hAnsi="Arial" w:cs="Arial"/>
                <w:sz w:val="22"/>
                <w:szCs w:val="22"/>
                <w:lang w:val="en-GB"/>
              </w:rPr>
              <w:t>Quantitative Disclosures</w:t>
            </w:r>
          </w:p>
        </w:tc>
        <w:tc>
          <w:tcPr>
            <w:tcW w:w="699" w:type="dxa"/>
          </w:tcPr>
          <w:p w14:paraId="4CFE0757" w14:textId="77777777" w:rsidR="0019712D" w:rsidRPr="00E4265B" w:rsidRDefault="0019712D" w:rsidP="00EA2711">
            <w:pPr>
              <w:rPr>
                <w:rFonts w:ascii="Arial" w:hAnsi="Arial" w:cs="Arial"/>
                <w:sz w:val="22"/>
                <w:szCs w:val="22"/>
                <w:lang w:val="en-GB"/>
              </w:rPr>
            </w:pPr>
            <w:r w:rsidRPr="00E4265B">
              <w:rPr>
                <w:rFonts w:ascii="Arial" w:hAnsi="Arial" w:cs="Arial"/>
                <w:sz w:val="22"/>
                <w:szCs w:val="22"/>
                <w:lang w:val="en-GB"/>
              </w:rPr>
              <w:t>(a)</w:t>
            </w:r>
          </w:p>
        </w:tc>
        <w:tc>
          <w:tcPr>
            <w:tcW w:w="5711" w:type="dxa"/>
          </w:tcPr>
          <w:p w14:paraId="486C763D" w14:textId="3BB51573" w:rsidR="0019712D" w:rsidRPr="00E4265B" w:rsidRDefault="0019712D" w:rsidP="009249F5">
            <w:pPr>
              <w:rPr>
                <w:rFonts w:ascii="Arial" w:hAnsi="Arial" w:cs="Arial"/>
                <w:sz w:val="22"/>
                <w:szCs w:val="22"/>
                <w:lang w:val="en-GB"/>
              </w:rPr>
            </w:pPr>
            <w:r w:rsidRPr="00E4265B">
              <w:rPr>
                <w:rFonts w:ascii="Arial" w:hAnsi="Arial" w:cs="Arial"/>
                <w:sz w:val="22"/>
                <w:szCs w:val="22"/>
                <w:lang w:val="en-GB"/>
              </w:rPr>
              <w:t>(i)</w:t>
            </w:r>
            <w:r w:rsidRPr="00E4265B">
              <w:rPr>
                <w:rFonts w:ascii="Arial" w:hAnsi="Arial" w:cs="Arial"/>
                <w:sz w:val="22"/>
                <w:szCs w:val="22"/>
                <w:lang w:val="en-GB"/>
              </w:rPr>
              <w:tab/>
              <w:t>The Liquidity Coverage Ratio;</w:t>
            </w:r>
          </w:p>
          <w:p w14:paraId="0400CFA4" w14:textId="77777777" w:rsidR="0019712D" w:rsidRPr="00E4265B" w:rsidRDefault="0019712D" w:rsidP="00EA2711">
            <w:pPr>
              <w:rPr>
                <w:rFonts w:ascii="Arial" w:hAnsi="Arial" w:cs="Arial"/>
                <w:sz w:val="22"/>
                <w:szCs w:val="22"/>
                <w:lang w:val="en-GB"/>
              </w:rPr>
            </w:pPr>
          </w:p>
          <w:p w14:paraId="2E2A7303" w14:textId="561E630B" w:rsidR="0019712D" w:rsidRPr="00E4265B" w:rsidRDefault="0019712D" w:rsidP="009249F5">
            <w:pPr>
              <w:tabs>
                <w:tab w:val="left" w:pos="681"/>
              </w:tabs>
              <w:ind w:left="681" w:hanging="681"/>
              <w:rPr>
                <w:rFonts w:ascii="Arial" w:hAnsi="Arial" w:cs="Arial"/>
                <w:sz w:val="22"/>
                <w:szCs w:val="22"/>
                <w:lang w:val="en-GB"/>
              </w:rPr>
            </w:pPr>
            <w:r w:rsidRPr="00E4265B">
              <w:rPr>
                <w:rFonts w:ascii="Arial" w:hAnsi="Arial" w:cs="Arial"/>
                <w:sz w:val="22"/>
                <w:szCs w:val="22"/>
                <w:lang w:val="en-GB"/>
              </w:rPr>
              <w:t>(ii)</w:t>
            </w:r>
            <w:r w:rsidRPr="00E4265B">
              <w:rPr>
                <w:rFonts w:ascii="Arial" w:hAnsi="Arial" w:cs="Arial"/>
                <w:sz w:val="22"/>
                <w:szCs w:val="22"/>
                <w:lang w:val="en-GB"/>
              </w:rPr>
              <w:tab/>
              <w:t>total high-quality liquid assets (HQLA) – unweighted;</w:t>
            </w:r>
          </w:p>
          <w:p w14:paraId="2D8B08EA" w14:textId="77777777" w:rsidR="0019712D" w:rsidRPr="00E4265B" w:rsidRDefault="0019712D" w:rsidP="00EA2711">
            <w:pPr>
              <w:rPr>
                <w:rFonts w:ascii="Arial" w:hAnsi="Arial" w:cs="Arial"/>
                <w:sz w:val="22"/>
                <w:szCs w:val="22"/>
                <w:lang w:val="en-GB"/>
              </w:rPr>
            </w:pPr>
          </w:p>
          <w:p w14:paraId="49E1D625" w14:textId="22C2CB81" w:rsidR="0019712D" w:rsidRPr="00E4265B" w:rsidRDefault="0019712D" w:rsidP="0019712D">
            <w:pPr>
              <w:pStyle w:val="ListParagraph"/>
              <w:tabs>
                <w:tab w:val="left" w:pos="771"/>
              </w:tabs>
              <w:ind w:left="681" w:hanging="681"/>
              <w:rPr>
                <w:rFonts w:ascii="Arial" w:hAnsi="Arial" w:cs="Arial"/>
                <w:sz w:val="22"/>
                <w:szCs w:val="22"/>
                <w:lang w:val="en-GB"/>
              </w:rPr>
            </w:pPr>
            <w:r w:rsidRPr="00E4265B">
              <w:rPr>
                <w:rFonts w:ascii="Arial" w:hAnsi="Arial" w:cs="Arial"/>
                <w:sz w:val="22"/>
                <w:szCs w:val="22"/>
                <w:lang w:val="en-GB"/>
              </w:rPr>
              <w:t>(iii)</w:t>
            </w:r>
            <w:r w:rsidRPr="00E4265B">
              <w:rPr>
                <w:rFonts w:ascii="Arial" w:hAnsi="Arial" w:cs="Arial"/>
                <w:sz w:val="22"/>
                <w:szCs w:val="22"/>
              </w:rPr>
              <w:t xml:space="preserve"> </w:t>
            </w:r>
            <w:r w:rsidRPr="00E4265B">
              <w:rPr>
                <w:rFonts w:ascii="Arial" w:hAnsi="Arial" w:cs="Arial"/>
                <w:sz w:val="22"/>
                <w:szCs w:val="22"/>
              </w:rPr>
              <w:tab/>
            </w:r>
            <w:r w:rsidRPr="00E4265B">
              <w:rPr>
                <w:rFonts w:ascii="Arial" w:hAnsi="Arial" w:cs="Arial"/>
                <w:sz w:val="22"/>
                <w:szCs w:val="22"/>
                <w:lang w:val="en-GB"/>
              </w:rPr>
              <w:t>total high-quality liquid assets (HQLA) – weighted;</w:t>
            </w:r>
          </w:p>
          <w:p w14:paraId="77E11ACF" w14:textId="77777777" w:rsidR="0019712D" w:rsidRPr="00E4265B" w:rsidRDefault="0019712D" w:rsidP="009249F5">
            <w:pPr>
              <w:tabs>
                <w:tab w:val="left" w:pos="771"/>
              </w:tabs>
              <w:ind w:left="681" w:hanging="681"/>
              <w:rPr>
                <w:rFonts w:ascii="Arial" w:hAnsi="Arial" w:cs="Arial"/>
                <w:sz w:val="22"/>
                <w:szCs w:val="22"/>
                <w:lang w:val="en-GB"/>
              </w:rPr>
            </w:pPr>
          </w:p>
          <w:p w14:paraId="11CE8172" w14:textId="3724447B" w:rsidR="0019712D" w:rsidRPr="00E4265B" w:rsidRDefault="0019712D" w:rsidP="0019712D">
            <w:pPr>
              <w:pStyle w:val="ListParagraph"/>
              <w:numPr>
                <w:ilvl w:val="0"/>
                <w:numId w:val="72"/>
              </w:numPr>
              <w:tabs>
                <w:tab w:val="left" w:pos="771"/>
              </w:tabs>
              <w:ind w:left="681" w:hanging="681"/>
              <w:rPr>
                <w:rFonts w:ascii="Arial" w:hAnsi="Arial" w:cs="Arial"/>
                <w:sz w:val="22"/>
                <w:szCs w:val="22"/>
                <w:lang w:val="en-GB"/>
              </w:rPr>
            </w:pPr>
            <w:r w:rsidRPr="00E4265B">
              <w:rPr>
                <w:rFonts w:ascii="Arial" w:hAnsi="Arial" w:cs="Arial"/>
                <w:sz w:val="22"/>
                <w:szCs w:val="22"/>
                <w:lang w:val="en-GB"/>
              </w:rPr>
              <w:t>total net cash outflows – unweighted; and</w:t>
            </w:r>
          </w:p>
          <w:p w14:paraId="3A48AAD6" w14:textId="4AD5DA8D" w:rsidR="0019712D" w:rsidRPr="00E4265B" w:rsidRDefault="0019712D" w:rsidP="009249F5">
            <w:pPr>
              <w:tabs>
                <w:tab w:val="left" w:pos="771"/>
                <w:tab w:val="left" w:pos="4392"/>
              </w:tabs>
              <w:ind w:left="681" w:hanging="681"/>
              <w:rPr>
                <w:rFonts w:ascii="Arial" w:hAnsi="Arial" w:cs="Arial"/>
                <w:sz w:val="22"/>
                <w:szCs w:val="22"/>
                <w:lang w:val="en-GB"/>
              </w:rPr>
            </w:pPr>
          </w:p>
          <w:p w14:paraId="10CEA4F8" w14:textId="4657EED5" w:rsidR="0019712D" w:rsidRPr="00E4265B" w:rsidRDefault="0019712D" w:rsidP="0019712D">
            <w:pPr>
              <w:pStyle w:val="ListParagraph"/>
              <w:tabs>
                <w:tab w:val="left" w:pos="771"/>
              </w:tabs>
              <w:ind w:left="681" w:hanging="681"/>
              <w:rPr>
                <w:rFonts w:ascii="Arial" w:hAnsi="Arial" w:cs="Arial"/>
                <w:sz w:val="22"/>
                <w:szCs w:val="22"/>
                <w:lang w:val="en-GB"/>
              </w:rPr>
            </w:pPr>
            <w:r w:rsidRPr="00E4265B">
              <w:rPr>
                <w:rFonts w:ascii="Arial" w:hAnsi="Arial" w:cs="Arial"/>
                <w:sz w:val="22"/>
                <w:szCs w:val="22"/>
                <w:lang w:val="en-GB"/>
              </w:rPr>
              <w:t>(v)</w:t>
            </w:r>
            <w:r w:rsidRPr="00E4265B">
              <w:rPr>
                <w:rFonts w:ascii="Arial" w:hAnsi="Arial" w:cs="Arial"/>
                <w:sz w:val="22"/>
                <w:szCs w:val="22"/>
              </w:rPr>
              <w:t xml:space="preserve"> </w:t>
            </w:r>
            <w:r w:rsidRPr="00E4265B">
              <w:rPr>
                <w:rFonts w:ascii="Arial" w:hAnsi="Arial" w:cs="Arial"/>
                <w:sz w:val="22"/>
                <w:szCs w:val="22"/>
              </w:rPr>
              <w:tab/>
            </w:r>
            <w:r w:rsidRPr="00E4265B">
              <w:rPr>
                <w:rFonts w:ascii="Arial" w:hAnsi="Arial" w:cs="Arial"/>
                <w:sz w:val="22"/>
                <w:szCs w:val="22"/>
                <w:lang w:val="en-GB"/>
              </w:rPr>
              <w:t xml:space="preserve">total net cash outflows – weighted. </w:t>
            </w:r>
          </w:p>
        </w:tc>
      </w:tr>
      <w:tr w:rsidR="0019712D" w:rsidRPr="00E4265B" w14:paraId="206FBC07" w14:textId="77777777" w:rsidTr="0019712D">
        <w:tc>
          <w:tcPr>
            <w:tcW w:w="2607" w:type="dxa"/>
            <w:vMerge/>
          </w:tcPr>
          <w:p w14:paraId="6B155DBE" w14:textId="77777777" w:rsidR="0019712D" w:rsidRPr="00E4265B" w:rsidRDefault="0019712D" w:rsidP="0019712D">
            <w:pPr>
              <w:rPr>
                <w:rFonts w:ascii="Arial" w:hAnsi="Arial" w:cs="Arial"/>
                <w:sz w:val="22"/>
                <w:szCs w:val="22"/>
                <w:lang w:val="en-GB"/>
              </w:rPr>
            </w:pPr>
          </w:p>
        </w:tc>
        <w:tc>
          <w:tcPr>
            <w:tcW w:w="699" w:type="dxa"/>
          </w:tcPr>
          <w:p w14:paraId="2DBA2DD9" w14:textId="25508767" w:rsidR="0019712D" w:rsidRPr="00E4265B" w:rsidRDefault="0019712D" w:rsidP="0019712D">
            <w:pPr>
              <w:rPr>
                <w:rFonts w:ascii="Arial" w:hAnsi="Arial" w:cs="Arial"/>
                <w:sz w:val="22"/>
                <w:szCs w:val="22"/>
                <w:lang w:val="en-GB"/>
              </w:rPr>
            </w:pPr>
            <w:r w:rsidRPr="00E4265B">
              <w:rPr>
                <w:rFonts w:ascii="Arial" w:hAnsi="Arial" w:cs="Arial"/>
                <w:sz w:val="22"/>
                <w:szCs w:val="22"/>
              </w:rPr>
              <w:t>(b)</w:t>
            </w:r>
          </w:p>
        </w:tc>
        <w:tc>
          <w:tcPr>
            <w:tcW w:w="5711" w:type="dxa"/>
          </w:tcPr>
          <w:p w14:paraId="1D673D8E" w14:textId="77777777" w:rsidR="0019712D" w:rsidRPr="00E4265B" w:rsidRDefault="0019712D" w:rsidP="0019712D">
            <w:pPr>
              <w:rPr>
                <w:rFonts w:ascii="Arial" w:hAnsi="Arial" w:cs="Arial"/>
                <w:sz w:val="22"/>
                <w:szCs w:val="22"/>
              </w:rPr>
            </w:pPr>
            <w:r w:rsidRPr="00E4265B">
              <w:rPr>
                <w:rFonts w:ascii="Arial" w:hAnsi="Arial" w:cs="Arial"/>
                <w:sz w:val="22"/>
                <w:szCs w:val="22"/>
              </w:rPr>
              <w:t>(i)</w:t>
            </w:r>
            <w:r w:rsidRPr="00E4265B">
              <w:rPr>
                <w:rFonts w:ascii="Arial" w:hAnsi="Arial" w:cs="Arial"/>
                <w:sz w:val="22"/>
                <w:szCs w:val="22"/>
              </w:rPr>
              <w:tab/>
              <w:t>The Net Stable Funding Ratio;</w:t>
            </w:r>
          </w:p>
          <w:p w14:paraId="1CB140D6" w14:textId="77777777" w:rsidR="0019712D" w:rsidRPr="00E4265B" w:rsidRDefault="0019712D" w:rsidP="0019712D">
            <w:pPr>
              <w:rPr>
                <w:rFonts w:ascii="Arial" w:hAnsi="Arial" w:cs="Arial"/>
                <w:sz w:val="22"/>
                <w:szCs w:val="22"/>
              </w:rPr>
            </w:pPr>
          </w:p>
          <w:p w14:paraId="571119D2" w14:textId="77777777" w:rsidR="0019712D" w:rsidRPr="00E4265B" w:rsidRDefault="0019712D" w:rsidP="0019712D">
            <w:pPr>
              <w:rPr>
                <w:rFonts w:ascii="Arial" w:hAnsi="Arial" w:cs="Arial"/>
                <w:sz w:val="22"/>
                <w:szCs w:val="22"/>
              </w:rPr>
            </w:pPr>
            <w:r w:rsidRPr="00E4265B">
              <w:rPr>
                <w:rFonts w:ascii="Arial" w:hAnsi="Arial" w:cs="Arial"/>
                <w:sz w:val="22"/>
                <w:szCs w:val="22"/>
              </w:rPr>
              <w:t>(ii)</w:t>
            </w:r>
            <w:r w:rsidRPr="00E4265B">
              <w:rPr>
                <w:rFonts w:ascii="Arial" w:hAnsi="Arial" w:cs="Arial"/>
                <w:sz w:val="22"/>
                <w:szCs w:val="22"/>
              </w:rPr>
              <w:tab/>
              <w:t>Available Stable Funding – capital instruments;</w:t>
            </w:r>
          </w:p>
          <w:p w14:paraId="46188373" w14:textId="77777777" w:rsidR="0019712D" w:rsidRPr="00E4265B" w:rsidRDefault="0019712D" w:rsidP="0019712D">
            <w:pPr>
              <w:rPr>
                <w:rFonts w:ascii="Arial" w:hAnsi="Arial" w:cs="Arial"/>
                <w:sz w:val="22"/>
                <w:szCs w:val="22"/>
              </w:rPr>
            </w:pPr>
          </w:p>
          <w:p w14:paraId="3577BDC7" w14:textId="77777777" w:rsidR="0019712D" w:rsidRPr="00E4265B" w:rsidRDefault="0019712D" w:rsidP="0019712D">
            <w:pPr>
              <w:rPr>
                <w:rFonts w:ascii="Arial" w:hAnsi="Arial" w:cs="Arial"/>
                <w:sz w:val="22"/>
                <w:szCs w:val="22"/>
              </w:rPr>
            </w:pPr>
            <w:r w:rsidRPr="00E4265B">
              <w:rPr>
                <w:rFonts w:ascii="Arial" w:hAnsi="Arial" w:cs="Arial"/>
                <w:sz w:val="22"/>
                <w:szCs w:val="22"/>
              </w:rPr>
              <w:t>(iii)</w:t>
            </w:r>
            <w:r w:rsidRPr="00E4265B">
              <w:rPr>
                <w:rFonts w:ascii="Arial" w:hAnsi="Arial" w:cs="Arial"/>
                <w:sz w:val="22"/>
                <w:szCs w:val="22"/>
              </w:rPr>
              <w:tab/>
              <w:t>Available Stable Funding – other liabilities;</w:t>
            </w:r>
          </w:p>
          <w:p w14:paraId="4DB83D74" w14:textId="77777777" w:rsidR="0019712D" w:rsidRPr="00E4265B" w:rsidRDefault="0019712D" w:rsidP="0019712D">
            <w:pPr>
              <w:rPr>
                <w:rFonts w:ascii="Arial" w:hAnsi="Arial" w:cs="Arial"/>
                <w:sz w:val="22"/>
                <w:szCs w:val="22"/>
              </w:rPr>
            </w:pPr>
          </w:p>
          <w:p w14:paraId="301A73E4" w14:textId="77777777" w:rsidR="0019712D" w:rsidRPr="00E4265B" w:rsidRDefault="0019712D" w:rsidP="0019712D">
            <w:pPr>
              <w:rPr>
                <w:rFonts w:ascii="Arial" w:hAnsi="Arial" w:cs="Arial"/>
                <w:sz w:val="22"/>
                <w:szCs w:val="22"/>
              </w:rPr>
            </w:pPr>
            <w:r w:rsidRPr="00E4265B">
              <w:rPr>
                <w:rFonts w:ascii="Arial" w:hAnsi="Arial" w:cs="Arial"/>
                <w:sz w:val="22"/>
                <w:szCs w:val="22"/>
              </w:rPr>
              <w:t>(iv)</w:t>
            </w:r>
            <w:r w:rsidRPr="00E4265B">
              <w:rPr>
                <w:rFonts w:ascii="Arial" w:hAnsi="Arial" w:cs="Arial"/>
                <w:sz w:val="22"/>
                <w:szCs w:val="22"/>
              </w:rPr>
              <w:tab/>
              <w:t>Required Stable Funding – assets; and</w:t>
            </w:r>
          </w:p>
          <w:p w14:paraId="01DCC920" w14:textId="77777777" w:rsidR="0019712D" w:rsidRPr="00E4265B" w:rsidRDefault="0019712D" w:rsidP="0019712D">
            <w:pPr>
              <w:rPr>
                <w:rFonts w:ascii="Arial" w:hAnsi="Arial" w:cs="Arial"/>
                <w:sz w:val="22"/>
                <w:szCs w:val="22"/>
              </w:rPr>
            </w:pPr>
          </w:p>
          <w:p w14:paraId="5A7D9FFE" w14:textId="4EFC9CB2" w:rsidR="0019712D" w:rsidRPr="00E4265B" w:rsidRDefault="0019712D" w:rsidP="0019712D">
            <w:pPr>
              <w:ind w:left="691" w:hanging="691"/>
              <w:rPr>
                <w:rFonts w:ascii="Arial" w:hAnsi="Arial" w:cs="Arial"/>
                <w:sz w:val="22"/>
                <w:szCs w:val="22"/>
                <w:lang w:val="en-GB"/>
              </w:rPr>
            </w:pPr>
            <w:r w:rsidRPr="00E4265B">
              <w:rPr>
                <w:rFonts w:ascii="Arial" w:hAnsi="Arial" w:cs="Arial"/>
                <w:sz w:val="22"/>
                <w:szCs w:val="22"/>
              </w:rPr>
              <w:t>(v)</w:t>
            </w:r>
            <w:r w:rsidRPr="00E4265B">
              <w:rPr>
                <w:rFonts w:ascii="Arial" w:hAnsi="Arial" w:cs="Arial"/>
                <w:sz w:val="22"/>
                <w:szCs w:val="22"/>
              </w:rPr>
              <w:tab/>
              <w:t>Required Stable Funding – off-balance sheet items.</w:t>
            </w:r>
          </w:p>
        </w:tc>
      </w:tr>
    </w:tbl>
    <w:p w14:paraId="7FCB466F" w14:textId="77777777" w:rsidR="00EA2711" w:rsidRPr="00E4265B" w:rsidRDefault="00EA2711" w:rsidP="00EA2711">
      <w:pPr>
        <w:rPr>
          <w:rFonts w:ascii="Arial" w:hAnsi="Arial" w:cs="Arial"/>
          <w:sz w:val="22"/>
          <w:szCs w:val="22"/>
        </w:rPr>
      </w:pPr>
    </w:p>
    <w:sectPr w:rsidR="00EA2711" w:rsidRPr="00E4265B" w:rsidSect="00520DA4">
      <w:headerReference w:type="default" r:id="rId31"/>
      <w:footerReference w:type="default" r:id="rId32"/>
      <w:pgSz w:w="11907" w:h="16839" w:code="9"/>
      <w:pgMar w:top="1741"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C1C26" w14:textId="77777777" w:rsidR="00247347" w:rsidRDefault="00247347" w:rsidP="00E22FF2">
      <w:r>
        <w:separator/>
      </w:r>
    </w:p>
  </w:endnote>
  <w:endnote w:type="continuationSeparator" w:id="0">
    <w:p w14:paraId="77DDEDAB" w14:textId="77777777" w:rsidR="00247347" w:rsidRDefault="00247347" w:rsidP="00E2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64332" w14:textId="37A5266F" w:rsidR="006A2FD1" w:rsidRPr="00183066" w:rsidRDefault="006A2FD1" w:rsidP="00183066">
    <w:pPr>
      <w:pStyle w:val="Footer"/>
    </w:pPr>
    <w:r>
      <w:rPr>
        <w:noProof/>
        <w:lang w:val="en-GB" w:eastAsia="en-GB"/>
      </w:rPr>
      <w:drawing>
        <wp:anchor distT="0" distB="0" distL="114300" distR="114300" simplePos="0" relativeHeight="251691008" behindDoc="1" locked="0" layoutInCell="1" allowOverlap="1" wp14:anchorId="55C03FF9" wp14:editId="68F71E64">
          <wp:simplePos x="0" y="0"/>
          <wp:positionH relativeFrom="page">
            <wp:posOffset>-635</wp:posOffset>
          </wp:positionH>
          <wp:positionV relativeFrom="paragraph">
            <wp:posOffset>-1349423</wp:posOffset>
          </wp:positionV>
          <wp:extent cx="7559040" cy="1874520"/>
          <wp:effectExtent l="0" t="0" r="3810" b="0"/>
          <wp:wrapNone/>
          <wp:docPr id="34"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245911"/>
      <w:docPartObj>
        <w:docPartGallery w:val="Page Numbers (Bottom of Page)"/>
        <w:docPartUnique/>
      </w:docPartObj>
    </w:sdtPr>
    <w:sdtEndPr>
      <w:rPr>
        <w:rFonts w:ascii="Calibri" w:hAnsi="Calibri" w:cs="Calibri"/>
        <w:noProof/>
        <w:sz w:val="20"/>
        <w:szCs w:val="20"/>
      </w:rPr>
    </w:sdtEndPr>
    <w:sdtContent>
      <w:p w14:paraId="6936399E" w14:textId="1E0FB010" w:rsidR="006A2FD1" w:rsidRPr="003C0546" w:rsidRDefault="006A2FD1" w:rsidP="006F104C">
        <w:pPr>
          <w:pStyle w:val="Footer"/>
          <w:tabs>
            <w:tab w:val="clear" w:pos="4680"/>
            <w:tab w:val="clear" w:pos="9360"/>
            <w:tab w:val="right" w:pos="14040"/>
          </w:tabs>
          <w:rPr>
            <w:rFonts w:ascii="Calibri" w:hAnsi="Calibri" w:cs="Calibri"/>
            <w:sz w:val="20"/>
            <w:szCs w:val="20"/>
          </w:rPr>
        </w:pPr>
        <w:r>
          <w:rPr>
            <w:noProof/>
            <w:lang w:val="en-GB" w:eastAsia="en-GB"/>
          </w:rPr>
          <w:drawing>
            <wp:anchor distT="0" distB="0" distL="114300" distR="114300" simplePos="0" relativeHeight="251725824" behindDoc="1" locked="0" layoutInCell="1" allowOverlap="1" wp14:anchorId="72A093C5" wp14:editId="6DAB3E34">
              <wp:simplePos x="0" y="0"/>
              <wp:positionH relativeFrom="page">
                <wp:align>left</wp:align>
              </wp:positionH>
              <wp:positionV relativeFrom="paragraph">
                <wp:posOffset>-904402</wp:posOffset>
              </wp:positionV>
              <wp:extent cx="7527851" cy="1874395"/>
              <wp:effectExtent l="0" t="0" r="0" b="0"/>
              <wp:wrapNone/>
              <wp:docPr id="75" name="Picture 75"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7851" cy="1874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Calibri"/>
            <w:b/>
            <w:bCs/>
            <w:color w:val="1F4F69"/>
            <w:sz w:val="20"/>
            <w:szCs w:val="20"/>
            <w:u w:color="000000"/>
            <w:bdr w:val="nil"/>
          </w:rPr>
          <w:tab/>
        </w:r>
        <w:r w:rsidRPr="003C0546">
          <w:rPr>
            <w:rFonts w:ascii="Calibri" w:hAnsi="Calibri" w:cs="Calibri"/>
            <w:sz w:val="20"/>
            <w:szCs w:val="20"/>
          </w:rPr>
          <w:fldChar w:fldCharType="begin"/>
        </w:r>
        <w:r w:rsidRPr="003C0546">
          <w:rPr>
            <w:rFonts w:ascii="Calibri" w:hAnsi="Calibri" w:cs="Calibri"/>
            <w:sz w:val="20"/>
            <w:szCs w:val="20"/>
          </w:rPr>
          <w:instrText xml:space="preserve"> PAGE   \* MERGEFORMAT </w:instrText>
        </w:r>
        <w:r w:rsidRPr="003C0546">
          <w:rPr>
            <w:rFonts w:ascii="Calibri" w:hAnsi="Calibri" w:cs="Calibri"/>
            <w:sz w:val="20"/>
            <w:szCs w:val="20"/>
          </w:rPr>
          <w:fldChar w:fldCharType="separate"/>
        </w:r>
        <w:r w:rsidR="00E93944">
          <w:rPr>
            <w:rFonts w:ascii="Calibri" w:hAnsi="Calibri" w:cs="Calibri"/>
            <w:noProof/>
            <w:sz w:val="20"/>
            <w:szCs w:val="20"/>
          </w:rPr>
          <w:t>314</w:t>
        </w:r>
        <w:r w:rsidRPr="003C0546">
          <w:rPr>
            <w:rFonts w:ascii="Calibri" w:hAnsi="Calibri" w:cs="Calibri"/>
            <w:noProof/>
            <w:sz w:val="20"/>
            <w:szCs w:val="20"/>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636013"/>
      <w:docPartObj>
        <w:docPartGallery w:val="Page Numbers (Bottom of Page)"/>
        <w:docPartUnique/>
      </w:docPartObj>
    </w:sdtPr>
    <w:sdtEndPr>
      <w:rPr>
        <w:noProof/>
      </w:rPr>
    </w:sdtEndPr>
    <w:sdtContent>
      <w:sdt>
        <w:sdtPr>
          <w:id w:val="788094364"/>
          <w:docPartObj>
            <w:docPartGallery w:val="Page Numbers (Bottom of Page)"/>
            <w:docPartUnique/>
          </w:docPartObj>
        </w:sdtPr>
        <w:sdtEndPr>
          <w:rPr>
            <w:rFonts w:ascii="Calibri" w:hAnsi="Calibri" w:cs="Calibri"/>
            <w:noProof/>
          </w:rPr>
        </w:sdtEndPr>
        <w:sdtContent>
          <w:p w14:paraId="0F827106" w14:textId="1AD26EE2" w:rsidR="006A2FD1" w:rsidRPr="00861CCD" w:rsidRDefault="006A2FD1" w:rsidP="006F104C">
            <w:pPr>
              <w:pStyle w:val="Footer"/>
              <w:rPr>
                <w:noProof/>
              </w:rPr>
            </w:pPr>
            <w:r>
              <w:rPr>
                <w:noProof/>
                <w:lang w:val="en-GB" w:eastAsia="en-GB"/>
              </w:rPr>
              <w:drawing>
                <wp:anchor distT="0" distB="0" distL="114300" distR="114300" simplePos="0" relativeHeight="251731968" behindDoc="1" locked="0" layoutInCell="1" allowOverlap="1" wp14:anchorId="0AF57758" wp14:editId="77B7098D">
                  <wp:simplePos x="0" y="0"/>
                  <wp:positionH relativeFrom="page">
                    <wp:align>right</wp:align>
                  </wp:positionH>
                  <wp:positionV relativeFrom="paragraph">
                    <wp:posOffset>-861872</wp:posOffset>
                  </wp:positionV>
                  <wp:extent cx="7527851" cy="1874395"/>
                  <wp:effectExtent l="0" t="0" r="0" b="0"/>
                  <wp:wrapNone/>
                  <wp:docPr id="78" name="Picture 78"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7851" cy="1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0F9">
              <w:rPr>
                <w:rFonts w:ascii="Calibri" w:hAnsi="Calibri" w:cs="Calibri"/>
                <w:noProof/>
                <w:lang w:val="en-GB" w:eastAsia="en-GB"/>
              </w:rPr>
              <w:drawing>
                <wp:anchor distT="152400" distB="152400" distL="152400" distR="152400" simplePos="0" relativeHeight="251656704" behindDoc="1" locked="0" layoutInCell="1" allowOverlap="1" wp14:anchorId="67B822C2" wp14:editId="02BA4560">
                  <wp:simplePos x="0" y="0"/>
                  <wp:positionH relativeFrom="page">
                    <wp:posOffset>68580</wp:posOffset>
                  </wp:positionH>
                  <wp:positionV relativeFrom="page">
                    <wp:posOffset>10812780</wp:posOffset>
                  </wp:positionV>
                  <wp:extent cx="7559675" cy="1144270"/>
                  <wp:effectExtent l="0" t="0" r="3175" b="0"/>
                  <wp:wrapNone/>
                  <wp:docPr id="19"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pic:nvPicPr>
                        <pic:blipFill>
                          <a:blip r:embed="rId2"/>
                          <a:srcRect b="24286"/>
                          <a:stretch>
                            <a:fillRect/>
                          </a:stretch>
                        </pic:blipFill>
                        <pic:spPr>
                          <a:xfrm>
                            <a:off x="0" y="0"/>
                            <a:ext cx="7559675" cy="1144270"/>
                          </a:xfrm>
                          <a:prstGeom prst="rect">
                            <a:avLst/>
                          </a:prstGeom>
                          <a:ln w="12700" cap="flat">
                            <a:noFill/>
                            <a:miter lim="400000"/>
                          </a:ln>
                          <a:effectLst/>
                        </pic:spPr>
                      </pic:pic>
                    </a:graphicData>
                  </a:graphic>
                </wp:anchor>
              </w:drawing>
            </w:r>
            <w:r>
              <w:rPr>
                <w:rFonts w:ascii="Calibri" w:eastAsia="Calibri" w:hAnsi="Calibri" w:cs="Calibri"/>
                <w:b/>
                <w:bCs/>
                <w:color w:val="1F4F69"/>
                <w:sz w:val="20"/>
                <w:szCs w:val="20"/>
                <w:u w:color="000000"/>
                <w:bdr w:val="nil"/>
              </w:rPr>
              <w:tab/>
            </w:r>
            <w:r>
              <w:rPr>
                <w:rFonts w:ascii="Calibri" w:eastAsia="Calibri" w:hAnsi="Calibri" w:cs="Calibri"/>
                <w:b/>
                <w:bCs/>
                <w:color w:val="1F4F69"/>
                <w:sz w:val="20"/>
                <w:szCs w:val="20"/>
                <w:u w:color="000000"/>
                <w:bdr w:val="nil"/>
              </w:rPr>
              <w:tab/>
            </w:r>
            <w:r w:rsidRPr="009E076A">
              <w:rPr>
                <w:rFonts w:ascii="Calibri" w:hAnsi="Calibri" w:cs="Calibri"/>
                <w:sz w:val="20"/>
                <w:szCs w:val="20"/>
              </w:rPr>
              <w:fldChar w:fldCharType="begin"/>
            </w:r>
            <w:r w:rsidRPr="009E076A">
              <w:rPr>
                <w:rFonts w:ascii="Calibri" w:hAnsi="Calibri" w:cs="Calibri"/>
                <w:sz w:val="20"/>
                <w:szCs w:val="20"/>
              </w:rPr>
              <w:instrText xml:space="preserve"> PAGE   \* MERGEFORMAT </w:instrText>
            </w:r>
            <w:r w:rsidRPr="009E076A">
              <w:rPr>
                <w:rFonts w:ascii="Calibri" w:hAnsi="Calibri" w:cs="Calibri"/>
                <w:sz w:val="20"/>
                <w:szCs w:val="20"/>
              </w:rPr>
              <w:fldChar w:fldCharType="separate"/>
            </w:r>
            <w:r w:rsidR="00E93944">
              <w:rPr>
                <w:rFonts w:ascii="Calibri" w:hAnsi="Calibri" w:cs="Calibri"/>
                <w:noProof/>
                <w:sz w:val="20"/>
                <w:szCs w:val="20"/>
              </w:rPr>
              <w:t>401</w:t>
            </w:r>
            <w:r w:rsidRPr="009E076A">
              <w:rPr>
                <w:rFonts w:ascii="Calibri" w:hAnsi="Calibri" w:cs="Calibri"/>
                <w:noProof/>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708415"/>
      <w:docPartObj>
        <w:docPartGallery w:val="Page Numbers (Bottom of Page)"/>
        <w:docPartUnique/>
      </w:docPartObj>
    </w:sdtPr>
    <w:sdtEndPr>
      <w:rPr>
        <w:rFonts w:ascii="Arial" w:hAnsi="Arial" w:cs="Arial"/>
        <w:noProof/>
        <w:sz w:val="22"/>
        <w:szCs w:val="22"/>
      </w:rPr>
    </w:sdtEndPr>
    <w:sdtContent>
      <w:p w14:paraId="5F194501" w14:textId="04FD8321" w:rsidR="006A2FD1" w:rsidRPr="00194493" w:rsidRDefault="006A2FD1">
        <w:pPr>
          <w:pStyle w:val="Footer"/>
          <w:jc w:val="right"/>
          <w:rPr>
            <w:rFonts w:ascii="Arial" w:hAnsi="Arial" w:cs="Arial"/>
            <w:sz w:val="22"/>
            <w:szCs w:val="22"/>
          </w:rPr>
        </w:pPr>
        <w:r>
          <w:rPr>
            <w:noProof/>
            <w:lang w:val="en-GB" w:eastAsia="en-GB"/>
          </w:rPr>
          <w:drawing>
            <wp:anchor distT="0" distB="0" distL="114300" distR="114300" simplePos="0" relativeHeight="251695104" behindDoc="1" locked="0" layoutInCell="1" allowOverlap="1" wp14:anchorId="4895413F" wp14:editId="5C8FE362">
              <wp:simplePos x="0" y="0"/>
              <wp:positionH relativeFrom="page">
                <wp:align>right</wp:align>
              </wp:positionH>
              <wp:positionV relativeFrom="paragraph">
                <wp:posOffset>-886851</wp:posOffset>
              </wp:positionV>
              <wp:extent cx="7559040" cy="1874520"/>
              <wp:effectExtent l="0" t="0" r="3810" b="0"/>
              <wp:wrapNone/>
              <wp:docPr id="41" name="Picture 4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4493">
          <w:rPr>
            <w:rFonts w:ascii="Arial" w:hAnsi="Arial" w:cs="Arial"/>
            <w:sz w:val="22"/>
            <w:szCs w:val="22"/>
          </w:rPr>
          <w:fldChar w:fldCharType="begin"/>
        </w:r>
        <w:r w:rsidRPr="00194493">
          <w:rPr>
            <w:rFonts w:ascii="Arial" w:hAnsi="Arial" w:cs="Arial"/>
            <w:sz w:val="22"/>
            <w:szCs w:val="22"/>
          </w:rPr>
          <w:instrText xml:space="preserve"> PAGE   \* MERGEFORMAT </w:instrText>
        </w:r>
        <w:r w:rsidRPr="00194493">
          <w:rPr>
            <w:rFonts w:ascii="Arial" w:hAnsi="Arial" w:cs="Arial"/>
            <w:sz w:val="22"/>
            <w:szCs w:val="22"/>
          </w:rPr>
          <w:fldChar w:fldCharType="separate"/>
        </w:r>
        <w:r w:rsidR="00E93944">
          <w:rPr>
            <w:rFonts w:ascii="Arial" w:hAnsi="Arial" w:cs="Arial"/>
            <w:noProof/>
            <w:sz w:val="22"/>
            <w:szCs w:val="22"/>
          </w:rPr>
          <w:t>i</w:t>
        </w:r>
        <w:r w:rsidRPr="00194493">
          <w:rPr>
            <w:rFonts w:ascii="Arial" w:hAnsi="Arial" w:cs="Arial"/>
            <w:noProof/>
            <w:sz w:val="22"/>
            <w:szCs w:val="22"/>
          </w:rPr>
          <w:fldChar w:fldCharType="end"/>
        </w:r>
      </w:p>
    </w:sdtContent>
  </w:sdt>
  <w:p w14:paraId="51306ED5" w14:textId="54B6E2F0" w:rsidR="006A2FD1" w:rsidRPr="00183066" w:rsidRDefault="006A2FD1" w:rsidP="001830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6115884"/>
      <w:docPartObj>
        <w:docPartGallery w:val="Page Numbers (Bottom of Page)"/>
        <w:docPartUnique/>
      </w:docPartObj>
    </w:sdtPr>
    <w:sdtEndPr>
      <w:rPr>
        <w:rFonts w:ascii="Arial" w:hAnsi="Arial" w:cs="Arial"/>
        <w:noProof/>
        <w:sz w:val="22"/>
        <w:szCs w:val="22"/>
      </w:rPr>
    </w:sdtEndPr>
    <w:sdtContent>
      <w:sdt>
        <w:sdtPr>
          <w:rPr>
            <w:rFonts w:ascii="Arial" w:hAnsi="Arial" w:cs="Arial"/>
            <w:sz w:val="22"/>
            <w:szCs w:val="22"/>
          </w:rPr>
          <w:id w:val="-497192257"/>
          <w:docPartObj>
            <w:docPartGallery w:val="Page Numbers (Bottom of Page)"/>
            <w:docPartUnique/>
          </w:docPartObj>
        </w:sdtPr>
        <w:sdtEndPr>
          <w:rPr>
            <w:noProof/>
          </w:rPr>
        </w:sdtEndPr>
        <w:sdtContent>
          <w:p w14:paraId="3331D53D" w14:textId="62B91663" w:rsidR="006A2FD1" w:rsidRPr="00194493" w:rsidRDefault="006A2FD1" w:rsidP="00194493">
            <w:pPr>
              <w:pStyle w:val="Footer"/>
              <w:tabs>
                <w:tab w:val="clear" w:pos="4680"/>
                <w:tab w:val="clear" w:pos="9360"/>
                <w:tab w:val="right" w:pos="9180"/>
              </w:tabs>
              <w:rPr>
                <w:rFonts w:ascii="Arial" w:hAnsi="Arial" w:cs="Arial"/>
                <w:noProof/>
                <w:sz w:val="22"/>
                <w:szCs w:val="22"/>
              </w:rPr>
            </w:pPr>
            <w:r>
              <w:rPr>
                <w:noProof/>
                <w:lang w:val="en-GB" w:eastAsia="en-GB"/>
              </w:rPr>
              <w:drawing>
                <wp:anchor distT="0" distB="0" distL="114300" distR="114300" simplePos="0" relativeHeight="251697152" behindDoc="1" locked="0" layoutInCell="1" allowOverlap="1" wp14:anchorId="723B8720" wp14:editId="3CA12FBB">
                  <wp:simplePos x="0" y="0"/>
                  <wp:positionH relativeFrom="page">
                    <wp:posOffset>-14068</wp:posOffset>
                  </wp:positionH>
                  <wp:positionV relativeFrom="paragraph">
                    <wp:posOffset>-921434</wp:posOffset>
                  </wp:positionV>
                  <wp:extent cx="7559040" cy="1874520"/>
                  <wp:effectExtent l="0" t="0" r="3810" b="0"/>
                  <wp:wrapNone/>
                  <wp:docPr id="61" name="Picture 6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4493">
              <w:rPr>
                <w:rFonts w:ascii="Arial" w:eastAsia="Calibri" w:hAnsi="Arial" w:cs="Arial"/>
                <w:b/>
                <w:bCs/>
                <w:color w:val="1F4F69"/>
                <w:sz w:val="22"/>
                <w:szCs w:val="22"/>
                <w:u w:color="000000"/>
                <w:bdr w:val="nil"/>
              </w:rPr>
              <w:tab/>
            </w:r>
            <w:r w:rsidRPr="00194493">
              <w:rPr>
                <w:rFonts w:ascii="Arial" w:hAnsi="Arial" w:cs="Arial"/>
                <w:sz w:val="22"/>
                <w:szCs w:val="22"/>
              </w:rPr>
              <w:fldChar w:fldCharType="begin"/>
            </w:r>
            <w:r w:rsidRPr="00194493">
              <w:rPr>
                <w:rFonts w:ascii="Arial" w:hAnsi="Arial" w:cs="Arial"/>
                <w:sz w:val="22"/>
                <w:szCs w:val="22"/>
              </w:rPr>
              <w:instrText xml:space="preserve"> PAGE   \* MERGEFORMAT </w:instrText>
            </w:r>
            <w:r w:rsidRPr="00194493">
              <w:rPr>
                <w:rFonts w:ascii="Arial" w:hAnsi="Arial" w:cs="Arial"/>
                <w:sz w:val="22"/>
                <w:szCs w:val="22"/>
              </w:rPr>
              <w:fldChar w:fldCharType="separate"/>
            </w:r>
            <w:r w:rsidR="00312EFD">
              <w:rPr>
                <w:rFonts w:ascii="Arial" w:hAnsi="Arial" w:cs="Arial"/>
                <w:noProof/>
                <w:sz w:val="22"/>
                <w:szCs w:val="22"/>
              </w:rPr>
              <w:t>2</w:t>
            </w:r>
            <w:r w:rsidRPr="00194493">
              <w:rPr>
                <w:rFonts w:ascii="Arial" w:hAnsi="Arial" w:cs="Arial"/>
                <w:noProof/>
                <w:sz w:val="22"/>
                <w:szCs w:val="22"/>
              </w:rPr>
              <w:fldChar w:fldCharType="end"/>
            </w: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072753"/>
      <w:docPartObj>
        <w:docPartGallery w:val="Page Numbers (Bottom of Page)"/>
        <w:docPartUnique/>
      </w:docPartObj>
    </w:sdtPr>
    <w:sdtEndPr>
      <w:rPr>
        <w:rFonts w:ascii="Calibri" w:hAnsi="Calibri" w:cs="Calibri"/>
        <w:noProof/>
        <w:sz w:val="20"/>
        <w:szCs w:val="20"/>
      </w:rPr>
    </w:sdtEndPr>
    <w:sdtContent>
      <w:p w14:paraId="44D8CDCD" w14:textId="146327AD" w:rsidR="006A2FD1" w:rsidRPr="00540139" w:rsidRDefault="006A2FD1" w:rsidP="001C2FC9">
        <w:pPr>
          <w:pStyle w:val="Footer"/>
          <w:tabs>
            <w:tab w:val="clear" w:pos="4680"/>
            <w:tab w:val="clear" w:pos="9360"/>
            <w:tab w:val="right" w:pos="13860"/>
          </w:tabs>
          <w:jc w:val="right"/>
          <w:rPr>
            <w:rFonts w:ascii="Calibri" w:hAnsi="Calibri" w:cs="Calibri"/>
            <w:sz w:val="20"/>
            <w:szCs w:val="20"/>
          </w:rPr>
        </w:pPr>
        <w:r>
          <w:rPr>
            <w:noProof/>
            <w:lang w:val="en-GB" w:eastAsia="en-GB"/>
          </w:rPr>
          <w:drawing>
            <wp:anchor distT="0" distB="0" distL="114300" distR="114300" simplePos="0" relativeHeight="251703296" behindDoc="1" locked="0" layoutInCell="1" allowOverlap="1" wp14:anchorId="0C4E2E56" wp14:editId="579799C6">
              <wp:simplePos x="0" y="0"/>
              <wp:positionH relativeFrom="page">
                <wp:align>left</wp:align>
              </wp:positionH>
              <wp:positionV relativeFrom="paragraph">
                <wp:posOffset>-888247</wp:posOffset>
              </wp:positionV>
              <wp:extent cx="8442251" cy="1874520"/>
              <wp:effectExtent l="0" t="0" r="0" b="0"/>
              <wp:wrapNone/>
              <wp:docPr id="64" name="Picture 64"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42251"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Calibri"/>
            <w:b/>
            <w:bCs/>
            <w:color w:val="1F4F69"/>
            <w:sz w:val="20"/>
            <w:szCs w:val="20"/>
            <w:u w:color="000000"/>
            <w:bdr w:val="nil"/>
          </w:rPr>
          <w:tab/>
        </w:r>
        <w:r w:rsidRPr="00540139">
          <w:rPr>
            <w:rFonts w:ascii="Calibri" w:hAnsi="Calibri" w:cs="Calibri"/>
            <w:sz w:val="20"/>
            <w:szCs w:val="20"/>
          </w:rPr>
          <w:fldChar w:fldCharType="begin"/>
        </w:r>
        <w:r w:rsidRPr="00540139">
          <w:rPr>
            <w:rFonts w:ascii="Calibri" w:hAnsi="Calibri" w:cs="Calibri"/>
            <w:sz w:val="20"/>
            <w:szCs w:val="20"/>
          </w:rPr>
          <w:instrText xml:space="preserve"> PAGE   \* MERGEFORMAT </w:instrText>
        </w:r>
        <w:r w:rsidRPr="00540139">
          <w:rPr>
            <w:rFonts w:ascii="Calibri" w:hAnsi="Calibri" w:cs="Calibri"/>
            <w:sz w:val="20"/>
            <w:szCs w:val="20"/>
          </w:rPr>
          <w:fldChar w:fldCharType="separate"/>
        </w:r>
        <w:r w:rsidR="00312EFD">
          <w:rPr>
            <w:rFonts w:ascii="Calibri" w:hAnsi="Calibri" w:cs="Calibri"/>
            <w:noProof/>
            <w:sz w:val="20"/>
            <w:szCs w:val="20"/>
          </w:rPr>
          <w:t>6</w:t>
        </w:r>
        <w:r w:rsidRPr="00540139">
          <w:rPr>
            <w:rFonts w:ascii="Calibri" w:hAnsi="Calibri" w:cs="Calibri"/>
            <w:noProof/>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000780"/>
      <w:docPartObj>
        <w:docPartGallery w:val="Page Numbers (Bottom of Page)"/>
        <w:docPartUnique/>
      </w:docPartObj>
    </w:sdtPr>
    <w:sdtEndPr>
      <w:rPr>
        <w:rFonts w:ascii="Calibri" w:hAnsi="Calibri" w:cs="Calibri"/>
        <w:noProof/>
        <w:sz w:val="20"/>
        <w:szCs w:val="20"/>
      </w:rPr>
    </w:sdtEndPr>
    <w:sdtContent>
      <w:p w14:paraId="19F923FB" w14:textId="33D1D74A" w:rsidR="006A2FD1" w:rsidRPr="00B95E3D" w:rsidRDefault="006A2FD1" w:rsidP="00E829AA">
        <w:pPr>
          <w:pStyle w:val="Footer"/>
          <w:tabs>
            <w:tab w:val="clear" w:pos="4680"/>
            <w:tab w:val="clear" w:pos="9360"/>
            <w:tab w:val="left" w:pos="810"/>
            <w:tab w:val="right" w:pos="9000"/>
          </w:tabs>
          <w:jc w:val="right"/>
          <w:rPr>
            <w:rFonts w:ascii="Calibri" w:hAnsi="Calibri" w:cs="Calibri"/>
            <w:sz w:val="20"/>
            <w:szCs w:val="20"/>
          </w:rPr>
        </w:pPr>
        <w:r>
          <w:rPr>
            <w:noProof/>
            <w:lang w:val="en-GB" w:eastAsia="en-GB"/>
          </w:rPr>
          <w:drawing>
            <wp:anchor distT="0" distB="0" distL="114300" distR="114300" simplePos="0" relativeHeight="251707392" behindDoc="1" locked="0" layoutInCell="1" allowOverlap="1" wp14:anchorId="2BB3E78B" wp14:editId="1AE4D9D4">
              <wp:simplePos x="0" y="0"/>
              <wp:positionH relativeFrom="page">
                <wp:align>right</wp:align>
              </wp:positionH>
              <wp:positionV relativeFrom="paragraph">
                <wp:posOffset>-925535</wp:posOffset>
              </wp:positionV>
              <wp:extent cx="7527851" cy="1874395"/>
              <wp:effectExtent l="0" t="0" r="0" b="0"/>
              <wp:wrapNone/>
              <wp:docPr id="66" name="Picture 66"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7851" cy="1874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Calibri"/>
            <w:b/>
            <w:bCs/>
            <w:color w:val="1F4F69"/>
            <w:sz w:val="20"/>
            <w:szCs w:val="20"/>
            <w:u w:color="000000"/>
            <w:bdr w:val="nil"/>
          </w:rPr>
          <w:tab/>
        </w:r>
        <w:r w:rsidRPr="00B95E3D">
          <w:rPr>
            <w:rFonts w:ascii="Calibri" w:hAnsi="Calibri" w:cs="Calibri"/>
            <w:sz w:val="20"/>
            <w:szCs w:val="20"/>
          </w:rPr>
          <w:fldChar w:fldCharType="begin"/>
        </w:r>
        <w:r w:rsidRPr="00B95E3D">
          <w:rPr>
            <w:rFonts w:ascii="Calibri" w:hAnsi="Calibri" w:cs="Calibri"/>
            <w:sz w:val="20"/>
            <w:szCs w:val="20"/>
          </w:rPr>
          <w:instrText xml:space="preserve"> PAGE   \* MERGEFORMAT </w:instrText>
        </w:r>
        <w:r w:rsidRPr="00B95E3D">
          <w:rPr>
            <w:rFonts w:ascii="Calibri" w:hAnsi="Calibri" w:cs="Calibri"/>
            <w:sz w:val="20"/>
            <w:szCs w:val="20"/>
          </w:rPr>
          <w:fldChar w:fldCharType="separate"/>
        </w:r>
        <w:r w:rsidR="00E93944">
          <w:rPr>
            <w:rFonts w:ascii="Calibri" w:hAnsi="Calibri" w:cs="Calibri"/>
            <w:noProof/>
            <w:sz w:val="20"/>
            <w:szCs w:val="20"/>
          </w:rPr>
          <w:t>179</w:t>
        </w:r>
        <w:r w:rsidRPr="00B95E3D">
          <w:rPr>
            <w:rFonts w:ascii="Calibri" w:hAnsi="Calibri" w:cs="Calibri"/>
            <w:noProof/>
            <w:sz w:val="20"/>
            <w:szCs w:val="2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780645"/>
      <w:docPartObj>
        <w:docPartGallery w:val="Page Numbers (Bottom of Page)"/>
        <w:docPartUnique/>
      </w:docPartObj>
    </w:sdtPr>
    <w:sdtEndPr>
      <w:rPr>
        <w:rFonts w:ascii="Calibri" w:hAnsi="Calibri" w:cs="Calibri"/>
        <w:noProof/>
        <w:sz w:val="20"/>
        <w:szCs w:val="20"/>
      </w:rPr>
    </w:sdtEndPr>
    <w:sdtContent>
      <w:p w14:paraId="2CD9EB64" w14:textId="19E51B09" w:rsidR="006A2FD1" w:rsidRPr="00B95E3D" w:rsidRDefault="006A2FD1" w:rsidP="008F11EB">
        <w:pPr>
          <w:pStyle w:val="Footer"/>
          <w:tabs>
            <w:tab w:val="clear" w:pos="4680"/>
            <w:tab w:val="clear" w:pos="9360"/>
            <w:tab w:val="left" w:pos="810"/>
            <w:tab w:val="right" w:pos="14040"/>
          </w:tabs>
          <w:jc w:val="right"/>
          <w:rPr>
            <w:rFonts w:ascii="Calibri" w:hAnsi="Calibri" w:cs="Calibri"/>
            <w:sz w:val="20"/>
            <w:szCs w:val="20"/>
          </w:rPr>
        </w:pPr>
        <w:r>
          <w:rPr>
            <w:noProof/>
            <w:lang w:val="en-GB" w:eastAsia="en-GB"/>
          </w:rPr>
          <w:drawing>
            <wp:anchor distT="0" distB="0" distL="114300" distR="114300" simplePos="0" relativeHeight="251711488" behindDoc="1" locked="0" layoutInCell="1" allowOverlap="1" wp14:anchorId="4123B672" wp14:editId="35ADFE42">
              <wp:simplePos x="0" y="0"/>
              <wp:positionH relativeFrom="page">
                <wp:align>left</wp:align>
              </wp:positionH>
              <wp:positionV relativeFrom="paragraph">
                <wp:posOffset>-893770</wp:posOffset>
              </wp:positionV>
              <wp:extent cx="7527851" cy="1874395"/>
              <wp:effectExtent l="0" t="0" r="0" b="0"/>
              <wp:wrapNone/>
              <wp:docPr id="68" name="Picture 68"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7851" cy="1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0F9">
          <w:rPr>
            <w:rFonts w:ascii="Calibri" w:hAnsi="Calibri" w:cs="Calibri"/>
            <w:noProof/>
            <w:lang w:val="en-GB" w:eastAsia="en-GB"/>
          </w:rPr>
          <w:drawing>
            <wp:anchor distT="152400" distB="152400" distL="152400" distR="152400" simplePos="0" relativeHeight="251686912" behindDoc="1" locked="0" layoutInCell="1" allowOverlap="1" wp14:anchorId="05FFCF38" wp14:editId="41BD4D5E">
              <wp:simplePos x="0" y="0"/>
              <wp:positionH relativeFrom="page">
                <wp:posOffset>68580</wp:posOffset>
              </wp:positionH>
              <wp:positionV relativeFrom="page">
                <wp:posOffset>10812780</wp:posOffset>
              </wp:positionV>
              <wp:extent cx="7559675" cy="1144270"/>
              <wp:effectExtent l="0" t="0" r="3175" b="0"/>
              <wp:wrapNone/>
              <wp:docPr id="6"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pic:nvPicPr>
                    <pic:blipFill>
                      <a:blip r:embed="rId2"/>
                      <a:srcRect b="24286"/>
                      <a:stretch>
                        <a:fillRect/>
                      </a:stretch>
                    </pic:blipFill>
                    <pic:spPr>
                      <a:xfrm>
                        <a:off x="0" y="0"/>
                        <a:ext cx="7559675" cy="1144270"/>
                      </a:xfrm>
                      <a:prstGeom prst="rect">
                        <a:avLst/>
                      </a:prstGeom>
                      <a:ln w="12700" cap="flat">
                        <a:noFill/>
                        <a:miter lim="400000"/>
                      </a:ln>
                      <a:effectLst/>
                    </pic:spPr>
                  </pic:pic>
                </a:graphicData>
              </a:graphic>
            </wp:anchor>
          </w:drawing>
        </w:r>
        <w:r>
          <w:rPr>
            <w:rFonts w:ascii="Calibri" w:eastAsia="Calibri" w:hAnsi="Calibri" w:cs="Calibri"/>
            <w:b/>
            <w:bCs/>
            <w:color w:val="1F4F69"/>
            <w:sz w:val="20"/>
            <w:szCs w:val="20"/>
            <w:u w:color="000000"/>
            <w:bdr w:val="nil"/>
          </w:rPr>
          <w:tab/>
        </w:r>
        <w:r w:rsidRPr="00B95E3D">
          <w:rPr>
            <w:rFonts w:ascii="Calibri" w:hAnsi="Calibri" w:cs="Calibri"/>
            <w:sz w:val="20"/>
            <w:szCs w:val="20"/>
          </w:rPr>
          <w:fldChar w:fldCharType="begin"/>
        </w:r>
        <w:r w:rsidRPr="00B95E3D">
          <w:rPr>
            <w:rFonts w:ascii="Calibri" w:hAnsi="Calibri" w:cs="Calibri"/>
            <w:sz w:val="20"/>
            <w:szCs w:val="20"/>
          </w:rPr>
          <w:instrText xml:space="preserve"> PAGE   \* MERGEFORMAT </w:instrText>
        </w:r>
        <w:r w:rsidRPr="00B95E3D">
          <w:rPr>
            <w:rFonts w:ascii="Calibri" w:hAnsi="Calibri" w:cs="Calibri"/>
            <w:sz w:val="20"/>
            <w:szCs w:val="20"/>
          </w:rPr>
          <w:fldChar w:fldCharType="separate"/>
        </w:r>
        <w:r w:rsidR="00E93944">
          <w:rPr>
            <w:rFonts w:ascii="Calibri" w:hAnsi="Calibri" w:cs="Calibri"/>
            <w:noProof/>
            <w:sz w:val="20"/>
            <w:szCs w:val="20"/>
          </w:rPr>
          <w:t>231</w:t>
        </w:r>
        <w:r w:rsidRPr="00B95E3D">
          <w:rPr>
            <w:rFonts w:ascii="Calibri" w:hAnsi="Calibri" w:cs="Calibri"/>
            <w:noProof/>
            <w:sz w:val="20"/>
            <w:szCs w:val="20"/>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034985"/>
      <w:docPartObj>
        <w:docPartGallery w:val="Page Numbers (Bottom of Page)"/>
        <w:docPartUnique/>
      </w:docPartObj>
    </w:sdtPr>
    <w:sdtEndPr>
      <w:rPr>
        <w:rFonts w:ascii="Calibri" w:hAnsi="Calibri" w:cs="Calibri"/>
        <w:noProof/>
        <w:sz w:val="20"/>
        <w:szCs w:val="20"/>
      </w:rPr>
    </w:sdtEndPr>
    <w:sdtContent>
      <w:p w14:paraId="16E65EBA" w14:textId="4685C315" w:rsidR="006A2FD1" w:rsidRPr="00B95E3D" w:rsidRDefault="006A2FD1" w:rsidP="008F11EB">
        <w:pPr>
          <w:pStyle w:val="Footer"/>
          <w:tabs>
            <w:tab w:val="clear" w:pos="4680"/>
            <w:tab w:val="clear" w:pos="9360"/>
            <w:tab w:val="left" w:pos="0"/>
            <w:tab w:val="right" w:pos="9000"/>
          </w:tabs>
          <w:jc w:val="right"/>
          <w:rPr>
            <w:rFonts w:ascii="Calibri" w:hAnsi="Calibri" w:cs="Calibri"/>
            <w:sz w:val="20"/>
            <w:szCs w:val="20"/>
          </w:rPr>
        </w:pPr>
        <w:r>
          <w:rPr>
            <w:noProof/>
            <w:lang w:val="en-GB" w:eastAsia="en-GB"/>
          </w:rPr>
          <w:drawing>
            <wp:anchor distT="0" distB="0" distL="114300" distR="114300" simplePos="0" relativeHeight="251713536" behindDoc="1" locked="0" layoutInCell="1" allowOverlap="1" wp14:anchorId="6DEEE86A" wp14:editId="2C2A9F41">
              <wp:simplePos x="0" y="0"/>
              <wp:positionH relativeFrom="page">
                <wp:align>right</wp:align>
              </wp:positionH>
              <wp:positionV relativeFrom="paragraph">
                <wp:posOffset>-936300</wp:posOffset>
              </wp:positionV>
              <wp:extent cx="7527851" cy="1874395"/>
              <wp:effectExtent l="0" t="0" r="0" b="0"/>
              <wp:wrapNone/>
              <wp:docPr id="69" name="Picture 69"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7851" cy="1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0F9">
          <w:rPr>
            <w:rFonts w:ascii="Calibri" w:hAnsi="Calibri" w:cs="Calibri"/>
            <w:noProof/>
            <w:lang w:val="en-GB" w:eastAsia="en-GB"/>
          </w:rPr>
          <w:drawing>
            <wp:anchor distT="152400" distB="152400" distL="152400" distR="152400" simplePos="0" relativeHeight="251639808" behindDoc="1" locked="0" layoutInCell="1" allowOverlap="1" wp14:anchorId="7EFCED43" wp14:editId="2D1C31D5">
              <wp:simplePos x="0" y="0"/>
              <wp:positionH relativeFrom="page">
                <wp:posOffset>-201930</wp:posOffset>
              </wp:positionH>
              <wp:positionV relativeFrom="page">
                <wp:posOffset>10599420</wp:posOffset>
              </wp:positionV>
              <wp:extent cx="7559675" cy="1144270"/>
              <wp:effectExtent l="0" t="0" r="3175" b="0"/>
              <wp:wrapNone/>
              <wp:docPr id="14"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pic:nvPicPr>
                    <pic:blipFill>
                      <a:blip r:embed="rId2"/>
                      <a:srcRect b="24286"/>
                      <a:stretch>
                        <a:fillRect/>
                      </a:stretch>
                    </pic:blipFill>
                    <pic:spPr>
                      <a:xfrm>
                        <a:off x="0" y="0"/>
                        <a:ext cx="7559675" cy="1144270"/>
                      </a:xfrm>
                      <a:prstGeom prst="rect">
                        <a:avLst/>
                      </a:prstGeom>
                      <a:ln w="12700" cap="flat">
                        <a:noFill/>
                        <a:miter lim="400000"/>
                      </a:ln>
                      <a:effectLst/>
                    </pic:spPr>
                  </pic:pic>
                </a:graphicData>
              </a:graphic>
            </wp:anchor>
          </w:drawing>
        </w:r>
        <w:r>
          <w:rPr>
            <w:rFonts w:ascii="Calibri" w:eastAsia="Calibri" w:hAnsi="Calibri" w:cs="Calibri"/>
            <w:b/>
            <w:bCs/>
            <w:color w:val="1F4F69"/>
            <w:sz w:val="20"/>
            <w:szCs w:val="20"/>
            <w:u w:color="000000"/>
            <w:bdr w:val="nil"/>
          </w:rPr>
          <w:tab/>
        </w:r>
        <w:r w:rsidRPr="00B95E3D">
          <w:rPr>
            <w:rFonts w:ascii="Calibri" w:hAnsi="Calibri" w:cs="Calibri"/>
            <w:sz w:val="20"/>
            <w:szCs w:val="20"/>
          </w:rPr>
          <w:fldChar w:fldCharType="begin"/>
        </w:r>
        <w:r w:rsidRPr="00B95E3D">
          <w:rPr>
            <w:rFonts w:ascii="Calibri" w:hAnsi="Calibri" w:cs="Calibri"/>
            <w:sz w:val="20"/>
            <w:szCs w:val="20"/>
          </w:rPr>
          <w:instrText xml:space="preserve"> PAGE   \* MERGEFORMAT </w:instrText>
        </w:r>
        <w:r w:rsidRPr="00B95E3D">
          <w:rPr>
            <w:rFonts w:ascii="Calibri" w:hAnsi="Calibri" w:cs="Calibri"/>
            <w:sz w:val="20"/>
            <w:szCs w:val="20"/>
          </w:rPr>
          <w:fldChar w:fldCharType="separate"/>
        </w:r>
        <w:r w:rsidR="00E93944">
          <w:rPr>
            <w:rFonts w:ascii="Calibri" w:hAnsi="Calibri" w:cs="Calibri"/>
            <w:noProof/>
            <w:sz w:val="20"/>
            <w:szCs w:val="20"/>
          </w:rPr>
          <w:t>308</w:t>
        </w:r>
        <w:r w:rsidRPr="00B95E3D">
          <w:rPr>
            <w:rFonts w:ascii="Calibri" w:hAnsi="Calibri" w:cs="Calibri"/>
            <w:noProof/>
            <w:sz w:val="20"/>
            <w:szCs w:val="20"/>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A4A70" w14:textId="32B4EA74" w:rsidR="006A2FD1" w:rsidRPr="00423209" w:rsidRDefault="006A2FD1" w:rsidP="006F104C">
    <w:pPr>
      <w:pStyle w:val="Footer"/>
      <w:tabs>
        <w:tab w:val="clear" w:pos="4680"/>
        <w:tab w:val="clear" w:pos="9360"/>
        <w:tab w:val="left" w:pos="13230"/>
        <w:tab w:val="left" w:pos="13588"/>
      </w:tabs>
      <w:ind w:right="461"/>
      <w:rPr>
        <w:rFonts w:ascii="Calibri" w:hAnsi="Calibri" w:cs="Calibri"/>
        <w:sz w:val="20"/>
        <w:szCs w:val="20"/>
      </w:rPr>
    </w:pPr>
    <w:r>
      <w:rPr>
        <w:noProof/>
        <w:lang w:val="en-GB" w:eastAsia="en-GB"/>
      </w:rPr>
      <w:drawing>
        <wp:anchor distT="0" distB="0" distL="114300" distR="114300" simplePos="0" relativeHeight="251717632" behindDoc="1" locked="0" layoutInCell="1" allowOverlap="1" wp14:anchorId="6948699D" wp14:editId="50E2FA91">
          <wp:simplePos x="0" y="0"/>
          <wp:positionH relativeFrom="page">
            <wp:posOffset>6350</wp:posOffset>
          </wp:positionH>
          <wp:positionV relativeFrom="paragraph">
            <wp:posOffset>-925372</wp:posOffset>
          </wp:positionV>
          <wp:extent cx="7527851" cy="1874395"/>
          <wp:effectExtent l="0" t="0" r="0" b="0"/>
          <wp:wrapNone/>
          <wp:docPr id="71" name="Picture 7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7851" cy="187439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338661187"/>
        <w:docPartObj>
          <w:docPartGallery w:val="Page Numbers (Bottom of Page)"/>
          <w:docPartUnique/>
        </w:docPartObj>
      </w:sdtPr>
      <w:sdtEndPr>
        <w:rPr>
          <w:rFonts w:ascii="Calibri" w:hAnsi="Calibri" w:cs="Calibri"/>
          <w:noProof/>
          <w:sz w:val="20"/>
          <w:szCs w:val="20"/>
        </w:rPr>
      </w:sdtEndPr>
      <w:sdtContent>
        <w:r w:rsidRPr="00DA10F9">
          <w:rPr>
            <w:rFonts w:ascii="Calibri" w:hAnsi="Calibri" w:cs="Calibri"/>
            <w:noProof/>
            <w:lang w:val="en-GB" w:eastAsia="en-GB"/>
          </w:rPr>
          <w:drawing>
            <wp:anchor distT="152400" distB="152400" distL="152400" distR="152400" simplePos="0" relativeHeight="251684864" behindDoc="1" locked="0" layoutInCell="1" allowOverlap="1" wp14:anchorId="633C4719" wp14:editId="4F6C9AAC">
              <wp:simplePos x="0" y="0"/>
              <wp:positionH relativeFrom="page">
                <wp:posOffset>68580</wp:posOffset>
              </wp:positionH>
              <wp:positionV relativeFrom="page">
                <wp:posOffset>10812780</wp:posOffset>
              </wp:positionV>
              <wp:extent cx="7559675" cy="1144270"/>
              <wp:effectExtent l="0" t="0" r="3175"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pic:nvPicPr>
                    <pic:blipFill>
                      <a:blip r:embed="rId2"/>
                      <a:srcRect b="24286"/>
                      <a:stretch>
                        <a:fillRect/>
                      </a:stretch>
                    </pic:blipFill>
                    <pic:spPr>
                      <a:xfrm>
                        <a:off x="0" y="0"/>
                        <a:ext cx="7559675" cy="1144270"/>
                      </a:xfrm>
                      <a:prstGeom prst="rect">
                        <a:avLst/>
                      </a:prstGeom>
                      <a:ln w="12700" cap="flat">
                        <a:noFill/>
                        <a:miter lim="400000"/>
                      </a:ln>
                      <a:effectLst/>
                    </pic:spPr>
                  </pic:pic>
                </a:graphicData>
              </a:graphic>
            </wp:anchor>
          </w:drawing>
        </w:r>
        <w:r>
          <w:rPr>
            <w:rFonts w:ascii="Calibri" w:eastAsia="Calibri" w:hAnsi="Calibri" w:cs="Calibri"/>
            <w:b/>
            <w:bCs/>
            <w:color w:val="1F4F69"/>
            <w:sz w:val="20"/>
            <w:szCs w:val="20"/>
            <w:u w:color="000000"/>
            <w:bdr w:val="nil"/>
          </w:rPr>
          <w:tab/>
        </w:r>
        <w:r w:rsidRPr="00423209">
          <w:rPr>
            <w:rFonts w:ascii="Calibri" w:hAnsi="Calibri" w:cs="Calibri"/>
            <w:sz w:val="20"/>
            <w:szCs w:val="20"/>
          </w:rPr>
          <w:fldChar w:fldCharType="begin"/>
        </w:r>
        <w:r w:rsidRPr="00423209">
          <w:rPr>
            <w:rFonts w:ascii="Calibri" w:hAnsi="Calibri" w:cs="Calibri"/>
            <w:sz w:val="20"/>
            <w:szCs w:val="20"/>
          </w:rPr>
          <w:instrText xml:space="preserve"> PAGE   \* MERGEFORMAT </w:instrText>
        </w:r>
        <w:r w:rsidRPr="00423209">
          <w:rPr>
            <w:rFonts w:ascii="Calibri" w:hAnsi="Calibri" w:cs="Calibri"/>
            <w:sz w:val="20"/>
            <w:szCs w:val="20"/>
          </w:rPr>
          <w:fldChar w:fldCharType="separate"/>
        </w:r>
        <w:r w:rsidR="00E93944">
          <w:rPr>
            <w:rFonts w:ascii="Calibri" w:hAnsi="Calibri" w:cs="Calibri"/>
            <w:noProof/>
            <w:sz w:val="20"/>
            <w:szCs w:val="20"/>
          </w:rPr>
          <w:t>310</w:t>
        </w:r>
        <w:r w:rsidRPr="00423209">
          <w:rPr>
            <w:rFonts w:ascii="Calibri" w:hAnsi="Calibri" w:cs="Calibri"/>
            <w:noProof/>
            <w:sz w:val="20"/>
            <w:szCs w:val="20"/>
          </w:rPr>
          <w:fldChar w:fldCharType="end"/>
        </w:r>
      </w:sdtContent>
    </w:sdt>
    <w:r w:rsidRPr="00DA10F9">
      <w:rPr>
        <w:rFonts w:ascii="Calibri" w:hAnsi="Calibri" w:cs="Calibri"/>
        <w:noProof/>
        <w:lang w:val="en-GB" w:eastAsia="en-GB"/>
      </w:rPr>
      <w:drawing>
        <wp:anchor distT="152400" distB="152400" distL="152400" distR="152400" simplePos="0" relativeHeight="251652096" behindDoc="1" locked="0" layoutInCell="1" allowOverlap="1" wp14:anchorId="452CD589" wp14:editId="5E3861B7">
          <wp:simplePos x="0" y="0"/>
          <wp:positionH relativeFrom="page">
            <wp:posOffset>-201930</wp:posOffset>
          </wp:positionH>
          <wp:positionV relativeFrom="page">
            <wp:posOffset>10599420</wp:posOffset>
          </wp:positionV>
          <wp:extent cx="7559675" cy="1144270"/>
          <wp:effectExtent l="0" t="0" r="3175" b="0"/>
          <wp:wrapNone/>
          <wp:docPr id="27"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pic:nvPicPr>
                <pic:blipFill>
                  <a:blip r:embed="rId2"/>
                  <a:srcRect b="24286"/>
                  <a:stretch>
                    <a:fillRect/>
                  </a:stretch>
                </pic:blipFill>
                <pic:spPr>
                  <a:xfrm>
                    <a:off x="0" y="0"/>
                    <a:ext cx="7559675" cy="1144270"/>
                  </a:xfrm>
                  <a:prstGeom prst="rect">
                    <a:avLst/>
                  </a:prstGeom>
                  <a:ln w="12700" cap="flat">
                    <a:noFill/>
                    <a:miter lim="400000"/>
                  </a:ln>
                  <a:effectLst/>
                </pic:spPr>
              </pic:pic>
            </a:graphicData>
          </a:graphic>
        </wp:anchor>
      </w:drawing>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4D52E" w14:textId="05F807E2" w:rsidR="006A2FD1" w:rsidRPr="00423209" w:rsidRDefault="006A2FD1" w:rsidP="006F104C">
    <w:pPr>
      <w:pStyle w:val="Footer"/>
      <w:tabs>
        <w:tab w:val="clear" w:pos="4680"/>
        <w:tab w:val="clear" w:pos="9360"/>
        <w:tab w:val="right" w:pos="8910"/>
      </w:tabs>
      <w:ind w:right="117"/>
      <w:rPr>
        <w:rFonts w:ascii="Calibri" w:hAnsi="Calibri" w:cs="Calibri"/>
        <w:sz w:val="20"/>
        <w:szCs w:val="20"/>
      </w:rPr>
    </w:pPr>
    <w:r>
      <w:rPr>
        <w:noProof/>
        <w:lang w:val="en-GB" w:eastAsia="en-GB"/>
      </w:rPr>
      <w:drawing>
        <wp:anchor distT="0" distB="0" distL="114300" distR="114300" simplePos="0" relativeHeight="251723776" behindDoc="1" locked="0" layoutInCell="1" allowOverlap="1" wp14:anchorId="4ACEB739" wp14:editId="31CBBD17">
          <wp:simplePos x="0" y="0"/>
          <wp:positionH relativeFrom="page">
            <wp:align>right</wp:align>
          </wp:positionH>
          <wp:positionV relativeFrom="paragraph">
            <wp:posOffset>-893770</wp:posOffset>
          </wp:positionV>
          <wp:extent cx="7527851" cy="1874395"/>
          <wp:effectExtent l="0" t="0" r="0" b="0"/>
          <wp:wrapNone/>
          <wp:docPr id="74" name="Picture 74"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7851" cy="187439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865048131"/>
        <w:docPartObj>
          <w:docPartGallery w:val="Page Numbers (Bottom of Page)"/>
          <w:docPartUnique/>
        </w:docPartObj>
      </w:sdtPr>
      <w:sdtEndPr>
        <w:rPr>
          <w:rFonts w:ascii="Calibri" w:hAnsi="Calibri" w:cs="Calibri"/>
          <w:noProof/>
          <w:sz w:val="20"/>
          <w:szCs w:val="20"/>
        </w:rPr>
      </w:sdtEndPr>
      <w:sdtContent>
        <w:r>
          <w:rPr>
            <w:rFonts w:ascii="Calibri" w:eastAsia="Calibri" w:hAnsi="Calibri" w:cs="Calibri"/>
            <w:b/>
            <w:bCs/>
            <w:color w:val="1F4F69"/>
            <w:sz w:val="20"/>
            <w:szCs w:val="20"/>
            <w:u w:color="000000"/>
            <w:bdr w:val="nil"/>
          </w:rPr>
          <w:tab/>
        </w:r>
        <w:r w:rsidRPr="00423209">
          <w:rPr>
            <w:rFonts w:ascii="Calibri" w:hAnsi="Calibri" w:cs="Calibri"/>
            <w:sz w:val="20"/>
            <w:szCs w:val="20"/>
          </w:rPr>
          <w:fldChar w:fldCharType="begin"/>
        </w:r>
        <w:r w:rsidRPr="00423209">
          <w:rPr>
            <w:rFonts w:ascii="Calibri" w:hAnsi="Calibri" w:cs="Calibri"/>
            <w:sz w:val="20"/>
            <w:szCs w:val="20"/>
          </w:rPr>
          <w:instrText xml:space="preserve"> PAGE   \* MERGEFORMAT </w:instrText>
        </w:r>
        <w:r w:rsidRPr="00423209">
          <w:rPr>
            <w:rFonts w:ascii="Calibri" w:hAnsi="Calibri" w:cs="Calibri"/>
            <w:sz w:val="20"/>
            <w:szCs w:val="20"/>
          </w:rPr>
          <w:fldChar w:fldCharType="separate"/>
        </w:r>
        <w:r w:rsidR="00E93944">
          <w:rPr>
            <w:rFonts w:ascii="Calibri" w:hAnsi="Calibri" w:cs="Calibri"/>
            <w:noProof/>
            <w:sz w:val="20"/>
            <w:szCs w:val="20"/>
          </w:rPr>
          <w:t>312</w:t>
        </w:r>
        <w:r w:rsidRPr="00423209">
          <w:rPr>
            <w:rFonts w:ascii="Calibri" w:hAnsi="Calibri" w:cs="Calibri"/>
            <w:noProof/>
            <w:sz w:val="20"/>
            <w:szCs w:val="20"/>
          </w:rPr>
          <w:fldChar w:fldCharType="end"/>
        </w:r>
      </w:sdtContent>
    </w:sdt>
    <w:r w:rsidRPr="00DA10F9">
      <w:rPr>
        <w:rFonts w:ascii="Calibri" w:hAnsi="Calibri" w:cs="Calibri"/>
        <w:noProof/>
        <w:lang w:val="en-GB" w:eastAsia="en-GB"/>
      </w:rPr>
      <w:drawing>
        <wp:anchor distT="152400" distB="152400" distL="152400" distR="152400" simplePos="0" relativeHeight="251678720" behindDoc="1" locked="0" layoutInCell="1" allowOverlap="1" wp14:anchorId="17631BCE" wp14:editId="6C980B9B">
          <wp:simplePos x="0" y="0"/>
          <wp:positionH relativeFrom="page">
            <wp:posOffset>-201930</wp:posOffset>
          </wp:positionH>
          <wp:positionV relativeFrom="page">
            <wp:posOffset>10599420</wp:posOffset>
          </wp:positionV>
          <wp:extent cx="7559675" cy="1144270"/>
          <wp:effectExtent l="0" t="0" r="3175" b="0"/>
          <wp:wrapNone/>
          <wp:docPr id="29"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pic:nvPicPr>
                <pic:blipFill>
                  <a:blip r:embed="rId2"/>
                  <a:srcRect b="24286"/>
                  <a:stretch>
                    <a:fillRect/>
                  </a:stretch>
                </pic:blipFill>
                <pic:spPr>
                  <a:xfrm>
                    <a:off x="0" y="0"/>
                    <a:ext cx="7559675" cy="1144270"/>
                  </a:xfrm>
                  <a:prstGeom prst="rect">
                    <a:avLst/>
                  </a:prstGeom>
                  <a:ln w="12700" cap="flat">
                    <a:noFill/>
                    <a:miter lim="400000"/>
                  </a:ln>
                  <a:effec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D73F5" w14:textId="77777777" w:rsidR="00247347" w:rsidRDefault="00247347" w:rsidP="00E22FF2">
      <w:r>
        <w:separator/>
      </w:r>
    </w:p>
  </w:footnote>
  <w:footnote w:type="continuationSeparator" w:id="0">
    <w:p w14:paraId="48D90531" w14:textId="77777777" w:rsidR="00247347" w:rsidRDefault="00247347" w:rsidP="00E22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86129" w14:textId="01A8FEE7" w:rsidR="006A2FD1" w:rsidRDefault="006A2FD1" w:rsidP="00183066">
    <w:pPr>
      <w:pStyle w:val="Header"/>
    </w:pPr>
    <w:r>
      <w:rPr>
        <w:noProof/>
        <w:lang w:val="en-GB" w:eastAsia="en-GB"/>
      </w:rPr>
      <w:drawing>
        <wp:anchor distT="0" distB="0" distL="114300" distR="114300" simplePos="0" relativeHeight="251688960" behindDoc="0" locked="0" layoutInCell="1" allowOverlap="1" wp14:anchorId="4B47A601" wp14:editId="755BAE14">
          <wp:simplePos x="0" y="0"/>
          <wp:positionH relativeFrom="margin">
            <wp:posOffset>-126560</wp:posOffset>
          </wp:positionH>
          <wp:positionV relativeFrom="paragraph">
            <wp:posOffset>239151</wp:posOffset>
          </wp:positionV>
          <wp:extent cx="1899666" cy="539496"/>
          <wp:effectExtent l="0" t="0" r="5715" b="0"/>
          <wp:wrapNone/>
          <wp:docPr id="33"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ABB9" w14:textId="7CEA4FAE" w:rsidR="006A2FD1" w:rsidRPr="00EC73C5" w:rsidRDefault="006A2FD1" w:rsidP="00E93944">
    <w:pPr>
      <w:pStyle w:val="Header"/>
      <w:tabs>
        <w:tab w:val="clear" w:pos="4680"/>
        <w:tab w:val="clear" w:pos="9360"/>
        <w:tab w:val="center" w:pos="7024"/>
      </w:tabs>
    </w:pPr>
    <w:r>
      <w:rPr>
        <w:noProof/>
        <w:lang w:val="en-GB" w:eastAsia="en-GB"/>
      </w:rPr>
      <w:drawing>
        <wp:anchor distT="0" distB="0" distL="114300" distR="114300" simplePos="0" relativeHeight="251727872" behindDoc="0" locked="0" layoutInCell="1" allowOverlap="1" wp14:anchorId="121BC0B3" wp14:editId="26F1E1B6">
          <wp:simplePos x="0" y="0"/>
          <wp:positionH relativeFrom="margin">
            <wp:posOffset>-223284</wp:posOffset>
          </wp:positionH>
          <wp:positionV relativeFrom="paragraph">
            <wp:posOffset>-233916</wp:posOffset>
          </wp:positionV>
          <wp:extent cx="1899666" cy="539496"/>
          <wp:effectExtent l="0" t="0" r="5715" b="0"/>
          <wp:wrapNone/>
          <wp:docPr id="76"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rsidR="00B07AAE">
      <w:rPr>
        <w:rFonts w:ascii="Arial" w:eastAsia="Arial Unicode MS" w:hAnsi="Arial" w:cs="Arial"/>
        <w:b/>
        <w:color w:val="1F4F69"/>
        <w:sz w:val="20"/>
        <w:szCs w:val="20"/>
        <w:bdr w:val="nil"/>
      </w:rPr>
      <w:t>PRU VER13.</w:t>
    </w:r>
    <w:r w:rsidR="00AE6411">
      <w:rPr>
        <w:rFonts w:ascii="Arial" w:eastAsia="Arial Unicode MS" w:hAnsi="Arial" w:cs="Arial"/>
        <w:b/>
        <w:color w:val="1F4F69"/>
        <w:sz w:val="20"/>
        <w:szCs w:val="20"/>
        <w:bdr w:val="nil"/>
      </w:rPr>
      <w:t>18</w:t>
    </w:r>
    <w:r w:rsidR="00B07AAE">
      <w:rPr>
        <w:rFonts w:ascii="Arial" w:eastAsia="Arial Unicode MS" w:hAnsi="Arial" w:cs="Arial"/>
        <w:b/>
        <w:color w:val="1F4F69"/>
        <w:sz w:val="20"/>
        <w:szCs w:val="20"/>
        <w:bdr w:val="nil"/>
      </w:rPr>
      <w:t>1223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D6F4" w14:textId="2028459C" w:rsidR="006A2FD1" w:rsidRPr="00EC73C5" w:rsidRDefault="006A2FD1" w:rsidP="00E93944">
    <w:pPr>
      <w:pStyle w:val="Header"/>
      <w:tabs>
        <w:tab w:val="clear" w:pos="4680"/>
        <w:tab w:val="clear" w:pos="9360"/>
        <w:tab w:val="center" w:pos="7024"/>
      </w:tabs>
      <w:ind w:right="-329"/>
    </w:pPr>
    <w:r>
      <w:rPr>
        <w:noProof/>
        <w:lang w:val="en-GB" w:eastAsia="en-GB"/>
      </w:rPr>
      <w:drawing>
        <wp:anchor distT="0" distB="0" distL="114300" distR="114300" simplePos="0" relativeHeight="251729920" behindDoc="0" locked="0" layoutInCell="1" allowOverlap="1" wp14:anchorId="1039B9F5" wp14:editId="7D388D99">
          <wp:simplePos x="0" y="0"/>
          <wp:positionH relativeFrom="margin">
            <wp:posOffset>-265814</wp:posOffset>
          </wp:positionH>
          <wp:positionV relativeFrom="paragraph">
            <wp:posOffset>-74428</wp:posOffset>
          </wp:positionV>
          <wp:extent cx="1899666" cy="539496"/>
          <wp:effectExtent l="0" t="0" r="5715" b="0"/>
          <wp:wrapNone/>
          <wp:docPr id="77"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B07AAE">
      <w:rPr>
        <w:rFonts w:ascii="Arial" w:eastAsia="Arial Unicode MS" w:hAnsi="Arial" w:cs="Arial"/>
        <w:b/>
        <w:color w:val="1F4F69"/>
        <w:sz w:val="20"/>
        <w:szCs w:val="20"/>
        <w:bdr w:val="nil"/>
      </w:rPr>
      <w:t>PRU VER13.</w:t>
    </w:r>
    <w:r w:rsidR="00AE6411">
      <w:rPr>
        <w:rFonts w:ascii="Arial" w:eastAsia="Arial Unicode MS" w:hAnsi="Arial" w:cs="Arial"/>
        <w:b/>
        <w:color w:val="1F4F69"/>
        <w:sz w:val="20"/>
        <w:szCs w:val="20"/>
        <w:bdr w:val="nil"/>
      </w:rPr>
      <w:t>18</w:t>
    </w:r>
    <w:r w:rsidR="00B07AAE">
      <w:rPr>
        <w:rFonts w:ascii="Arial" w:eastAsia="Arial Unicode MS" w:hAnsi="Arial" w:cs="Arial"/>
        <w:b/>
        <w:color w:val="1F4F69"/>
        <w:sz w:val="20"/>
        <w:szCs w:val="20"/>
        <w:bdr w:val="nil"/>
      </w:rPr>
      <w:t>1223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2C46" w14:textId="164BB1C3" w:rsidR="006A2FD1" w:rsidRPr="00351330" w:rsidRDefault="006A2FD1" w:rsidP="006A2FD1">
    <w:pPr>
      <w:pStyle w:val="Footer"/>
      <w:rPr>
        <w:rFonts w:ascii="Arial" w:hAnsi="Arial" w:cs="Arial"/>
        <w:sz w:val="20"/>
        <w:szCs w:val="20"/>
      </w:rPr>
    </w:pPr>
    <w:r>
      <w:rPr>
        <w:noProof/>
        <w:lang w:val="en-GB" w:eastAsia="en-GB"/>
      </w:rPr>
      <w:drawing>
        <wp:anchor distT="0" distB="0" distL="114300" distR="114300" simplePos="0" relativeHeight="251693056" behindDoc="0" locked="0" layoutInCell="1" allowOverlap="1" wp14:anchorId="086A82DE" wp14:editId="1300ECB5">
          <wp:simplePos x="0" y="0"/>
          <wp:positionH relativeFrom="column">
            <wp:posOffset>-168812</wp:posOffset>
          </wp:positionH>
          <wp:positionV relativeFrom="paragraph">
            <wp:posOffset>-133643</wp:posOffset>
          </wp:positionV>
          <wp:extent cx="1899666" cy="539496"/>
          <wp:effectExtent l="0" t="0" r="5715" b="0"/>
          <wp:wrapNone/>
          <wp:docPr id="40"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Pr>
        <w:rFonts w:ascii="Arial" w:eastAsia="Arial Unicode MS" w:hAnsi="Arial" w:cs="Arial"/>
        <w:b/>
        <w:color w:val="1F4F69"/>
        <w:sz w:val="20"/>
        <w:szCs w:val="20"/>
        <w:bdr w:val="nil"/>
      </w:rPr>
      <w:t>PRU VER1</w:t>
    </w:r>
    <w:r w:rsidR="00B07AAE">
      <w:rPr>
        <w:rFonts w:ascii="Arial" w:eastAsia="Arial Unicode MS" w:hAnsi="Arial" w:cs="Arial"/>
        <w:b/>
        <w:color w:val="1F4F69"/>
        <w:sz w:val="20"/>
        <w:szCs w:val="20"/>
        <w:bdr w:val="nil"/>
      </w:rPr>
      <w:t>3</w:t>
    </w:r>
    <w:r>
      <w:rPr>
        <w:rFonts w:ascii="Arial" w:eastAsia="Arial Unicode MS" w:hAnsi="Arial" w:cs="Arial"/>
        <w:b/>
        <w:color w:val="1F4F69"/>
        <w:sz w:val="20"/>
        <w:szCs w:val="20"/>
        <w:bdr w:val="nil"/>
      </w:rPr>
      <w:t>.</w:t>
    </w:r>
    <w:r w:rsidR="00AE6411">
      <w:rPr>
        <w:rFonts w:ascii="Arial" w:eastAsia="Arial Unicode MS" w:hAnsi="Arial" w:cs="Arial"/>
        <w:b/>
        <w:color w:val="1F4F69"/>
        <w:sz w:val="20"/>
        <w:szCs w:val="20"/>
        <w:bdr w:val="nil"/>
      </w:rPr>
      <w:t>18</w:t>
    </w:r>
    <w:r w:rsidR="00B07AAE">
      <w:rPr>
        <w:rFonts w:ascii="Arial" w:eastAsia="Arial Unicode MS" w:hAnsi="Arial" w:cs="Arial"/>
        <w:b/>
        <w:color w:val="1F4F69"/>
        <w:sz w:val="20"/>
        <w:szCs w:val="20"/>
        <w:bdr w:val="nil"/>
      </w:rPr>
      <w:t>1223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8B738" w14:textId="7024A938" w:rsidR="006A2FD1" w:rsidRPr="00351330" w:rsidRDefault="006A2FD1" w:rsidP="006A2FD1">
    <w:pPr>
      <w:pStyle w:val="Footer"/>
      <w:ind w:left="2520" w:firstLine="4680"/>
      <w:rPr>
        <w:rFonts w:ascii="Arial" w:hAnsi="Arial" w:cs="Arial"/>
        <w:sz w:val="20"/>
        <w:szCs w:val="20"/>
      </w:rPr>
    </w:pPr>
    <w:r>
      <w:rPr>
        <w:noProof/>
        <w:lang w:val="en-GB" w:eastAsia="en-GB"/>
      </w:rPr>
      <w:drawing>
        <wp:anchor distT="0" distB="0" distL="114300" distR="114300" simplePos="0" relativeHeight="251699200" behindDoc="0" locked="0" layoutInCell="1" allowOverlap="1" wp14:anchorId="6F4BA65A" wp14:editId="5164DB6E">
          <wp:simplePos x="0" y="0"/>
          <wp:positionH relativeFrom="margin">
            <wp:align>left</wp:align>
          </wp:positionH>
          <wp:positionV relativeFrom="paragraph">
            <wp:posOffset>-126609</wp:posOffset>
          </wp:positionV>
          <wp:extent cx="1899666" cy="539496"/>
          <wp:effectExtent l="0" t="0" r="5715" b="0"/>
          <wp:wrapNone/>
          <wp:docPr id="62"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sidR="00B07AAE" w:rsidRPr="00B07AAE">
      <w:rPr>
        <w:rFonts w:ascii="Arial" w:eastAsia="Arial Unicode MS" w:hAnsi="Arial" w:cs="Arial"/>
        <w:b/>
        <w:color w:val="1F4F69"/>
        <w:sz w:val="20"/>
        <w:szCs w:val="20"/>
        <w:bdr w:val="nil"/>
      </w:rPr>
      <w:t xml:space="preserve"> </w:t>
    </w:r>
    <w:r w:rsidR="00B07AAE">
      <w:rPr>
        <w:rFonts w:ascii="Arial" w:eastAsia="Arial Unicode MS" w:hAnsi="Arial" w:cs="Arial"/>
        <w:b/>
        <w:color w:val="1F4F69"/>
        <w:sz w:val="20"/>
        <w:szCs w:val="20"/>
        <w:bdr w:val="nil"/>
      </w:rPr>
      <w:t>PRU VER13.</w:t>
    </w:r>
    <w:r w:rsidR="00AE6411">
      <w:rPr>
        <w:rFonts w:ascii="Arial" w:eastAsia="Arial Unicode MS" w:hAnsi="Arial" w:cs="Arial"/>
        <w:b/>
        <w:color w:val="1F4F69"/>
        <w:sz w:val="20"/>
        <w:szCs w:val="20"/>
        <w:bdr w:val="nil"/>
      </w:rPr>
      <w:t>18</w:t>
    </w:r>
    <w:r w:rsidR="00B07AAE">
      <w:rPr>
        <w:rFonts w:ascii="Arial" w:eastAsia="Arial Unicode MS" w:hAnsi="Arial" w:cs="Arial"/>
        <w:b/>
        <w:color w:val="1F4F69"/>
        <w:sz w:val="20"/>
        <w:szCs w:val="20"/>
        <w:bdr w:val="nil"/>
      </w:rPr>
      <w:t>1223</w:t>
    </w:r>
  </w:p>
  <w:p w14:paraId="615CAB7C" w14:textId="63FB6FB8" w:rsidR="006A2FD1" w:rsidRPr="00351330" w:rsidRDefault="006A2FD1" w:rsidP="0078441A">
    <w:pPr>
      <w:pStyle w:val="Header"/>
      <w:rP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7455" w14:textId="259FC165" w:rsidR="006A2FD1" w:rsidRPr="00351330" w:rsidRDefault="006A2FD1" w:rsidP="00312EFD">
    <w:pPr>
      <w:pStyle w:val="Footer"/>
      <w:rPr>
        <w:rFonts w:ascii="Arial" w:hAnsi="Arial" w:cs="Arial"/>
        <w:sz w:val="20"/>
        <w:szCs w:val="20"/>
      </w:rPr>
    </w:pPr>
    <w:r>
      <w:rPr>
        <w:noProof/>
        <w:lang w:val="en-GB" w:eastAsia="en-GB"/>
      </w:rPr>
      <w:drawing>
        <wp:anchor distT="0" distB="0" distL="114300" distR="114300" simplePos="0" relativeHeight="251701248" behindDoc="0" locked="0" layoutInCell="1" allowOverlap="1" wp14:anchorId="0AD27424" wp14:editId="46BE2D0B">
          <wp:simplePos x="0" y="0"/>
          <wp:positionH relativeFrom="margin">
            <wp:posOffset>0</wp:posOffset>
          </wp:positionH>
          <wp:positionV relativeFrom="paragraph">
            <wp:posOffset>0</wp:posOffset>
          </wp:positionV>
          <wp:extent cx="1899666" cy="539496"/>
          <wp:effectExtent l="0" t="0" r="5715" b="0"/>
          <wp:wrapNone/>
          <wp:docPr id="63"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r>
    <w:r>
      <w:tab/>
    </w:r>
    <w:r>
      <w:tab/>
    </w:r>
    <w:r>
      <w:tab/>
      <w:t xml:space="preserve">         </w:t>
    </w:r>
    <w:r w:rsidR="00B07AAE">
      <w:rPr>
        <w:rFonts w:ascii="Arial" w:eastAsia="Arial Unicode MS" w:hAnsi="Arial" w:cs="Arial"/>
        <w:b/>
        <w:color w:val="1F4F69"/>
        <w:sz w:val="20"/>
        <w:szCs w:val="20"/>
        <w:bdr w:val="nil"/>
      </w:rPr>
      <w:t>PRU VER13.</w:t>
    </w:r>
    <w:r w:rsidR="00AE6411">
      <w:rPr>
        <w:rFonts w:ascii="Arial" w:eastAsia="Arial Unicode MS" w:hAnsi="Arial" w:cs="Arial"/>
        <w:b/>
        <w:color w:val="1F4F69"/>
        <w:sz w:val="20"/>
        <w:szCs w:val="20"/>
        <w:bdr w:val="nil"/>
      </w:rPr>
      <w:t>18</w:t>
    </w:r>
    <w:r w:rsidR="00B07AAE">
      <w:rPr>
        <w:rFonts w:ascii="Arial" w:eastAsia="Arial Unicode MS" w:hAnsi="Arial" w:cs="Arial"/>
        <w:b/>
        <w:color w:val="1F4F69"/>
        <w:sz w:val="20"/>
        <w:szCs w:val="20"/>
        <w:bdr w:val="nil"/>
      </w:rPr>
      <w:t>1223</w:t>
    </w:r>
  </w:p>
  <w:p w14:paraId="24341220" w14:textId="1A129C7F" w:rsidR="006A2FD1" w:rsidRPr="00EC73C5" w:rsidRDefault="006A2FD1" w:rsidP="00B95E3D">
    <w:pPr>
      <w:pStyle w:val="Header"/>
      <w:tabs>
        <w:tab w:val="clear" w:pos="4680"/>
        <w:tab w:val="clear" w:pos="9360"/>
        <w:tab w:val="left" w:pos="388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8867D" w14:textId="2823114E" w:rsidR="006A2FD1" w:rsidRPr="00351330" w:rsidRDefault="006A2FD1" w:rsidP="00312EFD">
    <w:pPr>
      <w:pStyle w:val="Header"/>
      <w:tabs>
        <w:tab w:val="clear" w:pos="4680"/>
        <w:tab w:val="clear" w:pos="9360"/>
        <w:tab w:val="left" w:pos="4253"/>
      </w:tabs>
      <w:ind w:right="-754"/>
      <w:rPr>
        <w:rFonts w:ascii="Arial" w:hAnsi="Arial" w:cs="Arial"/>
      </w:rPr>
    </w:pPr>
    <w:r>
      <w:rPr>
        <w:noProof/>
        <w:lang w:val="en-GB" w:eastAsia="en-GB"/>
      </w:rPr>
      <w:drawing>
        <wp:anchor distT="0" distB="0" distL="114300" distR="114300" simplePos="0" relativeHeight="251705344" behindDoc="0" locked="0" layoutInCell="1" allowOverlap="1" wp14:anchorId="6618D8B6" wp14:editId="739B89CE">
          <wp:simplePos x="0" y="0"/>
          <wp:positionH relativeFrom="margin">
            <wp:posOffset>-318977</wp:posOffset>
          </wp:positionH>
          <wp:positionV relativeFrom="paragraph">
            <wp:posOffset>-254576</wp:posOffset>
          </wp:positionV>
          <wp:extent cx="1899666" cy="539496"/>
          <wp:effectExtent l="0" t="0" r="5715" b="0"/>
          <wp:wrapNone/>
          <wp:docPr id="65"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rsidR="00B07AAE">
      <w:rPr>
        <w:rFonts w:ascii="Arial" w:eastAsia="Arial Unicode MS" w:hAnsi="Arial" w:cs="Arial"/>
        <w:b/>
        <w:color w:val="1F4F69"/>
        <w:sz w:val="20"/>
        <w:szCs w:val="20"/>
        <w:bdr w:val="nil"/>
      </w:rPr>
      <w:t>PRU VER13.</w:t>
    </w:r>
    <w:r w:rsidR="00AE6411">
      <w:rPr>
        <w:rFonts w:ascii="Arial" w:eastAsia="Arial Unicode MS" w:hAnsi="Arial" w:cs="Arial"/>
        <w:b/>
        <w:color w:val="1F4F69"/>
        <w:sz w:val="20"/>
        <w:szCs w:val="20"/>
        <w:bdr w:val="nil"/>
      </w:rPr>
      <w:t>18</w:t>
    </w:r>
    <w:r w:rsidR="00B07AAE">
      <w:rPr>
        <w:rFonts w:ascii="Arial" w:eastAsia="Arial Unicode MS" w:hAnsi="Arial" w:cs="Arial"/>
        <w:b/>
        <w:color w:val="1F4F69"/>
        <w:sz w:val="20"/>
        <w:szCs w:val="20"/>
        <w:bdr w:val="nil"/>
      </w:rPr>
      <w:t>1223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59E4F" w14:textId="33C04389" w:rsidR="006A2FD1" w:rsidRPr="00312EFD" w:rsidRDefault="006A2FD1" w:rsidP="00312EFD">
    <w:pPr>
      <w:pStyle w:val="Header"/>
      <w:tabs>
        <w:tab w:val="clear" w:pos="4680"/>
        <w:tab w:val="clear" w:pos="9360"/>
        <w:tab w:val="left" w:pos="3885"/>
      </w:tabs>
      <w:rPr>
        <w:rFonts w:ascii="Arial" w:hAnsi="Arial" w:cs="Arial"/>
        <w:sz w:val="22"/>
        <w:szCs w:val="22"/>
      </w:rPr>
    </w:pPr>
    <w:r>
      <w:rPr>
        <w:noProof/>
        <w:lang w:val="en-GB" w:eastAsia="en-GB"/>
      </w:rPr>
      <w:drawing>
        <wp:anchor distT="0" distB="0" distL="114300" distR="114300" simplePos="0" relativeHeight="251709440" behindDoc="0" locked="0" layoutInCell="1" allowOverlap="1" wp14:anchorId="0800B01A" wp14:editId="26AD1A88">
          <wp:simplePos x="0" y="0"/>
          <wp:positionH relativeFrom="margin">
            <wp:align>left</wp:align>
          </wp:positionH>
          <wp:positionV relativeFrom="paragraph">
            <wp:posOffset>-202019</wp:posOffset>
          </wp:positionV>
          <wp:extent cx="1899666" cy="539496"/>
          <wp:effectExtent l="0" t="0" r="5715" b="0"/>
          <wp:wrapNone/>
          <wp:docPr id="67"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sidR="00312EFD">
      <w:tab/>
    </w:r>
    <w:r w:rsidR="00312EFD">
      <w:tab/>
    </w:r>
    <w:r w:rsidR="00312EFD">
      <w:tab/>
    </w:r>
    <w:r w:rsidR="00312EFD">
      <w:tab/>
    </w:r>
    <w:r w:rsidR="00312EFD">
      <w:tab/>
    </w:r>
    <w:r w:rsidR="00312EFD">
      <w:tab/>
    </w:r>
    <w:r w:rsidR="00312EFD">
      <w:tab/>
    </w:r>
    <w:r w:rsidR="00312EFD">
      <w:tab/>
    </w:r>
    <w:r w:rsidR="00312EFD">
      <w:tab/>
    </w:r>
    <w:r w:rsidR="00312EFD">
      <w:tab/>
    </w:r>
    <w:r w:rsidR="00312EFD">
      <w:tab/>
    </w:r>
    <w:r w:rsidR="00312EFD">
      <w:tab/>
    </w:r>
    <w:r w:rsidR="00B07AAE">
      <w:rPr>
        <w:rFonts w:ascii="Arial" w:eastAsia="Arial Unicode MS" w:hAnsi="Arial" w:cs="Arial"/>
        <w:b/>
        <w:color w:val="1F4F69"/>
        <w:sz w:val="20"/>
        <w:szCs w:val="20"/>
        <w:bdr w:val="nil"/>
      </w:rPr>
      <w:t>PRU VER13.</w:t>
    </w:r>
    <w:r w:rsidR="00AE6411">
      <w:rPr>
        <w:rFonts w:ascii="Arial" w:eastAsia="Arial Unicode MS" w:hAnsi="Arial" w:cs="Arial"/>
        <w:b/>
        <w:color w:val="1F4F69"/>
        <w:sz w:val="20"/>
        <w:szCs w:val="20"/>
        <w:bdr w:val="nil"/>
      </w:rPr>
      <w:t>18</w:t>
    </w:r>
    <w:r w:rsidR="00B07AAE">
      <w:rPr>
        <w:rFonts w:ascii="Arial" w:eastAsia="Arial Unicode MS" w:hAnsi="Arial" w:cs="Arial"/>
        <w:b/>
        <w:color w:val="1F4F69"/>
        <w:sz w:val="20"/>
        <w:szCs w:val="20"/>
        <w:bdr w:val="nil"/>
      </w:rPr>
      <w:t>1223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A15FC" w14:textId="4B237102" w:rsidR="006A2FD1" w:rsidRPr="00351330" w:rsidRDefault="006A2FD1" w:rsidP="00312EFD">
    <w:pPr>
      <w:pStyle w:val="Header"/>
      <w:tabs>
        <w:tab w:val="clear" w:pos="4680"/>
        <w:tab w:val="clear" w:pos="9360"/>
        <w:tab w:val="center" w:pos="4513"/>
      </w:tabs>
      <w:ind w:right="-187"/>
      <w:rPr>
        <w:rFonts w:ascii="Arial" w:hAnsi="Arial" w:cs="Arial"/>
      </w:rPr>
    </w:pPr>
    <w:r>
      <w:rPr>
        <w:noProof/>
        <w:lang w:val="en-GB" w:eastAsia="en-GB"/>
      </w:rPr>
      <w:drawing>
        <wp:anchor distT="0" distB="0" distL="114300" distR="114300" simplePos="0" relativeHeight="251715584" behindDoc="0" locked="0" layoutInCell="1" allowOverlap="1" wp14:anchorId="54795C5B" wp14:editId="50BFE6FA">
          <wp:simplePos x="0" y="0"/>
          <wp:positionH relativeFrom="margin">
            <wp:posOffset>-340241</wp:posOffset>
          </wp:positionH>
          <wp:positionV relativeFrom="paragraph">
            <wp:posOffset>-191386</wp:posOffset>
          </wp:positionV>
          <wp:extent cx="1899666" cy="539496"/>
          <wp:effectExtent l="0" t="0" r="5715" b="0"/>
          <wp:wrapNone/>
          <wp:docPr id="70"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rsidR="00B07AAE">
      <w:rPr>
        <w:rFonts w:ascii="Arial" w:eastAsia="Arial Unicode MS" w:hAnsi="Arial" w:cs="Arial"/>
        <w:b/>
        <w:color w:val="1F4F69"/>
        <w:sz w:val="20"/>
        <w:szCs w:val="20"/>
        <w:bdr w:val="nil"/>
      </w:rPr>
      <w:t>PRU VER13.</w:t>
    </w:r>
    <w:r w:rsidR="00AE6411">
      <w:rPr>
        <w:rFonts w:ascii="Arial" w:eastAsia="Arial Unicode MS" w:hAnsi="Arial" w:cs="Arial"/>
        <w:b/>
        <w:color w:val="1F4F69"/>
        <w:sz w:val="20"/>
        <w:szCs w:val="20"/>
        <w:bdr w:val="nil"/>
      </w:rPr>
      <w:t>18</w:t>
    </w:r>
    <w:r w:rsidR="00B07AAE">
      <w:rPr>
        <w:rFonts w:ascii="Arial" w:eastAsia="Arial Unicode MS" w:hAnsi="Arial" w:cs="Arial"/>
        <w:b/>
        <w:color w:val="1F4F69"/>
        <w:sz w:val="20"/>
        <w:szCs w:val="20"/>
        <w:bdr w:val="nil"/>
      </w:rPr>
      <w:t>1223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2DC6F" w14:textId="3AC7FA14" w:rsidR="006A2FD1" w:rsidRPr="00EC73C5" w:rsidRDefault="006A2FD1" w:rsidP="00E93944">
    <w:pPr>
      <w:pStyle w:val="Header"/>
      <w:tabs>
        <w:tab w:val="clear" w:pos="4680"/>
        <w:tab w:val="clear" w:pos="9360"/>
        <w:tab w:val="center" w:pos="7024"/>
      </w:tabs>
    </w:pPr>
    <w:r>
      <w:rPr>
        <w:noProof/>
        <w:lang w:val="en-GB" w:eastAsia="en-GB"/>
      </w:rPr>
      <w:drawing>
        <wp:anchor distT="0" distB="0" distL="114300" distR="114300" simplePos="0" relativeHeight="251719680" behindDoc="0" locked="0" layoutInCell="1" allowOverlap="1" wp14:anchorId="67A80BC1" wp14:editId="34D7E0AD">
          <wp:simplePos x="0" y="0"/>
          <wp:positionH relativeFrom="margin">
            <wp:posOffset>0</wp:posOffset>
          </wp:positionH>
          <wp:positionV relativeFrom="paragraph">
            <wp:posOffset>0</wp:posOffset>
          </wp:positionV>
          <wp:extent cx="1899666" cy="539496"/>
          <wp:effectExtent l="0" t="0" r="5715" b="0"/>
          <wp:wrapNone/>
          <wp:docPr id="72"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rsidR="00B07AAE">
      <w:rPr>
        <w:rFonts w:ascii="Arial" w:eastAsia="Arial Unicode MS" w:hAnsi="Arial" w:cs="Arial"/>
        <w:b/>
        <w:color w:val="1F4F69"/>
        <w:sz w:val="20"/>
        <w:szCs w:val="20"/>
        <w:bdr w:val="nil"/>
      </w:rPr>
      <w:t>PRU VER13.</w:t>
    </w:r>
    <w:r w:rsidR="00AE6411">
      <w:rPr>
        <w:rFonts w:ascii="Arial" w:eastAsia="Arial Unicode MS" w:hAnsi="Arial" w:cs="Arial"/>
        <w:b/>
        <w:color w:val="1F4F69"/>
        <w:sz w:val="20"/>
        <w:szCs w:val="20"/>
        <w:bdr w:val="nil"/>
      </w:rPr>
      <w:t>18</w:t>
    </w:r>
    <w:r w:rsidR="00B07AAE">
      <w:rPr>
        <w:rFonts w:ascii="Arial" w:eastAsia="Arial Unicode MS" w:hAnsi="Arial" w:cs="Arial"/>
        <w:b/>
        <w:color w:val="1F4F69"/>
        <w:sz w:val="20"/>
        <w:szCs w:val="20"/>
        <w:bdr w:val="nil"/>
      </w:rPr>
      <w:t>1223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3EA8B" w14:textId="5B707057" w:rsidR="006A2FD1" w:rsidRPr="006F104C" w:rsidRDefault="006A2FD1" w:rsidP="00E93944">
    <w:pPr>
      <w:pStyle w:val="Header"/>
      <w:tabs>
        <w:tab w:val="clear" w:pos="4680"/>
        <w:tab w:val="clear" w:pos="9360"/>
        <w:tab w:val="center" w:pos="7024"/>
      </w:tabs>
      <w:ind w:right="-612"/>
      <w:rPr>
        <w:rFonts w:ascii="Arial" w:hAnsi="Arial" w:cs="Arial"/>
      </w:rPr>
    </w:pPr>
    <w:r>
      <w:rPr>
        <w:noProof/>
        <w:lang w:val="en-GB" w:eastAsia="en-GB"/>
      </w:rPr>
      <w:drawing>
        <wp:anchor distT="0" distB="0" distL="114300" distR="114300" simplePos="0" relativeHeight="251721728" behindDoc="0" locked="0" layoutInCell="1" allowOverlap="1" wp14:anchorId="79A6BAC3" wp14:editId="79A3AF1D">
          <wp:simplePos x="0" y="0"/>
          <wp:positionH relativeFrom="margin">
            <wp:posOffset>-233916</wp:posOffset>
          </wp:positionH>
          <wp:positionV relativeFrom="paragraph">
            <wp:posOffset>-180754</wp:posOffset>
          </wp:positionV>
          <wp:extent cx="1899666" cy="539496"/>
          <wp:effectExtent l="0" t="0" r="5715" b="0"/>
          <wp:wrapNone/>
          <wp:docPr id="73"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B07AAE">
      <w:rPr>
        <w:rFonts w:ascii="Arial" w:eastAsia="Arial Unicode MS" w:hAnsi="Arial" w:cs="Arial"/>
        <w:b/>
        <w:color w:val="1F4F69"/>
        <w:sz w:val="20"/>
        <w:szCs w:val="20"/>
        <w:bdr w:val="nil"/>
      </w:rPr>
      <w:t>PRU VER13.</w:t>
    </w:r>
    <w:r w:rsidR="00AE6411">
      <w:rPr>
        <w:rFonts w:ascii="Arial" w:eastAsia="Arial Unicode MS" w:hAnsi="Arial" w:cs="Arial"/>
        <w:b/>
        <w:color w:val="1F4F69"/>
        <w:sz w:val="20"/>
        <w:szCs w:val="20"/>
        <w:bdr w:val="nil"/>
      </w:rPr>
      <w:t>18</w:t>
    </w:r>
    <w:r w:rsidR="00B07AAE">
      <w:rPr>
        <w:rFonts w:ascii="Arial" w:eastAsia="Arial Unicode MS" w:hAnsi="Arial" w:cs="Arial"/>
        <w:b/>
        <w:color w:val="1F4F69"/>
        <w:sz w:val="20"/>
        <w:szCs w:val="20"/>
        <w:bdr w:val="nil"/>
      </w:rPr>
      <w:t>1223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0BD"/>
    <w:multiLevelType w:val="hybridMultilevel"/>
    <w:tmpl w:val="6FE64262"/>
    <w:lvl w:ilvl="0" w:tplc="08090001">
      <w:start w:val="1"/>
      <w:numFmt w:val="bullet"/>
      <w:lvlText w:val=""/>
      <w:lvlJc w:val="left"/>
      <w:pPr>
        <w:ind w:left="822" w:hanging="360"/>
      </w:pPr>
      <w:rPr>
        <w:rFonts w:ascii="Symbol" w:hAnsi="Symbol" w:hint="default"/>
      </w:rPr>
    </w:lvl>
    <w:lvl w:ilvl="1" w:tplc="08090003">
      <w:start w:val="1"/>
      <w:numFmt w:val="bullet"/>
      <w:lvlText w:val="o"/>
      <w:lvlJc w:val="left"/>
      <w:pPr>
        <w:ind w:left="1542" w:hanging="360"/>
      </w:pPr>
      <w:rPr>
        <w:rFonts w:ascii="Courier New" w:hAnsi="Courier New" w:cs="Courier New" w:hint="default"/>
      </w:rPr>
    </w:lvl>
    <w:lvl w:ilvl="2" w:tplc="08090005" w:tentative="1">
      <w:start w:val="1"/>
      <w:numFmt w:val="bullet"/>
      <w:lvlText w:val=""/>
      <w:lvlJc w:val="left"/>
      <w:pPr>
        <w:ind w:left="2262" w:hanging="360"/>
      </w:pPr>
      <w:rPr>
        <w:rFonts w:ascii="Wingdings" w:hAnsi="Wingdings" w:hint="default"/>
      </w:rPr>
    </w:lvl>
    <w:lvl w:ilvl="3" w:tplc="08090001" w:tentative="1">
      <w:start w:val="1"/>
      <w:numFmt w:val="bullet"/>
      <w:lvlText w:val=""/>
      <w:lvlJc w:val="left"/>
      <w:pPr>
        <w:ind w:left="2982" w:hanging="360"/>
      </w:pPr>
      <w:rPr>
        <w:rFonts w:ascii="Symbol" w:hAnsi="Symbol" w:hint="default"/>
      </w:rPr>
    </w:lvl>
    <w:lvl w:ilvl="4" w:tplc="08090003" w:tentative="1">
      <w:start w:val="1"/>
      <w:numFmt w:val="bullet"/>
      <w:lvlText w:val="o"/>
      <w:lvlJc w:val="left"/>
      <w:pPr>
        <w:ind w:left="3702" w:hanging="360"/>
      </w:pPr>
      <w:rPr>
        <w:rFonts w:ascii="Courier New" w:hAnsi="Courier New" w:cs="Courier New" w:hint="default"/>
      </w:rPr>
    </w:lvl>
    <w:lvl w:ilvl="5" w:tplc="08090005" w:tentative="1">
      <w:start w:val="1"/>
      <w:numFmt w:val="bullet"/>
      <w:lvlText w:val=""/>
      <w:lvlJc w:val="left"/>
      <w:pPr>
        <w:ind w:left="4422" w:hanging="360"/>
      </w:pPr>
      <w:rPr>
        <w:rFonts w:ascii="Wingdings" w:hAnsi="Wingdings" w:hint="default"/>
      </w:rPr>
    </w:lvl>
    <w:lvl w:ilvl="6" w:tplc="08090001" w:tentative="1">
      <w:start w:val="1"/>
      <w:numFmt w:val="bullet"/>
      <w:lvlText w:val=""/>
      <w:lvlJc w:val="left"/>
      <w:pPr>
        <w:ind w:left="5142" w:hanging="360"/>
      </w:pPr>
      <w:rPr>
        <w:rFonts w:ascii="Symbol" w:hAnsi="Symbol" w:hint="default"/>
      </w:rPr>
    </w:lvl>
    <w:lvl w:ilvl="7" w:tplc="08090003" w:tentative="1">
      <w:start w:val="1"/>
      <w:numFmt w:val="bullet"/>
      <w:lvlText w:val="o"/>
      <w:lvlJc w:val="left"/>
      <w:pPr>
        <w:ind w:left="5862" w:hanging="360"/>
      </w:pPr>
      <w:rPr>
        <w:rFonts w:ascii="Courier New" w:hAnsi="Courier New" w:cs="Courier New" w:hint="default"/>
      </w:rPr>
    </w:lvl>
    <w:lvl w:ilvl="8" w:tplc="08090005" w:tentative="1">
      <w:start w:val="1"/>
      <w:numFmt w:val="bullet"/>
      <w:lvlText w:val=""/>
      <w:lvlJc w:val="left"/>
      <w:pPr>
        <w:ind w:left="6582" w:hanging="360"/>
      </w:pPr>
      <w:rPr>
        <w:rFonts w:ascii="Wingdings" w:hAnsi="Wingdings" w:hint="default"/>
      </w:rPr>
    </w:lvl>
  </w:abstractNum>
  <w:abstractNum w:abstractNumId="1" w15:restartNumberingAfterBreak="0">
    <w:nsid w:val="02053067"/>
    <w:multiLevelType w:val="hybridMultilevel"/>
    <w:tmpl w:val="5178F8A8"/>
    <w:lvl w:ilvl="0" w:tplc="D6F654BA">
      <w:start w:val="1"/>
      <w:numFmt w:val="lowerLetter"/>
      <w:lvlText w:val="(%1)"/>
      <w:lvlJc w:val="left"/>
      <w:pPr>
        <w:ind w:left="1806" w:hanging="870"/>
      </w:pPr>
      <w:rPr>
        <w:rFonts w:hint="default"/>
        <w:u w:val="none"/>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33B0CE4"/>
    <w:multiLevelType w:val="hybridMultilevel"/>
    <w:tmpl w:val="6424110C"/>
    <w:lvl w:ilvl="0" w:tplc="D116C05C">
      <w:start w:val="1"/>
      <w:numFmt w:val="lowerRoman"/>
      <w:pStyle w:val="PARoman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766A70"/>
    <w:multiLevelType w:val="hybridMultilevel"/>
    <w:tmpl w:val="11DEC6B8"/>
    <w:lvl w:ilvl="0" w:tplc="A2F88D02">
      <w:start w:val="1"/>
      <w:numFmt w:val="decimal"/>
      <w:pStyle w:val="PANum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41F46BB"/>
    <w:multiLevelType w:val="hybridMultilevel"/>
    <w:tmpl w:val="4EDCA6E6"/>
    <w:lvl w:ilvl="0" w:tplc="56A4358E">
      <w:start w:val="1"/>
      <w:numFmt w:val="bullet"/>
      <w:pStyle w:val="PABulletindent2"/>
      <w:lvlText w:val=""/>
      <w:lvlJc w:val="left"/>
      <w:pPr>
        <w:tabs>
          <w:tab w:val="num" w:pos="3600"/>
        </w:tabs>
        <w:ind w:left="360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5652EB"/>
    <w:multiLevelType w:val="hybridMultilevel"/>
    <w:tmpl w:val="70DC04B2"/>
    <w:lvl w:ilvl="0" w:tplc="B09616EE">
      <w:start w:val="1"/>
      <w:numFmt w:val="bullet"/>
      <w:pStyle w:val="PADashListindent1"/>
      <w:lvlText w:val="-"/>
      <w:lvlJc w:val="left"/>
      <w:pPr>
        <w:tabs>
          <w:tab w:val="num" w:pos="2160"/>
        </w:tabs>
        <w:ind w:left="216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76290E"/>
    <w:multiLevelType w:val="hybridMultilevel"/>
    <w:tmpl w:val="60D2CCCE"/>
    <w:lvl w:ilvl="0" w:tplc="047EBD8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62C71F7"/>
    <w:multiLevelType w:val="hybridMultilevel"/>
    <w:tmpl w:val="5D90CCA8"/>
    <w:lvl w:ilvl="0" w:tplc="3CEA3242">
      <w:start w:val="1"/>
      <w:numFmt w:val="decimal"/>
      <w:lvlText w:val="%1."/>
      <w:lvlJc w:val="left"/>
      <w:pPr>
        <w:ind w:left="1800" w:hanging="864"/>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8" w15:restartNumberingAfterBreak="0">
    <w:nsid w:val="0AC84CBC"/>
    <w:multiLevelType w:val="hybridMultilevel"/>
    <w:tmpl w:val="32F2E22C"/>
    <w:lvl w:ilvl="0" w:tplc="3C141B14">
      <w:start w:val="1"/>
      <w:numFmt w:val="bullet"/>
      <w:pStyle w:val="PABulletindent15"/>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326A93"/>
    <w:multiLevelType w:val="hybridMultilevel"/>
    <w:tmpl w:val="9A1814FC"/>
    <w:lvl w:ilvl="0" w:tplc="047EBD8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1370C3E"/>
    <w:multiLevelType w:val="hybridMultilevel"/>
    <w:tmpl w:val="37DA2286"/>
    <w:lvl w:ilvl="0" w:tplc="EB443388">
      <w:start w:val="1"/>
      <w:numFmt w:val="lowerLetter"/>
      <w:lvlText w:val="(%1)"/>
      <w:lvlJc w:val="left"/>
      <w:pPr>
        <w:ind w:left="1806" w:hanging="870"/>
      </w:pPr>
      <w:rPr>
        <w:rFonts w:hint="default"/>
        <w:u w:val="none"/>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1" w15:restartNumberingAfterBreak="0">
    <w:nsid w:val="135900FE"/>
    <w:multiLevelType w:val="hybridMultilevel"/>
    <w:tmpl w:val="77022C1C"/>
    <w:lvl w:ilvl="0" w:tplc="4AB8D3A6">
      <w:start w:val="1"/>
      <w:numFmt w:val="decimal"/>
      <w:pStyle w:val="PANum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4D0357C"/>
    <w:multiLevelType w:val="hybridMultilevel"/>
    <w:tmpl w:val="04801566"/>
    <w:lvl w:ilvl="0" w:tplc="08090001">
      <w:start w:val="1"/>
      <w:numFmt w:val="bullet"/>
      <w:lvlText w:val=""/>
      <w:lvlJc w:val="left"/>
      <w:pPr>
        <w:ind w:left="1160" w:hanging="360"/>
      </w:pPr>
      <w:rPr>
        <w:rFonts w:ascii="Symbol" w:hAnsi="Symbol" w:hint="default"/>
      </w:rPr>
    </w:lvl>
    <w:lvl w:ilvl="1" w:tplc="08090003">
      <w:start w:val="1"/>
      <w:numFmt w:val="bullet"/>
      <w:lvlText w:val="o"/>
      <w:lvlJc w:val="left"/>
      <w:pPr>
        <w:ind w:left="1880" w:hanging="360"/>
      </w:pPr>
      <w:rPr>
        <w:rFonts w:ascii="Courier New" w:hAnsi="Courier New" w:cs="Courier New" w:hint="default"/>
      </w:rPr>
    </w:lvl>
    <w:lvl w:ilvl="2" w:tplc="08090005">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cs="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cs="Courier New" w:hint="default"/>
      </w:rPr>
    </w:lvl>
    <w:lvl w:ilvl="8" w:tplc="08090005" w:tentative="1">
      <w:start w:val="1"/>
      <w:numFmt w:val="bullet"/>
      <w:lvlText w:val=""/>
      <w:lvlJc w:val="left"/>
      <w:pPr>
        <w:ind w:left="6920" w:hanging="360"/>
      </w:pPr>
      <w:rPr>
        <w:rFonts w:ascii="Wingdings" w:hAnsi="Wingdings" w:hint="default"/>
      </w:rPr>
    </w:lvl>
  </w:abstractNum>
  <w:abstractNum w:abstractNumId="13" w15:restartNumberingAfterBreak="0">
    <w:nsid w:val="1A8A5091"/>
    <w:multiLevelType w:val="hybridMultilevel"/>
    <w:tmpl w:val="3CEEE1C4"/>
    <w:lvl w:ilvl="0" w:tplc="C6845346">
      <w:start w:val="1"/>
      <w:numFmt w:val="lowerLetter"/>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B6C28C8"/>
    <w:multiLevelType w:val="hybridMultilevel"/>
    <w:tmpl w:val="5C5A58FC"/>
    <w:lvl w:ilvl="0" w:tplc="A424806C">
      <w:start w:val="1"/>
      <w:numFmt w:val="bullet"/>
      <w:pStyle w:val="PADashList"/>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3B10BB"/>
    <w:multiLevelType w:val="hybridMultilevel"/>
    <w:tmpl w:val="51C20692"/>
    <w:lvl w:ilvl="0" w:tplc="8E9C7502">
      <w:start w:val="1"/>
      <w:numFmt w:val="lowerLetter"/>
      <w:lvlText w:val="(%1)"/>
      <w:lvlJc w:val="left"/>
      <w:pPr>
        <w:ind w:left="1806" w:hanging="870"/>
      </w:pPr>
      <w:rPr>
        <w:rFonts w:hint="default"/>
        <w:u w:val="none"/>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6" w15:restartNumberingAfterBreak="0">
    <w:nsid w:val="1F967920"/>
    <w:multiLevelType w:val="hybridMultilevel"/>
    <w:tmpl w:val="4BC420CE"/>
    <w:lvl w:ilvl="0" w:tplc="484AD502">
      <w:start w:val="1"/>
      <w:numFmt w:val="bullet"/>
      <w:pStyle w:val="PABulletindent05"/>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4A78D5"/>
    <w:multiLevelType w:val="hybridMultilevel"/>
    <w:tmpl w:val="3A6CB324"/>
    <w:lvl w:ilvl="0" w:tplc="F5487446">
      <w:start w:val="1"/>
      <w:numFmt w:val="decimal"/>
      <w:lvlRestart w:val="0"/>
      <w:pStyle w:val="BodyTextNumbered"/>
      <w:lvlText w:val="%1."/>
      <w:lvlJc w:val="left"/>
      <w:pPr>
        <w:tabs>
          <w:tab w:val="num" w:pos="2160"/>
        </w:tabs>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CD1E4E"/>
    <w:multiLevelType w:val="hybridMultilevel"/>
    <w:tmpl w:val="058AF132"/>
    <w:lvl w:ilvl="0" w:tplc="ACC21F28">
      <w:start w:val="1"/>
      <w:numFmt w:val="decimal"/>
      <w:lvlText w:val="%1."/>
      <w:lvlJc w:val="left"/>
      <w:pPr>
        <w:ind w:left="1494" w:hanging="360"/>
      </w:pPr>
      <w:rPr>
        <w:rFonts w:hint="default"/>
        <w:u w:val="none"/>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9" w15:restartNumberingAfterBreak="0">
    <w:nsid w:val="23D67C78"/>
    <w:multiLevelType w:val="hybridMultilevel"/>
    <w:tmpl w:val="57746A34"/>
    <w:lvl w:ilvl="0" w:tplc="D0FAC1BE">
      <w:start w:val="1"/>
      <w:numFmt w:val="lowerLetter"/>
      <w:lvlText w:val="(%1)"/>
      <w:lvlJc w:val="left"/>
      <w:pPr>
        <w:ind w:left="1806" w:hanging="870"/>
      </w:pPr>
      <w:rPr>
        <w:rFonts w:hint="default"/>
        <w:u w:val="none"/>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0" w15:restartNumberingAfterBreak="0">
    <w:nsid w:val="25EB6300"/>
    <w:multiLevelType w:val="hybridMultilevel"/>
    <w:tmpl w:val="62500554"/>
    <w:lvl w:ilvl="0" w:tplc="7AFE0620">
      <w:start w:val="1"/>
      <w:numFmt w:val="lowerRoman"/>
      <w:pStyle w:val="PARoman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86267B6"/>
    <w:multiLevelType w:val="hybridMultilevel"/>
    <w:tmpl w:val="05529D20"/>
    <w:lvl w:ilvl="0" w:tplc="654CA5DA">
      <w:start w:val="1"/>
      <w:numFmt w:val="lowerLetter"/>
      <w:lvlText w:val="(%1)"/>
      <w:lvlJc w:val="left"/>
      <w:pPr>
        <w:ind w:left="1806" w:hanging="870"/>
      </w:pPr>
      <w:rPr>
        <w:rFonts w:hint="default"/>
        <w:u w:val="none"/>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2" w15:restartNumberingAfterBreak="0">
    <w:nsid w:val="2B464DF8"/>
    <w:multiLevelType w:val="hybridMultilevel"/>
    <w:tmpl w:val="D7F09E4A"/>
    <w:lvl w:ilvl="0" w:tplc="E77C06E8">
      <w:start w:val="1"/>
      <w:numFmt w:val="lowerLetter"/>
      <w:pStyle w:val="PAAlpha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0527CC3"/>
    <w:multiLevelType w:val="hybridMultilevel"/>
    <w:tmpl w:val="490600A2"/>
    <w:lvl w:ilvl="0" w:tplc="2B6C1DE6">
      <w:start w:val="1"/>
      <w:numFmt w:val="lowerRoman"/>
      <w:lvlText w:val="(%1)"/>
      <w:lvlJc w:val="left"/>
      <w:pPr>
        <w:ind w:left="2019" w:hanging="720"/>
      </w:pPr>
      <w:rPr>
        <w:rFonts w:hint="default"/>
      </w:rPr>
    </w:lvl>
    <w:lvl w:ilvl="1" w:tplc="08090019">
      <w:start w:val="1"/>
      <w:numFmt w:val="lowerLetter"/>
      <w:lvlText w:val="%2."/>
      <w:lvlJc w:val="left"/>
      <w:pPr>
        <w:ind w:left="2379" w:hanging="360"/>
      </w:pPr>
    </w:lvl>
    <w:lvl w:ilvl="2" w:tplc="0809001B">
      <w:start w:val="1"/>
      <w:numFmt w:val="lowerRoman"/>
      <w:lvlText w:val="%3."/>
      <w:lvlJc w:val="right"/>
      <w:pPr>
        <w:ind w:left="3099" w:hanging="180"/>
      </w:pPr>
    </w:lvl>
    <w:lvl w:ilvl="3" w:tplc="0809000F">
      <w:start w:val="1"/>
      <w:numFmt w:val="decimal"/>
      <w:lvlText w:val="%4."/>
      <w:lvlJc w:val="left"/>
      <w:pPr>
        <w:ind w:left="3819" w:hanging="360"/>
      </w:pPr>
    </w:lvl>
    <w:lvl w:ilvl="4" w:tplc="08090019" w:tentative="1">
      <w:start w:val="1"/>
      <w:numFmt w:val="lowerLetter"/>
      <w:lvlText w:val="%5."/>
      <w:lvlJc w:val="left"/>
      <w:pPr>
        <w:ind w:left="4539" w:hanging="360"/>
      </w:pPr>
    </w:lvl>
    <w:lvl w:ilvl="5" w:tplc="0809001B" w:tentative="1">
      <w:start w:val="1"/>
      <w:numFmt w:val="lowerRoman"/>
      <w:lvlText w:val="%6."/>
      <w:lvlJc w:val="right"/>
      <w:pPr>
        <w:ind w:left="5259" w:hanging="180"/>
      </w:pPr>
    </w:lvl>
    <w:lvl w:ilvl="6" w:tplc="0809000F" w:tentative="1">
      <w:start w:val="1"/>
      <w:numFmt w:val="decimal"/>
      <w:lvlText w:val="%7."/>
      <w:lvlJc w:val="left"/>
      <w:pPr>
        <w:ind w:left="5979" w:hanging="360"/>
      </w:pPr>
    </w:lvl>
    <w:lvl w:ilvl="7" w:tplc="08090019" w:tentative="1">
      <w:start w:val="1"/>
      <w:numFmt w:val="lowerLetter"/>
      <w:lvlText w:val="%8."/>
      <w:lvlJc w:val="left"/>
      <w:pPr>
        <w:ind w:left="6699" w:hanging="360"/>
      </w:pPr>
    </w:lvl>
    <w:lvl w:ilvl="8" w:tplc="0809001B" w:tentative="1">
      <w:start w:val="1"/>
      <w:numFmt w:val="lowerRoman"/>
      <w:lvlText w:val="%9."/>
      <w:lvlJc w:val="right"/>
      <w:pPr>
        <w:ind w:left="7419" w:hanging="180"/>
      </w:pPr>
    </w:lvl>
  </w:abstractNum>
  <w:abstractNum w:abstractNumId="24" w15:restartNumberingAfterBreak="0">
    <w:nsid w:val="35605BAA"/>
    <w:multiLevelType w:val="hybridMultilevel"/>
    <w:tmpl w:val="A73AF702"/>
    <w:lvl w:ilvl="0" w:tplc="E6FCFBDA">
      <w:start w:val="1"/>
      <w:numFmt w:val="decimal"/>
      <w:pStyle w:val="PANum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73952D9"/>
    <w:multiLevelType w:val="hybridMultilevel"/>
    <w:tmpl w:val="0FC0B7C4"/>
    <w:lvl w:ilvl="0" w:tplc="2C04F03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7DB1071"/>
    <w:multiLevelType w:val="hybridMultilevel"/>
    <w:tmpl w:val="4582EEB8"/>
    <w:lvl w:ilvl="0" w:tplc="CCF6B0F0">
      <w:start w:val="1"/>
      <w:numFmt w:val="lowerLetter"/>
      <w:lvlText w:val="(%1)"/>
      <w:lvlJc w:val="left"/>
      <w:pPr>
        <w:ind w:left="1806" w:hanging="870"/>
      </w:pPr>
      <w:rPr>
        <w:rFonts w:hint="default"/>
        <w:u w:val="none"/>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7" w15:restartNumberingAfterBreak="0">
    <w:nsid w:val="37F97F1B"/>
    <w:multiLevelType w:val="hybridMultilevel"/>
    <w:tmpl w:val="2AD6AE3A"/>
    <w:lvl w:ilvl="0" w:tplc="9B7668A6">
      <w:start w:val="1"/>
      <w:numFmt w:val="lowerLetter"/>
      <w:lvlText w:val="(%1)"/>
      <w:lvlJc w:val="left"/>
      <w:pPr>
        <w:ind w:left="1806" w:hanging="870"/>
      </w:pPr>
      <w:rPr>
        <w:rFonts w:hint="default"/>
        <w:u w:val="none"/>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8" w15:restartNumberingAfterBreak="0">
    <w:nsid w:val="385C707B"/>
    <w:multiLevelType w:val="hybridMultilevel"/>
    <w:tmpl w:val="D7F0BF26"/>
    <w:lvl w:ilvl="0" w:tplc="B364A31C">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9" w15:restartNumberingAfterBreak="0">
    <w:nsid w:val="3AE92C2D"/>
    <w:multiLevelType w:val="hybridMultilevel"/>
    <w:tmpl w:val="F0A0C4C8"/>
    <w:lvl w:ilvl="0" w:tplc="C730213A">
      <w:start w:val="1"/>
      <w:numFmt w:val="bullet"/>
      <w:pStyle w:val="BulletedLis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FA0758"/>
    <w:multiLevelType w:val="hybridMultilevel"/>
    <w:tmpl w:val="D4382038"/>
    <w:lvl w:ilvl="0" w:tplc="5928BD22">
      <w:start w:val="1"/>
      <w:numFmt w:val="lowerRoman"/>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3D843BBE"/>
    <w:multiLevelType w:val="hybridMultilevel"/>
    <w:tmpl w:val="4B709730"/>
    <w:lvl w:ilvl="0" w:tplc="27FAFC30">
      <w:start w:val="1"/>
      <w:numFmt w:val="lowerRoman"/>
      <w:pStyle w:val="PARoman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E020936"/>
    <w:multiLevelType w:val="hybridMultilevel"/>
    <w:tmpl w:val="FC726CEC"/>
    <w:lvl w:ilvl="0" w:tplc="08090001">
      <w:start w:val="1"/>
      <w:numFmt w:val="bullet"/>
      <w:lvlText w:val=""/>
      <w:lvlJc w:val="left"/>
      <w:pPr>
        <w:ind w:left="822" w:hanging="360"/>
      </w:pPr>
      <w:rPr>
        <w:rFonts w:ascii="Symbol" w:hAnsi="Symbol" w:hint="default"/>
      </w:rPr>
    </w:lvl>
    <w:lvl w:ilvl="1" w:tplc="08090003" w:tentative="1">
      <w:start w:val="1"/>
      <w:numFmt w:val="bullet"/>
      <w:lvlText w:val="o"/>
      <w:lvlJc w:val="left"/>
      <w:pPr>
        <w:ind w:left="1542" w:hanging="360"/>
      </w:pPr>
      <w:rPr>
        <w:rFonts w:ascii="Courier New" w:hAnsi="Courier New" w:cs="Courier New" w:hint="default"/>
      </w:rPr>
    </w:lvl>
    <w:lvl w:ilvl="2" w:tplc="08090005" w:tentative="1">
      <w:start w:val="1"/>
      <w:numFmt w:val="bullet"/>
      <w:lvlText w:val=""/>
      <w:lvlJc w:val="left"/>
      <w:pPr>
        <w:ind w:left="2262" w:hanging="360"/>
      </w:pPr>
      <w:rPr>
        <w:rFonts w:ascii="Wingdings" w:hAnsi="Wingdings" w:hint="default"/>
      </w:rPr>
    </w:lvl>
    <w:lvl w:ilvl="3" w:tplc="08090001" w:tentative="1">
      <w:start w:val="1"/>
      <w:numFmt w:val="bullet"/>
      <w:lvlText w:val=""/>
      <w:lvlJc w:val="left"/>
      <w:pPr>
        <w:ind w:left="2982" w:hanging="360"/>
      </w:pPr>
      <w:rPr>
        <w:rFonts w:ascii="Symbol" w:hAnsi="Symbol" w:hint="default"/>
      </w:rPr>
    </w:lvl>
    <w:lvl w:ilvl="4" w:tplc="08090003" w:tentative="1">
      <w:start w:val="1"/>
      <w:numFmt w:val="bullet"/>
      <w:lvlText w:val="o"/>
      <w:lvlJc w:val="left"/>
      <w:pPr>
        <w:ind w:left="3702" w:hanging="360"/>
      </w:pPr>
      <w:rPr>
        <w:rFonts w:ascii="Courier New" w:hAnsi="Courier New" w:cs="Courier New" w:hint="default"/>
      </w:rPr>
    </w:lvl>
    <w:lvl w:ilvl="5" w:tplc="08090005" w:tentative="1">
      <w:start w:val="1"/>
      <w:numFmt w:val="bullet"/>
      <w:lvlText w:val=""/>
      <w:lvlJc w:val="left"/>
      <w:pPr>
        <w:ind w:left="4422" w:hanging="360"/>
      </w:pPr>
      <w:rPr>
        <w:rFonts w:ascii="Wingdings" w:hAnsi="Wingdings" w:hint="default"/>
      </w:rPr>
    </w:lvl>
    <w:lvl w:ilvl="6" w:tplc="08090001" w:tentative="1">
      <w:start w:val="1"/>
      <w:numFmt w:val="bullet"/>
      <w:lvlText w:val=""/>
      <w:lvlJc w:val="left"/>
      <w:pPr>
        <w:ind w:left="5142" w:hanging="360"/>
      </w:pPr>
      <w:rPr>
        <w:rFonts w:ascii="Symbol" w:hAnsi="Symbol" w:hint="default"/>
      </w:rPr>
    </w:lvl>
    <w:lvl w:ilvl="7" w:tplc="08090003" w:tentative="1">
      <w:start w:val="1"/>
      <w:numFmt w:val="bullet"/>
      <w:lvlText w:val="o"/>
      <w:lvlJc w:val="left"/>
      <w:pPr>
        <w:ind w:left="5862" w:hanging="360"/>
      </w:pPr>
      <w:rPr>
        <w:rFonts w:ascii="Courier New" w:hAnsi="Courier New" w:cs="Courier New" w:hint="default"/>
      </w:rPr>
    </w:lvl>
    <w:lvl w:ilvl="8" w:tplc="08090005" w:tentative="1">
      <w:start w:val="1"/>
      <w:numFmt w:val="bullet"/>
      <w:lvlText w:val=""/>
      <w:lvlJc w:val="left"/>
      <w:pPr>
        <w:ind w:left="6582" w:hanging="360"/>
      </w:pPr>
      <w:rPr>
        <w:rFonts w:ascii="Wingdings" w:hAnsi="Wingdings" w:hint="default"/>
      </w:rPr>
    </w:lvl>
  </w:abstractNum>
  <w:abstractNum w:abstractNumId="33" w15:restartNumberingAfterBreak="0">
    <w:nsid w:val="3E521495"/>
    <w:multiLevelType w:val="hybridMultilevel"/>
    <w:tmpl w:val="8280D7A8"/>
    <w:lvl w:ilvl="0" w:tplc="D138F598">
      <w:start w:val="1"/>
      <w:numFmt w:val="lowerLetter"/>
      <w:pStyle w:val="PAAlpha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2C11E38"/>
    <w:multiLevelType w:val="hybridMultilevel"/>
    <w:tmpl w:val="7A2C778C"/>
    <w:lvl w:ilvl="0" w:tplc="9A14720A">
      <w:start w:val="1"/>
      <w:numFmt w:val="decimal"/>
      <w:lvlText w:val="%1."/>
      <w:lvlJc w:val="left"/>
      <w:pPr>
        <w:ind w:left="1356" w:hanging="360"/>
      </w:pPr>
      <w:rPr>
        <w:rFonts w:hint="default"/>
      </w:rPr>
    </w:lvl>
    <w:lvl w:ilvl="1" w:tplc="08090019" w:tentative="1">
      <w:start w:val="1"/>
      <w:numFmt w:val="lowerLetter"/>
      <w:lvlText w:val="%2."/>
      <w:lvlJc w:val="left"/>
      <w:pPr>
        <w:ind w:left="2076" w:hanging="360"/>
      </w:pPr>
    </w:lvl>
    <w:lvl w:ilvl="2" w:tplc="0809001B" w:tentative="1">
      <w:start w:val="1"/>
      <w:numFmt w:val="lowerRoman"/>
      <w:lvlText w:val="%3."/>
      <w:lvlJc w:val="right"/>
      <w:pPr>
        <w:ind w:left="2796" w:hanging="180"/>
      </w:pPr>
    </w:lvl>
    <w:lvl w:ilvl="3" w:tplc="0809000F" w:tentative="1">
      <w:start w:val="1"/>
      <w:numFmt w:val="decimal"/>
      <w:lvlText w:val="%4."/>
      <w:lvlJc w:val="left"/>
      <w:pPr>
        <w:ind w:left="3516" w:hanging="360"/>
      </w:pPr>
    </w:lvl>
    <w:lvl w:ilvl="4" w:tplc="08090019" w:tentative="1">
      <w:start w:val="1"/>
      <w:numFmt w:val="lowerLetter"/>
      <w:lvlText w:val="%5."/>
      <w:lvlJc w:val="left"/>
      <w:pPr>
        <w:ind w:left="4236" w:hanging="360"/>
      </w:pPr>
    </w:lvl>
    <w:lvl w:ilvl="5" w:tplc="0809001B" w:tentative="1">
      <w:start w:val="1"/>
      <w:numFmt w:val="lowerRoman"/>
      <w:lvlText w:val="%6."/>
      <w:lvlJc w:val="right"/>
      <w:pPr>
        <w:ind w:left="4956" w:hanging="180"/>
      </w:pPr>
    </w:lvl>
    <w:lvl w:ilvl="6" w:tplc="0809000F" w:tentative="1">
      <w:start w:val="1"/>
      <w:numFmt w:val="decimal"/>
      <w:lvlText w:val="%7."/>
      <w:lvlJc w:val="left"/>
      <w:pPr>
        <w:ind w:left="5676" w:hanging="360"/>
      </w:pPr>
    </w:lvl>
    <w:lvl w:ilvl="7" w:tplc="08090019" w:tentative="1">
      <w:start w:val="1"/>
      <w:numFmt w:val="lowerLetter"/>
      <w:lvlText w:val="%8."/>
      <w:lvlJc w:val="left"/>
      <w:pPr>
        <w:ind w:left="6396" w:hanging="360"/>
      </w:pPr>
    </w:lvl>
    <w:lvl w:ilvl="8" w:tplc="0809001B" w:tentative="1">
      <w:start w:val="1"/>
      <w:numFmt w:val="lowerRoman"/>
      <w:lvlText w:val="%9."/>
      <w:lvlJc w:val="right"/>
      <w:pPr>
        <w:ind w:left="7116" w:hanging="180"/>
      </w:pPr>
    </w:lvl>
  </w:abstractNum>
  <w:abstractNum w:abstractNumId="36" w15:restartNumberingAfterBreak="0">
    <w:nsid w:val="44DD09E7"/>
    <w:multiLevelType w:val="hybridMultilevel"/>
    <w:tmpl w:val="5EB6C040"/>
    <w:lvl w:ilvl="0" w:tplc="A7C8384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5F228D4"/>
    <w:multiLevelType w:val="hybridMultilevel"/>
    <w:tmpl w:val="33B05B22"/>
    <w:lvl w:ilvl="0" w:tplc="4E102AC8">
      <w:start w:val="1"/>
      <w:numFmt w:val="lowerLetter"/>
      <w:pStyle w:val="PAAlpha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47850533"/>
    <w:multiLevelType w:val="hybridMultilevel"/>
    <w:tmpl w:val="33628298"/>
    <w:lvl w:ilvl="0" w:tplc="11AA0B44">
      <w:start w:val="1"/>
      <w:numFmt w:val="decimal"/>
      <w:pStyle w:val="PANum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48BA4FF2"/>
    <w:multiLevelType w:val="hybridMultilevel"/>
    <w:tmpl w:val="D4382038"/>
    <w:lvl w:ilvl="0" w:tplc="5928BD22">
      <w:start w:val="1"/>
      <w:numFmt w:val="lowerRoman"/>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4B9C528C"/>
    <w:multiLevelType w:val="hybridMultilevel"/>
    <w:tmpl w:val="955679D6"/>
    <w:lvl w:ilvl="0" w:tplc="4044CF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C7E5346"/>
    <w:multiLevelType w:val="hybridMultilevel"/>
    <w:tmpl w:val="ECA0348A"/>
    <w:lvl w:ilvl="0" w:tplc="E3D8660C">
      <w:start w:val="1"/>
      <w:numFmt w:val="lowerLetter"/>
      <w:lvlText w:val="(%1)"/>
      <w:lvlJc w:val="left"/>
      <w:pPr>
        <w:ind w:left="1806" w:hanging="870"/>
      </w:pPr>
      <w:rPr>
        <w:rFonts w:hint="default"/>
        <w:u w:val="none"/>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42" w15:restartNumberingAfterBreak="0">
    <w:nsid w:val="4EFE1E5E"/>
    <w:multiLevelType w:val="hybridMultilevel"/>
    <w:tmpl w:val="F2C27D8E"/>
    <w:lvl w:ilvl="0" w:tplc="28883CAC">
      <w:start w:val="1"/>
      <w:numFmt w:val="lowerLetter"/>
      <w:lvlText w:val="(%1)"/>
      <w:lvlJc w:val="left"/>
      <w:pPr>
        <w:ind w:left="1806" w:hanging="870"/>
      </w:pPr>
      <w:rPr>
        <w:rFonts w:hint="default"/>
        <w:u w:val="none"/>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43" w15:restartNumberingAfterBreak="0">
    <w:nsid w:val="504822A6"/>
    <w:multiLevelType w:val="hybridMultilevel"/>
    <w:tmpl w:val="997A6D2C"/>
    <w:lvl w:ilvl="0" w:tplc="BEDC82F8">
      <w:start w:val="1"/>
      <w:numFmt w:val="lowerRoman"/>
      <w:lvlText w:val="(%1)"/>
      <w:lvlJc w:val="righ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2C75DCA"/>
    <w:multiLevelType w:val="hybridMultilevel"/>
    <w:tmpl w:val="BD645F6C"/>
    <w:lvl w:ilvl="0" w:tplc="4552EC6C">
      <w:start w:val="1"/>
      <w:numFmt w:val="decimal"/>
      <w:pStyle w:val="PANum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53C73109"/>
    <w:multiLevelType w:val="hybridMultilevel"/>
    <w:tmpl w:val="BC72DD7A"/>
    <w:lvl w:ilvl="0" w:tplc="F7F06E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DB253E"/>
    <w:multiLevelType w:val="hybridMultilevel"/>
    <w:tmpl w:val="156061FC"/>
    <w:lvl w:ilvl="0" w:tplc="60F030EC">
      <w:start w:val="1"/>
      <w:numFmt w:val="lowerLetter"/>
      <w:lvlText w:val="(%1)"/>
      <w:lvlJc w:val="left"/>
      <w:pPr>
        <w:ind w:left="720" w:hanging="360"/>
      </w:pPr>
      <w:rPr>
        <w:rFonts w:hint="default"/>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60C5475"/>
    <w:multiLevelType w:val="hybridMultilevel"/>
    <w:tmpl w:val="8F2C1A02"/>
    <w:lvl w:ilvl="0" w:tplc="1194AA8E">
      <w:start w:val="1"/>
      <w:numFmt w:val="bullet"/>
      <w:pStyle w:val="PADashListindent15"/>
      <w:lvlText w:val="-"/>
      <w:lvlJc w:val="left"/>
      <w:pPr>
        <w:tabs>
          <w:tab w:val="num" w:pos="2880"/>
        </w:tabs>
        <w:ind w:left="288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8AA4B09"/>
    <w:multiLevelType w:val="hybridMultilevel"/>
    <w:tmpl w:val="CE400736"/>
    <w:lvl w:ilvl="0" w:tplc="E898BB22">
      <w:start w:val="1"/>
      <w:numFmt w:val="bullet"/>
      <w:pStyle w:val="PADashListindent05"/>
      <w:lvlText w:val="-"/>
      <w:lvlJc w:val="left"/>
      <w:pPr>
        <w:tabs>
          <w:tab w:val="num" w:pos="1440"/>
        </w:tabs>
        <w:ind w:left="144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92F263B"/>
    <w:multiLevelType w:val="hybridMultilevel"/>
    <w:tmpl w:val="D4382038"/>
    <w:lvl w:ilvl="0" w:tplc="5928BD22">
      <w:start w:val="1"/>
      <w:numFmt w:val="lowerRoman"/>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0" w15:restartNumberingAfterBreak="0">
    <w:nsid w:val="5F337E64"/>
    <w:multiLevelType w:val="hybridMultilevel"/>
    <w:tmpl w:val="095C505E"/>
    <w:lvl w:ilvl="0" w:tplc="937220B2">
      <w:start w:val="1"/>
      <w:numFmt w:val="lowerRoman"/>
      <w:pStyle w:val="PARoman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0753685"/>
    <w:multiLevelType w:val="hybridMultilevel"/>
    <w:tmpl w:val="E5E29610"/>
    <w:lvl w:ilvl="0" w:tplc="76AE5EEA">
      <w:start w:val="1"/>
      <w:numFmt w:val="decimal"/>
      <w:lvlText w:val="%1."/>
      <w:lvlJc w:val="left"/>
      <w:pPr>
        <w:ind w:left="1275" w:hanging="566"/>
      </w:pPr>
      <w:rPr>
        <w:rFonts w:hint="default"/>
        <w:u w:val="none"/>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2" w15:restartNumberingAfterBreak="0">
    <w:nsid w:val="623B38A8"/>
    <w:multiLevelType w:val="hybridMultilevel"/>
    <w:tmpl w:val="96024DAC"/>
    <w:lvl w:ilvl="0" w:tplc="84C62F88">
      <w:start w:val="1"/>
      <w:numFmt w:val="bullet"/>
      <w:pStyle w:val="PABulletindent1"/>
      <w:lvlText w:val=""/>
      <w:lvlJc w:val="left"/>
      <w:pPr>
        <w:tabs>
          <w:tab w:val="num" w:pos="2160"/>
        </w:tabs>
        <w:ind w:left="21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4321098"/>
    <w:multiLevelType w:val="hybridMultilevel"/>
    <w:tmpl w:val="849CBEB0"/>
    <w:lvl w:ilvl="0" w:tplc="48569EC8">
      <w:start w:val="1"/>
      <w:numFmt w:val="decimal"/>
      <w:pStyle w:val="PAIAContinuousNumbering"/>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653208E9"/>
    <w:multiLevelType w:val="hybridMultilevel"/>
    <w:tmpl w:val="25F8F480"/>
    <w:lvl w:ilvl="0" w:tplc="988EFF90">
      <w:start w:val="1"/>
      <w:numFmt w:val="bullet"/>
      <w:pStyle w:val="PA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5A53013"/>
    <w:multiLevelType w:val="hybridMultilevel"/>
    <w:tmpl w:val="1F7C50E6"/>
    <w:lvl w:ilvl="0" w:tplc="897618A4">
      <w:start w:val="1"/>
      <w:numFmt w:val="lowerLetter"/>
      <w:pStyle w:val="PAAlpha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693F7432"/>
    <w:multiLevelType w:val="hybridMultilevel"/>
    <w:tmpl w:val="9358327E"/>
    <w:lvl w:ilvl="0" w:tplc="62EC8400">
      <w:start w:val="1"/>
      <w:numFmt w:val="lowerLetter"/>
      <w:lvlText w:val="(%1)"/>
      <w:lvlJc w:val="left"/>
      <w:pPr>
        <w:ind w:left="720" w:hanging="360"/>
      </w:pPr>
      <w:rPr>
        <w:rFonts w:ascii="Calibri" w:hAnsi="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B1B3C38"/>
    <w:multiLevelType w:val="hybridMultilevel"/>
    <w:tmpl w:val="B4F4A72A"/>
    <w:name w:val="Scheme 12(c) UK122"/>
    <w:lvl w:ilvl="0" w:tplc="75B62E0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15:restartNumberingAfterBreak="0">
    <w:nsid w:val="6D4F4356"/>
    <w:multiLevelType w:val="multilevel"/>
    <w:tmpl w:val="F56AA0B6"/>
    <w:lvl w:ilvl="0">
      <w:start w:val="1"/>
      <w:numFmt w:val="decimal"/>
      <w:pStyle w:val="Heading1"/>
      <w:isLgl/>
      <w:lvlText w:val="%1"/>
      <w:lvlJc w:val="left"/>
      <w:pPr>
        <w:tabs>
          <w:tab w:val="num" w:pos="936"/>
        </w:tabs>
        <w:ind w:left="936" w:hanging="936"/>
      </w:pPr>
      <w:rPr>
        <w:rFonts w:hint="default"/>
        <w:b/>
        <w:i w:val="0"/>
        <w:caps/>
        <w:smallCaps w:val="0"/>
        <w:vanish w:val="0"/>
        <w:color w:val="010000"/>
        <w:sz w:val="24"/>
        <w:u w:val="none"/>
      </w:rPr>
    </w:lvl>
    <w:lvl w:ilvl="1">
      <w:start w:val="1"/>
      <w:numFmt w:val="decimal"/>
      <w:pStyle w:val="Heading2"/>
      <w:isLgl/>
      <w:suff w:val="nothing"/>
      <w:lvlText w:val="PART %2"/>
      <w:lvlJc w:val="left"/>
      <w:pPr>
        <w:ind w:left="710" w:firstLine="0"/>
      </w:pPr>
      <w:rPr>
        <w:rFonts w:ascii="Calibri" w:hAnsi="Calibri" w:cs="Calibri" w:hint="default"/>
        <w:b/>
        <w:i w:val="0"/>
        <w:vanish w:val="0"/>
        <w:color w:val="010000"/>
        <w:sz w:val="24"/>
        <w:u w:val="none"/>
      </w:rPr>
    </w:lvl>
    <w:lvl w:ilvl="2">
      <w:start w:val="1"/>
      <w:numFmt w:val="decimal"/>
      <w:lvlRestart w:val="1"/>
      <w:pStyle w:val="Heading3"/>
      <w:lvlText w:val="%1.%3"/>
      <w:lvlJc w:val="left"/>
      <w:pPr>
        <w:tabs>
          <w:tab w:val="num" w:pos="936"/>
        </w:tabs>
        <w:ind w:left="936" w:hanging="936"/>
      </w:pPr>
      <w:rPr>
        <w:rFonts w:hint="default"/>
        <w:b/>
        <w:i w:val="0"/>
        <w:vanish w:val="0"/>
        <w:color w:val="010000"/>
        <w:sz w:val="22"/>
        <w:szCs w:val="22"/>
        <w:u w:val="none"/>
      </w:rPr>
    </w:lvl>
    <w:lvl w:ilvl="3">
      <w:start w:val="1"/>
      <w:numFmt w:val="decimal"/>
      <w:pStyle w:val="Heading4"/>
      <w:lvlText w:val="%1.%3.%4"/>
      <w:lvlJc w:val="left"/>
      <w:pPr>
        <w:tabs>
          <w:tab w:val="num" w:pos="936"/>
        </w:tabs>
        <w:ind w:left="936" w:hanging="936"/>
      </w:pPr>
      <w:rPr>
        <w:rFonts w:hint="default"/>
        <w:b/>
        <w:i w:val="0"/>
        <w:vanish w:val="0"/>
        <w:color w:val="010000"/>
        <w:sz w:val="22"/>
        <w:szCs w:val="22"/>
        <w:u w:val="none"/>
      </w:rPr>
    </w:lvl>
    <w:lvl w:ilvl="4">
      <w:start w:val="1"/>
      <w:numFmt w:val="lowerLetter"/>
      <w:pStyle w:val="Heading5"/>
      <w:lvlText w:val="(%5)"/>
      <w:lvlJc w:val="left"/>
      <w:pPr>
        <w:tabs>
          <w:tab w:val="num" w:pos="1656"/>
        </w:tabs>
        <w:ind w:left="1656" w:hanging="720"/>
      </w:pPr>
      <w:rPr>
        <w:rFonts w:hint="default"/>
        <w:vanish w:val="0"/>
        <w:color w:val="010000"/>
        <w:sz w:val="22"/>
        <w:szCs w:val="22"/>
        <w:u w:val="none"/>
      </w:rPr>
    </w:lvl>
    <w:lvl w:ilvl="5">
      <w:start w:val="1"/>
      <w:numFmt w:val="lowerRoman"/>
      <w:pStyle w:val="Heading6"/>
      <w:lvlText w:val="(%6)"/>
      <w:lvlJc w:val="left"/>
      <w:pPr>
        <w:tabs>
          <w:tab w:val="num" w:pos="2430"/>
        </w:tabs>
        <w:ind w:left="2430" w:hanging="720"/>
      </w:pPr>
      <w:rPr>
        <w:rFonts w:hint="default"/>
        <w:vanish w:val="0"/>
        <w:color w:val="010000"/>
        <w:sz w:val="24"/>
        <w:u w:val="none"/>
      </w:rPr>
    </w:lvl>
    <w:lvl w:ilvl="6">
      <w:start w:val="1"/>
      <w:numFmt w:val="upperLetter"/>
      <w:pStyle w:val="Heading7"/>
      <w:lvlText w:val="(%7)"/>
      <w:lvlJc w:val="left"/>
      <w:pPr>
        <w:tabs>
          <w:tab w:val="num" w:pos="3096"/>
        </w:tabs>
        <w:ind w:left="3096" w:hanging="720"/>
      </w:pPr>
      <w:rPr>
        <w:rFonts w:hint="default"/>
        <w:vanish w:val="0"/>
        <w:color w:val="010000"/>
        <w:sz w:val="24"/>
        <w:u w:val="none"/>
      </w:rPr>
    </w:lvl>
    <w:lvl w:ilvl="7">
      <w:start w:val="1"/>
      <w:numFmt w:val="decimal"/>
      <w:lvlRestart w:val="0"/>
      <w:pStyle w:val="Heading8"/>
      <w:lvlText w:val="(%8)"/>
      <w:lvlJc w:val="left"/>
      <w:pPr>
        <w:tabs>
          <w:tab w:val="num" w:pos="504"/>
        </w:tabs>
        <w:ind w:left="504" w:hanging="504"/>
      </w:pPr>
      <w:rPr>
        <w:rFonts w:hint="default"/>
        <w:vanish w:val="0"/>
        <w:color w:val="010000"/>
        <w:sz w:val="22"/>
        <w:szCs w:val="22"/>
        <w:u w:val="none"/>
      </w:rPr>
    </w:lvl>
    <w:lvl w:ilvl="8">
      <w:start w:val="1"/>
      <w:numFmt w:val="lowerLetter"/>
      <w:pStyle w:val="Heading9"/>
      <w:lvlText w:val="(%9)"/>
      <w:lvlJc w:val="left"/>
      <w:pPr>
        <w:tabs>
          <w:tab w:val="num" w:pos="1080"/>
        </w:tabs>
        <w:ind w:left="1080" w:hanging="576"/>
      </w:pPr>
      <w:rPr>
        <w:rFonts w:ascii="Arial" w:hAnsi="Arial" w:cs="Arial" w:hint="default"/>
        <w:b w:val="0"/>
        <w:vanish w:val="0"/>
        <w:color w:val="010000"/>
        <w:sz w:val="22"/>
        <w:szCs w:val="22"/>
        <w:u w:val="none"/>
      </w:rPr>
    </w:lvl>
  </w:abstractNum>
  <w:abstractNum w:abstractNumId="59" w15:restartNumberingAfterBreak="0">
    <w:nsid w:val="6D691874"/>
    <w:multiLevelType w:val="hybridMultilevel"/>
    <w:tmpl w:val="DFDCA168"/>
    <w:lvl w:ilvl="0" w:tplc="B84822EA">
      <w:start w:val="1"/>
      <w:numFmt w:val="decimal"/>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60" w15:restartNumberingAfterBreak="0">
    <w:nsid w:val="705C53BD"/>
    <w:multiLevelType w:val="hybridMultilevel"/>
    <w:tmpl w:val="580C5C3E"/>
    <w:lvl w:ilvl="0" w:tplc="69045DC2">
      <w:start w:val="1"/>
      <w:numFmt w:val="bullet"/>
      <w:pStyle w:val="PADashListindent2"/>
      <w:lvlText w:val="-"/>
      <w:lvlJc w:val="left"/>
      <w:pPr>
        <w:tabs>
          <w:tab w:val="num" w:pos="3600"/>
        </w:tabs>
        <w:ind w:left="360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31C37D9"/>
    <w:multiLevelType w:val="multilevel"/>
    <w:tmpl w:val="29BEDB30"/>
    <w:name w:val="(Unnamed Numbering Scheme)"/>
    <w:lvl w:ilvl="0">
      <w:start w:val="1"/>
      <w:numFmt w:val="decimal"/>
      <w:lvlText w:val="%1."/>
      <w:lvlJc w:val="left"/>
      <w:pPr>
        <w:tabs>
          <w:tab w:val="num" w:pos="720"/>
        </w:tabs>
        <w:ind w:left="720" w:hanging="720"/>
      </w:pPr>
      <w:rPr>
        <w:rFonts w:hint="default"/>
        <w:b w:val="0"/>
        <w:i w:val="0"/>
        <w:caps w:val="0"/>
        <w:color w:val="010000"/>
        <w:u w:val="none"/>
      </w:rPr>
    </w:lvl>
    <w:lvl w:ilvl="1">
      <w:start w:val="1"/>
      <w:numFmt w:val="decimal"/>
      <w:lvlText w:val="%1.%2"/>
      <w:lvlJc w:val="left"/>
      <w:pPr>
        <w:tabs>
          <w:tab w:val="num" w:pos="720"/>
        </w:tabs>
        <w:ind w:left="720" w:hanging="720"/>
      </w:pPr>
      <w:rPr>
        <w:rFonts w:hint="default"/>
        <w:b w:val="0"/>
        <w:i w:val="0"/>
        <w:color w:val="010000"/>
        <w:u w:val="none"/>
      </w:rPr>
    </w:lvl>
    <w:lvl w:ilvl="2">
      <w:start w:val="1"/>
      <w:numFmt w:val="decimal"/>
      <w:lvlText w:val="%1.%2.%3"/>
      <w:lvlJc w:val="left"/>
      <w:pPr>
        <w:tabs>
          <w:tab w:val="num" w:pos="720"/>
        </w:tabs>
        <w:ind w:left="720" w:hanging="720"/>
      </w:pPr>
      <w:rPr>
        <w:rFonts w:hint="default"/>
        <w:color w:val="010000"/>
        <w:u w:val="none"/>
      </w:rPr>
    </w:lvl>
    <w:lvl w:ilvl="3">
      <w:start w:val="1"/>
      <w:numFmt w:val="lowerLetter"/>
      <w:lvlText w:val="(%4)"/>
      <w:lvlJc w:val="left"/>
      <w:pPr>
        <w:tabs>
          <w:tab w:val="num" w:pos="720"/>
        </w:tabs>
        <w:ind w:left="720" w:hanging="720"/>
      </w:pPr>
      <w:rPr>
        <w:rFonts w:hint="default"/>
        <w:b w:val="0"/>
        <w:color w:val="010000"/>
        <w:u w:val="none"/>
      </w:rPr>
    </w:lvl>
    <w:lvl w:ilvl="4">
      <w:start w:val="1"/>
      <w:numFmt w:val="decimal"/>
      <w:lvlText w:val="(%5)"/>
      <w:lvlJc w:val="left"/>
      <w:pPr>
        <w:tabs>
          <w:tab w:val="num" w:pos="2160"/>
        </w:tabs>
        <w:ind w:left="2160" w:hanging="720"/>
      </w:pPr>
      <w:rPr>
        <w:rFonts w:ascii="Times New Roman" w:eastAsiaTheme="majorEastAsia" w:hAnsi="Times New Roman" w:cs="Times New Roman"/>
        <w:b w:val="0"/>
        <w:color w:val="010000"/>
        <w:u w:val="none"/>
      </w:rPr>
    </w:lvl>
    <w:lvl w:ilvl="5">
      <w:start w:val="1"/>
      <w:numFmt w:val="upperLetter"/>
      <w:lvlText w:val="(%6)"/>
      <w:lvlJc w:val="left"/>
      <w:pPr>
        <w:tabs>
          <w:tab w:val="num" w:pos="2880"/>
        </w:tabs>
        <w:ind w:left="2880" w:hanging="720"/>
      </w:pPr>
      <w:rPr>
        <w:rFonts w:hint="default"/>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decimal"/>
      <w:lvlText w:val="%8."/>
      <w:lvlJc w:val="left"/>
      <w:pPr>
        <w:tabs>
          <w:tab w:val="num" w:pos="1440"/>
        </w:tabs>
        <w:ind w:left="1440" w:hanging="720"/>
      </w:pPr>
      <w:rPr>
        <w:rFonts w:hint="default"/>
        <w:color w:val="010000"/>
        <w:u w:val="none"/>
      </w:rPr>
    </w:lvl>
    <w:lvl w:ilvl="8">
      <w:start w:val="1"/>
      <w:numFmt w:val="lowerLetter"/>
      <w:lvlText w:val="%9."/>
      <w:lvlJc w:val="left"/>
      <w:pPr>
        <w:tabs>
          <w:tab w:val="num" w:pos="2160"/>
        </w:tabs>
        <w:ind w:left="2160" w:hanging="720"/>
      </w:pPr>
      <w:rPr>
        <w:rFonts w:hint="default"/>
        <w:color w:val="010000"/>
        <w:u w:val="none"/>
      </w:rPr>
    </w:lvl>
  </w:abstractNum>
  <w:abstractNum w:abstractNumId="62" w15:restartNumberingAfterBreak="0">
    <w:nsid w:val="736957A3"/>
    <w:multiLevelType w:val="hybridMultilevel"/>
    <w:tmpl w:val="BFB41412"/>
    <w:lvl w:ilvl="0" w:tplc="BB5E8CC4">
      <w:start w:val="1"/>
      <w:numFmt w:val="decimal"/>
      <w:lvlText w:val="%1."/>
      <w:lvlJc w:val="left"/>
      <w:pPr>
        <w:ind w:left="1069" w:hanging="360"/>
      </w:pPr>
      <w:rPr>
        <w:rFonts w:eastAsiaTheme="minorHAnsi"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3" w15:restartNumberingAfterBreak="0">
    <w:nsid w:val="749B29CD"/>
    <w:multiLevelType w:val="hybridMultilevel"/>
    <w:tmpl w:val="9FDA2064"/>
    <w:lvl w:ilvl="0" w:tplc="8EEA1466">
      <w:start w:val="1"/>
      <w:numFmt w:val="lowerLetter"/>
      <w:pStyle w:val="PAAlpha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757C79C5"/>
    <w:multiLevelType w:val="hybridMultilevel"/>
    <w:tmpl w:val="1DFA4D9A"/>
    <w:lvl w:ilvl="0" w:tplc="7010B41E">
      <w:start w:val="1"/>
      <w:numFmt w:val="lowerRoman"/>
      <w:lvlText w:val="(%1)"/>
      <w:lvlJc w:val="righ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7584257D"/>
    <w:multiLevelType w:val="hybridMultilevel"/>
    <w:tmpl w:val="A8E277C4"/>
    <w:lvl w:ilvl="0" w:tplc="A2BC9D52">
      <w:start w:val="1"/>
      <w:numFmt w:val="lowerRoman"/>
      <w:pStyle w:val="PARoman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7ABA730C"/>
    <w:multiLevelType w:val="hybridMultilevel"/>
    <w:tmpl w:val="0B52B374"/>
    <w:lvl w:ilvl="0" w:tplc="DC82F2B6">
      <w:start w:val="1"/>
      <w:numFmt w:val="decimal"/>
      <w:lvlText w:val="%1."/>
      <w:lvlJc w:val="left"/>
      <w:pPr>
        <w:ind w:left="1494" w:hanging="360"/>
      </w:pPr>
      <w:rPr>
        <w:rFonts w:hint="default"/>
        <w:u w:val="none"/>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67" w15:restartNumberingAfterBreak="0">
    <w:nsid w:val="7CA92542"/>
    <w:multiLevelType w:val="hybridMultilevel"/>
    <w:tmpl w:val="6B8A02C4"/>
    <w:lvl w:ilvl="0" w:tplc="9134DAFA">
      <w:start w:val="1"/>
      <w:numFmt w:val="decimal"/>
      <w:lvlText w:val="%1."/>
      <w:lvlJc w:val="left"/>
      <w:pPr>
        <w:ind w:left="1494" w:hanging="360"/>
      </w:pPr>
      <w:rPr>
        <w:rFonts w:hint="default"/>
        <w:u w:val="none"/>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68" w15:restartNumberingAfterBreak="0">
    <w:nsid w:val="7D1B3676"/>
    <w:multiLevelType w:val="hybridMultilevel"/>
    <w:tmpl w:val="0F14E5B2"/>
    <w:lvl w:ilvl="0" w:tplc="3FD06D8C">
      <w:start w:val="1"/>
      <w:numFmt w:val="upperLetter"/>
      <w:lvlText w:val="%1."/>
      <w:lvlJc w:val="left"/>
      <w:pPr>
        <w:ind w:left="440" w:hanging="360"/>
      </w:pPr>
      <w:rPr>
        <w:rFonts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69" w15:restartNumberingAfterBreak="0">
    <w:nsid w:val="7E7057B7"/>
    <w:multiLevelType w:val="hybridMultilevel"/>
    <w:tmpl w:val="C5ACCFA4"/>
    <w:lvl w:ilvl="0" w:tplc="3B42A8E4">
      <w:start w:val="1"/>
      <w:numFmt w:val="lowerLetter"/>
      <w:lvlText w:val="(%1)"/>
      <w:lvlJc w:val="left"/>
      <w:pPr>
        <w:ind w:left="1806" w:hanging="870"/>
      </w:pPr>
      <w:rPr>
        <w:rFonts w:hint="default"/>
        <w:u w:val="none"/>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70" w15:restartNumberingAfterBreak="0">
    <w:nsid w:val="7EC76391"/>
    <w:multiLevelType w:val="multilevel"/>
    <w:tmpl w:val="E8A81802"/>
    <w:lvl w:ilvl="0">
      <w:start w:val="3"/>
      <w:numFmt w:val="decimal"/>
      <w:lvlText w:val="%1"/>
      <w:lvlJc w:val="left"/>
      <w:pPr>
        <w:ind w:left="600" w:hanging="600"/>
      </w:pPr>
      <w:rPr>
        <w:rFonts w:hint="default"/>
        <w:b/>
      </w:rPr>
    </w:lvl>
    <w:lvl w:ilvl="1">
      <w:start w:val="18"/>
      <w:numFmt w:val="decimal"/>
      <w:lvlText w:val="%1.%2"/>
      <w:lvlJc w:val="left"/>
      <w:pPr>
        <w:ind w:left="600" w:hanging="600"/>
      </w:pPr>
      <w:rPr>
        <w:rFonts w:hint="default"/>
        <w:b/>
      </w:rPr>
    </w:lvl>
    <w:lvl w:ilvl="2">
      <w:start w:val="9"/>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1" w15:restartNumberingAfterBreak="0">
    <w:nsid w:val="7EE56B07"/>
    <w:multiLevelType w:val="hybridMultilevel"/>
    <w:tmpl w:val="259E6CBE"/>
    <w:lvl w:ilvl="0" w:tplc="52A4CECC">
      <w:start w:val="1"/>
      <w:numFmt w:val="lowerLetter"/>
      <w:lvlText w:val="(%1)"/>
      <w:lvlJc w:val="left"/>
      <w:pPr>
        <w:ind w:left="1350" w:hanging="360"/>
      </w:pPr>
      <w:rPr>
        <w:rFonts w:hint="default"/>
        <w:u w:val="none"/>
      </w:rPr>
    </w:lvl>
    <w:lvl w:ilvl="1" w:tplc="08090019" w:tentative="1">
      <w:start w:val="1"/>
      <w:numFmt w:val="lowerLetter"/>
      <w:lvlText w:val="%2."/>
      <w:lvlJc w:val="left"/>
      <w:pPr>
        <w:ind w:left="2070" w:hanging="360"/>
      </w:pPr>
    </w:lvl>
    <w:lvl w:ilvl="2" w:tplc="0809001B" w:tentative="1">
      <w:start w:val="1"/>
      <w:numFmt w:val="lowerRoman"/>
      <w:lvlText w:val="%3."/>
      <w:lvlJc w:val="right"/>
      <w:pPr>
        <w:ind w:left="2790" w:hanging="180"/>
      </w:pPr>
    </w:lvl>
    <w:lvl w:ilvl="3" w:tplc="0809000F" w:tentative="1">
      <w:start w:val="1"/>
      <w:numFmt w:val="decimal"/>
      <w:lvlText w:val="%4."/>
      <w:lvlJc w:val="left"/>
      <w:pPr>
        <w:ind w:left="3510" w:hanging="360"/>
      </w:pPr>
    </w:lvl>
    <w:lvl w:ilvl="4" w:tplc="08090019" w:tentative="1">
      <w:start w:val="1"/>
      <w:numFmt w:val="lowerLetter"/>
      <w:lvlText w:val="%5."/>
      <w:lvlJc w:val="left"/>
      <w:pPr>
        <w:ind w:left="4230" w:hanging="360"/>
      </w:pPr>
    </w:lvl>
    <w:lvl w:ilvl="5" w:tplc="0809001B" w:tentative="1">
      <w:start w:val="1"/>
      <w:numFmt w:val="lowerRoman"/>
      <w:lvlText w:val="%6."/>
      <w:lvlJc w:val="right"/>
      <w:pPr>
        <w:ind w:left="4950" w:hanging="180"/>
      </w:pPr>
    </w:lvl>
    <w:lvl w:ilvl="6" w:tplc="0809000F" w:tentative="1">
      <w:start w:val="1"/>
      <w:numFmt w:val="decimal"/>
      <w:lvlText w:val="%7."/>
      <w:lvlJc w:val="left"/>
      <w:pPr>
        <w:ind w:left="5670" w:hanging="360"/>
      </w:pPr>
    </w:lvl>
    <w:lvl w:ilvl="7" w:tplc="08090019" w:tentative="1">
      <w:start w:val="1"/>
      <w:numFmt w:val="lowerLetter"/>
      <w:lvlText w:val="%8."/>
      <w:lvlJc w:val="left"/>
      <w:pPr>
        <w:ind w:left="6390" w:hanging="360"/>
      </w:pPr>
    </w:lvl>
    <w:lvl w:ilvl="8" w:tplc="0809001B" w:tentative="1">
      <w:start w:val="1"/>
      <w:numFmt w:val="lowerRoman"/>
      <w:lvlText w:val="%9."/>
      <w:lvlJc w:val="right"/>
      <w:pPr>
        <w:ind w:left="7110" w:hanging="180"/>
      </w:pPr>
    </w:lvl>
  </w:abstractNum>
  <w:num w:numId="1" w16cid:durableId="184560004">
    <w:abstractNumId w:val="17"/>
  </w:num>
  <w:num w:numId="2" w16cid:durableId="1512986088">
    <w:abstractNumId w:val="29"/>
  </w:num>
  <w:num w:numId="3" w16cid:durableId="1634293546">
    <w:abstractNumId w:val="53"/>
  </w:num>
  <w:num w:numId="4" w16cid:durableId="1034118922">
    <w:abstractNumId w:val="22"/>
  </w:num>
  <w:num w:numId="5" w16cid:durableId="1252396345">
    <w:abstractNumId w:val="37"/>
  </w:num>
  <w:num w:numId="6" w16cid:durableId="114259384">
    <w:abstractNumId w:val="33"/>
  </w:num>
  <w:num w:numId="7" w16cid:durableId="223957746">
    <w:abstractNumId w:val="63"/>
  </w:num>
  <w:num w:numId="8" w16cid:durableId="1540313563">
    <w:abstractNumId w:val="55"/>
  </w:num>
  <w:num w:numId="9" w16cid:durableId="685794520">
    <w:abstractNumId w:val="54"/>
  </w:num>
  <w:num w:numId="10" w16cid:durableId="343633817">
    <w:abstractNumId w:val="16"/>
  </w:num>
  <w:num w:numId="11" w16cid:durableId="827794305">
    <w:abstractNumId w:val="52"/>
  </w:num>
  <w:num w:numId="12" w16cid:durableId="617570795">
    <w:abstractNumId w:val="8"/>
  </w:num>
  <w:num w:numId="13" w16cid:durableId="2110346920">
    <w:abstractNumId w:val="4"/>
  </w:num>
  <w:num w:numId="14" w16cid:durableId="809706595">
    <w:abstractNumId w:val="14"/>
  </w:num>
  <w:num w:numId="15" w16cid:durableId="27797156">
    <w:abstractNumId w:val="48"/>
  </w:num>
  <w:num w:numId="16" w16cid:durableId="555167946">
    <w:abstractNumId w:val="5"/>
  </w:num>
  <w:num w:numId="17" w16cid:durableId="1984263115">
    <w:abstractNumId w:val="47"/>
  </w:num>
  <w:num w:numId="18" w16cid:durableId="632171490">
    <w:abstractNumId w:val="60"/>
  </w:num>
  <w:num w:numId="19" w16cid:durableId="871193251">
    <w:abstractNumId w:val="24"/>
  </w:num>
  <w:num w:numId="20" w16cid:durableId="1304043543">
    <w:abstractNumId w:val="11"/>
  </w:num>
  <w:num w:numId="21" w16cid:durableId="414666988">
    <w:abstractNumId w:val="3"/>
  </w:num>
  <w:num w:numId="22" w16cid:durableId="839662511">
    <w:abstractNumId w:val="38"/>
  </w:num>
  <w:num w:numId="23" w16cid:durableId="757750381">
    <w:abstractNumId w:val="44"/>
  </w:num>
  <w:num w:numId="24" w16cid:durableId="664550243">
    <w:abstractNumId w:val="2"/>
  </w:num>
  <w:num w:numId="25" w16cid:durableId="1694499759">
    <w:abstractNumId w:val="65"/>
  </w:num>
  <w:num w:numId="26" w16cid:durableId="1814247655">
    <w:abstractNumId w:val="50"/>
  </w:num>
  <w:num w:numId="27" w16cid:durableId="460349598">
    <w:abstractNumId w:val="31"/>
  </w:num>
  <w:num w:numId="28" w16cid:durableId="271057299">
    <w:abstractNumId w:val="20"/>
  </w:num>
  <w:num w:numId="29" w16cid:durableId="716976766">
    <w:abstractNumId w:val="58"/>
  </w:num>
  <w:num w:numId="30" w16cid:durableId="1519660871">
    <w:abstractNumId w:val="45"/>
  </w:num>
  <w:num w:numId="31" w16cid:durableId="122693392">
    <w:abstractNumId w:val="28"/>
  </w:num>
  <w:num w:numId="32" w16cid:durableId="148087610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6872969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6430430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105046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3864643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5685952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2052200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1607845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125391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8955565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3905936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14384404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6961462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3926912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4170019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1982677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7493406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0965897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33221895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94026142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86259605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5258829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81549100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337847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24059902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16956637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4231304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11170263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91569663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81726598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59574169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7540384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76884936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738478780">
    <w:abstractNumId w:val="23"/>
  </w:num>
  <w:num w:numId="66" w16cid:durableId="1444618762">
    <w:abstractNumId w:val="59"/>
  </w:num>
  <w:num w:numId="67" w16cid:durableId="1546141352">
    <w:abstractNumId w:val="35"/>
  </w:num>
  <w:num w:numId="68" w16cid:durableId="113407859">
    <w:abstractNumId w:val="58"/>
    <w:lvlOverride w:ilvl="0">
      <w:startOverride w:val="4"/>
    </w:lvlOverride>
    <w:lvlOverride w:ilvl="1">
      <w:startOverride w:val="1"/>
    </w:lvlOverride>
    <w:lvlOverride w:ilvl="2">
      <w:startOverride w:val="13"/>
    </w:lvlOverride>
    <w:lvlOverride w:ilvl="3">
      <w:startOverride w:val="12"/>
    </w:lvlOverride>
    <w:lvlOverride w:ilvl="4">
      <w:startOverride w:val="12"/>
    </w:lvlOverride>
    <w:lvlOverride w:ilvl="5">
      <w:startOverride w:val="2"/>
    </w:lvlOverride>
    <w:lvlOverride w:ilvl="6">
      <w:startOverride w:val="1"/>
    </w:lvlOverride>
    <w:lvlOverride w:ilvl="7">
      <w:startOverride w:val="1"/>
    </w:lvlOverride>
    <w:lvlOverride w:ilvl="8">
      <w:startOverride w:val="1"/>
    </w:lvlOverride>
  </w:num>
  <w:num w:numId="69" w16cid:durableId="334576226">
    <w:abstractNumId w:val="25"/>
  </w:num>
  <w:num w:numId="70" w16cid:durableId="60568186">
    <w:abstractNumId w:val="56"/>
  </w:num>
  <w:num w:numId="71" w16cid:durableId="1658654005">
    <w:abstractNumId w:val="6"/>
  </w:num>
  <w:num w:numId="72" w16cid:durableId="1866867814">
    <w:abstractNumId w:val="9"/>
  </w:num>
  <w:num w:numId="73" w16cid:durableId="1378359890">
    <w:abstractNumId w:val="7"/>
  </w:num>
  <w:num w:numId="74" w16cid:durableId="1607884586">
    <w:abstractNumId w:val="0"/>
  </w:num>
  <w:num w:numId="75" w16cid:durableId="983436538">
    <w:abstractNumId w:val="32"/>
  </w:num>
  <w:num w:numId="76" w16cid:durableId="1424450478">
    <w:abstractNumId w:val="68"/>
  </w:num>
  <w:num w:numId="77" w16cid:durableId="171600895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78" w16cid:durableId="21978128">
    <w:abstractNumId w:val="70"/>
  </w:num>
  <w:num w:numId="79" w16cid:durableId="173061020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94819492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23744267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714690228">
    <w:abstractNumId w:val="71"/>
  </w:num>
  <w:num w:numId="83" w16cid:durableId="596445027">
    <w:abstractNumId w:val="42"/>
  </w:num>
  <w:num w:numId="84" w16cid:durableId="567158325">
    <w:abstractNumId w:val="12"/>
  </w:num>
  <w:num w:numId="85" w16cid:durableId="922372817">
    <w:abstractNumId w:val="1"/>
  </w:num>
  <w:num w:numId="86" w16cid:durableId="1901210600">
    <w:abstractNumId w:val="69"/>
  </w:num>
  <w:num w:numId="87" w16cid:durableId="486896306">
    <w:abstractNumId w:val="13"/>
  </w:num>
  <w:num w:numId="88" w16cid:durableId="849873125">
    <w:abstractNumId w:val="26"/>
  </w:num>
  <w:num w:numId="89" w16cid:durableId="1339121061">
    <w:abstractNumId w:val="46"/>
  </w:num>
  <w:num w:numId="90" w16cid:durableId="1861822726">
    <w:abstractNumId w:val="64"/>
  </w:num>
  <w:num w:numId="91" w16cid:durableId="382947298">
    <w:abstractNumId w:val="43"/>
  </w:num>
  <w:num w:numId="92" w16cid:durableId="718356000">
    <w:abstractNumId w:val="15"/>
  </w:num>
  <w:num w:numId="93" w16cid:durableId="1498224919">
    <w:abstractNumId w:val="21"/>
  </w:num>
  <w:num w:numId="94" w16cid:durableId="1892306258">
    <w:abstractNumId w:val="27"/>
  </w:num>
  <w:num w:numId="95" w16cid:durableId="729380508">
    <w:abstractNumId w:val="10"/>
  </w:num>
  <w:num w:numId="96" w16cid:durableId="395671055">
    <w:abstractNumId w:val="19"/>
  </w:num>
  <w:num w:numId="97" w16cid:durableId="1076130465">
    <w:abstractNumId w:val="67"/>
  </w:num>
  <w:num w:numId="98" w16cid:durableId="1126389372">
    <w:abstractNumId w:val="18"/>
  </w:num>
  <w:num w:numId="99" w16cid:durableId="1019812855">
    <w:abstractNumId w:val="66"/>
  </w:num>
  <w:num w:numId="100" w16cid:durableId="2030831655">
    <w:abstractNumId w:val="41"/>
  </w:num>
  <w:num w:numId="101" w16cid:durableId="33385225">
    <w:abstractNumId w:val="62"/>
  </w:num>
  <w:num w:numId="102" w16cid:durableId="1919510632">
    <w:abstractNumId w:val="30"/>
  </w:num>
  <w:num w:numId="103" w16cid:durableId="2080210081">
    <w:abstractNumId w:val="49"/>
  </w:num>
  <w:num w:numId="104" w16cid:durableId="134950632">
    <w:abstractNumId w:val="39"/>
  </w:num>
  <w:num w:numId="105" w16cid:durableId="1477991252">
    <w:abstractNumId w:val="40"/>
  </w:num>
  <w:num w:numId="106" w16cid:durableId="1572958918">
    <w:abstractNumId w:val="51"/>
  </w:num>
  <w:num w:numId="107" w16cid:durableId="941260230">
    <w:abstractNumId w:val="36"/>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formatting="1" w:enforcement="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enterLevel1TOC" w:val="False"/>
    <w:docVar w:name="DefaultNumberOfLevelsInTOCForThisScheme" w:val="3"/>
    <w:docVar w:name="DocIDAuthor" w:val="False"/>
    <w:docVar w:name="DocIDClientMatter" w:val="False"/>
    <w:docVar w:name="DocIDDate" w:val="False"/>
    <w:docVar w:name="DocIDDateText" w:val="False"/>
    <w:docVar w:name="DocIDLibrary" w:val="True"/>
    <w:docVar w:name="DocIDRemovedCurrentSection" w:val="True"/>
    <w:docVar w:name="DocIDType" w:val="AllPagesExceptFirst"/>
    <w:docVar w:name="DocIDTypist" w:val="False"/>
    <w:docVar w:name="ExcludeDirectFormattingInTOC" w:val="True"/>
    <w:docVar w:name="HyperlinkTOC" w:val="True"/>
    <w:docVar w:name="IncludeTOCAndPageHeadings" w:val="True"/>
    <w:docVar w:name="LastSchemeChoice" w:val="Scheme 12(c) UK12"/>
    <w:docVar w:name="LastSchemeUniqueID" w:val="144"/>
    <w:docVar w:name="LegacyDocIDRemoved" w:val="True"/>
    <w:docVar w:name="NoNumberLevel1TOC" w:val="False"/>
    <w:docVar w:name="Option0True" w:val="False"/>
    <w:docVar w:name="Option1True" w:val="False"/>
    <w:docVar w:name="TOCFormatConst" w:val="0"/>
    <w:docVar w:name="TOCFormatPreference" w:val="Leave TOC styles 'as is' in current document (default)"/>
    <w:docVar w:name="TOCHeadingAllCaps" w:val="True"/>
    <w:docVar w:name="TOCHeadingUnderlined" w:val="False"/>
    <w:docVar w:name="TOCIncludeNonHeadings" w:val="False"/>
    <w:docVar w:name="TOCIncludeSectionBreaks" w:val="False"/>
    <w:docVar w:name="TOCIncludeTCFields" w:val="True"/>
    <w:docVar w:name="TOCPageUnderlined" w:val="False"/>
    <w:docVar w:name="TOCPosition" w:val="Replace existing TOC"/>
    <w:docVar w:name="TOCRun" w:val="True"/>
    <w:docVar w:name="TOCSpecialLevels" w:val="True"/>
    <w:docVar w:name="UnderlineTOCLevel1" w:val="False"/>
    <w:docVar w:name="UpperLevelTOC" w:val="1,2,3…"/>
  </w:docVars>
  <w:rsids>
    <w:rsidRoot w:val="00A762A8"/>
    <w:rsid w:val="00000887"/>
    <w:rsid w:val="000013B6"/>
    <w:rsid w:val="00001A6C"/>
    <w:rsid w:val="00003575"/>
    <w:rsid w:val="00003738"/>
    <w:rsid w:val="00005C17"/>
    <w:rsid w:val="0000608D"/>
    <w:rsid w:val="00007780"/>
    <w:rsid w:val="0001114B"/>
    <w:rsid w:val="00012113"/>
    <w:rsid w:val="00013504"/>
    <w:rsid w:val="00014630"/>
    <w:rsid w:val="0001739E"/>
    <w:rsid w:val="0001742B"/>
    <w:rsid w:val="000204FF"/>
    <w:rsid w:val="00024F2B"/>
    <w:rsid w:val="00025819"/>
    <w:rsid w:val="00027769"/>
    <w:rsid w:val="00030214"/>
    <w:rsid w:val="00030CC8"/>
    <w:rsid w:val="00035ECA"/>
    <w:rsid w:val="00036C5A"/>
    <w:rsid w:val="000404C9"/>
    <w:rsid w:val="00040A6A"/>
    <w:rsid w:val="00040BF7"/>
    <w:rsid w:val="000410E0"/>
    <w:rsid w:val="00041AAC"/>
    <w:rsid w:val="00044C5F"/>
    <w:rsid w:val="00044F48"/>
    <w:rsid w:val="00045C25"/>
    <w:rsid w:val="00047AED"/>
    <w:rsid w:val="00050198"/>
    <w:rsid w:val="000515CE"/>
    <w:rsid w:val="0005609B"/>
    <w:rsid w:val="0005735E"/>
    <w:rsid w:val="0006082B"/>
    <w:rsid w:val="000642E0"/>
    <w:rsid w:val="0006444A"/>
    <w:rsid w:val="00067165"/>
    <w:rsid w:val="000676A2"/>
    <w:rsid w:val="00070117"/>
    <w:rsid w:val="00070283"/>
    <w:rsid w:val="00070CFE"/>
    <w:rsid w:val="00072DE5"/>
    <w:rsid w:val="000739D0"/>
    <w:rsid w:val="00076271"/>
    <w:rsid w:val="000777FB"/>
    <w:rsid w:val="00080B41"/>
    <w:rsid w:val="000816A1"/>
    <w:rsid w:val="00085129"/>
    <w:rsid w:val="0008739E"/>
    <w:rsid w:val="00092BA6"/>
    <w:rsid w:val="000933A0"/>
    <w:rsid w:val="0009351B"/>
    <w:rsid w:val="00093777"/>
    <w:rsid w:val="00094BA8"/>
    <w:rsid w:val="00094DB9"/>
    <w:rsid w:val="000A4E7D"/>
    <w:rsid w:val="000B000E"/>
    <w:rsid w:val="000B0834"/>
    <w:rsid w:val="000B1714"/>
    <w:rsid w:val="000B4297"/>
    <w:rsid w:val="000B6630"/>
    <w:rsid w:val="000B77E4"/>
    <w:rsid w:val="000B7B0D"/>
    <w:rsid w:val="000C04B9"/>
    <w:rsid w:val="000C0916"/>
    <w:rsid w:val="000C0B1C"/>
    <w:rsid w:val="000C10F1"/>
    <w:rsid w:val="000C182C"/>
    <w:rsid w:val="000C2004"/>
    <w:rsid w:val="000C21F8"/>
    <w:rsid w:val="000C2BC6"/>
    <w:rsid w:val="000C53F8"/>
    <w:rsid w:val="000C7005"/>
    <w:rsid w:val="000D1A90"/>
    <w:rsid w:val="000D3D13"/>
    <w:rsid w:val="000E2466"/>
    <w:rsid w:val="000E2AB4"/>
    <w:rsid w:val="000E3BF8"/>
    <w:rsid w:val="000E5C67"/>
    <w:rsid w:val="000E649A"/>
    <w:rsid w:val="000E6818"/>
    <w:rsid w:val="000E7345"/>
    <w:rsid w:val="000F475D"/>
    <w:rsid w:val="000F4C66"/>
    <w:rsid w:val="000F518A"/>
    <w:rsid w:val="000F7A01"/>
    <w:rsid w:val="000F7F2D"/>
    <w:rsid w:val="00101AA7"/>
    <w:rsid w:val="001023BD"/>
    <w:rsid w:val="00107583"/>
    <w:rsid w:val="001162D8"/>
    <w:rsid w:val="0011787E"/>
    <w:rsid w:val="00120FD8"/>
    <w:rsid w:val="00123CBE"/>
    <w:rsid w:val="00124182"/>
    <w:rsid w:val="00125218"/>
    <w:rsid w:val="001255BE"/>
    <w:rsid w:val="0012582A"/>
    <w:rsid w:val="0013029A"/>
    <w:rsid w:val="0013253F"/>
    <w:rsid w:val="00134903"/>
    <w:rsid w:val="001408D0"/>
    <w:rsid w:val="001409C1"/>
    <w:rsid w:val="00143E01"/>
    <w:rsid w:val="00143FFA"/>
    <w:rsid w:val="00144C9B"/>
    <w:rsid w:val="001456BF"/>
    <w:rsid w:val="001468C7"/>
    <w:rsid w:val="001518D3"/>
    <w:rsid w:val="001526C0"/>
    <w:rsid w:val="00152B7E"/>
    <w:rsid w:val="001532DA"/>
    <w:rsid w:val="00153CD8"/>
    <w:rsid w:val="0016108A"/>
    <w:rsid w:val="0016190B"/>
    <w:rsid w:val="001621D1"/>
    <w:rsid w:val="00165C0D"/>
    <w:rsid w:val="001668A3"/>
    <w:rsid w:val="00167B57"/>
    <w:rsid w:val="0017052F"/>
    <w:rsid w:val="0017075E"/>
    <w:rsid w:val="001715CD"/>
    <w:rsid w:val="001715EA"/>
    <w:rsid w:val="0017214F"/>
    <w:rsid w:val="00173B40"/>
    <w:rsid w:val="00174C96"/>
    <w:rsid w:val="0017627C"/>
    <w:rsid w:val="00182C4D"/>
    <w:rsid w:val="00183066"/>
    <w:rsid w:val="0018689A"/>
    <w:rsid w:val="00187811"/>
    <w:rsid w:val="001935BA"/>
    <w:rsid w:val="00193631"/>
    <w:rsid w:val="00194493"/>
    <w:rsid w:val="00194C6D"/>
    <w:rsid w:val="001955BC"/>
    <w:rsid w:val="00195B3A"/>
    <w:rsid w:val="0019683C"/>
    <w:rsid w:val="0019712D"/>
    <w:rsid w:val="00197360"/>
    <w:rsid w:val="001A32E5"/>
    <w:rsid w:val="001A5940"/>
    <w:rsid w:val="001A7C7F"/>
    <w:rsid w:val="001B013B"/>
    <w:rsid w:val="001B065A"/>
    <w:rsid w:val="001B0A02"/>
    <w:rsid w:val="001B38E7"/>
    <w:rsid w:val="001B651A"/>
    <w:rsid w:val="001B72BE"/>
    <w:rsid w:val="001C0082"/>
    <w:rsid w:val="001C1541"/>
    <w:rsid w:val="001C191B"/>
    <w:rsid w:val="001C2146"/>
    <w:rsid w:val="001C279A"/>
    <w:rsid w:val="001C2BD8"/>
    <w:rsid w:val="001C2FC9"/>
    <w:rsid w:val="001C5B6C"/>
    <w:rsid w:val="001D02CB"/>
    <w:rsid w:val="001D374B"/>
    <w:rsid w:val="001D4429"/>
    <w:rsid w:val="001D4794"/>
    <w:rsid w:val="001D58AC"/>
    <w:rsid w:val="001D64CF"/>
    <w:rsid w:val="001D6ADA"/>
    <w:rsid w:val="001D6B9A"/>
    <w:rsid w:val="001D6D6B"/>
    <w:rsid w:val="001D72F4"/>
    <w:rsid w:val="001E1ADD"/>
    <w:rsid w:val="001E2579"/>
    <w:rsid w:val="001E3223"/>
    <w:rsid w:val="001E356C"/>
    <w:rsid w:val="001E4ADB"/>
    <w:rsid w:val="001E7035"/>
    <w:rsid w:val="001E7DF5"/>
    <w:rsid w:val="001F49A9"/>
    <w:rsid w:val="001F4C7F"/>
    <w:rsid w:val="001F59AA"/>
    <w:rsid w:val="001F6CCA"/>
    <w:rsid w:val="00201D55"/>
    <w:rsid w:val="00202EF6"/>
    <w:rsid w:val="0020600D"/>
    <w:rsid w:val="00206227"/>
    <w:rsid w:val="00206378"/>
    <w:rsid w:val="00207963"/>
    <w:rsid w:val="00210135"/>
    <w:rsid w:val="00211CE9"/>
    <w:rsid w:val="002128C2"/>
    <w:rsid w:val="00215916"/>
    <w:rsid w:val="00216099"/>
    <w:rsid w:val="002164CC"/>
    <w:rsid w:val="002166A5"/>
    <w:rsid w:val="002174E7"/>
    <w:rsid w:val="00221430"/>
    <w:rsid w:val="00221BEC"/>
    <w:rsid w:val="00224455"/>
    <w:rsid w:val="002244D2"/>
    <w:rsid w:val="00224C03"/>
    <w:rsid w:val="00227F0C"/>
    <w:rsid w:val="002303FA"/>
    <w:rsid w:val="00230A4C"/>
    <w:rsid w:val="002313E3"/>
    <w:rsid w:val="00232AA4"/>
    <w:rsid w:val="00233D00"/>
    <w:rsid w:val="0023775A"/>
    <w:rsid w:val="002408E4"/>
    <w:rsid w:val="002441C4"/>
    <w:rsid w:val="00245F59"/>
    <w:rsid w:val="00246497"/>
    <w:rsid w:val="00247347"/>
    <w:rsid w:val="00250039"/>
    <w:rsid w:val="0025082F"/>
    <w:rsid w:val="002510C9"/>
    <w:rsid w:val="00255031"/>
    <w:rsid w:val="00260D26"/>
    <w:rsid w:val="00264066"/>
    <w:rsid w:val="0026458D"/>
    <w:rsid w:val="00264F1B"/>
    <w:rsid w:val="00270656"/>
    <w:rsid w:val="002712C1"/>
    <w:rsid w:val="002721C7"/>
    <w:rsid w:val="00273A12"/>
    <w:rsid w:val="002745B6"/>
    <w:rsid w:val="002749F1"/>
    <w:rsid w:val="00276B90"/>
    <w:rsid w:val="002805C3"/>
    <w:rsid w:val="00281926"/>
    <w:rsid w:val="00281C15"/>
    <w:rsid w:val="0028396B"/>
    <w:rsid w:val="00285E15"/>
    <w:rsid w:val="00286090"/>
    <w:rsid w:val="0028623E"/>
    <w:rsid w:val="002879B2"/>
    <w:rsid w:val="00290DCC"/>
    <w:rsid w:val="00291FC4"/>
    <w:rsid w:val="002924E8"/>
    <w:rsid w:val="00293990"/>
    <w:rsid w:val="00294F4D"/>
    <w:rsid w:val="002A21AB"/>
    <w:rsid w:val="002A272A"/>
    <w:rsid w:val="002A2F84"/>
    <w:rsid w:val="002A3C88"/>
    <w:rsid w:val="002A510C"/>
    <w:rsid w:val="002A67C4"/>
    <w:rsid w:val="002A7B3E"/>
    <w:rsid w:val="002A7F34"/>
    <w:rsid w:val="002B165F"/>
    <w:rsid w:val="002B180B"/>
    <w:rsid w:val="002B4B9D"/>
    <w:rsid w:val="002B5351"/>
    <w:rsid w:val="002B669F"/>
    <w:rsid w:val="002C07D4"/>
    <w:rsid w:val="002C421A"/>
    <w:rsid w:val="002C49CB"/>
    <w:rsid w:val="002C4FCB"/>
    <w:rsid w:val="002C7665"/>
    <w:rsid w:val="002D206C"/>
    <w:rsid w:val="002D3CC3"/>
    <w:rsid w:val="002D5238"/>
    <w:rsid w:val="002E0A24"/>
    <w:rsid w:val="002E159B"/>
    <w:rsid w:val="002E3A51"/>
    <w:rsid w:val="002E45A4"/>
    <w:rsid w:val="002E4856"/>
    <w:rsid w:val="002E5BB8"/>
    <w:rsid w:val="002F1FE5"/>
    <w:rsid w:val="002F38B0"/>
    <w:rsid w:val="002F50C9"/>
    <w:rsid w:val="0030028C"/>
    <w:rsid w:val="00301E62"/>
    <w:rsid w:val="0030202E"/>
    <w:rsid w:val="003021D3"/>
    <w:rsid w:val="003029EF"/>
    <w:rsid w:val="0030591B"/>
    <w:rsid w:val="003072B6"/>
    <w:rsid w:val="00307B53"/>
    <w:rsid w:val="00307E5B"/>
    <w:rsid w:val="00310AEC"/>
    <w:rsid w:val="003115EF"/>
    <w:rsid w:val="00312B14"/>
    <w:rsid w:val="00312EFD"/>
    <w:rsid w:val="003175AC"/>
    <w:rsid w:val="00317B94"/>
    <w:rsid w:val="0032288B"/>
    <w:rsid w:val="00322D1A"/>
    <w:rsid w:val="00323232"/>
    <w:rsid w:val="00324D13"/>
    <w:rsid w:val="00325A37"/>
    <w:rsid w:val="00326FE7"/>
    <w:rsid w:val="00330A2A"/>
    <w:rsid w:val="0033542C"/>
    <w:rsid w:val="00335B89"/>
    <w:rsid w:val="00336A54"/>
    <w:rsid w:val="00337D9C"/>
    <w:rsid w:val="00342611"/>
    <w:rsid w:val="00343B7B"/>
    <w:rsid w:val="00343E73"/>
    <w:rsid w:val="00345F8A"/>
    <w:rsid w:val="00351330"/>
    <w:rsid w:val="00354F5F"/>
    <w:rsid w:val="00356B98"/>
    <w:rsid w:val="00357DD8"/>
    <w:rsid w:val="00361579"/>
    <w:rsid w:val="00361E32"/>
    <w:rsid w:val="00362E2D"/>
    <w:rsid w:val="00363CED"/>
    <w:rsid w:val="003649E0"/>
    <w:rsid w:val="00364B36"/>
    <w:rsid w:val="00365CD1"/>
    <w:rsid w:val="003665A3"/>
    <w:rsid w:val="003671A8"/>
    <w:rsid w:val="003702B5"/>
    <w:rsid w:val="00370708"/>
    <w:rsid w:val="0037119D"/>
    <w:rsid w:val="00372781"/>
    <w:rsid w:val="003732F6"/>
    <w:rsid w:val="003733A6"/>
    <w:rsid w:val="003747B8"/>
    <w:rsid w:val="00374CA6"/>
    <w:rsid w:val="003764D7"/>
    <w:rsid w:val="00380411"/>
    <w:rsid w:val="00380C5D"/>
    <w:rsid w:val="00381E71"/>
    <w:rsid w:val="00382455"/>
    <w:rsid w:val="00383045"/>
    <w:rsid w:val="00384436"/>
    <w:rsid w:val="0038681C"/>
    <w:rsid w:val="00386DD2"/>
    <w:rsid w:val="00387CAC"/>
    <w:rsid w:val="00390ED2"/>
    <w:rsid w:val="00392AB9"/>
    <w:rsid w:val="00395B2F"/>
    <w:rsid w:val="00395C92"/>
    <w:rsid w:val="003966BB"/>
    <w:rsid w:val="003969EB"/>
    <w:rsid w:val="00396D88"/>
    <w:rsid w:val="00397870"/>
    <w:rsid w:val="00397BE3"/>
    <w:rsid w:val="003A03B7"/>
    <w:rsid w:val="003A0A70"/>
    <w:rsid w:val="003A1122"/>
    <w:rsid w:val="003A1519"/>
    <w:rsid w:val="003A1C2C"/>
    <w:rsid w:val="003A2A15"/>
    <w:rsid w:val="003A2C8C"/>
    <w:rsid w:val="003A2CA5"/>
    <w:rsid w:val="003A5308"/>
    <w:rsid w:val="003A57B2"/>
    <w:rsid w:val="003A6C6F"/>
    <w:rsid w:val="003A7ADD"/>
    <w:rsid w:val="003B1C48"/>
    <w:rsid w:val="003B1DFA"/>
    <w:rsid w:val="003B2846"/>
    <w:rsid w:val="003B5CCD"/>
    <w:rsid w:val="003B6CBD"/>
    <w:rsid w:val="003C0546"/>
    <w:rsid w:val="003C0E67"/>
    <w:rsid w:val="003C1505"/>
    <w:rsid w:val="003C1D71"/>
    <w:rsid w:val="003C1FFF"/>
    <w:rsid w:val="003C2D76"/>
    <w:rsid w:val="003C4A0E"/>
    <w:rsid w:val="003C6AAF"/>
    <w:rsid w:val="003D051C"/>
    <w:rsid w:val="003D0BA9"/>
    <w:rsid w:val="003D144C"/>
    <w:rsid w:val="003D19CA"/>
    <w:rsid w:val="003D2DE1"/>
    <w:rsid w:val="003D4C5D"/>
    <w:rsid w:val="003D6C59"/>
    <w:rsid w:val="003E1917"/>
    <w:rsid w:val="003E403C"/>
    <w:rsid w:val="003E40D6"/>
    <w:rsid w:val="003E4611"/>
    <w:rsid w:val="003E50DD"/>
    <w:rsid w:val="003E731C"/>
    <w:rsid w:val="003E774D"/>
    <w:rsid w:val="003F4CA3"/>
    <w:rsid w:val="003F567B"/>
    <w:rsid w:val="003F6206"/>
    <w:rsid w:val="00402727"/>
    <w:rsid w:val="00403514"/>
    <w:rsid w:val="00404953"/>
    <w:rsid w:val="00407037"/>
    <w:rsid w:val="00414709"/>
    <w:rsid w:val="004209BA"/>
    <w:rsid w:val="00421154"/>
    <w:rsid w:val="00421FF8"/>
    <w:rsid w:val="00422AA0"/>
    <w:rsid w:val="00422D52"/>
    <w:rsid w:val="00423209"/>
    <w:rsid w:val="00423CDE"/>
    <w:rsid w:val="00431E20"/>
    <w:rsid w:val="00432233"/>
    <w:rsid w:val="004364B8"/>
    <w:rsid w:val="00436D62"/>
    <w:rsid w:val="00436D7D"/>
    <w:rsid w:val="0043773C"/>
    <w:rsid w:val="00437C79"/>
    <w:rsid w:val="00440030"/>
    <w:rsid w:val="0044296F"/>
    <w:rsid w:val="0044354A"/>
    <w:rsid w:val="004448A1"/>
    <w:rsid w:val="00445ED9"/>
    <w:rsid w:val="00446550"/>
    <w:rsid w:val="00450238"/>
    <w:rsid w:val="00453397"/>
    <w:rsid w:val="00453910"/>
    <w:rsid w:val="004565E7"/>
    <w:rsid w:val="00457738"/>
    <w:rsid w:val="004610C0"/>
    <w:rsid w:val="00461CE0"/>
    <w:rsid w:val="004634D2"/>
    <w:rsid w:val="00463B0F"/>
    <w:rsid w:val="00463D38"/>
    <w:rsid w:val="00466733"/>
    <w:rsid w:val="00466966"/>
    <w:rsid w:val="00472586"/>
    <w:rsid w:val="00475B04"/>
    <w:rsid w:val="00480A53"/>
    <w:rsid w:val="00480E4F"/>
    <w:rsid w:val="0048102D"/>
    <w:rsid w:val="00481332"/>
    <w:rsid w:val="00481A96"/>
    <w:rsid w:val="00483947"/>
    <w:rsid w:val="004852FF"/>
    <w:rsid w:val="0048549B"/>
    <w:rsid w:val="004917B1"/>
    <w:rsid w:val="00493183"/>
    <w:rsid w:val="00493FE3"/>
    <w:rsid w:val="00494584"/>
    <w:rsid w:val="00495C2A"/>
    <w:rsid w:val="004967D0"/>
    <w:rsid w:val="004975FF"/>
    <w:rsid w:val="004A06E0"/>
    <w:rsid w:val="004A0BC2"/>
    <w:rsid w:val="004A34C2"/>
    <w:rsid w:val="004A4DF9"/>
    <w:rsid w:val="004A5C13"/>
    <w:rsid w:val="004A64EE"/>
    <w:rsid w:val="004B2263"/>
    <w:rsid w:val="004B27F5"/>
    <w:rsid w:val="004B3140"/>
    <w:rsid w:val="004B34C6"/>
    <w:rsid w:val="004B42E9"/>
    <w:rsid w:val="004B49E3"/>
    <w:rsid w:val="004B5FCB"/>
    <w:rsid w:val="004C4069"/>
    <w:rsid w:val="004C67BB"/>
    <w:rsid w:val="004D029A"/>
    <w:rsid w:val="004D08C9"/>
    <w:rsid w:val="004D2458"/>
    <w:rsid w:val="004D3979"/>
    <w:rsid w:val="004D4957"/>
    <w:rsid w:val="004D504C"/>
    <w:rsid w:val="004D6020"/>
    <w:rsid w:val="004D619A"/>
    <w:rsid w:val="004D6E6A"/>
    <w:rsid w:val="004E0F66"/>
    <w:rsid w:val="004E0F80"/>
    <w:rsid w:val="004E1463"/>
    <w:rsid w:val="004E1995"/>
    <w:rsid w:val="004E1A89"/>
    <w:rsid w:val="004E1AC4"/>
    <w:rsid w:val="004E2C89"/>
    <w:rsid w:val="004E54AC"/>
    <w:rsid w:val="004E5DA6"/>
    <w:rsid w:val="004E781C"/>
    <w:rsid w:val="004F005B"/>
    <w:rsid w:val="004F0272"/>
    <w:rsid w:val="004F0FAB"/>
    <w:rsid w:val="004F1081"/>
    <w:rsid w:val="004F60B2"/>
    <w:rsid w:val="0050084D"/>
    <w:rsid w:val="00501754"/>
    <w:rsid w:val="00501E80"/>
    <w:rsid w:val="00502702"/>
    <w:rsid w:val="005070AD"/>
    <w:rsid w:val="005079DC"/>
    <w:rsid w:val="0051190A"/>
    <w:rsid w:val="00515053"/>
    <w:rsid w:val="00516776"/>
    <w:rsid w:val="00520DA4"/>
    <w:rsid w:val="00520DD3"/>
    <w:rsid w:val="005230C7"/>
    <w:rsid w:val="00523BBF"/>
    <w:rsid w:val="00530967"/>
    <w:rsid w:val="0053515B"/>
    <w:rsid w:val="00535F16"/>
    <w:rsid w:val="00540139"/>
    <w:rsid w:val="00540A79"/>
    <w:rsid w:val="00540B19"/>
    <w:rsid w:val="00541959"/>
    <w:rsid w:val="0054267A"/>
    <w:rsid w:val="00544F4B"/>
    <w:rsid w:val="0054619D"/>
    <w:rsid w:val="00547FDF"/>
    <w:rsid w:val="005518A8"/>
    <w:rsid w:val="00553790"/>
    <w:rsid w:val="0055460B"/>
    <w:rsid w:val="00554C1B"/>
    <w:rsid w:val="00556A69"/>
    <w:rsid w:val="00556D19"/>
    <w:rsid w:val="0055704C"/>
    <w:rsid w:val="00560764"/>
    <w:rsid w:val="0056158E"/>
    <w:rsid w:val="00566E0A"/>
    <w:rsid w:val="00566EE9"/>
    <w:rsid w:val="005677DE"/>
    <w:rsid w:val="00571260"/>
    <w:rsid w:val="00571572"/>
    <w:rsid w:val="005720BF"/>
    <w:rsid w:val="005722BB"/>
    <w:rsid w:val="00572344"/>
    <w:rsid w:val="00572832"/>
    <w:rsid w:val="00572E45"/>
    <w:rsid w:val="0057302B"/>
    <w:rsid w:val="00576570"/>
    <w:rsid w:val="00576D1B"/>
    <w:rsid w:val="00580C58"/>
    <w:rsid w:val="0058151C"/>
    <w:rsid w:val="00581FD4"/>
    <w:rsid w:val="00582E01"/>
    <w:rsid w:val="005857AA"/>
    <w:rsid w:val="00585C63"/>
    <w:rsid w:val="00586DEF"/>
    <w:rsid w:val="00591AF7"/>
    <w:rsid w:val="00592544"/>
    <w:rsid w:val="005933B5"/>
    <w:rsid w:val="005940E3"/>
    <w:rsid w:val="00597C6D"/>
    <w:rsid w:val="005A19C4"/>
    <w:rsid w:val="005A2867"/>
    <w:rsid w:val="005A3242"/>
    <w:rsid w:val="005A414D"/>
    <w:rsid w:val="005A71A0"/>
    <w:rsid w:val="005A78F0"/>
    <w:rsid w:val="005B07BF"/>
    <w:rsid w:val="005B2BAF"/>
    <w:rsid w:val="005B3536"/>
    <w:rsid w:val="005B5ED5"/>
    <w:rsid w:val="005B71CF"/>
    <w:rsid w:val="005B7315"/>
    <w:rsid w:val="005B7EC0"/>
    <w:rsid w:val="005C0562"/>
    <w:rsid w:val="005C0DDF"/>
    <w:rsid w:val="005C214D"/>
    <w:rsid w:val="005C4616"/>
    <w:rsid w:val="005C5714"/>
    <w:rsid w:val="005C7CC4"/>
    <w:rsid w:val="005D0A49"/>
    <w:rsid w:val="005D2601"/>
    <w:rsid w:val="005D30CC"/>
    <w:rsid w:val="005D33F5"/>
    <w:rsid w:val="005D344E"/>
    <w:rsid w:val="005D3A5E"/>
    <w:rsid w:val="005D52BA"/>
    <w:rsid w:val="005D548D"/>
    <w:rsid w:val="005D5B83"/>
    <w:rsid w:val="005E0C71"/>
    <w:rsid w:val="005E1557"/>
    <w:rsid w:val="005E15D6"/>
    <w:rsid w:val="005E160E"/>
    <w:rsid w:val="005E21A3"/>
    <w:rsid w:val="005E4294"/>
    <w:rsid w:val="005E4759"/>
    <w:rsid w:val="005E6DBE"/>
    <w:rsid w:val="005E7603"/>
    <w:rsid w:val="005F263A"/>
    <w:rsid w:val="005F3891"/>
    <w:rsid w:val="005F3B3B"/>
    <w:rsid w:val="005F425F"/>
    <w:rsid w:val="005F7CCD"/>
    <w:rsid w:val="005F7E3D"/>
    <w:rsid w:val="00601D29"/>
    <w:rsid w:val="00602B3D"/>
    <w:rsid w:val="00604053"/>
    <w:rsid w:val="00605654"/>
    <w:rsid w:val="00606EB4"/>
    <w:rsid w:val="00612DAE"/>
    <w:rsid w:val="00615A2F"/>
    <w:rsid w:val="00615CF2"/>
    <w:rsid w:val="00615D02"/>
    <w:rsid w:val="006160D6"/>
    <w:rsid w:val="0062246A"/>
    <w:rsid w:val="0062322D"/>
    <w:rsid w:val="00626F1E"/>
    <w:rsid w:val="0063163E"/>
    <w:rsid w:val="0063201C"/>
    <w:rsid w:val="00632624"/>
    <w:rsid w:val="00632837"/>
    <w:rsid w:val="00632B7F"/>
    <w:rsid w:val="006347EF"/>
    <w:rsid w:val="00636EF3"/>
    <w:rsid w:val="00641730"/>
    <w:rsid w:val="00643202"/>
    <w:rsid w:val="0064400B"/>
    <w:rsid w:val="0064524C"/>
    <w:rsid w:val="0064525C"/>
    <w:rsid w:val="00646804"/>
    <w:rsid w:val="006468B7"/>
    <w:rsid w:val="006529E8"/>
    <w:rsid w:val="00652C1B"/>
    <w:rsid w:val="00656258"/>
    <w:rsid w:val="00656D8D"/>
    <w:rsid w:val="006574A9"/>
    <w:rsid w:val="0066181A"/>
    <w:rsid w:val="006648E9"/>
    <w:rsid w:val="00666691"/>
    <w:rsid w:val="00667343"/>
    <w:rsid w:val="0067336C"/>
    <w:rsid w:val="006752D9"/>
    <w:rsid w:val="00675B55"/>
    <w:rsid w:val="0067620F"/>
    <w:rsid w:val="00683655"/>
    <w:rsid w:val="006854D9"/>
    <w:rsid w:val="00686198"/>
    <w:rsid w:val="00687880"/>
    <w:rsid w:val="00690BF6"/>
    <w:rsid w:val="00690FB1"/>
    <w:rsid w:val="006923E0"/>
    <w:rsid w:val="0069381C"/>
    <w:rsid w:val="00693C5B"/>
    <w:rsid w:val="006957A1"/>
    <w:rsid w:val="006A0477"/>
    <w:rsid w:val="006A0EC4"/>
    <w:rsid w:val="006A2A2D"/>
    <w:rsid w:val="006A2FD1"/>
    <w:rsid w:val="006A3399"/>
    <w:rsid w:val="006A3DC3"/>
    <w:rsid w:val="006A54CE"/>
    <w:rsid w:val="006A5C90"/>
    <w:rsid w:val="006A5F13"/>
    <w:rsid w:val="006A7087"/>
    <w:rsid w:val="006A7B14"/>
    <w:rsid w:val="006B0ACA"/>
    <w:rsid w:val="006B304D"/>
    <w:rsid w:val="006B4B6B"/>
    <w:rsid w:val="006B7FAD"/>
    <w:rsid w:val="006C105B"/>
    <w:rsid w:val="006C4923"/>
    <w:rsid w:val="006C64A6"/>
    <w:rsid w:val="006C764B"/>
    <w:rsid w:val="006D0C09"/>
    <w:rsid w:val="006D1104"/>
    <w:rsid w:val="006D2097"/>
    <w:rsid w:val="006D4397"/>
    <w:rsid w:val="006D5D0B"/>
    <w:rsid w:val="006E0A05"/>
    <w:rsid w:val="006E284B"/>
    <w:rsid w:val="006E303B"/>
    <w:rsid w:val="006E50AA"/>
    <w:rsid w:val="006E5258"/>
    <w:rsid w:val="006E5B87"/>
    <w:rsid w:val="006E6343"/>
    <w:rsid w:val="006F104C"/>
    <w:rsid w:val="006F15E3"/>
    <w:rsid w:val="006F1948"/>
    <w:rsid w:val="006F2430"/>
    <w:rsid w:val="006F297B"/>
    <w:rsid w:val="006F432C"/>
    <w:rsid w:val="006F4E5A"/>
    <w:rsid w:val="006F535F"/>
    <w:rsid w:val="006F542E"/>
    <w:rsid w:val="006F763B"/>
    <w:rsid w:val="006F7B97"/>
    <w:rsid w:val="00702A7E"/>
    <w:rsid w:val="00704ACA"/>
    <w:rsid w:val="0070607E"/>
    <w:rsid w:val="00706AC9"/>
    <w:rsid w:val="007070A6"/>
    <w:rsid w:val="00707292"/>
    <w:rsid w:val="00710313"/>
    <w:rsid w:val="00712E62"/>
    <w:rsid w:val="007135F6"/>
    <w:rsid w:val="00714578"/>
    <w:rsid w:val="0071655C"/>
    <w:rsid w:val="007167B3"/>
    <w:rsid w:val="00716D2E"/>
    <w:rsid w:val="00717E75"/>
    <w:rsid w:val="007230D9"/>
    <w:rsid w:val="0072414B"/>
    <w:rsid w:val="00724723"/>
    <w:rsid w:val="007248F8"/>
    <w:rsid w:val="00724FD3"/>
    <w:rsid w:val="00725EC0"/>
    <w:rsid w:val="007267C2"/>
    <w:rsid w:val="00726D66"/>
    <w:rsid w:val="0072796C"/>
    <w:rsid w:val="0073211B"/>
    <w:rsid w:val="007360A2"/>
    <w:rsid w:val="00740FFD"/>
    <w:rsid w:val="00742AC6"/>
    <w:rsid w:val="00742BCD"/>
    <w:rsid w:val="00743331"/>
    <w:rsid w:val="007441ED"/>
    <w:rsid w:val="00744616"/>
    <w:rsid w:val="007455EA"/>
    <w:rsid w:val="00746329"/>
    <w:rsid w:val="00750BBF"/>
    <w:rsid w:val="0075547B"/>
    <w:rsid w:val="00755697"/>
    <w:rsid w:val="00756045"/>
    <w:rsid w:val="007564E0"/>
    <w:rsid w:val="007573BA"/>
    <w:rsid w:val="00757656"/>
    <w:rsid w:val="00757B38"/>
    <w:rsid w:val="0076115C"/>
    <w:rsid w:val="00761C88"/>
    <w:rsid w:val="00761F3F"/>
    <w:rsid w:val="007623F8"/>
    <w:rsid w:val="007627CE"/>
    <w:rsid w:val="00770D24"/>
    <w:rsid w:val="00770DE0"/>
    <w:rsid w:val="007722DD"/>
    <w:rsid w:val="0077386D"/>
    <w:rsid w:val="00775CA2"/>
    <w:rsid w:val="00780454"/>
    <w:rsid w:val="00781C1C"/>
    <w:rsid w:val="0078262E"/>
    <w:rsid w:val="0078441A"/>
    <w:rsid w:val="0078487E"/>
    <w:rsid w:val="0079042A"/>
    <w:rsid w:val="00791A2B"/>
    <w:rsid w:val="00791AB5"/>
    <w:rsid w:val="00791F81"/>
    <w:rsid w:val="00793F9D"/>
    <w:rsid w:val="0079430A"/>
    <w:rsid w:val="00794EFE"/>
    <w:rsid w:val="0079525F"/>
    <w:rsid w:val="007966E3"/>
    <w:rsid w:val="00796FA2"/>
    <w:rsid w:val="007A18D4"/>
    <w:rsid w:val="007B16F0"/>
    <w:rsid w:val="007B36E6"/>
    <w:rsid w:val="007B44D5"/>
    <w:rsid w:val="007B465C"/>
    <w:rsid w:val="007B4999"/>
    <w:rsid w:val="007B52D2"/>
    <w:rsid w:val="007B7362"/>
    <w:rsid w:val="007C102C"/>
    <w:rsid w:val="007C1D3D"/>
    <w:rsid w:val="007C1DE9"/>
    <w:rsid w:val="007C245C"/>
    <w:rsid w:val="007C2E21"/>
    <w:rsid w:val="007C3079"/>
    <w:rsid w:val="007C5CC2"/>
    <w:rsid w:val="007C6640"/>
    <w:rsid w:val="007D10E9"/>
    <w:rsid w:val="007D16A4"/>
    <w:rsid w:val="007D28CD"/>
    <w:rsid w:val="007D7B3D"/>
    <w:rsid w:val="007E1FD0"/>
    <w:rsid w:val="007E27CD"/>
    <w:rsid w:val="007E4B5E"/>
    <w:rsid w:val="007E535F"/>
    <w:rsid w:val="007E56D5"/>
    <w:rsid w:val="007E6060"/>
    <w:rsid w:val="007E6813"/>
    <w:rsid w:val="007F38AD"/>
    <w:rsid w:val="007F420D"/>
    <w:rsid w:val="007F5285"/>
    <w:rsid w:val="007F5A97"/>
    <w:rsid w:val="007F5E7D"/>
    <w:rsid w:val="007F7336"/>
    <w:rsid w:val="00801DAF"/>
    <w:rsid w:val="008068D6"/>
    <w:rsid w:val="00806ABE"/>
    <w:rsid w:val="00806C3C"/>
    <w:rsid w:val="0081098A"/>
    <w:rsid w:val="008116CE"/>
    <w:rsid w:val="00812203"/>
    <w:rsid w:val="008123BD"/>
    <w:rsid w:val="00814226"/>
    <w:rsid w:val="00820AD0"/>
    <w:rsid w:val="008231E4"/>
    <w:rsid w:val="00824824"/>
    <w:rsid w:val="00824A3B"/>
    <w:rsid w:val="00824C6F"/>
    <w:rsid w:val="0082628C"/>
    <w:rsid w:val="008263B9"/>
    <w:rsid w:val="00826803"/>
    <w:rsid w:val="008276C8"/>
    <w:rsid w:val="0082786D"/>
    <w:rsid w:val="00827E58"/>
    <w:rsid w:val="00830A09"/>
    <w:rsid w:val="00831E73"/>
    <w:rsid w:val="00834CCE"/>
    <w:rsid w:val="0083525E"/>
    <w:rsid w:val="00840341"/>
    <w:rsid w:val="00841B7C"/>
    <w:rsid w:val="008432F8"/>
    <w:rsid w:val="00844ADC"/>
    <w:rsid w:val="00846642"/>
    <w:rsid w:val="00846BF7"/>
    <w:rsid w:val="00846F4F"/>
    <w:rsid w:val="00847820"/>
    <w:rsid w:val="00847E09"/>
    <w:rsid w:val="00851457"/>
    <w:rsid w:val="00853144"/>
    <w:rsid w:val="00860812"/>
    <w:rsid w:val="00861219"/>
    <w:rsid w:val="00861A3A"/>
    <w:rsid w:val="00861CCD"/>
    <w:rsid w:val="008620DC"/>
    <w:rsid w:val="00862850"/>
    <w:rsid w:val="00863384"/>
    <w:rsid w:val="00864017"/>
    <w:rsid w:val="00864A68"/>
    <w:rsid w:val="00864B04"/>
    <w:rsid w:val="00864D66"/>
    <w:rsid w:val="0086587B"/>
    <w:rsid w:val="00865E6C"/>
    <w:rsid w:val="008702C6"/>
    <w:rsid w:val="00872AE7"/>
    <w:rsid w:val="008730AF"/>
    <w:rsid w:val="0087321A"/>
    <w:rsid w:val="00873D18"/>
    <w:rsid w:val="0087452C"/>
    <w:rsid w:val="0087608D"/>
    <w:rsid w:val="00877CEA"/>
    <w:rsid w:val="00881EEC"/>
    <w:rsid w:val="00881EF1"/>
    <w:rsid w:val="00883266"/>
    <w:rsid w:val="00883C04"/>
    <w:rsid w:val="008841F8"/>
    <w:rsid w:val="00884B27"/>
    <w:rsid w:val="0088622A"/>
    <w:rsid w:val="008875FC"/>
    <w:rsid w:val="00890A46"/>
    <w:rsid w:val="00890BB6"/>
    <w:rsid w:val="0089332A"/>
    <w:rsid w:val="008951CE"/>
    <w:rsid w:val="00895C19"/>
    <w:rsid w:val="00896E3B"/>
    <w:rsid w:val="008A0B81"/>
    <w:rsid w:val="008A0D15"/>
    <w:rsid w:val="008A16F9"/>
    <w:rsid w:val="008A30B8"/>
    <w:rsid w:val="008A41EB"/>
    <w:rsid w:val="008A5BF6"/>
    <w:rsid w:val="008A6373"/>
    <w:rsid w:val="008B0603"/>
    <w:rsid w:val="008B1365"/>
    <w:rsid w:val="008B1700"/>
    <w:rsid w:val="008B22BA"/>
    <w:rsid w:val="008B2530"/>
    <w:rsid w:val="008B3AA1"/>
    <w:rsid w:val="008B499D"/>
    <w:rsid w:val="008B669B"/>
    <w:rsid w:val="008C2221"/>
    <w:rsid w:val="008C2B07"/>
    <w:rsid w:val="008C2FAA"/>
    <w:rsid w:val="008C40DC"/>
    <w:rsid w:val="008C495E"/>
    <w:rsid w:val="008C5937"/>
    <w:rsid w:val="008C5EAC"/>
    <w:rsid w:val="008C6DD1"/>
    <w:rsid w:val="008C7EAE"/>
    <w:rsid w:val="008D0FF0"/>
    <w:rsid w:val="008D15F3"/>
    <w:rsid w:val="008D19E8"/>
    <w:rsid w:val="008D256D"/>
    <w:rsid w:val="008D27AF"/>
    <w:rsid w:val="008D345D"/>
    <w:rsid w:val="008D725A"/>
    <w:rsid w:val="008E09DC"/>
    <w:rsid w:val="008E10A0"/>
    <w:rsid w:val="008E2135"/>
    <w:rsid w:val="008E236E"/>
    <w:rsid w:val="008E325D"/>
    <w:rsid w:val="008E3E68"/>
    <w:rsid w:val="008E5632"/>
    <w:rsid w:val="008F0178"/>
    <w:rsid w:val="008F11EB"/>
    <w:rsid w:val="008F1CA7"/>
    <w:rsid w:val="008F392B"/>
    <w:rsid w:val="008F3A3B"/>
    <w:rsid w:val="008F47C9"/>
    <w:rsid w:val="008F497B"/>
    <w:rsid w:val="008F5C01"/>
    <w:rsid w:val="008F706A"/>
    <w:rsid w:val="009010D4"/>
    <w:rsid w:val="00905066"/>
    <w:rsid w:val="009053F9"/>
    <w:rsid w:val="00907386"/>
    <w:rsid w:val="009108B6"/>
    <w:rsid w:val="009109E7"/>
    <w:rsid w:val="00911CD9"/>
    <w:rsid w:val="0091523C"/>
    <w:rsid w:val="009157F9"/>
    <w:rsid w:val="0091589A"/>
    <w:rsid w:val="0091590B"/>
    <w:rsid w:val="009165A0"/>
    <w:rsid w:val="00917930"/>
    <w:rsid w:val="00920ADA"/>
    <w:rsid w:val="009214D1"/>
    <w:rsid w:val="00921547"/>
    <w:rsid w:val="00922630"/>
    <w:rsid w:val="00922793"/>
    <w:rsid w:val="00922C63"/>
    <w:rsid w:val="00922EE9"/>
    <w:rsid w:val="0092411D"/>
    <w:rsid w:val="0092472C"/>
    <w:rsid w:val="009249F5"/>
    <w:rsid w:val="00926C93"/>
    <w:rsid w:val="00926EA9"/>
    <w:rsid w:val="00930DF1"/>
    <w:rsid w:val="009315E8"/>
    <w:rsid w:val="009329D0"/>
    <w:rsid w:val="00932C01"/>
    <w:rsid w:val="009330F5"/>
    <w:rsid w:val="009339DD"/>
    <w:rsid w:val="009341DF"/>
    <w:rsid w:val="00934C9D"/>
    <w:rsid w:val="0093513D"/>
    <w:rsid w:val="0093519E"/>
    <w:rsid w:val="00935A2C"/>
    <w:rsid w:val="00936A8A"/>
    <w:rsid w:val="00942B27"/>
    <w:rsid w:val="00942BEE"/>
    <w:rsid w:val="00943B3D"/>
    <w:rsid w:val="00944584"/>
    <w:rsid w:val="00945022"/>
    <w:rsid w:val="0095035C"/>
    <w:rsid w:val="00950CC3"/>
    <w:rsid w:val="0095131A"/>
    <w:rsid w:val="00951F99"/>
    <w:rsid w:val="009528A8"/>
    <w:rsid w:val="00954714"/>
    <w:rsid w:val="00955AE0"/>
    <w:rsid w:val="009563C4"/>
    <w:rsid w:val="009571EE"/>
    <w:rsid w:val="00957CE5"/>
    <w:rsid w:val="009616EA"/>
    <w:rsid w:val="00962476"/>
    <w:rsid w:val="00962FF0"/>
    <w:rsid w:val="009644AD"/>
    <w:rsid w:val="00964977"/>
    <w:rsid w:val="009660FE"/>
    <w:rsid w:val="0096640C"/>
    <w:rsid w:val="00967426"/>
    <w:rsid w:val="009707EC"/>
    <w:rsid w:val="00970D64"/>
    <w:rsid w:val="00971E5B"/>
    <w:rsid w:val="009724C3"/>
    <w:rsid w:val="00972924"/>
    <w:rsid w:val="0097347D"/>
    <w:rsid w:val="009743CA"/>
    <w:rsid w:val="00974E9E"/>
    <w:rsid w:val="00974EDF"/>
    <w:rsid w:val="0097576B"/>
    <w:rsid w:val="0097615D"/>
    <w:rsid w:val="00977EE6"/>
    <w:rsid w:val="00983BEF"/>
    <w:rsid w:val="00984387"/>
    <w:rsid w:val="0098472C"/>
    <w:rsid w:val="00994B4E"/>
    <w:rsid w:val="009A095E"/>
    <w:rsid w:val="009A09B1"/>
    <w:rsid w:val="009A11C5"/>
    <w:rsid w:val="009A376E"/>
    <w:rsid w:val="009A3AA8"/>
    <w:rsid w:val="009A3EEE"/>
    <w:rsid w:val="009A601C"/>
    <w:rsid w:val="009A6EDB"/>
    <w:rsid w:val="009A7F14"/>
    <w:rsid w:val="009B0107"/>
    <w:rsid w:val="009B0987"/>
    <w:rsid w:val="009B1855"/>
    <w:rsid w:val="009B33EA"/>
    <w:rsid w:val="009B479D"/>
    <w:rsid w:val="009B4E73"/>
    <w:rsid w:val="009B5981"/>
    <w:rsid w:val="009B7E3E"/>
    <w:rsid w:val="009C16BC"/>
    <w:rsid w:val="009C19C6"/>
    <w:rsid w:val="009C5510"/>
    <w:rsid w:val="009C73D7"/>
    <w:rsid w:val="009D60B3"/>
    <w:rsid w:val="009D73F9"/>
    <w:rsid w:val="009E076A"/>
    <w:rsid w:val="009E485D"/>
    <w:rsid w:val="009E5384"/>
    <w:rsid w:val="009F0156"/>
    <w:rsid w:val="009F3B2E"/>
    <w:rsid w:val="009F4C97"/>
    <w:rsid w:val="009F541E"/>
    <w:rsid w:val="009F5821"/>
    <w:rsid w:val="009F5AF9"/>
    <w:rsid w:val="009F78FF"/>
    <w:rsid w:val="00A0090A"/>
    <w:rsid w:val="00A00F8B"/>
    <w:rsid w:val="00A01F35"/>
    <w:rsid w:val="00A02596"/>
    <w:rsid w:val="00A053EF"/>
    <w:rsid w:val="00A06928"/>
    <w:rsid w:val="00A07EBB"/>
    <w:rsid w:val="00A12656"/>
    <w:rsid w:val="00A13EA1"/>
    <w:rsid w:val="00A14C29"/>
    <w:rsid w:val="00A16DB3"/>
    <w:rsid w:val="00A176CF"/>
    <w:rsid w:val="00A20FAD"/>
    <w:rsid w:val="00A231E2"/>
    <w:rsid w:val="00A23B4A"/>
    <w:rsid w:val="00A23E1F"/>
    <w:rsid w:val="00A248EA"/>
    <w:rsid w:val="00A25113"/>
    <w:rsid w:val="00A26908"/>
    <w:rsid w:val="00A274E5"/>
    <w:rsid w:val="00A276F8"/>
    <w:rsid w:val="00A27FCD"/>
    <w:rsid w:val="00A3021A"/>
    <w:rsid w:val="00A31ECA"/>
    <w:rsid w:val="00A34570"/>
    <w:rsid w:val="00A373A2"/>
    <w:rsid w:val="00A4096D"/>
    <w:rsid w:val="00A4193D"/>
    <w:rsid w:val="00A419E8"/>
    <w:rsid w:val="00A428D7"/>
    <w:rsid w:val="00A43B6D"/>
    <w:rsid w:val="00A47254"/>
    <w:rsid w:val="00A47795"/>
    <w:rsid w:val="00A508B4"/>
    <w:rsid w:val="00A51D3E"/>
    <w:rsid w:val="00A534DD"/>
    <w:rsid w:val="00A5592A"/>
    <w:rsid w:val="00A56816"/>
    <w:rsid w:val="00A6365F"/>
    <w:rsid w:val="00A6534D"/>
    <w:rsid w:val="00A66094"/>
    <w:rsid w:val="00A66872"/>
    <w:rsid w:val="00A727D3"/>
    <w:rsid w:val="00A72B66"/>
    <w:rsid w:val="00A72E7F"/>
    <w:rsid w:val="00A762A8"/>
    <w:rsid w:val="00A80508"/>
    <w:rsid w:val="00A812EC"/>
    <w:rsid w:val="00A836E6"/>
    <w:rsid w:val="00A8589F"/>
    <w:rsid w:val="00A87A91"/>
    <w:rsid w:val="00A92750"/>
    <w:rsid w:val="00A94414"/>
    <w:rsid w:val="00A944FF"/>
    <w:rsid w:val="00A97A50"/>
    <w:rsid w:val="00A97C20"/>
    <w:rsid w:val="00AA1F9A"/>
    <w:rsid w:val="00AA3A87"/>
    <w:rsid w:val="00AA3E83"/>
    <w:rsid w:val="00AA6C0E"/>
    <w:rsid w:val="00AB348D"/>
    <w:rsid w:val="00AC11E5"/>
    <w:rsid w:val="00AC1720"/>
    <w:rsid w:val="00AC1BBC"/>
    <w:rsid w:val="00AC4ED1"/>
    <w:rsid w:val="00AC6363"/>
    <w:rsid w:val="00AC64D7"/>
    <w:rsid w:val="00AC7F8A"/>
    <w:rsid w:val="00AD10FB"/>
    <w:rsid w:val="00AD1A74"/>
    <w:rsid w:val="00AD35E1"/>
    <w:rsid w:val="00AD3FE0"/>
    <w:rsid w:val="00AD622E"/>
    <w:rsid w:val="00AD7A6A"/>
    <w:rsid w:val="00AD7B61"/>
    <w:rsid w:val="00AE2FC5"/>
    <w:rsid w:val="00AE3FD8"/>
    <w:rsid w:val="00AE42A5"/>
    <w:rsid w:val="00AE528C"/>
    <w:rsid w:val="00AE60E6"/>
    <w:rsid w:val="00AE6411"/>
    <w:rsid w:val="00AE79D7"/>
    <w:rsid w:val="00AF07D5"/>
    <w:rsid w:val="00AF20E3"/>
    <w:rsid w:val="00AF47C7"/>
    <w:rsid w:val="00AF561C"/>
    <w:rsid w:val="00AF6544"/>
    <w:rsid w:val="00AF6EE8"/>
    <w:rsid w:val="00B00043"/>
    <w:rsid w:val="00B02DDC"/>
    <w:rsid w:val="00B02FBA"/>
    <w:rsid w:val="00B05F07"/>
    <w:rsid w:val="00B06152"/>
    <w:rsid w:val="00B06704"/>
    <w:rsid w:val="00B07AAE"/>
    <w:rsid w:val="00B10A0B"/>
    <w:rsid w:val="00B114CD"/>
    <w:rsid w:val="00B137EE"/>
    <w:rsid w:val="00B13F99"/>
    <w:rsid w:val="00B162D9"/>
    <w:rsid w:val="00B17DCF"/>
    <w:rsid w:val="00B20432"/>
    <w:rsid w:val="00B20A20"/>
    <w:rsid w:val="00B21EA4"/>
    <w:rsid w:val="00B238FD"/>
    <w:rsid w:val="00B23C3A"/>
    <w:rsid w:val="00B23CA5"/>
    <w:rsid w:val="00B24E07"/>
    <w:rsid w:val="00B24EE7"/>
    <w:rsid w:val="00B275AE"/>
    <w:rsid w:val="00B27B2E"/>
    <w:rsid w:val="00B30DE5"/>
    <w:rsid w:val="00B32214"/>
    <w:rsid w:val="00B3343A"/>
    <w:rsid w:val="00B34070"/>
    <w:rsid w:val="00B348E1"/>
    <w:rsid w:val="00B37805"/>
    <w:rsid w:val="00B401F6"/>
    <w:rsid w:val="00B40809"/>
    <w:rsid w:val="00B412A0"/>
    <w:rsid w:val="00B4368A"/>
    <w:rsid w:val="00B44E90"/>
    <w:rsid w:val="00B45B16"/>
    <w:rsid w:val="00B463C0"/>
    <w:rsid w:val="00B46A4D"/>
    <w:rsid w:val="00B57253"/>
    <w:rsid w:val="00B572B2"/>
    <w:rsid w:val="00B61392"/>
    <w:rsid w:val="00B61E82"/>
    <w:rsid w:val="00B62CE8"/>
    <w:rsid w:val="00B63244"/>
    <w:rsid w:val="00B641D7"/>
    <w:rsid w:val="00B65F07"/>
    <w:rsid w:val="00B661BE"/>
    <w:rsid w:val="00B668F6"/>
    <w:rsid w:val="00B67508"/>
    <w:rsid w:val="00B67F4B"/>
    <w:rsid w:val="00B741C9"/>
    <w:rsid w:val="00B7561E"/>
    <w:rsid w:val="00B7611D"/>
    <w:rsid w:val="00B763C9"/>
    <w:rsid w:val="00B81702"/>
    <w:rsid w:val="00B82873"/>
    <w:rsid w:val="00B830F4"/>
    <w:rsid w:val="00B8362A"/>
    <w:rsid w:val="00B84DBD"/>
    <w:rsid w:val="00B85632"/>
    <w:rsid w:val="00B9048E"/>
    <w:rsid w:val="00B911FB"/>
    <w:rsid w:val="00B92C35"/>
    <w:rsid w:val="00B93895"/>
    <w:rsid w:val="00B95A3F"/>
    <w:rsid w:val="00B95E3D"/>
    <w:rsid w:val="00BA0888"/>
    <w:rsid w:val="00BA0A19"/>
    <w:rsid w:val="00BA0D09"/>
    <w:rsid w:val="00BA1042"/>
    <w:rsid w:val="00BA2690"/>
    <w:rsid w:val="00BA29D8"/>
    <w:rsid w:val="00BA31CC"/>
    <w:rsid w:val="00BA32C3"/>
    <w:rsid w:val="00BA3FA3"/>
    <w:rsid w:val="00BA4151"/>
    <w:rsid w:val="00BA7344"/>
    <w:rsid w:val="00BA74F7"/>
    <w:rsid w:val="00BB1831"/>
    <w:rsid w:val="00BB1B83"/>
    <w:rsid w:val="00BB26A3"/>
    <w:rsid w:val="00BB2715"/>
    <w:rsid w:val="00BB351C"/>
    <w:rsid w:val="00BB37BC"/>
    <w:rsid w:val="00BB443A"/>
    <w:rsid w:val="00BB696B"/>
    <w:rsid w:val="00BC03B0"/>
    <w:rsid w:val="00BC1729"/>
    <w:rsid w:val="00BC2449"/>
    <w:rsid w:val="00BC2BA0"/>
    <w:rsid w:val="00BC3DB3"/>
    <w:rsid w:val="00BC49E0"/>
    <w:rsid w:val="00BC588D"/>
    <w:rsid w:val="00BD00E4"/>
    <w:rsid w:val="00BD4A6A"/>
    <w:rsid w:val="00BE03DC"/>
    <w:rsid w:val="00BE1595"/>
    <w:rsid w:val="00BE2569"/>
    <w:rsid w:val="00BE270B"/>
    <w:rsid w:val="00BE2EA6"/>
    <w:rsid w:val="00BE4D5C"/>
    <w:rsid w:val="00BE62BE"/>
    <w:rsid w:val="00BE780C"/>
    <w:rsid w:val="00BE787D"/>
    <w:rsid w:val="00BF0519"/>
    <w:rsid w:val="00BF2706"/>
    <w:rsid w:val="00BF2A9F"/>
    <w:rsid w:val="00BF2CE1"/>
    <w:rsid w:val="00BF30AE"/>
    <w:rsid w:val="00BF3963"/>
    <w:rsid w:val="00BF4086"/>
    <w:rsid w:val="00BF6338"/>
    <w:rsid w:val="00BF7B7D"/>
    <w:rsid w:val="00C007D3"/>
    <w:rsid w:val="00C02AF1"/>
    <w:rsid w:val="00C033FC"/>
    <w:rsid w:val="00C03EB5"/>
    <w:rsid w:val="00C0787C"/>
    <w:rsid w:val="00C07C10"/>
    <w:rsid w:val="00C07D07"/>
    <w:rsid w:val="00C119C9"/>
    <w:rsid w:val="00C15389"/>
    <w:rsid w:val="00C15DC2"/>
    <w:rsid w:val="00C17185"/>
    <w:rsid w:val="00C17735"/>
    <w:rsid w:val="00C17C89"/>
    <w:rsid w:val="00C17D9F"/>
    <w:rsid w:val="00C20997"/>
    <w:rsid w:val="00C21897"/>
    <w:rsid w:val="00C222AC"/>
    <w:rsid w:val="00C23EC0"/>
    <w:rsid w:val="00C25462"/>
    <w:rsid w:val="00C32E14"/>
    <w:rsid w:val="00C33BDF"/>
    <w:rsid w:val="00C35B18"/>
    <w:rsid w:val="00C37A57"/>
    <w:rsid w:val="00C40F1A"/>
    <w:rsid w:val="00C41049"/>
    <w:rsid w:val="00C41BDC"/>
    <w:rsid w:val="00C41D1E"/>
    <w:rsid w:val="00C42923"/>
    <w:rsid w:val="00C43B60"/>
    <w:rsid w:val="00C43C9F"/>
    <w:rsid w:val="00C44495"/>
    <w:rsid w:val="00C47DD1"/>
    <w:rsid w:val="00C50294"/>
    <w:rsid w:val="00C51AC9"/>
    <w:rsid w:val="00C52576"/>
    <w:rsid w:val="00C530BC"/>
    <w:rsid w:val="00C53FF9"/>
    <w:rsid w:val="00C54F16"/>
    <w:rsid w:val="00C55E84"/>
    <w:rsid w:val="00C560BD"/>
    <w:rsid w:val="00C63C2A"/>
    <w:rsid w:val="00C64028"/>
    <w:rsid w:val="00C643DF"/>
    <w:rsid w:val="00C665D9"/>
    <w:rsid w:val="00C671B6"/>
    <w:rsid w:val="00C70291"/>
    <w:rsid w:val="00C73552"/>
    <w:rsid w:val="00C7447D"/>
    <w:rsid w:val="00C74DCA"/>
    <w:rsid w:val="00C77E48"/>
    <w:rsid w:val="00C80B23"/>
    <w:rsid w:val="00C820A0"/>
    <w:rsid w:val="00C84279"/>
    <w:rsid w:val="00C8460E"/>
    <w:rsid w:val="00C84A75"/>
    <w:rsid w:val="00C852CB"/>
    <w:rsid w:val="00C915A5"/>
    <w:rsid w:val="00C92030"/>
    <w:rsid w:val="00C93186"/>
    <w:rsid w:val="00C938B9"/>
    <w:rsid w:val="00C9536A"/>
    <w:rsid w:val="00C95695"/>
    <w:rsid w:val="00CA1F9D"/>
    <w:rsid w:val="00CA25C3"/>
    <w:rsid w:val="00CA36B0"/>
    <w:rsid w:val="00CA399D"/>
    <w:rsid w:val="00CA6B7C"/>
    <w:rsid w:val="00CB10AC"/>
    <w:rsid w:val="00CB220A"/>
    <w:rsid w:val="00CB24AF"/>
    <w:rsid w:val="00CB58F6"/>
    <w:rsid w:val="00CB598B"/>
    <w:rsid w:val="00CB6FAB"/>
    <w:rsid w:val="00CB72C8"/>
    <w:rsid w:val="00CC4877"/>
    <w:rsid w:val="00CC4B1E"/>
    <w:rsid w:val="00CC4C1F"/>
    <w:rsid w:val="00CC56C1"/>
    <w:rsid w:val="00CC5D1C"/>
    <w:rsid w:val="00CC69C1"/>
    <w:rsid w:val="00CC6B19"/>
    <w:rsid w:val="00CC6CA3"/>
    <w:rsid w:val="00CC6D14"/>
    <w:rsid w:val="00CC70EC"/>
    <w:rsid w:val="00CD1719"/>
    <w:rsid w:val="00CD2401"/>
    <w:rsid w:val="00CD2C8E"/>
    <w:rsid w:val="00CD318D"/>
    <w:rsid w:val="00CD32AD"/>
    <w:rsid w:val="00CD413B"/>
    <w:rsid w:val="00CD62B9"/>
    <w:rsid w:val="00CD6712"/>
    <w:rsid w:val="00CE0E42"/>
    <w:rsid w:val="00CE1A5F"/>
    <w:rsid w:val="00CE1D2C"/>
    <w:rsid w:val="00CE3D8C"/>
    <w:rsid w:val="00CE4B9B"/>
    <w:rsid w:val="00CE55AE"/>
    <w:rsid w:val="00CE5DE6"/>
    <w:rsid w:val="00CE663D"/>
    <w:rsid w:val="00CE77CD"/>
    <w:rsid w:val="00CF1A48"/>
    <w:rsid w:val="00CF20A7"/>
    <w:rsid w:val="00CF38D9"/>
    <w:rsid w:val="00CF7965"/>
    <w:rsid w:val="00D01F41"/>
    <w:rsid w:val="00D025DF"/>
    <w:rsid w:val="00D030A6"/>
    <w:rsid w:val="00D032AD"/>
    <w:rsid w:val="00D039D1"/>
    <w:rsid w:val="00D05716"/>
    <w:rsid w:val="00D06588"/>
    <w:rsid w:val="00D0767C"/>
    <w:rsid w:val="00D07862"/>
    <w:rsid w:val="00D07C39"/>
    <w:rsid w:val="00D10A40"/>
    <w:rsid w:val="00D10C63"/>
    <w:rsid w:val="00D10FBF"/>
    <w:rsid w:val="00D12B19"/>
    <w:rsid w:val="00D12D4D"/>
    <w:rsid w:val="00D136B3"/>
    <w:rsid w:val="00D13883"/>
    <w:rsid w:val="00D15019"/>
    <w:rsid w:val="00D20348"/>
    <w:rsid w:val="00D214D8"/>
    <w:rsid w:val="00D23E8D"/>
    <w:rsid w:val="00D23F00"/>
    <w:rsid w:val="00D24359"/>
    <w:rsid w:val="00D26CC4"/>
    <w:rsid w:val="00D30061"/>
    <w:rsid w:val="00D33C4F"/>
    <w:rsid w:val="00D34989"/>
    <w:rsid w:val="00D35726"/>
    <w:rsid w:val="00D359D3"/>
    <w:rsid w:val="00D35B3F"/>
    <w:rsid w:val="00D35FDF"/>
    <w:rsid w:val="00D36315"/>
    <w:rsid w:val="00D41024"/>
    <w:rsid w:val="00D44BA2"/>
    <w:rsid w:val="00D44F23"/>
    <w:rsid w:val="00D45336"/>
    <w:rsid w:val="00D453B7"/>
    <w:rsid w:val="00D45A22"/>
    <w:rsid w:val="00D45B14"/>
    <w:rsid w:val="00D474B5"/>
    <w:rsid w:val="00D47F6E"/>
    <w:rsid w:val="00D57963"/>
    <w:rsid w:val="00D57C6C"/>
    <w:rsid w:val="00D63933"/>
    <w:rsid w:val="00D66CC6"/>
    <w:rsid w:val="00D678F7"/>
    <w:rsid w:val="00D70176"/>
    <w:rsid w:val="00D70C67"/>
    <w:rsid w:val="00D72096"/>
    <w:rsid w:val="00D72B2B"/>
    <w:rsid w:val="00D730D4"/>
    <w:rsid w:val="00D762CB"/>
    <w:rsid w:val="00D77FC6"/>
    <w:rsid w:val="00D8079B"/>
    <w:rsid w:val="00D80C60"/>
    <w:rsid w:val="00D83F16"/>
    <w:rsid w:val="00D84350"/>
    <w:rsid w:val="00D86B68"/>
    <w:rsid w:val="00D871DF"/>
    <w:rsid w:val="00D913F8"/>
    <w:rsid w:val="00D92096"/>
    <w:rsid w:val="00D92560"/>
    <w:rsid w:val="00D94632"/>
    <w:rsid w:val="00D94D55"/>
    <w:rsid w:val="00D955B7"/>
    <w:rsid w:val="00D96F88"/>
    <w:rsid w:val="00D9701F"/>
    <w:rsid w:val="00D9716F"/>
    <w:rsid w:val="00DA10F9"/>
    <w:rsid w:val="00DA395E"/>
    <w:rsid w:val="00DA6C72"/>
    <w:rsid w:val="00DA6F03"/>
    <w:rsid w:val="00DA7B29"/>
    <w:rsid w:val="00DB03B5"/>
    <w:rsid w:val="00DB11DA"/>
    <w:rsid w:val="00DB4CA3"/>
    <w:rsid w:val="00DC18FD"/>
    <w:rsid w:val="00DC32BF"/>
    <w:rsid w:val="00DC4EB4"/>
    <w:rsid w:val="00DC5F63"/>
    <w:rsid w:val="00DC6B49"/>
    <w:rsid w:val="00DD0DF2"/>
    <w:rsid w:val="00DD39AE"/>
    <w:rsid w:val="00DD3CBA"/>
    <w:rsid w:val="00DD5117"/>
    <w:rsid w:val="00DD55F5"/>
    <w:rsid w:val="00DD60F8"/>
    <w:rsid w:val="00DE4CE9"/>
    <w:rsid w:val="00DE5190"/>
    <w:rsid w:val="00DE5A1F"/>
    <w:rsid w:val="00DE60F1"/>
    <w:rsid w:val="00DE65EB"/>
    <w:rsid w:val="00DE6BC3"/>
    <w:rsid w:val="00DE7245"/>
    <w:rsid w:val="00DE7751"/>
    <w:rsid w:val="00DF0111"/>
    <w:rsid w:val="00DF046E"/>
    <w:rsid w:val="00DF0ACA"/>
    <w:rsid w:val="00DF4928"/>
    <w:rsid w:val="00DF5D92"/>
    <w:rsid w:val="00DF7CAF"/>
    <w:rsid w:val="00E0191D"/>
    <w:rsid w:val="00E0266E"/>
    <w:rsid w:val="00E02B7F"/>
    <w:rsid w:val="00E05E0F"/>
    <w:rsid w:val="00E0608F"/>
    <w:rsid w:val="00E0751B"/>
    <w:rsid w:val="00E0752B"/>
    <w:rsid w:val="00E1209F"/>
    <w:rsid w:val="00E131AF"/>
    <w:rsid w:val="00E13F83"/>
    <w:rsid w:val="00E1438D"/>
    <w:rsid w:val="00E14651"/>
    <w:rsid w:val="00E209BF"/>
    <w:rsid w:val="00E22E81"/>
    <w:rsid w:val="00E22FF2"/>
    <w:rsid w:val="00E23AA7"/>
    <w:rsid w:val="00E2491A"/>
    <w:rsid w:val="00E253B8"/>
    <w:rsid w:val="00E25FD1"/>
    <w:rsid w:val="00E26F81"/>
    <w:rsid w:val="00E26F9B"/>
    <w:rsid w:val="00E31A1F"/>
    <w:rsid w:val="00E3544A"/>
    <w:rsid w:val="00E3586D"/>
    <w:rsid w:val="00E35E79"/>
    <w:rsid w:val="00E36E4A"/>
    <w:rsid w:val="00E3786D"/>
    <w:rsid w:val="00E40186"/>
    <w:rsid w:val="00E408BA"/>
    <w:rsid w:val="00E4186E"/>
    <w:rsid w:val="00E419C9"/>
    <w:rsid w:val="00E41C92"/>
    <w:rsid w:val="00E4265B"/>
    <w:rsid w:val="00E45D3D"/>
    <w:rsid w:val="00E50EFB"/>
    <w:rsid w:val="00E51002"/>
    <w:rsid w:val="00E521CB"/>
    <w:rsid w:val="00E54B95"/>
    <w:rsid w:val="00E54BD6"/>
    <w:rsid w:val="00E55391"/>
    <w:rsid w:val="00E56300"/>
    <w:rsid w:val="00E56C47"/>
    <w:rsid w:val="00E61CD2"/>
    <w:rsid w:val="00E61DBE"/>
    <w:rsid w:val="00E6259B"/>
    <w:rsid w:val="00E62BAD"/>
    <w:rsid w:val="00E672BE"/>
    <w:rsid w:val="00E706BC"/>
    <w:rsid w:val="00E70AA4"/>
    <w:rsid w:val="00E72433"/>
    <w:rsid w:val="00E733AD"/>
    <w:rsid w:val="00E73755"/>
    <w:rsid w:val="00E75F55"/>
    <w:rsid w:val="00E75FCB"/>
    <w:rsid w:val="00E762BF"/>
    <w:rsid w:val="00E80C20"/>
    <w:rsid w:val="00E829AA"/>
    <w:rsid w:val="00E8372C"/>
    <w:rsid w:val="00E847D3"/>
    <w:rsid w:val="00E85E12"/>
    <w:rsid w:val="00E866B0"/>
    <w:rsid w:val="00E86D64"/>
    <w:rsid w:val="00E9019A"/>
    <w:rsid w:val="00E903E6"/>
    <w:rsid w:val="00E911B6"/>
    <w:rsid w:val="00E9134F"/>
    <w:rsid w:val="00E921AE"/>
    <w:rsid w:val="00E93944"/>
    <w:rsid w:val="00E9436A"/>
    <w:rsid w:val="00E96A35"/>
    <w:rsid w:val="00E96CD2"/>
    <w:rsid w:val="00EA0592"/>
    <w:rsid w:val="00EA1559"/>
    <w:rsid w:val="00EA25AC"/>
    <w:rsid w:val="00EA2711"/>
    <w:rsid w:val="00EA2F98"/>
    <w:rsid w:val="00EA3F5B"/>
    <w:rsid w:val="00EA4269"/>
    <w:rsid w:val="00EA45A8"/>
    <w:rsid w:val="00EA45DE"/>
    <w:rsid w:val="00EA5CB5"/>
    <w:rsid w:val="00EA6532"/>
    <w:rsid w:val="00EB1287"/>
    <w:rsid w:val="00EB195F"/>
    <w:rsid w:val="00EB1C39"/>
    <w:rsid w:val="00EB2E15"/>
    <w:rsid w:val="00EB3175"/>
    <w:rsid w:val="00EB3552"/>
    <w:rsid w:val="00EB5478"/>
    <w:rsid w:val="00EC28C9"/>
    <w:rsid w:val="00EC435B"/>
    <w:rsid w:val="00EC73AE"/>
    <w:rsid w:val="00EC73C5"/>
    <w:rsid w:val="00EC7592"/>
    <w:rsid w:val="00ED0AF1"/>
    <w:rsid w:val="00ED1B6F"/>
    <w:rsid w:val="00ED2EE6"/>
    <w:rsid w:val="00ED388A"/>
    <w:rsid w:val="00ED59E5"/>
    <w:rsid w:val="00ED644F"/>
    <w:rsid w:val="00ED6887"/>
    <w:rsid w:val="00ED692D"/>
    <w:rsid w:val="00ED7CE1"/>
    <w:rsid w:val="00EE1F70"/>
    <w:rsid w:val="00EE31B0"/>
    <w:rsid w:val="00EE3A27"/>
    <w:rsid w:val="00EE4115"/>
    <w:rsid w:val="00EE48E7"/>
    <w:rsid w:val="00EE529B"/>
    <w:rsid w:val="00EE6270"/>
    <w:rsid w:val="00EE785B"/>
    <w:rsid w:val="00EF0112"/>
    <w:rsid w:val="00EF074B"/>
    <w:rsid w:val="00EF0B79"/>
    <w:rsid w:val="00EF160D"/>
    <w:rsid w:val="00EF29A4"/>
    <w:rsid w:val="00EF655F"/>
    <w:rsid w:val="00EF66B5"/>
    <w:rsid w:val="00EF79A8"/>
    <w:rsid w:val="00F00B8B"/>
    <w:rsid w:val="00F01474"/>
    <w:rsid w:val="00F02549"/>
    <w:rsid w:val="00F0301A"/>
    <w:rsid w:val="00F03B57"/>
    <w:rsid w:val="00F04155"/>
    <w:rsid w:val="00F05FE4"/>
    <w:rsid w:val="00F1173F"/>
    <w:rsid w:val="00F11F59"/>
    <w:rsid w:val="00F12EB9"/>
    <w:rsid w:val="00F14AAD"/>
    <w:rsid w:val="00F1599E"/>
    <w:rsid w:val="00F16FD1"/>
    <w:rsid w:val="00F20A30"/>
    <w:rsid w:val="00F22B53"/>
    <w:rsid w:val="00F2388B"/>
    <w:rsid w:val="00F2587B"/>
    <w:rsid w:val="00F259A8"/>
    <w:rsid w:val="00F26E42"/>
    <w:rsid w:val="00F26F4F"/>
    <w:rsid w:val="00F3050C"/>
    <w:rsid w:val="00F31335"/>
    <w:rsid w:val="00F322DB"/>
    <w:rsid w:val="00F32BCA"/>
    <w:rsid w:val="00F346EF"/>
    <w:rsid w:val="00F35A51"/>
    <w:rsid w:val="00F3645D"/>
    <w:rsid w:val="00F36DD3"/>
    <w:rsid w:val="00F3790A"/>
    <w:rsid w:val="00F3795F"/>
    <w:rsid w:val="00F42497"/>
    <w:rsid w:val="00F43532"/>
    <w:rsid w:val="00F43FB7"/>
    <w:rsid w:val="00F450FB"/>
    <w:rsid w:val="00F4534B"/>
    <w:rsid w:val="00F46380"/>
    <w:rsid w:val="00F51B4F"/>
    <w:rsid w:val="00F51CA6"/>
    <w:rsid w:val="00F51D6D"/>
    <w:rsid w:val="00F5245A"/>
    <w:rsid w:val="00F5338D"/>
    <w:rsid w:val="00F53CA3"/>
    <w:rsid w:val="00F57406"/>
    <w:rsid w:val="00F666F5"/>
    <w:rsid w:val="00F67B2A"/>
    <w:rsid w:val="00F73156"/>
    <w:rsid w:val="00F747C8"/>
    <w:rsid w:val="00F74B83"/>
    <w:rsid w:val="00F75DF0"/>
    <w:rsid w:val="00F77079"/>
    <w:rsid w:val="00F80299"/>
    <w:rsid w:val="00F813D3"/>
    <w:rsid w:val="00F82016"/>
    <w:rsid w:val="00F903BB"/>
    <w:rsid w:val="00F9081A"/>
    <w:rsid w:val="00F9412D"/>
    <w:rsid w:val="00F943A3"/>
    <w:rsid w:val="00F94D77"/>
    <w:rsid w:val="00FA6190"/>
    <w:rsid w:val="00FB07FC"/>
    <w:rsid w:val="00FB0EF8"/>
    <w:rsid w:val="00FB14E1"/>
    <w:rsid w:val="00FB2566"/>
    <w:rsid w:val="00FB2A08"/>
    <w:rsid w:val="00FB3D2F"/>
    <w:rsid w:val="00FB5A30"/>
    <w:rsid w:val="00FB65C8"/>
    <w:rsid w:val="00FC13C5"/>
    <w:rsid w:val="00FC20D4"/>
    <w:rsid w:val="00FC29D5"/>
    <w:rsid w:val="00FC73CA"/>
    <w:rsid w:val="00FC782C"/>
    <w:rsid w:val="00FD0BD0"/>
    <w:rsid w:val="00FD18D5"/>
    <w:rsid w:val="00FD2470"/>
    <w:rsid w:val="00FD34AE"/>
    <w:rsid w:val="00FD592F"/>
    <w:rsid w:val="00FD6AF5"/>
    <w:rsid w:val="00FD6C18"/>
    <w:rsid w:val="00FE0194"/>
    <w:rsid w:val="00FE1570"/>
    <w:rsid w:val="00FE1A04"/>
    <w:rsid w:val="00FE1ECB"/>
    <w:rsid w:val="00FE301E"/>
    <w:rsid w:val="00FE30D6"/>
    <w:rsid w:val="00FE346C"/>
    <w:rsid w:val="00FE5113"/>
    <w:rsid w:val="00FE5AF5"/>
    <w:rsid w:val="00FE6098"/>
    <w:rsid w:val="00FE6521"/>
    <w:rsid w:val="00FF27C7"/>
    <w:rsid w:val="00FF2DA7"/>
    <w:rsid w:val="00FF3181"/>
    <w:rsid w:val="00FF3460"/>
    <w:rsid w:val="00FF595A"/>
    <w:rsid w:val="00FF62EE"/>
    <w:rsid w:val="00FF7E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F7D7F50"/>
  <w15:docId w15:val="{43D0BDDA-29EA-4D4E-AEF3-CDE378B2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5C3"/>
  </w:style>
  <w:style w:type="paragraph" w:styleId="Heading1">
    <w:name w:val="heading 1"/>
    <w:basedOn w:val="Normal"/>
    <w:next w:val="Heading2"/>
    <w:link w:val="Heading1Char"/>
    <w:qFormat/>
    <w:rsid w:val="0056158E"/>
    <w:pPr>
      <w:keepNext/>
      <w:numPr>
        <w:numId w:val="29"/>
      </w:numPr>
      <w:spacing w:after="240" w:line="246" w:lineRule="atLeast"/>
      <w:jc w:val="both"/>
      <w:outlineLvl w:val="0"/>
    </w:pPr>
    <w:rPr>
      <w:rFonts w:eastAsiaTheme="majorEastAsia" w:cs="Times New Roman"/>
      <w:b/>
      <w:bCs/>
      <w:caps/>
      <w:szCs w:val="28"/>
    </w:rPr>
  </w:style>
  <w:style w:type="paragraph" w:styleId="Heading2">
    <w:name w:val="heading 2"/>
    <w:basedOn w:val="Normal"/>
    <w:link w:val="Heading2Char"/>
    <w:unhideWhenUsed/>
    <w:qFormat/>
    <w:rsid w:val="00B20A20"/>
    <w:pPr>
      <w:keepNext/>
      <w:numPr>
        <w:ilvl w:val="1"/>
        <w:numId w:val="29"/>
      </w:numPr>
      <w:spacing w:after="240" w:line="246" w:lineRule="atLeast"/>
      <w:jc w:val="both"/>
      <w:outlineLvl w:val="1"/>
    </w:pPr>
    <w:rPr>
      <w:rFonts w:eastAsiaTheme="majorEastAsia" w:cs="Times New Roman"/>
      <w:b/>
      <w:bCs/>
      <w:szCs w:val="26"/>
    </w:rPr>
  </w:style>
  <w:style w:type="paragraph" w:styleId="Heading3">
    <w:name w:val="heading 3"/>
    <w:basedOn w:val="Normal"/>
    <w:link w:val="Heading3Char"/>
    <w:unhideWhenUsed/>
    <w:qFormat/>
    <w:rsid w:val="00246497"/>
    <w:pPr>
      <w:numPr>
        <w:ilvl w:val="2"/>
        <w:numId w:val="29"/>
      </w:numPr>
      <w:spacing w:after="240" w:line="246" w:lineRule="atLeast"/>
      <w:jc w:val="both"/>
      <w:outlineLvl w:val="2"/>
    </w:pPr>
    <w:rPr>
      <w:rFonts w:ascii="Calibri" w:eastAsiaTheme="majorEastAsia" w:hAnsi="Calibri" w:cs="Calibri"/>
      <w:b/>
      <w:bCs/>
      <w:lang w:val="en-GB"/>
    </w:rPr>
  </w:style>
  <w:style w:type="paragraph" w:styleId="Heading4">
    <w:name w:val="heading 4"/>
    <w:basedOn w:val="Normal"/>
    <w:link w:val="Heading4Char"/>
    <w:unhideWhenUsed/>
    <w:qFormat/>
    <w:rsid w:val="00246497"/>
    <w:pPr>
      <w:numPr>
        <w:ilvl w:val="3"/>
        <w:numId w:val="29"/>
      </w:numPr>
      <w:spacing w:after="240" w:line="246" w:lineRule="atLeast"/>
      <w:jc w:val="both"/>
      <w:outlineLvl w:val="3"/>
    </w:pPr>
    <w:rPr>
      <w:rFonts w:ascii="Calibri" w:eastAsiaTheme="majorEastAsia" w:hAnsi="Calibri" w:cs="Calibri"/>
      <w:bCs/>
      <w:iCs/>
      <w:lang w:val="en-GB"/>
    </w:rPr>
  </w:style>
  <w:style w:type="paragraph" w:styleId="Heading5">
    <w:name w:val="heading 5"/>
    <w:basedOn w:val="Normal"/>
    <w:link w:val="Heading5Char"/>
    <w:unhideWhenUsed/>
    <w:qFormat/>
    <w:rsid w:val="008432F8"/>
    <w:pPr>
      <w:numPr>
        <w:ilvl w:val="4"/>
        <w:numId w:val="29"/>
      </w:numPr>
      <w:spacing w:after="240" w:line="246" w:lineRule="atLeast"/>
      <w:jc w:val="both"/>
      <w:outlineLvl w:val="4"/>
    </w:pPr>
    <w:rPr>
      <w:rFonts w:ascii="Calibri" w:eastAsiaTheme="majorEastAsia" w:hAnsi="Calibri" w:cs="Calibri"/>
      <w:lang w:val="en-GB"/>
    </w:rPr>
  </w:style>
  <w:style w:type="paragraph" w:styleId="Heading6">
    <w:name w:val="heading 6"/>
    <w:basedOn w:val="Normal"/>
    <w:link w:val="Heading6Char"/>
    <w:unhideWhenUsed/>
    <w:qFormat/>
    <w:rsid w:val="005C0DDF"/>
    <w:pPr>
      <w:numPr>
        <w:ilvl w:val="5"/>
        <w:numId w:val="29"/>
      </w:numPr>
      <w:spacing w:after="240" w:line="246" w:lineRule="atLeast"/>
      <w:jc w:val="both"/>
      <w:outlineLvl w:val="5"/>
    </w:pPr>
    <w:rPr>
      <w:rFonts w:ascii="Calibri" w:eastAsiaTheme="majorEastAsia" w:hAnsi="Calibri" w:cs="Calibri"/>
      <w:iCs/>
      <w:lang w:val="en-GB"/>
    </w:rPr>
  </w:style>
  <w:style w:type="paragraph" w:styleId="Heading7">
    <w:name w:val="heading 7"/>
    <w:basedOn w:val="Normal"/>
    <w:link w:val="Heading7Char"/>
    <w:unhideWhenUsed/>
    <w:qFormat/>
    <w:rsid w:val="00CE5DE6"/>
    <w:pPr>
      <w:numPr>
        <w:ilvl w:val="6"/>
        <w:numId w:val="29"/>
      </w:numPr>
      <w:spacing w:after="240" w:line="246" w:lineRule="atLeast"/>
      <w:jc w:val="both"/>
      <w:outlineLvl w:val="6"/>
    </w:pPr>
    <w:rPr>
      <w:rFonts w:eastAsiaTheme="majorEastAsia" w:cs="Times New Roman"/>
      <w:iCs/>
    </w:rPr>
  </w:style>
  <w:style w:type="paragraph" w:styleId="Heading8">
    <w:name w:val="heading 8"/>
    <w:basedOn w:val="Normal"/>
    <w:link w:val="Heading8Char"/>
    <w:unhideWhenUsed/>
    <w:qFormat/>
    <w:rsid w:val="00F80299"/>
    <w:pPr>
      <w:numPr>
        <w:ilvl w:val="7"/>
        <w:numId w:val="29"/>
      </w:numPr>
      <w:spacing w:before="120" w:after="240" w:line="246" w:lineRule="atLeast"/>
      <w:jc w:val="both"/>
      <w:outlineLvl w:val="7"/>
    </w:pPr>
    <w:rPr>
      <w:rFonts w:eastAsiaTheme="majorEastAsia" w:cs="Times New Roman"/>
      <w:szCs w:val="20"/>
    </w:rPr>
  </w:style>
  <w:style w:type="paragraph" w:styleId="Heading9">
    <w:name w:val="heading 9"/>
    <w:basedOn w:val="Normal"/>
    <w:link w:val="Heading9Char"/>
    <w:unhideWhenUsed/>
    <w:qFormat/>
    <w:rsid w:val="008C6DD1"/>
    <w:pPr>
      <w:numPr>
        <w:ilvl w:val="8"/>
        <w:numId w:val="29"/>
      </w:numPr>
      <w:spacing w:before="120" w:after="240" w:line="246" w:lineRule="atLeast"/>
      <w:jc w:val="both"/>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59B"/>
    <w:pPr>
      <w:tabs>
        <w:tab w:val="center" w:pos="4680"/>
        <w:tab w:val="right" w:pos="9360"/>
      </w:tabs>
    </w:pPr>
  </w:style>
  <w:style w:type="character" w:customStyle="1" w:styleId="Heading1Char">
    <w:name w:val="Heading 1 Char"/>
    <w:basedOn w:val="DefaultParagraphFont"/>
    <w:link w:val="Heading1"/>
    <w:rsid w:val="0056158E"/>
    <w:rPr>
      <w:rFonts w:eastAsiaTheme="majorEastAsia" w:cs="Times New Roman"/>
      <w:b/>
      <w:bCs/>
      <w:caps/>
      <w:szCs w:val="28"/>
    </w:rPr>
  </w:style>
  <w:style w:type="paragraph" w:styleId="BodyText">
    <w:name w:val="Body Text"/>
    <w:basedOn w:val="Normal"/>
    <w:link w:val="BodyTextChar"/>
    <w:qFormat/>
    <w:rsid w:val="00AC64D7"/>
    <w:pPr>
      <w:spacing w:after="240"/>
      <w:ind w:firstLine="1440"/>
    </w:pPr>
  </w:style>
  <w:style w:type="character" w:customStyle="1" w:styleId="BodyTextChar">
    <w:name w:val="Body Text Char"/>
    <w:basedOn w:val="DefaultParagraphFont"/>
    <w:link w:val="BodyText"/>
    <w:rsid w:val="00AC64D7"/>
  </w:style>
  <w:style w:type="character" w:customStyle="1" w:styleId="Heading2Char">
    <w:name w:val="Heading 2 Char"/>
    <w:basedOn w:val="DefaultParagraphFont"/>
    <w:link w:val="Heading2"/>
    <w:rsid w:val="00B20A20"/>
    <w:rPr>
      <w:rFonts w:eastAsiaTheme="majorEastAsia" w:cs="Times New Roman"/>
      <w:b/>
      <w:bCs/>
      <w:szCs w:val="26"/>
    </w:rPr>
  </w:style>
  <w:style w:type="character" w:customStyle="1" w:styleId="Heading3Char">
    <w:name w:val="Heading 3 Char"/>
    <w:basedOn w:val="DefaultParagraphFont"/>
    <w:link w:val="Heading3"/>
    <w:rsid w:val="00246497"/>
    <w:rPr>
      <w:rFonts w:ascii="Calibri" w:eastAsiaTheme="majorEastAsia" w:hAnsi="Calibri" w:cs="Calibri"/>
      <w:b/>
      <w:bCs/>
      <w:lang w:val="en-GB"/>
    </w:rPr>
  </w:style>
  <w:style w:type="character" w:customStyle="1" w:styleId="Heading4Char">
    <w:name w:val="Heading 4 Char"/>
    <w:basedOn w:val="DefaultParagraphFont"/>
    <w:link w:val="Heading4"/>
    <w:rsid w:val="00246497"/>
    <w:rPr>
      <w:rFonts w:ascii="Calibri" w:eastAsiaTheme="majorEastAsia" w:hAnsi="Calibri" w:cs="Calibri"/>
      <w:bCs/>
      <w:iCs/>
      <w:lang w:val="en-GB"/>
    </w:rPr>
  </w:style>
  <w:style w:type="character" w:customStyle="1" w:styleId="Heading5Char">
    <w:name w:val="Heading 5 Char"/>
    <w:basedOn w:val="DefaultParagraphFont"/>
    <w:link w:val="Heading5"/>
    <w:rsid w:val="008432F8"/>
    <w:rPr>
      <w:rFonts w:ascii="Calibri" w:eastAsiaTheme="majorEastAsia" w:hAnsi="Calibri" w:cs="Calibri"/>
      <w:lang w:val="en-GB"/>
    </w:rPr>
  </w:style>
  <w:style w:type="character" w:customStyle="1" w:styleId="Heading6Char">
    <w:name w:val="Heading 6 Char"/>
    <w:basedOn w:val="DefaultParagraphFont"/>
    <w:link w:val="Heading6"/>
    <w:rsid w:val="005C0DDF"/>
    <w:rPr>
      <w:rFonts w:ascii="Calibri" w:eastAsiaTheme="majorEastAsia" w:hAnsi="Calibri" w:cs="Calibri"/>
      <w:iCs/>
      <w:lang w:val="en-GB"/>
    </w:rPr>
  </w:style>
  <w:style w:type="character" w:customStyle="1" w:styleId="Heading7Char">
    <w:name w:val="Heading 7 Char"/>
    <w:basedOn w:val="DefaultParagraphFont"/>
    <w:link w:val="Heading7"/>
    <w:rsid w:val="00CE5DE6"/>
    <w:rPr>
      <w:rFonts w:eastAsiaTheme="majorEastAsia" w:cs="Times New Roman"/>
      <w:iCs/>
    </w:rPr>
  </w:style>
  <w:style w:type="character" w:customStyle="1" w:styleId="Heading8Char">
    <w:name w:val="Heading 8 Char"/>
    <w:basedOn w:val="DefaultParagraphFont"/>
    <w:link w:val="Heading8"/>
    <w:rsid w:val="00F80299"/>
    <w:rPr>
      <w:rFonts w:eastAsiaTheme="majorEastAsia" w:cs="Times New Roman"/>
      <w:szCs w:val="20"/>
    </w:rPr>
  </w:style>
  <w:style w:type="character" w:customStyle="1" w:styleId="Heading9Char">
    <w:name w:val="Heading 9 Char"/>
    <w:basedOn w:val="DefaultParagraphFont"/>
    <w:link w:val="Heading9"/>
    <w:rsid w:val="008C6DD1"/>
    <w:rPr>
      <w:rFonts w:eastAsiaTheme="majorEastAsia" w:cs="Times New Roman"/>
      <w:iCs/>
      <w:szCs w:val="20"/>
    </w:rPr>
  </w:style>
  <w:style w:type="paragraph" w:styleId="BlockText">
    <w:name w:val="Block Text"/>
    <w:basedOn w:val="Normal"/>
    <w:link w:val="BlockTextChar"/>
    <w:qFormat/>
    <w:rsid w:val="00AC64D7"/>
    <w:pPr>
      <w:spacing w:after="240"/>
    </w:pPr>
    <w:rPr>
      <w:rFonts w:eastAsiaTheme="minorEastAsia"/>
      <w:iCs/>
    </w:rPr>
  </w:style>
  <w:style w:type="paragraph" w:styleId="BodyText2">
    <w:name w:val="Body Text 2"/>
    <w:basedOn w:val="Normal"/>
    <w:link w:val="BodyText2Char"/>
    <w:qFormat/>
    <w:rsid w:val="00AC64D7"/>
    <w:pPr>
      <w:spacing w:line="480" w:lineRule="auto"/>
      <w:ind w:firstLine="1440"/>
    </w:pPr>
  </w:style>
  <w:style w:type="character" w:customStyle="1" w:styleId="BodyText2Char">
    <w:name w:val="Body Text 2 Char"/>
    <w:basedOn w:val="DefaultParagraphFont"/>
    <w:link w:val="BodyText2"/>
    <w:rsid w:val="00AC64D7"/>
  </w:style>
  <w:style w:type="paragraph" w:styleId="BodyText3">
    <w:name w:val="Body Text 3"/>
    <w:basedOn w:val="Normal"/>
    <w:link w:val="BodyText3Char"/>
    <w:qFormat/>
    <w:rsid w:val="00AC64D7"/>
    <w:pPr>
      <w:spacing w:line="360" w:lineRule="auto"/>
      <w:ind w:firstLine="1440"/>
    </w:pPr>
    <w:rPr>
      <w:szCs w:val="16"/>
    </w:rPr>
  </w:style>
  <w:style w:type="character" w:customStyle="1" w:styleId="BodyText3Char">
    <w:name w:val="Body Text 3 Char"/>
    <w:basedOn w:val="DefaultParagraphFont"/>
    <w:link w:val="BodyText3"/>
    <w:rsid w:val="00197360"/>
    <w:rPr>
      <w:szCs w:val="16"/>
    </w:rPr>
  </w:style>
  <w:style w:type="paragraph" w:styleId="Title">
    <w:name w:val="Title"/>
    <w:basedOn w:val="Normal"/>
    <w:next w:val="BodyText"/>
    <w:link w:val="TitleChar"/>
    <w:uiPriority w:val="10"/>
    <w:qFormat/>
    <w:rsid w:val="00FE6098"/>
    <w:pPr>
      <w:keepNext/>
      <w:spacing w:after="240" w:line="246" w:lineRule="atLeast"/>
      <w:jc w:val="center"/>
    </w:pPr>
    <w:rPr>
      <w:rFonts w:eastAsiaTheme="majorEastAsia" w:cstheme="majorBidi"/>
      <w:kern w:val="28"/>
      <w:szCs w:val="52"/>
    </w:rPr>
  </w:style>
  <w:style w:type="character" w:customStyle="1" w:styleId="TitleChar">
    <w:name w:val="Title Char"/>
    <w:basedOn w:val="DefaultParagraphFont"/>
    <w:link w:val="Title"/>
    <w:uiPriority w:val="10"/>
    <w:rsid w:val="00FE6098"/>
    <w:rPr>
      <w:rFonts w:eastAsiaTheme="majorEastAsia" w:cstheme="majorBidi"/>
      <w:kern w:val="28"/>
      <w:szCs w:val="52"/>
    </w:rPr>
  </w:style>
  <w:style w:type="paragraph" w:customStyle="1" w:styleId="TitleL">
    <w:name w:val="Title L"/>
    <w:basedOn w:val="Normal"/>
    <w:next w:val="BodyText"/>
    <w:link w:val="TitleLChar"/>
    <w:qFormat/>
    <w:rsid w:val="00FE6098"/>
    <w:pPr>
      <w:keepNext/>
      <w:spacing w:after="240" w:line="246" w:lineRule="atLeast"/>
    </w:pPr>
    <w:rPr>
      <w:b/>
    </w:rPr>
  </w:style>
  <w:style w:type="character" w:customStyle="1" w:styleId="TitleLChar">
    <w:name w:val="Title L Char"/>
    <w:basedOn w:val="DefaultParagraphFont"/>
    <w:link w:val="TitleL"/>
    <w:rsid w:val="00FE6098"/>
    <w:rPr>
      <w:b/>
    </w:rPr>
  </w:style>
  <w:style w:type="character" w:customStyle="1" w:styleId="DocID">
    <w:name w:val="DocID"/>
    <w:basedOn w:val="DefaultParagraphFont"/>
    <w:semiHidden/>
    <w:rsid w:val="00AC64D7"/>
    <w:rPr>
      <w:sz w:val="16"/>
    </w:rPr>
  </w:style>
  <w:style w:type="character" w:customStyle="1" w:styleId="HeaderChar">
    <w:name w:val="Header Char"/>
    <w:basedOn w:val="DefaultParagraphFont"/>
    <w:link w:val="Header"/>
    <w:uiPriority w:val="99"/>
    <w:rsid w:val="00E6259B"/>
  </w:style>
  <w:style w:type="paragraph" w:styleId="Footer">
    <w:name w:val="footer"/>
    <w:basedOn w:val="Normal"/>
    <w:link w:val="FooterChar"/>
    <w:uiPriority w:val="99"/>
    <w:unhideWhenUsed/>
    <w:rsid w:val="00E6259B"/>
    <w:pPr>
      <w:tabs>
        <w:tab w:val="center" w:pos="4680"/>
        <w:tab w:val="right" w:pos="9360"/>
      </w:tabs>
    </w:pPr>
  </w:style>
  <w:style w:type="character" w:customStyle="1" w:styleId="FooterChar">
    <w:name w:val="Footer Char"/>
    <w:basedOn w:val="DefaultParagraphFont"/>
    <w:link w:val="Footer"/>
    <w:uiPriority w:val="99"/>
    <w:rsid w:val="00E6259B"/>
  </w:style>
  <w:style w:type="paragraph" w:styleId="TOC1">
    <w:name w:val="toc 1"/>
    <w:basedOn w:val="Normal"/>
    <w:next w:val="Normal"/>
    <w:autoRedefine/>
    <w:uiPriority w:val="39"/>
    <w:unhideWhenUsed/>
    <w:rsid w:val="00CA25C3"/>
    <w:pPr>
      <w:tabs>
        <w:tab w:val="right" w:leader="dot" w:pos="9000"/>
      </w:tabs>
      <w:spacing w:after="240"/>
      <w:ind w:left="720" w:right="29" w:hanging="720"/>
    </w:pPr>
    <w:rPr>
      <w:rFonts w:cs="Times New Roman"/>
      <w:b/>
    </w:rPr>
  </w:style>
  <w:style w:type="paragraph" w:styleId="TOC2">
    <w:name w:val="toc 2"/>
    <w:basedOn w:val="Normal"/>
    <w:next w:val="Normal"/>
    <w:autoRedefine/>
    <w:uiPriority w:val="39"/>
    <w:unhideWhenUsed/>
    <w:rsid w:val="002749F1"/>
    <w:pPr>
      <w:tabs>
        <w:tab w:val="right" w:leader="dot" w:pos="9000"/>
      </w:tabs>
      <w:spacing w:after="240"/>
      <w:ind w:left="851" w:right="27" w:hanging="720"/>
    </w:pPr>
    <w:rPr>
      <w:rFonts w:cs="Times New Roman"/>
      <w:b/>
      <w:noProof/>
    </w:rPr>
  </w:style>
  <w:style w:type="paragraph" w:styleId="TOC3">
    <w:name w:val="toc 3"/>
    <w:basedOn w:val="Normal"/>
    <w:next w:val="Normal"/>
    <w:autoRedefine/>
    <w:uiPriority w:val="39"/>
    <w:unhideWhenUsed/>
    <w:rsid w:val="00FC13C5"/>
    <w:pPr>
      <w:tabs>
        <w:tab w:val="left" w:pos="720"/>
        <w:tab w:val="right" w:leader="dot" w:pos="9000"/>
      </w:tabs>
      <w:spacing w:after="240"/>
      <w:ind w:left="720" w:right="29" w:hanging="720"/>
      <w:contextualSpacing/>
    </w:pPr>
    <w:rPr>
      <w:rFonts w:cs="Times New Roman"/>
      <w:noProof/>
    </w:rPr>
  </w:style>
  <w:style w:type="paragraph" w:styleId="TOC4">
    <w:name w:val="toc 4"/>
    <w:basedOn w:val="Normal"/>
    <w:next w:val="Normal"/>
    <w:autoRedefine/>
    <w:uiPriority w:val="39"/>
    <w:unhideWhenUsed/>
    <w:rsid w:val="00E6259B"/>
    <w:pPr>
      <w:tabs>
        <w:tab w:val="right" w:leader="dot" w:pos="9360"/>
      </w:tabs>
      <w:spacing w:after="240"/>
      <w:ind w:left="2880" w:right="432" w:hanging="720"/>
    </w:pPr>
    <w:rPr>
      <w:rFonts w:cs="Times New Roman"/>
    </w:rPr>
  </w:style>
  <w:style w:type="paragraph" w:styleId="TOC5">
    <w:name w:val="toc 5"/>
    <w:basedOn w:val="Normal"/>
    <w:next w:val="Normal"/>
    <w:autoRedefine/>
    <w:uiPriority w:val="39"/>
    <w:unhideWhenUsed/>
    <w:rsid w:val="00E6259B"/>
    <w:pPr>
      <w:tabs>
        <w:tab w:val="right" w:leader="dot" w:pos="9360"/>
      </w:tabs>
      <w:spacing w:after="240"/>
      <w:ind w:left="3600" w:right="432" w:hanging="720"/>
    </w:pPr>
    <w:rPr>
      <w:rFonts w:cs="Times New Roman"/>
    </w:rPr>
  </w:style>
  <w:style w:type="paragraph" w:styleId="TOC6">
    <w:name w:val="toc 6"/>
    <w:basedOn w:val="Normal"/>
    <w:next w:val="Normal"/>
    <w:autoRedefine/>
    <w:uiPriority w:val="39"/>
    <w:unhideWhenUsed/>
    <w:rsid w:val="00E6259B"/>
    <w:pPr>
      <w:tabs>
        <w:tab w:val="right" w:leader="dot" w:pos="9360"/>
      </w:tabs>
      <w:spacing w:after="240"/>
      <w:ind w:left="4320" w:right="432" w:hanging="720"/>
    </w:pPr>
    <w:rPr>
      <w:rFonts w:cs="Times New Roman"/>
    </w:rPr>
  </w:style>
  <w:style w:type="paragraph" w:styleId="TOC7">
    <w:name w:val="toc 7"/>
    <w:basedOn w:val="Normal"/>
    <w:next w:val="Normal"/>
    <w:autoRedefine/>
    <w:uiPriority w:val="39"/>
    <w:unhideWhenUsed/>
    <w:rsid w:val="00E6259B"/>
    <w:pPr>
      <w:tabs>
        <w:tab w:val="right" w:leader="dot" w:pos="9360"/>
      </w:tabs>
      <w:spacing w:after="240"/>
      <w:ind w:left="5040" w:right="432" w:hanging="720"/>
    </w:pPr>
    <w:rPr>
      <w:rFonts w:cs="Times New Roman"/>
    </w:rPr>
  </w:style>
  <w:style w:type="paragraph" w:styleId="TOC8">
    <w:name w:val="toc 8"/>
    <w:basedOn w:val="Normal"/>
    <w:next w:val="Normal"/>
    <w:autoRedefine/>
    <w:uiPriority w:val="39"/>
    <w:unhideWhenUsed/>
    <w:rsid w:val="00E6259B"/>
    <w:pPr>
      <w:tabs>
        <w:tab w:val="right" w:leader="dot" w:pos="9360"/>
      </w:tabs>
      <w:spacing w:after="240"/>
      <w:ind w:left="5760" w:right="432" w:hanging="720"/>
    </w:pPr>
    <w:rPr>
      <w:rFonts w:cs="Times New Roman"/>
    </w:rPr>
  </w:style>
  <w:style w:type="paragraph" w:styleId="TOC9">
    <w:name w:val="toc 9"/>
    <w:basedOn w:val="Normal"/>
    <w:next w:val="Normal"/>
    <w:autoRedefine/>
    <w:uiPriority w:val="39"/>
    <w:unhideWhenUsed/>
    <w:rsid w:val="00E6259B"/>
    <w:pPr>
      <w:tabs>
        <w:tab w:val="right" w:leader="dot" w:pos="9360"/>
      </w:tabs>
      <w:spacing w:after="240"/>
      <w:ind w:left="6480" w:right="432" w:hanging="720"/>
    </w:pPr>
    <w:rPr>
      <w:rFonts w:cs="Times New Roman"/>
    </w:rPr>
  </w:style>
  <w:style w:type="paragraph" w:styleId="TOCHeading">
    <w:name w:val="TOC Heading"/>
    <w:basedOn w:val="Normal"/>
    <w:next w:val="Normal"/>
    <w:uiPriority w:val="39"/>
    <w:semiHidden/>
    <w:qFormat/>
    <w:rsid w:val="00E6259B"/>
    <w:pPr>
      <w:keepNext/>
      <w:spacing w:after="240"/>
      <w:jc w:val="center"/>
    </w:pPr>
    <w:rPr>
      <w:rFonts w:cstheme="majorBidi"/>
      <w:b/>
      <w:caps/>
    </w:rPr>
  </w:style>
  <w:style w:type="paragraph" w:styleId="Subtitle">
    <w:name w:val="Subtitle"/>
    <w:basedOn w:val="Normal"/>
    <w:next w:val="BodyText"/>
    <w:link w:val="SubtitleChar"/>
    <w:qFormat/>
    <w:rsid w:val="00197360"/>
    <w:pPr>
      <w:numPr>
        <w:ilvl w:val="1"/>
      </w:numPr>
      <w:spacing w:after="240"/>
    </w:pPr>
    <w:rPr>
      <w:rFonts w:eastAsiaTheme="majorEastAsia" w:cstheme="majorBidi"/>
      <w:iCs/>
    </w:rPr>
  </w:style>
  <w:style w:type="paragraph" w:styleId="TOAHeading">
    <w:name w:val="toa heading"/>
    <w:basedOn w:val="Normal"/>
    <w:next w:val="Normal"/>
    <w:uiPriority w:val="99"/>
    <w:semiHidden/>
    <w:unhideWhenUsed/>
    <w:rsid w:val="00E6259B"/>
    <w:pPr>
      <w:spacing w:after="240"/>
    </w:pPr>
    <w:rPr>
      <w:rFonts w:eastAsiaTheme="majorEastAsia" w:cstheme="majorBidi"/>
      <w:b/>
      <w:bCs/>
    </w:rPr>
  </w:style>
  <w:style w:type="paragraph" w:customStyle="1" w:styleId="BlockText5">
    <w:name w:val="Block Text .5"/>
    <w:basedOn w:val="Normal"/>
    <w:qFormat/>
    <w:rsid w:val="00197360"/>
    <w:pPr>
      <w:spacing w:after="240"/>
      <w:ind w:left="720" w:right="720"/>
    </w:pPr>
  </w:style>
  <w:style w:type="paragraph" w:customStyle="1" w:styleId="BlockText1">
    <w:name w:val="Block Text 1"/>
    <w:basedOn w:val="Normal"/>
    <w:qFormat/>
    <w:rsid w:val="00DB03B5"/>
    <w:pPr>
      <w:spacing w:after="240"/>
      <w:ind w:left="1440" w:right="1829"/>
    </w:pPr>
  </w:style>
  <w:style w:type="paragraph" w:customStyle="1" w:styleId="BlockTextJ">
    <w:name w:val="Block Text J"/>
    <w:basedOn w:val="Normal"/>
    <w:qFormat/>
    <w:rsid w:val="00DB03B5"/>
    <w:pPr>
      <w:jc w:val="both"/>
    </w:pPr>
  </w:style>
  <w:style w:type="paragraph" w:customStyle="1" w:styleId="BodyText2J">
    <w:name w:val="Body Text 2 J"/>
    <w:basedOn w:val="BodyText2"/>
    <w:link w:val="BodyText2JChar"/>
    <w:qFormat/>
    <w:rsid w:val="00197360"/>
    <w:pPr>
      <w:jc w:val="both"/>
    </w:pPr>
  </w:style>
  <w:style w:type="character" w:customStyle="1" w:styleId="BodyText2JChar">
    <w:name w:val="Body Text 2 J Char"/>
    <w:basedOn w:val="BodyText2Char"/>
    <w:link w:val="BodyText2J"/>
    <w:rsid w:val="00197360"/>
  </w:style>
  <w:style w:type="paragraph" w:customStyle="1" w:styleId="BodyText3J">
    <w:name w:val="Body Text 3 J"/>
    <w:basedOn w:val="BodyText3"/>
    <w:link w:val="BodyText3JChar"/>
    <w:qFormat/>
    <w:rsid w:val="00197360"/>
    <w:pPr>
      <w:jc w:val="both"/>
    </w:pPr>
  </w:style>
  <w:style w:type="character" w:customStyle="1" w:styleId="BodyText3JChar">
    <w:name w:val="Body Text 3 J Char"/>
    <w:basedOn w:val="BodyText3Char"/>
    <w:link w:val="BodyText3J"/>
    <w:rsid w:val="00197360"/>
    <w:rPr>
      <w:szCs w:val="16"/>
    </w:rPr>
  </w:style>
  <w:style w:type="paragraph" w:customStyle="1" w:styleId="BodyTextJ">
    <w:name w:val="Body Text J"/>
    <w:basedOn w:val="BodyText"/>
    <w:link w:val="BodyTextJChar"/>
    <w:qFormat/>
    <w:rsid w:val="00197360"/>
    <w:pPr>
      <w:jc w:val="both"/>
    </w:pPr>
  </w:style>
  <w:style w:type="character" w:customStyle="1" w:styleId="BodyTextJChar">
    <w:name w:val="Body Text J Char"/>
    <w:basedOn w:val="BodyTextChar"/>
    <w:link w:val="BodyTextJ"/>
    <w:rsid w:val="00197360"/>
  </w:style>
  <w:style w:type="character" w:customStyle="1" w:styleId="SubtitleChar">
    <w:name w:val="Subtitle Char"/>
    <w:basedOn w:val="DefaultParagraphFont"/>
    <w:link w:val="Subtitle"/>
    <w:rsid w:val="00C8460E"/>
    <w:rPr>
      <w:rFonts w:eastAsiaTheme="majorEastAsia" w:cstheme="majorBidi"/>
      <w:iCs/>
    </w:rPr>
  </w:style>
  <w:style w:type="paragraph" w:customStyle="1" w:styleId="BodyTextNumbered">
    <w:name w:val="Body Text Numbered"/>
    <w:basedOn w:val="Normal"/>
    <w:link w:val="BodyTextNumberedChar"/>
    <w:qFormat/>
    <w:rsid w:val="00C8460E"/>
    <w:pPr>
      <w:numPr>
        <w:numId w:val="1"/>
      </w:numPr>
      <w:spacing w:after="240"/>
    </w:pPr>
  </w:style>
  <w:style w:type="paragraph" w:styleId="Date">
    <w:name w:val="Date"/>
    <w:basedOn w:val="Normal"/>
    <w:next w:val="Normal"/>
    <w:link w:val="DateChar"/>
    <w:uiPriority w:val="99"/>
    <w:semiHidden/>
    <w:unhideWhenUsed/>
    <w:rsid w:val="00197360"/>
    <w:pPr>
      <w:spacing w:after="240"/>
    </w:pPr>
  </w:style>
  <w:style w:type="character" w:customStyle="1" w:styleId="DateChar">
    <w:name w:val="Date Char"/>
    <w:basedOn w:val="DefaultParagraphFont"/>
    <w:link w:val="Date"/>
    <w:uiPriority w:val="99"/>
    <w:semiHidden/>
    <w:rsid w:val="00197360"/>
  </w:style>
  <w:style w:type="paragraph" w:customStyle="1" w:styleId="HangingIndent">
    <w:name w:val="Hanging Indent"/>
    <w:basedOn w:val="BlockText"/>
    <w:link w:val="HangingIndentChar"/>
    <w:qFormat/>
    <w:rsid w:val="00197360"/>
    <w:pPr>
      <w:ind w:left="2160" w:hanging="2160"/>
    </w:pPr>
  </w:style>
  <w:style w:type="character" w:customStyle="1" w:styleId="BlockTextChar">
    <w:name w:val="Block Text Char"/>
    <w:basedOn w:val="DefaultParagraphFont"/>
    <w:link w:val="BlockText"/>
    <w:rsid w:val="00197360"/>
    <w:rPr>
      <w:rFonts w:eastAsiaTheme="minorEastAsia"/>
      <w:iCs/>
    </w:rPr>
  </w:style>
  <w:style w:type="character" w:customStyle="1" w:styleId="HangingIndentChar">
    <w:name w:val="Hanging Indent Char"/>
    <w:basedOn w:val="BlockTextChar"/>
    <w:link w:val="HangingIndent"/>
    <w:rsid w:val="00197360"/>
    <w:rPr>
      <w:rFonts w:eastAsiaTheme="minorEastAsia"/>
      <w:iCs/>
    </w:rPr>
  </w:style>
  <w:style w:type="paragraph" w:styleId="FootnoteText">
    <w:name w:val="footnote text"/>
    <w:basedOn w:val="Normal"/>
    <w:next w:val="FootnoteTextMore"/>
    <w:link w:val="FootnoteTextChar"/>
    <w:semiHidden/>
    <w:rsid w:val="00197360"/>
    <w:pPr>
      <w:spacing w:after="200"/>
      <w:ind w:left="720" w:hanging="720"/>
    </w:pPr>
    <w:rPr>
      <w:sz w:val="20"/>
      <w:szCs w:val="20"/>
    </w:rPr>
  </w:style>
  <w:style w:type="character" w:customStyle="1" w:styleId="FootnoteTextChar">
    <w:name w:val="Footnote Text Char"/>
    <w:basedOn w:val="DefaultParagraphFont"/>
    <w:link w:val="FootnoteText"/>
    <w:semiHidden/>
    <w:rsid w:val="00C8460E"/>
    <w:rPr>
      <w:sz w:val="20"/>
      <w:szCs w:val="20"/>
    </w:rPr>
  </w:style>
  <w:style w:type="paragraph" w:customStyle="1" w:styleId="FootnoteTextMore">
    <w:name w:val="Footnote TextMore"/>
    <w:basedOn w:val="FootnoteText"/>
    <w:link w:val="FootnoteTextMoreChar"/>
    <w:qFormat/>
    <w:rsid w:val="00197360"/>
    <w:pPr>
      <w:ind w:left="0" w:firstLine="0"/>
    </w:pPr>
  </w:style>
  <w:style w:type="character" w:customStyle="1" w:styleId="FootnoteTextMoreChar">
    <w:name w:val="Footnote TextMore Char"/>
    <w:basedOn w:val="FootnoteTextChar"/>
    <w:link w:val="FootnoteTextMore"/>
    <w:rsid w:val="00C8460E"/>
    <w:rPr>
      <w:sz w:val="20"/>
      <w:szCs w:val="20"/>
    </w:rPr>
  </w:style>
  <w:style w:type="paragraph" w:styleId="EndnoteText">
    <w:name w:val="endnote text"/>
    <w:basedOn w:val="Normal"/>
    <w:next w:val="EndnoteTextMore"/>
    <w:link w:val="EndnoteTextChar"/>
    <w:rsid w:val="00C8460E"/>
    <w:pPr>
      <w:spacing w:after="200"/>
      <w:ind w:left="720" w:hanging="720"/>
    </w:pPr>
    <w:rPr>
      <w:sz w:val="20"/>
      <w:szCs w:val="20"/>
    </w:rPr>
  </w:style>
  <w:style w:type="character" w:customStyle="1" w:styleId="EndnoteTextChar">
    <w:name w:val="Endnote Text Char"/>
    <w:basedOn w:val="DefaultParagraphFont"/>
    <w:link w:val="EndnoteText"/>
    <w:rsid w:val="00C8460E"/>
    <w:rPr>
      <w:sz w:val="20"/>
      <w:szCs w:val="20"/>
    </w:rPr>
  </w:style>
  <w:style w:type="paragraph" w:customStyle="1" w:styleId="EndnoteTextMore">
    <w:name w:val="Endnote TextMore"/>
    <w:basedOn w:val="EndnoteText"/>
    <w:link w:val="EndnoteTextMoreChar"/>
    <w:semiHidden/>
    <w:qFormat/>
    <w:rsid w:val="00C8460E"/>
    <w:pPr>
      <w:ind w:left="0" w:firstLine="0"/>
    </w:pPr>
  </w:style>
  <w:style w:type="character" w:customStyle="1" w:styleId="EndnoteTextMoreChar">
    <w:name w:val="Endnote TextMore Char"/>
    <w:basedOn w:val="EndnoteTextChar"/>
    <w:link w:val="EndnoteTextMore"/>
    <w:semiHidden/>
    <w:rsid w:val="00C8460E"/>
    <w:rPr>
      <w:sz w:val="20"/>
      <w:szCs w:val="20"/>
    </w:rPr>
  </w:style>
  <w:style w:type="paragraph" w:customStyle="1" w:styleId="Table">
    <w:name w:val="Table"/>
    <w:basedOn w:val="Normal"/>
    <w:link w:val="TableChar"/>
    <w:qFormat/>
    <w:rsid w:val="00C8460E"/>
  </w:style>
  <w:style w:type="character" w:customStyle="1" w:styleId="TableChar">
    <w:name w:val="Table Char"/>
    <w:basedOn w:val="DefaultParagraphFont"/>
    <w:link w:val="Table"/>
    <w:rsid w:val="00C8460E"/>
  </w:style>
  <w:style w:type="paragraph" w:customStyle="1" w:styleId="BulletedList">
    <w:name w:val="Bulleted List"/>
    <w:basedOn w:val="Normal"/>
    <w:qFormat/>
    <w:rsid w:val="00C8460E"/>
    <w:pPr>
      <w:numPr>
        <w:numId w:val="2"/>
      </w:numPr>
      <w:spacing w:after="240"/>
    </w:pPr>
  </w:style>
  <w:style w:type="paragraph" w:styleId="EnvelopeAddress">
    <w:name w:val="envelope address"/>
    <w:basedOn w:val="Normal"/>
    <w:uiPriority w:val="99"/>
    <w:semiHidden/>
    <w:unhideWhenUsed/>
    <w:rsid w:val="0000608D"/>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0608D"/>
    <w:rPr>
      <w:rFonts w:eastAsiaTheme="majorEastAsia" w:cstheme="majorBidi"/>
      <w:sz w:val="20"/>
      <w:szCs w:val="20"/>
    </w:rPr>
  </w:style>
  <w:style w:type="paragraph" w:styleId="Index1">
    <w:name w:val="index 1"/>
    <w:basedOn w:val="Normal"/>
    <w:next w:val="Normal"/>
    <w:autoRedefine/>
    <w:uiPriority w:val="99"/>
    <w:semiHidden/>
    <w:unhideWhenUsed/>
    <w:rsid w:val="0000608D"/>
    <w:pPr>
      <w:ind w:left="240" w:hanging="240"/>
    </w:pPr>
  </w:style>
  <w:style w:type="paragraph" w:styleId="IndexHeading">
    <w:name w:val="index heading"/>
    <w:basedOn w:val="Normal"/>
    <w:next w:val="Index1"/>
    <w:uiPriority w:val="99"/>
    <w:semiHidden/>
    <w:unhideWhenUsed/>
    <w:rsid w:val="0000608D"/>
    <w:rPr>
      <w:rFonts w:eastAsiaTheme="majorEastAsia" w:cstheme="majorBidi"/>
      <w:b/>
      <w:bCs/>
    </w:rPr>
  </w:style>
  <w:style w:type="table" w:styleId="MediumGrid2">
    <w:name w:val="Medium Grid 2"/>
    <w:basedOn w:val="TableNormal"/>
    <w:uiPriority w:val="68"/>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unhideWhenUsed/>
    <w:rsid w:val="000060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00608D"/>
    <w:rPr>
      <w:rFonts w:eastAsiaTheme="majorEastAsia" w:cstheme="majorBidi"/>
      <w:shd w:val="pct20" w:color="auto" w:fill="auto"/>
    </w:rPr>
  </w:style>
  <w:style w:type="paragraph" w:customStyle="1" w:styleId="UK10Block">
    <w:name w:val="UK10 Block"/>
    <w:basedOn w:val="Normal"/>
    <w:rsid w:val="00D025DF"/>
    <w:pPr>
      <w:spacing w:after="240" w:line="246" w:lineRule="atLeast"/>
      <w:jc w:val="both"/>
    </w:pPr>
    <w:rPr>
      <w:rFonts w:eastAsia="Times New Roman" w:cs="Times New Roman"/>
      <w:sz w:val="20"/>
      <w:szCs w:val="20"/>
    </w:rPr>
  </w:style>
  <w:style w:type="paragraph" w:customStyle="1" w:styleId="UK10Block05">
    <w:name w:val="UK10 Block 0.5"/>
    <w:basedOn w:val="Normal"/>
    <w:rsid w:val="00D025DF"/>
    <w:pPr>
      <w:spacing w:after="240" w:line="246" w:lineRule="atLeast"/>
      <w:ind w:left="720"/>
      <w:jc w:val="both"/>
    </w:pPr>
    <w:rPr>
      <w:rFonts w:eastAsia="Times New Roman" w:cs="Times New Roman"/>
      <w:sz w:val="20"/>
      <w:szCs w:val="20"/>
    </w:rPr>
  </w:style>
  <w:style w:type="paragraph" w:customStyle="1" w:styleId="UK10Block10">
    <w:name w:val="UK10 Block 1.0"/>
    <w:basedOn w:val="Normal"/>
    <w:rsid w:val="00D025DF"/>
    <w:pPr>
      <w:spacing w:after="240" w:line="246" w:lineRule="atLeast"/>
      <w:ind w:left="1440"/>
      <w:jc w:val="both"/>
    </w:pPr>
    <w:rPr>
      <w:rFonts w:eastAsia="Times New Roman" w:cs="Times New Roman"/>
      <w:sz w:val="20"/>
      <w:szCs w:val="20"/>
    </w:rPr>
  </w:style>
  <w:style w:type="paragraph" w:customStyle="1" w:styleId="UK10Block15">
    <w:name w:val="UK10 Block 1.5"/>
    <w:basedOn w:val="Normal"/>
    <w:rsid w:val="00D025DF"/>
    <w:pPr>
      <w:spacing w:after="240" w:line="246" w:lineRule="atLeast"/>
      <w:ind w:left="2160"/>
      <w:jc w:val="both"/>
    </w:pPr>
    <w:rPr>
      <w:rFonts w:eastAsia="Times New Roman" w:cs="Times New Roman"/>
      <w:sz w:val="20"/>
      <w:szCs w:val="20"/>
    </w:rPr>
  </w:style>
  <w:style w:type="paragraph" w:customStyle="1" w:styleId="UK10Block20">
    <w:name w:val="UK10 Block 2.0"/>
    <w:basedOn w:val="Normal"/>
    <w:rsid w:val="00D025DF"/>
    <w:pPr>
      <w:spacing w:after="240" w:line="246" w:lineRule="atLeast"/>
      <w:ind w:left="2880"/>
      <w:jc w:val="both"/>
    </w:pPr>
    <w:rPr>
      <w:rFonts w:eastAsia="Times New Roman" w:cs="Times New Roman"/>
      <w:sz w:val="20"/>
      <w:szCs w:val="20"/>
    </w:rPr>
  </w:style>
  <w:style w:type="paragraph" w:customStyle="1" w:styleId="UK10Block25">
    <w:name w:val="UK10 Block 2.5"/>
    <w:basedOn w:val="Normal"/>
    <w:rsid w:val="00D025DF"/>
    <w:pPr>
      <w:spacing w:after="240" w:line="246" w:lineRule="atLeast"/>
      <w:ind w:left="3600"/>
      <w:jc w:val="both"/>
    </w:pPr>
    <w:rPr>
      <w:rFonts w:eastAsia="Times New Roman" w:cs="Times New Roman"/>
      <w:sz w:val="20"/>
      <w:szCs w:val="20"/>
    </w:rPr>
  </w:style>
  <w:style w:type="paragraph" w:customStyle="1" w:styleId="UK10Block30">
    <w:name w:val="UK10 Block 3.0"/>
    <w:basedOn w:val="Normal"/>
    <w:rsid w:val="00D025DF"/>
    <w:pPr>
      <w:spacing w:after="240" w:line="246" w:lineRule="atLeast"/>
      <w:ind w:left="4320"/>
      <w:jc w:val="both"/>
    </w:pPr>
    <w:rPr>
      <w:rFonts w:eastAsia="Times New Roman" w:cs="Times New Roman"/>
      <w:sz w:val="20"/>
      <w:szCs w:val="20"/>
    </w:rPr>
  </w:style>
  <w:style w:type="paragraph" w:customStyle="1" w:styleId="UK10Title">
    <w:name w:val="UK10 Title"/>
    <w:basedOn w:val="Normal"/>
    <w:next w:val="UK10Block"/>
    <w:rsid w:val="00D025DF"/>
    <w:pPr>
      <w:spacing w:after="240" w:line="246" w:lineRule="atLeast"/>
      <w:jc w:val="center"/>
    </w:pPr>
    <w:rPr>
      <w:rFonts w:eastAsia="Times New Roman" w:cs="Times New Roman"/>
      <w:b/>
      <w:kern w:val="28"/>
      <w:sz w:val="20"/>
      <w:szCs w:val="20"/>
    </w:rPr>
  </w:style>
  <w:style w:type="paragraph" w:customStyle="1" w:styleId="UK11Block">
    <w:name w:val="UK11 Block"/>
    <w:basedOn w:val="Normal"/>
    <w:rsid w:val="00D025DF"/>
    <w:pPr>
      <w:spacing w:after="240" w:line="246" w:lineRule="atLeast"/>
      <w:jc w:val="both"/>
    </w:pPr>
    <w:rPr>
      <w:rFonts w:eastAsia="Times New Roman" w:cs="Times New Roman"/>
      <w:sz w:val="22"/>
      <w:szCs w:val="20"/>
    </w:rPr>
  </w:style>
  <w:style w:type="paragraph" w:customStyle="1" w:styleId="UK11Block05">
    <w:name w:val="UK11 Block 0.5"/>
    <w:basedOn w:val="Normal"/>
    <w:rsid w:val="00D025DF"/>
    <w:pPr>
      <w:spacing w:after="240" w:line="246" w:lineRule="atLeast"/>
      <w:ind w:left="720"/>
      <w:jc w:val="both"/>
    </w:pPr>
    <w:rPr>
      <w:rFonts w:eastAsia="Times New Roman" w:cs="Times New Roman"/>
      <w:sz w:val="22"/>
      <w:szCs w:val="20"/>
    </w:rPr>
  </w:style>
  <w:style w:type="paragraph" w:customStyle="1" w:styleId="UK11Block10">
    <w:name w:val="UK11 Block 1.0"/>
    <w:basedOn w:val="Normal"/>
    <w:rsid w:val="00D025DF"/>
    <w:pPr>
      <w:spacing w:after="240" w:line="246" w:lineRule="atLeast"/>
      <w:ind w:left="1440"/>
      <w:jc w:val="both"/>
    </w:pPr>
    <w:rPr>
      <w:rFonts w:eastAsia="Times New Roman" w:cs="Times New Roman"/>
      <w:sz w:val="22"/>
      <w:szCs w:val="20"/>
    </w:rPr>
  </w:style>
  <w:style w:type="paragraph" w:customStyle="1" w:styleId="UK11Block15">
    <w:name w:val="UK11 Block 1.5"/>
    <w:basedOn w:val="Normal"/>
    <w:rsid w:val="00D025DF"/>
    <w:pPr>
      <w:spacing w:after="240" w:line="246" w:lineRule="atLeast"/>
      <w:ind w:left="2160"/>
      <w:jc w:val="both"/>
    </w:pPr>
    <w:rPr>
      <w:rFonts w:eastAsia="Times New Roman" w:cs="Times New Roman"/>
      <w:sz w:val="22"/>
      <w:szCs w:val="20"/>
    </w:rPr>
  </w:style>
  <w:style w:type="paragraph" w:customStyle="1" w:styleId="UK11Block20">
    <w:name w:val="UK11 Block 2.0"/>
    <w:basedOn w:val="Normal"/>
    <w:rsid w:val="00D025DF"/>
    <w:pPr>
      <w:spacing w:after="240" w:line="246" w:lineRule="atLeast"/>
      <w:ind w:left="2880"/>
      <w:jc w:val="both"/>
    </w:pPr>
    <w:rPr>
      <w:rFonts w:eastAsia="Times New Roman" w:cs="Times New Roman"/>
      <w:sz w:val="22"/>
      <w:szCs w:val="20"/>
    </w:rPr>
  </w:style>
  <w:style w:type="paragraph" w:customStyle="1" w:styleId="UK11Block25">
    <w:name w:val="UK11 Block 2.5"/>
    <w:basedOn w:val="Normal"/>
    <w:rsid w:val="00D025DF"/>
    <w:pPr>
      <w:spacing w:after="240" w:line="246" w:lineRule="atLeast"/>
      <w:ind w:left="3600"/>
      <w:jc w:val="both"/>
    </w:pPr>
    <w:rPr>
      <w:rFonts w:eastAsia="Times New Roman" w:cs="Times New Roman"/>
      <w:sz w:val="22"/>
      <w:szCs w:val="20"/>
    </w:rPr>
  </w:style>
  <w:style w:type="paragraph" w:customStyle="1" w:styleId="UK11Block30">
    <w:name w:val="UK11 Block 3.0"/>
    <w:basedOn w:val="Normal"/>
    <w:rsid w:val="00D025DF"/>
    <w:pPr>
      <w:spacing w:after="240" w:line="246" w:lineRule="atLeast"/>
      <w:ind w:left="4320"/>
      <w:jc w:val="both"/>
    </w:pPr>
    <w:rPr>
      <w:rFonts w:eastAsia="Times New Roman" w:cs="Times New Roman"/>
      <w:sz w:val="22"/>
      <w:szCs w:val="20"/>
    </w:rPr>
  </w:style>
  <w:style w:type="paragraph" w:customStyle="1" w:styleId="UK11Title">
    <w:name w:val="UK11 Title"/>
    <w:basedOn w:val="Normal"/>
    <w:next w:val="UK11Block"/>
    <w:rsid w:val="00D025DF"/>
    <w:pPr>
      <w:spacing w:after="240" w:line="246" w:lineRule="atLeast"/>
      <w:jc w:val="center"/>
    </w:pPr>
    <w:rPr>
      <w:rFonts w:eastAsia="Times New Roman" w:cs="Times New Roman"/>
      <w:b/>
      <w:kern w:val="28"/>
      <w:sz w:val="22"/>
      <w:szCs w:val="20"/>
    </w:rPr>
  </w:style>
  <w:style w:type="paragraph" w:customStyle="1" w:styleId="UK12Block">
    <w:name w:val="UK12 Block"/>
    <w:basedOn w:val="Normal"/>
    <w:rsid w:val="00D025DF"/>
    <w:pPr>
      <w:spacing w:after="240" w:line="246" w:lineRule="atLeast"/>
      <w:jc w:val="both"/>
    </w:pPr>
    <w:rPr>
      <w:rFonts w:eastAsia="Times New Roman" w:cs="Times New Roman"/>
      <w:szCs w:val="20"/>
    </w:rPr>
  </w:style>
  <w:style w:type="paragraph" w:customStyle="1" w:styleId="UK12Block05">
    <w:name w:val="UK12 Block 0.5"/>
    <w:basedOn w:val="Normal"/>
    <w:rsid w:val="00B61E82"/>
    <w:pPr>
      <w:spacing w:after="240" w:line="246" w:lineRule="atLeast"/>
      <w:ind w:left="936"/>
      <w:jc w:val="both"/>
    </w:pPr>
    <w:rPr>
      <w:rFonts w:eastAsia="Times New Roman" w:cs="Times New Roman"/>
      <w:szCs w:val="20"/>
    </w:rPr>
  </w:style>
  <w:style w:type="paragraph" w:customStyle="1" w:styleId="UK12Block10">
    <w:name w:val="UK12 Block 1.0"/>
    <w:basedOn w:val="Normal"/>
    <w:rsid w:val="00791F81"/>
    <w:pPr>
      <w:spacing w:after="240" w:line="246" w:lineRule="atLeast"/>
      <w:ind w:left="1620"/>
      <w:jc w:val="both"/>
    </w:pPr>
    <w:rPr>
      <w:rFonts w:eastAsia="Times New Roman" w:cs="Times New Roman"/>
      <w:szCs w:val="20"/>
    </w:rPr>
  </w:style>
  <w:style w:type="paragraph" w:customStyle="1" w:styleId="UK12Block15">
    <w:name w:val="UK12 Block 1.5"/>
    <w:basedOn w:val="Normal"/>
    <w:rsid w:val="00791F81"/>
    <w:pPr>
      <w:spacing w:after="240" w:line="246" w:lineRule="atLeast"/>
      <w:ind w:left="2362"/>
      <w:jc w:val="both"/>
    </w:pPr>
    <w:rPr>
      <w:rFonts w:eastAsia="Times New Roman" w:cs="Times New Roman"/>
      <w:szCs w:val="20"/>
    </w:rPr>
  </w:style>
  <w:style w:type="paragraph" w:customStyle="1" w:styleId="UK12Block20">
    <w:name w:val="UK12 Block 2.0"/>
    <w:basedOn w:val="Normal"/>
    <w:rsid w:val="00D025DF"/>
    <w:pPr>
      <w:spacing w:after="240" w:line="246" w:lineRule="atLeast"/>
      <w:ind w:left="2880"/>
      <w:jc w:val="both"/>
    </w:pPr>
    <w:rPr>
      <w:rFonts w:eastAsia="Times New Roman" w:cs="Times New Roman"/>
      <w:szCs w:val="20"/>
    </w:rPr>
  </w:style>
  <w:style w:type="paragraph" w:customStyle="1" w:styleId="UK12Block25">
    <w:name w:val="UK12 Block 2.5"/>
    <w:basedOn w:val="Normal"/>
    <w:rsid w:val="00D025DF"/>
    <w:pPr>
      <w:spacing w:after="240" w:line="246" w:lineRule="atLeast"/>
      <w:ind w:left="3600"/>
      <w:jc w:val="both"/>
    </w:pPr>
    <w:rPr>
      <w:rFonts w:eastAsia="Times New Roman" w:cs="Times New Roman"/>
      <w:szCs w:val="20"/>
    </w:rPr>
  </w:style>
  <w:style w:type="paragraph" w:customStyle="1" w:styleId="UK12Block30">
    <w:name w:val="UK12 Block 3.0"/>
    <w:basedOn w:val="Normal"/>
    <w:rsid w:val="00D025DF"/>
    <w:pPr>
      <w:spacing w:after="240" w:line="246" w:lineRule="atLeast"/>
      <w:ind w:left="4320"/>
      <w:jc w:val="both"/>
    </w:pPr>
    <w:rPr>
      <w:rFonts w:eastAsia="Times New Roman" w:cs="Times New Roman"/>
      <w:szCs w:val="20"/>
    </w:rPr>
  </w:style>
  <w:style w:type="paragraph" w:customStyle="1" w:styleId="UK12Title">
    <w:name w:val="UK12 Title"/>
    <w:basedOn w:val="Normal"/>
    <w:next w:val="UK12Block"/>
    <w:rsid w:val="00CA25C3"/>
    <w:pPr>
      <w:spacing w:after="240" w:line="246" w:lineRule="atLeast"/>
    </w:pPr>
    <w:rPr>
      <w:rFonts w:eastAsia="Times New Roman" w:cs="Times New Roman"/>
      <w:b/>
      <w:kern w:val="28"/>
      <w:szCs w:val="20"/>
    </w:rPr>
  </w:style>
  <w:style w:type="paragraph" w:customStyle="1" w:styleId="PAIAContinuousNumbering">
    <w:name w:val="PA / IA Continuous Numbering"/>
    <w:rsid w:val="00EC28C9"/>
    <w:pPr>
      <w:numPr>
        <w:numId w:val="3"/>
      </w:numPr>
      <w:spacing w:after="240" w:line="360" w:lineRule="auto"/>
    </w:pPr>
    <w:rPr>
      <w:rFonts w:eastAsia="Times New Roman" w:cs="Times New Roman"/>
      <w:szCs w:val="20"/>
    </w:rPr>
  </w:style>
  <w:style w:type="paragraph" w:customStyle="1" w:styleId="PAIAQuotes">
    <w:name w:val="PA / IA Quotes"/>
    <w:rsid w:val="00EC28C9"/>
    <w:pPr>
      <w:spacing w:after="240"/>
      <w:ind w:left="1440" w:right="1440"/>
    </w:pPr>
    <w:rPr>
      <w:rFonts w:eastAsia="Times New Roman" w:cs="Times New Roman"/>
      <w:i/>
      <w:szCs w:val="20"/>
    </w:rPr>
  </w:style>
  <w:style w:type="paragraph" w:customStyle="1" w:styleId="PAAlphaList">
    <w:name w:val="PA Alpha List"/>
    <w:basedOn w:val="Normal"/>
    <w:rsid w:val="00EC28C9"/>
    <w:pPr>
      <w:numPr>
        <w:numId w:val="4"/>
      </w:numPr>
      <w:spacing w:after="120"/>
      <w:jc w:val="both"/>
    </w:pPr>
    <w:rPr>
      <w:rFonts w:eastAsia="Times New Roman" w:cs="Times New Roman"/>
      <w:szCs w:val="20"/>
      <w:lang w:val="fr-FR"/>
    </w:rPr>
  </w:style>
  <w:style w:type="paragraph" w:customStyle="1" w:styleId="PAAlphaListindent05">
    <w:name w:val="PA Alpha List indent 0.5"/>
    <w:basedOn w:val="Normal"/>
    <w:rsid w:val="00EC28C9"/>
    <w:pPr>
      <w:numPr>
        <w:numId w:val="5"/>
      </w:numPr>
      <w:spacing w:after="120"/>
      <w:jc w:val="both"/>
    </w:pPr>
    <w:rPr>
      <w:rFonts w:eastAsia="Times New Roman" w:cs="Times New Roman"/>
      <w:szCs w:val="20"/>
      <w:lang w:val="fr-FR"/>
    </w:rPr>
  </w:style>
  <w:style w:type="paragraph" w:customStyle="1" w:styleId="PAAlphaListindent1">
    <w:name w:val="PA Alpha List indent 1"/>
    <w:basedOn w:val="Normal"/>
    <w:rsid w:val="00EC28C9"/>
    <w:pPr>
      <w:numPr>
        <w:numId w:val="6"/>
      </w:numPr>
      <w:spacing w:after="120"/>
      <w:jc w:val="both"/>
    </w:pPr>
    <w:rPr>
      <w:rFonts w:eastAsia="Times New Roman" w:cs="Times New Roman"/>
      <w:szCs w:val="20"/>
      <w:lang w:val="fr-FR"/>
    </w:rPr>
  </w:style>
  <w:style w:type="paragraph" w:customStyle="1" w:styleId="PAAlphaListindent15">
    <w:name w:val="PA Alpha List indent 1.5"/>
    <w:basedOn w:val="Normal"/>
    <w:rsid w:val="00EC28C9"/>
    <w:pPr>
      <w:numPr>
        <w:numId w:val="7"/>
      </w:numPr>
      <w:spacing w:after="120"/>
      <w:jc w:val="both"/>
    </w:pPr>
    <w:rPr>
      <w:rFonts w:eastAsia="Times New Roman" w:cs="Times New Roman"/>
      <w:szCs w:val="20"/>
      <w:lang w:val="fr-FR"/>
    </w:rPr>
  </w:style>
  <w:style w:type="paragraph" w:customStyle="1" w:styleId="PAAlphaListindent2">
    <w:name w:val="PA Alpha List indent 2"/>
    <w:basedOn w:val="Normal"/>
    <w:rsid w:val="00EC28C9"/>
    <w:pPr>
      <w:numPr>
        <w:numId w:val="8"/>
      </w:numPr>
      <w:spacing w:after="120"/>
      <w:jc w:val="both"/>
    </w:pPr>
    <w:rPr>
      <w:rFonts w:eastAsia="Times New Roman" w:cs="Times New Roman"/>
      <w:szCs w:val="20"/>
      <w:lang w:val="fr-FR"/>
    </w:rPr>
  </w:style>
  <w:style w:type="paragraph" w:customStyle="1" w:styleId="PABlockText">
    <w:name w:val="PA Block Text"/>
    <w:basedOn w:val="Normal"/>
    <w:rsid w:val="00EC28C9"/>
    <w:pPr>
      <w:spacing w:after="120"/>
      <w:jc w:val="both"/>
    </w:pPr>
    <w:rPr>
      <w:rFonts w:eastAsia="Times New Roman" w:cs="Times New Roman"/>
      <w:szCs w:val="20"/>
    </w:rPr>
  </w:style>
  <w:style w:type="paragraph" w:customStyle="1" w:styleId="PABlockTextindent05">
    <w:name w:val="PA Block Text indent 0.5"/>
    <w:basedOn w:val="Normal"/>
    <w:rsid w:val="00EC28C9"/>
    <w:pPr>
      <w:spacing w:after="120"/>
      <w:ind w:left="720"/>
      <w:jc w:val="both"/>
    </w:pPr>
    <w:rPr>
      <w:rFonts w:eastAsia="Times New Roman" w:cs="Times New Roman"/>
      <w:szCs w:val="20"/>
    </w:rPr>
  </w:style>
  <w:style w:type="paragraph" w:customStyle="1" w:styleId="PABlockTextindent1">
    <w:name w:val="PA Block Text indent 1"/>
    <w:basedOn w:val="Normal"/>
    <w:rsid w:val="00EC28C9"/>
    <w:pPr>
      <w:spacing w:after="120"/>
      <w:ind w:left="1440"/>
      <w:jc w:val="both"/>
    </w:pPr>
    <w:rPr>
      <w:rFonts w:eastAsia="Times New Roman" w:cs="Times New Roman"/>
      <w:szCs w:val="20"/>
    </w:rPr>
  </w:style>
  <w:style w:type="paragraph" w:customStyle="1" w:styleId="PABlockTextindent15">
    <w:name w:val="PA Block Text indent 1.5"/>
    <w:basedOn w:val="Normal"/>
    <w:rsid w:val="00EC28C9"/>
    <w:pPr>
      <w:spacing w:after="120"/>
      <w:ind w:left="2160"/>
      <w:jc w:val="both"/>
    </w:pPr>
    <w:rPr>
      <w:rFonts w:eastAsia="Times New Roman" w:cs="Times New Roman"/>
      <w:szCs w:val="20"/>
    </w:rPr>
  </w:style>
  <w:style w:type="paragraph" w:customStyle="1" w:styleId="PABlockTextindent2">
    <w:name w:val="PA Block Text indent 2"/>
    <w:basedOn w:val="Normal"/>
    <w:rsid w:val="00EC28C9"/>
    <w:pPr>
      <w:spacing w:after="120"/>
      <w:ind w:left="2880"/>
      <w:jc w:val="both"/>
    </w:pPr>
    <w:rPr>
      <w:rFonts w:eastAsia="Times New Roman" w:cs="Times New Roman"/>
      <w:szCs w:val="20"/>
    </w:rPr>
  </w:style>
  <w:style w:type="paragraph" w:customStyle="1" w:styleId="PABullet">
    <w:name w:val="PA Bullet"/>
    <w:basedOn w:val="Normal"/>
    <w:rsid w:val="00EC28C9"/>
    <w:pPr>
      <w:numPr>
        <w:numId w:val="9"/>
      </w:numPr>
      <w:spacing w:after="120"/>
      <w:jc w:val="both"/>
    </w:pPr>
    <w:rPr>
      <w:rFonts w:eastAsia="Times New Roman" w:cs="Times New Roman"/>
      <w:szCs w:val="20"/>
    </w:rPr>
  </w:style>
  <w:style w:type="paragraph" w:customStyle="1" w:styleId="PABulletindent05">
    <w:name w:val="PA Bullet indent 0.5"/>
    <w:basedOn w:val="Normal"/>
    <w:rsid w:val="00EC28C9"/>
    <w:pPr>
      <w:numPr>
        <w:numId w:val="10"/>
      </w:numPr>
      <w:spacing w:after="120"/>
      <w:jc w:val="both"/>
    </w:pPr>
    <w:rPr>
      <w:rFonts w:eastAsia="Times New Roman" w:cs="Times New Roman"/>
      <w:szCs w:val="20"/>
    </w:rPr>
  </w:style>
  <w:style w:type="paragraph" w:customStyle="1" w:styleId="PABulletindent1">
    <w:name w:val="PA Bullet indent 1"/>
    <w:basedOn w:val="Normal"/>
    <w:rsid w:val="00EC28C9"/>
    <w:pPr>
      <w:numPr>
        <w:numId w:val="11"/>
      </w:numPr>
      <w:spacing w:after="120"/>
      <w:jc w:val="both"/>
    </w:pPr>
    <w:rPr>
      <w:rFonts w:eastAsia="Times New Roman" w:cs="Times New Roman"/>
      <w:szCs w:val="20"/>
    </w:rPr>
  </w:style>
  <w:style w:type="paragraph" w:customStyle="1" w:styleId="PABulletindent15">
    <w:name w:val="PA Bullet indent 1.5"/>
    <w:basedOn w:val="Normal"/>
    <w:rsid w:val="00EC28C9"/>
    <w:pPr>
      <w:numPr>
        <w:numId w:val="12"/>
      </w:numPr>
      <w:spacing w:after="120"/>
      <w:jc w:val="both"/>
    </w:pPr>
    <w:rPr>
      <w:rFonts w:eastAsia="Times New Roman" w:cs="Times New Roman"/>
      <w:szCs w:val="20"/>
    </w:rPr>
  </w:style>
  <w:style w:type="paragraph" w:customStyle="1" w:styleId="PABulletindent2">
    <w:name w:val="PA Bullet indent 2"/>
    <w:basedOn w:val="Normal"/>
    <w:rsid w:val="00EC28C9"/>
    <w:pPr>
      <w:numPr>
        <w:numId w:val="13"/>
      </w:numPr>
      <w:spacing w:after="120"/>
      <w:jc w:val="both"/>
    </w:pPr>
    <w:rPr>
      <w:rFonts w:eastAsia="Times New Roman" w:cs="Times New Roman"/>
      <w:szCs w:val="20"/>
    </w:rPr>
  </w:style>
  <w:style w:type="paragraph" w:customStyle="1" w:styleId="PADashList">
    <w:name w:val="PA Dash List"/>
    <w:basedOn w:val="Normal"/>
    <w:rsid w:val="00EC28C9"/>
    <w:pPr>
      <w:numPr>
        <w:numId w:val="14"/>
      </w:numPr>
      <w:spacing w:after="120"/>
      <w:jc w:val="both"/>
    </w:pPr>
    <w:rPr>
      <w:rFonts w:eastAsia="Times New Roman" w:cs="Times New Roman"/>
      <w:szCs w:val="20"/>
      <w:lang w:val="fr-FR"/>
    </w:rPr>
  </w:style>
  <w:style w:type="paragraph" w:customStyle="1" w:styleId="PADashListindent05">
    <w:name w:val="PA Dash List indent 0.5"/>
    <w:basedOn w:val="Normal"/>
    <w:rsid w:val="00EC28C9"/>
    <w:pPr>
      <w:numPr>
        <w:numId w:val="15"/>
      </w:numPr>
      <w:spacing w:after="120"/>
      <w:jc w:val="both"/>
    </w:pPr>
    <w:rPr>
      <w:rFonts w:eastAsia="Times New Roman" w:cs="Times New Roman"/>
      <w:szCs w:val="20"/>
      <w:lang w:val="fr-FR"/>
    </w:rPr>
  </w:style>
  <w:style w:type="paragraph" w:customStyle="1" w:styleId="PADashListindent1">
    <w:name w:val="PA Dash List indent 1"/>
    <w:basedOn w:val="Normal"/>
    <w:rsid w:val="00EC28C9"/>
    <w:pPr>
      <w:numPr>
        <w:numId w:val="16"/>
      </w:numPr>
      <w:spacing w:after="120"/>
      <w:jc w:val="both"/>
    </w:pPr>
    <w:rPr>
      <w:rFonts w:eastAsia="Times New Roman" w:cs="Times New Roman"/>
      <w:szCs w:val="20"/>
      <w:lang w:val="fr-FR"/>
    </w:rPr>
  </w:style>
  <w:style w:type="paragraph" w:customStyle="1" w:styleId="PADashListindent15">
    <w:name w:val="PA Dash List indent 1.5"/>
    <w:basedOn w:val="Normal"/>
    <w:rsid w:val="00EC28C9"/>
    <w:pPr>
      <w:numPr>
        <w:numId w:val="17"/>
      </w:numPr>
      <w:spacing w:after="120"/>
      <w:jc w:val="both"/>
    </w:pPr>
    <w:rPr>
      <w:rFonts w:eastAsia="Times New Roman" w:cs="Times New Roman"/>
      <w:szCs w:val="20"/>
      <w:lang w:val="fr-FR"/>
    </w:rPr>
  </w:style>
  <w:style w:type="paragraph" w:customStyle="1" w:styleId="PADashListindent2">
    <w:name w:val="PA Dash List indent 2"/>
    <w:basedOn w:val="Normal"/>
    <w:rsid w:val="00EC28C9"/>
    <w:pPr>
      <w:numPr>
        <w:numId w:val="18"/>
      </w:numPr>
      <w:spacing w:after="120"/>
      <w:jc w:val="both"/>
    </w:pPr>
    <w:rPr>
      <w:rFonts w:eastAsia="Times New Roman" w:cs="Times New Roman"/>
      <w:szCs w:val="20"/>
      <w:lang w:val="fr-FR"/>
    </w:rPr>
  </w:style>
  <w:style w:type="paragraph" w:customStyle="1" w:styleId="PANumList">
    <w:name w:val="PA Num List"/>
    <w:basedOn w:val="Normal"/>
    <w:rsid w:val="00EC28C9"/>
    <w:pPr>
      <w:numPr>
        <w:numId w:val="19"/>
      </w:numPr>
      <w:spacing w:after="120"/>
      <w:jc w:val="both"/>
    </w:pPr>
    <w:rPr>
      <w:rFonts w:eastAsia="Times New Roman" w:cs="Times New Roman"/>
      <w:szCs w:val="20"/>
      <w:lang w:val="fr-FR"/>
    </w:rPr>
  </w:style>
  <w:style w:type="paragraph" w:customStyle="1" w:styleId="PANumListindent05">
    <w:name w:val="PA Num List indent 0.5"/>
    <w:basedOn w:val="Normal"/>
    <w:rsid w:val="00EC28C9"/>
    <w:pPr>
      <w:numPr>
        <w:numId w:val="20"/>
      </w:numPr>
      <w:spacing w:after="120"/>
      <w:jc w:val="both"/>
    </w:pPr>
    <w:rPr>
      <w:rFonts w:eastAsia="Times New Roman" w:cs="Times New Roman"/>
      <w:szCs w:val="20"/>
      <w:lang w:val="fr-FR"/>
    </w:rPr>
  </w:style>
  <w:style w:type="paragraph" w:customStyle="1" w:styleId="PANumListindent1">
    <w:name w:val="PA Num List indent 1"/>
    <w:basedOn w:val="Normal"/>
    <w:rsid w:val="00EC28C9"/>
    <w:pPr>
      <w:numPr>
        <w:numId w:val="21"/>
      </w:numPr>
      <w:spacing w:after="120"/>
      <w:jc w:val="both"/>
    </w:pPr>
    <w:rPr>
      <w:rFonts w:eastAsia="Times New Roman" w:cs="Times New Roman"/>
      <w:szCs w:val="20"/>
      <w:lang w:val="fr-FR"/>
    </w:rPr>
  </w:style>
  <w:style w:type="paragraph" w:customStyle="1" w:styleId="PANumListindent15">
    <w:name w:val="PA Num List indent 1.5"/>
    <w:basedOn w:val="Normal"/>
    <w:rsid w:val="00EC28C9"/>
    <w:pPr>
      <w:numPr>
        <w:numId w:val="22"/>
      </w:numPr>
      <w:spacing w:after="120"/>
      <w:jc w:val="both"/>
    </w:pPr>
    <w:rPr>
      <w:rFonts w:eastAsia="Times New Roman" w:cs="Times New Roman"/>
      <w:szCs w:val="20"/>
      <w:lang w:val="fr-FR"/>
    </w:rPr>
  </w:style>
  <w:style w:type="paragraph" w:customStyle="1" w:styleId="PANumListindent2">
    <w:name w:val="PA Num List indent 2"/>
    <w:basedOn w:val="Normal"/>
    <w:rsid w:val="00EC28C9"/>
    <w:pPr>
      <w:numPr>
        <w:numId w:val="23"/>
      </w:numPr>
      <w:spacing w:after="120"/>
      <w:jc w:val="both"/>
    </w:pPr>
    <w:rPr>
      <w:rFonts w:eastAsia="Times New Roman" w:cs="Times New Roman"/>
      <w:szCs w:val="20"/>
      <w:lang w:val="fr-FR"/>
    </w:rPr>
  </w:style>
  <w:style w:type="paragraph" w:customStyle="1" w:styleId="PARomanList">
    <w:name w:val="PA Roman List"/>
    <w:basedOn w:val="Normal"/>
    <w:rsid w:val="00EC28C9"/>
    <w:pPr>
      <w:numPr>
        <w:numId w:val="24"/>
      </w:numPr>
      <w:spacing w:after="120"/>
      <w:jc w:val="both"/>
    </w:pPr>
    <w:rPr>
      <w:rFonts w:eastAsia="Times New Roman" w:cs="Times New Roman"/>
      <w:szCs w:val="20"/>
      <w:lang w:val="fr-FR"/>
    </w:rPr>
  </w:style>
  <w:style w:type="paragraph" w:customStyle="1" w:styleId="PARomanListindent05">
    <w:name w:val="PA Roman List indent 0.5"/>
    <w:basedOn w:val="Normal"/>
    <w:rsid w:val="00EC28C9"/>
    <w:pPr>
      <w:numPr>
        <w:numId w:val="25"/>
      </w:numPr>
      <w:spacing w:after="120"/>
      <w:jc w:val="both"/>
    </w:pPr>
    <w:rPr>
      <w:rFonts w:eastAsia="Times New Roman" w:cs="Times New Roman"/>
      <w:szCs w:val="20"/>
      <w:lang w:val="fr-FR"/>
    </w:rPr>
  </w:style>
  <w:style w:type="paragraph" w:customStyle="1" w:styleId="PARomanListindent1">
    <w:name w:val="PA Roman List indent 1"/>
    <w:basedOn w:val="Normal"/>
    <w:rsid w:val="00EC28C9"/>
    <w:pPr>
      <w:numPr>
        <w:numId w:val="26"/>
      </w:numPr>
      <w:spacing w:after="120"/>
      <w:jc w:val="both"/>
    </w:pPr>
    <w:rPr>
      <w:rFonts w:eastAsia="Times New Roman" w:cs="Times New Roman"/>
      <w:szCs w:val="20"/>
      <w:lang w:val="fr-FR"/>
    </w:rPr>
  </w:style>
  <w:style w:type="paragraph" w:customStyle="1" w:styleId="PARomanListindent15">
    <w:name w:val="PA Roman List indent 1.5"/>
    <w:basedOn w:val="Normal"/>
    <w:rsid w:val="00EC28C9"/>
    <w:pPr>
      <w:numPr>
        <w:numId w:val="27"/>
      </w:numPr>
      <w:spacing w:after="120"/>
      <w:jc w:val="both"/>
    </w:pPr>
    <w:rPr>
      <w:rFonts w:eastAsia="Times New Roman" w:cs="Times New Roman"/>
      <w:szCs w:val="20"/>
      <w:lang w:val="fr-FR"/>
    </w:rPr>
  </w:style>
  <w:style w:type="paragraph" w:customStyle="1" w:styleId="PARomanListindent2">
    <w:name w:val="PA Roman List indent 2"/>
    <w:basedOn w:val="Normal"/>
    <w:rsid w:val="00EC28C9"/>
    <w:pPr>
      <w:numPr>
        <w:numId w:val="28"/>
      </w:numPr>
      <w:spacing w:after="120"/>
      <w:jc w:val="both"/>
    </w:pPr>
    <w:rPr>
      <w:rFonts w:eastAsia="Times New Roman" w:cs="Times New Roman"/>
      <w:szCs w:val="20"/>
      <w:lang w:val="fr-FR"/>
    </w:rPr>
  </w:style>
  <w:style w:type="paragraph" w:styleId="BalloonText">
    <w:name w:val="Balloon Text"/>
    <w:basedOn w:val="Normal"/>
    <w:link w:val="BalloonTextChar"/>
    <w:uiPriority w:val="99"/>
    <w:semiHidden/>
    <w:unhideWhenUsed/>
    <w:rsid w:val="00A762A8"/>
    <w:rPr>
      <w:rFonts w:ascii="Tahoma" w:hAnsi="Tahoma" w:cs="Tahoma"/>
      <w:sz w:val="16"/>
      <w:szCs w:val="16"/>
    </w:rPr>
  </w:style>
  <w:style w:type="character" w:customStyle="1" w:styleId="BalloonTextChar">
    <w:name w:val="Balloon Text Char"/>
    <w:basedOn w:val="DefaultParagraphFont"/>
    <w:link w:val="BalloonText"/>
    <w:uiPriority w:val="99"/>
    <w:semiHidden/>
    <w:rsid w:val="00A762A8"/>
    <w:rPr>
      <w:rFonts w:ascii="Tahoma" w:hAnsi="Tahoma" w:cs="Tahoma"/>
      <w:sz w:val="16"/>
      <w:szCs w:val="16"/>
    </w:rPr>
  </w:style>
  <w:style w:type="paragraph" w:styleId="Bibliography">
    <w:name w:val="Bibliography"/>
    <w:basedOn w:val="Normal"/>
    <w:next w:val="Normal"/>
    <w:uiPriority w:val="37"/>
    <w:semiHidden/>
    <w:unhideWhenUsed/>
    <w:rsid w:val="00A762A8"/>
  </w:style>
  <w:style w:type="paragraph" w:styleId="BodyTextFirstIndent">
    <w:name w:val="Body Text First Indent"/>
    <w:basedOn w:val="BodyText"/>
    <w:link w:val="BodyTextFirstIndentChar"/>
    <w:uiPriority w:val="99"/>
    <w:semiHidden/>
    <w:unhideWhenUsed/>
    <w:rsid w:val="00A762A8"/>
    <w:pPr>
      <w:spacing w:after="0"/>
      <w:ind w:firstLine="360"/>
    </w:pPr>
  </w:style>
  <w:style w:type="character" w:customStyle="1" w:styleId="BodyTextFirstIndentChar">
    <w:name w:val="Body Text First Indent Char"/>
    <w:basedOn w:val="BodyTextChar"/>
    <w:link w:val="BodyTextFirstIndent"/>
    <w:uiPriority w:val="99"/>
    <w:semiHidden/>
    <w:rsid w:val="00A762A8"/>
  </w:style>
  <w:style w:type="paragraph" w:styleId="BodyTextIndent">
    <w:name w:val="Body Text Indent"/>
    <w:basedOn w:val="Normal"/>
    <w:link w:val="BodyTextIndentChar"/>
    <w:uiPriority w:val="99"/>
    <w:semiHidden/>
    <w:unhideWhenUsed/>
    <w:rsid w:val="00A762A8"/>
    <w:pPr>
      <w:spacing w:after="120"/>
      <w:ind w:left="360"/>
    </w:pPr>
  </w:style>
  <w:style w:type="character" w:customStyle="1" w:styleId="BodyTextIndentChar">
    <w:name w:val="Body Text Indent Char"/>
    <w:basedOn w:val="DefaultParagraphFont"/>
    <w:link w:val="BodyTextIndent"/>
    <w:uiPriority w:val="99"/>
    <w:semiHidden/>
    <w:rsid w:val="00A762A8"/>
  </w:style>
  <w:style w:type="paragraph" w:styleId="BodyTextFirstIndent2">
    <w:name w:val="Body Text First Indent 2"/>
    <w:basedOn w:val="BodyTextIndent"/>
    <w:link w:val="BodyTextFirstIndent2Char"/>
    <w:uiPriority w:val="99"/>
    <w:semiHidden/>
    <w:unhideWhenUsed/>
    <w:rsid w:val="00A762A8"/>
    <w:pPr>
      <w:spacing w:after="0"/>
      <w:ind w:firstLine="360"/>
    </w:pPr>
  </w:style>
  <w:style w:type="character" w:customStyle="1" w:styleId="BodyTextFirstIndent2Char">
    <w:name w:val="Body Text First Indent 2 Char"/>
    <w:basedOn w:val="BodyTextIndentChar"/>
    <w:link w:val="BodyTextFirstIndent2"/>
    <w:uiPriority w:val="99"/>
    <w:semiHidden/>
    <w:rsid w:val="00A762A8"/>
  </w:style>
  <w:style w:type="paragraph" w:styleId="BodyTextIndent2">
    <w:name w:val="Body Text Indent 2"/>
    <w:basedOn w:val="Normal"/>
    <w:link w:val="BodyTextIndent2Char"/>
    <w:uiPriority w:val="99"/>
    <w:semiHidden/>
    <w:unhideWhenUsed/>
    <w:rsid w:val="00A762A8"/>
    <w:pPr>
      <w:spacing w:after="120" w:line="480" w:lineRule="auto"/>
      <w:ind w:left="360"/>
    </w:pPr>
  </w:style>
  <w:style w:type="character" w:customStyle="1" w:styleId="BodyTextIndent2Char">
    <w:name w:val="Body Text Indent 2 Char"/>
    <w:basedOn w:val="DefaultParagraphFont"/>
    <w:link w:val="BodyTextIndent2"/>
    <w:uiPriority w:val="99"/>
    <w:semiHidden/>
    <w:rsid w:val="00A762A8"/>
  </w:style>
  <w:style w:type="paragraph" w:styleId="BodyTextIndent3">
    <w:name w:val="Body Text Indent 3"/>
    <w:basedOn w:val="Normal"/>
    <w:link w:val="BodyTextIndent3Char"/>
    <w:uiPriority w:val="99"/>
    <w:semiHidden/>
    <w:unhideWhenUsed/>
    <w:rsid w:val="00A762A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762A8"/>
    <w:rPr>
      <w:sz w:val="16"/>
      <w:szCs w:val="16"/>
    </w:rPr>
  </w:style>
  <w:style w:type="character" w:styleId="BookTitle">
    <w:name w:val="Book Title"/>
    <w:basedOn w:val="DefaultParagraphFont"/>
    <w:uiPriority w:val="33"/>
    <w:rsid w:val="00A762A8"/>
    <w:rPr>
      <w:b/>
      <w:bCs/>
      <w:smallCaps/>
      <w:spacing w:val="5"/>
    </w:rPr>
  </w:style>
  <w:style w:type="paragraph" w:styleId="Caption">
    <w:name w:val="caption"/>
    <w:basedOn w:val="Normal"/>
    <w:next w:val="Normal"/>
    <w:uiPriority w:val="35"/>
    <w:semiHidden/>
    <w:unhideWhenUsed/>
    <w:qFormat/>
    <w:rsid w:val="00A762A8"/>
    <w:pPr>
      <w:spacing w:after="200"/>
    </w:pPr>
    <w:rPr>
      <w:b/>
      <w:bCs/>
      <w:color w:val="4F81BD" w:themeColor="accent1"/>
      <w:sz w:val="18"/>
      <w:szCs w:val="18"/>
    </w:rPr>
  </w:style>
  <w:style w:type="paragraph" w:styleId="Closing">
    <w:name w:val="Closing"/>
    <w:basedOn w:val="Normal"/>
    <w:link w:val="ClosingChar"/>
    <w:uiPriority w:val="99"/>
    <w:semiHidden/>
    <w:unhideWhenUsed/>
    <w:rsid w:val="00A762A8"/>
    <w:pPr>
      <w:ind w:left="4320"/>
    </w:pPr>
  </w:style>
  <w:style w:type="character" w:customStyle="1" w:styleId="ClosingChar">
    <w:name w:val="Closing Char"/>
    <w:basedOn w:val="DefaultParagraphFont"/>
    <w:link w:val="Closing"/>
    <w:uiPriority w:val="99"/>
    <w:semiHidden/>
    <w:rsid w:val="00A762A8"/>
  </w:style>
  <w:style w:type="character" w:styleId="CommentReference">
    <w:name w:val="annotation reference"/>
    <w:basedOn w:val="DefaultParagraphFont"/>
    <w:uiPriority w:val="99"/>
    <w:semiHidden/>
    <w:unhideWhenUsed/>
    <w:rsid w:val="00A762A8"/>
    <w:rPr>
      <w:sz w:val="16"/>
      <w:szCs w:val="16"/>
    </w:rPr>
  </w:style>
  <w:style w:type="paragraph" w:styleId="CommentText">
    <w:name w:val="annotation text"/>
    <w:basedOn w:val="Normal"/>
    <w:link w:val="CommentTextChar"/>
    <w:uiPriority w:val="99"/>
    <w:unhideWhenUsed/>
    <w:rsid w:val="00A762A8"/>
    <w:rPr>
      <w:sz w:val="20"/>
      <w:szCs w:val="20"/>
    </w:rPr>
  </w:style>
  <w:style w:type="character" w:customStyle="1" w:styleId="CommentTextChar">
    <w:name w:val="Comment Text Char"/>
    <w:basedOn w:val="DefaultParagraphFont"/>
    <w:link w:val="CommentText"/>
    <w:uiPriority w:val="99"/>
    <w:rsid w:val="00A762A8"/>
    <w:rPr>
      <w:sz w:val="20"/>
      <w:szCs w:val="20"/>
    </w:rPr>
  </w:style>
  <w:style w:type="paragraph" w:styleId="CommentSubject">
    <w:name w:val="annotation subject"/>
    <w:basedOn w:val="CommentText"/>
    <w:next w:val="CommentText"/>
    <w:link w:val="CommentSubjectChar"/>
    <w:uiPriority w:val="99"/>
    <w:semiHidden/>
    <w:unhideWhenUsed/>
    <w:rsid w:val="00A762A8"/>
    <w:rPr>
      <w:b/>
      <w:bCs/>
    </w:rPr>
  </w:style>
  <w:style w:type="character" w:customStyle="1" w:styleId="CommentSubjectChar">
    <w:name w:val="Comment Subject Char"/>
    <w:basedOn w:val="CommentTextChar"/>
    <w:link w:val="CommentSubject"/>
    <w:uiPriority w:val="99"/>
    <w:semiHidden/>
    <w:rsid w:val="00A762A8"/>
    <w:rPr>
      <w:b/>
      <w:bCs/>
      <w:sz w:val="20"/>
      <w:szCs w:val="20"/>
    </w:rPr>
  </w:style>
  <w:style w:type="paragraph" w:styleId="DocumentMap">
    <w:name w:val="Document Map"/>
    <w:basedOn w:val="Normal"/>
    <w:link w:val="DocumentMapChar"/>
    <w:uiPriority w:val="99"/>
    <w:semiHidden/>
    <w:unhideWhenUsed/>
    <w:rsid w:val="00A762A8"/>
    <w:rPr>
      <w:rFonts w:ascii="Tahoma" w:hAnsi="Tahoma" w:cs="Tahoma"/>
      <w:sz w:val="16"/>
      <w:szCs w:val="16"/>
    </w:rPr>
  </w:style>
  <w:style w:type="character" w:customStyle="1" w:styleId="DocumentMapChar">
    <w:name w:val="Document Map Char"/>
    <w:basedOn w:val="DefaultParagraphFont"/>
    <w:link w:val="DocumentMap"/>
    <w:uiPriority w:val="99"/>
    <w:semiHidden/>
    <w:rsid w:val="00A762A8"/>
    <w:rPr>
      <w:rFonts w:ascii="Tahoma" w:hAnsi="Tahoma" w:cs="Tahoma"/>
      <w:sz w:val="16"/>
      <w:szCs w:val="16"/>
    </w:rPr>
  </w:style>
  <w:style w:type="paragraph" w:styleId="E-mailSignature">
    <w:name w:val="E-mail Signature"/>
    <w:basedOn w:val="Normal"/>
    <w:link w:val="E-mailSignatureChar"/>
    <w:uiPriority w:val="99"/>
    <w:semiHidden/>
    <w:unhideWhenUsed/>
    <w:rsid w:val="00A762A8"/>
  </w:style>
  <w:style w:type="character" w:customStyle="1" w:styleId="E-mailSignatureChar">
    <w:name w:val="E-mail Signature Char"/>
    <w:basedOn w:val="DefaultParagraphFont"/>
    <w:link w:val="E-mailSignature"/>
    <w:uiPriority w:val="99"/>
    <w:semiHidden/>
    <w:rsid w:val="00A762A8"/>
  </w:style>
  <w:style w:type="character" w:styleId="Emphasis">
    <w:name w:val="Emphasis"/>
    <w:basedOn w:val="DefaultParagraphFont"/>
    <w:uiPriority w:val="20"/>
    <w:rsid w:val="00A762A8"/>
    <w:rPr>
      <w:i/>
      <w:iCs/>
    </w:rPr>
  </w:style>
  <w:style w:type="character" w:styleId="EndnoteReference">
    <w:name w:val="endnote reference"/>
    <w:basedOn w:val="DefaultParagraphFont"/>
    <w:uiPriority w:val="99"/>
    <w:semiHidden/>
    <w:unhideWhenUsed/>
    <w:rsid w:val="00A762A8"/>
    <w:rPr>
      <w:vertAlign w:val="superscript"/>
    </w:rPr>
  </w:style>
  <w:style w:type="character" w:styleId="FollowedHyperlink">
    <w:name w:val="FollowedHyperlink"/>
    <w:basedOn w:val="DefaultParagraphFont"/>
    <w:uiPriority w:val="99"/>
    <w:semiHidden/>
    <w:unhideWhenUsed/>
    <w:rsid w:val="00A762A8"/>
    <w:rPr>
      <w:color w:val="800080" w:themeColor="followedHyperlink"/>
      <w:u w:val="single"/>
    </w:rPr>
  </w:style>
  <w:style w:type="character" w:styleId="FootnoteReference">
    <w:name w:val="footnote reference"/>
    <w:basedOn w:val="DefaultParagraphFont"/>
    <w:uiPriority w:val="99"/>
    <w:semiHidden/>
    <w:unhideWhenUsed/>
    <w:rsid w:val="00A762A8"/>
    <w:rPr>
      <w:vertAlign w:val="superscript"/>
    </w:rPr>
  </w:style>
  <w:style w:type="character" w:styleId="HTMLAcronym">
    <w:name w:val="HTML Acronym"/>
    <w:basedOn w:val="DefaultParagraphFont"/>
    <w:uiPriority w:val="99"/>
    <w:semiHidden/>
    <w:unhideWhenUsed/>
    <w:rsid w:val="00A762A8"/>
  </w:style>
  <w:style w:type="paragraph" w:styleId="HTMLAddress">
    <w:name w:val="HTML Address"/>
    <w:basedOn w:val="Normal"/>
    <w:link w:val="HTMLAddressChar"/>
    <w:uiPriority w:val="99"/>
    <w:semiHidden/>
    <w:unhideWhenUsed/>
    <w:rsid w:val="00A762A8"/>
    <w:rPr>
      <w:i/>
      <w:iCs/>
    </w:rPr>
  </w:style>
  <w:style w:type="character" w:customStyle="1" w:styleId="HTMLAddressChar">
    <w:name w:val="HTML Address Char"/>
    <w:basedOn w:val="DefaultParagraphFont"/>
    <w:link w:val="HTMLAddress"/>
    <w:uiPriority w:val="99"/>
    <w:semiHidden/>
    <w:rsid w:val="00A762A8"/>
    <w:rPr>
      <w:i/>
      <w:iCs/>
    </w:rPr>
  </w:style>
  <w:style w:type="character" w:styleId="HTMLCite">
    <w:name w:val="HTML Cite"/>
    <w:basedOn w:val="DefaultParagraphFont"/>
    <w:uiPriority w:val="99"/>
    <w:semiHidden/>
    <w:unhideWhenUsed/>
    <w:rsid w:val="00A762A8"/>
    <w:rPr>
      <w:i/>
      <w:iCs/>
    </w:rPr>
  </w:style>
  <w:style w:type="character" w:styleId="HTMLCode">
    <w:name w:val="HTML Code"/>
    <w:basedOn w:val="DefaultParagraphFont"/>
    <w:uiPriority w:val="99"/>
    <w:semiHidden/>
    <w:unhideWhenUsed/>
    <w:rsid w:val="00A762A8"/>
    <w:rPr>
      <w:rFonts w:ascii="Consolas" w:hAnsi="Consolas" w:cs="Consolas"/>
      <w:sz w:val="20"/>
      <w:szCs w:val="20"/>
    </w:rPr>
  </w:style>
  <w:style w:type="character" w:styleId="HTMLDefinition">
    <w:name w:val="HTML Definition"/>
    <w:basedOn w:val="DefaultParagraphFont"/>
    <w:uiPriority w:val="99"/>
    <w:semiHidden/>
    <w:unhideWhenUsed/>
    <w:rsid w:val="00A762A8"/>
    <w:rPr>
      <w:i/>
      <w:iCs/>
    </w:rPr>
  </w:style>
  <w:style w:type="character" w:styleId="HTMLKeyboard">
    <w:name w:val="HTML Keyboard"/>
    <w:basedOn w:val="DefaultParagraphFont"/>
    <w:uiPriority w:val="99"/>
    <w:semiHidden/>
    <w:unhideWhenUsed/>
    <w:rsid w:val="00A762A8"/>
    <w:rPr>
      <w:rFonts w:ascii="Consolas" w:hAnsi="Consolas" w:cs="Consolas"/>
      <w:sz w:val="20"/>
      <w:szCs w:val="20"/>
    </w:rPr>
  </w:style>
  <w:style w:type="paragraph" w:styleId="HTMLPreformatted">
    <w:name w:val="HTML Preformatted"/>
    <w:basedOn w:val="Normal"/>
    <w:link w:val="HTMLPreformattedChar"/>
    <w:uiPriority w:val="99"/>
    <w:semiHidden/>
    <w:unhideWhenUsed/>
    <w:rsid w:val="00A762A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762A8"/>
    <w:rPr>
      <w:rFonts w:ascii="Consolas" w:hAnsi="Consolas" w:cs="Consolas"/>
      <w:sz w:val="20"/>
      <w:szCs w:val="20"/>
    </w:rPr>
  </w:style>
  <w:style w:type="character" w:styleId="HTMLSample">
    <w:name w:val="HTML Sample"/>
    <w:basedOn w:val="DefaultParagraphFont"/>
    <w:uiPriority w:val="99"/>
    <w:semiHidden/>
    <w:unhideWhenUsed/>
    <w:rsid w:val="00A762A8"/>
    <w:rPr>
      <w:rFonts w:ascii="Consolas" w:hAnsi="Consolas" w:cs="Consolas"/>
      <w:sz w:val="24"/>
      <w:szCs w:val="24"/>
    </w:rPr>
  </w:style>
  <w:style w:type="character" w:styleId="HTMLTypewriter">
    <w:name w:val="HTML Typewriter"/>
    <w:basedOn w:val="DefaultParagraphFont"/>
    <w:uiPriority w:val="99"/>
    <w:semiHidden/>
    <w:unhideWhenUsed/>
    <w:rsid w:val="00A762A8"/>
    <w:rPr>
      <w:rFonts w:ascii="Consolas" w:hAnsi="Consolas" w:cs="Consolas"/>
      <w:sz w:val="20"/>
      <w:szCs w:val="20"/>
    </w:rPr>
  </w:style>
  <w:style w:type="character" w:styleId="HTMLVariable">
    <w:name w:val="HTML Variable"/>
    <w:basedOn w:val="DefaultParagraphFont"/>
    <w:uiPriority w:val="99"/>
    <w:semiHidden/>
    <w:unhideWhenUsed/>
    <w:rsid w:val="00A762A8"/>
    <w:rPr>
      <w:i/>
      <w:iCs/>
    </w:rPr>
  </w:style>
  <w:style w:type="character" w:styleId="Hyperlink">
    <w:name w:val="Hyperlink"/>
    <w:basedOn w:val="DefaultParagraphFont"/>
    <w:uiPriority w:val="99"/>
    <w:unhideWhenUsed/>
    <w:rsid w:val="00A762A8"/>
    <w:rPr>
      <w:color w:val="0000FF" w:themeColor="hyperlink"/>
      <w:u w:val="single"/>
    </w:rPr>
  </w:style>
  <w:style w:type="paragraph" w:styleId="Index2">
    <w:name w:val="index 2"/>
    <w:basedOn w:val="Normal"/>
    <w:next w:val="Normal"/>
    <w:autoRedefine/>
    <w:uiPriority w:val="99"/>
    <w:semiHidden/>
    <w:unhideWhenUsed/>
    <w:rsid w:val="00A762A8"/>
    <w:pPr>
      <w:ind w:left="480" w:hanging="240"/>
    </w:pPr>
  </w:style>
  <w:style w:type="paragraph" w:styleId="Index3">
    <w:name w:val="index 3"/>
    <w:basedOn w:val="Normal"/>
    <w:next w:val="Normal"/>
    <w:autoRedefine/>
    <w:uiPriority w:val="99"/>
    <w:semiHidden/>
    <w:unhideWhenUsed/>
    <w:rsid w:val="00A762A8"/>
    <w:pPr>
      <w:ind w:left="720" w:hanging="240"/>
    </w:pPr>
  </w:style>
  <w:style w:type="paragraph" w:styleId="Index4">
    <w:name w:val="index 4"/>
    <w:basedOn w:val="Normal"/>
    <w:next w:val="Normal"/>
    <w:autoRedefine/>
    <w:uiPriority w:val="99"/>
    <w:semiHidden/>
    <w:unhideWhenUsed/>
    <w:rsid w:val="00A762A8"/>
    <w:pPr>
      <w:ind w:left="960" w:hanging="240"/>
    </w:pPr>
  </w:style>
  <w:style w:type="paragraph" w:styleId="Index5">
    <w:name w:val="index 5"/>
    <w:basedOn w:val="Normal"/>
    <w:next w:val="Normal"/>
    <w:autoRedefine/>
    <w:uiPriority w:val="99"/>
    <w:semiHidden/>
    <w:unhideWhenUsed/>
    <w:rsid w:val="00A762A8"/>
    <w:pPr>
      <w:ind w:left="1200" w:hanging="240"/>
    </w:pPr>
  </w:style>
  <w:style w:type="paragraph" w:styleId="Index6">
    <w:name w:val="index 6"/>
    <w:basedOn w:val="Normal"/>
    <w:next w:val="Normal"/>
    <w:autoRedefine/>
    <w:uiPriority w:val="99"/>
    <w:semiHidden/>
    <w:unhideWhenUsed/>
    <w:rsid w:val="00A762A8"/>
    <w:pPr>
      <w:ind w:left="1440" w:hanging="240"/>
    </w:pPr>
  </w:style>
  <w:style w:type="paragraph" w:styleId="Index7">
    <w:name w:val="index 7"/>
    <w:basedOn w:val="Normal"/>
    <w:next w:val="Normal"/>
    <w:autoRedefine/>
    <w:uiPriority w:val="99"/>
    <w:semiHidden/>
    <w:unhideWhenUsed/>
    <w:rsid w:val="00A762A8"/>
    <w:pPr>
      <w:ind w:left="1680" w:hanging="240"/>
    </w:pPr>
  </w:style>
  <w:style w:type="paragraph" w:styleId="Index8">
    <w:name w:val="index 8"/>
    <w:basedOn w:val="Normal"/>
    <w:next w:val="Normal"/>
    <w:autoRedefine/>
    <w:uiPriority w:val="99"/>
    <w:semiHidden/>
    <w:unhideWhenUsed/>
    <w:rsid w:val="00A762A8"/>
    <w:pPr>
      <w:ind w:left="1920" w:hanging="240"/>
    </w:pPr>
  </w:style>
  <w:style w:type="paragraph" w:styleId="Index9">
    <w:name w:val="index 9"/>
    <w:basedOn w:val="Normal"/>
    <w:next w:val="Normal"/>
    <w:autoRedefine/>
    <w:uiPriority w:val="99"/>
    <w:semiHidden/>
    <w:unhideWhenUsed/>
    <w:rsid w:val="00A762A8"/>
    <w:pPr>
      <w:ind w:left="2160" w:hanging="240"/>
    </w:pPr>
  </w:style>
  <w:style w:type="character" w:styleId="IntenseEmphasis">
    <w:name w:val="Intense Emphasis"/>
    <w:basedOn w:val="DefaultParagraphFont"/>
    <w:uiPriority w:val="21"/>
    <w:rsid w:val="00A762A8"/>
    <w:rPr>
      <w:b/>
      <w:bCs/>
      <w:i/>
      <w:iCs/>
      <w:color w:val="4F81BD" w:themeColor="accent1"/>
    </w:rPr>
  </w:style>
  <w:style w:type="paragraph" w:styleId="IntenseQuote">
    <w:name w:val="Intense Quote"/>
    <w:basedOn w:val="Normal"/>
    <w:next w:val="Normal"/>
    <w:link w:val="IntenseQuoteChar"/>
    <w:uiPriority w:val="30"/>
    <w:rsid w:val="00A762A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762A8"/>
    <w:rPr>
      <w:b/>
      <w:bCs/>
      <w:i/>
      <w:iCs/>
      <w:color w:val="4F81BD" w:themeColor="accent1"/>
    </w:rPr>
  </w:style>
  <w:style w:type="character" w:styleId="IntenseReference">
    <w:name w:val="Intense Reference"/>
    <w:basedOn w:val="DefaultParagraphFont"/>
    <w:uiPriority w:val="32"/>
    <w:rsid w:val="00A762A8"/>
    <w:rPr>
      <w:b/>
      <w:bCs/>
      <w:smallCaps/>
      <w:color w:val="C0504D" w:themeColor="accent2"/>
      <w:spacing w:val="5"/>
      <w:u w:val="single"/>
    </w:rPr>
  </w:style>
  <w:style w:type="character" w:styleId="LineNumber">
    <w:name w:val="line number"/>
    <w:basedOn w:val="DefaultParagraphFont"/>
    <w:uiPriority w:val="99"/>
    <w:semiHidden/>
    <w:unhideWhenUsed/>
    <w:rsid w:val="00A762A8"/>
  </w:style>
  <w:style w:type="paragraph" w:styleId="MacroText">
    <w:name w:val="macro"/>
    <w:link w:val="MacroTextChar"/>
    <w:uiPriority w:val="99"/>
    <w:semiHidden/>
    <w:unhideWhenUsed/>
    <w:rsid w:val="00A762A8"/>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A762A8"/>
    <w:rPr>
      <w:rFonts w:ascii="Consolas" w:hAnsi="Consolas" w:cs="Consolas"/>
      <w:sz w:val="20"/>
      <w:szCs w:val="20"/>
    </w:rPr>
  </w:style>
  <w:style w:type="paragraph" w:styleId="NoSpacing">
    <w:name w:val="No Spacing"/>
    <w:link w:val="NoSpacingChar"/>
    <w:uiPriority w:val="1"/>
    <w:qFormat/>
    <w:rsid w:val="00A762A8"/>
  </w:style>
  <w:style w:type="paragraph" w:styleId="NormalWeb">
    <w:name w:val="Normal (Web)"/>
    <w:basedOn w:val="Normal"/>
    <w:uiPriority w:val="99"/>
    <w:semiHidden/>
    <w:unhideWhenUsed/>
    <w:rsid w:val="00A762A8"/>
    <w:rPr>
      <w:rFonts w:cs="Times New Roman"/>
    </w:rPr>
  </w:style>
  <w:style w:type="paragraph" w:styleId="NormalIndent">
    <w:name w:val="Normal Indent"/>
    <w:basedOn w:val="Normal"/>
    <w:uiPriority w:val="99"/>
    <w:semiHidden/>
    <w:unhideWhenUsed/>
    <w:rsid w:val="00A762A8"/>
    <w:pPr>
      <w:ind w:left="720"/>
    </w:pPr>
  </w:style>
  <w:style w:type="paragraph" w:styleId="NoteHeading">
    <w:name w:val="Note Heading"/>
    <w:basedOn w:val="Normal"/>
    <w:next w:val="Normal"/>
    <w:link w:val="NoteHeadingChar"/>
    <w:uiPriority w:val="99"/>
    <w:semiHidden/>
    <w:unhideWhenUsed/>
    <w:rsid w:val="00A762A8"/>
  </w:style>
  <w:style w:type="character" w:customStyle="1" w:styleId="NoteHeadingChar">
    <w:name w:val="Note Heading Char"/>
    <w:basedOn w:val="DefaultParagraphFont"/>
    <w:link w:val="NoteHeading"/>
    <w:uiPriority w:val="99"/>
    <w:semiHidden/>
    <w:rsid w:val="00A762A8"/>
  </w:style>
  <w:style w:type="character" w:styleId="PageNumber">
    <w:name w:val="page number"/>
    <w:basedOn w:val="DefaultParagraphFont"/>
    <w:uiPriority w:val="99"/>
    <w:semiHidden/>
    <w:unhideWhenUsed/>
    <w:rsid w:val="00A762A8"/>
  </w:style>
  <w:style w:type="character" w:styleId="PlaceholderText">
    <w:name w:val="Placeholder Text"/>
    <w:basedOn w:val="DefaultParagraphFont"/>
    <w:uiPriority w:val="99"/>
    <w:semiHidden/>
    <w:rsid w:val="00A762A8"/>
    <w:rPr>
      <w:color w:val="808080"/>
    </w:rPr>
  </w:style>
  <w:style w:type="paragraph" w:styleId="PlainText">
    <w:name w:val="Plain Text"/>
    <w:basedOn w:val="Normal"/>
    <w:link w:val="PlainTextChar"/>
    <w:uiPriority w:val="99"/>
    <w:semiHidden/>
    <w:unhideWhenUsed/>
    <w:rsid w:val="00A762A8"/>
    <w:rPr>
      <w:rFonts w:ascii="Consolas" w:hAnsi="Consolas" w:cs="Consolas"/>
      <w:sz w:val="21"/>
      <w:szCs w:val="21"/>
    </w:rPr>
  </w:style>
  <w:style w:type="character" w:customStyle="1" w:styleId="PlainTextChar">
    <w:name w:val="Plain Text Char"/>
    <w:basedOn w:val="DefaultParagraphFont"/>
    <w:link w:val="PlainText"/>
    <w:uiPriority w:val="99"/>
    <w:semiHidden/>
    <w:rsid w:val="00A762A8"/>
    <w:rPr>
      <w:rFonts w:ascii="Consolas" w:hAnsi="Consolas" w:cs="Consolas"/>
      <w:sz w:val="21"/>
      <w:szCs w:val="21"/>
    </w:rPr>
  </w:style>
  <w:style w:type="paragraph" w:styleId="Quote">
    <w:name w:val="Quote"/>
    <w:basedOn w:val="Normal"/>
    <w:next w:val="Normal"/>
    <w:link w:val="QuoteChar"/>
    <w:uiPriority w:val="29"/>
    <w:unhideWhenUsed/>
    <w:rsid w:val="00A762A8"/>
    <w:rPr>
      <w:i/>
      <w:iCs/>
      <w:color w:val="000000" w:themeColor="text1"/>
    </w:rPr>
  </w:style>
  <w:style w:type="character" w:customStyle="1" w:styleId="QuoteChar">
    <w:name w:val="Quote Char"/>
    <w:basedOn w:val="DefaultParagraphFont"/>
    <w:link w:val="Quote"/>
    <w:uiPriority w:val="29"/>
    <w:rsid w:val="00A762A8"/>
    <w:rPr>
      <w:i/>
      <w:iCs/>
      <w:color w:val="000000" w:themeColor="text1"/>
    </w:rPr>
  </w:style>
  <w:style w:type="paragraph" w:styleId="Salutation">
    <w:name w:val="Salutation"/>
    <w:basedOn w:val="Normal"/>
    <w:next w:val="Normal"/>
    <w:link w:val="SalutationChar"/>
    <w:uiPriority w:val="99"/>
    <w:semiHidden/>
    <w:unhideWhenUsed/>
    <w:rsid w:val="00A762A8"/>
  </w:style>
  <w:style w:type="character" w:customStyle="1" w:styleId="SalutationChar">
    <w:name w:val="Salutation Char"/>
    <w:basedOn w:val="DefaultParagraphFont"/>
    <w:link w:val="Salutation"/>
    <w:uiPriority w:val="99"/>
    <w:semiHidden/>
    <w:rsid w:val="00A762A8"/>
  </w:style>
  <w:style w:type="paragraph" w:styleId="Signature">
    <w:name w:val="Signature"/>
    <w:basedOn w:val="Normal"/>
    <w:link w:val="SignatureChar"/>
    <w:uiPriority w:val="99"/>
    <w:semiHidden/>
    <w:unhideWhenUsed/>
    <w:rsid w:val="00A762A8"/>
    <w:pPr>
      <w:ind w:left="4320"/>
    </w:pPr>
  </w:style>
  <w:style w:type="character" w:customStyle="1" w:styleId="SignatureChar">
    <w:name w:val="Signature Char"/>
    <w:basedOn w:val="DefaultParagraphFont"/>
    <w:link w:val="Signature"/>
    <w:uiPriority w:val="99"/>
    <w:semiHidden/>
    <w:rsid w:val="00A762A8"/>
  </w:style>
  <w:style w:type="character" w:styleId="Strong">
    <w:name w:val="Strong"/>
    <w:basedOn w:val="DefaultParagraphFont"/>
    <w:uiPriority w:val="22"/>
    <w:qFormat/>
    <w:rsid w:val="00A762A8"/>
    <w:rPr>
      <w:b/>
      <w:bCs/>
    </w:rPr>
  </w:style>
  <w:style w:type="character" w:styleId="SubtleEmphasis">
    <w:name w:val="Subtle Emphasis"/>
    <w:basedOn w:val="DefaultParagraphFont"/>
    <w:uiPriority w:val="19"/>
    <w:rsid w:val="00A762A8"/>
    <w:rPr>
      <w:i/>
      <w:iCs/>
      <w:color w:val="808080" w:themeColor="text1" w:themeTint="7F"/>
    </w:rPr>
  </w:style>
  <w:style w:type="character" w:styleId="SubtleReference">
    <w:name w:val="Subtle Reference"/>
    <w:basedOn w:val="DefaultParagraphFont"/>
    <w:uiPriority w:val="31"/>
    <w:rsid w:val="00A762A8"/>
    <w:rPr>
      <w:smallCaps/>
      <w:color w:val="C0504D" w:themeColor="accent2"/>
      <w:u w:val="single"/>
    </w:rPr>
  </w:style>
  <w:style w:type="paragraph" w:styleId="TableofAuthorities">
    <w:name w:val="table of authorities"/>
    <w:basedOn w:val="Normal"/>
    <w:next w:val="Normal"/>
    <w:uiPriority w:val="99"/>
    <w:semiHidden/>
    <w:unhideWhenUsed/>
    <w:rsid w:val="00A762A8"/>
    <w:pPr>
      <w:ind w:left="240" w:hanging="240"/>
    </w:pPr>
  </w:style>
  <w:style w:type="paragraph" w:styleId="TableofFigures">
    <w:name w:val="table of figures"/>
    <w:basedOn w:val="Normal"/>
    <w:next w:val="Normal"/>
    <w:uiPriority w:val="99"/>
    <w:semiHidden/>
    <w:unhideWhenUsed/>
    <w:rsid w:val="00A762A8"/>
  </w:style>
  <w:style w:type="paragraph" w:customStyle="1" w:styleId="TitleSlug">
    <w:name w:val="Title Slug"/>
    <w:basedOn w:val="Normal"/>
    <w:rsid w:val="00BF0519"/>
    <w:pPr>
      <w:pBdr>
        <w:top w:val="thinThickSmallGap" w:sz="24" w:space="1" w:color="auto"/>
      </w:pBdr>
    </w:pPr>
  </w:style>
  <w:style w:type="paragraph" w:styleId="ListParagraph">
    <w:name w:val="List Paragraph"/>
    <w:basedOn w:val="Normal"/>
    <w:uiPriority w:val="34"/>
    <w:qFormat/>
    <w:rsid w:val="00CE5DE6"/>
    <w:pPr>
      <w:ind w:left="720"/>
      <w:contextualSpacing/>
    </w:pPr>
  </w:style>
  <w:style w:type="paragraph" w:customStyle="1" w:styleId="aList">
    <w:name w:val="(a) List"/>
    <w:basedOn w:val="Normal"/>
    <w:rsid w:val="00E25FD1"/>
    <w:pPr>
      <w:spacing w:after="240" w:line="246" w:lineRule="atLeast"/>
      <w:ind w:left="2520" w:hanging="720"/>
      <w:jc w:val="both"/>
    </w:pPr>
  </w:style>
  <w:style w:type="paragraph" w:customStyle="1" w:styleId="1List">
    <w:name w:val="(1) List"/>
    <w:basedOn w:val="Normal"/>
    <w:rsid w:val="00036C5A"/>
    <w:pPr>
      <w:spacing w:after="240" w:line="246" w:lineRule="atLeast"/>
      <w:ind w:left="1800" w:hanging="864"/>
      <w:jc w:val="both"/>
    </w:pPr>
  </w:style>
  <w:style w:type="paragraph" w:customStyle="1" w:styleId="TitleL5">
    <w:name w:val="Title L .5"/>
    <w:basedOn w:val="Normal"/>
    <w:rsid w:val="00702A7E"/>
    <w:pPr>
      <w:keepNext/>
      <w:spacing w:after="240" w:line="246" w:lineRule="atLeast"/>
      <w:ind w:left="936"/>
    </w:pPr>
    <w:rPr>
      <w:b/>
      <w:bCs/>
    </w:rPr>
  </w:style>
  <w:style w:type="paragraph" w:customStyle="1" w:styleId="1List0">
    <w:name w:val="1. List"/>
    <w:basedOn w:val="Normal"/>
    <w:rsid w:val="00702A7E"/>
    <w:pPr>
      <w:spacing w:after="240" w:line="246" w:lineRule="atLeast"/>
      <w:ind w:left="1656" w:hanging="720"/>
      <w:jc w:val="both"/>
    </w:pPr>
    <w:rPr>
      <w:szCs w:val="20"/>
    </w:rPr>
  </w:style>
  <w:style w:type="paragraph" w:customStyle="1" w:styleId="aList0">
    <w:name w:val="a. List"/>
    <w:basedOn w:val="aList"/>
    <w:rsid w:val="00B61E82"/>
    <w:pPr>
      <w:ind w:left="2340" w:hanging="684"/>
    </w:pPr>
  </w:style>
  <w:style w:type="table" w:styleId="TableGrid">
    <w:name w:val="Table Grid"/>
    <w:basedOn w:val="TableNormal"/>
    <w:uiPriority w:val="39"/>
    <w:rsid w:val="003E19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List">
    <w:name w:val="(i) List"/>
    <w:basedOn w:val="Normal"/>
    <w:rsid w:val="00036C5A"/>
    <w:pPr>
      <w:spacing w:after="240" w:line="246" w:lineRule="atLeast"/>
      <w:ind w:left="3240" w:hanging="720"/>
      <w:jc w:val="both"/>
    </w:pPr>
  </w:style>
  <w:style w:type="paragraph" w:customStyle="1" w:styleId="Lista2">
    <w:name w:val="List a. 2"/>
    <w:basedOn w:val="Normal"/>
    <w:rsid w:val="0079042A"/>
    <w:pPr>
      <w:spacing w:after="240" w:line="246" w:lineRule="atLeast"/>
      <w:ind w:left="1656" w:hanging="720"/>
      <w:jc w:val="both"/>
    </w:pPr>
  </w:style>
  <w:style w:type="paragraph" w:customStyle="1" w:styleId="TitleL5Guidence">
    <w:name w:val="Title L .5 Guidence"/>
    <w:basedOn w:val="Normal"/>
    <w:rsid w:val="0097615D"/>
  </w:style>
  <w:style w:type="character" w:customStyle="1" w:styleId="NoSpacingChar">
    <w:name w:val="No Spacing Char"/>
    <w:basedOn w:val="DefaultParagraphFont"/>
    <w:link w:val="NoSpacing"/>
    <w:uiPriority w:val="1"/>
    <w:rsid w:val="00F73156"/>
  </w:style>
  <w:style w:type="paragraph" w:customStyle="1" w:styleId="TOCPage">
    <w:name w:val="TOC Page"/>
    <w:basedOn w:val="Normal"/>
    <w:rsid w:val="00FC13C5"/>
    <w:pPr>
      <w:spacing w:after="240"/>
      <w:jc w:val="right"/>
    </w:pPr>
    <w:rPr>
      <w:rFonts w:eastAsia="Times New Roman" w:cs="Times New Roman"/>
      <w:b/>
      <w:szCs w:val="20"/>
    </w:rPr>
  </w:style>
  <w:style w:type="paragraph" w:customStyle="1" w:styleId="List2TabStops">
    <w:name w:val="List 2 Tab Stops"/>
    <w:basedOn w:val="Normal"/>
    <w:rsid w:val="001D72F4"/>
    <w:pPr>
      <w:tabs>
        <w:tab w:val="left" w:pos="936"/>
        <w:tab w:val="left" w:pos="1791"/>
      </w:tabs>
      <w:spacing w:after="240" w:line="246" w:lineRule="atLeast"/>
      <w:ind w:left="1800" w:hanging="1800"/>
      <w:jc w:val="both"/>
    </w:pPr>
  </w:style>
  <w:style w:type="paragraph" w:customStyle="1" w:styleId="A1List">
    <w:name w:val="A1. List"/>
    <w:basedOn w:val="Normal"/>
    <w:rsid w:val="001D72F4"/>
    <w:pPr>
      <w:tabs>
        <w:tab w:val="left" w:pos="990"/>
      </w:tabs>
      <w:spacing w:after="240" w:line="246" w:lineRule="atLeast"/>
      <w:ind w:left="994" w:hanging="994"/>
      <w:jc w:val="both"/>
    </w:pPr>
  </w:style>
  <w:style w:type="paragraph" w:customStyle="1" w:styleId="ListCapsA">
    <w:name w:val="List Caps A."/>
    <w:basedOn w:val="Normal"/>
    <w:rsid w:val="001D72F4"/>
    <w:pPr>
      <w:spacing w:after="240" w:line="246" w:lineRule="atLeast"/>
      <w:ind w:left="4133" w:hanging="907"/>
      <w:jc w:val="both"/>
    </w:pPr>
  </w:style>
  <w:style w:type="character" w:customStyle="1" w:styleId="me">
    <w:name w:val="me"/>
    <w:basedOn w:val="DefaultParagraphFont"/>
    <w:rsid w:val="00CC4B1E"/>
  </w:style>
  <w:style w:type="character" w:customStyle="1" w:styleId="us">
    <w:name w:val="us"/>
    <w:basedOn w:val="DefaultParagraphFont"/>
    <w:rsid w:val="000777FB"/>
  </w:style>
  <w:style w:type="character" w:customStyle="1" w:styleId="highlighter1">
    <w:name w:val="highlighter1"/>
    <w:basedOn w:val="DefaultParagraphFont"/>
    <w:rsid w:val="0009351B"/>
    <w:rPr>
      <w:color w:val="FF0000"/>
    </w:rPr>
  </w:style>
  <w:style w:type="paragraph" w:customStyle="1" w:styleId="UK12Title2">
    <w:name w:val="UK12 Title 2"/>
    <w:basedOn w:val="TitleL"/>
    <w:qFormat/>
    <w:rsid w:val="004F0272"/>
    <w:pPr>
      <w:tabs>
        <w:tab w:val="left" w:pos="994"/>
      </w:tabs>
      <w:ind w:left="994" w:hanging="994"/>
      <w:jc w:val="both"/>
    </w:pPr>
    <w:rPr>
      <w:lang w:val="en-GB"/>
    </w:rPr>
  </w:style>
  <w:style w:type="paragraph" w:customStyle="1" w:styleId="Default">
    <w:name w:val="Default"/>
    <w:rsid w:val="008A6373"/>
    <w:pPr>
      <w:autoSpaceDE w:val="0"/>
      <w:autoSpaceDN w:val="0"/>
      <w:adjustRightInd w:val="0"/>
    </w:pPr>
    <w:rPr>
      <w:rFonts w:ascii="Arial" w:hAnsi="Arial" w:cs="Arial"/>
      <w:color w:val="000000"/>
      <w:lang w:val="en-GB"/>
    </w:rPr>
  </w:style>
  <w:style w:type="paragraph" w:styleId="Revision">
    <w:name w:val="Revision"/>
    <w:hidden/>
    <w:uiPriority w:val="99"/>
    <w:semiHidden/>
    <w:rsid w:val="003C1D71"/>
  </w:style>
  <w:style w:type="paragraph" w:customStyle="1" w:styleId="Body">
    <w:name w:val="Body"/>
    <w:rsid w:val="00BE787D"/>
    <w:pPr>
      <w:pBdr>
        <w:top w:val="nil"/>
        <w:left w:val="nil"/>
        <w:bottom w:val="nil"/>
        <w:right w:val="nil"/>
        <w:between w:val="nil"/>
        <w:bar w:val="nil"/>
      </w:pBdr>
      <w:spacing w:after="280" w:line="280" w:lineRule="exact"/>
    </w:pPr>
    <w:rPr>
      <w:rFonts w:ascii="Calibri" w:eastAsia="Arial Unicode MS" w:hAnsi="Arial Unicode MS" w:cs="Arial Unicode MS"/>
      <w:color w:val="000000"/>
      <w:sz w:val="22"/>
      <w:szCs w:val="22"/>
      <w:u w:color="000000"/>
      <w:bdr w:val="nil"/>
    </w:rPr>
  </w:style>
  <w:style w:type="character" w:customStyle="1" w:styleId="BodyTextNumberedChar">
    <w:name w:val="Body Text Numbered Char"/>
    <w:basedOn w:val="DefaultParagraphFont"/>
    <w:link w:val="BodyTextNumbered"/>
    <w:rsid w:val="002128C2"/>
  </w:style>
  <w:style w:type="paragraph" w:customStyle="1" w:styleId="BlockText125">
    <w:name w:val="Block Text 1.25"/>
    <w:basedOn w:val="Normal"/>
    <w:rsid w:val="002303FA"/>
    <w:pPr>
      <w:spacing w:after="240" w:line="246" w:lineRule="atLeast"/>
      <w:ind w:left="1800"/>
    </w:pPr>
    <w:rPr>
      <w:rFonts w:ascii="Calibri" w:eastAsia="MS Mincho" w:hAnsi="Calibri"/>
      <w:sz w:val="22"/>
    </w:rPr>
  </w:style>
  <w:style w:type="table" w:customStyle="1" w:styleId="TableGrid1">
    <w:name w:val="Table Grid1"/>
    <w:basedOn w:val="TableNormal"/>
    <w:next w:val="TableGrid"/>
    <w:uiPriority w:val="39"/>
    <w:rsid w:val="00CB10AC"/>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
    <w:name w:val="Body Text B"/>
    <w:basedOn w:val="Normal"/>
    <w:rsid w:val="00643202"/>
    <w:pPr>
      <w:keepNext/>
      <w:spacing w:after="240" w:line="246" w:lineRule="atLeast"/>
      <w:ind w:left="1080"/>
      <w:jc w:val="both"/>
    </w:pPr>
    <w:rPr>
      <w:rFonts w:ascii="Calibri" w:eastAsia="MS Mincho" w:hAnsi="Calibri" w:cs="Times New Roman"/>
      <w:b/>
      <w:bCs/>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7959">
      <w:bodyDiv w:val="1"/>
      <w:marLeft w:val="0"/>
      <w:marRight w:val="0"/>
      <w:marTop w:val="0"/>
      <w:marBottom w:val="0"/>
      <w:divBdr>
        <w:top w:val="none" w:sz="0" w:space="0" w:color="auto"/>
        <w:left w:val="none" w:sz="0" w:space="0" w:color="auto"/>
        <w:bottom w:val="none" w:sz="0" w:space="0" w:color="auto"/>
        <w:right w:val="none" w:sz="0" w:space="0" w:color="auto"/>
      </w:divBdr>
    </w:div>
    <w:div w:id="934478407">
      <w:bodyDiv w:val="1"/>
      <w:marLeft w:val="0"/>
      <w:marRight w:val="0"/>
      <w:marTop w:val="0"/>
      <w:marBottom w:val="0"/>
      <w:divBdr>
        <w:top w:val="none" w:sz="0" w:space="0" w:color="auto"/>
        <w:left w:val="none" w:sz="0" w:space="0" w:color="auto"/>
        <w:bottom w:val="none" w:sz="0" w:space="0" w:color="auto"/>
        <w:right w:val="none" w:sz="0" w:space="0" w:color="auto"/>
      </w:divBdr>
    </w:div>
    <w:div w:id="1124075668">
      <w:bodyDiv w:val="1"/>
      <w:marLeft w:val="0"/>
      <w:marRight w:val="0"/>
      <w:marTop w:val="0"/>
      <w:marBottom w:val="0"/>
      <w:divBdr>
        <w:top w:val="none" w:sz="0" w:space="0" w:color="auto"/>
        <w:left w:val="none" w:sz="0" w:space="0" w:color="auto"/>
        <w:bottom w:val="none" w:sz="0" w:space="0" w:color="auto"/>
        <w:right w:val="none" w:sz="0" w:space="0" w:color="auto"/>
      </w:divBdr>
    </w:div>
    <w:div w:id="1900629109">
      <w:bodyDiv w:val="1"/>
      <w:marLeft w:val="0"/>
      <w:marRight w:val="0"/>
      <w:marTop w:val="0"/>
      <w:marBottom w:val="0"/>
      <w:divBdr>
        <w:top w:val="none" w:sz="0" w:space="0" w:color="auto"/>
        <w:left w:val="none" w:sz="0" w:space="0" w:color="auto"/>
        <w:bottom w:val="none" w:sz="0" w:space="0" w:color="auto"/>
        <w:right w:val="none" w:sz="0" w:space="0" w:color="auto"/>
      </w:divBdr>
    </w:div>
    <w:div w:id="1992249961">
      <w:bodyDiv w:val="1"/>
      <w:marLeft w:val="0"/>
      <w:marRight w:val="0"/>
      <w:marTop w:val="0"/>
      <w:marBottom w:val="0"/>
      <w:divBdr>
        <w:top w:val="none" w:sz="0" w:space="0" w:color="auto"/>
        <w:left w:val="none" w:sz="0" w:space="0" w:color="auto"/>
        <w:bottom w:val="none" w:sz="0" w:space="0" w:color="auto"/>
        <w:right w:val="none" w:sz="0" w:space="0" w:color="auto"/>
      </w:divBdr>
    </w:div>
    <w:div w:id="208131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6.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footer" Target="footer10.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S&amp;S%20Templates\Blank%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21F94-ECB2-40CB-BA52-41DEBCF98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A-4</Template>
  <TotalTime>9</TotalTime>
  <Pages>408</Pages>
  <Words>127573</Words>
  <Characters>727167</Characters>
  <Application>Microsoft Office Word</Application>
  <DocSecurity>0</DocSecurity>
  <Lines>6059</Lines>
  <Paragraphs>1706</Paragraphs>
  <ScaleCrop>false</ScaleCrop>
  <HeadingPairs>
    <vt:vector size="2" baseType="variant">
      <vt:variant>
        <vt:lpstr>Title</vt:lpstr>
      </vt:variant>
      <vt:variant>
        <vt:i4>1</vt:i4>
      </vt:variant>
    </vt:vector>
  </HeadingPairs>
  <TitlesOfParts>
    <vt:vector size="1" baseType="lpstr">
      <vt:lpstr/>
    </vt:vector>
  </TitlesOfParts>
  <Company>Shearman &amp; Sterling LLP</Company>
  <LinksUpToDate>false</LinksUpToDate>
  <CharactersWithSpaces>853034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dc:creator>
  <cp:keywords/>
  <dc:description/>
  <cp:lastModifiedBy>Michaela Crawford</cp:lastModifiedBy>
  <cp:revision>9</cp:revision>
  <cp:lastPrinted>2023-12-13T09:58:00Z</cp:lastPrinted>
  <dcterms:created xsi:type="dcterms:W3CDTF">2023-11-14T14:14:00Z</dcterms:created>
  <dcterms:modified xsi:type="dcterms:W3CDTF">2023-12-13T09:58:00Z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LNDOCS01/1050650.4</vt:lpwstr>
  </property>
  <property fmtid="{D5CDD505-2E9C-101B-9397-08002B2CF9AE}" pid="3" name="DocumentType">
    <vt:lpwstr>pcgBlank</vt:lpwstr>
  </property>
</Properties>
</file>