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FF9B" w14:textId="77777777" w:rsidR="00E7099B" w:rsidRPr="003166B1" w:rsidRDefault="00E7099B" w:rsidP="000670CD">
      <w:pPr>
        <w:spacing w:line="360" w:lineRule="auto"/>
        <w:rPr>
          <w:rFonts w:eastAsia="Times New Roman" w:cstheme="minorHAnsi"/>
        </w:rPr>
      </w:pPr>
    </w:p>
    <w:p w14:paraId="6418BF8A" w14:textId="77777777" w:rsidR="00E7099B" w:rsidRPr="003166B1" w:rsidRDefault="00E7099B" w:rsidP="000670CD">
      <w:pPr>
        <w:spacing w:line="360" w:lineRule="auto"/>
        <w:rPr>
          <w:rFonts w:eastAsia="Times New Roman" w:cstheme="minorHAnsi"/>
        </w:rPr>
      </w:pPr>
    </w:p>
    <w:p w14:paraId="2478EFFE" w14:textId="77777777" w:rsidR="00E7099B" w:rsidRPr="003166B1" w:rsidRDefault="00E7099B" w:rsidP="000670CD">
      <w:pPr>
        <w:spacing w:line="360" w:lineRule="auto"/>
        <w:rPr>
          <w:rFonts w:eastAsia="Times New Roman" w:cstheme="minorHAnsi"/>
        </w:rPr>
      </w:pPr>
    </w:p>
    <w:p w14:paraId="4E9BBB77" w14:textId="77777777" w:rsidR="00E7099B" w:rsidRPr="003166B1" w:rsidRDefault="00E7099B" w:rsidP="000670CD">
      <w:pPr>
        <w:spacing w:line="360" w:lineRule="auto"/>
        <w:rPr>
          <w:rFonts w:eastAsia="Times New Roman" w:cstheme="minorHAnsi"/>
        </w:rPr>
      </w:pPr>
    </w:p>
    <w:p w14:paraId="4773960D" w14:textId="77777777" w:rsidR="00E7099B" w:rsidRPr="003166B1" w:rsidRDefault="00E7099B" w:rsidP="000670CD">
      <w:pPr>
        <w:spacing w:line="360" w:lineRule="auto"/>
        <w:rPr>
          <w:rFonts w:eastAsia="Times New Roman" w:cstheme="minorHAnsi"/>
        </w:rPr>
      </w:pPr>
    </w:p>
    <w:p w14:paraId="3850580D" w14:textId="77777777" w:rsidR="00E7099B" w:rsidRPr="003166B1" w:rsidRDefault="00E7099B" w:rsidP="000670CD">
      <w:pPr>
        <w:spacing w:line="360" w:lineRule="auto"/>
        <w:rPr>
          <w:rFonts w:eastAsia="Times New Roman" w:cstheme="minorHAnsi"/>
        </w:rPr>
      </w:pPr>
    </w:p>
    <w:p w14:paraId="7D4EB0B4" w14:textId="77777777" w:rsidR="00E7099B" w:rsidRPr="003166B1" w:rsidRDefault="00E7099B" w:rsidP="000670CD">
      <w:pPr>
        <w:spacing w:line="360" w:lineRule="auto"/>
        <w:rPr>
          <w:rFonts w:eastAsia="Times New Roman" w:cstheme="minorHAnsi"/>
        </w:rPr>
      </w:pPr>
    </w:p>
    <w:p w14:paraId="4EDDDC41" w14:textId="77777777" w:rsidR="00E7099B" w:rsidRPr="00023D47" w:rsidRDefault="00E7099B" w:rsidP="000670CD">
      <w:pPr>
        <w:spacing w:line="360" w:lineRule="auto"/>
        <w:rPr>
          <w:rFonts w:asciiTheme="minorBidi" w:eastAsia="Times New Roman" w:hAnsiTheme="minorBidi" w:cstheme="minorBidi"/>
        </w:rPr>
      </w:pPr>
    </w:p>
    <w:p w14:paraId="305794FD" w14:textId="77777777" w:rsidR="00E7099B" w:rsidRPr="00023D47" w:rsidRDefault="00E7099B" w:rsidP="000670CD">
      <w:pPr>
        <w:spacing w:line="360" w:lineRule="auto"/>
        <w:ind w:left="100"/>
        <w:rPr>
          <w:rFonts w:asciiTheme="minorBidi" w:eastAsia="Times New Roman" w:hAnsiTheme="minorBidi" w:cstheme="minorBidi"/>
        </w:rPr>
      </w:pPr>
    </w:p>
    <w:p w14:paraId="2AFB6C8D" w14:textId="77777777" w:rsidR="00E7099B" w:rsidRPr="00023D47" w:rsidRDefault="00E7099B" w:rsidP="000670CD">
      <w:pPr>
        <w:spacing w:line="360" w:lineRule="auto"/>
        <w:rPr>
          <w:rFonts w:asciiTheme="minorBidi" w:eastAsia="Times New Roman" w:hAnsiTheme="minorBidi" w:cstheme="minorBidi"/>
        </w:rPr>
      </w:pPr>
    </w:p>
    <w:p w14:paraId="0A80315F" w14:textId="2902C0DF" w:rsidR="00B36A04" w:rsidRDefault="00667361" w:rsidP="00BF427F">
      <w:pPr>
        <w:pStyle w:val="Body"/>
        <w:spacing w:after="0" w:line="240" w:lineRule="auto"/>
        <w:ind w:hanging="426"/>
        <w:jc w:val="center"/>
        <w:rPr>
          <w:rFonts w:asciiTheme="minorBidi" w:eastAsiaTheme="minorEastAsia" w:hAnsiTheme="minorBidi" w:cstheme="minorBidi"/>
          <w:b/>
          <w:color w:val="auto"/>
          <w:sz w:val="28"/>
          <w:szCs w:val="28"/>
          <w:bdr w:val="none" w:sz="0" w:space="0" w:color="auto"/>
          <w:lang w:val="en-GB" w:eastAsia="zh-CN"/>
        </w:rPr>
      </w:pPr>
      <w:r w:rsidRPr="00C04EB0">
        <w:rPr>
          <w:rFonts w:asciiTheme="minorBidi" w:eastAsiaTheme="minorEastAsia" w:hAnsiTheme="minorBidi" w:cstheme="minorBidi"/>
          <w:b/>
          <w:color w:val="auto"/>
          <w:sz w:val="28"/>
          <w:szCs w:val="28"/>
          <w:bdr w:val="none" w:sz="0" w:space="0" w:color="auto"/>
          <w:lang w:val="en-GB" w:eastAsia="zh-CN"/>
        </w:rPr>
        <w:t>Supplementary Guidance –</w:t>
      </w:r>
      <w:r w:rsidR="00281A71" w:rsidRPr="00C04EB0">
        <w:rPr>
          <w:rFonts w:asciiTheme="minorBidi" w:eastAsiaTheme="minorEastAsia" w:hAnsiTheme="minorBidi" w:cstheme="minorBidi"/>
          <w:b/>
          <w:color w:val="auto"/>
          <w:sz w:val="28"/>
          <w:szCs w:val="28"/>
          <w:bdr w:val="none" w:sz="0" w:space="0" w:color="auto"/>
          <w:lang w:val="en-GB" w:eastAsia="zh-CN"/>
        </w:rPr>
        <w:t xml:space="preserve"> </w:t>
      </w:r>
      <w:r w:rsidR="007A13BD" w:rsidRPr="00C04EB0">
        <w:rPr>
          <w:rFonts w:asciiTheme="minorBidi" w:eastAsiaTheme="minorEastAsia" w:hAnsiTheme="minorBidi" w:cstheme="minorBidi"/>
          <w:b/>
          <w:color w:val="auto"/>
          <w:sz w:val="28"/>
          <w:szCs w:val="28"/>
          <w:bdr w:val="none" w:sz="0" w:space="0" w:color="auto"/>
          <w:lang w:val="en-GB" w:eastAsia="zh-CN"/>
        </w:rPr>
        <w:t>Sustainable Finance Regulatory Framework</w:t>
      </w:r>
    </w:p>
    <w:p w14:paraId="0389E862" w14:textId="77777777" w:rsidR="00C23976" w:rsidRDefault="00C23976" w:rsidP="00BF427F">
      <w:pPr>
        <w:pStyle w:val="Body"/>
        <w:spacing w:after="0" w:line="240" w:lineRule="auto"/>
        <w:ind w:hanging="426"/>
        <w:jc w:val="center"/>
        <w:rPr>
          <w:rFonts w:asciiTheme="minorBidi" w:eastAsiaTheme="minorEastAsia" w:hAnsiTheme="minorBidi" w:cstheme="minorBidi"/>
          <w:bCs/>
          <w:color w:val="auto"/>
          <w:sz w:val="28"/>
          <w:szCs w:val="28"/>
          <w:bdr w:val="none" w:sz="0" w:space="0" w:color="auto"/>
          <w:lang w:val="en-GB" w:eastAsia="zh-CN"/>
        </w:rPr>
      </w:pPr>
    </w:p>
    <w:p w14:paraId="34E21453" w14:textId="239FF85C" w:rsidR="00C23976" w:rsidRPr="00C23976" w:rsidRDefault="001F643D" w:rsidP="00BF427F">
      <w:pPr>
        <w:pStyle w:val="Body"/>
        <w:spacing w:after="0" w:line="240" w:lineRule="auto"/>
        <w:ind w:hanging="426"/>
        <w:jc w:val="center"/>
        <w:rPr>
          <w:rFonts w:asciiTheme="minorBidi" w:eastAsiaTheme="minorEastAsia" w:hAnsiTheme="minorBidi" w:cstheme="minorBidi"/>
          <w:bCs/>
          <w:color w:val="auto"/>
          <w:sz w:val="28"/>
          <w:szCs w:val="28"/>
          <w:bdr w:val="none" w:sz="0" w:space="0" w:color="auto"/>
          <w:lang w:val="en-GB" w:eastAsia="zh-CN"/>
        </w:rPr>
      </w:pPr>
      <w:r>
        <w:rPr>
          <w:rFonts w:asciiTheme="minorBidi" w:eastAsiaTheme="minorEastAsia" w:hAnsiTheme="minorBidi" w:cstheme="minorBidi"/>
          <w:bCs/>
          <w:color w:val="auto"/>
          <w:sz w:val="28"/>
          <w:szCs w:val="28"/>
          <w:bdr w:val="none" w:sz="0" w:space="0" w:color="auto"/>
          <w:lang w:val="en-GB" w:eastAsia="zh-CN"/>
        </w:rPr>
        <w:t>(</w:t>
      </w:r>
      <w:r>
        <w:rPr>
          <w:rFonts w:ascii="Arial" w:hAnsi="Arial" w:cs="Arial"/>
        </w:rPr>
        <w:t>VER01.040723</w:t>
      </w:r>
      <w:r>
        <w:rPr>
          <w:rFonts w:ascii="Arial" w:hAnsi="Arial" w:cs="Arial"/>
        </w:rPr>
        <w:t>)</w:t>
      </w:r>
    </w:p>
    <w:p w14:paraId="5884EFC2" w14:textId="7ECE23A8" w:rsidR="00E7099B" w:rsidRPr="00C04EB0" w:rsidRDefault="00667361" w:rsidP="000670CD">
      <w:pPr>
        <w:spacing w:line="360" w:lineRule="auto"/>
        <w:rPr>
          <w:rFonts w:asciiTheme="minorBidi" w:eastAsia="Calibri" w:hAnsiTheme="minorBidi" w:cstheme="minorBidi"/>
        </w:rPr>
      </w:pPr>
      <w:r w:rsidRPr="00C04EB0">
        <w:rPr>
          <w:rFonts w:asciiTheme="minorBidi" w:eastAsiaTheme="minorEastAsia" w:hAnsiTheme="minorBidi" w:cstheme="minorBidi"/>
          <w:b/>
          <w:sz w:val="28"/>
          <w:szCs w:val="28"/>
          <w:lang w:eastAsia="zh-CN"/>
        </w:rPr>
        <w:br/>
      </w:r>
    </w:p>
    <w:p w14:paraId="7EEEC382" w14:textId="77777777" w:rsidR="00815D97" w:rsidRPr="00C04EB0" w:rsidRDefault="00815D97" w:rsidP="000670CD">
      <w:pPr>
        <w:spacing w:line="360" w:lineRule="auto"/>
        <w:rPr>
          <w:rFonts w:asciiTheme="minorBidi" w:eastAsia="Calibri" w:hAnsiTheme="minorBidi" w:cstheme="minorBidi"/>
        </w:rPr>
      </w:pPr>
    </w:p>
    <w:p w14:paraId="28CF50DB" w14:textId="77777777" w:rsidR="00815D97" w:rsidRPr="00C04EB0" w:rsidRDefault="00815D97" w:rsidP="000670CD">
      <w:pPr>
        <w:spacing w:line="360" w:lineRule="auto"/>
        <w:rPr>
          <w:rFonts w:asciiTheme="minorBidi" w:eastAsia="Calibri" w:hAnsiTheme="minorBidi" w:cstheme="minorBidi"/>
        </w:rPr>
        <w:sectPr w:rsidR="00815D97" w:rsidRPr="00C04EB0" w:rsidSect="00365BBB">
          <w:headerReference w:type="default" r:id="rId9"/>
          <w:footerReference w:type="default" r:id="rId10"/>
          <w:headerReference w:type="first" r:id="rId11"/>
          <w:footerReference w:type="first" r:id="rId12"/>
          <w:type w:val="continuous"/>
          <w:pgSz w:w="11910" w:h="16850"/>
          <w:pgMar w:top="1600" w:right="1480" w:bottom="280" w:left="1340" w:header="720" w:footer="720" w:gutter="0"/>
          <w:cols w:space="720"/>
          <w:titlePg/>
          <w:docGrid w:linePitch="299"/>
        </w:sectPr>
      </w:pPr>
    </w:p>
    <w:sdt>
      <w:sdtPr>
        <w:rPr>
          <w:rFonts w:asciiTheme="minorBidi" w:eastAsiaTheme="minorHAnsi" w:hAnsiTheme="minorBidi" w:cstheme="minorBidi"/>
          <w:b w:val="0"/>
          <w:color w:val="auto"/>
          <w:sz w:val="22"/>
          <w:szCs w:val="22"/>
        </w:rPr>
        <w:id w:val="352925400"/>
        <w:docPartObj>
          <w:docPartGallery w:val="Table of Contents"/>
          <w:docPartUnique/>
        </w:docPartObj>
      </w:sdtPr>
      <w:sdtEndPr>
        <w:rPr>
          <w:bCs/>
          <w:noProof/>
        </w:rPr>
      </w:sdtEndPr>
      <w:sdtContent>
        <w:p w14:paraId="260A3867" w14:textId="4C94FB96" w:rsidR="00663D8F" w:rsidRPr="00C04EB0" w:rsidRDefault="00663D8F">
          <w:pPr>
            <w:pStyle w:val="TOCHeading"/>
            <w:rPr>
              <w:rFonts w:asciiTheme="minorBidi" w:hAnsiTheme="minorBidi" w:cstheme="minorBidi"/>
            </w:rPr>
          </w:pPr>
          <w:r w:rsidRPr="00C04EB0">
            <w:rPr>
              <w:rFonts w:asciiTheme="minorBidi" w:hAnsiTheme="minorBidi" w:cstheme="minorBidi"/>
            </w:rPr>
            <w:t>Table of Contents</w:t>
          </w:r>
        </w:p>
        <w:p w14:paraId="00AB7818" w14:textId="182A4FB0" w:rsidR="00D4136B" w:rsidRDefault="00663D8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r w:rsidRPr="00C04EB0">
            <w:rPr>
              <w:rFonts w:asciiTheme="minorBidi" w:hAnsiTheme="minorBidi" w:cstheme="minorBidi"/>
              <w:caps/>
              <w:sz w:val="20"/>
            </w:rPr>
            <w:fldChar w:fldCharType="begin"/>
          </w:r>
          <w:r w:rsidRPr="00C04EB0">
            <w:rPr>
              <w:rFonts w:asciiTheme="minorBidi" w:hAnsiTheme="minorBidi" w:cstheme="minorBidi"/>
            </w:rPr>
            <w:instrText xml:space="preserve"> TOC \o "1-3" \h \z \u </w:instrText>
          </w:r>
          <w:r w:rsidRPr="00C04EB0">
            <w:rPr>
              <w:rFonts w:asciiTheme="minorBidi" w:hAnsiTheme="minorBidi" w:cstheme="minorBidi"/>
              <w:caps/>
              <w:sz w:val="20"/>
            </w:rPr>
            <w:fldChar w:fldCharType="separate"/>
          </w:r>
          <w:hyperlink w:anchor="_Toc138249325" w:history="1">
            <w:r w:rsidR="00D4136B" w:rsidRPr="007B5768">
              <w:rPr>
                <w:rStyle w:val="Hyperlink"/>
                <w:rFonts w:asciiTheme="minorBidi" w:hAnsiTheme="minorBidi"/>
                <w:noProof/>
              </w:rPr>
              <w:t>1.</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rPr>
              <w:t>Introduction</w:t>
            </w:r>
            <w:r w:rsidR="00D4136B">
              <w:rPr>
                <w:noProof/>
                <w:webHidden/>
              </w:rPr>
              <w:tab/>
            </w:r>
            <w:r w:rsidR="00D4136B">
              <w:rPr>
                <w:noProof/>
                <w:webHidden/>
              </w:rPr>
              <w:fldChar w:fldCharType="begin"/>
            </w:r>
            <w:r w:rsidR="00D4136B">
              <w:rPr>
                <w:noProof/>
                <w:webHidden/>
              </w:rPr>
              <w:instrText xml:space="preserve"> PAGEREF _Toc138249325 \h </w:instrText>
            </w:r>
            <w:r w:rsidR="00D4136B">
              <w:rPr>
                <w:noProof/>
                <w:webHidden/>
              </w:rPr>
            </w:r>
            <w:r w:rsidR="00D4136B">
              <w:rPr>
                <w:noProof/>
                <w:webHidden/>
              </w:rPr>
              <w:fldChar w:fldCharType="separate"/>
            </w:r>
            <w:r w:rsidR="002554CF">
              <w:rPr>
                <w:noProof/>
                <w:webHidden/>
              </w:rPr>
              <w:t>3</w:t>
            </w:r>
            <w:r w:rsidR="00D4136B">
              <w:rPr>
                <w:noProof/>
                <w:webHidden/>
              </w:rPr>
              <w:fldChar w:fldCharType="end"/>
            </w:r>
          </w:hyperlink>
        </w:p>
        <w:p w14:paraId="4D2AD090" w14:textId="6E8FCA9F" w:rsidR="00D4136B" w:rsidRDefault="002554C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hyperlink w:anchor="_Toc138249326" w:history="1">
            <w:r w:rsidR="00D4136B" w:rsidRPr="007B5768">
              <w:rPr>
                <w:rStyle w:val="Hyperlink"/>
                <w:rFonts w:asciiTheme="minorBidi" w:hAnsiTheme="minorBidi"/>
                <w:noProof/>
                <w:w w:val="105"/>
              </w:rPr>
              <w:t>2.</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w w:val="105"/>
              </w:rPr>
              <w:t>Taxonomies and attestation requirements – Funds and Model portfolios</w:t>
            </w:r>
            <w:r w:rsidR="00D4136B">
              <w:rPr>
                <w:noProof/>
                <w:webHidden/>
              </w:rPr>
              <w:tab/>
            </w:r>
            <w:r w:rsidR="00D4136B">
              <w:rPr>
                <w:noProof/>
                <w:webHidden/>
              </w:rPr>
              <w:fldChar w:fldCharType="begin"/>
            </w:r>
            <w:r w:rsidR="00D4136B">
              <w:rPr>
                <w:noProof/>
                <w:webHidden/>
              </w:rPr>
              <w:instrText xml:space="preserve"> PAGEREF _Toc138249326 \h </w:instrText>
            </w:r>
            <w:r w:rsidR="00D4136B">
              <w:rPr>
                <w:noProof/>
                <w:webHidden/>
              </w:rPr>
            </w:r>
            <w:r w:rsidR="00D4136B">
              <w:rPr>
                <w:noProof/>
                <w:webHidden/>
              </w:rPr>
              <w:fldChar w:fldCharType="separate"/>
            </w:r>
            <w:r>
              <w:rPr>
                <w:noProof/>
                <w:webHidden/>
              </w:rPr>
              <w:t>3</w:t>
            </w:r>
            <w:r w:rsidR="00D4136B">
              <w:rPr>
                <w:noProof/>
                <w:webHidden/>
              </w:rPr>
              <w:fldChar w:fldCharType="end"/>
            </w:r>
          </w:hyperlink>
        </w:p>
        <w:p w14:paraId="7E901137" w14:textId="17DE653E" w:rsidR="00D4136B" w:rsidRDefault="002554C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hyperlink w:anchor="_Toc138249327" w:history="1">
            <w:r w:rsidR="00D4136B" w:rsidRPr="007B5768">
              <w:rPr>
                <w:rStyle w:val="Hyperlink"/>
                <w:rFonts w:asciiTheme="minorBidi" w:hAnsiTheme="minorBidi"/>
                <w:noProof/>
              </w:rPr>
              <w:t>3.</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rPr>
              <w:t>ADGM Green and ADGM Climate Transition Funds</w:t>
            </w:r>
            <w:r w:rsidR="00D4136B">
              <w:rPr>
                <w:noProof/>
                <w:webHidden/>
              </w:rPr>
              <w:tab/>
            </w:r>
            <w:r w:rsidR="00D4136B">
              <w:rPr>
                <w:noProof/>
                <w:webHidden/>
              </w:rPr>
              <w:fldChar w:fldCharType="begin"/>
            </w:r>
            <w:r w:rsidR="00D4136B">
              <w:rPr>
                <w:noProof/>
                <w:webHidden/>
              </w:rPr>
              <w:instrText xml:space="preserve"> PAGEREF _Toc138249327 \h </w:instrText>
            </w:r>
            <w:r w:rsidR="00D4136B">
              <w:rPr>
                <w:noProof/>
                <w:webHidden/>
              </w:rPr>
            </w:r>
            <w:r w:rsidR="00D4136B">
              <w:rPr>
                <w:noProof/>
                <w:webHidden/>
              </w:rPr>
              <w:fldChar w:fldCharType="separate"/>
            </w:r>
            <w:r>
              <w:rPr>
                <w:noProof/>
                <w:webHidden/>
              </w:rPr>
              <w:t>5</w:t>
            </w:r>
            <w:r w:rsidR="00D4136B">
              <w:rPr>
                <w:noProof/>
                <w:webHidden/>
              </w:rPr>
              <w:fldChar w:fldCharType="end"/>
            </w:r>
          </w:hyperlink>
        </w:p>
        <w:p w14:paraId="77F167F5" w14:textId="7FACFC01" w:rsidR="00D4136B" w:rsidRDefault="002554C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hyperlink w:anchor="_Toc138249328" w:history="1">
            <w:r w:rsidR="00D4136B" w:rsidRPr="007B5768">
              <w:rPr>
                <w:rStyle w:val="Hyperlink"/>
                <w:rFonts w:asciiTheme="minorBidi" w:hAnsiTheme="minorBidi"/>
                <w:noProof/>
              </w:rPr>
              <w:t>4.</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rPr>
              <w:t>ADGM Green and ADGM Climate Transition Portfolios</w:t>
            </w:r>
            <w:r w:rsidR="00D4136B">
              <w:rPr>
                <w:noProof/>
                <w:webHidden/>
              </w:rPr>
              <w:tab/>
            </w:r>
            <w:r w:rsidR="00D4136B">
              <w:rPr>
                <w:noProof/>
                <w:webHidden/>
              </w:rPr>
              <w:fldChar w:fldCharType="begin"/>
            </w:r>
            <w:r w:rsidR="00D4136B">
              <w:rPr>
                <w:noProof/>
                <w:webHidden/>
              </w:rPr>
              <w:instrText xml:space="preserve"> PAGEREF _Toc138249328 \h </w:instrText>
            </w:r>
            <w:r w:rsidR="00D4136B">
              <w:rPr>
                <w:noProof/>
                <w:webHidden/>
              </w:rPr>
            </w:r>
            <w:r w:rsidR="00D4136B">
              <w:rPr>
                <w:noProof/>
                <w:webHidden/>
              </w:rPr>
              <w:fldChar w:fldCharType="separate"/>
            </w:r>
            <w:r>
              <w:rPr>
                <w:noProof/>
                <w:webHidden/>
              </w:rPr>
              <w:t>7</w:t>
            </w:r>
            <w:r w:rsidR="00D4136B">
              <w:rPr>
                <w:noProof/>
                <w:webHidden/>
              </w:rPr>
              <w:fldChar w:fldCharType="end"/>
            </w:r>
          </w:hyperlink>
        </w:p>
        <w:p w14:paraId="032E2150" w14:textId="5A37A42F" w:rsidR="00D4136B" w:rsidRDefault="002554C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hyperlink w:anchor="_Toc138249329" w:history="1">
            <w:r w:rsidR="00D4136B" w:rsidRPr="007B5768">
              <w:rPr>
                <w:rStyle w:val="Hyperlink"/>
                <w:rFonts w:asciiTheme="minorBidi" w:hAnsiTheme="minorBidi"/>
                <w:noProof/>
              </w:rPr>
              <w:t>5.</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rPr>
              <w:t xml:space="preserve">ADGM Green and ADGM Sustainability-Linked Debentures </w:t>
            </w:r>
            <w:r w:rsidR="00D4136B">
              <w:rPr>
                <w:rStyle w:val="Hyperlink"/>
                <w:rFonts w:asciiTheme="minorBidi" w:hAnsiTheme="minorBidi"/>
                <w:noProof/>
              </w:rPr>
              <w:t>and Sukuks</w:t>
            </w:r>
            <w:r w:rsidR="00D4136B">
              <w:rPr>
                <w:noProof/>
                <w:webHidden/>
              </w:rPr>
              <w:tab/>
            </w:r>
            <w:r w:rsidR="00D4136B">
              <w:rPr>
                <w:noProof/>
                <w:webHidden/>
              </w:rPr>
              <w:fldChar w:fldCharType="begin"/>
            </w:r>
            <w:r w:rsidR="00D4136B">
              <w:rPr>
                <w:noProof/>
                <w:webHidden/>
              </w:rPr>
              <w:instrText xml:space="preserve"> PAGEREF _Toc138249329 \h </w:instrText>
            </w:r>
            <w:r w:rsidR="00D4136B">
              <w:rPr>
                <w:noProof/>
                <w:webHidden/>
              </w:rPr>
            </w:r>
            <w:r w:rsidR="00D4136B">
              <w:rPr>
                <w:noProof/>
                <w:webHidden/>
              </w:rPr>
              <w:fldChar w:fldCharType="separate"/>
            </w:r>
            <w:r>
              <w:rPr>
                <w:noProof/>
                <w:webHidden/>
              </w:rPr>
              <w:t>9</w:t>
            </w:r>
            <w:r w:rsidR="00D4136B">
              <w:rPr>
                <w:noProof/>
                <w:webHidden/>
              </w:rPr>
              <w:fldChar w:fldCharType="end"/>
            </w:r>
          </w:hyperlink>
        </w:p>
        <w:p w14:paraId="1BC09E8E" w14:textId="2DCB7ABD" w:rsidR="00D4136B" w:rsidRDefault="002554CF">
          <w:pPr>
            <w:pStyle w:val="TOC1"/>
            <w:tabs>
              <w:tab w:val="left" w:pos="440"/>
              <w:tab w:val="right" w:leader="dot" w:pos="9282"/>
            </w:tabs>
            <w:rPr>
              <w:rFonts w:asciiTheme="minorHAnsi" w:eastAsiaTheme="minorEastAsia" w:hAnsiTheme="minorHAnsi" w:cstheme="minorBidi"/>
              <w:bCs w:val="0"/>
              <w:noProof/>
              <w:kern w:val="2"/>
              <w:szCs w:val="22"/>
              <w:lang w:eastAsia="en-GB"/>
              <w14:ligatures w14:val="standardContextual"/>
            </w:rPr>
          </w:pPr>
          <w:hyperlink w:anchor="_Toc138249330" w:history="1">
            <w:r w:rsidR="00D4136B" w:rsidRPr="007B5768">
              <w:rPr>
                <w:rStyle w:val="Hyperlink"/>
                <w:rFonts w:asciiTheme="minorBidi" w:hAnsiTheme="minorBidi"/>
                <w:noProof/>
              </w:rPr>
              <w:t>6.</w:t>
            </w:r>
            <w:r w:rsidR="00D4136B">
              <w:rPr>
                <w:rFonts w:asciiTheme="minorHAnsi" w:eastAsiaTheme="minorEastAsia" w:hAnsiTheme="minorHAnsi" w:cstheme="minorBidi"/>
                <w:bCs w:val="0"/>
                <w:noProof/>
                <w:kern w:val="2"/>
                <w:szCs w:val="22"/>
                <w:lang w:eastAsia="en-GB"/>
                <w14:ligatures w14:val="standardContextual"/>
              </w:rPr>
              <w:tab/>
            </w:r>
            <w:r w:rsidR="00D4136B" w:rsidRPr="007B5768">
              <w:rPr>
                <w:rStyle w:val="Hyperlink"/>
                <w:rFonts w:asciiTheme="minorBidi" w:hAnsiTheme="minorBidi"/>
                <w:noProof/>
              </w:rPr>
              <w:t>Use of ADGM Designation marks</w:t>
            </w:r>
            <w:r w:rsidR="00D4136B">
              <w:rPr>
                <w:noProof/>
                <w:webHidden/>
              </w:rPr>
              <w:tab/>
            </w:r>
            <w:r w:rsidR="00D4136B">
              <w:rPr>
                <w:noProof/>
                <w:webHidden/>
              </w:rPr>
              <w:fldChar w:fldCharType="begin"/>
            </w:r>
            <w:r w:rsidR="00D4136B">
              <w:rPr>
                <w:noProof/>
                <w:webHidden/>
              </w:rPr>
              <w:instrText xml:space="preserve"> PAGEREF _Toc138249330 \h </w:instrText>
            </w:r>
            <w:r w:rsidR="00D4136B">
              <w:rPr>
                <w:noProof/>
                <w:webHidden/>
              </w:rPr>
            </w:r>
            <w:r w:rsidR="00D4136B">
              <w:rPr>
                <w:noProof/>
                <w:webHidden/>
              </w:rPr>
              <w:fldChar w:fldCharType="separate"/>
            </w:r>
            <w:r>
              <w:rPr>
                <w:noProof/>
                <w:webHidden/>
              </w:rPr>
              <w:t>10</w:t>
            </w:r>
            <w:r w:rsidR="00D4136B">
              <w:rPr>
                <w:noProof/>
                <w:webHidden/>
              </w:rPr>
              <w:fldChar w:fldCharType="end"/>
            </w:r>
          </w:hyperlink>
        </w:p>
        <w:p w14:paraId="712287C7" w14:textId="478F72AC" w:rsidR="00663D8F" w:rsidRPr="00C04EB0" w:rsidRDefault="00663D8F">
          <w:pPr>
            <w:rPr>
              <w:rFonts w:asciiTheme="minorBidi" w:hAnsiTheme="minorBidi" w:cstheme="minorBidi"/>
            </w:rPr>
          </w:pPr>
          <w:r w:rsidRPr="00C04EB0">
            <w:rPr>
              <w:rFonts w:asciiTheme="minorBidi" w:hAnsiTheme="minorBidi" w:cstheme="minorBidi"/>
              <w:b/>
              <w:bCs/>
              <w:noProof/>
            </w:rPr>
            <w:fldChar w:fldCharType="end"/>
          </w:r>
        </w:p>
      </w:sdtContent>
    </w:sdt>
    <w:p w14:paraId="3E9DEF15" w14:textId="77777777" w:rsidR="00663D8F" w:rsidRPr="00C04EB0" w:rsidRDefault="00663D8F" w:rsidP="000670CD">
      <w:pPr>
        <w:spacing w:line="360" w:lineRule="auto"/>
        <w:rPr>
          <w:rFonts w:asciiTheme="minorBidi" w:hAnsiTheme="minorBidi" w:cstheme="minorBidi"/>
        </w:rPr>
      </w:pPr>
    </w:p>
    <w:p w14:paraId="64A1FD17" w14:textId="77777777" w:rsidR="00663D8F" w:rsidRPr="00C04EB0" w:rsidRDefault="00663D8F" w:rsidP="000670CD">
      <w:pPr>
        <w:spacing w:line="360" w:lineRule="auto"/>
        <w:rPr>
          <w:rFonts w:asciiTheme="minorBidi" w:hAnsiTheme="minorBidi" w:cstheme="minorBidi"/>
        </w:rPr>
      </w:pPr>
    </w:p>
    <w:p w14:paraId="596AC6B7" w14:textId="77777777" w:rsidR="00663D8F" w:rsidRPr="00C04EB0" w:rsidRDefault="00663D8F" w:rsidP="000670CD">
      <w:pPr>
        <w:spacing w:line="360" w:lineRule="auto"/>
        <w:rPr>
          <w:rFonts w:asciiTheme="minorBidi" w:hAnsiTheme="minorBidi" w:cstheme="minorBidi"/>
        </w:rPr>
      </w:pPr>
    </w:p>
    <w:p w14:paraId="35607C56" w14:textId="2F1BD297" w:rsidR="001E47F9" w:rsidRPr="00C04EB0" w:rsidRDefault="001E47F9" w:rsidP="000670CD">
      <w:pPr>
        <w:spacing w:line="360" w:lineRule="auto"/>
        <w:rPr>
          <w:rFonts w:asciiTheme="minorBidi" w:hAnsiTheme="minorBidi" w:cstheme="minorBidi"/>
        </w:rPr>
      </w:pPr>
      <w:r w:rsidRPr="00C04EB0">
        <w:rPr>
          <w:rFonts w:asciiTheme="minorBidi" w:hAnsiTheme="minorBidi" w:cstheme="minorBidi"/>
        </w:rPr>
        <w:br w:type="page"/>
      </w:r>
    </w:p>
    <w:p w14:paraId="518ED119" w14:textId="77777777" w:rsidR="00E7099B" w:rsidRPr="00C04EB0" w:rsidRDefault="00605839" w:rsidP="00E55A4D">
      <w:pPr>
        <w:pStyle w:val="Level1"/>
        <w:rPr>
          <w:rFonts w:asciiTheme="minorBidi" w:hAnsiTheme="minorBidi" w:cstheme="minorBidi"/>
        </w:rPr>
      </w:pPr>
      <w:bookmarkStart w:id="0" w:name="_Toc138249325"/>
      <w:bookmarkStart w:id="1" w:name="_Hlk115689807"/>
      <w:r w:rsidRPr="00C04EB0">
        <w:rPr>
          <w:rFonts w:asciiTheme="minorBidi" w:hAnsiTheme="minorBidi" w:cstheme="minorBidi"/>
        </w:rPr>
        <w:lastRenderedPageBreak/>
        <w:t>I</w:t>
      </w:r>
      <w:r w:rsidR="00874AB7" w:rsidRPr="00C04EB0">
        <w:rPr>
          <w:rFonts w:asciiTheme="minorBidi" w:hAnsiTheme="minorBidi" w:cstheme="minorBidi"/>
        </w:rPr>
        <w:t>ntroduction</w:t>
      </w:r>
      <w:bookmarkEnd w:id="0"/>
      <w:r w:rsidR="000F6342" w:rsidRPr="00C04EB0">
        <w:rPr>
          <w:rFonts w:asciiTheme="minorBidi" w:hAnsiTheme="minorBidi" w:cstheme="minorBidi"/>
        </w:rPr>
        <w:t xml:space="preserve"> </w:t>
      </w:r>
    </w:p>
    <w:p w14:paraId="4378DFC2" w14:textId="0A11EEC2" w:rsidR="002F182E" w:rsidRPr="00C04EB0" w:rsidRDefault="009D4DA5" w:rsidP="002F182E">
      <w:pPr>
        <w:ind w:left="709" w:hanging="709"/>
        <w:jc w:val="both"/>
        <w:rPr>
          <w:rFonts w:asciiTheme="minorBidi" w:hAnsiTheme="minorBidi" w:cstheme="minorBidi"/>
        </w:rPr>
      </w:pPr>
      <w:bookmarkStart w:id="2" w:name="_Toc116055863"/>
      <w:r w:rsidRPr="00C04EB0">
        <w:rPr>
          <w:rFonts w:asciiTheme="minorBidi" w:hAnsiTheme="minorBidi" w:cstheme="minorBidi"/>
        </w:rPr>
        <w:t>1.1</w:t>
      </w:r>
      <w:r w:rsidRPr="00C04EB0">
        <w:rPr>
          <w:rFonts w:asciiTheme="minorBidi" w:hAnsiTheme="minorBidi" w:cstheme="minorBidi"/>
        </w:rPr>
        <w:tab/>
      </w:r>
      <w:r w:rsidR="002F182E" w:rsidRPr="00C04EB0">
        <w:rPr>
          <w:rFonts w:asciiTheme="minorBidi" w:hAnsiTheme="minorBidi" w:cstheme="minorBidi"/>
        </w:rPr>
        <w:t xml:space="preserve">This Supplementary Guidance is issued under section 15(2) of the Financial Services and Markets Regulations 2015 (“FSMR”). It should be read in conjunction with FSMR, the relevant Rulebooks of the Financial Services Regulatory Authority (the “Regulator”) and the Guidance &amp; Policies Manual </w:t>
      </w:r>
      <w:r w:rsidR="002E0426" w:rsidRPr="00C04EB0">
        <w:rPr>
          <w:rFonts w:asciiTheme="minorBidi" w:hAnsiTheme="minorBidi" w:cstheme="minorBidi"/>
        </w:rPr>
        <w:t xml:space="preserve">(“GPM”) </w:t>
      </w:r>
      <w:r w:rsidR="002F182E" w:rsidRPr="00C04EB0">
        <w:rPr>
          <w:rFonts w:asciiTheme="minorBidi" w:hAnsiTheme="minorBidi" w:cstheme="minorBidi"/>
        </w:rPr>
        <w:t>of the Regulator. Unless otherwise defined or the context otherwise requires, the terms contained in this Guidance have the same meanings as defined in FSMR and the Glossary Rulebook (“GLO”).</w:t>
      </w:r>
    </w:p>
    <w:p w14:paraId="6EF88E76" w14:textId="2A490CA1" w:rsidR="006933A7" w:rsidRPr="00C04EB0" w:rsidRDefault="002F182E" w:rsidP="00023D47">
      <w:pPr>
        <w:ind w:left="709" w:hanging="709"/>
        <w:jc w:val="both"/>
        <w:rPr>
          <w:rFonts w:asciiTheme="minorBidi" w:hAnsiTheme="minorBidi" w:cstheme="minorBidi"/>
          <w:w w:val="105"/>
        </w:rPr>
      </w:pPr>
      <w:r w:rsidRPr="00C04EB0">
        <w:rPr>
          <w:rFonts w:asciiTheme="minorBidi" w:hAnsiTheme="minorBidi" w:cstheme="minorBidi"/>
        </w:rPr>
        <w:t>1.2</w:t>
      </w:r>
      <w:r w:rsidRPr="00C04EB0">
        <w:rPr>
          <w:rFonts w:asciiTheme="minorBidi" w:hAnsiTheme="minorBidi" w:cstheme="minorBidi"/>
        </w:rPr>
        <w:tab/>
      </w:r>
      <w:r w:rsidRPr="00C04EB0">
        <w:rPr>
          <w:rFonts w:asciiTheme="minorBidi" w:hAnsiTheme="minorBidi" w:cstheme="minorBidi"/>
          <w:w w:val="105"/>
        </w:rPr>
        <w:t>This Guidance is not an exhaustive source of the Regulator’s policies. The Regulator is not bound by the statements contained in this Guidance and may impose further, specific conditions to address any additional risks posed by the activities of an Authorised Person.</w:t>
      </w:r>
      <w:bookmarkEnd w:id="2"/>
    </w:p>
    <w:p w14:paraId="73BAA8A0" w14:textId="6F2B2AFD" w:rsidR="003A084E" w:rsidRPr="00C04EB0" w:rsidRDefault="009D4DA5" w:rsidP="00023D47">
      <w:pPr>
        <w:ind w:left="709" w:hanging="709"/>
        <w:jc w:val="both"/>
        <w:rPr>
          <w:rFonts w:asciiTheme="minorBidi" w:hAnsiTheme="minorBidi" w:cstheme="minorBidi"/>
        </w:rPr>
      </w:pPr>
      <w:bookmarkStart w:id="3" w:name="_Toc116055873"/>
      <w:bookmarkEnd w:id="1"/>
      <w:r w:rsidRPr="00C04EB0">
        <w:rPr>
          <w:rFonts w:asciiTheme="minorBidi" w:hAnsiTheme="minorBidi" w:cstheme="minorBidi"/>
        </w:rPr>
        <w:t>1.</w:t>
      </w:r>
      <w:r w:rsidR="001D6489" w:rsidRPr="00C04EB0">
        <w:rPr>
          <w:rFonts w:asciiTheme="minorBidi" w:hAnsiTheme="minorBidi" w:cstheme="minorBidi"/>
        </w:rPr>
        <w:t>3</w:t>
      </w:r>
      <w:r w:rsidRPr="00C04EB0">
        <w:rPr>
          <w:rFonts w:asciiTheme="minorBidi" w:hAnsiTheme="minorBidi" w:cstheme="minorBidi"/>
        </w:rPr>
        <w:tab/>
      </w:r>
      <w:r w:rsidR="00005481" w:rsidRPr="00C04EB0">
        <w:rPr>
          <w:rFonts w:asciiTheme="minorBidi" w:hAnsiTheme="minorBidi" w:cstheme="minorBidi"/>
        </w:rPr>
        <w:t xml:space="preserve">This Supplementary Guidance </w:t>
      </w:r>
      <w:r w:rsidR="003A084E" w:rsidRPr="00C04EB0">
        <w:rPr>
          <w:rFonts w:asciiTheme="minorBidi" w:hAnsiTheme="minorBidi" w:cstheme="minorBidi"/>
        </w:rPr>
        <w:t>provides</w:t>
      </w:r>
      <w:bookmarkStart w:id="4" w:name="_Toc116055874"/>
      <w:bookmarkEnd w:id="3"/>
      <w:r w:rsidR="00A86A11" w:rsidRPr="00C04EB0">
        <w:rPr>
          <w:rFonts w:asciiTheme="minorBidi" w:hAnsiTheme="minorBidi" w:cstheme="minorBidi"/>
        </w:rPr>
        <w:t xml:space="preserve"> </w:t>
      </w:r>
      <w:r w:rsidR="005B6DE2" w:rsidRPr="00C04EB0">
        <w:rPr>
          <w:rFonts w:asciiTheme="minorBidi" w:hAnsiTheme="minorBidi" w:cstheme="minorBidi"/>
        </w:rPr>
        <w:t xml:space="preserve">guidance, </w:t>
      </w:r>
      <w:r w:rsidR="00AA4768" w:rsidRPr="00C04EB0">
        <w:rPr>
          <w:rFonts w:asciiTheme="minorBidi" w:hAnsiTheme="minorBidi" w:cstheme="minorBidi"/>
        </w:rPr>
        <w:t>addition</w:t>
      </w:r>
      <w:r w:rsidR="00F37394" w:rsidRPr="00C04EB0">
        <w:rPr>
          <w:rFonts w:asciiTheme="minorBidi" w:hAnsiTheme="minorBidi" w:cstheme="minorBidi"/>
        </w:rPr>
        <w:t>al</w:t>
      </w:r>
      <w:r w:rsidR="00AA4768" w:rsidRPr="00C04EB0">
        <w:rPr>
          <w:rFonts w:asciiTheme="minorBidi" w:hAnsiTheme="minorBidi" w:cstheme="minorBidi"/>
        </w:rPr>
        <w:t xml:space="preserve"> </w:t>
      </w:r>
      <w:r w:rsidR="00A86A11" w:rsidRPr="00C04EB0">
        <w:rPr>
          <w:rFonts w:asciiTheme="minorBidi" w:hAnsiTheme="minorBidi" w:cstheme="minorBidi"/>
        </w:rPr>
        <w:t>to that appearing in the relevant Rulebooks</w:t>
      </w:r>
      <w:r w:rsidR="005B6DE2" w:rsidRPr="00C04EB0">
        <w:rPr>
          <w:rFonts w:asciiTheme="minorBidi" w:hAnsiTheme="minorBidi" w:cstheme="minorBidi"/>
        </w:rPr>
        <w:t>,</w:t>
      </w:r>
      <w:r w:rsidR="00AA4768" w:rsidRPr="00C04EB0">
        <w:rPr>
          <w:rFonts w:asciiTheme="minorBidi" w:hAnsiTheme="minorBidi" w:cstheme="minorBidi"/>
        </w:rPr>
        <w:t xml:space="preserve"> on </w:t>
      </w:r>
      <w:r w:rsidR="00F37394" w:rsidRPr="00C04EB0">
        <w:rPr>
          <w:rFonts w:asciiTheme="minorBidi" w:hAnsiTheme="minorBidi" w:cstheme="minorBidi"/>
        </w:rPr>
        <w:t>the R</w:t>
      </w:r>
      <w:r w:rsidR="003A084E" w:rsidRPr="00C04EB0">
        <w:rPr>
          <w:rFonts w:asciiTheme="minorBidi" w:hAnsiTheme="minorBidi" w:cstheme="minorBidi"/>
        </w:rPr>
        <w:t xml:space="preserve">ules </w:t>
      </w:r>
      <w:r w:rsidR="005B6DE2" w:rsidRPr="00C04EB0">
        <w:rPr>
          <w:rFonts w:asciiTheme="minorBidi" w:hAnsiTheme="minorBidi" w:cstheme="minorBidi"/>
        </w:rPr>
        <w:t xml:space="preserve">for </w:t>
      </w:r>
      <w:r w:rsidR="00A86A11" w:rsidRPr="00C04EB0">
        <w:rPr>
          <w:rFonts w:asciiTheme="minorBidi" w:hAnsiTheme="minorBidi" w:cstheme="minorBidi"/>
        </w:rPr>
        <w:t>the granting of designations and use of the associated designation marks in relation to:</w:t>
      </w:r>
      <w:bookmarkEnd w:id="4"/>
    </w:p>
    <w:p w14:paraId="11B2017F" w14:textId="2352D0E1" w:rsidR="00A86A11" w:rsidRPr="00C04EB0" w:rsidRDefault="00A86A11" w:rsidP="00023D47">
      <w:pPr>
        <w:pStyle w:val="ListParagraph"/>
        <w:numPr>
          <w:ilvl w:val="0"/>
          <w:numId w:val="35"/>
        </w:numPr>
        <w:spacing w:line="276" w:lineRule="auto"/>
        <w:ind w:left="1276" w:hanging="349"/>
        <w:jc w:val="both"/>
        <w:rPr>
          <w:rFonts w:asciiTheme="minorBidi" w:hAnsiTheme="minorBidi" w:cstheme="minorBidi"/>
          <w:w w:val="105"/>
        </w:rPr>
      </w:pPr>
      <w:bookmarkStart w:id="5" w:name="_Toc116055875"/>
      <w:r w:rsidRPr="00C04EB0">
        <w:rPr>
          <w:rFonts w:asciiTheme="minorBidi" w:hAnsiTheme="minorBidi" w:cstheme="minorBidi"/>
          <w:w w:val="105"/>
        </w:rPr>
        <w:t>ADGM Green Fund</w:t>
      </w:r>
      <w:r w:rsidR="001D6489" w:rsidRPr="00C04EB0">
        <w:rPr>
          <w:rFonts w:asciiTheme="minorBidi" w:hAnsiTheme="minorBidi" w:cstheme="minorBidi"/>
          <w:w w:val="105"/>
        </w:rPr>
        <w:t>s</w:t>
      </w:r>
      <w:r w:rsidR="005B6DE2" w:rsidRPr="00C04EB0">
        <w:rPr>
          <w:rFonts w:asciiTheme="minorBidi" w:hAnsiTheme="minorBidi" w:cstheme="minorBidi"/>
          <w:w w:val="105"/>
        </w:rPr>
        <w:t xml:space="preserve"> and </w:t>
      </w:r>
      <w:r w:rsidRPr="00C04EB0">
        <w:rPr>
          <w:rFonts w:asciiTheme="minorBidi" w:hAnsiTheme="minorBidi" w:cstheme="minorBidi"/>
          <w:w w:val="105"/>
        </w:rPr>
        <w:t xml:space="preserve">ADGM Climate Transition </w:t>
      </w:r>
      <w:proofErr w:type="gramStart"/>
      <w:r w:rsidRPr="00C04EB0">
        <w:rPr>
          <w:rFonts w:asciiTheme="minorBidi" w:hAnsiTheme="minorBidi" w:cstheme="minorBidi"/>
          <w:w w:val="105"/>
        </w:rPr>
        <w:t>Fund</w:t>
      </w:r>
      <w:r w:rsidR="001D6489" w:rsidRPr="00C04EB0">
        <w:rPr>
          <w:rFonts w:asciiTheme="minorBidi" w:hAnsiTheme="minorBidi" w:cstheme="minorBidi"/>
          <w:w w:val="105"/>
        </w:rPr>
        <w:t>s</w:t>
      </w:r>
      <w:r w:rsidRPr="00C04EB0">
        <w:rPr>
          <w:rFonts w:asciiTheme="minorBidi" w:hAnsiTheme="minorBidi" w:cstheme="minorBidi"/>
          <w:w w:val="105"/>
        </w:rPr>
        <w:t>;</w:t>
      </w:r>
      <w:proofErr w:type="gramEnd"/>
    </w:p>
    <w:p w14:paraId="3B7C9EBB" w14:textId="3A4202A0" w:rsidR="00A86A11" w:rsidRPr="00C04EB0" w:rsidRDefault="00A86A11" w:rsidP="00023D47">
      <w:pPr>
        <w:pStyle w:val="ListParagraph"/>
        <w:numPr>
          <w:ilvl w:val="0"/>
          <w:numId w:val="35"/>
        </w:numPr>
        <w:spacing w:line="276" w:lineRule="auto"/>
        <w:ind w:left="1276" w:hanging="349"/>
        <w:jc w:val="both"/>
        <w:rPr>
          <w:rFonts w:asciiTheme="minorBidi" w:hAnsiTheme="minorBidi" w:cstheme="minorBidi"/>
          <w:w w:val="105"/>
        </w:rPr>
      </w:pPr>
      <w:r w:rsidRPr="00C04EB0">
        <w:rPr>
          <w:rFonts w:asciiTheme="minorBidi" w:hAnsiTheme="minorBidi" w:cstheme="minorBidi"/>
          <w:w w:val="105"/>
        </w:rPr>
        <w:t>ADGM Green Portfolio</w:t>
      </w:r>
      <w:r w:rsidR="001D6489" w:rsidRPr="00C04EB0">
        <w:rPr>
          <w:rFonts w:asciiTheme="minorBidi" w:hAnsiTheme="minorBidi" w:cstheme="minorBidi"/>
          <w:w w:val="105"/>
        </w:rPr>
        <w:t>s</w:t>
      </w:r>
      <w:r w:rsidR="005B6DE2" w:rsidRPr="00C04EB0">
        <w:rPr>
          <w:rFonts w:asciiTheme="minorBidi" w:hAnsiTheme="minorBidi" w:cstheme="minorBidi"/>
          <w:w w:val="105"/>
        </w:rPr>
        <w:t xml:space="preserve"> and </w:t>
      </w:r>
      <w:r w:rsidRPr="00C04EB0">
        <w:rPr>
          <w:rFonts w:asciiTheme="minorBidi" w:hAnsiTheme="minorBidi" w:cstheme="minorBidi"/>
          <w:w w:val="105"/>
        </w:rPr>
        <w:t xml:space="preserve">ADGM Climate Transition </w:t>
      </w:r>
      <w:proofErr w:type="gramStart"/>
      <w:r w:rsidRPr="00C04EB0">
        <w:rPr>
          <w:rFonts w:asciiTheme="minorBidi" w:hAnsiTheme="minorBidi" w:cstheme="minorBidi"/>
          <w:w w:val="105"/>
        </w:rPr>
        <w:t>Portfolio</w:t>
      </w:r>
      <w:r w:rsidR="001D6489" w:rsidRPr="00C04EB0">
        <w:rPr>
          <w:rFonts w:asciiTheme="minorBidi" w:hAnsiTheme="minorBidi" w:cstheme="minorBidi"/>
          <w:w w:val="105"/>
        </w:rPr>
        <w:t>s</w:t>
      </w:r>
      <w:r w:rsidRPr="00C04EB0">
        <w:rPr>
          <w:rFonts w:asciiTheme="minorBidi" w:hAnsiTheme="minorBidi" w:cstheme="minorBidi"/>
          <w:w w:val="105"/>
        </w:rPr>
        <w:t>;</w:t>
      </w:r>
      <w:proofErr w:type="gramEnd"/>
      <w:r w:rsidRPr="00C04EB0">
        <w:rPr>
          <w:rFonts w:asciiTheme="minorBidi" w:hAnsiTheme="minorBidi" w:cstheme="minorBidi"/>
          <w:w w:val="105"/>
        </w:rPr>
        <w:t xml:space="preserve"> </w:t>
      </w:r>
    </w:p>
    <w:p w14:paraId="21F1CAB9" w14:textId="2E81D014" w:rsidR="00A86A11" w:rsidRPr="00C04EB0" w:rsidRDefault="00A86A11" w:rsidP="00023D47">
      <w:pPr>
        <w:pStyle w:val="ListParagraph"/>
        <w:numPr>
          <w:ilvl w:val="0"/>
          <w:numId w:val="35"/>
        </w:numPr>
        <w:spacing w:line="276" w:lineRule="auto"/>
        <w:ind w:left="1276" w:hanging="349"/>
        <w:jc w:val="both"/>
        <w:rPr>
          <w:rFonts w:asciiTheme="minorBidi" w:hAnsiTheme="minorBidi" w:cstheme="minorBidi"/>
          <w:w w:val="105"/>
        </w:rPr>
      </w:pPr>
      <w:r w:rsidRPr="00C04EB0">
        <w:rPr>
          <w:rFonts w:asciiTheme="minorBidi" w:hAnsiTheme="minorBidi" w:cstheme="minorBidi"/>
          <w:w w:val="105"/>
        </w:rPr>
        <w:t>ADGM Green Bond</w:t>
      </w:r>
      <w:r w:rsidR="001D6489" w:rsidRPr="00C04EB0">
        <w:rPr>
          <w:rFonts w:asciiTheme="minorBidi" w:hAnsiTheme="minorBidi" w:cstheme="minorBidi"/>
          <w:w w:val="105"/>
        </w:rPr>
        <w:t>s</w:t>
      </w:r>
      <w:r w:rsidR="005B6DE2" w:rsidRPr="00C04EB0">
        <w:rPr>
          <w:rFonts w:asciiTheme="minorBidi" w:hAnsiTheme="minorBidi" w:cstheme="minorBidi"/>
          <w:w w:val="105"/>
        </w:rPr>
        <w:t xml:space="preserve"> and </w:t>
      </w:r>
      <w:r w:rsidRPr="00C04EB0">
        <w:rPr>
          <w:rFonts w:asciiTheme="minorBidi" w:hAnsiTheme="minorBidi" w:cstheme="minorBidi"/>
          <w:w w:val="105"/>
        </w:rPr>
        <w:t>ADGM Sustainability-Linked Bond</w:t>
      </w:r>
      <w:r w:rsidR="001D6489" w:rsidRPr="00C04EB0">
        <w:rPr>
          <w:rFonts w:asciiTheme="minorBidi" w:hAnsiTheme="minorBidi" w:cstheme="minorBidi"/>
          <w:w w:val="105"/>
        </w:rPr>
        <w:t>s</w:t>
      </w:r>
      <w:r w:rsidRPr="00C04EB0">
        <w:rPr>
          <w:rFonts w:asciiTheme="minorBidi" w:hAnsiTheme="minorBidi" w:cstheme="minorBidi"/>
          <w:w w:val="105"/>
        </w:rPr>
        <w:t xml:space="preserve">; </w:t>
      </w:r>
      <w:r w:rsidR="005B6DE2" w:rsidRPr="00C04EB0">
        <w:rPr>
          <w:rFonts w:asciiTheme="minorBidi" w:hAnsiTheme="minorBidi" w:cstheme="minorBidi"/>
          <w:w w:val="105"/>
        </w:rPr>
        <w:t>and</w:t>
      </w:r>
    </w:p>
    <w:p w14:paraId="5C3EAE8D" w14:textId="00FA400A" w:rsidR="00A86A11" w:rsidRPr="00C04EB0" w:rsidRDefault="00A86A11" w:rsidP="00023D47">
      <w:pPr>
        <w:pStyle w:val="ListParagraph"/>
        <w:numPr>
          <w:ilvl w:val="0"/>
          <w:numId w:val="35"/>
        </w:numPr>
        <w:spacing w:line="276" w:lineRule="auto"/>
        <w:ind w:left="1276" w:hanging="349"/>
        <w:jc w:val="both"/>
        <w:rPr>
          <w:rFonts w:asciiTheme="minorBidi" w:hAnsiTheme="minorBidi" w:cstheme="minorBidi"/>
          <w:w w:val="105"/>
        </w:rPr>
      </w:pPr>
      <w:r w:rsidRPr="00C04EB0">
        <w:rPr>
          <w:rFonts w:asciiTheme="minorBidi" w:hAnsiTheme="minorBidi" w:cstheme="minorBidi"/>
          <w:w w:val="105"/>
        </w:rPr>
        <w:t>ADGM Green Sukuk</w:t>
      </w:r>
      <w:r w:rsidR="001D6489" w:rsidRPr="00C04EB0">
        <w:rPr>
          <w:rFonts w:asciiTheme="minorBidi" w:hAnsiTheme="minorBidi" w:cstheme="minorBidi"/>
          <w:w w:val="105"/>
        </w:rPr>
        <w:t>s</w:t>
      </w:r>
      <w:r w:rsidRPr="00C04EB0">
        <w:rPr>
          <w:rFonts w:asciiTheme="minorBidi" w:hAnsiTheme="minorBidi" w:cstheme="minorBidi"/>
          <w:w w:val="105"/>
        </w:rPr>
        <w:t xml:space="preserve"> and</w:t>
      </w:r>
      <w:r w:rsidR="005B6DE2" w:rsidRPr="00C04EB0">
        <w:rPr>
          <w:rFonts w:asciiTheme="minorBidi" w:hAnsiTheme="minorBidi" w:cstheme="minorBidi"/>
          <w:w w:val="105"/>
        </w:rPr>
        <w:t xml:space="preserve"> </w:t>
      </w:r>
      <w:r w:rsidRPr="00C04EB0">
        <w:rPr>
          <w:rFonts w:asciiTheme="minorBidi" w:hAnsiTheme="minorBidi" w:cstheme="minorBidi"/>
          <w:w w:val="105"/>
        </w:rPr>
        <w:t>ADGM Sustainability-Linked Sukuk</w:t>
      </w:r>
      <w:r w:rsidR="001D6489" w:rsidRPr="00C04EB0">
        <w:rPr>
          <w:rFonts w:asciiTheme="minorBidi" w:hAnsiTheme="minorBidi" w:cstheme="minorBidi"/>
          <w:w w:val="105"/>
        </w:rPr>
        <w:t>s</w:t>
      </w:r>
      <w:r w:rsidR="005B6DE2" w:rsidRPr="00C04EB0">
        <w:rPr>
          <w:rFonts w:asciiTheme="minorBidi" w:hAnsiTheme="minorBidi" w:cstheme="minorBidi"/>
          <w:w w:val="105"/>
        </w:rPr>
        <w:t>.</w:t>
      </w:r>
    </w:p>
    <w:p w14:paraId="77DE2666" w14:textId="08ABFC1E" w:rsidR="00DA7DC4" w:rsidRPr="00C04EB0" w:rsidRDefault="001D6489" w:rsidP="00023D47">
      <w:pPr>
        <w:ind w:left="709" w:hanging="709"/>
        <w:jc w:val="both"/>
        <w:rPr>
          <w:rFonts w:asciiTheme="minorBidi" w:hAnsiTheme="minorBidi" w:cstheme="minorBidi"/>
        </w:rPr>
      </w:pPr>
      <w:r w:rsidRPr="00C04EB0">
        <w:rPr>
          <w:rFonts w:asciiTheme="minorBidi" w:hAnsiTheme="minorBidi" w:cstheme="minorBidi"/>
        </w:rPr>
        <w:t>1.4</w:t>
      </w:r>
      <w:r w:rsidRPr="00C04EB0">
        <w:rPr>
          <w:rFonts w:asciiTheme="minorBidi" w:hAnsiTheme="minorBidi" w:cstheme="minorBidi"/>
        </w:rPr>
        <w:tab/>
        <w:t>The designations are voluntary, i.e. on opt-in basis</w:t>
      </w:r>
      <w:r w:rsidR="005B6DE2" w:rsidRPr="00C04EB0">
        <w:rPr>
          <w:rFonts w:asciiTheme="minorBidi" w:hAnsiTheme="minorBidi" w:cstheme="minorBidi"/>
        </w:rPr>
        <w:t>,</w:t>
      </w:r>
      <w:r w:rsidRPr="00C04EB0">
        <w:rPr>
          <w:rFonts w:asciiTheme="minorBidi" w:hAnsiTheme="minorBidi" w:cstheme="minorBidi"/>
        </w:rPr>
        <w:t xml:space="preserve"> and issued by the Regulator upon application or notification. Upon receipt of a designation,</w:t>
      </w:r>
      <w:r w:rsidR="001677AD" w:rsidRPr="00C04EB0">
        <w:rPr>
          <w:rFonts w:asciiTheme="minorBidi" w:hAnsiTheme="minorBidi" w:cstheme="minorBidi"/>
        </w:rPr>
        <w:t xml:space="preserve"> a </w:t>
      </w:r>
      <w:r w:rsidRPr="00C04EB0">
        <w:rPr>
          <w:rFonts w:asciiTheme="minorBidi" w:hAnsiTheme="minorBidi" w:cstheme="minorBidi"/>
        </w:rPr>
        <w:t>Person may use the relevant mark</w:t>
      </w:r>
      <w:r w:rsidRPr="00C04EB0" w:rsidDel="001325FD">
        <w:rPr>
          <w:rFonts w:asciiTheme="minorBidi" w:hAnsiTheme="minorBidi" w:cstheme="minorBidi"/>
        </w:rPr>
        <w:t xml:space="preserve"> </w:t>
      </w:r>
      <w:r w:rsidRPr="00C04EB0">
        <w:rPr>
          <w:rFonts w:asciiTheme="minorBidi" w:hAnsiTheme="minorBidi" w:cstheme="minorBidi"/>
        </w:rPr>
        <w:t xml:space="preserve">corresponding to the designation received in </w:t>
      </w:r>
      <w:r w:rsidR="006310AF" w:rsidRPr="00C04EB0">
        <w:rPr>
          <w:rFonts w:asciiTheme="minorBidi" w:hAnsiTheme="minorBidi" w:cstheme="minorBidi"/>
        </w:rPr>
        <w:t>its</w:t>
      </w:r>
      <w:r w:rsidRPr="00C04EB0">
        <w:rPr>
          <w:rFonts w:asciiTheme="minorBidi" w:hAnsiTheme="minorBidi" w:cstheme="minorBidi"/>
        </w:rPr>
        <w:t xml:space="preserve"> communications</w:t>
      </w:r>
      <w:r w:rsidR="006310AF" w:rsidRPr="00C04EB0">
        <w:rPr>
          <w:rFonts w:asciiTheme="minorBidi" w:hAnsiTheme="minorBidi" w:cstheme="minorBidi"/>
        </w:rPr>
        <w:t>,</w:t>
      </w:r>
      <w:r w:rsidRPr="00C04EB0">
        <w:rPr>
          <w:rFonts w:asciiTheme="minorBidi" w:hAnsiTheme="minorBidi" w:cstheme="minorBidi"/>
        </w:rPr>
        <w:t xml:space="preserve"> subject to receiving appropriate permission from the Regulator.</w:t>
      </w:r>
      <w:r w:rsidR="001677AD" w:rsidRPr="00C04EB0">
        <w:rPr>
          <w:rFonts w:asciiTheme="minorBidi" w:hAnsiTheme="minorBidi" w:cstheme="minorBidi"/>
        </w:rPr>
        <w:t xml:space="preserve"> The granting and use of an ADGM Designation is not a guarantee issued by the Regulator of the recipient’s compliance with applicable Rules. Instead</w:t>
      </w:r>
      <w:r w:rsidR="00D4136B">
        <w:rPr>
          <w:rFonts w:asciiTheme="minorBidi" w:hAnsiTheme="minorBidi" w:cstheme="minorBidi"/>
        </w:rPr>
        <w:t>,</w:t>
      </w:r>
      <w:r w:rsidR="001677AD" w:rsidRPr="00C04EB0">
        <w:rPr>
          <w:rFonts w:asciiTheme="minorBidi" w:hAnsiTheme="minorBidi" w:cstheme="minorBidi"/>
        </w:rPr>
        <w:t xml:space="preserve"> it signifies that the recipient purports to have invested in or be investing in green or greening economic activities in accordance with applicable Rules.</w:t>
      </w:r>
      <w:r w:rsidR="001677AD" w:rsidRPr="00C04EB0" w:rsidDel="005B6DE2">
        <w:rPr>
          <w:rFonts w:asciiTheme="minorBidi" w:hAnsiTheme="minorBidi" w:cstheme="minorBidi"/>
        </w:rPr>
        <w:t xml:space="preserve"> </w:t>
      </w:r>
      <w:bookmarkEnd w:id="5"/>
    </w:p>
    <w:p w14:paraId="20740833" w14:textId="647C7369" w:rsidR="00540346" w:rsidRPr="00C04EB0" w:rsidRDefault="00B271B4" w:rsidP="00023D47">
      <w:pPr>
        <w:pStyle w:val="Level1"/>
        <w:jc w:val="left"/>
        <w:rPr>
          <w:rFonts w:asciiTheme="minorBidi" w:hAnsiTheme="minorBidi" w:cstheme="minorBidi"/>
          <w:b w:val="0"/>
          <w:bCs w:val="0"/>
          <w:w w:val="105"/>
        </w:rPr>
      </w:pPr>
      <w:bookmarkStart w:id="6" w:name="_Toc118210665"/>
      <w:bookmarkStart w:id="7" w:name="_Toc138249326"/>
      <w:bookmarkEnd w:id="6"/>
      <w:r w:rsidRPr="00C04EB0">
        <w:rPr>
          <w:rFonts w:asciiTheme="minorBidi" w:hAnsiTheme="minorBidi" w:cstheme="minorBidi"/>
          <w:w w:val="105"/>
        </w:rPr>
        <w:t>Taxonomies</w:t>
      </w:r>
      <w:r w:rsidR="00AD4338" w:rsidRPr="00C04EB0">
        <w:rPr>
          <w:rFonts w:asciiTheme="minorBidi" w:hAnsiTheme="minorBidi" w:cstheme="minorBidi"/>
          <w:w w:val="105"/>
        </w:rPr>
        <w:t xml:space="preserve"> and attestation requirements – </w:t>
      </w:r>
      <w:r w:rsidR="00435DF5">
        <w:rPr>
          <w:rFonts w:asciiTheme="minorBidi" w:hAnsiTheme="minorBidi" w:cstheme="minorBidi"/>
          <w:w w:val="105"/>
        </w:rPr>
        <w:t>F</w:t>
      </w:r>
      <w:r w:rsidR="00AD4338" w:rsidRPr="00C04EB0">
        <w:rPr>
          <w:rFonts w:asciiTheme="minorBidi" w:hAnsiTheme="minorBidi" w:cstheme="minorBidi"/>
          <w:w w:val="105"/>
        </w:rPr>
        <w:t xml:space="preserve">unds and </w:t>
      </w:r>
      <w:r w:rsidR="00435DF5">
        <w:rPr>
          <w:rFonts w:asciiTheme="minorBidi" w:hAnsiTheme="minorBidi" w:cstheme="minorBidi"/>
          <w:w w:val="105"/>
        </w:rPr>
        <w:t xml:space="preserve">Model </w:t>
      </w:r>
      <w:r w:rsidR="00AD4338" w:rsidRPr="00C04EB0">
        <w:rPr>
          <w:rFonts w:asciiTheme="minorBidi" w:hAnsiTheme="minorBidi" w:cstheme="minorBidi"/>
          <w:w w:val="105"/>
        </w:rPr>
        <w:t>portfolios</w:t>
      </w:r>
      <w:bookmarkEnd w:id="7"/>
    </w:p>
    <w:p w14:paraId="2F5A8DF1" w14:textId="77777777" w:rsidR="00277FB6" w:rsidRPr="00C04EB0" w:rsidRDefault="00277FB6" w:rsidP="00023D47">
      <w:pPr>
        <w:jc w:val="both"/>
        <w:rPr>
          <w:rFonts w:asciiTheme="minorBidi" w:hAnsiTheme="minorBidi" w:cstheme="minorBidi"/>
          <w:b/>
          <w:bCs/>
          <w:w w:val="105"/>
        </w:rPr>
      </w:pPr>
      <w:bookmarkStart w:id="8" w:name="_Toc116055877"/>
      <w:r w:rsidRPr="00C04EB0">
        <w:rPr>
          <w:rFonts w:asciiTheme="minorBidi" w:hAnsiTheme="minorBidi" w:cstheme="minorBidi"/>
          <w:b/>
          <w:bCs/>
          <w:w w:val="105"/>
        </w:rPr>
        <w:t>Acceptable Green Taxonomies</w:t>
      </w:r>
    </w:p>
    <w:p w14:paraId="40041B1C" w14:textId="3E7E4365" w:rsidR="00277FB6" w:rsidRPr="00C04EB0" w:rsidRDefault="00145DA0" w:rsidP="00023D47">
      <w:pPr>
        <w:ind w:left="709" w:hanging="709"/>
        <w:jc w:val="both"/>
        <w:rPr>
          <w:rFonts w:asciiTheme="minorBidi" w:hAnsiTheme="minorBidi" w:cstheme="minorBidi"/>
          <w:w w:val="105"/>
        </w:rPr>
      </w:pPr>
      <w:r w:rsidRPr="00C04EB0">
        <w:rPr>
          <w:rFonts w:asciiTheme="minorBidi" w:hAnsiTheme="minorBidi" w:cstheme="minorBidi"/>
          <w:w w:val="105"/>
        </w:rPr>
        <w:t>2.1</w:t>
      </w:r>
      <w:r w:rsidRPr="00C04EB0">
        <w:rPr>
          <w:rFonts w:asciiTheme="minorBidi" w:hAnsiTheme="minorBidi" w:cstheme="minorBidi"/>
          <w:w w:val="105"/>
        </w:rPr>
        <w:tab/>
      </w:r>
      <w:r w:rsidR="004F7FEF" w:rsidRPr="00C04EB0">
        <w:rPr>
          <w:rFonts w:asciiTheme="minorBidi" w:hAnsiTheme="minorBidi" w:cstheme="minorBidi"/>
          <w:w w:val="105"/>
        </w:rPr>
        <w:t>A</w:t>
      </w:r>
      <w:r w:rsidR="00277FB6" w:rsidRPr="00C04EB0">
        <w:rPr>
          <w:rFonts w:asciiTheme="minorBidi" w:hAnsiTheme="minorBidi" w:cstheme="minorBidi"/>
          <w:w w:val="105"/>
        </w:rPr>
        <w:t xml:space="preserve">n ADGM Green Fund may choose any published, </w:t>
      </w:r>
      <w:proofErr w:type="gramStart"/>
      <w:r w:rsidR="00277FB6" w:rsidRPr="00C04EB0">
        <w:rPr>
          <w:rFonts w:asciiTheme="minorBidi" w:hAnsiTheme="minorBidi" w:cstheme="minorBidi"/>
          <w:w w:val="105"/>
        </w:rPr>
        <w:t>credible</w:t>
      </w:r>
      <w:proofErr w:type="gramEnd"/>
      <w:r w:rsidR="00277FB6" w:rsidRPr="00C04EB0">
        <w:rPr>
          <w:rFonts w:asciiTheme="minorBidi" w:hAnsiTheme="minorBidi" w:cstheme="minorBidi"/>
          <w:w w:val="105"/>
        </w:rPr>
        <w:t xml:space="preserve"> and independent green taxonomy as a reference against which its assets</w:t>
      </w:r>
      <w:r w:rsidR="0092154F" w:rsidRPr="00C04EB0">
        <w:rPr>
          <w:rFonts w:asciiTheme="minorBidi" w:hAnsiTheme="minorBidi" w:cstheme="minorBidi"/>
          <w:w w:val="105"/>
        </w:rPr>
        <w:t xml:space="preserve"> will be assessed as to their b</w:t>
      </w:r>
      <w:r w:rsidR="007A419A" w:rsidRPr="00C04EB0">
        <w:rPr>
          <w:rFonts w:asciiTheme="minorBidi" w:hAnsiTheme="minorBidi" w:cstheme="minorBidi"/>
          <w:w w:val="105"/>
        </w:rPr>
        <w:t>e</w:t>
      </w:r>
      <w:r w:rsidR="0092154F" w:rsidRPr="00C04EB0">
        <w:rPr>
          <w:rFonts w:asciiTheme="minorBidi" w:hAnsiTheme="minorBidi" w:cstheme="minorBidi"/>
          <w:w w:val="105"/>
        </w:rPr>
        <w:t>ing environmentally sustainable</w:t>
      </w:r>
      <w:r w:rsidR="00277FB6" w:rsidRPr="00C04EB0">
        <w:rPr>
          <w:rFonts w:asciiTheme="minorBidi" w:hAnsiTheme="minorBidi" w:cstheme="minorBidi"/>
          <w:w w:val="105"/>
        </w:rPr>
        <w:t xml:space="preserve">. </w:t>
      </w:r>
      <w:r w:rsidR="000416A7" w:rsidRPr="00C04EB0">
        <w:rPr>
          <w:rFonts w:asciiTheme="minorBidi" w:hAnsiTheme="minorBidi" w:cstheme="minorBidi"/>
          <w:w w:val="105"/>
        </w:rPr>
        <w:t xml:space="preserve">As </w:t>
      </w:r>
      <w:r w:rsidR="00277FB6" w:rsidRPr="00C04EB0">
        <w:rPr>
          <w:rFonts w:asciiTheme="minorBidi" w:hAnsiTheme="minorBidi" w:cstheme="minorBidi"/>
          <w:w w:val="105"/>
        </w:rPr>
        <w:t xml:space="preserve">green taxonomies tend to describe </w:t>
      </w:r>
      <w:r w:rsidR="00FC4ACC" w:rsidRPr="00C04EB0">
        <w:rPr>
          <w:rFonts w:asciiTheme="minorBidi" w:hAnsiTheme="minorBidi" w:cstheme="minorBidi"/>
          <w:w w:val="105"/>
        </w:rPr>
        <w:t>economic activities prioritised in</w:t>
      </w:r>
      <w:r w:rsidR="00277FB6" w:rsidRPr="00C04EB0">
        <w:rPr>
          <w:rFonts w:asciiTheme="minorBidi" w:hAnsiTheme="minorBidi" w:cstheme="minorBidi"/>
          <w:w w:val="105"/>
        </w:rPr>
        <w:t xml:space="preserve"> the jurisdiction in which they are published</w:t>
      </w:r>
      <w:r w:rsidR="00FC4ACC" w:rsidRPr="00C04EB0">
        <w:rPr>
          <w:rFonts w:asciiTheme="minorBidi" w:hAnsiTheme="minorBidi" w:cstheme="minorBidi"/>
          <w:w w:val="105"/>
        </w:rPr>
        <w:t>,</w:t>
      </w:r>
      <w:r w:rsidR="001F43E6" w:rsidRPr="00C04EB0">
        <w:rPr>
          <w:rFonts w:asciiTheme="minorBidi" w:hAnsiTheme="minorBidi" w:cstheme="minorBidi"/>
          <w:w w:val="105"/>
        </w:rPr>
        <w:t xml:space="preserve"> </w:t>
      </w:r>
      <w:r w:rsidR="00277FB6" w:rsidRPr="00C04EB0">
        <w:rPr>
          <w:rFonts w:asciiTheme="minorBidi" w:hAnsiTheme="minorBidi" w:cstheme="minorBidi"/>
          <w:w w:val="105"/>
        </w:rPr>
        <w:t xml:space="preserve">the Fund Manager </w:t>
      </w:r>
      <w:r w:rsidR="00705E5E" w:rsidRPr="00C04EB0">
        <w:rPr>
          <w:rFonts w:asciiTheme="minorBidi" w:hAnsiTheme="minorBidi" w:cstheme="minorBidi"/>
          <w:w w:val="105"/>
        </w:rPr>
        <w:t xml:space="preserve">is given </w:t>
      </w:r>
      <w:r w:rsidR="00DE41DF" w:rsidRPr="00C04EB0">
        <w:rPr>
          <w:rFonts w:asciiTheme="minorBidi" w:hAnsiTheme="minorBidi" w:cstheme="minorBidi"/>
          <w:w w:val="105"/>
        </w:rPr>
        <w:t xml:space="preserve">flexibility to select the most suitable taxonomy </w:t>
      </w:r>
      <w:r w:rsidR="00705E5E" w:rsidRPr="00C04EB0">
        <w:rPr>
          <w:rFonts w:asciiTheme="minorBidi" w:hAnsiTheme="minorBidi" w:cstheme="minorBidi"/>
          <w:w w:val="105"/>
        </w:rPr>
        <w:t>considering</w:t>
      </w:r>
      <w:r w:rsidR="00277FB6" w:rsidRPr="00C04EB0">
        <w:rPr>
          <w:rFonts w:asciiTheme="minorBidi" w:hAnsiTheme="minorBidi" w:cstheme="minorBidi"/>
          <w:w w:val="105"/>
        </w:rPr>
        <w:t xml:space="preserve"> the strategy of the Fund, </w:t>
      </w:r>
      <w:r w:rsidR="00B450B8" w:rsidRPr="00C04EB0">
        <w:rPr>
          <w:rFonts w:asciiTheme="minorBidi" w:hAnsiTheme="minorBidi" w:cstheme="minorBidi"/>
          <w:w w:val="105"/>
        </w:rPr>
        <w:t>rather than specifying one specific green taxonomy</w:t>
      </w:r>
      <w:r w:rsidR="00CB5F62" w:rsidRPr="00C04EB0">
        <w:rPr>
          <w:rFonts w:asciiTheme="minorBidi" w:hAnsiTheme="minorBidi" w:cstheme="minorBidi"/>
          <w:w w:val="105"/>
        </w:rPr>
        <w:t xml:space="preserve"> must be used</w:t>
      </w:r>
      <w:r w:rsidR="00277FB6" w:rsidRPr="00C04EB0">
        <w:rPr>
          <w:rFonts w:asciiTheme="minorBidi" w:hAnsiTheme="minorBidi" w:cstheme="minorBidi"/>
          <w:w w:val="105"/>
        </w:rPr>
        <w:t xml:space="preserve">. </w:t>
      </w:r>
    </w:p>
    <w:p w14:paraId="7890E2BA" w14:textId="7417EB79" w:rsidR="00277FB6" w:rsidRPr="00C04EB0" w:rsidRDefault="00145DA0" w:rsidP="00023D47">
      <w:pPr>
        <w:ind w:left="709" w:hanging="709"/>
        <w:jc w:val="both"/>
        <w:rPr>
          <w:rFonts w:asciiTheme="minorBidi" w:hAnsiTheme="minorBidi" w:cstheme="minorBidi"/>
          <w:w w:val="105"/>
        </w:rPr>
      </w:pPr>
      <w:r w:rsidRPr="00C04EB0">
        <w:rPr>
          <w:rFonts w:asciiTheme="minorBidi" w:hAnsiTheme="minorBidi" w:cstheme="minorBidi"/>
          <w:w w:val="105"/>
        </w:rPr>
        <w:t>2.2</w:t>
      </w:r>
      <w:r w:rsidRPr="00C04EB0">
        <w:rPr>
          <w:rFonts w:asciiTheme="minorBidi" w:hAnsiTheme="minorBidi" w:cstheme="minorBidi"/>
          <w:w w:val="105"/>
        </w:rPr>
        <w:tab/>
      </w:r>
      <w:r w:rsidR="001F43E6" w:rsidRPr="00C04EB0">
        <w:rPr>
          <w:rFonts w:asciiTheme="minorBidi" w:hAnsiTheme="minorBidi" w:cstheme="minorBidi"/>
          <w:w w:val="105"/>
        </w:rPr>
        <w:t xml:space="preserve">The Regulator would usually consider only </w:t>
      </w:r>
      <w:r w:rsidR="007636BE" w:rsidRPr="00C04EB0">
        <w:rPr>
          <w:rFonts w:asciiTheme="minorBidi" w:hAnsiTheme="minorBidi" w:cstheme="minorBidi"/>
          <w:w w:val="105"/>
        </w:rPr>
        <w:t xml:space="preserve">a </w:t>
      </w:r>
      <w:r w:rsidR="001F43E6" w:rsidRPr="00C04EB0">
        <w:rPr>
          <w:rFonts w:asciiTheme="minorBidi" w:hAnsiTheme="minorBidi" w:cstheme="minorBidi"/>
          <w:w w:val="105"/>
        </w:rPr>
        <w:t>taxonom</w:t>
      </w:r>
      <w:r w:rsidR="007636BE" w:rsidRPr="00C04EB0">
        <w:rPr>
          <w:rFonts w:asciiTheme="minorBidi" w:hAnsiTheme="minorBidi" w:cstheme="minorBidi"/>
          <w:w w:val="105"/>
        </w:rPr>
        <w:t>y</w:t>
      </w:r>
      <w:r w:rsidR="001F43E6" w:rsidRPr="00C04EB0">
        <w:rPr>
          <w:rFonts w:asciiTheme="minorBidi" w:hAnsiTheme="minorBidi" w:cstheme="minorBidi"/>
          <w:w w:val="105"/>
        </w:rPr>
        <w:t xml:space="preserve"> published by another regulatory or supranational body to </w:t>
      </w:r>
      <w:r w:rsidR="005B2404" w:rsidRPr="00C04EB0">
        <w:rPr>
          <w:rFonts w:asciiTheme="minorBidi" w:hAnsiTheme="minorBidi" w:cstheme="minorBidi"/>
          <w:w w:val="105"/>
        </w:rPr>
        <w:t xml:space="preserve">be an </w:t>
      </w:r>
      <w:r w:rsidR="006E0E4F" w:rsidRPr="00C04EB0">
        <w:rPr>
          <w:rFonts w:asciiTheme="minorBidi" w:hAnsiTheme="minorBidi" w:cstheme="minorBidi"/>
          <w:w w:val="105"/>
        </w:rPr>
        <w:t>“</w:t>
      </w:r>
      <w:r w:rsidR="005B2404" w:rsidRPr="00C04EB0">
        <w:rPr>
          <w:rFonts w:asciiTheme="minorBidi" w:hAnsiTheme="minorBidi" w:cstheme="minorBidi"/>
          <w:w w:val="105"/>
        </w:rPr>
        <w:t>Acceptable Green Taxonomy</w:t>
      </w:r>
      <w:r w:rsidR="006E0E4F" w:rsidRPr="00C04EB0">
        <w:rPr>
          <w:rFonts w:asciiTheme="minorBidi" w:hAnsiTheme="minorBidi" w:cstheme="minorBidi"/>
          <w:w w:val="105"/>
        </w:rPr>
        <w:t>”</w:t>
      </w:r>
      <w:r w:rsidR="005B2404" w:rsidRPr="00C04EB0">
        <w:rPr>
          <w:rFonts w:asciiTheme="minorBidi" w:hAnsiTheme="minorBidi" w:cstheme="minorBidi"/>
          <w:w w:val="105"/>
        </w:rPr>
        <w:t xml:space="preserve"> or </w:t>
      </w:r>
      <w:r w:rsidR="006E0E4F" w:rsidRPr="00C04EB0">
        <w:rPr>
          <w:rFonts w:asciiTheme="minorBidi" w:hAnsiTheme="minorBidi" w:cstheme="minorBidi"/>
          <w:w w:val="105"/>
        </w:rPr>
        <w:t>“</w:t>
      </w:r>
      <w:r w:rsidR="005B2404" w:rsidRPr="00C04EB0">
        <w:rPr>
          <w:rFonts w:asciiTheme="minorBidi" w:hAnsiTheme="minorBidi" w:cstheme="minorBidi"/>
          <w:w w:val="105"/>
        </w:rPr>
        <w:t>Acceptable Climate Transition Taxonomy</w:t>
      </w:r>
      <w:r w:rsidR="006E0E4F" w:rsidRPr="00C04EB0">
        <w:rPr>
          <w:rFonts w:asciiTheme="minorBidi" w:hAnsiTheme="minorBidi" w:cstheme="minorBidi"/>
          <w:w w:val="105"/>
        </w:rPr>
        <w:t>”</w:t>
      </w:r>
      <w:r w:rsidR="005B2404" w:rsidRPr="00C04EB0">
        <w:rPr>
          <w:rFonts w:asciiTheme="minorBidi" w:hAnsiTheme="minorBidi" w:cstheme="minorBidi"/>
          <w:w w:val="105"/>
        </w:rPr>
        <w:t xml:space="preserve"> </w:t>
      </w:r>
      <w:r w:rsidR="001F43E6" w:rsidRPr="00C04EB0">
        <w:rPr>
          <w:rFonts w:asciiTheme="minorBidi" w:hAnsiTheme="minorBidi" w:cstheme="minorBidi"/>
          <w:w w:val="105"/>
        </w:rPr>
        <w:t xml:space="preserve">as defined in the Glossary. A taxonomy published by a market participant or group of market participants is significantly less likely to meet the </w:t>
      </w:r>
      <w:r w:rsidR="006E0E4F" w:rsidRPr="00C04EB0">
        <w:rPr>
          <w:rFonts w:asciiTheme="minorBidi" w:hAnsiTheme="minorBidi" w:cstheme="minorBidi"/>
          <w:w w:val="105"/>
        </w:rPr>
        <w:t>“</w:t>
      </w:r>
      <w:r w:rsidR="001F43E6" w:rsidRPr="00C04EB0">
        <w:rPr>
          <w:rFonts w:asciiTheme="minorBidi" w:hAnsiTheme="minorBidi" w:cstheme="minorBidi"/>
          <w:w w:val="105"/>
        </w:rPr>
        <w:t>independent</w:t>
      </w:r>
      <w:r w:rsidR="006E0E4F" w:rsidRPr="00C04EB0">
        <w:rPr>
          <w:rFonts w:asciiTheme="minorBidi" w:hAnsiTheme="minorBidi" w:cstheme="minorBidi"/>
          <w:w w:val="105"/>
        </w:rPr>
        <w:t>”</w:t>
      </w:r>
      <w:r w:rsidR="001F43E6" w:rsidRPr="00C04EB0">
        <w:rPr>
          <w:rFonts w:asciiTheme="minorBidi" w:hAnsiTheme="minorBidi" w:cstheme="minorBidi"/>
          <w:w w:val="105"/>
        </w:rPr>
        <w:t xml:space="preserve"> requirement </w:t>
      </w:r>
      <w:r w:rsidR="005B2404" w:rsidRPr="00C04EB0">
        <w:rPr>
          <w:rFonts w:asciiTheme="minorBidi" w:hAnsiTheme="minorBidi" w:cstheme="minorBidi"/>
          <w:w w:val="105"/>
        </w:rPr>
        <w:t>of those terms</w:t>
      </w:r>
      <w:r w:rsidR="001F43E6" w:rsidRPr="00C04EB0">
        <w:rPr>
          <w:rFonts w:asciiTheme="minorBidi" w:hAnsiTheme="minorBidi" w:cstheme="minorBidi"/>
          <w:w w:val="105"/>
        </w:rPr>
        <w:t xml:space="preserve">. </w:t>
      </w:r>
      <w:r w:rsidR="00277FB6" w:rsidRPr="00C04EB0">
        <w:rPr>
          <w:rFonts w:asciiTheme="minorBidi" w:hAnsiTheme="minorBidi" w:cstheme="minorBidi"/>
          <w:w w:val="105"/>
        </w:rPr>
        <w:t xml:space="preserve">At present, the following taxonomies </w:t>
      </w:r>
      <w:r w:rsidR="00B450B8" w:rsidRPr="00C04EB0">
        <w:rPr>
          <w:rFonts w:asciiTheme="minorBidi" w:hAnsiTheme="minorBidi" w:cstheme="minorBidi"/>
          <w:w w:val="105"/>
        </w:rPr>
        <w:t xml:space="preserve">are considered </w:t>
      </w:r>
      <w:r w:rsidR="00277FB6" w:rsidRPr="00C04EB0">
        <w:rPr>
          <w:rFonts w:asciiTheme="minorBidi" w:hAnsiTheme="minorBidi" w:cstheme="minorBidi"/>
          <w:w w:val="105"/>
        </w:rPr>
        <w:t xml:space="preserve">acceptable by the Regulator: </w:t>
      </w:r>
    </w:p>
    <w:p w14:paraId="6956E670" w14:textId="38B40054" w:rsidR="00277FB6" w:rsidRPr="00C04EB0" w:rsidRDefault="00B450B8" w:rsidP="00023D47">
      <w:pPr>
        <w:pStyle w:val="ListParagraph"/>
        <w:numPr>
          <w:ilvl w:val="0"/>
          <w:numId w:val="24"/>
        </w:numPr>
        <w:ind w:left="1418" w:hanging="709"/>
        <w:jc w:val="both"/>
        <w:rPr>
          <w:rFonts w:asciiTheme="minorBidi" w:hAnsiTheme="minorBidi" w:cstheme="minorBidi"/>
          <w:w w:val="105"/>
        </w:rPr>
      </w:pPr>
      <w:r w:rsidRPr="00C04EB0">
        <w:rPr>
          <w:rFonts w:asciiTheme="minorBidi" w:hAnsiTheme="minorBidi" w:cstheme="minorBidi"/>
          <w:w w:val="105"/>
        </w:rPr>
        <w:t>t</w:t>
      </w:r>
      <w:r w:rsidR="00277FB6" w:rsidRPr="00C04EB0">
        <w:rPr>
          <w:rFonts w:asciiTheme="minorBidi" w:hAnsiTheme="minorBidi" w:cstheme="minorBidi"/>
          <w:w w:val="105"/>
        </w:rPr>
        <w:t xml:space="preserve">he EU Green </w:t>
      </w:r>
      <w:proofErr w:type="gramStart"/>
      <w:r w:rsidR="00277FB6" w:rsidRPr="00C04EB0">
        <w:rPr>
          <w:rFonts w:asciiTheme="minorBidi" w:hAnsiTheme="minorBidi" w:cstheme="minorBidi"/>
          <w:w w:val="105"/>
        </w:rPr>
        <w:t>Taxonomy</w:t>
      </w:r>
      <w:r w:rsidRPr="00C04EB0">
        <w:rPr>
          <w:rFonts w:asciiTheme="minorBidi" w:hAnsiTheme="minorBidi" w:cstheme="minorBidi"/>
          <w:w w:val="105"/>
        </w:rPr>
        <w:t>;</w:t>
      </w:r>
      <w:proofErr w:type="gramEnd"/>
    </w:p>
    <w:p w14:paraId="45D3540B" w14:textId="5DEC4B67" w:rsidR="00277FB6" w:rsidRPr="00C04EB0" w:rsidRDefault="00B450B8" w:rsidP="00023D47">
      <w:pPr>
        <w:pStyle w:val="ListParagraph"/>
        <w:numPr>
          <w:ilvl w:val="0"/>
          <w:numId w:val="24"/>
        </w:numPr>
        <w:ind w:left="1418" w:hanging="709"/>
        <w:jc w:val="both"/>
        <w:rPr>
          <w:rFonts w:asciiTheme="minorBidi" w:hAnsiTheme="minorBidi" w:cstheme="minorBidi"/>
          <w:w w:val="105"/>
        </w:rPr>
      </w:pPr>
      <w:r w:rsidRPr="00C04EB0">
        <w:rPr>
          <w:rFonts w:asciiTheme="minorBidi" w:hAnsiTheme="minorBidi" w:cstheme="minorBidi"/>
          <w:w w:val="105"/>
        </w:rPr>
        <w:t>t</w:t>
      </w:r>
      <w:r w:rsidR="00277FB6" w:rsidRPr="00C04EB0">
        <w:rPr>
          <w:rFonts w:asciiTheme="minorBidi" w:hAnsiTheme="minorBidi" w:cstheme="minorBidi"/>
          <w:w w:val="105"/>
        </w:rPr>
        <w:t xml:space="preserve">he ASEAN Sustainable Finance </w:t>
      </w:r>
      <w:proofErr w:type="gramStart"/>
      <w:r w:rsidR="00277FB6" w:rsidRPr="00C04EB0">
        <w:rPr>
          <w:rFonts w:asciiTheme="minorBidi" w:hAnsiTheme="minorBidi" w:cstheme="minorBidi"/>
          <w:w w:val="105"/>
        </w:rPr>
        <w:t>Taxonomy</w:t>
      </w:r>
      <w:r w:rsidRPr="00C04EB0">
        <w:rPr>
          <w:rFonts w:asciiTheme="minorBidi" w:hAnsiTheme="minorBidi" w:cstheme="minorBidi"/>
          <w:w w:val="105"/>
        </w:rPr>
        <w:t>;</w:t>
      </w:r>
      <w:proofErr w:type="gramEnd"/>
    </w:p>
    <w:p w14:paraId="574BFF6A" w14:textId="3A9FD76B" w:rsidR="00277FB6" w:rsidRPr="00C04EB0" w:rsidRDefault="00277FB6" w:rsidP="00023D47">
      <w:pPr>
        <w:pStyle w:val="ListParagraph"/>
        <w:numPr>
          <w:ilvl w:val="0"/>
          <w:numId w:val="24"/>
        </w:numPr>
        <w:ind w:left="1418" w:hanging="709"/>
        <w:jc w:val="both"/>
        <w:rPr>
          <w:rFonts w:asciiTheme="minorBidi" w:hAnsiTheme="minorBidi" w:cstheme="minorBidi"/>
          <w:w w:val="105"/>
        </w:rPr>
      </w:pPr>
      <w:r w:rsidRPr="00C04EB0">
        <w:rPr>
          <w:rFonts w:asciiTheme="minorBidi" w:hAnsiTheme="minorBidi" w:cstheme="minorBidi"/>
          <w:w w:val="105"/>
        </w:rPr>
        <w:t>the Common Principles for Climate Mitigation Finance Tracking</w:t>
      </w:r>
      <w:r w:rsidR="00B450B8" w:rsidRPr="00C04EB0">
        <w:rPr>
          <w:rFonts w:asciiTheme="minorBidi" w:hAnsiTheme="minorBidi" w:cstheme="minorBidi"/>
          <w:w w:val="105"/>
        </w:rPr>
        <w:t>.</w:t>
      </w:r>
    </w:p>
    <w:p w14:paraId="1992620C" w14:textId="6FB1D4B5" w:rsidR="00277FB6" w:rsidRPr="00C04EB0" w:rsidRDefault="00145DA0" w:rsidP="00023D47">
      <w:pPr>
        <w:ind w:left="709" w:hanging="709"/>
        <w:jc w:val="both"/>
        <w:rPr>
          <w:rFonts w:asciiTheme="minorBidi" w:hAnsiTheme="minorBidi" w:cstheme="minorBidi"/>
          <w:w w:val="105"/>
        </w:rPr>
      </w:pPr>
      <w:r w:rsidRPr="00C04EB0">
        <w:rPr>
          <w:rFonts w:asciiTheme="minorBidi" w:hAnsiTheme="minorBidi" w:cstheme="minorBidi"/>
          <w:w w:val="105"/>
        </w:rPr>
        <w:lastRenderedPageBreak/>
        <w:t>2.3</w:t>
      </w:r>
      <w:r w:rsidRPr="00C04EB0">
        <w:rPr>
          <w:rFonts w:asciiTheme="minorBidi" w:hAnsiTheme="minorBidi" w:cstheme="minorBidi"/>
          <w:w w:val="105"/>
        </w:rPr>
        <w:tab/>
      </w:r>
      <w:r w:rsidR="00277FB6" w:rsidRPr="00C04EB0">
        <w:rPr>
          <w:rFonts w:asciiTheme="minorBidi" w:hAnsiTheme="minorBidi" w:cstheme="minorBidi"/>
          <w:w w:val="105"/>
        </w:rPr>
        <w:t xml:space="preserve">In </w:t>
      </w:r>
      <w:r w:rsidR="00C86FAB" w:rsidRPr="00C04EB0">
        <w:rPr>
          <w:rFonts w:asciiTheme="minorBidi" w:hAnsiTheme="minorBidi" w:cstheme="minorBidi"/>
          <w:w w:val="105"/>
        </w:rPr>
        <w:t>the future</w:t>
      </w:r>
      <w:r w:rsidR="00277FB6" w:rsidRPr="00C04EB0">
        <w:rPr>
          <w:rFonts w:asciiTheme="minorBidi" w:hAnsiTheme="minorBidi" w:cstheme="minorBidi"/>
          <w:w w:val="105"/>
        </w:rPr>
        <w:t xml:space="preserve">, </w:t>
      </w:r>
      <w:r w:rsidR="00C86FAB" w:rsidRPr="00C04EB0">
        <w:rPr>
          <w:rFonts w:asciiTheme="minorBidi" w:hAnsiTheme="minorBidi" w:cstheme="minorBidi"/>
          <w:w w:val="105"/>
        </w:rPr>
        <w:t xml:space="preserve">the scope of </w:t>
      </w:r>
      <w:r w:rsidR="004F7FEF" w:rsidRPr="00C04EB0">
        <w:rPr>
          <w:rFonts w:asciiTheme="minorBidi" w:hAnsiTheme="minorBidi" w:cstheme="minorBidi"/>
          <w:w w:val="105"/>
        </w:rPr>
        <w:t>taxonomies</w:t>
      </w:r>
      <w:r w:rsidR="00C86FAB" w:rsidRPr="00C04EB0">
        <w:rPr>
          <w:rFonts w:asciiTheme="minorBidi" w:hAnsiTheme="minorBidi" w:cstheme="minorBidi"/>
          <w:w w:val="105"/>
        </w:rPr>
        <w:t xml:space="preserve"> deemed to be acceptable to the Regulator</w:t>
      </w:r>
      <w:r w:rsidR="007441B1" w:rsidRPr="00C04EB0">
        <w:rPr>
          <w:rFonts w:asciiTheme="minorBidi" w:hAnsiTheme="minorBidi" w:cstheme="minorBidi"/>
          <w:w w:val="105"/>
        </w:rPr>
        <w:t>,</w:t>
      </w:r>
      <w:r w:rsidR="004F7FEF" w:rsidRPr="00C04EB0">
        <w:rPr>
          <w:rFonts w:asciiTheme="minorBidi" w:hAnsiTheme="minorBidi" w:cstheme="minorBidi"/>
          <w:w w:val="105"/>
        </w:rPr>
        <w:t xml:space="preserve"> </w:t>
      </w:r>
      <w:r w:rsidR="00C86FAB" w:rsidRPr="00C04EB0">
        <w:rPr>
          <w:rFonts w:asciiTheme="minorBidi" w:hAnsiTheme="minorBidi" w:cstheme="minorBidi"/>
          <w:w w:val="105"/>
        </w:rPr>
        <w:t xml:space="preserve">as currently indicated under </w:t>
      </w:r>
      <w:proofErr w:type="gramStart"/>
      <w:r w:rsidR="002E0426" w:rsidRPr="00C04EB0">
        <w:rPr>
          <w:rFonts w:asciiTheme="minorBidi" w:hAnsiTheme="minorBidi" w:cstheme="minorBidi"/>
          <w:w w:val="105"/>
        </w:rPr>
        <w:t>section  20.2</w:t>
      </w:r>
      <w:proofErr w:type="gramEnd"/>
      <w:r w:rsidR="002E0426" w:rsidRPr="00C04EB0">
        <w:rPr>
          <w:rFonts w:asciiTheme="minorBidi" w:hAnsiTheme="minorBidi" w:cstheme="minorBidi"/>
          <w:w w:val="105"/>
        </w:rPr>
        <w:t xml:space="preserve"> of the Fund Rules (“</w:t>
      </w:r>
      <w:r w:rsidR="00C86FAB" w:rsidRPr="00C04EB0">
        <w:rPr>
          <w:rFonts w:asciiTheme="minorBidi" w:hAnsiTheme="minorBidi" w:cstheme="minorBidi"/>
          <w:w w:val="105"/>
        </w:rPr>
        <w:t>FUNDS</w:t>
      </w:r>
      <w:r w:rsidR="002E0426" w:rsidRPr="00C04EB0">
        <w:rPr>
          <w:rFonts w:asciiTheme="minorBidi" w:hAnsiTheme="minorBidi" w:cstheme="minorBidi"/>
          <w:w w:val="105"/>
        </w:rPr>
        <w:t>”)</w:t>
      </w:r>
      <w:r w:rsidR="00C86FAB" w:rsidRPr="00C04EB0">
        <w:rPr>
          <w:rFonts w:asciiTheme="minorBidi" w:hAnsiTheme="minorBidi" w:cstheme="minorBidi"/>
          <w:w w:val="105"/>
        </w:rPr>
        <w:t xml:space="preserve"> </w:t>
      </w:r>
      <w:r w:rsidR="004F7FEF" w:rsidRPr="00C04EB0">
        <w:rPr>
          <w:rFonts w:asciiTheme="minorBidi" w:hAnsiTheme="minorBidi" w:cstheme="minorBidi"/>
          <w:w w:val="105"/>
        </w:rPr>
        <w:t xml:space="preserve">may be </w:t>
      </w:r>
      <w:r w:rsidR="00C86FAB" w:rsidRPr="00C04EB0">
        <w:rPr>
          <w:rFonts w:asciiTheme="minorBidi" w:hAnsiTheme="minorBidi" w:cstheme="minorBidi"/>
          <w:w w:val="105"/>
        </w:rPr>
        <w:t>expanded</w:t>
      </w:r>
      <w:r w:rsidR="00261727" w:rsidRPr="00C04EB0">
        <w:rPr>
          <w:rFonts w:asciiTheme="minorBidi" w:hAnsiTheme="minorBidi" w:cstheme="minorBidi"/>
          <w:w w:val="105"/>
        </w:rPr>
        <w:t xml:space="preserve">. It is likely to </w:t>
      </w:r>
      <w:r w:rsidR="00C86FAB" w:rsidRPr="00C04EB0">
        <w:rPr>
          <w:rFonts w:asciiTheme="minorBidi" w:hAnsiTheme="minorBidi" w:cstheme="minorBidi"/>
          <w:w w:val="105"/>
        </w:rPr>
        <w:t>include any UAE green taxonomy that is developed</w:t>
      </w:r>
      <w:r w:rsidR="00277FB6" w:rsidRPr="00C04EB0">
        <w:rPr>
          <w:rFonts w:asciiTheme="minorBidi" w:hAnsiTheme="minorBidi" w:cstheme="minorBidi"/>
          <w:w w:val="105"/>
        </w:rPr>
        <w:t xml:space="preserve">. </w:t>
      </w:r>
    </w:p>
    <w:p w14:paraId="1FC8265A" w14:textId="77777777" w:rsidR="00277FB6" w:rsidRPr="00C04EB0" w:rsidRDefault="00277FB6" w:rsidP="00023D47">
      <w:pPr>
        <w:jc w:val="both"/>
        <w:rPr>
          <w:rFonts w:asciiTheme="minorBidi" w:hAnsiTheme="minorBidi" w:cstheme="minorBidi"/>
          <w:b/>
          <w:bCs/>
          <w:w w:val="105"/>
        </w:rPr>
      </w:pPr>
      <w:bookmarkStart w:id="9" w:name="_Toc118210042"/>
      <w:r w:rsidRPr="00C04EB0">
        <w:rPr>
          <w:rFonts w:asciiTheme="minorBidi" w:hAnsiTheme="minorBidi" w:cstheme="minorBidi"/>
          <w:b/>
          <w:bCs/>
          <w:w w:val="105"/>
        </w:rPr>
        <w:t>Acceptable Climate Transition Taxonomy</w:t>
      </w:r>
      <w:bookmarkEnd w:id="9"/>
    </w:p>
    <w:p w14:paraId="699CE7A3" w14:textId="622C2F71" w:rsidR="00277FB6" w:rsidRPr="00C04EB0" w:rsidRDefault="0051045D" w:rsidP="00023D47">
      <w:pPr>
        <w:ind w:left="709" w:hanging="709"/>
        <w:jc w:val="both"/>
        <w:rPr>
          <w:rFonts w:asciiTheme="minorBidi" w:hAnsiTheme="minorBidi" w:cstheme="minorBidi"/>
          <w:w w:val="105"/>
        </w:rPr>
      </w:pPr>
      <w:r w:rsidRPr="00C04EB0">
        <w:rPr>
          <w:rFonts w:asciiTheme="minorBidi" w:hAnsiTheme="minorBidi" w:cstheme="minorBidi"/>
          <w:w w:val="105"/>
        </w:rPr>
        <w:t>2.4</w:t>
      </w:r>
      <w:r w:rsidRPr="00C04EB0">
        <w:rPr>
          <w:rFonts w:asciiTheme="minorBidi" w:hAnsiTheme="minorBidi" w:cstheme="minorBidi"/>
          <w:w w:val="105"/>
        </w:rPr>
        <w:tab/>
      </w:r>
      <w:r w:rsidR="004F7FEF" w:rsidRPr="00C04EB0">
        <w:rPr>
          <w:rFonts w:asciiTheme="minorBidi" w:hAnsiTheme="minorBidi" w:cstheme="minorBidi"/>
          <w:w w:val="105"/>
        </w:rPr>
        <w:t>A</w:t>
      </w:r>
      <w:r w:rsidR="00277FB6" w:rsidRPr="00C04EB0">
        <w:rPr>
          <w:rFonts w:asciiTheme="minorBidi" w:hAnsiTheme="minorBidi" w:cstheme="minorBidi"/>
          <w:w w:val="105"/>
        </w:rPr>
        <w:t xml:space="preserve">n ADGM Climate Transition Fund or ADGM Climate Transition Portfolio may invest in assets aligned with an Acceptable Climate Transition Taxonomy. An Acceptable Climate Transition Taxonomy </w:t>
      </w:r>
      <w:r w:rsidR="00C27009" w:rsidRPr="00C04EB0">
        <w:rPr>
          <w:rFonts w:asciiTheme="minorBidi" w:hAnsiTheme="minorBidi" w:cstheme="minorBidi"/>
          <w:w w:val="105"/>
        </w:rPr>
        <w:t xml:space="preserve">provides </w:t>
      </w:r>
      <w:r w:rsidR="00277FB6" w:rsidRPr="00C04EB0">
        <w:rPr>
          <w:rFonts w:asciiTheme="minorBidi" w:hAnsiTheme="minorBidi" w:cstheme="minorBidi"/>
          <w:w w:val="105"/>
        </w:rPr>
        <w:t xml:space="preserve">a classification system that identifies economic activities </w:t>
      </w:r>
      <w:r w:rsidR="00C27009" w:rsidRPr="00C04EB0">
        <w:rPr>
          <w:rFonts w:asciiTheme="minorBidi" w:hAnsiTheme="minorBidi" w:cstheme="minorBidi"/>
          <w:w w:val="105"/>
        </w:rPr>
        <w:t xml:space="preserve">that are </w:t>
      </w:r>
      <w:r w:rsidR="00277FB6" w:rsidRPr="00C04EB0">
        <w:rPr>
          <w:rFonts w:asciiTheme="minorBidi" w:hAnsiTheme="minorBidi" w:cstheme="minorBidi"/>
          <w:w w:val="105"/>
        </w:rPr>
        <w:t>assisting the transition of an economy towards lower carbon emissions or becoming more environmentally sustainable, but</w:t>
      </w:r>
      <w:r w:rsidR="00C27009" w:rsidRPr="00C04EB0">
        <w:rPr>
          <w:rFonts w:asciiTheme="minorBidi" w:hAnsiTheme="minorBidi" w:cstheme="minorBidi"/>
          <w:w w:val="105"/>
        </w:rPr>
        <w:t xml:space="preserve"> where those economic </w:t>
      </w:r>
      <w:r w:rsidR="00AA0DF3" w:rsidRPr="00C04EB0">
        <w:rPr>
          <w:rFonts w:asciiTheme="minorBidi" w:hAnsiTheme="minorBidi" w:cstheme="minorBidi"/>
          <w:w w:val="105"/>
        </w:rPr>
        <w:t>activities</w:t>
      </w:r>
      <w:r w:rsidR="00277FB6" w:rsidRPr="00C04EB0">
        <w:rPr>
          <w:rFonts w:asciiTheme="minorBidi" w:hAnsiTheme="minorBidi" w:cstheme="minorBidi"/>
          <w:w w:val="105"/>
        </w:rPr>
        <w:t xml:space="preserve"> do not currently </w:t>
      </w:r>
      <w:r w:rsidR="00750397" w:rsidRPr="00C04EB0">
        <w:rPr>
          <w:rFonts w:asciiTheme="minorBidi" w:hAnsiTheme="minorBidi" w:cstheme="minorBidi"/>
          <w:w w:val="105"/>
        </w:rPr>
        <w:t xml:space="preserve">meet </w:t>
      </w:r>
      <w:r w:rsidR="00277FB6" w:rsidRPr="00C04EB0">
        <w:rPr>
          <w:rFonts w:asciiTheme="minorBidi" w:hAnsiTheme="minorBidi" w:cstheme="minorBidi"/>
          <w:w w:val="105"/>
        </w:rPr>
        <w:t>zero or near-zero emissions</w:t>
      </w:r>
      <w:r w:rsidR="00750397" w:rsidRPr="00C04EB0">
        <w:rPr>
          <w:rFonts w:asciiTheme="minorBidi" w:hAnsiTheme="minorBidi" w:cstheme="minorBidi"/>
          <w:w w:val="105"/>
        </w:rPr>
        <w:t xml:space="preserve"> standards</w:t>
      </w:r>
      <w:r w:rsidR="00277FB6" w:rsidRPr="00C04EB0">
        <w:rPr>
          <w:rFonts w:asciiTheme="minorBidi" w:hAnsiTheme="minorBidi" w:cstheme="minorBidi"/>
          <w:w w:val="105"/>
        </w:rPr>
        <w:t xml:space="preserve">. </w:t>
      </w:r>
    </w:p>
    <w:p w14:paraId="436F3EA4" w14:textId="1773AF8A" w:rsidR="00277FB6" w:rsidRPr="00C04EB0" w:rsidRDefault="0051045D" w:rsidP="00023D47">
      <w:pPr>
        <w:ind w:left="709" w:hanging="709"/>
        <w:jc w:val="both"/>
        <w:rPr>
          <w:rFonts w:asciiTheme="minorBidi" w:hAnsiTheme="minorBidi" w:cstheme="minorBidi"/>
          <w:w w:val="105"/>
        </w:rPr>
      </w:pPr>
      <w:r w:rsidRPr="00C04EB0">
        <w:rPr>
          <w:rFonts w:asciiTheme="minorBidi" w:hAnsiTheme="minorBidi" w:cstheme="minorBidi"/>
          <w:w w:val="105"/>
        </w:rPr>
        <w:t>2.</w:t>
      </w:r>
      <w:r w:rsidR="00C27009" w:rsidRPr="00C04EB0">
        <w:rPr>
          <w:rFonts w:asciiTheme="minorBidi" w:hAnsiTheme="minorBidi" w:cstheme="minorBidi"/>
          <w:w w:val="105"/>
        </w:rPr>
        <w:t>5</w:t>
      </w:r>
      <w:r w:rsidRPr="00C04EB0">
        <w:rPr>
          <w:rFonts w:asciiTheme="minorBidi" w:hAnsiTheme="minorBidi" w:cstheme="minorBidi"/>
          <w:w w:val="105"/>
        </w:rPr>
        <w:tab/>
      </w:r>
      <w:r w:rsidR="00277FB6" w:rsidRPr="00C04EB0">
        <w:rPr>
          <w:rFonts w:asciiTheme="minorBidi" w:hAnsiTheme="minorBidi" w:cstheme="minorBidi"/>
          <w:w w:val="105"/>
        </w:rPr>
        <w:t xml:space="preserve">At the time of publication, </w:t>
      </w:r>
      <w:r w:rsidR="0076081F" w:rsidRPr="00C04EB0">
        <w:rPr>
          <w:rFonts w:asciiTheme="minorBidi" w:hAnsiTheme="minorBidi" w:cstheme="minorBidi"/>
          <w:w w:val="105"/>
        </w:rPr>
        <w:t xml:space="preserve">no </w:t>
      </w:r>
      <w:r w:rsidR="00277FB6" w:rsidRPr="00C04EB0">
        <w:rPr>
          <w:rFonts w:asciiTheme="minorBidi" w:hAnsiTheme="minorBidi" w:cstheme="minorBidi"/>
          <w:w w:val="105"/>
        </w:rPr>
        <w:t xml:space="preserve">standalone </w:t>
      </w:r>
      <w:r w:rsidR="0076081F" w:rsidRPr="00C04EB0">
        <w:rPr>
          <w:rFonts w:asciiTheme="minorBidi" w:hAnsiTheme="minorBidi" w:cstheme="minorBidi"/>
          <w:w w:val="105"/>
        </w:rPr>
        <w:t xml:space="preserve">Acceptable </w:t>
      </w:r>
      <w:r w:rsidR="00277FB6" w:rsidRPr="00C04EB0">
        <w:rPr>
          <w:rFonts w:asciiTheme="minorBidi" w:hAnsiTheme="minorBidi" w:cstheme="minorBidi"/>
          <w:w w:val="105"/>
        </w:rPr>
        <w:t>Climate Transition Taxonom</w:t>
      </w:r>
      <w:r w:rsidR="0076081F" w:rsidRPr="00C04EB0">
        <w:rPr>
          <w:rFonts w:asciiTheme="minorBidi" w:hAnsiTheme="minorBidi" w:cstheme="minorBidi"/>
          <w:w w:val="105"/>
        </w:rPr>
        <w:t>ies</w:t>
      </w:r>
      <w:r w:rsidR="00277FB6" w:rsidRPr="00C04EB0">
        <w:rPr>
          <w:rFonts w:asciiTheme="minorBidi" w:hAnsiTheme="minorBidi" w:cstheme="minorBidi"/>
          <w:w w:val="105"/>
        </w:rPr>
        <w:t xml:space="preserve"> ha</w:t>
      </w:r>
      <w:r w:rsidR="0076081F" w:rsidRPr="00C04EB0">
        <w:rPr>
          <w:rFonts w:asciiTheme="minorBidi" w:hAnsiTheme="minorBidi" w:cstheme="minorBidi"/>
          <w:w w:val="105"/>
        </w:rPr>
        <w:t>ve</w:t>
      </w:r>
      <w:r w:rsidR="00277FB6" w:rsidRPr="00C04EB0">
        <w:rPr>
          <w:rFonts w:asciiTheme="minorBidi" w:hAnsiTheme="minorBidi" w:cstheme="minorBidi"/>
          <w:w w:val="105"/>
        </w:rPr>
        <w:t xml:space="preserve"> been published</w:t>
      </w:r>
      <w:r w:rsidR="0076081F" w:rsidRPr="00C04EB0">
        <w:rPr>
          <w:rFonts w:asciiTheme="minorBidi" w:hAnsiTheme="minorBidi" w:cstheme="minorBidi"/>
          <w:w w:val="105"/>
        </w:rPr>
        <w:t>, although a number are being developed</w:t>
      </w:r>
      <w:r w:rsidR="00277FB6" w:rsidRPr="00C04EB0">
        <w:rPr>
          <w:rFonts w:asciiTheme="minorBidi" w:hAnsiTheme="minorBidi" w:cstheme="minorBidi"/>
          <w:w w:val="105"/>
        </w:rPr>
        <w:t xml:space="preserve">. </w:t>
      </w:r>
      <w:r w:rsidR="0076081F" w:rsidRPr="00C04EB0">
        <w:rPr>
          <w:rFonts w:asciiTheme="minorBidi" w:hAnsiTheme="minorBidi" w:cstheme="minorBidi"/>
          <w:w w:val="105"/>
        </w:rPr>
        <w:t>However</w:t>
      </w:r>
      <w:r w:rsidR="00277FB6" w:rsidRPr="00C04EB0">
        <w:rPr>
          <w:rFonts w:asciiTheme="minorBidi" w:hAnsiTheme="minorBidi" w:cstheme="minorBidi"/>
          <w:w w:val="105"/>
        </w:rPr>
        <w:t xml:space="preserve">, an Acceptable Climate Transition Taxonomy may be incorporated as a section or sections within an Acceptable Green Taxonomy, </w:t>
      </w:r>
      <w:r w:rsidR="0076081F" w:rsidRPr="00C04EB0">
        <w:rPr>
          <w:rFonts w:asciiTheme="minorBidi" w:hAnsiTheme="minorBidi" w:cstheme="minorBidi"/>
          <w:w w:val="105"/>
        </w:rPr>
        <w:t xml:space="preserve">where </w:t>
      </w:r>
      <w:proofErr w:type="gramStart"/>
      <w:r w:rsidR="00277FB6" w:rsidRPr="00C04EB0">
        <w:rPr>
          <w:rFonts w:asciiTheme="minorBidi" w:hAnsiTheme="minorBidi" w:cstheme="minorBidi"/>
          <w:w w:val="105"/>
        </w:rPr>
        <w:t xml:space="preserve">it is clear that </w:t>
      </w:r>
      <w:r w:rsidR="0076081F" w:rsidRPr="00C04EB0">
        <w:rPr>
          <w:rFonts w:asciiTheme="minorBidi" w:hAnsiTheme="minorBidi" w:cstheme="minorBidi"/>
          <w:w w:val="105"/>
        </w:rPr>
        <w:t>the</w:t>
      </w:r>
      <w:proofErr w:type="gramEnd"/>
      <w:r w:rsidR="0076081F" w:rsidRPr="00C04EB0">
        <w:rPr>
          <w:rFonts w:asciiTheme="minorBidi" w:hAnsiTheme="minorBidi" w:cstheme="minorBidi"/>
          <w:w w:val="105"/>
        </w:rPr>
        <w:t xml:space="preserve"> identified </w:t>
      </w:r>
      <w:r w:rsidR="00277FB6" w:rsidRPr="00C04EB0">
        <w:rPr>
          <w:rFonts w:asciiTheme="minorBidi" w:hAnsiTheme="minorBidi" w:cstheme="minorBidi"/>
          <w:w w:val="105"/>
        </w:rPr>
        <w:t xml:space="preserve">economic activities </w:t>
      </w:r>
      <w:r w:rsidR="0076081F" w:rsidRPr="00C04EB0">
        <w:rPr>
          <w:rFonts w:asciiTheme="minorBidi" w:hAnsiTheme="minorBidi" w:cstheme="minorBidi"/>
          <w:w w:val="105"/>
        </w:rPr>
        <w:t xml:space="preserve">are </w:t>
      </w:r>
      <w:r w:rsidR="00277FB6" w:rsidRPr="00C04EB0">
        <w:rPr>
          <w:rFonts w:asciiTheme="minorBidi" w:hAnsiTheme="minorBidi" w:cstheme="minorBidi"/>
          <w:w w:val="105"/>
        </w:rPr>
        <w:t>assist</w:t>
      </w:r>
      <w:r w:rsidR="0076081F" w:rsidRPr="00C04EB0">
        <w:rPr>
          <w:rFonts w:asciiTheme="minorBidi" w:hAnsiTheme="minorBidi" w:cstheme="minorBidi"/>
          <w:w w:val="105"/>
        </w:rPr>
        <w:t>ing</w:t>
      </w:r>
      <w:r w:rsidR="00277FB6" w:rsidRPr="00C04EB0">
        <w:rPr>
          <w:rFonts w:asciiTheme="minorBidi" w:hAnsiTheme="minorBidi" w:cstheme="minorBidi"/>
          <w:w w:val="105"/>
        </w:rPr>
        <w:t xml:space="preserve"> a transition to net zero emissions. </w:t>
      </w:r>
    </w:p>
    <w:p w14:paraId="1DC2FF09" w14:textId="705E7FB8" w:rsidR="00277FB6" w:rsidRPr="00C04EB0" w:rsidRDefault="0051045D" w:rsidP="00023D47">
      <w:pPr>
        <w:ind w:left="709" w:hanging="709"/>
        <w:jc w:val="both"/>
        <w:rPr>
          <w:rFonts w:asciiTheme="minorBidi" w:hAnsiTheme="minorBidi" w:cstheme="minorBidi"/>
          <w:w w:val="105"/>
        </w:rPr>
      </w:pPr>
      <w:r w:rsidRPr="00C04EB0">
        <w:rPr>
          <w:rFonts w:asciiTheme="minorBidi" w:hAnsiTheme="minorBidi" w:cstheme="minorBidi"/>
          <w:w w:val="105"/>
        </w:rPr>
        <w:t>2.</w:t>
      </w:r>
      <w:r w:rsidR="00C27009" w:rsidRPr="00C04EB0">
        <w:rPr>
          <w:rFonts w:asciiTheme="minorBidi" w:hAnsiTheme="minorBidi" w:cstheme="minorBidi"/>
          <w:w w:val="105"/>
        </w:rPr>
        <w:t>6</w:t>
      </w:r>
      <w:r w:rsidRPr="00C04EB0">
        <w:rPr>
          <w:rFonts w:asciiTheme="minorBidi" w:hAnsiTheme="minorBidi" w:cstheme="minorBidi"/>
          <w:w w:val="105"/>
        </w:rPr>
        <w:tab/>
      </w:r>
      <w:r w:rsidR="003A4C6D" w:rsidRPr="00C04EB0">
        <w:rPr>
          <w:rFonts w:asciiTheme="minorBidi" w:hAnsiTheme="minorBidi" w:cstheme="minorBidi"/>
          <w:w w:val="105"/>
        </w:rPr>
        <w:t xml:space="preserve">One </w:t>
      </w:r>
      <w:r w:rsidR="00277FB6" w:rsidRPr="00C04EB0">
        <w:rPr>
          <w:rFonts w:asciiTheme="minorBidi" w:hAnsiTheme="minorBidi" w:cstheme="minorBidi"/>
          <w:w w:val="105"/>
        </w:rPr>
        <w:t>example of a</w:t>
      </w:r>
      <w:r w:rsidR="003A4C6D" w:rsidRPr="00C04EB0">
        <w:rPr>
          <w:rFonts w:asciiTheme="minorBidi" w:hAnsiTheme="minorBidi" w:cstheme="minorBidi"/>
          <w:w w:val="105"/>
        </w:rPr>
        <w:t xml:space="preserve"> </w:t>
      </w:r>
      <w:r w:rsidR="000A6FF2" w:rsidRPr="00C04EB0">
        <w:rPr>
          <w:rFonts w:asciiTheme="minorBidi" w:hAnsiTheme="minorBidi" w:cstheme="minorBidi"/>
          <w:w w:val="105"/>
        </w:rPr>
        <w:t>c</w:t>
      </w:r>
      <w:r w:rsidR="00277FB6" w:rsidRPr="00C04EB0">
        <w:rPr>
          <w:rFonts w:asciiTheme="minorBidi" w:hAnsiTheme="minorBidi" w:cstheme="minorBidi"/>
          <w:w w:val="105"/>
        </w:rPr>
        <w:t xml:space="preserve">limate </w:t>
      </w:r>
      <w:r w:rsidR="000A6FF2" w:rsidRPr="00C04EB0">
        <w:rPr>
          <w:rFonts w:asciiTheme="minorBidi" w:hAnsiTheme="minorBidi" w:cstheme="minorBidi"/>
          <w:w w:val="105"/>
        </w:rPr>
        <w:t>t</w:t>
      </w:r>
      <w:r w:rsidR="00277FB6" w:rsidRPr="00C04EB0">
        <w:rPr>
          <w:rFonts w:asciiTheme="minorBidi" w:hAnsiTheme="minorBidi" w:cstheme="minorBidi"/>
          <w:w w:val="105"/>
        </w:rPr>
        <w:t xml:space="preserve">ransition </w:t>
      </w:r>
      <w:r w:rsidR="000A6FF2" w:rsidRPr="00C04EB0">
        <w:rPr>
          <w:rFonts w:asciiTheme="minorBidi" w:hAnsiTheme="minorBidi" w:cstheme="minorBidi"/>
          <w:w w:val="105"/>
        </w:rPr>
        <w:t>t</w:t>
      </w:r>
      <w:r w:rsidR="00277FB6" w:rsidRPr="00C04EB0">
        <w:rPr>
          <w:rFonts w:asciiTheme="minorBidi" w:hAnsiTheme="minorBidi" w:cstheme="minorBidi"/>
          <w:w w:val="105"/>
        </w:rPr>
        <w:t xml:space="preserve">axonomy </w:t>
      </w:r>
      <w:r w:rsidR="003A4C6D" w:rsidRPr="00C04EB0">
        <w:rPr>
          <w:rFonts w:asciiTheme="minorBidi" w:hAnsiTheme="minorBidi" w:cstheme="minorBidi"/>
          <w:w w:val="105"/>
        </w:rPr>
        <w:t xml:space="preserve">likely to be considered </w:t>
      </w:r>
      <w:r w:rsidR="006E0E4F" w:rsidRPr="00C04EB0">
        <w:rPr>
          <w:rFonts w:asciiTheme="minorBidi" w:hAnsiTheme="minorBidi" w:cstheme="minorBidi"/>
          <w:w w:val="105"/>
        </w:rPr>
        <w:t>“</w:t>
      </w:r>
      <w:r w:rsidR="003A4C6D" w:rsidRPr="00C04EB0">
        <w:rPr>
          <w:rFonts w:asciiTheme="minorBidi" w:hAnsiTheme="minorBidi" w:cstheme="minorBidi"/>
          <w:w w:val="105"/>
        </w:rPr>
        <w:t>acceptable</w:t>
      </w:r>
      <w:r w:rsidR="006E0E4F" w:rsidRPr="00C04EB0">
        <w:rPr>
          <w:rFonts w:asciiTheme="minorBidi" w:hAnsiTheme="minorBidi" w:cstheme="minorBidi"/>
          <w:w w:val="105"/>
        </w:rPr>
        <w:t>”</w:t>
      </w:r>
      <w:r w:rsidR="00277FB6" w:rsidRPr="00C04EB0">
        <w:rPr>
          <w:rFonts w:asciiTheme="minorBidi" w:hAnsiTheme="minorBidi" w:cstheme="minorBidi"/>
          <w:w w:val="105"/>
        </w:rPr>
        <w:t xml:space="preserve"> by the Regulator </w:t>
      </w:r>
      <w:r w:rsidR="00264C7A" w:rsidRPr="00C04EB0">
        <w:rPr>
          <w:rFonts w:asciiTheme="minorBidi" w:hAnsiTheme="minorBidi" w:cstheme="minorBidi"/>
          <w:w w:val="105"/>
        </w:rPr>
        <w:t xml:space="preserve">is </w:t>
      </w:r>
      <w:r w:rsidR="00277FB6" w:rsidRPr="00C04EB0">
        <w:rPr>
          <w:rFonts w:asciiTheme="minorBidi" w:hAnsiTheme="minorBidi" w:cstheme="minorBidi"/>
          <w:w w:val="105"/>
        </w:rPr>
        <w:t xml:space="preserve">the cohort of economic activities categorised as </w:t>
      </w:r>
      <w:r w:rsidR="006E0E4F" w:rsidRPr="00C04EB0">
        <w:rPr>
          <w:rFonts w:asciiTheme="minorBidi" w:hAnsiTheme="minorBidi" w:cstheme="minorBidi"/>
          <w:w w:val="105"/>
        </w:rPr>
        <w:t>“</w:t>
      </w:r>
      <w:r w:rsidR="00277FB6" w:rsidRPr="00C04EB0">
        <w:rPr>
          <w:rFonts w:asciiTheme="minorBidi" w:hAnsiTheme="minorBidi" w:cstheme="minorBidi"/>
          <w:w w:val="105"/>
        </w:rPr>
        <w:t>amber</w:t>
      </w:r>
      <w:r w:rsidR="006E0E4F" w:rsidRPr="00C04EB0">
        <w:rPr>
          <w:rFonts w:asciiTheme="minorBidi" w:hAnsiTheme="minorBidi" w:cstheme="minorBidi"/>
          <w:w w:val="105"/>
        </w:rPr>
        <w:t>”</w:t>
      </w:r>
      <w:r w:rsidR="001F43E6" w:rsidRPr="00C04EB0">
        <w:rPr>
          <w:rFonts w:asciiTheme="minorBidi" w:hAnsiTheme="minorBidi" w:cstheme="minorBidi"/>
          <w:w w:val="105"/>
        </w:rPr>
        <w:t xml:space="preserve"> or </w:t>
      </w:r>
      <w:r w:rsidR="006E0E4F" w:rsidRPr="00C04EB0">
        <w:rPr>
          <w:rFonts w:asciiTheme="minorBidi" w:hAnsiTheme="minorBidi" w:cstheme="minorBidi"/>
          <w:w w:val="105"/>
        </w:rPr>
        <w:t>“</w:t>
      </w:r>
      <w:r w:rsidR="001F43E6" w:rsidRPr="00C04EB0">
        <w:rPr>
          <w:rFonts w:asciiTheme="minorBidi" w:hAnsiTheme="minorBidi" w:cstheme="minorBidi"/>
          <w:w w:val="105"/>
        </w:rPr>
        <w:t>amber plus standard</w:t>
      </w:r>
      <w:r w:rsidR="006E0E4F" w:rsidRPr="00C04EB0">
        <w:rPr>
          <w:rFonts w:asciiTheme="minorBidi" w:hAnsiTheme="minorBidi" w:cstheme="minorBidi"/>
          <w:w w:val="105"/>
        </w:rPr>
        <w:t>”</w:t>
      </w:r>
      <w:r w:rsidR="00277FB6" w:rsidRPr="00C04EB0">
        <w:rPr>
          <w:rFonts w:asciiTheme="minorBidi" w:hAnsiTheme="minorBidi" w:cstheme="minorBidi"/>
          <w:w w:val="105"/>
        </w:rPr>
        <w:t xml:space="preserve"> </w:t>
      </w:r>
      <w:r w:rsidR="00D86742" w:rsidRPr="00C04EB0">
        <w:rPr>
          <w:rFonts w:asciiTheme="minorBidi" w:hAnsiTheme="minorBidi" w:cstheme="minorBidi"/>
          <w:w w:val="105"/>
        </w:rPr>
        <w:t>–</w:t>
      </w:r>
      <w:r w:rsidR="009119E4" w:rsidRPr="00C04EB0">
        <w:rPr>
          <w:rFonts w:asciiTheme="minorBidi" w:hAnsiTheme="minorBidi" w:cstheme="minorBidi"/>
          <w:w w:val="105"/>
        </w:rPr>
        <w:t xml:space="preserve"> </w:t>
      </w:r>
      <w:r w:rsidR="00264C7A" w:rsidRPr="00C04EB0">
        <w:rPr>
          <w:rFonts w:asciiTheme="minorBidi" w:hAnsiTheme="minorBidi" w:cstheme="minorBidi"/>
          <w:w w:val="105"/>
        </w:rPr>
        <w:t>rather than green</w:t>
      </w:r>
      <w:r w:rsidR="009119E4" w:rsidRPr="00C04EB0">
        <w:rPr>
          <w:rFonts w:asciiTheme="minorBidi" w:hAnsiTheme="minorBidi" w:cstheme="minorBidi"/>
          <w:w w:val="105"/>
        </w:rPr>
        <w:t xml:space="preserve"> –</w:t>
      </w:r>
      <w:r w:rsidR="00264C7A" w:rsidRPr="00C04EB0">
        <w:rPr>
          <w:rFonts w:asciiTheme="minorBidi" w:hAnsiTheme="minorBidi" w:cstheme="minorBidi"/>
          <w:w w:val="105"/>
        </w:rPr>
        <w:t xml:space="preserve"> </w:t>
      </w:r>
      <w:r w:rsidR="009119E4" w:rsidRPr="00C04EB0">
        <w:rPr>
          <w:rFonts w:asciiTheme="minorBidi" w:hAnsiTheme="minorBidi" w:cstheme="minorBidi"/>
          <w:w w:val="105"/>
        </w:rPr>
        <w:t xml:space="preserve">and included in </w:t>
      </w:r>
      <w:r w:rsidR="00277FB6" w:rsidRPr="00C04EB0">
        <w:rPr>
          <w:rFonts w:asciiTheme="minorBidi" w:hAnsiTheme="minorBidi" w:cstheme="minorBidi"/>
          <w:w w:val="105"/>
        </w:rPr>
        <w:t>the ASEAN Sustainable Finance Taxonomy</w:t>
      </w:r>
      <w:r w:rsidR="009119E4" w:rsidRPr="00C04EB0">
        <w:rPr>
          <w:rFonts w:asciiTheme="minorBidi" w:hAnsiTheme="minorBidi" w:cstheme="minorBidi"/>
          <w:w w:val="105"/>
        </w:rPr>
        <w:t xml:space="preserve">. </w:t>
      </w:r>
      <w:r w:rsidR="001D44DF" w:rsidRPr="00C04EB0">
        <w:rPr>
          <w:rFonts w:asciiTheme="minorBidi" w:hAnsiTheme="minorBidi" w:cstheme="minorBidi"/>
          <w:w w:val="105"/>
        </w:rPr>
        <w:t xml:space="preserve">For example, an economic activity which has been </w:t>
      </w:r>
      <w:r w:rsidR="00D86742" w:rsidRPr="00C04EB0">
        <w:rPr>
          <w:rFonts w:asciiTheme="minorBidi" w:hAnsiTheme="minorBidi" w:cstheme="minorBidi"/>
          <w:w w:val="105"/>
        </w:rPr>
        <w:t>defined as</w:t>
      </w:r>
      <w:r w:rsidR="001D44DF" w:rsidRPr="00C04EB0">
        <w:rPr>
          <w:rFonts w:asciiTheme="minorBidi" w:hAnsiTheme="minorBidi" w:cstheme="minorBidi"/>
          <w:w w:val="105"/>
        </w:rPr>
        <w:t xml:space="preserve"> aligning with</w:t>
      </w:r>
      <w:r w:rsidR="00D86742" w:rsidRPr="00C04EB0">
        <w:rPr>
          <w:rFonts w:asciiTheme="minorBidi" w:hAnsiTheme="minorBidi" w:cstheme="minorBidi"/>
          <w:w w:val="105"/>
        </w:rPr>
        <w:t xml:space="preserve"> </w:t>
      </w:r>
      <w:r w:rsidR="001D44DF" w:rsidRPr="00C04EB0">
        <w:rPr>
          <w:rFonts w:asciiTheme="minorBidi" w:hAnsiTheme="minorBidi" w:cstheme="minorBidi"/>
          <w:w w:val="105"/>
        </w:rPr>
        <w:t xml:space="preserve">a </w:t>
      </w:r>
      <w:r w:rsidR="00D86742" w:rsidRPr="00C04EB0">
        <w:rPr>
          <w:rFonts w:asciiTheme="minorBidi" w:hAnsiTheme="minorBidi" w:cstheme="minorBidi"/>
          <w:w w:val="105"/>
        </w:rPr>
        <w:t>climate transition</w:t>
      </w:r>
      <w:r w:rsidR="001D44DF" w:rsidRPr="00C04EB0">
        <w:rPr>
          <w:rFonts w:asciiTheme="minorBidi" w:hAnsiTheme="minorBidi" w:cstheme="minorBidi"/>
          <w:w w:val="105"/>
        </w:rPr>
        <w:t xml:space="preserve"> taxonomy</w:t>
      </w:r>
      <w:r w:rsidR="00D86742" w:rsidRPr="00C04EB0">
        <w:rPr>
          <w:rFonts w:asciiTheme="minorBidi" w:hAnsiTheme="minorBidi" w:cstheme="minorBidi"/>
          <w:w w:val="105"/>
        </w:rPr>
        <w:t xml:space="preserve"> </w:t>
      </w:r>
      <w:r w:rsidR="001D44DF" w:rsidRPr="00C04EB0">
        <w:rPr>
          <w:rFonts w:asciiTheme="minorBidi" w:hAnsiTheme="minorBidi" w:cstheme="minorBidi"/>
          <w:w w:val="105"/>
        </w:rPr>
        <w:t xml:space="preserve">is that of </w:t>
      </w:r>
      <w:r w:rsidR="00277FB6" w:rsidRPr="00C04EB0">
        <w:rPr>
          <w:rFonts w:asciiTheme="minorBidi" w:hAnsiTheme="minorBidi" w:cstheme="minorBidi"/>
          <w:w w:val="105"/>
        </w:rPr>
        <w:t xml:space="preserve">a power company using natural gas plants with carbon capture and storage. </w:t>
      </w:r>
      <w:r w:rsidR="003A4C6D" w:rsidRPr="00C04EB0">
        <w:rPr>
          <w:rFonts w:asciiTheme="minorBidi" w:hAnsiTheme="minorBidi" w:cstheme="minorBidi"/>
          <w:w w:val="105"/>
        </w:rPr>
        <w:t xml:space="preserve">Another example of a </w:t>
      </w:r>
      <w:r w:rsidR="000A6FF2" w:rsidRPr="00C04EB0">
        <w:rPr>
          <w:rFonts w:asciiTheme="minorBidi" w:hAnsiTheme="minorBidi" w:cstheme="minorBidi"/>
          <w:w w:val="105"/>
        </w:rPr>
        <w:t>c</w:t>
      </w:r>
      <w:r w:rsidR="003A4C6D" w:rsidRPr="00C04EB0">
        <w:rPr>
          <w:rFonts w:asciiTheme="minorBidi" w:hAnsiTheme="minorBidi" w:cstheme="minorBidi"/>
          <w:w w:val="105"/>
        </w:rPr>
        <w:t xml:space="preserve">limate </w:t>
      </w:r>
      <w:r w:rsidR="000A6FF2" w:rsidRPr="00C04EB0">
        <w:rPr>
          <w:rFonts w:asciiTheme="minorBidi" w:hAnsiTheme="minorBidi" w:cstheme="minorBidi"/>
          <w:w w:val="105"/>
        </w:rPr>
        <w:t>t</w:t>
      </w:r>
      <w:r w:rsidR="003A4C6D" w:rsidRPr="00C04EB0">
        <w:rPr>
          <w:rFonts w:asciiTheme="minorBidi" w:hAnsiTheme="minorBidi" w:cstheme="minorBidi"/>
          <w:w w:val="105"/>
        </w:rPr>
        <w:t xml:space="preserve">ransition </w:t>
      </w:r>
      <w:r w:rsidR="000A6FF2" w:rsidRPr="00C04EB0">
        <w:rPr>
          <w:rFonts w:asciiTheme="minorBidi" w:hAnsiTheme="minorBidi" w:cstheme="minorBidi"/>
          <w:w w:val="105"/>
        </w:rPr>
        <w:t>t</w:t>
      </w:r>
      <w:r w:rsidR="003A4C6D" w:rsidRPr="00C04EB0">
        <w:rPr>
          <w:rFonts w:asciiTheme="minorBidi" w:hAnsiTheme="minorBidi" w:cstheme="minorBidi"/>
          <w:w w:val="105"/>
        </w:rPr>
        <w:t xml:space="preserve">axonomy </w:t>
      </w:r>
      <w:r w:rsidR="009119E4" w:rsidRPr="00C04EB0">
        <w:rPr>
          <w:rFonts w:asciiTheme="minorBidi" w:hAnsiTheme="minorBidi" w:cstheme="minorBidi"/>
          <w:w w:val="105"/>
        </w:rPr>
        <w:t xml:space="preserve">embedded in a wider Acceptable Green Taxonomy and that is </w:t>
      </w:r>
      <w:r w:rsidR="003A4C6D" w:rsidRPr="00C04EB0">
        <w:rPr>
          <w:rFonts w:asciiTheme="minorBidi" w:hAnsiTheme="minorBidi" w:cstheme="minorBidi"/>
          <w:w w:val="105"/>
        </w:rPr>
        <w:t xml:space="preserve">likely to be considered acceptable </w:t>
      </w:r>
      <w:r w:rsidR="009119E4" w:rsidRPr="00C04EB0">
        <w:rPr>
          <w:rFonts w:asciiTheme="minorBidi" w:hAnsiTheme="minorBidi" w:cstheme="minorBidi"/>
          <w:w w:val="105"/>
        </w:rPr>
        <w:t xml:space="preserve">by the Regulator </w:t>
      </w:r>
      <w:r w:rsidR="003A4C6D" w:rsidRPr="00C04EB0">
        <w:rPr>
          <w:rFonts w:asciiTheme="minorBidi" w:hAnsiTheme="minorBidi" w:cstheme="minorBidi"/>
          <w:w w:val="105"/>
        </w:rPr>
        <w:t xml:space="preserve">is the cohort of economic activities categorised as </w:t>
      </w:r>
      <w:r w:rsidR="006E0E4F" w:rsidRPr="00C04EB0">
        <w:rPr>
          <w:rFonts w:asciiTheme="minorBidi" w:hAnsiTheme="minorBidi" w:cstheme="minorBidi"/>
          <w:w w:val="105"/>
        </w:rPr>
        <w:t>“</w:t>
      </w:r>
      <w:r w:rsidR="003A4C6D" w:rsidRPr="00C04EB0">
        <w:rPr>
          <w:rFonts w:asciiTheme="minorBidi" w:hAnsiTheme="minorBidi" w:cstheme="minorBidi"/>
          <w:w w:val="105"/>
        </w:rPr>
        <w:t>Transitional</w:t>
      </w:r>
      <w:r w:rsidR="006E0E4F" w:rsidRPr="00C04EB0">
        <w:rPr>
          <w:rFonts w:asciiTheme="minorBidi" w:hAnsiTheme="minorBidi" w:cstheme="minorBidi"/>
          <w:w w:val="105"/>
        </w:rPr>
        <w:t>”</w:t>
      </w:r>
      <w:r w:rsidR="003A4C6D" w:rsidRPr="00C04EB0">
        <w:rPr>
          <w:rFonts w:asciiTheme="minorBidi" w:hAnsiTheme="minorBidi" w:cstheme="minorBidi"/>
          <w:w w:val="105"/>
        </w:rPr>
        <w:t xml:space="preserve"> by</w:t>
      </w:r>
      <w:r w:rsidR="0005487E" w:rsidRPr="00C04EB0">
        <w:rPr>
          <w:rFonts w:asciiTheme="minorBidi" w:hAnsiTheme="minorBidi" w:cstheme="minorBidi"/>
          <w:w w:val="105"/>
        </w:rPr>
        <w:t xml:space="preserve"> </w:t>
      </w:r>
      <w:r w:rsidR="003A4C6D" w:rsidRPr="00C04EB0">
        <w:rPr>
          <w:rFonts w:asciiTheme="minorBidi" w:hAnsiTheme="minorBidi" w:cstheme="minorBidi"/>
          <w:w w:val="105"/>
        </w:rPr>
        <w:t>the Common Principles for Climate Mitigation Finance Tracking.</w:t>
      </w:r>
      <w:r w:rsidR="0005487E" w:rsidRPr="00C04EB0">
        <w:rPr>
          <w:rFonts w:asciiTheme="minorBidi" w:hAnsiTheme="minorBidi" w:cstheme="minorBidi"/>
          <w:w w:val="105"/>
        </w:rPr>
        <w:t xml:space="preserve"> </w:t>
      </w:r>
    </w:p>
    <w:p w14:paraId="71C253BA" w14:textId="7930962C" w:rsidR="00C91E8A" w:rsidRPr="00C04EB0" w:rsidRDefault="00C91E8A" w:rsidP="00023D47">
      <w:pPr>
        <w:jc w:val="both"/>
        <w:rPr>
          <w:rFonts w:asciiTheme="minorBidi" w:hAnsiTheme="minorBidi" w:cstheme="minorBidi"/>
          <w:w w:val="105"/>
        </w:rPr>
      </w:pPr>
      <w:bookmarkStart w:id="10" w:name="_Toc114837783"/>
      <w:bookmarkStart w:id="11" w:name="_Toc114837785"/>
      <w:bookmarkEnd w:id="8"/>
      <w:bookmarkEnd w:id="10"/>
      <w:bookmarkEnd w:id="11"/>
      <w:r w:rsidRPr="00C04EB0">
        <w:rPr>
          <w:rFonts w:asciiTheme="minorBidi" w:hAnsiTheme="minorBidi" w:cstheme="minorBidi"/>
          <w:b/>
          <w:bCs/>
          <w:w w:val="105"/>
        </w:rPr>
        <w:t>Third</w:t>
      </w:r>
      <w:r w:rsidR="009631B7" w:rsidRPr="00C04EB0">
        <w:rPr>
          <w:rFonts w:asciiTheme="minorBidi" w:hAnsiTheme="minorBidi" w:cstheme="minorBidi"/>
          <w:b/>
          <w:bCs/>
          <w:w w:val="105"/>
        </w:rPr>
        <w:t>-</w:t>
      </w:r>
      <w:r w:rsidR="00AD4338" w:rsidRPr="00C04EB0">
        <w:rPr>
          <w:rFonts w:asciiTheme="minorBidi" w:hAnsiTheme="minorBidi" w:cstheme="minorBidi"/>
          <w:b/>
          <w:bCs/>
          <w:w w:val="105"/>
        </w:rPr>
        <w:t>P</w:t>
      </w:r>
      <w:r w:rsidRPr="00C04EB0">
        <w:rPr>
          <w:rFonts w:asciiTheme="minorBidi" w:hAnsiTheme="minorBidi" w:cstheme="minorBidi"/>
          <w:b/>
          <w:bCs/>
          <w:w w:val="105"/>
        </w:rPr>
        <w:t xml:space="preserve">arty </w:t>
      </w:r>
      <w:r w:rsidR="00AD4338" w:rsidRPr="00C04EB0">
        <w:rPr>
          <w:rFonts w:asciiTheme="minorBidi" w:hAnsiTheme="minorBidi" w:cstheme="minorBidi"/>
          <w:b/>
          <w:bCs/>
          <w:w w:val="105"/>
        </w:rPr>
        <w:t>Attestation Requirements</w:t>
      </w:r>
    </w:p>
    <w:p w14:paraId="208F0B9E" w14:textId="48F3CF62" w:rsidR="00F12A74" w:rsidRPr="00C04EB0" w:rsidRDefault="00AD4338" w:rsidP="00023D47">
      <w:pPr>
        <w:ind w:left="720" w:hanging="720"/>
        <w:jc w:val="both"/>
        <w:rPr>
          <w:rFonts w:asciiTheme="minorBidi" w:hAnsiTheme="minorBidi" w:cstheme="minorBidi"/>
          <w:u w:color="000000"/>
        </w:rPr>
      </w:pPr>
      <w:r w:rsidRPr="00C04EB0">
        <w:rPr>
          <w:rFonts w:asciiTheme="minorBidi" w:hAnsiTheme="minorBidi" w:cstheme="minorBidi"/>
          <w:w w:val="105"/>
        </w:rPr>
        <w:t>2.</w:t>
      </w:r>
      <w:r w:rsidR="00C27009" w:rsidRPr="00C04EB0">
        <w:rPr>
          <w:rFonts w:asciiTheme="minorBidi" w:hAnsiTheme="minorBidi" w:cstheme="minorBidi"/>
          <w:w w:val="105"/>
        </w:rPr>
        <w:t>7</w:t>
      </w:r>
      <w:r w:rsidR="00252CD3" w:rsidRPr="00C04EB0">
        <w:rPr>
          <w:rFonts w:asciiTheme="minorBidi" w:hAnsiTheme="minorBidi" w:cstheme="minorBidi"/>
          <w:w w:val="105"/>
        </w:rPr>
        <w:tab/>
      </w:r>
      <w:r w:rsidR="009631B7" w:rsidRPr="00C04EB0">
        <w:rPr>
          <w:rFonts w:asciiTheme="minorBidi" w:hAnsiTheme="minorBidi" w:cstheme="minorBidi"/>
          <w:u w:color="000000"/>
        </w:rPr>
        <w:t xml:space="preserve">Where third-party attestation (“TPA”) is required </w:t>
      </w:r>
      <w:r w:rsidR="00F12A74" w:rsidRPr="00C04EB0">
        <w:rPr>
          <w:rFonts w:asciiTheme="minorBidi" w:hAnsiTheme="minorBidi" w:cstheme="minorBidi"/>
          <w:u w:color="000000"/>
        </w:rPr>
        <w:t xml:space="preserve">for </w:t>
      </w:r>
      <w:r w:rsidR="005E5F46" w:rsidRPr="00C04EB0">
        <w:rPr>
          <w:rFonts w:asciiTheme="minorBidi" w:hAnsiTheme="minorBidi" w:cstheme="minorBidi"/>
          <w:u w:color="000000"/>
        </w:rPr>
        <w:t xml:space="preserve">ADGM </w:t>
      </w:r>
      <w:r w:rsidR="00F12A74" w:rsidRPr="00C04EB0">
        <w:rPr>
          <w:rFonts w:asciiTheme="minorBidi" w:hAnsiTheme="minorBidi" w:cstheme="minorBidi"/>
          <w:u w:color="000000"/>
        </w:rPr>
        <w:t xml:space="preserve">Green Funds, </w:t>
      </w:r>
      <w:r w:rsidR="007716CD" w:rsidRPr="00C04EB0">
        <w:rPr>
          <w:rFonts w:asciiTheme="minorBidi" w:hAnsiTheme="minorBidi" w:cstheme="minorBidi"/>
          <w:u w:color="000000"/>
        </w:rPr>
        <w:t xml:space="preserve">ADGM </w:t>
      </w:r>
      <w:r w:rsidR="00F12A74" w:rsidRPr="00C04EB0">
        <w:rPr>
          <w:rFonts w:asciiTheme="minorBidi" w:hAnsiTheme="minorBidi" w:cstheme="minorBidi"/>
          <w:u w:color="000000"/>
        </w:rPr>
        <w:t xml:space="preserve">Climate Transition Funds, </w:t>
      </w:r>
      <w:r w:rsidR="007716CD" w:rsidRPr="00C04EB0">
        <w:rPr>
          <w:rFonts w:asciiTheme="minorBidi" w:hAnsiTheme="minorBidi" w:cstheme="minorBidi"/>
          <w:u w:color="000000"/>
        </w:rPr>
        <w:t xml:space="preserve">ADGM </w:t>
      </w:r>
      <w:r w:rsidR="00F12A74" w:rsidRPr="00C04EB0">
        <w:rPr>
          <w:rFonts w:asciiTheme="minorBidi" w:hAnsiTheme="minorBidi" w:cstheme="minorBidi"/>
          <w:u w:color="000000"/>
        </w:rPr>
        <w:t xml:space="preserve">Green Portfolios and </w:t>
      </w:r>
      <w:r w:rsidR="007716CD" w:rsidRPr="00C04EB0">
        <w:rPr>
          <w:rFonts w:asciiTheme="minorBidi" w:hAnsiTheme="minorBidi" w:cstheme="minorBidi"/>
          <w:u w:color="000000"/>
        </w:rPr>
        <w:t xml:space="preserve">ADGM </w:t>
      </w:r>
      <w:r w:rsidR="00F12A74" w:rsidRPr="00C04EB0">
        <w:rPr>
          <w:rFonts w:asciiTheme="minorBidi" w:hAnsiTheme="minorBidi" w:cstheme="minorBidi"/>
          <w:u w:color="000000"/>
        </w:rPr>
        <w:t xml:space="preserve">Climate Transition Portfolios </w:t>
      </w:r>
      <w:r w:rsidR="009631B7" w:rsidRPr="00C04EB0">
        <w:rPr>
          <w:rFonts w:asciiTheme="minorBidi" w:hAnsiTheme="minorBidi" w:cstheme="minorBidi"/>
          <w:u w:color="000000"/>
        </w:rPr>
        <w:t xml:space="preserve">it </w:t>
      </w:r>
      <w:r w:rsidR="00F12A74" w:rsidRPr="00C04EB0">
        <w:rPr>
          <w:rFonts w:asciiTheme="minorBidi" w:hAnsiTheme="minorBidi" w:cstheme="minorBidi"/>
          <w:u w:color="000000"/>
        </w:rPr>
        <w:t xml:space="preserve">can provide investors </w:t>
      </w:r>
      <w:r w:rsidR="009631B7" w:rsidRPr="00C04EB0">
        <w:rPr>
          <w:rFonts w:asciiTheme="minorBidi" w:hAnsiTheme="minorBidi" w:cstheme="minorBidi"/>
          <w:u w:color="000000"/>
        </w:rPr>
        <w:t>with</w:t>
      </w:r>
      <w:r w:rsidR="00F12A74" w:rsidRPr="00C04EB0">
        <w:rPr>
          <w:rFonts w:asciiTheme="minorBidi" w:hAnsiTheme="minorBidi" w:cstheme="minorBidi"/>
          <w:u w:color="000000"/>
        </w:rPr>
        <w:t xml:space="preserve"> additional </w:t>
      </w:r>
      <w:r w:rsidR="00C04EB0" w:rsidRPr="00C04EB0">
        <w:rPr>
          <w:rFonts w:asciiTheme="minorBidi" w:hAnsiTheme="minorBidi" w:cstheme="minorBidi"/>
          <w:u w:color="000000"/>
        </w:rPr>
        <w:t xml:space="preserve">comfort </w:t>
      </w:r>
      <w:r w:rsidR="00F12A74" w:rsidRPr="00C04EB0">
        <w:rPr>
          <w:rFonts w:asciiTheme="minorBidi" w:hAnsiTheme="minorBidi" w:cstheme="minorBidi"/>
          <w:u w:color="000000"/>
        </w:rPr>
        <w:t xml:space="preserve">that the assets in the </w:t>
      </w:r>
      <w:r w:rsidR="007716CD" w:rsidRPr="00C04EB0">
        <w:rPr>
          <w:rFonts w:asciiTheme="minorBidi" w:hAnsiTheme="minorBidi" w:cstheme="minorBidi"/>
          <w:u w:color="000000"/>
        </w:rPr>
        <w:t>F</w:t>
      </w:r>
      <w:r w:rsidR="00F12A74" w:rsidRPr="00C04EB0">
        <w:rPr>
          <w:rFonts w:asciiTheme="minorBidi" w:hAnsiTheme="minorBidi" w:cstheme="minorBidi"/>
          <w:u w:color="000000"/>
        </w:rPr>
        <w:t xml:space="preserve">und or </w:t>
      </w:r>
      <w:r w:rsidR="007716CD" w:rsidRPr="00C04EB0">
        <w:rPr>
          <w:rFonts w:asciiTheme="minorBidi" w:hAnsiTheme="minorBidi" w:cstheme="minorBidi"/>
          <w:u w:color="000000"/>
        </w:rPr>
        <w:t>Model P</w:t>
      </w:r>
      <w:r w:rsidR="00F12A74" w:rsidRPr="00C04EB0">
        <w:rPr>
          <w:rFonts w:asciiTheme="minorBidi" w:hAnsiTheme="minorBidi" w:cstheme="minorBidi"/>
          <w:u w:color="000000"/>
        </w:rPr>
        <w:t xml:space="preserve">ortfolio are </w:t>
      </w:r>
      <w:r w:rsidR="003A66CB" w:rsidRPr="00C04EB0">
        <w:rPr>
          <w:rFonts w:asciiTheme="minorBidi" w:hAnsiTheme="minorBidi" w:cstheme="minorBidi"/>
          <w:u w:color="000000"/>
        </w:rPr>
        <w:t xml:space="preserve">aligned </w:t>
      </w:r>
      <w:r w:rsidR="00F12A74" w:rsidRPr="00C04EB0">
        <w:rPr>
          <w:rFonts w:asciiTheme="minorBidi" w:hAnsiTheme="minorBidi" w:cstheme="minorBidi"/>
          <w:u w:color="000000"/>
        </w:rPr>
        <w:t>with investors’ expectations</w:t>
      </w:r>
      <w:r w:rsidR="003A66CB" w:rsidRPr="00C04EB0">
        <w:rPr>
          <w:rFonts w:asciiTheme="minorBidi" w:hAnsiTheme="minorBidi" w:cstheme="minorBidi"/>
          <w:u w:color="000000"/>
        </w:rPr>
        <w:t xml:space="preserve"> regarding their environmental credentials</w:t>
      </w:r>
      <w:r w:rsidR="00F12A74" w:rsidRPr="00C04EB0">
        <w:rPr>
          <w:rFonts w:asciiTheme="minorBidi" w:hAnsiTheme="minorBidi" w:cstheme="minorBidi"/>
          <w:u w:color="000000"/>
        </w:rPr>
        <w:t xml:space="preserve">. </w:t>
      </w:r>
    </w:p>
    <w:p w14:paraId="52E5489B" w14:textId="39E9A2F4" w:rsidR="00F12A74" w:rsidRPr="00C04EB0" w:rsidRDefault="00AD4338" w:rsidP="00023D47">
      <w:pPr>
        <w:jc w:val="both"/>
        <w:rPr>
          <w:rFonts w:asciiTheme="minorBidi" w:hAnsiTheme="minorBidi" w:cstheme="minorBidi"/>
          <w:u w:color="000000"/>
        </w:rPr>
      </w:pPr>
      <w:r w:rsidRPr="00C04EB0">
        <w:rPr>
          <w:rFonts w:asciiTheme="minorBidi" w:hAnsiTheme="minorBidi" w:cstheme="minorBidi"/>
          <w:u w:color="000000"/>
        </w:rPr>
        <w:t>2.</w:t>
      </w:r>
      <w:r w:rsidR="00C27009" w:rsidRPr="00C04EB0">
        <w:rPr>
          <w:rFonts w:asciiTheme="minorBidi" w:hAnsiTheme="minorBidi" w:cstheme="minorBidi"/>
          <w:u w:color="000000"/>
        </w:rPr>
        <w:t>8</w:t>
      </w:r>
      <w:r w:rsidR="00F12A74" w:rsidRPr="00C04EB0">
        <w:rPr>
          <w:rFonts w:asciiTheme="minorBidi" w:hAnsiTheme="minorBidi" w:cstheme="minorBidi"/>
          <w:u w:color="000000"/>
        </w:rPr>
        <w:tab/>
        <w:t xml:space="preserve">Under </w:t>
      </w:r>
      <w:r w:rsidR="00197DA3" w:rsidRPr="00C04EB0">
        <w:rPr>
          <w:rFonts w:asciiTheme="minorBidi" w:hAnsiTheme="minorBidi" w:cstheme="minorBidi"/>
          <w:u w:color="000000"/>
        </w:rPr>
        <w:t xml:space="preserve">our </w:t>
      </w:r>
      <w:r w:rsidR="00F12A74" w:rsidRPr="00C04EB0">
        <w:rPr>
          <w:rFonts w:asciiTheme="minorBidi" w:hAnsiTheme="minorBidi" w:cstheme="minorBidi"/>
          <w:u w:color="000000"/>
        </w:rPr>
        <w:t xml:space="preserve">Rules, </w:t>
      </w:r>
      <w:r w:rsidR="00A12206" w:rsidRPr="00C04EB0">
        <w:rPr>
          <w:rFonts w:asciiTheme="minorBidi" w:hAnsiTheme="minorBidi" w:cstheme="minorBidi"/>
          <w:u w:color="000000"/>
        </w:rPr>
        <w:t>TPA</w:t>
      </w:r>
      <w:r w:rsidR="00F12A74" w:rsidRPr="00C04EB0">
        <w:rPr>
          <w:rFonts w:asciiTheme="minorBidi" w:hAnsiTheme="minorBidi" w:cstheme="minorBidi"/>
          <w:u w:color="000000"/>
        </w:rPr>
        <w:t xml:space="preserve"> providers must</w:t>
      </w:r>
      <w:r w:rsidR="00197DA3" w:rsidRPr="00C04EB0">
        <w:rPr>
          <w:rFonts w:asciiTheme="minorBidi" w:hAnsiTheme="minorBidi" w:cstheme="minorBidi"/>
          <w:u w:color="000000"/>
        </w:rPr>
        <w:t>:</w:t>
      </w:r>
      <w:r w:rsidR="00F12A74" w:rsidRPr="00C04EB0">
        <w:rPr>
          <w:rFonts w:asciiTheme="minorBidi" w:hAnsiTheme="minorBidi" w:cstheme="minorBidi"/>
          <w:u w:color="000000"/>
        </w:rPr>
        <w:t xml:space="preserve">  </w:t>
      </w:r>
    </w:p>
    <w:p w14:paraId="411F4391" w14:textId="6C1AE03A" w:rsidR="00F12A74" w:rsidRPr="00C04EB0" w:rsidRDefault="00F12A74" w:rsidP="00023D47">
      <w:pPr>
        <w:pStyle w:val="ListParagraph"/>
        <w:numPr>
          <w:ilvl w:val="0"/>
          <w:numId w:val="33"/>
        </w:numPr>
        <w:ind w:left="1418" w:hanging="709"/>
        <w:jc w:val="both"/>
        <w:rPr>
          <w:rFonts w:asciiTheme="minorBidi" w:hAnsiTheme="minorBidi" w:cstheme="minorBidi"/>
          <w:w w:val="105"/>
        </w:rPr>
      </w:pPr>
      <w:r w:rsidRPr="00C04EB0">
        <w:rPr>
          <w:rFonts w:asciiTheme="minorBidi" w:hAnsiTheme="minorBidi" w:cstheme="minorBidi"/>
          <w:w w:val="105"/>
        </w:rPr>
        <w:t xml:space="preserve">possess the required skills, resources and experience to provide the </w:t>
      </w:r>
      <w:proofErr w:type="gramStart"/>
      <w:r w:rsidRPr="00C04EB0">
        <w:rPr>
          <w:rFonts w:asciiTheme="minorBidi" w:hAnsiTheme="minorBidi" w:cstheme="minorBidi"/>
          <w:w w:val="105"/>
        </w:rPr>
        <w:t>attestation;</w:t>
      </w:r>
      <w:proofErr w:type="gramEnd"/>
    </w:p>
    <w:p w14:paraId="676FE2AC" w14:textId="23E77F39" w:rsidR="00F12A74" w:rsidRPr="00C04EB0" w:rsidRDefault="00F12A74" w:rsidP="00023D47">
      <w:pPr>
        <w:pStyle w:val="ListParagraph"/>
        <w:numPr>
          <w:ilvl w:val="0"/>
          <w:numId w:val="33"/>
        </w:numPr>
        <w:ind w:left="1418" w:hanging="709"/>
        <w:jc w:val="both"/>
        <w:rPr>
          <w:rFonts w:asciiTheme="minorBidi" w:hAnsiTheme="minorBidi" w:cstheme="minorBidi"/>
          <w:w w:val="105"/>
        </w:rPr>
      </w:pPr>
      <w:r w:rsidRPr="00C04EB0">
        <w:rPr>
          <w:rFonts w:asciiTheme="minorBidi" w:hAnsiTheme="minorBidi" w:cstheme="minorBidi"/>
          <w:w w:val="105"/>
        </w:rPr>
        <w:t xml:space="preserve">be independent of, and not subject to any conflict of interest with, the Fund Manager, the investment </w:t>
      </w:r>
      <w:proofErr w:type="gramStart"/>
      <w:r w:rsidRPr="00C04EB0">
        <w:rPr>
          <w:rFonts w:asciiTheme="minorBidi" w:hAnsiTheme="minorBidi" w:cstheme="minorBidi"/>
          <w:w w:val="105"/>
        </w:rPr>
        <w:t>advisor</w:t>
      </w:r>
      <w:proofErr w:type="gramEnd"/>
      <w:r w:rsidRPr="00C04EB0">
        <w:rPr>
          <w:rFonts w:asciiTheme="minorBidi" w:hAnsiTheme="minorBidi" w:cstheme="minorBidi"/>
          <w:w w:val="105"/>
        </w:rPr>
        <w:t xml:space="preserve"> or the Trustee</w:t>
      </w:r>
      <w:r w:rsidR="002E0426" w:rsidRPr="00C04EB0">
        <w:rPr>
          <w:rFonts w:asciiTheme="minorBidi" w:hAnsiTheme="minorBidi" w:cstheme="minorBidi"/>
          <w:w w:val="105"/>
        </w:rPr>
        <w:t>,</w:t>
      </w:r>
      <w:r w:rsidRPr="00C04EB0">
        <w:rPr>
          <w:rFonts w:asciiTheme="minorBidi" w:hAnsiTheme="minorBidi" w:cstheme="minorBidi"/>
          <w:w w:val="105"/>
        </w:rPr>
        <w:t xml:space="preserve"> where applicable; and</w:t>
      </w:r>
    </w:p>
    <w:p w14:paraId="4A57C7E3" w14:textId="77777777" w:rsidR="00F12A74" w:rsidRPr="00C04EB0" w:rsidRDefault="00F12A74" w:rsidP="00023D47">
      <w:pPr>
        <w:pStyle w:val="ListParagraph"/>
        <w:numPr>
          <w:ilvl w:val="0"/>
          <w:numId w:val="33"/>
        </w:numPr>
        <w:ind w:left="1418" w:hanging="709"/>
        <w:jc w:val="both"/>
        <w:rPr>
          <w:rFonts w:asciiTheme="minorBidi" w:hAnsiTheme="minorBidi" w:cstheme="minorBidi"/>
          <w:w w:val="105"/>
        </w:rPr>
      </w:pPr>
      <w:r w:rsidRPr="00C04EB0">
        <w:rPr>
          <w:rFonts w:asciiTheme="minorBidi" w:hAnsiTheme="minorBidi" w:cstheme="minorBidi"/>
          <w:w w:val="105"/>
        </w:rPr>
        <w:t xml:space="preserve">have been provided with all documents, </w:t>
      </w:r>
      <w:proofErr w:type="gramStart"/>
      <w:r w:rsidRPr="00C04EB0">
        <w:rPr>
          <w:rFonts w:asciiTheme="minorBidi" w:hAnsiTheme="minorBidi" w:cstheme="minorBidi"/>
          <w:w w:val="105"/>
        </w:rPr>
        <w:t>records</w:t>
      </w:r>
      <w:proofErr w:type="gramEnd"/>
      <w:r w:rsidRPr="00C04EB0">
        <w:rPr>
          <w:rFonts w:asciiTheme="minorBidi" w:hAnsiTheme="minorBidi" w:cstheme="minorBidi"/>
          <w:w w:val="105"/>
        </w:rPr>
        <w:t xml:space="preserve"> and information necessary to give the attestation.</w:t>
      </w:r>
    </w:p>
    <w:p w14:paraId="13FAFD41" w14:textId="035DFB16" w:rsidR="00F12A74" w:rsidRPr="00C04EB0" w:rsidRDefault="00AD4338" w:rsidP="00023D47">
      <w:pPr>
        <w:ind w:left="720" w:hanging="720"/>
        <w:jc w:val="both"/>
        <w:rPr>
          <w:rFonts w:asciiTheme="minorBidi" w:hAnsiTheme="minorBidi" w:cstheme="minorBidi"/>
          <w:u w:color="000000"/>
        </w:rPr>
      </w:pPr>
      <w:r w:rsidRPr="00C04EB0">
        <w:rPr>
          <w:rFonts w:asciiTheme="minorBidi" w:hAnsiTheme="minorBidi" w:cstheme="minorBidi"/>
          <w:u w:color="000000"/>
        </w:rPr>
        <w:t>2.</w:t>
      </w:r>
      <w:r w:rsidR="00C27009" w:rsidRPr="00C04EB0">
        <w:rPr>
          <w:rFonts w:asciiTheme="minorBidi" w:hAnsiTheme="minorBidi" w:cstheme="minorBidi"/>
          <w:u w:color="000000"/>
        </w:rPr>
        <w:t>9</w:t>
      </w:r>
      <w:r w:rsidR="00F12A74" w:rsidRPr="00C04EB0">
        <w:rPr>
          <w:rFonts w:asciiTheme="minorBidi" w:hAnsiTheme="minorBidi" w:cstheme="minorBidi"/>
          <w:u w:color="000000"/>
        </w:rPr>
        <w:tab/>
        <w:t xml:space="preserve">In selecting a provider </w:t>
      </w:r>
      <w:r w:rsidR="00363ED6" w:rsidRPr="00C04EB0">
        <w:rPr>
          <w:rFonts w:asciiTheme="minorBidi" w:hAnsiTheme="minorBidi" w:cstheme="minorBidi"/>
          <w:u w:color="000000"/>
        </w:rPr>
        <w:t xml:space="preserve">for </w:t>
      </w:r>
      <w:r w:rsidR="00A12206" w:rsidRPr="00C04EB0">
        <w:rPr>
          <w:rFonts w:asciiTheme="minorBidi" w:hAnsiTheme="minorBidi" w:cstheme="minorBidi"/>
          <w:u w:color="000000"/>
        </w:rPr>
        <w:t>a TPA</w:t>
      </w:r>
      <w:r w:rsidR="00F12A74" w:rsidRPr="00C04EB0">
        <w:rPr>
          <w:rFonts w:asciiTheme="minorBidi" w:hAnsiTheme="minorBidi" w:cstheme="minorBidi"/>
          <w:u w:color="000000"/>
        </w:rPr>
        <w:t>, a firm should consider the following attributes</w:t>
      </w:r>
      <w:r w:rsidR="00372C15" w:rsidRPr="00C04EB0">
        <w:rPr>
          <w:rFonts w:asciiTheme="minorBidi" w:hAnsiTheme="minorBidi" w:cstheme="minorBidi"/>
          <w:u w:color="000000"/>
        </w:rPr>
        <w:t>, amongst others,</w:t>
      </w:r>
      <w:r w:rsidR="00F12A74" w:rsidRPr="00C04EB0">
        <w:rPr>
          <w:rFonts w:asciiTheme="minorBidi" w:hAnsiTheme="minorBidi" w:cstheme="minorBidi"/>
          <w:u w:color="000000"/>
        </w:rPr>
        <w:t xml:space="preserve"> as </w:t>
      </w:r>
      <w:r w:rsidR="00372C15" w:rsidRPr="00C04EB0">
        <w:rPr>
          <w:rFonts w:asciiTheme="minorBidi" w:hAnsiTheme="minorBidi" w:cstheme="minorBidi"/>
          <w:u w:color="000000"/>
        </w:rPr>
        <w:t>indicating</w:t>
      </w:r>
      <w:r w:rsidR="00F12A74" w:rsidRPr="00C04EB0">
        <w:rPr>
          <w:rFonts w:asciiTheme="minorBidi" w:hAnsiTheme="minorBidi" w:cstheme="minorBidi"/>
          <w:u w:color="000000"/>
        </w:rPr>
        <w:t xml:space="preserve"> that the third party is likely to meet the FSRA’s requirements regarding the</w:t>
      </w:r>
      <w:r w:rsidR="00A12206" w:rsidRPr="00C04EB0">
        <w:rPr>
          <w:rFonts w:asciiTheme="minorBidi" w:hAnsiTheme="minorBidi" w:cstheme="minorBidi"/>
          <w:u w:color="000000"/>
        </w:rPr>
        <w:t xml:space="preserve"> required </w:t>
      </w:r>
      <w:r w:rsidR="00F12A74" w:rsidRPr="00C04EB0">
        <w:rPr>
          <w:rFonts w:asciiTheme="minorBidi" w:hAnsiTheme="minorBidi" w:cstheme="minorBidi"/>
          <w:u w:color="000000"/>
        </w:rPr>
        <w:t xml:space="preserve">skills, </w:t>
      </w:r>
      <w:proofErr w:type="gramStart"/>
      <w:r w:rsidR="00F12A74" w:rsidRPr="00C04EB0">
        <w:rPr>
          <w:rFonts w:asciiTheme="minorBidi" w:hAnsiTheme="minorBidi" w:cstheme="minorBidi"/>
          <w:u w:color="000000"/>
        </w:rPr>
        <w:t>resources</w:t>
      </w:r>
      <w:proofErr w:type="gramEnd"/>
      <w:r w:rsidR="00F12A74" w:rsidRPr="00C04EB0">
        <w:rPr>
          <w:rFonts w:asciiTheme="minorBidi" w:hAnsiTheme="minorBidi" w:cstheme="minorBidi"/>
          <w:u w:color="000000"/>
        </w:rPr>
        <w:t xml:space="preserve"> and experience. These are that the </w:t>
      </w:r>
      <w:r w:rsidR="00A12206" w:rsidRPr="00C04EB0">
        <w:rPr>
          <w:rFonts w:asciiTheme="minorBidi" w:hAnsiTheme="minorBidi" w:cstheme="minorBidi"/>
          <w:u w:color="000000"/>
        </w:rPr>
        <w:t>TPA provider</w:t>
      </w:r>
      <w:r w:rsidR="00F12A74" w:rsidRPr="00C04EB0">
        <w:rPr>
          <w:rFonts w:asciiTheme="minorBidi" w:hAnsiTheme="minorBidi" w:cstheme="minorBidi"/>
          <w:u w:color="000000"/>
        </w:rPr>
        <w:t xml:space="preserve">: </w:t>
      </w:r>
    </w:p>
    <w:p w14:paraId="09831740" w14:textId="12AEC8DB" w:rsidR="00F12A74" w:rsidRPr="00C04EB0" w:rsidRDefault="00F12A74" w:rsidP="00023D47">
      <w:pPr>
        <w:pStyle w:val="ListParagraph"/>
        <w:numPr>
          <w:ilvl w:val="0"/>
          <w:numId w:val="34"/>
        </w:numPr>
        <w:ind w:left="1418" w:hanging="709"/>
        <w:jc w:val="both"/>
        <w:rPr>
          <w:rFonts w:asciiTheme="minorBidi" w:hAnsiTheme="minorBidi" w:cstheme="minorBidi"/>
          <w:w w:val="105"/>
        </w:rPr>
      </w:pPr>
      <w:r w:rsidRPr="00C04EB0">
        <w:rPr>
          <w:rFonts w:asciiTheme="minorBidi" w:hAnsiTheme="minorBidi" w:cstheme="minorBidi"/>
          <w:w w:val="105"/>
        </w:rPr>
        <w:t xml:space="preserve">has a thorough knowledge and experience of the asset class(es) invested in by the </w:t>
      </w:r>
      <w:r w:rsidR="00197DA3" w:rsidRPr="00C04EB0">
        <w:rPr>
          <w:rFonts w:asciiTheme="minorBidi" w:hAnsiTheme="minorBidi" w:cstheme="minorBidi"/>
          <w:w w:val="105"/>
        </w:rPr>
        <w:t>F</w:t>
      </w:r>
      <w:r w:rsidRPr="00C04EB0">
        <w:rPr>
          <w:rFonts w:asciiTheme="minorBidi" w:hAnsiTheme="minorBidi" w:cstheme="minorBidi"/>
          <w:w w:val="105"/>
        </w:rPr>
        <w:t xml:space="preserve">und or </w:t>
      </w:r>
      <w:r w:rsidR="00197DA3" w:rsidRPr="00C04EB0">
        <w:rPr>
          <w:rFonts w:asciiTheme="minorBidi" w:hAnsiTheme="minorBidi" w:cstheme="minorBidi"/>
          <w:w w:val="105"/>
        </w:rPr>
        <w:t xml:space="preserve">Model </w:t>
      </w:r>
      <w:proofErr w:type="gramStart"/>
      <w:r w:rsidR="00197DA3" w:rsidRPr="00C04EB0">
        <w:rPr>
          <w:rFonts w:asciiTheme="minorBidi" w:hAnsiTheme="minorBidi" w:cstheme="minorBidi"/>
          <w:w w:val="105"/>
        </w:rPr>
        <w:t>P</w:t>
      </w:r>
      <w:r w:rsidRPr="00C04EB0">
        <w:rPr>
          <w:rFonts w:asciiTheme="minorBidi" w:hAnsiTheme="minorBidi" w:cstheme="minorBidi"/>
          <w:w w:val="105"/>
        </w:rPr>
        <w:t>ortfolio</w:t>
      </w:r>
      <w:r w:rsidR="00372C15" w:rsidRPr="00C04EB0">
        <w:rPr>
          <w:rFonts w:asciiTheme="minorBidi" w:hAnsiTheme="minorBidi" w:cstheme="minorBidi"/>
          <w:w w:val="105"/>
        </w:rPr>
        <w:t>;</w:t>
      </w:r>
      <w:proofErr w:type="gramEnd"/>
    </w:p>
    <w:p w14:paraId="051FB5EA" w14:textId="6EED8904" w:rsidR="00F12A74" w:rsidRPr="00C04EB0" w:rsidRDefault="00F12A74" w:rsidP="00023D47">
      <w:pPr>
        <w:pStyle w:val="ListParagraph"/>
        <w:numPr>
          <w:ilvl w:val="0"/>
          <w:numId w:val="34"/>
        </w:numPr>
        <w:ind w:left="1418" w:hanging="709"/>
        <w:jc w:val="both"/>
        <w:rPr>
          <w:rFonts w:asciiTheme="minorBidi" w:hAnsiTheme="minorBidi" w:cstheme="minorBidi"/>
          <w:w w:val="105"/>
        </w:rPr>
      </w:pPr>
      <w:r w:rsidRPr="00C04EB0">
        <w:rPr>
          <w:rFonts w:asciiTheme="minorBidi" w:hAnsiTheme="minorBidi" w:cstheme="minorBidi"/>
          <w:w w:val="105"/>
        </w:rPr>
        <w:t xml:space="preserve">has demonstrable experience in undertaking assurance in the area, or an equivalent area, such as having provided </w:t>
      </w:r>
      <w:r w:rsidR="00197DA3" w:rsidRPr="00C04EB0">
        <w:rPr>
          <w:rFonts w:asciiTheme="minorBidi" w:hAnsiTheme="minorBidi" w:cstheme="minorBidi"/>
          <w:w w:val="105"/>
        </w:rPr>
        <w:t>a third</w:t>
      </w:r>
      <w:r w:rsidR="00372C15" w:rsidRPr="00C04EB0">
        <w:rPr>
          <w:rFonts w:asciiTheme="minorBidi" w:hAnsiTheme="minorBidi" w:cstheme="minorBidi"/>
          <w:w w:val="105"/>
        </w:rPr>
        <w:t>-</w:t>
      </w:r>
      <w:r w:rsidR="00197DA3" w:rsidRPr="00C04EB0">
        <w:rPr>
          <w:rFonts w:asciiTheme="minorBidi" w:hAnsiTheme="minorBidi" w:cstheme="minorBidi"/>
          <w:w w:val="105"/>
        </w:rPr>
        <w:t xml:space="preserve">party </w:t>
      </w:r>
      <w:r w:rsidR="00786986" w:rsidRPr="00C04EB0">
        <w:rPr>
          <w:rFonts w:asciiTheme="minorBidi" w:hAnsiTheme="minorBidi" w:cstheme="minorBidi"/>
          <w:w w:val="105"/>
        </w:rPr>
        <w:t xml:space="preserve">attestation </w:t>
      </w:r>
      <w:r w:rsidRPr="00C04EB0">
        <w:rPr>
          <w:rFonts w:asciiTheme="minorBidi" w:hAnsiTheme="minorBidi" w:cstheme="minorBidi"/>
          <w:w w:val="105"/>
        </w:rPr>
        <w:t xml:space="preserve">on sustainability of a fund or portfolio previously, or provided a </w:t>
      </w:r>
      <w:r w:rsidR="00A12206" w:rsidRPr="00C04EB0">
        <w:rPr>
          <w:rFonts w:asciiTheme="minorBidi" w:hAnsiTheme="minorBidi" w:cstheme="minorBidi"/>
          <w:w w:val="105"/>
        </w:rPr>
        <w:t>s</w:t>
      </w:r>
      <w:r w:rsidRPr="00C04EB0">
        <w:rPr>
          <w:rFonts w:asciiTheme="minorBidi" w:hAnsiTheme="minorBidi" w:cstheme="minorBidi"/>
          <w:w w:val="105"/>
        </w:rPr>
        <w:t>econd</w:t>
      </w:r>
      <w:r w:rsidR="00372C15" w:rsidRPr="00C04EB0">
        <w:rPr>
          <w:rFonts w:asciiTheme="minorBidi" w:hAnsiTheme="minorBidi" w:cstheme="minorBidi"/>
          <w:w w:val="105"/>
        </w:rPr>
        <w:t>-</w:t>
      </w:r>
      <w:r w:rsidR="00A12206" w:rsidRPr="00C04EB0">
        <w:rPr>
          <w:rFonts w:asciiTheme="minorBidi" w:hAnsiTheme="minorBidi" w:cstheme="minorBidi"/>
          <w:w w:val="105"/>
        </w:rPr>
        <w:t>p</w:t>
      </w:r>
      <w:r w:rsidRPr="00C04EB0">
        <w:rPr>
          <w:rFonts w:asciiTheme="minorBidi" w:hAnsiTheme="minorBidi" w:cstheme="minorBidi"/>
          <w:w w:val="105"/>
        </w:rPr>
        <w:t xml:space="preserve">arty </w:t>
      </w:r>
      <w:r w:rsidR="00A12206" w:rsidRPr="00C04EB0">
        <w:rPr>
          <w:rFonts w:asciiTheme="minorBidi" w:hAnsiTheme="minorBidi" w:cstheme="minorBidi"/>
          <w:w w:val="105"/>
        </w:rPr>
        <w:lastRenderedPageBreak/>
        <w:t>o</w:t>
      </w:r>
      <w:r w:rsidRPr="00C04EB0">
        <w:rPr>
          <w:rFonts w:asciiTheme="minorBidi" w:hAnsiTheme="minorBidi" w:cstheme="minorBidi"/>
          <w:w w:val="105"/>
        </w:rPr>
        <w:t>pinion for a green bond</w:t>
      </w:r>
      <w:r w:rsidR="00696972" w:rsidRPr="00C04EB0">
        <w:rPr>
          <w:rFonts w:asciiTheme="minorBidi" w:hAnsiTheme="minorBidi" w:cstheme="minorBidi"/>
          <w:w w:val="105"/>
        </w:rPr>
        <w:t>/sukuk</w:t>
      </w:r>
      <w:r w:rsidRPr="00C04EB0">
        <w:rPr>
          <w:rFonts w:asciiTheme="minorBidi" w:hAnsiTheme="minorBidi" w:cstheme="minorBidi"/>
          <w:w w:val="105"/>
        </w:rPr>
        <w:t xml:space="preserve"> </w:t>
      </w:r>
      <w:r w:rsidR="00696972" w:rsidRPr="00C04EB0">
        <w:rPr>
          <w:rFonts w:asciiTheme="minorBidi" w:hAnsiTheme="minorBidi" w:cstheme="minorBidi"/>
          <w:w w:val="105"/>
        </w:rPr>
        <w:t xml:space="preserve">or sustainability linked bond/sukuk </w:t>
      </w:r>
      <w:r w:rsidRPr="00C04EB0">
        <w:rPr>
          <w:rFonts w:asciiTheme="minorBidi" w:hAnsiTheme="minorBidi" w:cstheme="minorBidi"/>
          <w:w w:val="105"/>
        </w:rPr>
        <w:t>issuance</w:t>
      </w:r>
      <w:r w:rsidR="00372C15" w:rsidRPr="00C04EB0">
        <w:rPr>
          <w:rFonts w:asciiTheme="minorBidi" w:hAnsiTheme="minorBidi" w:cstheme="minorBidi"/>
          <w:w w:val="105"/>
        </w:rPr>
        <w:t>; and</w:t>
      </w:r>
    </w:p>
    <w:p w14:paraId="2C92864F" w14:textId="06287A8B" w:rsidR="00F12A74" w:rsidRPr="00C04EB0" w:rsidRDefault="00F12A74" w:rsidP="00023D47">
      <w:pPr>
        <w:pStyle w:val="ListParagraph"/>
        <w:numPr>
          <w:ilvl w:val="0"/>
          <w:numId w:val="34"/>
        </w:numPr>
        <w:ind w:left="1418" w:hanging="709"/>
        <w:jc w:val="both"/>
        <w:rPr>
          <w:rFonts w:asciiTheme="minorBidi" w:hAnsiTheme="minorBidi" w:cstheme="minorBidi"/>
          <w:u w:color="000000"/>
        </w:rPr>
      </w:pPr>
      <w:r w:rsidRPr="00C04EB0">
        <w:rPr>
          <w:rFonts w:asciiTheme="minorBidi" w:hAnsiTheme="minorBidi" w:cstheme="minorBidi"/>
          <w:w w:val="105"/>
        </w:rPr>
        <w:t>be of good</w:t>
      </w:r>
      <w:r w:rsidRPr="00C04EB0">
        <w:rPr>
          <w:rFonts w:asciiTheme="minorBidi" w:hAnsiTheme="minorBidi" w:cstheme="minorBidi"/>
          <w:u w:color="000000"/>
        </w:rPr>
        <w:t xml:space="preserve"> standing and reputation in the market. </w:t>
      </w:r>
    </w:p>
    <w:p w14:paraId="33A51AEA" w14:textId="4712EAE6" w:rsidR="002B1719" w:rsidRPr="00C04EB0" w:rsidRDefault="002B1719" w:rsidP="007A686C">
      <w:pPr>
        <w:widowControl w:val="0"/>
        <w:spacing w:before="0" w:after="0" w:line="240" w:lineRule="auto"/>
        <w:jc w:val="both"/>
        <w:rPr>
          <w:rFonts w:asciiTheme="minorBidi" w:hAnsiTheme="minorBidi" w:cstheme="minorBidi"/>
          <w:b/>
          <w:bCs/>
          <w:caps/>
        </w:rPr>
      </w:pPr>
    </w:p>
    <w:p w14:paraId="600660D1" w14:textId="59F1DFBD" w:rsidR="00874AB7" w:rsidRPr="00C04EB0" w:rsidRDefault="001A4E97" w:rsidP="007A686C">
      <w:pPr>
        <w:pStyle w:val="Level1"/>
        <w:rPr>
          <w:rFonts w:asciiTheme="minorBidi" w:hAnsiTheme="minorBidi" w:cstheme="minorBidi"/>
        </w:rPr>
      </w:pPr>
      <w:bookmarkStart w:id="12" w:name="_Toc138249327"/>
      <w:r w:rsidRPr="00C04EB0">
        <w:rPr>
          <w:rFonts w:asciiTheme="minorBidi" w:hAnsiTheme="minorBidi" w:cstheme="minorBidi"/>
        </w:rPr>
        <w:t xml:space="preserve">ADGM </w:t>
      </w:r>
      <w:r w:rsidR="00713C05" w:rsidRPr="00C04EB0">
        <w:rPr>
          <w:rFonts w:asciiTheme="minorBidi" w:hAnsiTheme="minorBidi" w:cstheme="minorBidi"/>
        </w:rPr>
        <w:t xml:space="preserve">Green and </w:t>
      </w:r>
      <w:r w:rsidRPr="00C04EB0">
        <w:rPr>
          <w:rFonts w:asciiTheme="minorBidi" w:hAnsiTheme="minorBidi" w:cstheme="minorBidi"/>
        </w:rPr>
        <w:t>ADGM Climate Transition Funds</w:t>
      </w:r>
      <w:bookmarkEnd w:id="12"/>
      <w:r w:rsidR="0002733C" w:rsidRPr="00C04EB0">
        <w:rPr>
          <w:rFonts w:asciiTheme="minorBidi" w:hAnsiTheme="minorBidi" w:cstheme="minorBidi"/>
        </w:rPr>
        <w:t xml:space="preserve"> </w:t>
      </w:r>
    </w:p>
    <w:p w14:paraId="44DA9475" w14:textId="7B412C87" w:rsidR="00F60485" w:rsidRPr="00C04EB0" w:rsidRDefault="003E6100" w:rsidP="00023D47">
      <w:pPr>
        <w:ind w:left="709" w:hanging="709"/>
        <w:jc w:val="both"/>
        <w:rPr>
          <w:rFonts w:asciiTheme="minorBidi" w:hAnsiTheme="minorBidi" w:cstheme="minorBidi"/>
          <w:w w:val="105"/>
        </w:rPr>
      </w:pPr>
      <w:bookmarkStart w:id="13" w:name="_Toc116055880"/>
      <w:r w:rsidRPr="00C04EB0">
        <w:rPr>
          <w:rFonts w:asciiTheme="minorBidi" w:hAnsiTheme="minorBidi" w:cstheme="minorBidi"/>
          <w:w w:val="105"/>
        </w:rPr>
        <w:t>3</w:t>
      </w:r>
      <w:r w:rsidR="00620CA1" w:rsidRPr="00C04EB0">
        <w:rPr>
          <w:rFonts w:asciiTheme="minorBidi" w:hAnsiTheme="minorBidi" w:cstheme="minorBidi"/>
          <w:w w:val="105"/>
        </w:rPr>
        <w:t>.2</w:t>
      </w:r>
      <w:r w:rsidR="00620CA1" w:rsidRPr="00C04EB0">
        <w:rPr>
          <w:rFonts w:asciiTheme="minorBidi" w:hAnsiTheme="minorBidi" w:cstheme="minorBidi"/>
          <w:w w:val="105"/>
        </w:rPr>
        <w:tab/>
      </w:r>
      <w:r w:rsidR="00634E99" w:rsidRPr="00C04EB0">
        <w:rPr>
          <w:rFonts w:asciiTheme="minorBidi" w:hAnsiTheme="minorBidi" w:cstheme="minorBidi"/>
          <w:w w:val="105"/>
        </w:rPr>
        <w:t xml:space="preserve">In addition to the </w:t>
      </w:r>
      <w:r w:rsidR="009A53CE" w:rsidRPr="00C04EB0">
        <w:rPr>
          <w:rFonts w:asciiTheme="minorBidi" w:hAnsiTheme="minorBidi" w:cstheme="minorBidi"/>
          <w:w w:val="105"/>
        </w:rPr>
        <w:t>requirements</w:t>
      </w:r>
      <w:r w:rsidR="00634E99" w:rsidRPr="00C04EB0">
        <w:rPr>
          <w:rFonts w:asciiTheme="minorBidi" w:hAnsiTheme="minorBidi" w:cstheme="minorBidi"/>
          <w:w w:val="105"/>
        </w:rPr>
        <w:t xml:space="preserve"> in chapter 20 </w:t>
      </w:r>
      <w:r w:rsidR="00B80A87" w:rsidRPr="00C04EB0">
        <w:rPr>
          <w:rFonts w:asciiTheme="minorBidi" w:hAnsiTheme="minorBidi" w:cstheme="minorBidi"/>
          <w:w w:val="105"/>
        </w:rPr>
        <w:t>of F</w:t>
      </w:r>
      <w:r w:rsidR="007D3301" w:rsidRPr="00C04EB0">
        <w:rPr>
          <w:rFonts w:asciiTheme="minorBidi" w:hAnsiTheme="minorBidi" w:cstheme="minorBidi"/>
          <w:w w:val="105"/>
        </w:rPr>
        <w:t>UNDS</w:t>
      </w:r>
      <w:r w:rsidR="00696972" w:rsidRPr="00C04EB0">
        <w:rPr>
          <w:rFonts w:asciiTheme="minorBidi" w:hAnsiTheme="minorBidi" w:cstheme="minorBidi"/>
          <w:w w:val="105"/>
        </w:rPr>
        <w:t>,</w:t>
      </w:r>
      <w:r w:rsidR="00F60485" w:rsidRPr="00C04EB0">
        <w:rPr>
          <w:rFonts w:asciiTheme="minorBidi" w:hAnsiTheme="minorBidi" w:cstheme="minorBidi"/>
          <w:w w:val="105"/>
        </w:rPr>
        <w:t xml:space="preserve"> </w:t>
      </w:r>
      <w:r w:rsidR="00634E99" w:rsidRPr="00C04EB0">
        <w:rPr>
          <w:rFonts w:asciiTheme="minorBidi" w:hAnsiTheme="minorBidi" w:cstheme="minorBidi"/>
          <w:w w:val="105"/>
        </w:rPr>
        <w:t>Authorised Persons should be aware of</w:t>
      </w:r>
      <w:r w:rsidR="00F60485" w:rsidRPr="00C04EB0">
        <w:rPr>
          <w:rFonts w:asciiTheme="minorBidi" w:hAnsiTheme="minorBidi" w:cstheme="minorBidi"/>
          <w:w w:val="105"/>
        </w:rPr>
        <w:t>:</w:t>
      </w:r>
      <w:bookmarkEnd w:id="13"/>
    </w:p>
    <w:p w14:paraId="107E2EBD" w14:textId="09160A6F" w:rsidR="00F60485" w:rsidRPr="00C04EB0" w:rsidRDefault="006E175A" w:rsidP="00023D47">
      <w:pPr>
        <w:ind w:left="1418" w:hanging="567"/>
        <w:jc w:val="both"/>
        <w:rPr>
          <w:rFonts w:asciiTheme="minorBidi" w:hAnsiTheme="minorBidi" w:cstheme="minorBidi"/>
        </w:rPr>
      </w:pPr>
      <w:bookmarkStart w:id="14" w:name="_Toc116055881"/>
      <w:r w:rsidRPr="00C04EB0">
        <w:rPr>
          <w:rFonts w:asciiTheme="minorBidi" w:hAnsiTheme="minorBidi" w:cstheme="minorBidi"/>
        </w:rPr>
        <w:t>a)</w:t>
      </w:r>
      <w:r w:rsidRPr="00C04EB0">
        <w:rPr>
          <w:rFonts w:asciiTheme="minorBidi" w:hAnsiTheme="minorBidi" w:cstheme="minorBidi"/>
        </w:rPr>
        <w:tab/>
      </w:r>
      <w:r w:rsidR="00F60485" w:rsidRPr="00C04EB0">
        <w:rPr>
          <w:rFonts w:asciiTheme="minorBidi" w:hAnsiTheme="minorBidi" w:cstheme="minorBidi"/>
        </w:rPr>
        <w:t xml:space="preserve">the restrictions on the financial promotion of Units in a Fund in </w:t>
      </w:r>
      <w:r w:rsidR="00667D9C" w:rsidRPr="00C04EB0">
        <w:rPr>
          <w:rFonts w:asciiTheme="minorBidi" w:hAnsiTheme="minorBidi" w:cstheme="minorBidi"/>
        </w:rPr>
        <w:t>s</w:t>
      </w:r>
      <w:r w:rsidR="00F60485" w:rsidRPr="00C04EB0">
        <w:rPr>
          <w:rFonts w:asciiTheme="minorBidi" w:hAnsiTheme="minorBidi" w:cstheme="minorBidi"/>
        </w:rPr>
        <w:t xml:space="preserve">ection 18 </w:t>
      </w:r>
      <w:r w:rsidR="00924DD2" w:rsidRPr="00C04EB0">
        <w:rPr>
          <w:rFonts w:asciiTheme="minorBidi" w:hAnsiTheme="minorBidi" w:cstheme="minorBidi"/>
        </w:rPr>
        <w:t xml:space="preserve">and Schedule 2 </w:t>
      </w:r>
      <w:r w:rsidR="00F60485" w:rsidRPr="00C04EB0">
        <w:rPr>
          <w:rFonts w:asciiTheme="minorBidi" w:hAnsiTheme="minorBidi" w:cstheme="minorBidi"/>
        </w:rPr>
        <w:t>of FSMR; and</w:t>
      </w:r>
      <w:bookmarkEnd w:id="14"/>
    </w:p>
    <w:p w14:paraId="53D3C128" w14:textId="2926211E" w:rsidR="00F60485" w:rsidRPr="00C04EB0" w:rsidRDefault="006E175A" w:rsidP="00023D47">
      <w:pPr>
        <w:ind w:left="1418" w:hanging="567"/>
        <w:jc w:val="both"/>
        <w:rPr>
          <w:rFonts w:asciiTheme="minorBidi" w:hAnsiTheme="minorBidi" w:cstheme="minorBidi"/>
        </w:rPr>
      </w:pPr>
      <w:bookmarkStart w:id="15" w:name="_Toc116055882"/>
      <w:r w:rsidRPr="00C04EB0">
        <w:rPr>
          <w:rFonts w:asciiTheme="minorBidi" w:hAnsiTheme="minorBidi" w:cstheme="minorBidi"/>
        </w:rPr>
        <w:t>b)</w:t>
      </w:r>
      <w:r w:rsidRPr="00C04EB0">
        <w:rPr>
          <w:rFonts w:asciiTheme="minorBidi" w:hAnsiTheme="minorBidi" w:cstheme="minorBidi"/>
        </w:rPr>
        <w:tab/>
      </w:r>
      <w:r w:rsidR="00F60485" w:rsidRPr="00C04EB0">
        <w:rPr>
          <w:rFonts w:asciiTheme="minorBidi" w:hAnsiTheme="minorBidi" w:cstheme="minorBidi"/>
        </w:rPr>
        <w:t xml:space="preserve">the requirements that apply to the Offer of Units in Domestic Funds, including Prospectus disclosure by Authorised Persons under </w:t>
      </w:r>
      <w:r w:rsidR="00253C09" w:rsidRPr="00C04EB0">
        <w:rPr>
          <w:rFonts w:asciiTheme="minorBidi" w:hAnsiTheme="minorBidi" w:cstheme="minorBidi"/>
        </w:rPr>
        <w:t>this Guidance</w:t>
      </w:r>
      <w:r w:rsidR="00F60485" w:rsidRPr="00C04EB0">
        <w:rPr>
          <w:rFonts w:asciiTheme="minorBidi" w:hAnsiTheme="minorBidi" w:cstheme="minorBidi"/>
        </w:rPr>
        <w:t>.</w:t>
      </w:r>
      <w:bookmarkEnd w:id="15"/>
    </w:p>
    <w:p w14:paraId="7DA5F3B8" w14:textId="3C914498" w:rsidR="00AD110F" w:rsidRPr="00C04EB0" w:rsidRDefault="003E6100" w:rsidP="00023D47">
      <w:pPr>
        <w:ind w:left="709" w:hanging="709"/>
        <w:jc w:val="both"/>
        <w:rPr>
          <w:rFonts w:asciiTheme="minorBidi" w:hAnsiTheme="minorBidi" w:cstheme="minorBidi"/>
          <w:w w:val="105"/>
        </w:rPr>
      </w:pPr>
      <w:bookmarkStart w:id="16" w:name="_Toc116055883"/>
      <w:r w:rsidRPr="00C04EB0">
        <w:rPr>
          <w:rFonts w:asciiTheme="minorBidi" w:hAnsiTheme="minorBidi" w:cstheme="minorBidi"/>
          <w:w w:val="105"/>
        </w:rPr>
        <w:t>3</w:t>
      </w:r>
      <w:r w:rsidR="00A40D86" w:rsidRPr="00C04EB0">
        <w:rPr>
          <w:rFonts w:asciiTheme="minorBidi" w:hAnsiTheme="minorBidi" w:cstheme="minorBidi"/>
          <w:w w:val="105"/>
        </w:rPr>
        <w:t>.3</w:t>
      </w:r>
      <w:r w:rsidR="00A40D86" w:rsidRPr="00C04EB0">
        <w:rPr>
          <w:rFonts w:asciiTheme="minorBidi" w:hAnsiTheme="minorBidi" w:cstheme="minorBidi"/>
          <w:w w:val="105"/>
        </w:rPr>
        <w:tab/>
      </w:r>
      <w:r w:rsidR="004A4548" w:rsidRPr="00C04EB0">
        <w:rPr>
          <w:rFonts w:asciiTheme="minorBidi" w:hAnsiTheme="minorBidi" w:cstheme="minorBidi"/>
          <w:w w:val="105"/>
        </w:rPr>
        <w:t xml:space="preserve">COBS Rule 3.2.1 requires an Authorised Person to take reasonable steps to ensure that any communication to a Person in relation to a Specified Investment is clear, </w:t>
      </w:r>
      <w:proofErr w:type="gramStart"/>
      <w:r w:rsidR="004A4548" w:rsidRPr="00C04EB0">
        <w:rPr>
          <w:rFonts w:asciiTheme="minorBidi" w:hAnsiTheme="minorBidi" w:cstheme="minorBidi"/>
          <w:w w:val="105"/>
        </w:rPr>
        <w:t>fair</w:t>
      </w:r>
      <w:proofErr w:type="gramEnd"/>
      <w:r w:rsidR="004A4548" w:rsidRPr="00C04EB0">
        <w:rPr>
          <w:rFonts w:asciiTheme="minorBidi" w:hAnsiTheme="minorBidi" w:cstheme="minorBidi"/>
          <w:w w:val="105"/>
        </w:rPr>
        <w:t xml:space="preserve"> and not misleading. Similarly, </w:t>
      </w:r>
      <w:r w:rsidR="007D3301" w:rsidRPr="00C04EB0">
        <w:rPr>
          <w:rFonts w:asciiTheme="minorBidi" w:hAnsiTheme="minorBidi" w:cstheme="minorBidi"/>
          <w:w w:val="105"/>
        </w:rPr>
        <w:t>FUNDS</w:t>
      </w:r>
      <w:r w:rsidR="004A4548" w:rsidRPr="00C04EB0">
        <w:rPr>
          <w:rFonts w:asciiTheme="minorBidi" w:hAnsiTheme="minorBidi" w:cstheme="minorBidi"/>
          <w:w w:val="105"/>
        </w:rPr>
        <w:t xml:space="preserve"> Rule 9.3.1(1) requires the presentation of information in a Prospectus to be clear, </w:t>
      </w:r>
      <w:proofErr w:type="gramStart"/>
      <w:r w:rsidR="004A4548" w:rsidRPr="00C04EB0">
        <w:rPr>
          <w:rFonts w:asciiTheme="minorBidi" w:hAnsiTheme="minorBidi" w:cstheme="minorBidi"/>
          <w:w w:val="105"/>
        </w:rPr>
        <w:t>fair</w:t>
      </w:r>
      <w:proofErr w:type="gramEnd"/>
      <w:r w:rsidR="004A4548" w:rsidRPr="00C04EB0">
        <w:rPr>
          <w:rFonts w:asciiTheme="minorBidi" w:hAnsiTheme="minorBidi" w:cstheme="minorBidi"/>
          <w:w w:val="105"/>
        </w:rPr>
        <w:t xml:space="preserve"> and not misleading.</w:t>
      </w:r>
      <w:bookmarkEnd w:id="16"/>
      <w:r w:rsidR="004A4548" w:rsidRPr="00C04EB0">
        <w:rPr>
          <w:rFonts w:asciiTheme="minorBidi" w:hAnsiTheme="minorBidi" w:cstheme="minorBidi"/>
          <w:w w:val="105"/>
        </w:rPr>
        <w:t xml:space="preserve"> </w:t>
      </w:r>
    </w:p>
    <w:p w14:paraId="6283D207" w14:textId="22448861" w:rsidR="00F42E6D" w:rsidRPr="00C04EB0" w:rsidRDefault="003E6100" w:rsidP="00023D47">
      <w:pPr>
        <w:ind w:left="709" w:hanging="709"/>
        <w:jc w:val="both"/>
        <w:rPr>
          <w:rFonts w:asciiTheme="minorBidi" w:hAnsiTheme="minorBidi" w:cstheme="minorBidi"/>
          <w:w w:val="105"/>
        </w:rPr>
      </w:pPr>
      <w:bookmarkStart w:id="17" w:name="_Toc116055884"/>
      <w:r w:rsidRPr="00C04EB0">
        <w:rPr>
          <w:rFonts w:asciiTheme="minorBidi" w:hAnsiTheme="minorBidi" w:cstheme="minorBidi"/>
          <w:w w:val="105"/>
        </w:rPr>
        <w:t>3</w:t>
      </w:r>
      <w:r w:rsidR="00A40D86" w:rsidRPr="00C04EB0">
        <w:rPr>
          <w:rFonts w:asciiTheme="minorBidi" w:hAnsiTheme="minorBidi" w:cstheme="minorBidi"/>
          <w:w w:val="105"/>
        </w:rPr>
        <w:t>.4</w:t>
      </w:r>
      <w:r w:rsidR="00A40D86" w:rsidRPr="00C04EB0">
        <w:rPr>
          <w:rFonts w:asciiTheme="minorBidi" w:hAnsiTheme="minorBidi" w:cstheme="minorBidi"/>
          <w:w w:val="105"/>
        </w:rPr>
        <w:tab/>
      </w:r>
      <w:r w:rsidR="004A4548" w:rsidRPr="00C04EB0">
        <w:rPr>
          <w:rFonts w:asciiTheme="minorBidi" w:hAnsiTheme="minorBidi" w:cstheme="minorBidi"/>
          <w:w w:val="105"/>
        </w:rPr>
        <w:t>Without limiting any requirements under COBS</w:t>
      </w:r>
      <w:r w:rsidR="007D3301" w:rsidRPr="00C04EB0">
        <w:rPr>
          <w:rFonts w:asciiTheme="minorBidi" w:hAnsiTheme="minorBidi" w:cstheme="minorBidi"/>
          <w:w w:val="105"/>
        </w:rPr>
        <w:t xml:space="preserve"> or FUNDS</w:t>
      </w:r>
      <w:r w:rsidR="004A4548" w:rsidRPr="00C04EB0">
        <w:rPr>
          <w:rFonts w:asciiTheme="minorBidi" w:hAnsiTheme="minorBidi" w:cstheme="minorBidi"/>
          <w:w w:val="105"/>
        </w:rPr>
        <w:t xml:space="preserve">, the Regulator has developed the ADGM Green Fund </w:t>
      </w:r>
      <w:r w:rsidR="00AA2E8A" w:rsidRPr="00C04EB0">
        <w:rPr>
          <w:rFonts w:asciiTheme="minorBidi" w:hAnsiTheme="minorBidi" w:cstheme="minorBidi"/>
          <w:w w:val="105"/>
        </w:rPr>
        <w:t>Designation</w:t>
      </w:r>
      <w:r w:rsidR="004A4548" w:rsidRPr="00C04EB0">
        <w:rPr>
          <w:rFonts w:asciiTheme="minorBidi" w:hAnsiTheme="minorBidi" w:cstheme="minorBidi"/>
          <w:w w:val="105"/>
        </w:rPr>
        <w:t xml:space="preserve"> and the ADGM Climate Transition Fund </w:t>
      </w:r>
      <w:r w:rsidR="00AA2E8A" w:rsidRPr="00C04EB0">
        <w:rPr>
          <w:rFonts w:asciiTheme="minorBidi" w:hAnsiTheme="minorBidi" w:cstheme="minorBidi"/>
          <w:w w:val="105"/>
        </w:rPr>
        <w:t>Designation</w:t>
      </w:r>
      <w:r w:rsidR="004A4548" w:rsidRPr="00C04EB0">
        <w:rPr>
          <w:rFonts w:asciiTheme="minorBidi" w:hAnsiTheme="minorBidi" w:cstheme="minorBidi"/>
          <w:w w:val="105"/>
        </w:rPr>
        <w:t xml:space="preserve"> to indicate that a Fund pursuing Green or Climate Transition objectives </w:t>
      </w:r>
      <w:r w:rsidR="00634E99" w:rsidRPr="00C04EB0">
        <w:rPr>
          <w:rFonts w:asciiTheme="minorBidi" w:hAnsiTheme="minorBidi" w:cstheme="minorBidi"/>
          <w:w w:val="105"/>
        </w:rPr>
        <w:t>purport</w:t>
      </w:r>
      <w:r w:rsidR="00AD70E5" w:rsidRPr="00C04EB0">
        <w:rPr>
          <w:rFonts w:asciiTheme="minorBidi" w:hAnsiTheme="minorBidi" w:cstheme="minorBidi"/>
          <w:w w:val="105"/>
        </w:rPr>
        <w:t>s</w:t>
      </w:r>
      <w:r w:rsidR="00634E99" w:rsidRPr="00C04EB0">
        <w:rPr>
          <w:rFonts w:asciiTheme="minorBidi" w:hAnsiTheme="minorBidi" w:cstheme="minorBidi"/>
          <w:w w:val="105"/>
        </w:rPr>
        <w:t xml:space="preserve"> </w:t>
      </w:r>
      <w:r w:rsidR="00C658DF" w:rsidRPr="00C04EB0">
        <w:rPr>
          <w:rFonts w:asciiTheme="minorBidi" w:hAnsiTheme="minorBidi" w:cstheme="minorBidi"/>
          <w:w w:val="105"/>
        </w:rPr>
        <w:t xml:space="preserve">to </w:t>
      </w:r>
      <w:r w:rsidR="004A4548" w:rsidRPr="00C04EB0">
        <w:rPr>
          <w:rFonts w:asciiTheme="minorBidi" w:hAnsiTheme="minorBidi" w:cstheme="minorBidi"/>
          <w:w w:val="105"/>
        </w:rPr>
        <w:t>meet</w:t>
      </w:r>
      <w:r w:rsidR="00C658DF" w:rsidRPr="00C04EB0">
        <w:rPr>
          <w:rFonts w:asciiTheme="minorBidi" w:hAnsiTheme="minorBidi" w:cstheme="minorBidi"/>
          <w:w w:val="105"/>
        </w:rPr>
        <w:t xml:space="preserve"> </w:t>
      </w:r>
      <w:r w:rsidR="004A4548" w:rsidRPr="00C04EB0">
        <w:rPr>
          <w:rFonts w:asciiTheme="minorBidi" w:hAnsiTheme="minorBidi" w:cstheme="minorBidi"/>
          <w:w w:val="105"/>
        </w:rPr>
        <w:t>the Regulator’s requirements for an ADGM Green Fund or an ADGM Climate Transition Fund</w:t>
      </w:r>
      <w:r w:rsidR="00E373C1" w:rsidRPr="00C04EB0">
        <w:rPr>
          <w:rFonts w:asciiTheme="minorBidi" w:hAnsiTheme="minorBidi" w:cstheme="minorBidi"/>
          <w:w w:val="105"/>
        </w:rPr>
        <w:t xml:space="preserve">. This includes </w:t>
      </w:r>
      <w:r w:rsidR="00C658DF" w:rsidRPr="00C04EB0">
        <w:rPr>
          <w:rFonts w:asciiTheme="minorBidi" w:hAnsiTheme="minorBidi" w:cstheme="minorBidi"/>
          <w:w w:val="105"/>
        </w:rPr>
        <w:t xml:space="preserve">seeking to </w:t>
      </w:r>
      <w:r w:rsidR="004A4548" w:rsidRPr="00C04EB0">
        <w:rPr>
          <w:rFonts w:asciiTheme="minorBidi" w:hAnsiTheme="minorBidi" w:cstheme="minorBidi"/>
          <w:w w:val="105"/>
        </w:rPr>
        <w:t>meet</w:t>
      </w:r>
      <w:r w:rsidR="00C658DF" w:rsidRPr="00C04EB0">
        <w:rPr>
          <w:rFonts w:asciiTheme="minorBidi" w:hAnsiTheme="minorBidi" w:cstheme="minorBidi"/>
          <w:w w:val="105"/>
        </w:rPr>
        <w:t xml:space="preserve"> </w:t>
      </w:r>
      <w:r w:rsidR="004A4548" w:rsidRPr="00C04EB0">
        <w:rPr>
          <w:rFonts w:asciiTheme="minorBidi" w:hAnsiTheme="minorBidi" w:cstheme="minorBidi"/>
          <w:w w:val="105"/>
        </w:rPr>
        <w:t xml:space="preserve">the relevant </w:t>
      </w:r>
      <w:r w:rsidR="00592C32" w:rsidRPr="00C04EB0">
        <w:rPr>
          <w:rFonts w:asciiTheme="minorBidi" w:hAnsiTheme="minorBidi" w:cstheme="minorBidi"/>
          <w:w w:val="105"/>
        </w:rPr>
        <w:t xml:space="preserve">Green Fund </w:t>
      </w:r>
      <w:r w:rsidR="003E4A70" w:rsidRPr="00C04EB0">
        <w:rPr>
          <w:rFonts w:asciiTheme="minorBidi" w:hAnsiTheme="minorBidi" w:cstheme="minorBidi"/>
          <w:w w:val="105"/>
        </w:rPr>
        <w:t>Investment Requirement</w:t>
      </w:r>
      <w:r w:rsidR="00592C32" w:rsidRPr="00C04EB0">
        <w:rPr>
          <w:rFonts w:asciiTheme="minorBidi" w:hAnsiTheme="minorBidi" w:cstheme="minorBidi"/>
          <w:w w:val="105"/>
        </w:rPr>
        <w:t xml:space="preserve"> or</w:t>
      </w:r>
      <w:r w:rsidR="003E4A70" w:rsidRPr="00C04EB0">
        <w:rPr>
          <w:rFonts w:asciiTheme="minorBidi" w:hAnsiTheme="minorBidi" w:cstheme="minorBidi"/>
          <w:w w:val="105"/>
        </w:rPr>
        <w:t xml:space="preserve"> </w:t>
      </w:r>
      <w:r w:rsidR="00592C32" w:rsidRPr="00C04EB0">
        <w:rPr>
          <w:rFonts w:asciiTheme="minorBidi" w:hAnsiTheme="minorBidi" w:cstheme="minorBidi"/>
          <w:w w:val="105"/>
        </w:rPr>
        <w:t xml:space="preserve">ADGM Climate Transition Fund Investment Requirement </w:t>
      </w:r>
      <w:r w:rsidR="003E4A70" w:rsidRPr="00C04EB0">
        <w:rPr>
          <w:rFonts w:asciiTheme="minorBidi" w:hAnsiTheme="minorBidi" w:cstheme="minorBidi"/>
          <w:w w:val="105"/>
        </w:rPr>
        <w:t xml:space="preserve">and </w:t>
      </w:r>
      <w:r w:rsidR="00934B77" w:rsidRPr="00C04EB0">
        <w:rPr>
          <w:rFonts w:asciiTheme="minorBidi" w:hAnsiTheme="minorBidi" w:cstheme="minorBidi"/>
          <w:w w:val="105"/>
        </w:rPr>
        <w:t xml:space="preserve">taking measures </w:t>
      </w:r>
      <w:r w:rsidR="004A4548" w:rsidRPr="00C04EB0">
        <w:rPr>
          <w:rFonts w:asciiTheme="minorBidi" w:hAnsiTheme="minorBidi" w:cstheme="minorBidi"/>
          <w:w w:val="105"/>
        </w:rPr>
        <w:t xml:space="preserve">to mitigate </w:t>
      </w:r>
      <w:r w:rsidR="00934B77" w:rsidRPr="00C04EB0">
        <w:rPr>
          <w:rFonts w:asciiTheme="minorBidi" w:hAnsiTheme="minorBidi" w:cstheme="minorBidi"/>
          <w:w w:val="105"/>
        </w:rPr>
        <w:t xml:space="preserve">the risk of </w:t>
      </w:r>
      <w:r w:rsidR="00E373C1" w:rsidRPr="00C04EB0">
        <w:rPr>
          <w:rFonts w:asciiTheme="minorBidi" w:hAnsiTheme="minorBidi" w:cstheme="minorBidi"/>
          <w:w w:val="105"/>
        </w:rPr>
        <w:t>“</w:t>
      </w:r>
      <w:r w:rsidR="00DD4B95" w:rsidRPr="00C04EB0">
        <w:rPr>
          <w:rFonts w:asciiTheme="minorBidi" w:hAnsiTheme="minorBidi" w:cstheme="minorBidi"/>
          <w:w w:val="105"/>
        </w:rPr>
        <w:t>g</w:t>
      </w:r>
      <w:r w:rsidR="004A4548" w:rsidRPr="00C04EB0">
        <w:rPr>
          <w:rFonts w:asciiTheme="minorBidi" w:hAnsiTheme="minorBidi" w:cstheme="minorBidi"/>
          <w:w w:val="105"/>
        </w:rPr>
        <w:t>reenwashing</w:t>
      </w:r>
      <w:r w:rsidR="00E373C1" w:rsidRPr="00C04EB0">
        <w:rPr>
          <w:rFonts w:asciiTheme="minorBidi" w:hAnsiTheme="minorBidi" w:cstheme="minorBidi"/>
          <w:w w:val="105"/>
        </w:rPr>
        <w:t>”, which</w:t>
      </w:r>
      <w:r w:rsidR="007D3301" w:rsidRPr="00C04EB0">
        <w:rPr>
          <w:rFonts w:asciiTheme="minorBidi" w:hAnsiTheme="minorBidi" w:cstheme="minorBidi"/>
          <w:w w:val="105"/>
        </w:rPr>
        <w:t>,</w:t>
      </w:r>
      <w:r w:rsidR="00E373C1" w:rsidRPr="00C04EB0">
        <w:rPr>
          <w:rFonts w:asciiTheme="minorBidi" w:hAnsiTheme="minorBidi" w:cstheme="minorBidi"/>
          <w:w w:val="105"/>
        </w:rPr>
        <w:t xml:space="preserve"> </w:t>
      </w:r>
      <w:r w:rsidR="00AD110F" w:rsidRPr="00C04EB0">
        <w:rPr>
          <w:rFonts w:asciiTheme="minorBidi" w:hAnsiTheme="minorBidi" w:cstheme="minorBidi"/>
          <w:w w:val="105"/>
        </w:rPr>
        <w:t>for the purpose</w:t>
      </w:r>
      <w:r w:rsidR="00E373C1" w:rsidRPr="00C04EB0">
        <w:rPr>
          <w:rFonts w:asciiTheme="minorBidi" w:hAnsiTheme="minorBidi" w:cstheme="minorBidi"/>
          <w:w w:val="105"/>
        </w:rPr>
        <w:t>s</w:t>
      </w:r>
      <w:r w:rsidR="00AD110F" w:rsidRPr="00C04EB0">
        <w:rPr>
          <w:rFonts w:asciiTheme="minorBidi" w:hAnsiTheme="minorBidi" w:cstheme="minorBidi"/>
          <w:w w:val="105"/>
        </w:rPr>
        <w:t xml:space="preserve"> of this Guidance</w:t>
      </w:r>
      <w:r w:rsidR="007D3301" w:rsidRPr="00C04EB0">
        <w:rPr>
          <w:rFonts w:asciiTheme="minorBidi" w:hAnsiTheme="minorBidi" w:cstheme="minorBidi"/>
          <w:w w:val="105"/>
        </w:rPr>
        <w:t>,</w:t>
      </w:r>
      <w:r w:rsidR="00AD110F" w:rsidRPr="00C04EB0">
        <w:rPr>
          <w:rFonts w:asciiTheme="minorBidi" w:hAnsiTheme="minorBidi" w:cstheme="minorBidi"/>
          <w:w w:val="105"/>
        </w:rPr>
        <w:t xml:space="preserve"> means the practice of misrepresenting sustainability-related practices or the sustainability-related features of investment products</w:t>
      </w:r>
      <w:r w:rsidR="00C97EF7" w:rsidRPr="00C04EB0">
        <w:rPr>
          <w:rFonts w:asciiTheme="minorBidi" w:hAnsiTheme="minorBidi" w:cstheme="minorBidi"/>
          <w:w w:val="105"/>
        </w:rPr>
        <w:t>.</w:t>
      </w:r>
      <w:bookmarkEnd w:id="17"/>
      <w:r w:rsidR="004A4548" w:rsidRPr="00C04EB0">
        <w:rPr>
          <w:rFonts w:asciiTheme="minorBidi" w:hAnsiTheme="minorBidi" w:cstheme="minorBidi"/>
          <w:w w:val="105"/>
        </w:rPr>
        <w:t xml:space="preserve"> </w:t>
      </w:r>
    </w:p>
    <w:p w14:paraId="761D3DDE" w14:textId="7C2DD878" w:rsidR="00BE793E" w:rsidRPr="00C04EB0" w:rsidRDefault="003E6100" w:rsidP="00023D47">
      <w:pPr>
        <w:ind w:left="709" w:hanging="709"/>
        <w:jc w:val="both"/>
        <w:rPr>
          <w:rFonts w:asciiTheme="minorBidi" w:hAnsiTheme="minorBidi" w:cstheme="minorBidi"/>
          <w:w w:val="105"/>
        </w:rPr>
      </w:pPr>
      <w:bookmarkStart w:id="18" w:name="_Toc116055885"/>
      <w:r w:rsidRPr="00C04EB0">
        <w:rPr>
          <w:rFonts w:asciiTheme="minorBidi" w:hAnsiTheme="minorBidi" w:cstheme="minorBidi"/>
          <w:w w:val="105"/>
        </w:rPr>
        <w:t>3</w:t>
      </w:r>
      <w:r w:rsidR="00A40D86" w:rsidRPr="00C04EB0">
        <w:rPr>
          <w:rFonts w:asciiTheme="minorBidi" w:hAnsiTheme="minorBidi" w:cstheme="minorBidi"/>
          <w:w w:val="105"/>
        </w:rPr>
        <w:t>.5</w:t>
      </w:r>
      <w:r w:rsidR="00A40D86" w:rsidRPr="00C04EB0">
        <w:rPr>
          <w:rFonts w:asciiTheme="minorBidi" w:hAnsiTheme="minorBidi" w:cstheme="minorBidi"/>
          <w:w w:val="105"/>
        </w:rPr>
        <w:tab/>
      </w:r>
      <w:r w:rsidR="00BE793E" w:rsidRPr="00C04EB0">
        <w:rPr>
          <w:rFonts w:asciiTheme="minorBidi" w:hAnsiTheme="minorBidi" w:cstheme="minorBidi"/>
          <w:w w:val="105"/>
        </w:rPr>
        <w:t xml:space="preserve">The purpose of the ADGM Green Fund </w:t>
      </w:r>
      <w:r w:rsidR="00B3584C" w:rsidRPr="00C04EB0">
        <w:rPr>
          <w:rFonts w:asciiTheme="minorBidi" w:hAnsiTheme="minorBidi" w:cstheme="minorBidi"/>
          <w:w w:val="105"/>
        </w:rPr>
        <w:t>Rules</w:t>
      </w:r>
      <w:r w:rsidR="00BE793E" w:rsidRPr="00C04EB0">
        <w:rPr>
          <w:rFonts w:asciiTheme="minorBidi" w:hAnsiTheme="minorBidi" w:cstheme="minorBidi"/>
          <w:w w:val="105"/>
        </w:rPr>
        <w:t xml:space="preserve"> is to provide a framework for investment in assets whose activities are already environmentally sustainable, therefore helping to </w:t>
      </w:r>
      <w:r w:rsidR="00DC48DB" w:rsidRPr="00C04EB0">
        <w:rPr>
          <w:rFonts w:asciiTheme="minorBidi" w:hAnsiTheme="minorBidi" w:cstheme="minorBidi"/>
          <w:w w:val="105"/>
        </w:rPr>
        <w:t xml:space="preserve">achieve </w:t>
      </w:r>
      <w:r w:rsidR="00BE793E" w:rsidRPr="00C04EB0">
        <w:rPr>
          <w:rFonts w:asciiTheme="minorBidi" w:hAnsiTheme="minorBidi" w:cstheme="minorBidi"/>
          <w:w w:val="105"/>
        </w:rPr>
        <w:t>local or global targets to reduce greenhouse gas emissions.</w:t>
      </w:r>
      <w:bookmarkEnd w:id="18"/>
      <w:r w:rsidR="00BE793E" w:rsidRPr="00C04EB0">
        <w:rPr>
          <w:rFonts w:asciiTheme="minorBidi" w:hAnsiTheme="minorBidi" w:cstheme="minorBidi"/>
          <w:w w:val="105"/>
        </w:rPr>
        <w:t xml:space="preserve">  </w:t>
      </w:r>
    </w:p>
    <w:p w14:paraId="5ADB59FE" w14:textId="0F9825B0" w:rsidR="00BE793E" w:rsidRPr="00C04EB0" w:rsidRDefault="003E6100" w:rsidP="00023D47">
      <w:pPr>
        <w:ind w:left="709" w:hanging="709"/>
        <w:jc w:val="both"/>
        <w:rPr>
          <w:rFonts w:asciiTheme="minorBidi" w:hAnsiTheme="minorBidi" w:cstheme="minorBidi"/>
          <w:w w:val="105"/>
        </w:rPr>
      </w:pPr>
      <w:bookmarkStart w:id="19" w:name="_Toc116055886"/>
      <w:r w:rsidRPr="00C04EB0">
        <w:rPr>
          <w:rFonts w:asciiTheme="minorBidi" w:hAnsiTheme="minorBidi" w:cstheme="minorBidi"/>
          <w:w w:val="105"/>
        </w:rPr>
        <w:t>3</w:t>
      </w:r>
      <w:r w:rsidR="00A40D86" w:rsidRPr="00C04EB0">
        <w:rPr>
          <w:rFonts w:asciiTheme="minorBidi" w:hAnsiTheme="minorBidi" w:cstheme="minorBidi"/>
          <w:w w:val="105"/>
        </w:rPr>
        <w:t>.6</w:t>
      </w:r>
      <w:r w:rsidR="00A40D86" w:rsidRPr="00C04EB0">
        <w:rPr>
          <w:rFonts w:asciiTheme="minorBidi" w:hAnsiTheme="minorBidi" w:cstheme="minorBidi"/>
          <w:w w:val="105"/>
        </w:rPr>
        <w:tab/>
      </w:r>
      <w:r w:rsidR="00BE793E" w:rsidRPr="00C04EB0">
        <w:rPr>
          <w:rFonts w:asciiTheme="minorBidi" w:hAnsiTheme="minorBidi" w:cstheme="minorBidi"/>
          <w:w w:val="105"/>
        </w:rPr>
        <w:t xml:space="preserve">The purpose of the ADGM Climate Transition Fund </w:t>
      </w:r>
      <w:r w:rsidR="00B3584C" w:rsidRPr="00C04EB0">
        <w:rPr>
          <w:rFonts w:asciiTheme="minorBidi" w:hAnsiTheme="minorBidi" w:cstheme="minorBidi"/>
          <w:w w:val="105"/>
        </w:rPr>
        <w:t>Rules</w:t>
      </w:r>
      <w:r w:rsidR="00BE793E" w:rsidRPr="00C04EB0">
        <w:rPr>
          <w:rFonts w:asciiTheme="minorBidi" w:hAnsiTheme="minorBidi" w:cstheme="minorBidi"/>
          <w:w w:val="105"/>
        </w:rPr>
        <w:t xml:space="preserve"> is to provide a framework for investment in assets whose activities are not currently considered environmentally sustainable, </w:t>
      </w:r>
      <w:proofErr w:type="gramStart"/>
      <w:r w:rsidR="00BE793E" w:rsidRPr="00C04EB0">
        <w:rPr>
          <w:rFonts w:asciiTheme="minorBidi" w:hAnsiTheme="minorBidi" w:cstheme="minorBidi"/>
          <w:w w:val="105"/>
        </w:rPr>
        <w:t>in order to</w:t>
      </w:r>
      <w:proofErr w:type="gramEnd"/>
      <w:r w:rsidR="00BE793E" w:rsidRPr="00C04EB0">
        <w:rPr>
          <w:rFonts w:asciiTheme="minorBidi" w:hAnsiTheme="minorBidi" w:cstheme="minorBidi"/>
          <w:w w:val="105"/>
        </w:rPr>
        <w:t xml:space="preserve"> finance their transition to become so. This will also help to achieve local or global targets to reduce greenhouse gas emissions.</w:t>
      </w:r>
      <w:bookmarkEnd w:id="19"/>
      <w:r w:rsidR="00BE793E" w:rsidRPr="00C04EB0">
        <w:rPr>
          <w:rFonts w:asciiTheme="minorBidi" w:hAnsiTheme="minorBidi" w:cstheme="minorBidi"/>
          <w:w w:val="105"/>
        </w:rPr>
        <w:t xml:space="preserve">  </w:t>
      </w:r>
    </w:p>
    <w:p w14:paraId="2C18584A" w14:textId="64386E00" w:rsidR="00BE793E" w:rsidRPr="00C04EB0" w:rsidRDefault="003E6100" w:rsidP="00023D47">
      <w:pPr>
        <w:ind w:left="709" w:hanging="709"/>
        <w:jc w:val="both"/>
        <w:rPr>
          <w:rFonts w:asciiTheme="minorBidi" w:hAnsiTheme="minorBidi" w:cstheme="minorBidi"/>
          <w:w w:val="105"/>
        </w:rPr>
      </w:pPr>
      <w:bookmarkStart w:id="20" w:name="_Toc116055887"/>
      <w:r w:rsidRPr="00C04EB0">
        <w:rPr>
          <w:rFonts w:asciiTheme="minorBidi" w:hAnsiTheme="minorBidi" w:cstheme="minorBidi"/>
          <w:w w:val="105"/>
        </w:rPr>
        <w:t>3</w:t>
      </w:r>
      <w:r w:rsidR="00A40D86" w:rsidRPr="00C04EB0">
        <w:rPr>
          <w:rFonts w:asciiTheme="minorBidi" w:hAnsiTheme="minorBidi" w:cstheme="minorBidi"/>
          <w:w w:val="105"/>
        </w:rPr>
        <w:t>.7</w:t>
      </w:r>
      <w:r w:rsidR="00A40D86" w:rsidRPr="00C04EB0">
        <w:rPr>
          <w:rFonts w:asciiTheme="minorBidi" w:hAnsiTheme="minorBidi" w:cstheme="minorBidi"/>
          <w:w w:val="105"/>
        </w:rPr>
        <w:tab/>
      </w:r>
      <w:r w:rsidR="00BE793E" w:rsidRPr="00C04EB0">
        <w:rPr>
          <w:rFonts w:asciiTheme="minorBidi" w:hAnsiTheme="minorBidi" w:cstheme="minorBidi"/>
          <w:w w:val="105"/>
        </w:rPr>
        <w:t xml:space="preserve">A Fund which </w:t>
      </w:r>
      <w:r w:rsidR="009B1D39" w:rsidRPr="00C04EB0">
        <w:rPr>
          <w:rFonts w:asciiTheme="minorBidi" w:hAnsiTheme="minorBidi" w:cstheme="minorBidi"/>
          <w:w w:val="105"/>
        </w:rPr>
        <w:t xml:space="preserve">purports to </w:t>
      </w:r>
      <w:r w:rsidR="00BE793E" w:rsidRPr="00C04EB0">
        <w:rPr>
          <w:rFonts w:asciiTheme="minorBidi" w:hAnsiTheme="minorBidi" w:cstheme="minorBidi"/>
          <w:w w:val="105"/>
        </w:rPr>
        <w:t xml:space="preserve">meet the ADGM Green Fund Rules </w:t>
      </w:r>
      <w:r w:rsidR="000F0123" w:rsidRPr="00C04EB0">
        <w:rPr>
          <w:rFonts w:asciiTheme="minorBidi" w:hAnsiTheme="minorBidi" w:cstheme="minorBidi"/>
          <w:w w:val="105"/>
        </w:rPr>
        <w:t xml:space="preserve">or ADGM Climate Transition Fund Rules (as applicable) </w:t>
      </w:r>
      <w:r w:rsidR="00BE793E" w:rsidRPr="00C04EB0">
        <w:rPr>
          <w:rFonts w:asciiTheme="minorBidi" w:hAnsiTheme="minorBidi" w:cstheme="minorBidi"/>
          <w:w w:val="105"/>
        </w:rPr>
        <w:t xml:space="preserve">may apply to the Regulator </w:t>
      </w:r>
      <w:r w:rsidR="000F0123" w:rsidRPr="00C04EB0">
        <w:rPr>
          <w:rFonts w:asciiTheme="minorBidi" w:hAnsiTheme="minorBidi" w:cstheme="minorBidi"/>
          <w:w w:val="105"/>
        </w:rPr>
        <w:t xml:space="preserve">for the </w:t>
      </w:r>
      <w:r w:rsidR="00BE793E" w:rsidRPr="00C04EB0">
        <w:rPr>
          <w:rFonts w:asciiTheme="minorBidi" w:hAnsiTheme="minorBidi" w:cstheme="minorBidi"/>
          <w:w w:val="105"/>
        </w:rPr>
        <w:t>ADGM Green Fund Designation</w:t>
      </w:r>
      <w:r w:rsidR="000F0123" w:rsidRPr="00C04EB0">
        <w:rPr>
          <w:rFonts w:asciiTheme="minorBidi" w:hAnsiTheme="minorBidi" w:cstheme="minorBidi"/>
          <w:w w:val="105"/>
        </w:rPr>
        <w:t xml:space="preserve"> </w:t>
      </w:r>
      <w:r w:rsidR="00621A84" w:rsidRPr="00C04EB0">
        <w:rPr>
          <w:rFonts w:asciiTheme="minorBidi" w:hAnsiTheme="minorBidi" w:cstheme="minorBidi"/>
          <w:w w:val="105"/>
        </w:rPr>
        <w:t>or</w:t>
      </w:r>
      <w:r w:rsidR="000F0123" w:rsidRPr="00C04EB0">
        <w:rPr>
          <w:rFonts w:asciiTheme="minorBidi" w:hAnsiTheme="minorBidi" w:cstheme="minorBidi"/>
          <w:w w:val="105"/>
        </w:rPr>
        <w:t xml:space="preserve"> ADGM Climate Transition Fund Designation</w:t>
      </w:r>
      <w:r w:rsidR="00BE793E" w:rsidRPr="00C04EB0">
        <w:rPr>
          <w:rFonts w:asciiTheme="minorBidi" w:hAnsiTheme="minorBidi" w:cstheme="minorBidi"/>
          <w:w w:val="105"/>
        </w:rPr>
        <w:t xml:space="preserve">. An ADGM Green Fund Designation </w:t>
      </w:r>
      <w:r w:rsidR="00621A84" w:rsidRPr="00C04EB0">
        <w:rPr>
          <w:rFonts w:asciiTheme="minorBidi" w:hAnsiTheme="minorBidi" w:cstheme="minorBidi"/>
          <w:w w:val="105"/>
        </w:rPr>
        <w:t>or</w:t>
      </w:r>
      <w:r w:rsidR="000F0123" w:rsidRPr="00C04EB0">
        <w:rPr>
          <w:rFonts w:asciiTheme="minorBidi" w:hAnsiTheme="minorBidi" w:cstheme="minorBidi"/>
          <w:w w:val="105"/>
        </w:rPr>
        <w:t xml:space="preserve"> ADGM Climate Transition Fund Designation </w:t>
      </w:r>
      <w:r w:rsidR="00BE793E" w:rsidRPr="00C04EB0">
        <w:rPr>
          <w:rFonts w:asciiTheme="minorBidi" w:hAnsiTheme="minorBidi" w:cstheme="minorBidi"/>
          <w:w w:val="105"/>
        </w:rPr>
        <w:t xml:space="preserve">reflects that a Fund </w:t>
      </w:r>
      <w:r w:rsidR="009A53CE" w:rsidRPr="00C04EB0">
        <w:rPr>
          <w:rFonts w:asciiTheme="minorBidi" w:hAnsiTheme="minorBidi" w:cstheme="minorBidi"/>
          <w:w w:val="105"/>
        </w:rPr>
        <w:t xml:space="preserve">purports </w:t>
      </w:r>
      <w:r w:rsidR="00A87F7C" w:rsidRPr="00C04EB0">
        <w:rPr>
          <w:rFonts w:asciiTheme="minorBidi" w:hAnsiTheme="minorBidi" w:cstheme="minorBidi"/>
          <w:w w:val="105"/>
        </w:rPr>
        <w:t xml:space="preserve">to </w:t>
      </w:r>
      <w:r w:rsidR="00BE793E" w:rsidRPr="00C04EB0">
        <w:rPr>
          <w:rFonts w:asciiTheme="minorBidi" w:hAnsiTheme="minorBidi" w:cstheme="minorBidi"/>
          <w:w w:val="105"/>
        </w:rPr>
        <w:t xml:space="preserve">adhere to the ADGM Green Fund </w:t>
      </w:r>
      <w:r w:rsidR="00A72CAB" w:rsidRPr="00C04EB0">
        <w:rPr>
          <w:rFonts w:asciiTheme="minorBidi" w:hAnsiTheme="minorBidi" w:cstheme="minorBidi"/>
          <w:w w:val="105"/>
        </w:rPr>
        <w:t>Rules</w:t>
      </w:r>
      <w:r w:rsidR="00BE793E" w:rsidRPr="00C04EB0">
        <w:rPr>
          <w:rFonts w:asciiTheme="minorBidi" w:hAnsiTheme="minorBidi" w:cstheme="minorBidi"/>
          <w:w w:val="105"/>
        </w:rPr>
        <w:t xml:space="preserve"> </w:t>
      </w:r>
      <w:r w:rsidR="000F0123" w:rsidRPr="00C04EB0">
        <w:rPr>
          <w:rFonts w:asciiTheme="minorBidi" w:hAnsiTheme="minorBidi" w:cstheme="minorBidi"/>
          <w:w w:val="105"/>
        </w:rPr>
        <w:t xml:space="preserve">or ADGM Climate Transition Fund Rules (as applicable) </w:t>
      </w:r>
      <w:r w:rsidR="00BE793E" w:rsidRPr="00C04EB0">
        <w:rPr>
          <w:rFonts w:asciiTheme="minorBidi" w:hAnsiTheme="minorBidi" w:cstheme="minorBidi"/>
          <w:w w:val="105"/>
        </w:rPr>
        <w:t xml:space="preserve">and </w:t>
      </w:r>
      <w:r w:rsidR="0074589C" w:rsidRPr="00C04EB0">
        <w:rPr>
          <w:rFonts w:asciiTheme="minorBidi" w:hAnsiTheme="minorBidi" w:cstheme="minorBidi"/>
          <w:w w:val="105"/>
        </w:rPr>
        <w:t xml:space="preserve">allows such a </w:t>
      </w:r>
      <w:r w:rsidR="009A53CE" w:rsidRPr="00C04EB0">
        <w:rPr>
          <w:rFonts w:asciiTheme="minorBidi" w:hAnsiTheme="minorBidi" w:cstheme="minorBidi"/>
          <w:w w:val="105"/>
        </w:rPr>
        <w:t>F</w:t>
      </w:r>
      <w:r w:rsidR="0074589C" w:rsidRPr="00C04EB0">
        <w:rPr>
          <w:rFonts w:asciiTheme="minorBidi" w:hAnsiTheme="minorBidi" w:cstheme="minorBidi"/>
          <w:w w:val="105"/>
        </w:rPr>
        <w:t xml:space="preserve">und to be </w:t>
      </w:r>
      <w:r w:rsidR="00BE793E" w:rsidRPr="00C04EB0">
        <w:rPr>
          <w:rFonts w:asciiTheme="minorBidi" w:hAnsiTheme="minorBidi" w:cstheme="minorBidi"/>
          <w:w w:val="105"/>
        </w:rPr>
        <w:t>listed on the Public Register as an ADGM Green Fund</w:t>
      </w:r>
      <w:r w:rsidR="000F0123" w:rsidRPr="00C04EB0">
        <w:rPr>
          <w:rFonts w:asciiTheme="minorBidi" w:hAnsiTheme="minorBidi" w:cstheme="minorBidi"/>
          <w:w w:val="105"/>
        </w:rPr>
        <w:t xml:space="preserve"> or ADGM Climate Transition Fund</w:t>
      </w:r>
      <w:r w:rsidR="00554129" w:rsidRPr="00C04EB0">
        <w:rPr>
          <w:rFonts w:asciiTheme="minorBidi" w:hAnsiTheme="minorBidi" w:cstheme="minorBidi"/>
          <w:w w:val="105"/>
        </w:rPr>
        <w:t xml:space="preserve">. It is not an assurance or </w:t>
      </w:r>
      <w:r w:rsidR="00985AE4" w:rsidRPr="00C04EB0">
        <w:rPr>
          <w:rFonts w:asciiTheme="minorBidi" w:hAnsiTheme="minorBidi" w:cstheme="minorBidi"/>
          <w:w w:val="105"/>
        </w:rPr>
        <w:t xml:space="preserve">guarantee </w:t>
      </w:r>
      <w:r w:rsidR="00554129" w:rsidRPr="00C04EB0">
        <w:rPr>
          <w:rFonts w:asciiTheme="minorBidi" w:hAnsiTheme="minorBidi" w:cstheme="minorBidi"/>
          <w:w w:val="105"/>
        </w:rPr>
        <w:t xml:space="preserve">from the Regulator </w:t>
      </w:r>
      <w:r w:rsidR="00985AE4" w:rsidRPr="00C04EB0">
        <w:rPr>
          <w:rFonts w:asciiTheme="minorBidi" w:hAnsiTheme="minorBidi" w:cstheme="minorBidi"/>
          <w:w w:val="105"/>
        </w:rPr>
        <w:t xml:space="preserve">that </w:t>
      </w:r>
      <w:r w:rsidR="00554129" w:rsidRPr="00C04EB0">
        <w:rPr>
          <w:rFonts w:asciiTheme="minorBidi" w:hAnsiTheme="minorBidi" w:cstheme="minorBidi"/>
          <w:w w:val="105"/>
        </w:rPr>
        <w:t xml:space="preserve">the </w:t>
      </w:r>
      <w:r w:rsidR="00985AE4" w:rsidRPr="00C04EB0">
        <w:rPr>
          <w:rFonts w:asciiTheme="minorBidi" w:hAnsiTheme="minorBidi" w:cstheme="minorBidi"/>
          <w:w w:val="105"/>
        </w:rPr>
        <w:t xml:space="preserve">Fund </w:t>
      </w:r>
      <w:proofErr w:type="gramStart"/>
      <w:r w:rsidR="00985AE4" w:rsidRPr="00C04EB0">
        <w:rPr>
          <w:rFonts w:asciiTheme="minorBidi" w:hAnsiTheme="minorBidi" w:cstheme="minorBidi"/>
          <w:w w:val="105"/>
        </w:rPr>
        <w:t>is in compliance with</w:t>
      </w:r>
      <w:proofErr w:type="gramEnd"/>
      <w:r w:rsidR="00985AE4" w:rsidRPr="00C04EB0">
        <w:rPr>
          <w:rFonts w:asciiTheme="minorBidi" w:hAnsiTheme="minorBidi" w:cstheme="minorBidi"/>
          <w:w w:val="105"/>
        </w:rPr>
        <w:t xml:space="preserve"> the applicable Rules.</w:t>
      </w:r>
      <w:r w:rsidR="00BE793E" w:rsidRPr="00C04EB0">
        <w:rPr>
          <w:rFonts w:asciiTheme="minorBidi" w:hAnsiTheme="minorBidi" w:cstheme="minorBidi"/>
          <w:w w:val="105"/>
        </w:rPr>
        <w:t xml:space="preserve"> Funds granted an ADGM Green Fund Designation </w:t>
      </w:r>
      <w:r w:rsidR="001B5FA3" w:rsidRPr="00C04EB0">
        <w:rPr>
          <w:rFonts w:asciiTheme="minorBidi" w:hAnsiTheme="minorBidi" w:cstheme="minorBidi"/>
          <w:w w:val="105"/>
        </w:rPr>
        <w:t>or</w:t>
      </w:r>
      <w:r w:rsidR="00D911D4" w:rsidRPr="00C04EB0">
        <w:rPr>
          <w:rFonts w:asciiTheme="minorBidi" w:hAnsiTheme="minorBidi" w:cstheme="minorBidi"/>
          <w:w w:val="105"/>
        </w:rPr>
        <w:t xml:space="preserve"> ADGM Climate Transition Fund Designation</w:t>
      </w:r>
      <w:r w:rsidR="00D911D4" w:rsidRPr="00C04EB0" w:rsidDel="00985AE4">
        <w:rPr>
          <w:rFonts w:asciiTheme="minorBidi" w:hAnsiTheme="minorBidi" w:cstheme="minorBidi"/>
          <w:w w:val="105"/>
        </w:rPr>
        <w:t xml:space="preserve"> </w:t>
      </w:r>
      <w:r w:rsidR="00985AE4" w:rsidRPr="00C04EB0">
        <w:rPr>
          <w:rFonts w:asciiTheme="minorBidi" w:hAnsiTheme="minorBidi" w:cstheme="minorBidi"/>
          <w:w w:val="105"/>
        </w:rPr>
        <w:t xml:space="preserve">may </w:t>
      </w:r>
      <w:r w:rsidR="00BE793E" w:rsidRPr="00C04EB0">
        <w:rPr>
          <w:rFonts w:asciiTheme="minorBidi" w:hAnsiTheme="minorBidi" w:cstheme="minorBidi"/>
          <w:w w:val="105"/>
        </w:rPr>
        <w:t>receive permission</w:t>
      </w:r>
      <w:r w:rsidR="00AD110F" w:rsidRPr="00C04EB0">
        <w:rPr>
          <w:rFonts w:asciiTheme="minorBidi" w:hAnsiTheme="minorBidi" w:cstheme="minorBidi"/>
          <w:w w:val="105"/>
        </w:rPr>
        <w:t xml:space="preserve"> from the Regulator</w:t>
      </w:r>
      <w:r w:rsidR="00BE793E" w:rsidRPr="00C04EB0">
        <w:rPr>
          <w:rFonts w:asciiTheme="minorBidi" w:hAnsiTheme="minorBidi" w:cstheme="minorBidi"/>
          <w:w w:val="105"/>
        </w:rPr>
        <w:t xml:space="preserve"> to use the ADGM Green Fund </w:t>
      </w:r>
      <w:r w:rsidR="00F63999" w:rsidRPr="00C04EB0">
        <w:rPr>
          <w:rFonts w:asciiTheme="minorBidi" w:hAnsiTheme="minorBidi" w:cstheme="minorBidi"/>
          <w:w w:val="105"/>
        </w:rPr>
        <w:t xml:space="preserve">mark </w:t>
      </w:r>
      <w:r w:rsidR="00D911D4" w:rsidRPr="00C04EB0">
        <w:rPr>
          <w:rFonts w:asciiTheme="minorBidi" w:hAnsiTheme="minorBidi" w:cstheme="minorBidi"/>
          <w:w w:val="105"/>
        </w:rPr>
        <w:t xml:space="preserve">or ADGM Climate Transition Fund </w:t>
      </w:r>
      <w:r w:rsidR="00F63999" w:rsidRPr="00C04EB0">
        <w:rPr>
          <w:rFonts w:asciiTheme="minorBidi" w:hAnsiTheme="minorBidi" w:cstheme="minorBidi"/>
          <w:w w:val="105"/>
        </w:rPr>
        <w:t xml:space="preserve">mark </w:t>
      </w:r>
      <w:r w:rsidR="00D911D4" w:rsidRPr="00C04EB0">
        <w:rPr>
          <w:rFonts w:asciiTheme="minorBidi" w:hAnsiTheme="minorBidi" w:cstheme="minorBidi"/>
          <w:w w:val="105"/>
        </w:rPr>
        <w:t>(as applicable)</w:t>
      </w:r>
      <w:r w:rsidR="00BE793E" w:rsidRPr="00C04EB0">
        <w:rPr>
          <w:rFonts w:asciiTheme="minorBidi" w:hAnsiTheme="minorBidi" w:cstheme="minorBidi"/>
          <w:w w:val="105"/>
        </w:rPr>
        <w:t>.</w:t>
      </w:r>
      <w:bookmarkEnd w:id="20"/>
    </w:p>
    <w:p w14:paraId="5905634B" w14:textId="5DE34DA3" w:rsidR="00D55826" w:rsidRPr="00C04EB0" w:rsidRDefault="003E6100" w:rsidP="00023D47">
      <w:pPr>
        <w:ind w:left="709" w:hanging="709"/>
        <w:jc w:val="both"/>
        <w:rPr>
          <w:rFonts w:asciiTheme="minorBidi" w:hAnsiTheme="minorBidi" w:cstheme="minorBidi"/>
          <w:w w:val="105"/>
        </w:rPr>
      </w:pPr>
      <w:bookmarkStart w:id="21" w:name="_Toc116055889"/>
      <w:r w:rsidRPr="00C04EB0">
        <w:rPr>
          <w:rFonts w:asciiTheme="minorBidi" w:hAnsiTheme="minorBidi" w:cstheme="minorBidi"/>
          <w:w w:val="105"/>
        </w:rPr>
        <w:lastRenderedPageBreak/>
        <w:t>3</w:t>
      </w:r>
      <w:r w:rsidR="00A40D86" w:rsidRPr="00C04EB0">
        <w:rPr>
          <w:rFonts w:asciiTheme="minorBidi" w:hAnsiTheme="minorBidi" w:cstheme="minorBidi"/>
          <w:w w:val="105"/>
        </w:rPr>
        <w:t>.8</w:t>
      </w:r>
      <w:r w:rsidR="00A40D86" w:rsidRPr="00C04EB0">
        <w:rPr>
          <w:rFonts w:asciiTheme="minorBidi" w:hAnsiTheme="minorBidi" w:cstheme="minorBidi"/>
          <w:w w:val="105"/>
        </w:rPr>
        <w:tab/>
      </w:r>
      <w:r w:rsidR="00360BAF" w:rsidRPr="00C04EB0">
        <w:rPr>
          <w:rFonts w:asciiTheme="minorBidi" w:hAnsiTheme="minorBidi" w:cstheme="minorBidi"/>
          <w:w w:val="105"/>
        </w:rPr>
        <w:t>Upon receipt of permission from the Regulator, the Fund Manager and Persons engaged to promote the Fund</w:t>
      </w:r>
      <w:r w:rsidR="004A4548" w:rsidRPr="00C04EB0">
        <w:rPr>
          <w:rFonts w:asciiTheme="minorBidi" w:hAnsiTheme="minorBidi" w:cstheme="minorBidi"/>
          <w:w w:val="105"/>
        </w:rPr>
        <w:t xml:space="preserve"> may </w:t>
      </w:r>
      <w:r w:rsidR="00E424F2" w:rsidRPr="00C04EB0">
        <w:rPr>
          <w:rFonts w:asciiTheme="minorBidi" w:hAnsiTheme="minorBidi" w:cstheme="minorBidi"/>
          <w:w w:val="105"/>
        </w:rPr>
        <w:t xml:space="preserve">choose </w:t>
      </w:r>
      <w:r w:rsidR="004A4548" w:rsidRPr="00C04EB0">
        <w:rPr>
          <w:rFonts w:asciiTheme="minorBidi" w:hAnsiTheme="minorBidi" w:cstheme="minorBidi"/>
          <w:w w:val="105"/>
        </w:rPr>
        <w:t xml:space="preserve">to use the ADGM Green Fund </w:t>
      </w:r>
      <w:r w:rsidR="00F63999" w:rsidRPr="00C04EB0">
        <w:rPr>
          <w:rFonts w:asciiTheme="minorBidi" w:hAnsiTheme="minorBidi" w:cstheme="minorBidi"/>
          <w:w w:val="105"/>
        </w:rPr>
        <w:t xml:space="preserve">mark </w:t>
      </w:r>
      <w:r w:rsidR="004A4548" w:rsidRPr="00C04EB0">
        <w:rPr>
          <w:rFonts w:asciiTheme="minorBidi" w:hAnsiTheme="minorBidi" w:cstheme="minorBidi"/>
          <w:w w:val="105"/>
        </w:rPr>
        <w:t xml:space="preserve">or the ADGM Climate Transition Fund </w:t>
      </w:r>
      <w:r w:rsidR="00F63999" w:rsidRPr="00C04EB0">
        <w:rPr>
          <w:rFonts w:asciiTheme="minorBidi" w:hAnsiTheme="minorBidi" w:cstheme="minorBidi"/>
          <w:w w:val="105"/>
        </w:rPr>
        <w:t xml:space="preserve">mark </w:t>
      </w:r>
      <w:r w:rsidR="007A045B" w:rsidRPr="00C04EB0">
        <w:rPr>
          <w:rFonts w:asciiTheme="minorBidi" w:hAnsiTheme="minorBidi" w:cstheme="minorBidi"/>
          <w:w w:val="105"/>
        </w:rPr>
        <w:t xml:space="preserve">in the Fund’s Prospectus and related promotional materials </w:t>
      </w:r>
      <w:r w:rsidR="004A4548" w:rsidRPr="00C04EB0">
        <w:rPr>
          <w:rFonts w:asciiTheme="minorBidi" w:hAnsiTheme="minorBidi" w:cstheme="minorBidi"/>
          <w:w w:val="105"/>
        </w:rPr>
        <w:t xml:space="preserve">to indicate to prospective investors that the Fund </w:t>
      </w:r>
      <w:r w:rsidR="00EE5794" w:rsidRPr="00C04EB0">
        <w:rPr>
          <w:rFonts w:asciiTheme="minorBidi" w:hAnsiTheme="minorBidi" w:cstheme="minorBidi"/>
          <w:w w:val="105"/>
        </w:rPr>
        <w:t xml:space="preserve">purports </w:t>
      </w:r>
      <w:r w:rsidR="00000CB7" w:rsidRPr="00C04EB0">
        <w:rPr>
          <w:rFonts w:asciiTheme="minorBidi" w:hAnsiTheme="minorBidi" w:cstheme="minorBidi"/>
          <w:w w:val="105"/>
        </w:rPr>
        <w:t>to meet</w:t>
      </w:r>
      <w:r w:rsidR="004A4548" w:rsidRPr="00C04EB0">
        <w:rPr>
          <w:rFonts w:asciiTheme="minorBidi" w:hAnsiTheme="minorBidi" w:cstheme="minorBidi"/>
          <w:w w:val="105"/>
        </w:rPr>
        <w:t xml:space="preserve"> the criteria of an ADGM Green Fund or an ADGM Climate Transition Fund.</w:t>
      </w:r>
      <w:bookmarkEnd w:id="21"/>
      <w:r w:rsidR="004E65FC" w:rsidRPr="00C04EB0">
        <w:rPr>
          <w:rFonts w:asciiTheme="minorBidi" w:hAnsiTheme="minorBidi" w:cstheme="minorBidi"/>
          <w:w w:val="105"/>
        </w:rPr>
        <w:t xml:space="preserve"> </w:t>
      </w:r>
      <w:bookmarkStart w:id="22" w:name="_Toc116055890"/>
      <w:r w:rsidR="0068169C" w:rsidRPr="00C04EB0">
        <w:rPr>
          <w:rFonts w:asciiTheme="minorBidi" w:hAnsiTheme="minorBidi" w:cstheme="minorBidi"/>
          <w:w w:val="105"/>
        </w:rPr>
        <w:t>As a result</w:t>
      </w:r>
      <w:r w:rsidR="004A4548" w:rsidRPr="00C04EB0">
        <w:rPr>
          <w:rFonts w:asciiTheme="minorBidi" w:hAnsiTheme="minorBidi" w:cstheme="minorBidi"/>
          <w:w w:val="105"/>
        </w:rPr>
        <w:t xml:space="preserve">, the requirements set out in </w:t>
      </w:r>
      <w:r w:rsidR="0074589C" w:rsidRPr="00C04EB0">
        <w:rPr>
          <w:rFonts w:asciiTheme="minorBidi" w:hAnsiTheme="minorBidi" w:cstheme="minorBidi"/>
          <w:w w:val="105"/>
        </w:rPr>
        <w:t>chapter 20</w:t>
      </w:r>
      <w:r w:rsidR="00077584" w:rsidRPr="00C04EB0">
        <w:rPr>
          <w:rFonts w:asciiTheme="minorBidi" w:hAnsiTheme="minorBidi" w:cstheme="minorBidi"/>
          <w:w w:val="105"/>
        </w:rPr>
        <w:t xml:space="preserve"> of FUNDS </w:t>
      </w:r>
      <w:r w:rsidR="004A4548" w:rsidRPr="00C04EB0">
        <w:rPr>
          <w:rFonts w:asciiTheme="minorBidi" w:hAnsiTheme="minorBidi" w:cstheme="minorBidi"/>
          <w:w w:val="105"/>
        </w:rPr>
        <w:t>will not apply to any Person that does not</w:t>
      </w:r>
      <w:r w:rsidR="00304838" w:rsidRPr="00C04EB0">
        <w:rPr>
          <w:rFonts w:asciiTheme="minorBidi" w:hAnsiTheme="minorBidi" w:cstheme="minorBidi"/>
          <w:w w:val="105"/>
        </w:rPr>
        <w:t xml:space="preserve"> seek to obtain ADGM Green Fund Designation </w:t>
      </w:r>
      <w:r w:rsidR="007F4107" w:rsidRPr="00C04EB0">
        <w:rPr>
          <w:rFonts w:asciiTheme="minorBidi" w:hAnsiTheme="minorBidi" w:cstheme="minorBidi"/>
          <w:w w:val="105"/>
        </w:rPr>
        <w:t xml:space="preserve">or </w:t>
      </w:r>
      <w:r w:rsidR="00304838" w:rsidRPr="00C04EB0">
        <w:rPr>
          <w:rFonts w:asciiTheme="minorBidi" w:hAnsiTheme="minorBidi" w:cstheme="minorBidi"/>
          <w:w w:val="105"/>
        </w:rPr>
        <w:t>the ADGM Climate Transition Fund Designation</w:t>
      </w:r>
      <w:r w:rsidR="00B11EBF" w:rsidRPr="00C04EB0">
        <w:rPr>
          <w:rFonts w:asciiTheme="minorBidi" w:hAnsiTheme="minorBidi" w:cstheme="minorBidi"/>
          <w:w w:val="105"/>
        </w:rPr>
        <w:t xml:space="preserve"> for </w:t>
      </w:r>
      <w:r w:rsidR="00846558" w:rsidRPr="00C04EB0">
        <w:rPr>
          <w:rFonts w:asciiTheme="minorBidi" w:hAnsiTheme="minorBidi" w:cstheme="minorBidi"/>
          <w:w w:val="105"/>
        </w:rPr>
        <w:t>a Fund</w:t>
      </w:r>
      <w:r w:rsidR="004A4548" w:rsidRPr="00C04EB0">
        <w:rPr>
          <w:rFonts w:asciiTheme="minorBidi" w:hAnsiTheme="minorBidi" w:cstheme="minorBidi"/>
          <w:w w:val="105"/>
        </w:rPr>
        <w:t xml:space="preserve">. </w:t>
      </w:r>
      <w:r w:rsidR="00D55826" w:rsidRPr="00C04EB0">
        <w:rPr>
          <w:rFonts w:asciiTheme="minorBidi" w:hAnsiTheme="minorBidi" w:cstheme="minorBidi"/>
          <w:w w:val="105"/>
        </w:rPr>
        <w:t xml:space="preserve">Fund Managers </w:t>
      </w:r>
      <w:r w:rsidR="00E424F2" w:rsidRPr="00C04EB0">
        <w:rPr>
          <w:rFonts w:asciiTheme="minorBidi" w:hAnsiTheme="minorBidi" w:cstheme="minorBidi"/>
          <w:w w:val="105"/>
        </w:rPr>
        <w:t xml:space="preserve">may choose </w:t>
      </w:r>
      <w:r w:rsidR="00650470" w:rsidRPr="00C04EB0">
        <w:rPr>
          <w:rFonts w:asciiTheme="minorBidi" w:hAnsiTheme="minorBidi" w:cstheme="minorBidi"/>
          <w:w w:val="105"/>
        </w:rPr>
        <w:t xml:space="preserve">not </w:t>
      </w:r>
      <w:r w:rsidR="00F9332F" w:rsidRPr="00C04EB0">
        <w:rPr>
          <w:rFonts w:asciiTheme="minorBidi" w:hAnsiTheme="minorBidi" w:cstheme="minorBidi"/>
          <w:w w:val="105"/>
        </w:rPr>
        <w:t xml:space="preserve">to </w:t>
      </w:r>
      <w:r w:rsidR="00D55826" w:rsidRPr="00C04EB0">
        <w:rPr>
          <w:rFonts w:asciiTheme="minorBidi" w:hAnsiTheme="minorBidi" w:cstheme="minorBidi"/>
          <w:w w:val="105"/>
        </w:rPr>
        <w:t xml:space="preserve">use the ADGM Green Fund </w:t>
      </w:r>
      <w:r w:rsidR="00F63999" w:rsidRPr="00C04EB0">
        <w:rPr>
          <w:rFonts w:asciiTheme="minorBidi" w:hAnsiTheme="minorBidi" w:cstheme="minorBidi"/>
          <w:w w:val="105"/>
        </w:rPr>
        <w:t xml:space="preserve">mark </w:t>
      </w:r>
      <w:r w:rsidR="00D55826" w:rsidRPr="00C04EB0">
        <w:rPr>
          <w:rFonts w:asciiTheme="minorBidi" w:hAnsiTheme="minorBidi" w:cstheme="minorBidi"/>
          <w:w w:val="105"/>
        </w:rPr>
        <w:t xml:space="preserve">or the ADGM Climate Transition Fund </w:t>
      </w:r>
      <w:r w:rsidR="00F63999" w:rsidRPr="00C04EB0">
        <w:rPr>
          <w:rFonts w:asciiTheme="minorBidi" w:hAnsiTheme="minorBidi" w:cstheme="minorBidi"/>
          <w:w w:val="105"/>
        </w:rPr>
        <w:t xml:space="preserve">mark </w:t>
      </w:r>
      <w:r w:rsidR="00D55826" w:rsidRPr="00C04EB0">
        <w:rPr>
          <w:rFonts w:asciiTheme="minorBidi" w:hAnsiTheme="minorBidi" w:cstheme="minorBidi"/>
          <w:w w:val="105"/>
        </w:rPr>
        <w:t xml:space="preserve">in any marketing materials or </w:t>
      </w:r>
      <w:r w:rsidR="007A045B" w:rsidRPr="00C04EB0">
        <w:rPr>
          <w:rFonts w:asciiTheme="minorBidi" w:hAnsiTheme="minorBidi" w:cstheme="minorBidi"/>
          <w:w w:val="105"/>
        </w:rPr>
        <w:t>Prospectus</w:t>
      </w:r>
      <w:r w:rsidR="00D55826" w:rsidRPr="00C04EB0">
        <w:rPr>
          <w:rFonts w:asciiTheme="minorBidi" w:hAnsiTheme="minorBidi" w:cstheme="minorBidi"/>
          <w:w w:val="105"/>
        </w:rPr>
        <w:t xml:space="preserve"> of a Fund</w:t>
      </w:r>
      <w:r w:rsidR="00667D9C" w:rsidRPr="00C04EB0">
        <w:rPr>
          <w:rFonts w:asciiTheme="minorBidi" w:hAnsiTheme="minorBidi" w:cstheme="minorBidi"/>
          <w:w w:val="105"/>
        </w:rPr>
        <w:t>, but they may do so, should they wish, if they are granted permission by the Regulator</w:t>
      </w:r>
      <w:r w:rsidR="00D55826" w:rsidRPr="00C04EB0">
        <w:rPr>
          <w:rFonts w:asciiTheme="minorBidi" w:hAnsiTheme="minorBidi" w:cstheme="minorBidi"/>
          <w:w w:val="105"/>
        </w:rPr>
        <w:t>.</w:t>
      </w:r>
      <w:bookmarkEnd w:id="22"/>
    </w:p>
    <w:p w14:paraId="33F12407" w14:textId="75F323DF" w:rsidR="00DC48DB" w:rsidRPr="00C04EB0" w:rsidRDefault="003E6100" w:rsidP="007A686C">
      <w:pPr>
        <w:ind w:left="709" w:hanging="709"/>
        <w:jc w:val="both"/>
        <w:rPr>
          <w:rFonts w:asciiTheme="minorBidi" w:hAnsiTheme="minorBidi" w:cstheme="minorBidi"/>
          <w:w w:val="105"/>
        </w:rPr>
      </w:pPr>
      <w:bookmarkStart w:id="23" w:name="_Toc116055891"/>
      <w:r w:rsidRPr="00C04EB0">
        <w:rPr>
          <w:rFonts w:asciiTheme="minorBidi" w:hAnsiTheme="minorBidi" w:cstheme="minorBidi"/>
          <w:w w:val="105"/>
        </w:rPr>
        <w:t>3</w:t>
      </w:r>
      <w:r w:rsidR="00A40D86" w:rsidRPr="00C04EB0">
        <w:rPr>
          <w:rFonts w:asciiTheme="minorBidi" w:hAnsiTheme="minorBidi" w:cstheme="minorBidi"/>
          <w:w w:val="105"/>
        </w:rPr>
        <w:t>.10</w:t>
      </w:r>
      <w:r w:rsidR="00A40D86" w:rsidRPr="00C04EB0">
        <w:rPr>
          <w:rFonts w:asciiTheme="minorBidi" w:hAnsiTheme="minorBidi" w:cstheme="minorBidi"/>
          <w:w w:val="105"/>
        </w:rPr>
        <w:tab/>
      </w:r>
      <w:r w:rsidR="004A4548" w:rsidRPr="00C04EB0">
        <w:rPr>
          <w:rFonts w:asciiTheme="minorBidi" w:hAnsiTheme="minorBidi" w:cstheme="minorBidi"/>
          <w:w w:val="105"/>
        </w:rPr>
        <w:t xml:space="preserve">However, the Regulator considers </w:t>
      </w:r>
      <w:r w:rsidR="00E424F2" w:rsidRPr="00C04EB0">
        <w:rPr>
          <w:rFonts w:asciiTheme="minorBidi" w:hAnsiTheme="minorBidi" w:cstheme="minorBidi"/>
          <w:w w:val="105"/>
        </w:rPr>
        <w:t>g</w:t>
      </w:r>
      <w:r w:rsidR="004A4548" w:rsidRPr="00C04EB0">
        <w:rPr>
          <w:rFonts w:asciiTheme="minorBidi" w:hAnsiTheme="minorBidi" w:cstheme="minorBidi"/>
          <w:w w:val="105"/>
        </w:rPr>
        <w:t>reenwashing to present a material risk to one or more of its objectives set out in FSMR.</w:t>
      </w:r>
      <w:r w:rsidR="00DC48DB" w:rsidRPr="00C04EB0">
        <w:rPr>
          <w:rFonts w:asciiTheme="minorBidi" w:hAnsiTheme="minorBidi" w:cstheme="minorBidi"/>
          <w:w w:val="105"/>
        </w:rPr>
        <w:t xml:space="preserve"> Furthermore, p</w:t>
      </w:r>
      <w:r w:rsidR="00DC48DB" w:rsidRPr="00C04EB0">
        <w:rPr>
          <w:rFonts w:asciiTheme="minorBidi" w:eastAsia="Times New Roman" w:hAnsiTheme="minorBidi" w:cstheme="minorBidi"/>
        </w:rPr>
        <w:t xml:space="preserve">ursuant to </w:t>
      </w:r>
      <w:r w:rsidR="008E5FEE" w:rsidRPr="00C04EB0">
        <w:rPr>
          <w:rFonts w:asciiTheme="minorBidi" w:eastAsia="Times New Roman" w:hAnsiTheme="minorBidi" w:cstheme="minorBidi"/>
        </w:rPr>
        <w:t>s</w:t>
      </w:r>
      <w:r w:rsidR="00DC48DB" w:rsidRPr="00C04EB0">
        <w:rPr>
          <w:rFonts w:asciiTheme="minorBidi" w:eastAsia="Times New Roman" w:hAnsiTheme="minorBidi" w:cstheme="minorBidi"/>
        </w:rPr>
        <w:t xml:space="preserve">ection 117 of FSMR, the Regulator has the power to make a direction if </w:t>
      </w:r>
      <w:r w:rsidR="00F5119E" w:rsidRPr="00C04EB0">
        <w:rPr>
          <w:rFonts w:asciiTheme="minorBidi" w:eastAsia="Times New Roman" w:hAnsiTheme="minorBidi" w:cstheme="minorBidi"/>
        </w:rPr>
        <w:t>the</w:t>
      </w:r>
      <w:r w:rsidR="00DC48DB" w:rsidRPr="00C04EB0">
        <w:rPr>
          <w:rFonts w:asciiTheme="minorBidi" w:eastAsia="Times New Roman" w:hAnsiTheme="minorBidi" w:cstheme="minorBidi"/>
        </w:rPr>
        <w:t xml:space="preserve"> name of a Fund, Sub-Fund or class of Units in a Fund is undesirable or misleading. </w:t>
      </w:r>
      <w:r w:rsidR="004A4548" w:rsidRPr="00C04EB0">
        <w:rPr>
          <w:rFonts w:asciiTheme="minorBidi" w:hAnsiTheme="minorBidi" w:cstheme="minorBidi"/>
          <w:w w:val="105"/>
        </w:rPr>
        <w:t xml:space="preserve"> Persons indicating that a Fund is pursuing </w:t>
      </w:r>
      <w:proofErr w:type="gramStart"/>
      <w:r w:rsidR="00BD40A9" w:rsidRPr="00C04EB0">
        <w:rPr>
          <w:rFonts w:asciiTheme="minorBidi" w:hAnsiTheme="minorBidi" w:cstheme="minorBidi"/>
          <w:w w:val="105"/>
        </w:rPr>
        <w:t>g</w:t>
      </w:r>
      <w:r w:rsidR="004A4548" w:rsidRPr="00C04EB0">
        <w:rPr>
          <w:rFonts w:asciiTheme="minorBidi" w:hAnsiTheme="minorBidi" w:cstheme="minorBidi"/>
          <w:w w:val="105"/>
        </w:rPr>
        <w:t>reen</w:t>
      </w:r>
      <w:proofErr w:type="gramEnd"/>
      <w:r w:rsidR="004A4548" w:rsidRPr="00C04EB0">
        <w:rPr>
          <w:rFonts w:asciiTheme="minorBidi" w:hAnsiTheme="minorBidi" w:cstheme="minorBidi"/>
          <w:w w:val="105"/>
        </w:rPr>
        <w:t xml:space="preserve"> or </w:t>
      </w:r>
      <w:r w:rsidR="00BD40A9" w:rsidRPr="00C04EB0">
        <w:rPr>
          <w:rFonts w:asciiTheme="minorBidi" w:hAnsiTheme="minorBidi" w:cstheme="minorBidi"/>
          <w:w w:val="105"/>
        </w:rPr>
        <w:t>c</w:t>
      </w:r>
      <w:r w:rsidR="004A4548" w:rsidRPr="00C04EB0">
        <w:rPr>
          <w:rFonts w:asciiTheme="minorBidi" w:hAnsiTheme="minorBidi" w:cstheme="minorBidi"/>
          <w:w w:val="105"/>
        </w:rPr>
        <w:t xml:space="preserve">limate </w:t>
      </w:r>
      <w:r w:rsidR="00BD40A9" w:rsidRPr="00C04EB0">
        <w:rPr>
          <w:rFonts w:asciiTheme="minorBidi" w:hAnsiTheme="minorBidi" w:cstheme="minorBidi"/>
          <w:w w:val="105"/>
        </w:rPr>
        <w:t>t</w:t>
      </w:r>
      <w:r w:rsidR="004A4548" w:rsidRPr="00C04EB0">
        <w:rPr>
          <w:rFonts w:asciiTheme="minorBidi" w:hAnsiTheme="minorBidi" w:cstheme="minorBidi"/>
          <w:w w:val="105"/>
        </w:rPr>
        <w:t>ransition objectives should</w:t>
      </w:r>
      <w:r w:rsidR="005C73F7" w:rsidRPr="00C04EB0">
        <w:rPr>
          <w:rFonts w:asciiTheme="minorBidi" w:hAnsiTheme="minorBidi" w:cstheme="minorBidi"/>
          <w:w w:val="105"/>
        </w:rPr>
        <w:t xml:space="preserve"> therefore</w:t>
      </w:r>
      <w:r w:rsidR="004A4548" w:rsidRPr="00C04EB0">
        <w:rPr>
          <w:rFonts w:asciiTheme="minorBidi" w:hAnsiTheme="minorBidi" w:cstheme="minorBidi"/>
          <w:w w:val="105"/>
        </w:rPr>
        <w:t xml:space="preserve"> </w:t>
      </w:r>
      <w:r w:rsidR="00DC48DB" w:rsidRPr="00C04EB0">
        <w:rPr>
          <w:rFonts w:asciiTheme="minorBidi" w:hAnsiTheme="minorBidi" w:cstheme="minorBidi"/>
          <w:w w:val="105"/>
        </w:rPr>
        <w:t xml:space="preserve">avoid using a name that suggests it is an ADGM Green Fund or ADGM </w:t>
      </w:r>
      <w:r w:rsidR="001012FF" w:rsidRPr="00C04EB0">
        <w:rPr>
          <w:rFonts w:asciiTheme="minorBidi" w:hAnsiTheme="minorBidi" w:cstheme="minorBidi"/>
          <w:w w:val="105"/>
        </w:rPr>
        <w:t xml:space="preserve">Climate Transition Fund. </w:t>
      </w:r>
      <w:r w:rsidR="00DC48DB" w:rsidRPr="00C04EB0">
        <w:rPr>
          <w:rFonts w:asciiTheme="minorBidi" w:hAnsiTheme="minorBidi" w:cstheme="minorBidi"/>
          <w:w w:val="105"/>
        </w:rPr>
        <w:t xml:space="preserve"> </w:t>
      </w:r>
    </w:p>
    <w:bookmarkEnd w:id="23"/>
    <w:p w14:paraId="47157F6B" w14:textId="03BD6A45" w:rsidR="00E0782C" w:rsidRPr="00C04EB0" w:rsidRDefault="00AE4B60" w:rsidP="007A686C">
      <w:pPr>
        <w:spacing w:after="240" w:line="246" w:lineRule="atLeast"/>
        <w:jc w:val="both"/>
        <w:rPr>
          <w:rFonts w:asciiTheme="minorBidi" w:hAnsiTheme="minorBidi" w:cstheme="minorBidi"/>
          <w:b/>
          <w:bCs/>
          <w:w w:val="105"/>
        </w:rPr>
      </w:pPr>
      <w:r w:rsidRPr="00C04EB0">
        <w:rPr>
          <w:rFonts w:asciiTheme="minorBidi" w:hAnsiTheme="minorBidi" w:cstheme="minorBidi"/>
          <w:b/>
          <w:bCs/>
          <w:w w:val="105"/>
        </w:rPr>
        <w:t xml:space="preserve">Green Fund </w:t>
      </w:r>
      <w:r w:rsidR="00E0782C" w:rsidRPr="00C04EB0">
        <w:rPr>
          <w:rFonts w:asciiTheme="minorBidi" w:hAnsiTheme="minorBidi" w:cstheme="minorBidi"/>
          <w:b/>
          <w:bCs/>
          <w:w w:val="105"/>
        </w:rPr>
        <w:t>Investment</w:t>
      </w:r>
      <w:r w:rsidR="00E0782C" w:rsidRPr="00C04EB0">
        <w:rPr>
          <w:rFonts w:asciiTheme="minorBidi" w:hAnsiTheme="minorBidi" w:cstheme="minorBidi"/>
          <w:b/>
          <w:bCs/>
        </w:rPr>
        <w:t xml:space="preserve"> </w:t>
      </w:r>
      <w:r w:rsidR="00B330C6" w:rsidRPr="00C04EB0">
        <w:rPr>
          <w:rFonts w:asciiTheme="minorBidi" w:hAnsiTheme="minorBidi" w:cstheme="minorBidi"/>
          <w:b/>
          <w:bCs/>
          <w:w w:val="105"/>
        </w:rPr>
        <w:t>R</w:t>
      </w:r>
      <w:r w:rsidR="00E0782C" w:rsidRPr="00C04EB0">
        <w:rPr>
          <w:rFonts w:asciiTheme="minorBidi" w:hAnsiTheme="minorBidi" w:cstheme="minorBidi"/>
          <w:b/>
          <w:bCs/>
          <w:w w:val="105"/>
        </w:rPr>
        <w:t>equirement</w:t>
      </w:r>
    </w:p>
    <w:p w14:paraId="1EC5F5FA" w14:textId="77C6B75B" w:rsidR="00622CA1" w:rsidRPr="00C04EB0" w:rsidRDefault="003E6100" w:rsidP="00023D47">
      <w:pPr>
        <w:ind w:left="709" w:hanging="709"/>
        <w:jc w:val="both"/>
        <w:rPr>
          <w:rFonts w:asciiTheme="minorBidi" w:hAnsiTheme="minorBidi" w:cstheme="minorBidi"/>
          <w:w w:val="105"/>
        </w:rPr>
      </w:pPr>
      <w:bookmarkStart w:id="24" w:name="_Toc116055892"/>
      <w:r w:rsidRPr="00C04EB0">
        <w:rPr>
          <w:rFonts w:asciiTheme="minorBidi" w:hAnsiTheme="minorBidi" w:cstheme="minorBidi"/>
          <w:w w:val="105"/>
        </w:rPr>
        <w:t>3</w:t>
      </w:r>
      <w:r w:rsidR="0010164D" w:rsidRPr="00C04EB0">
        <w:rPr>
          <w:rFonts w:asciiTheme="minorBidi" w:hAnsiTheme="minorBidi" w:cstheme="minorBidi"/>
          <w:w w:val="105"/>
        </w:rPr>
        <w:t>.11</w:t>
      </w:r>
      <w:r w:rsidR="0010164D" w:rsidRPr="00C04EB0">
        <w:rPr>
          <w:rFonts w:asciiTheme="minorBidi" w:hAnsiTheme="minorBidi" w:cstheme="minorBidi"/>
          <w:w w:val="105"/>
        </w:rPr>
        <w:tab/>
      </w:r>
      <w:r w:rsidR="00AE4B60" w:rsidRPr="00C04EB0">
        <w:rPr>
          <w:rFonts w:asciiTheme="minorBidi" w:hAnsiTheme="minorBidi" w:cstheme="minorBidi"/>
          <w:w w:val="105"/>
        </w:rPr>
        <w:t>An ADGM Green Fund must invest in</w:t>
      </w:r>
      <w:r w:rsidR="00FB2E18" w:rsidRPr="00C04EB0">
        <w:rPr>
          <w:rFonts w:asciiTheme="minorBidi" w:hAnsiTheme="minorBidi" w:cstheme="minorBidi"/>
          <w:w w:val="105"/>
        </w:rPr>
        <w:t xml:space="preserve"> assets meeting the Green Fund Investment </w:t>
      </w:r>
      <w:r w:rsidR="00F06881" w:rsidRPr="00C04EB0">
        <w:rPr>
          <w:rFonts w:asciiTheme="minorBidi" w:hAnsiTheme="minorBidi" w:cstheme="minorBidi"/>
          <w:w w:val="105"/>
        </w:rPr>
        <w:t>R</w:t>
      </w:r>
      <w:r w:rsidR="00FB2E18" w:rsidRPr="00C04EB0">
        <w:rPr>
          <w:rFonts w:asciiTheme="minorBidi" w:hAnsiTheme="minorBidi" w:cstheme="minorBidi"/>
          <w:w w:val="105"/>
        </w:rPr>
        <w:t>equirement</w:t>
      </w:r>
      <w:r w:rsidR="00622CA1" w:rsidRPr="00C04EB0">
        <w:rPr>
          <w:rFonts w:asciiTheme="minorBidi" w:hAnsiTheme="minorBidi" w:cstheme="minorBidi"/>
          <w:w w:val="105"/>
        </w:rPr>
        <w:t xml:space="preserve">. </w:t>
      </w:r>
      <w:r w:rsidR="006702C0" w:rsidRPr="00C04EB0">
        <w:rPr>
          <w:rFonts w:asciiTheme="minorBidi" w:hAnsiTheme="minorBidi" w:cstheme="minorBidi"/>
          <w:w w:val="105"/>
        </w:rPr>
        <w:t>W</w:t>
      </w:r>
      <w:r w:rsidR="005C7C7B" w:rsidRPr="00C04EB0">
        <w:rPr>
          <w:rFonts w:asciiTheme="minorBidi" w:hAnsiTheme="minorBidi" w:cstheme="minorBidi"/>
          <w:w w:val="105"/>
        </w:rPr>
        <w:t>here a Fund solely invests in assets aligned with an Acceptable Green Taxonomy</w:t>
      </w:r>
      <w:r w:rsidR="008728C2" w:rsidRPr="00C04EB0">
        <w:rPr>
          <w:rFonts w:asciiTheme="minorBidi" w:hAnsiTheme="minorBidi" w:cstheme="minorBidi"/>
          <w:w w:val="105"/>
        </w:rPr>
        <w:t xml:space="preserve">, </w:t>
      </w:r>
      <w:r w:rsidR="00EA35AD" w:rsidRPr="00C04EB0">
        <w:rPr>
          <w:rFonts w:asciiTheme="minorBidi" w:hAnsiTheme="minorBidi" w:cstheme="minorBidi"/>
          <w:w w:val="105"/>
        </w:rPr>
        <w:t xml:space="preserve">the </w:t>
      </w:r>
      <w:r w:rsidR="009703A4" w:rsidRPr="00C04EB0">
        <w:rPr>
          <w:rFonts w:asciiTheme="minorBidi" w:hAnsiTheme="minorBidi" w:cstheme="minorBidi"/>
          <w:w w:val="105"/>
        </w:rPr>
        <w:t>Regulator</w:t>
      </w:r>
      <w:r w:rsidR="00EC0ECF" w:rsidRPr="00C04EB0">
        <w:rPr>
          <w:rFonts w:asciiTheme="minorBidi" w:hAnsiTheme="minorBidi" w:cstheme="minorBidi"/>
          <w:w w:val="105"/>
        </w:rPr>
        <w:t xml:space="preserve"> </w:t>
      </w:r>
      <w:r w:rsidR="00BD40A9" w:rsidRPr="00C04EB0">
        <w:rPr>
          <w:rFonts w:asciiTheme="minorBidi" w:hAnsiTheme="minorBidi" w:cstheme="minorBidi"/>
          <w:w w:val="105"/>
        </w:rPr>
        <w:t xml:space="preserve">recognises </w:t>
      </w:r>
      <w:r w:rsidR="000905EC" w:rsidRPr="00C04EB0">
        <w:rPr>
          <w:rFonts w:asciiTheme="minorBidi" w:hAnsiTheme="minorBidi" w:cstheme="minorBidi"/>
          <w:w w:val="105"/>
        </w:rPr>
        <w:t>that it may take time to</w:t>
      </w:r>
      <w:r w:rsidR="0021552F" w:rsidRPr="00C04EB0">
        <w:rPr>
          <w:rFonts w:asciiTheme="minorBidi" w:hAnsiTheme="minorBidi" w:cstheme="minorBidi"/>
          <w:w w:val="105"/>
        </w:rPr>
        <w:t xml:space="preserve"> </w:t>
      </w:r>
      <w:r w:rsidR="00BB4517" w:rsidRPr="00C04EB0">
        <w:rPr>
          <w:rFonts w:asciiTheme="minorBidi" w:hAnsiTheme="minorBidi" w:cstheme="minorBidi"/>
          <w:w w:val="105"/>
        </w:rPr>
        <w:t>acquire</w:t>
      </w:r>
      <w:r w:rsidR="00277E49" w:rsidRPr="00C04EB0">
        <w:rPr>
          <w:rFonts w:asciiTheme="minorBidi" w:hAnsiTheme="minorBidi" w:cstheme="minorBidi"/>
          <w:w w:val="105"/>
        </w:rPr>
        <w:t xml:space="preserve"> Eligible Green</w:t>
      </w:r>
      <w:r w:rsidR="00BB4517" w:rsidRPr="00C04EB0">
        <w:rPr>
          <w:rFonts w:asciiTheme="minorBidi" w:hAnsiTheme="minorBidi" w:cstheme="minorBidi"/>
          <w:w w:val="105"/>
        </w:rPr>
        <w:t xml:space="preserve"> Fund </w:t>
      </w:r>
      <w:r w:rsidR="00667D9C" w:rsidRPr="00C04EB0">
        <w:rPr>
          <w:rFonts w:asciiTheme="minorBidi" w:hAnsiTheme="minorBidi" w:cstheme="minorBidi"/>
          <w:w w:val="105"/>
        </w:rPr>
        <w:t>Property</w:t>
      </w:r>
      <w:r w:rsidR="00AA3EE5" w:rsidRPr="00C04EB0">
        <w:rPr>
          <w:rFonts w:asciiTheme="minorBidi" w:hAnsiTheme="minorBidi" w:cstheme="minorBidi"/>
          <w:w w:val="105"/>
        </w:rPr>
        <w:t>.</w:t>
      </w:r>
      <w:r w:rsidR="00B85C5B" w:rsidRPr="00C04EB0">
        <w:rPr>
          <w:rFonts w:asciiTheme="minorBidi" w:hAnsiTheme="minorBidi" w:cstheme="minorBidi"/>
          <w:w w:val="105"/>
        </w:rPr>
        <w:t xml:space="preserve"> </w:t>
      </w:r>
      <w:r w:rsidR="00DD703C" w:rsidRPr="00C04EB0">
        <w:rPr>
          <w:rFonts w:asciiTheme="minorBidi" w:hAnsiTheme="minorBidi" w:cstheme="minorBidi"/>
          <w:w w:val="105"/>
        </w:rPr>
        <w:t xml:space="preserve">At a minimum, the </w:t>
      </w:r>
      <w:r w:rsidR="009703A4" w:rsidRPr="00C04EB0">
        <w:rPr>
          <w:rFonts w:asciiTheme="minorBidi" w:hAnsiTheme="minorBidi" w:cstheme="minorBidi"/>
          <w:w w:val="105"/>
        </w:rPr>
        <w:t>Regulator</w:t>
      </w:r>
      <w:r w:rsidR="00DD703C" w:rsidRPr="00C04EB0">
        <w:rPr>
          <w:rFonts w:asciiTheme="minorBidi" w:hAnsiTheme="minorBidi" w:cstheme="minorBidi"/>
          <w:w w:val="105"/>
        </w:rPr>
        <w:t xml:space="preserve"> expects that</w:t>
      </w:r>
      <w:r w:rsidR="00F9183F" w:rsidRPr="00C04EB0">
        <w:rPr>
          <w:rFonts w:asciiTheme="minorBidi" w:hAnsiTheme="minorBidi" w:cstheme="minorBidi"/>
          <w:w w:val="105"/>
        </w:rPr>
        <w:t xml:space="preserve"> </w:t>
      </w:r>
      <w:r w:rsidR="00DD703C" w:rsidRPr="00C04EB0">
        <w:rPr>
          <w:rFonts w:asciiTheme="minorBidi" w:hAnsiTheme="minorBidi" w:cstheme="minorBidi"/>
          <w:w w:val="105"/>
        </w:rPr>
        <w:t xml:space="preserve">assets meeting the Green Fund Investment Requirement will </w:t>
      </w:r>
      <w:r w:rsidR="00A76BEF" w:rsidRPr="00C04EB0">
        <w:rPr>
          <w:rFonts w:asciiTheme="minorBidi" w:hAnsiTheme="minorBidi" w:cstheme="minorBidi"/>
          <w:w w:val="105"/>
        </w:rPr>
        <w:t>constitute:</w:t>
      </w:r>
      <w:bookmarkEnd w:id="24"/>
    </w:p>
    <w:p w14:paraId="2B7A43F3" w14:textId="321F3631" w:rsidR="00A76BEF" w:rsidRPr="00C04EB0" w:rsidRDefault="00C13C20" w:rsidP="00023D47">
      <w:pPr>
        <w:pStyle w:val="ListParagraph"/>
        <w:numPr>
          <w:ilvl w:val="0"/>
          <w:numId w:val="25"/>
        </w:numPr>
        <w:ind w:left="1418" w:hanging="709"/>
        <w:jc w:val="both"/>
        <w:rPr>
          <w:rFonts w:asciiTheme="minorBidi" w:hAnsiTheme="minorBidi" w:cstheme="minorBidi"/>
        </w:rPr>
      </w:pPr>
      <w:bookmarkStart w:id="25" w:name="_Toc116055893"/>
      <w:r w:rsidRPr="00C04EB0">
        <w:rPr>
          <w:rFonts w:asciiTheme="minorBidi" w:hAnsiTheme="minorBidi" w:cstheme="minorBidi"/>
        </w:rPr>
        <w:t>m</w:t>
      </w:r>
      <w:r w:rsidR="00AB71B9" w:rsidRPr="00C04EB0">
        <w:rPr>
          <w:rFonts w:asciiTheme="minorBidi" w:hAnsiTheme="minorBidi" w:cstheme="minorBidi"/>
        </w:rPr>
        <w:t>ore than 50%</w:t>
      </w:r>
      <w:r w:rsidR="00A76BEF" w:rsidRPr="00C04EB0">
        <w:rPr>
          <w:rFonts w:asciiTheme="minorBidi" w:hAnsiTheme="minorBidi" w:cstheme="minorBidi"/>
        </w:rPr>
        <w:t xml:space="preserve"> of </w:t>
      </w:r>
      <w:r w:rsidR="00B330C6" w:rsidRPr="00C04EB0">
        <w:rPr>
          <w:rFonts w:asciiTheme="minorBidi" w:hAnsiTheme="minorBidi" w:cstheme="minorBidi"/>
        </w:rPr>
        <w:t xml:space="preserve">the </w:t>
      </w:r>
      <w:r w:rsidR="00844DE3" w:rsidRPr="00C04EB0">
        <w:rPr>
          <w:rFonts w:asciiTheme="minorBidi" w:hAnsiTheme="minorBidi" w:cstheme="minorBidi"/>
        </w:rPr>
        <w:t xml:space="preserve">Fund’s assets </w:t>
      </w:r>
      <w:r w:rsidR="00A76BEF" w:rsidRPr="00C04EB0">
        <w:rPr>
          <w:rFonts w:asciiTheme="minorBidi" w:hAnsiTheme="minorBidi" w:cstheme="minorBidi"/>
        </w:rPr>
        <w:t>within two years of the date on which</w:t>
      </w:r>
      <w:r w:rsidR="00844DE3" w:rsidRPr="00C04EB0">
        <w:rPr>
          <w:rFonts w:asciiTheme="minorBidi" w:hAnsiTheme="minorBidi" w:cstheme="minorBidi"/>
        </w:rPr>
        <w:t xml:space="preserve"> an</w:t>
      </w:r>
      <w:r w:rsidR="00A76BEF" w:rsidRPr="00C04EB0">
        <w:rPr>
          <w:rFonts w:asciiTheme="minorBidi" w:hAnsiTheme="minorBidi" w:cstheme="minorBidi"/>
        </w:rPr>
        <w:t xml:space="preserve"> </w:t>
      </w:r>
      <w:r w:rsidR="00844DE3" w:rsidRPr="00C04EB0">
        <w:rPr>
          <w:rFonts w:asciiTheme="minorBidi" w:hAnsiTheme="minorBidi" w:cstheme="minorBidi"/>
        </w:rPr>
        <w:t xml:space="preserve">ADGM </w:t>
      </w:r>
      <w:r w:rsidR="00A76BEF" w:rsidRPr="00C04EB0">
        <w:rPr>
          <w:rFonts w:asciiTheme="minorBidi" w:hAnsiTheme="minorBidi" w:cstheme="minorBidi"/>
        </w:rPr>
        <w:t xml:space="preserve">Green </w:t>
      </w:r>
      <w:r w:rsidR="00844DE3" w:rsidRPr="00C04EB0">
        <w:rPr>
          <w:rFonts w:asciiTheme="minorBidi" w:hAnsiTheme="minorBidi" w:cstheme="minorBidi"/>
        </w:rPr>
        <w:t xml:space="preserve">Fund Designation </w:t>
      </w:r>
      <w:r w:rsidR="00A76BEF" w:rsidRPr="00C04EB0">
        <w:rPr>
          <w:rFonts w:asciiTheme="minorBidi" w:hAnsiTheme="minorBidi" w:cstheme="minorBidi"/>
        </w:rPr>
        <w:t>is granted; and</w:t>
      </w:r>
      <w:bookmarkEnd w:id="25"/>
    </w:p>
    <w:p w14:paraId="0C8D89BD" w14:textId="7EBE6951" w:rsidR="00A76BEF" w:rsidRPr="00C04EB0" w:rsidRDefault="00A76BEF" w:rsidP="00023D47">
      <w:pPr>
        <w:pStyle w:val="ListParagraph"/>
        <w:numPr>
          <w:ilvl w:val="0"/>
          <w:numId w:val="25"/>
        </w:numPr>
        <w:ind w:left="1418" w:hanging="709"/>
        <w:contextualSpacing w:val="0"/>
        <w:jc w:val="both"/>
        <w:rPr>
          <w:rFonts w:asciiTheme="minorBidi" w:hAnsiTheme="minorBidi" w:cstheme="minorBidi"/>
        </w:rPr>
      </w:pPr>
      <w:bookmarkStart w:id="26" w:name="_Toc116055894"/>
      <w:r w:rsidRPr="00C04EB0">
        <w:rPr>
          <w:rFonts w:asciiTheme="minorBidi" w:hAnsiTheme="minorBidi" w:cstheme="minorBidi"/>
        </w:rPr>
        <w:t xml:space="preserve">75% or more </w:t>
      </w:r>
      <w:r w:rsidR="00844DE3" w:rsidRPr="00C04EB0">
        <w:rPr>
          <w:rFonts w:asciiTheme="minorBidi" w:hAnsiTheme="minorBidi" w:cstheme="minorBidi"/>
        </w:rPr>
        <w:t xml:space="preserve">of </w:t>
      </w:r>
      <w:r w:rsidR="00AB71B9" w:rsidRPr="00C04EB0">
        <w:rPr>
          <w:rFonts w:asciiTheme="minorBidi" w:hAnsiTheme="minorBidi" w:cstheme="minorBidi"/>
        </w:rPr>
        <w:t xml:space="preserve">the </w:t>
      </w:r>
      <w:r w:rsidR="00844DE3" w:rsidRPr="00C04EB0">
        <w:rPr>
          <w:rFonts w:asciiTheme="minorBidi" w:hAnsiTheme="minorBidi" w:cstheme="minorBidi"/>
        </w:rPr>
        <w:t>Fund’s assets within five years of the date on which an ADGM Green Fund Designation is granted</w:t>
      </w:r>
      <w:r w:rsidRPr="00C04EB0">
        <w:rPr>
          <w:rFonts w:asciiTheme="minorBidi" w:hAnsiTheme="minorBidi" w:cstheme="minorBidi"/>
        </w:rPr>
        <w:t>.</w:t>
      </w:r>
      <w:bookmarkEnd w:id="26"/>
    </w:p>
    <w:p w14:paraId="19CA5709" w14:textId="3D658B2F" w:rsidR="008728C2" w:rsidRPr="00C04EB0" w:rsidRDefault="003E6100" w:rsidP="00023D47">
      <w:pPr>
        <w:ind w:left="709" w:hanging="709"/>
        <w:jc w:val="both"/>
        <w:rPr>
          <w:rFonts w:asciiTheme="minorBidi" w:hAnsiTheme="minorBidi" w:cstheme="minorBidi"/>
        </w:rPr>
      </w:pPr>
      <w:r w:rsidRPr="00C04EB0">
        <w:rPr>
          <w:rFonts w:asciiTheme="minorBidi" w:hAnsiTheme="minorBidi" w:cstheme="minorBidi"/>
        </w:rPr>
        <w:t>3</w:t>
      </w:r>
      <w:r w:rsidR="008728C2" w:rsidRPr="00C04EB0">
        <w:rPr>
          <w:rFonts w:asciiTheme="minorBidi" w:hAnsiTheme="minorBidi" w:cstheme="minorBidi"/>
        </w:rPr>
        <w:t>.12</w:t>
      </w:r>
      <w:r w:rsidR="001B268C" w:rsidRPr="00C04EB0">
        <w:rPr>
          <w:rFonts w:asciiTheme="minorBidi" w:hAnsiTheme="minorBidi" w:cstheme="minorBidi"/>
        </w:rPr>
        <w:tab/>
      </w:r>
      <w:r w:rsidR="00E47A6C" w:rsidRPr="00C04EB0">
        <w:rPr>
          <w:rFonts w:asciiTheme="minorBidi" w:hAnsiTheme="minorBidi" w:cstheme="minorBidi"/>
        </w:rPr>
        <w:t xml:space="preserve">Where a Fund invests </w:t>
      </w:r>
      <w:r w:rsidR="00BD40A9" w:rsidRPr="00C04EB0">
        <w:rPr>
          <w:rFonts w:asciiTheme="minorBidi" w:hAnsiTheme="minorBidi" w:cstheme="minorBidi"/>
        </w:rPr>
        <w:t xml:space="preserve">solely </w:t>
      </w:r>
      <w:r w:rsidR="00E47A6C" w:rsidRPr="00C04EB0">
        <w:rPr>
          <w:rFonts w:asciiTheme="minorBidi" w:hAnsiTheme="minorBidi" w:cstheme="minorBidi"/>
        </w:rPr>
        <w:t>in assets included in, or which track, a</w:t>
      </w:r>
      <w:r w:rsidR="00F9332F" w:rsidRPr="00C04EB0">
        <w:rPr>
          <w:rFonts w:asciiTheme="minorBidi" w:hAnsiTheme="minorBidi" w:cstheme="minorBidi"/>
        </w:rPr>
        <w:t>n EU</w:t>
      </w:r>
      <w:r w:rsidR="00E47A6C" w:rsidRPr="00C04EB0">
        <w:rPr>
          <w:rFonts w:asciiTheme="minorBidi" w:hAnsiTheme="minorBidi" w:cstheme="minorBidi"/>
        </w:rPr>
        <w:t xml:space="preserve"> Paris</w:t>
      </w:r>
      <w:r w:rsidR="00F9332F" w:rsidRPr="00C04EB0">
        <w:rPr>
          <w:rFonts w:asciiTheme="minorBidi" w:hAnsiTheme="minorBidi" w:cstheme="minorBidi"/>
        </w:rPr>
        <w:t xml:space="preserve"> </w:t>
      </w:r>
      <w:r w:rsidR="00E47A6C" w:rsidRPr="00C04EB0">
        <w:rPr>
          <w:rFonts w:asciiTheme="minorBidi" w:hAnsiTheme="minorBidi" w:cstheme="minorBidi"/>
        </w:rPr>
        <w:t xml:space="preserve">Aligned Benchmark, the Regulator expects that </w:t>
      </w:r>
      <w:r w:rsidR="00B651F9" w:rsidRPr="00C04EB0">
        <w:rPr>
          <w:rFonts w:asciiTheme="minorBidi" w:hAnsiTheme="minorBidi" w:cstheme="minorBidi"/>
        </w:rPr>
        <w:t>such assets</w:t>
      </w:r>
      <w:r w:rsidR="00E47A6C" w:rsidRPr="00C04EB0">
        <w:rPr>
          <w:rFonts w:asciiTheme="minorBidi" w:hAnsiTheme="minorBidi" w:cstheme="minorBidi"/>
        </w:rPr>
        <w:t xml:space="preserve"> will constitute </w:t>
      </w:r>
      <w:r w:rsidR="00AB71B9" w:rsidRPr="00C04EB0">
        <w:rPr>
          <w:rFonts w:asciiTheme="minorBidi" w:hAnsiTheme="minorBidi" w:cstheme="minorBidi"/>
        </w:rPr>
        <w:t>75% or more of the Fund’s assets</w:t>
      </w:r>
      <w:r w:rsidR="00E47A6C" w:rsidRPr="00C04EB0">
        <w:rPr>
          <w:rFonts w:asciiTheme="minorBidi" w:hAnsiTheme="minorBidi" w:cstheme="minorBidi"/>
        </w:rPr>
        <w:t xml:space="preserve"> as soon as practicable upon receipt of an ADGM Green Fund Designation</w:t>
      </w:r>
      <w:r w:rsidR="00AB71B9" w:rsidRPr="00C04EB0">
        <w:rPr>
          <w:rFonts w:asciiTheme="minorBidi" w:hAnsiTheme="minorBidi" w:cstheme="minorBidi"/>
        </w:rPr>
        <w:t>.</w:t>
      </w:r>
      <w:r w:rsidR="0005487E" w:rsidRPr="00C04EB0">
        <w:rPr>
          <w:rFonts w:asciiTheme="minorBidi" w:hAnsiTheme="minorBidi" w:cstheme="minorBidi"/>
        </w:rPr>
        <w:t xml:space="preserve"> </w:t>
      </w:r>
    </w:p>
    <w:p w14:paraId="2CE9BD93" w14:textId="7B996E40" w:rsidR="00A76BEF" w:rsidRPr="00C04EB0" w:rsidRDefault="00B12008" w:rsidP="007A686C">
      <w:pPr>
        <w:spacing w:after="240" w:line="246" w:lineRule="atLeast"/>
        <w:jc w:val="both"/>
        <w:rPr>
          <w:rFonts w:asciiTheme="minorBidi" w:hAnsiTheme="minorBidi" w:cstheme="minorBidi"/>
          <w:b/>
          <w:bCs/>
          <w:w w:val="105"/>
        </w:rPr>
      </w:pPr>
      <w:r w:rsidRPr="00C04EB0">
        <w:rPr>
          <w:rFonts w:asciiTheme="minorBidi" w:hAnsiTheme="minorBidi" w:cstheme="minorBidi"/>
          <w:b/>
          <w:bCs/>
          <w:w w:val="105"/>
        </w:rPr>
        <w:t>Climate Transition Fund Investment Requirement</w:t>
      </w:r>
    </w:p>
    <w:p w14:paraId="6BC5E260" w14:textId="49E95DBA" w:rsidR="006702C0" w:rsidRPr="00C04EB0" w:rsidRDefault="003E6100" w:rsidP="006702C0">
      <w:pPr>
        <w:ind w:left="709" w:hanging="709"/>
        <w:jc w:val="both"/>
        <w:rPr>
          <w:rFonts w:asciiTheme="minorBidi" w:hAnsiTheme="minorBidi" w:cstheme="minorBidi"/>
          <w:w w:val="105"/>
        </w:rPr>
      </w:pPr>
      <w:bookmarkStart w:id="27" w:name="_Toc116055895"/>
      <w:r w:rsidRPr="00C04EB0">
        <w:rPr>
          <w:rFonts w:asciiTheme="minorBidi" w:hAnsiTheme="minorBidi" w:cstheme="minorBidi"/>
          <w:w w:val="105"/>
        </w:rPr>
        <w:t>3</w:t>
      </w:r>
      <w:r w:rsidR="00A90F6E" w:rsidRPr="00C04EB0">
        <w:rPr>
          <w:rFonts w:asciiTheme="minorBidi" w:hAnsiTheme="minorBidi" w:cstheme="minorBidi"/>
          <w:w w:val="105"/>
        </w:rPr>
        <w:t>.1</w:t>
      </w:r>
      <w:r w:rsidR="008728C2" w:rsidRPr="00C04EB0">
        <w:rPr>
          <w:rFonts w:asciiTheme="minorBidi" w:hAnsiTheme="minorBidi" w:cstheme="minorBidi"/>
          <w:w w:val="105"/>
        </w:rPr>
        <w:t>3</w:t>
      </w:r>
      <w:r w:rsidR="00A90F6E" w:rsidRPr="00C04EB0">
        <w:rPr>
          <w:rFonts w:asciiTheme="minorBidi" w:hAnsiTheme="minorBidi" w:cstheme="minorBidi"/>
          <w:w w:val="105"/>
        </w:rPr>
        <w:tab/>
      </w:r>
      <w:r w:rsidR="006702C0" w:rsidRPr="00C04EB0">
        <w:rPr>
          <w:rFonts w:asciiTheme="minorBidi" w:hAnsiTheme="minorBidi" w:cstheme="minorBidi"/>
          <w:w w:val="105"/>
        </w:rPr>
        <w:t xml:space="preserve">An ADGM Climate Transition Fund must invest in assets meeting the Climate Transition Fund Investment Requirement. The Regulator </w:t>
      </w:r>
      <w:r w:rsidR="00BD40A9" w:rsidRPr="00C04EB0">
        <w:rPr>
          <w:rFonts w:asciiTheme="minorBidi" w:hAnsiTheme="minorBidi" w:cstheme="minorBidi"/>
          <w:w w:val="105"/>
        </w:rPr>
        <w:t xml:space="preserve">recognises </w:t>
      </w:r>
      <w:r w:rsidR="006702C0" w:rsidRPr="00C04EB0">
        <w:rPr>
          <w:rFonts w:asciiTheme="minorBidi" w:hAnsiTheme="minorBidi" w:cstheme="minorBidi"/>
          <w:w w:val="105"/>
        </w:rPr>
        <w:t>that it may take time to acquire Eligible Climate Transition Fund Property. At a minimum, the Regulator expects that assets meeting the Climate Transition Fund Investment Requirement will constitute:</w:t>
      </w:r>
    </w:p>
    <w:p w14:paraId="3D8C137B" w14:textId="1C521E84" w:rsidR="006702C0" w:rsidRPr="00C04EB0" w:rsidRDefault="006702C0" w:rsidP="00023D47">
      <w:pPr>
        <w:pStyle w:val="ListParagraph"/>
        <w:numPr>
          <w:ilvl w:val="0"/>
          <w:numId w:val="31"/>
        </w:numPr>
        <w:ind w:left="1134" w:hanging="425"/>
        <w:jc w:val="both"/>
        <w:rPr>
          <w:rFonts w:asciiTheme="minorBidi" w:hAnsiTheme="minorBidi" w:cstheme="minorBidi"/>
        </w:rPr>
      </w:pPr>
      <w:r w:rsidRPr="00C04EB0">
        <w:rPr>
          <w:rFonts w:asciiTheme="minorBidi" w:hAnsiTheme="minorBidi" w:cstheme="minorBidi"/>
        </w:rPr>
        <w:t>More than 50% of the Fund’s assets within two years of the date on which an ADGM Climate Transition Fund Designation is granted; and</w:t>
      </w:r>
    </w:p>
    <w:p w14:paraId="1E1A86CC" w14:textId="426E1D2B" w:rsidR="00F97951" w:rsidRPr="00C04EB0" w:rsidRDefault="006702C0" w:rsidP="00023D47">
      <w:pPr>
        <w:pStyle w:val="ListParagraph"/>
        <w:numPr>
          <w:ilvl w:val="0"/>
          <w:numId w:val="31"/>
        </w:numPr>
        <w:ind w:left="1134" w:hanging="425"/>
        <w:contextualSpacing w:val="0"/>
        <w:jc w:val="both"/>
        <w:rPr>
          <w:rFonts w:asciiTheme="minorBidi" w:hAnsiTheme="minorBidi" w:cstheme="minorBidi"/>
        </w:rPr>
      </w:pPr>
      <w:r w:rsidRPr="00C04EB0">
        <w:rPr>
          <w:rFonts w:asciiTheme="minorBidi" w:hAnsiTheme="minorBidi" w:cstheme="minorBidi"/>
        </w:rPr>
        <w:t>75% or more of the Fund’s assets within five years of the date on which an ADGM Climate Transition Fund Designation is granted</w:t>
      </w:r>
      <w:r w:rsidR="00CF2104" w:rsidRPr="00C04EB0">
        <w:rPr>
          <w:rFonts w:asciiTheme="minorBidi" w:hAnsiTheme="minorBidi" w:cstheme="minorBidi"/>
        </w:rPr>
        <w:t xml:space="preserve">. </w:t>
      </w:r>
      <w:bookmarkEnd w:id="27"/>
    </w:p>
    <w:p w14:paraId="3C4324D0" w14:textId="1561D849" w:rsidR="006702C0" w:rsidRPr="00C04EB0" w:rsidRDefault="00E74853" w:rsidP="00023D47">
      <w:pPr>
        <w:ind w:left="709" w:hanging="709"/>
        <w:jc w:val="both"/>
        <w:rPr>
          <w:rFonts w:asciiTheme="minorBidi" w:hAnsiTheme="minorBidi" w:cstheme="minorBidi"/>
          <w:w w:val="105"/>
        </w:rPr>
      </w:pPr>
      <w:r w:rsidRPr="00C04EB0">
        <w:rPr>
          <w:rFonts w:asciiTheme="minorBidi" w:hAnsiTheme="minorBidi" w:cstheme="minorBidi"/>
          <w:w w:val="105"/>
        </w:rPr>
        <w:t>3.14</w:t>
      </w:r>
      <w:r w:rsidRPr="00C04EB0">
        <w:rPr>
          <w:rFonts w:asciiTheme="minorBidi" w:hAnsiTheme="minorBidi" w:cstheme="minorBidi"/>
          <w:w w:val="105"/>
        </w:rPr>
        <w:tab/>
      </w:r>
      <w:r w:rsidR="0054254A" w:rsidRPr="00C04EB0">
        <w:rPr>
          <w:rFonts w:asciiTheme="minorBidi" w:hAnsiTheme="minorBidi" w:cstheme="minorBidi"/>
          <w:w w:val="105"/>
        </w:rPr>
        <w:t>However, w</w:t>
      </w:r>
      <w:r w:rsidR="006702C0" w:rsidRPr="00C04EB0">
        <w:rPr>
          <w:rFonts w:asciiTheme="minorBidi" w:hAnsiTheme="minorBidi" w:cstheme="minorBidi"/>
          <w:w w:val="105"/>
        </w:rPr>
        <w:t xml:space="preserve">here a Fund solely invests in assets included in, or which track, a Climate Transition Benchmark, the Regulator expects that such assets will constitute 75% or more of the Fund’s assets as soon as practicable upon receipt of an ADGM </w:t>
      </w:r>
      <w:r w:rsidR="0054254A" w:rsidRPr="00C04EB0">
        <w:rPr>
          <w:rFonts w:asciiTheme="minorBidi" w:hAnsiTheme="minorBidi" w:cstheme="minorBidi"/>
          <w:w w:val="105"/>
        </w:rPr>
        <w:t>Climate Transition</w:t>
      </w:r>
      <w:r w:rsidR="006702C0" w:rsidRPr="00C04EB0">
        <w:rPr>
          <w:rFonts w:asciiTheme="minorBidi" w:hAnsiTheme="minorBidi" w:cstheme="minorBidi"/>
          <w:w w:val="105"/>
        </w:rPr>
        <w:t xml:space="preserve"> Fund Designation.</w:t>
      </w:r>
    </w:p>
    <w:p w14:paraId="7AB20424" w14:textId="77777777" w:rsidR="00E7099B" w:rsidRPr="00C04EB0" w:rsidRDefault="00F65B8B" w:rsidP="007A686C">
      <w:pPr>
        <w:spacing w:after="240" w:line="246" w:lineRule="atLeast"/>
        <w:jc w:val="both"/>
        <w:rPr>
          <w:rFonts w:asciiTheme="minorBidi" w:hAnsiTheme="minorBidi" w:cstheme="minorBidi"/>
          <w:b/>
          <w:bCs/>
          <w:w w:val="105"/>
        </w:rPr>
      </w:pPr>
      <w:r w:rsidRPr="00C04EB0">
        <w:rPr>
          <w:rFonts w:asciiTheme="minorBidi" w:hAnsiTheme="minorBidi" w:cstheme="minorBidi"/>
          <w:b/>
          <w:bCs/>
          <w:w w:val="105"/>
        </w:rPr>
        <w:lastRenderedPageBreak/>
        <w:t>Fund Manager’s Report</w:t>
      </w:r>
    </w:p>
    <w:p w14:paraId="13146A0C" w14:textId="5451D17C" w:rsidR="002B1719" w:rsidRPr="00C04EB0" w:rsidRDefault="003E6100">
      <w:pPr>
        <w:ind w:left="709" w:hanging="709"/>
        <w:jc w:val="both"/>
        <w:rPr>
          <w:rFonts w:asciiTheme="minorBidi" w:hAnsiTheme="minorBidi" w:cstheme="minorBidi"/>
        </w:rPr>
      </w:pPr>
      <w:bookmarkStart w:id="28" w:name="_Toc116055896"/>
      <w:r w:rsidRPr="00C04EB0">
        <w:rPr>
          <w:rFonts w:asciiTheme="minorBidi" w:hAnsiTheme="minorBidi" w:cstheme="minorBidi"/>
        </w:rPr>
        <w:t>3</w:t>
      </w:r>
      <w:r w:rsidR="00A90F6E" w:rsidRPr="00C04EB0">
        <w:rPr>
          <w:rFonts w:asciiTheme="minorBidi" w:hAnsiTheme="minorBidi" w:cstheme="minorBidi"/>
        </w:rPr>
        <w:t>.1</w:t>
      </w:r>
      <w:r w:rsidR="00E74853" w:rsidRPr="00C04EB0">
        <w:rPr>
          <w:rFonts w:asciiTheme="minorBidi" w:hAnsiTheme="minorBidi" w:cstheme="minorBidi"/>
        </w:rPr>
        <w:t>5</w:t>
      </w:r>
      <w:r w:rsidR="00A90F6E" w:rsidRPr="00C04EB0">
        <w:rPr>
          <w:rFonts w:asciiTheme="minorBidi" w:hAnsiTheme="minorBidi" w:cstheme="minorBidi"/>
        </w:rPr>
        <w:tab/>
      </w:r>
      <w:r w:rsidR="001D1D74" w:rsidRPr="00C04EB0">
        <w:rPr>
          <w:rFonts w:asciiTheme="minorBidi" w:hAnsiTheme="minorBidi" w:cstheme="minorBidi"/>
        </w:rPr>
        <w:t xml:space="preserve">FUNDS </w:t>
      </w:r>
      <w:r w:rsidR="00BC6839" w:rsidRPr="00C04EB0">
        <w:rPr>
          <w:rFonts w:asciiTheme="minorBidi" w:hAnsiTheme="minorBidi" w:cstheme="minorBidi"/>
        </w:rPr>
        <w:t xml:space="preserve">Rule </w:t>
      </w:r>
      <w:r w:rsidR="00F65B8B" w:rsidRPr="00C04EB0">
        <w:rPr>
          <w:rFonts w:asciiTheme="minorBidi" w:hAnsiTheme="minorBidi" w:cstheme="minorBidi"/>
        </w:rPr>
        <w:t xml:space="preserve">16.4.7 sets out the </w:t>
      </w:r>
      <w:r w:rsidR="008B744A" w:rsidRPr="00C04EB0">
        <w:rPr>
          <w:rFonts w:asciiTheme="minorBidi" w:hAnsiTheme="minorBidi" w:cstheme="minorBidi"/>
        </w:rPr>
        <w:t xml:space="preserve">items </w:t>
      </w:r>
      <w:r w:rsidR="00F65B8B" w:rsidRPr="00C04EB0">
        <w:rPr>
          <w:rFonts w:asciiTheme="minorBidi" w:hAnsiTheme="minorBidi" w:cstheme="minorBidi"/>
        </w:rPr>
        <w:t xml:space="preserve">that must be included in the Fund Manager’s </w:t>
      </w:r>
      <w:r w:rsidR="008B744A" w:rsidRPr="00C04EB0">
        <w:rPr>
          <w:rFonts w:asciiTheme="minorBidi" w:hAnsiTheme="minorBidi" w:cstheme="minorBidi"/>
        </w:rPr>
        <w:t xml:space="preserve">annual </w:t>
      </w:r>
      <w:r w:rsidR="00F65B8B" w:rsidRPr="00C04EB0">
        <w:rPr>
          <w:rFonts w:asciiTheme="minorBidi" w:hAnsiTheme="minorBidi" w:cstheme="minorBidi"/>
        </w:rPr>
        <w:t xml:space="preserve">report. </w:t>
      </w:r>
      <w:r w:rsidR="00BC6839" w:rsidRPr="00C04EB0">
        <w:rPr>
          <w:rFonts w:asciiTheme="minorBidi" w:hAnsiTheme="minorBidi" w:cstheme="minorBidi"/>
        </w:rPr>
        <w:t>Th</w:t>
      </w:r>
      <w:r w:rsidR="008B744A" w:rsidRPr="00C04EB0">
        <w:rPr>
          <w:rFonts w:asciiTheme="minorBidi" w:hAnsiTheme="minorBidi" w:cstheme="minorBidi"/>
        </w:rPr>
        <w:t>ese</w:t>
      </w:r>
      <w:r w:rsidR="00BC6839" w:rsidRPr="00C04EB0">
        <w:rPr>
          <w:rFonts w:asciiTheme="minorBidi" w:hAnsiTheme="minorBidi" w:cstheme="minorBidi"/>
        </w:rPr>
        <w:t xml:space="preserve"> include any information which would enable Unitholders to make an informed judgement on the development and results of activities of the Fund during the relevant period. </w:t>
      </w:r>
      <w:r w:rsidR="00F65B8B" w:rsidRPr="00C04EB0">
        <w:rPr>
          <w:rFonts w:asciiTheme="minorBidi" w:hAnsiTheme="minorBidi" w:cstheme="minorBidi"/>
        </w:rPr>
        <w:t>For a Fund that is a</w:t>
      </w:r>
      <w:r w:rsidR="00993874" w:rsidRPr="00C04EB0">
        <w:rPr>
          <w:rFonts w:asciiTheme="minorBidi" w:hAnsiTheme="minorBidi" w:cstheme="minorBidi"/>
        </w:rPr>
        <w:t>n ADGM</w:t>
      </w:r>
      <w:r w:rsidR="00F65B8B" w:rsidRPr="00C04EB0">
        <w:rPr>
          <w:rFonts w:asciiTheme="minorBidi" w:hAnsiTheme="minorBidi" w:cstheme="minorBidi"/>
        </w:rPr>
        <w:t xml:space="preserve"> Green Fund or a</w:t>
      </w:r>
      <w:r w:rsidR="00851293" w:rsidRPr="00C04EB0">
        <w:rPr>
          <w:rFonts w:asciiTheme="minorBidi" w:hAnsiTheme="minorBidi" w:cstheme="minorBidi"/>
        </w:rPr>
        <w:t>n ADGM</w:t>
      </w:r>
      <w:r w:rsidR="00F65B8B" w:rsidRPr="00C04EB0">
        <w:rPr>
          <w:rFonts w:asciiTheme="minorBidi" w:hAnsiTheme="minorBidi" w:cstheme="minorBidi"/>
        </w:rPr>
        <w:t xml:space="preserve"> Climate </w:t>
      </w:r>
      <w:r w:rsidR="00851293" w:rsidRPr="00C04EB0">
        <w:rPr>
          <w:rFonts w:asciiTheme="minorBidi" w:hAnsiTheme="minorBidi" w:cstheme="minorBidi"/>
        </w:rPr>
        <w:t xml:space="preserve">Transition </w:t>
      </w:r>
      <w:r w:rsidR="00F65B8B" w:rsidRPr="00C04EB0">
        <w:rPr>
          <w:rFonts w:asciiTheme="minorBidi" w:hAnsiTheme="minorBidi" w:cstheme="minorBidi"/>
        </w:rPr>
        <w:t xml:space="preserve">Fund, a Fund Manager must </w:t>
      </w:r>
      <w:r w:rsidR="008B744A" w:rsidRPr="00C04EB0">
        <w:rPr>
          <w:rFonts w:asciiTheme="minorBidi" w:hAnsiTheme="minorBidi" w:cstheme="minorBidi"/>
        </w:rPr>
        <w:t xml:space="preserve">pay </w:t>
      </w:r>
      <w:r w:rsidR="00F65B8B" w:rsidRPr="00C04EB0">
        <w:rPr>
          <w:rFonts w:asciiTheme="minorBidi" w:hAnsiTheme="minorBidi" w:cstheme="minorBidi"/>
        </w:rPr>
        <w:t xml:space="preserve">particular </w:t>
      </w:r>
      <w:r w:rsidR="008B744A" w:rsidRPr="00C04EB0">
        <w:rPr>
          <w:rFonts w:asciiTheme="minorBidi" w:hAnsiTheme="minorBidi" w:cstheme="minorBidi"/>
        </w:rPr>
        <w:t xml:space="preserve">attention </w:t>
      </w:r>
      <w:r w:rsidR="00F65B8B" w:rsidRPr="00C04EB0">
        <w:rPr>
          <w:rFonts w:asciiTheme="minorBidi" w:hAnsiTheme="minorBidi" w:cstheme="minorBidi"/>
        </w:rPr>
        <w:t>to information explaining the development of the activities of the Fund during the period and the results of those activities in achieving the Fund’s green or climate transition objectives as at the end of the period</w:t>
      </w:r>
      <w:r w:rsidR="00233161" w:rsidRPr="00C04EB0">
        <w:rPr>
          <w:rFonts w:asciiTheme="minorBidi" w:hAnsiTheme="minorBidi" w:cstheme="minorBidi"/>
        </w:rPr>
        <w:t>. This</w:t>
      </w:r>
      <w:r w:rsidR="00F65B8B" w:rsidRPr="00C04EB0">
        <w:rPr>
          <w:rFonts w:asciiTheme="minorBidi" w:hAnsiTheme="minorBidi" w:cstheme="minorBidi"/>
        </w:rPr>
        <w:t xml:space="preserve"> </w:t>
      </w:r>
      <w:r w:rsidR="00233161" w:rsidRPr="00C04EB0">
        <w:rPr>
          <w:rFonts w:asciiTheme="minorBidi" w:hAnsiTheme="minorBidi" w:cstheme="minorBidi"/>
        </w:rPr>
        <w:t xml:space="preserve">should include </w:t>
      </w:r>
      <w:proofErr w:type="gramStart"/>
      <w:r w:rsidR="00233161" w:rsidRPr="00C04EB0">
        <w:rPr>
          <w:rFonts w:asciiTheme="minorBidi" w:hAnsiTheme="minorBidi" w:cstheme="minorBidi"/>
        </w:rPr>
        <w:t>making</w:t>
      </w:r>
      <w:r w:rsidR="00F65B8B" w:rsidRPr="00C04EB0">
        <w:rPr>
          <w:rFonts w:asciiTheme="minorBidi" w:hAnsiTheme="minorBidi" w:cstheme="minorBidi"/>
        </w:rPr>
        <w:t xml:space="preserve"> reference</w:t>
      </w:r>
      <w:proofErr w:type="gramEnd"/>
      <w:r w:rsidR="00F65B8B" w:rsidRPr="00C04EB0">
        <w:rPr>
          <w:rFonts w:asciiTheme="minorBidi" w:hAnsiTheme="minorBidi" w:cstheme="minorBidi"/>
        </w:rPr>
        <w:t xml:space="preserve"> to compliance with the Green Fund </w:t>
      </w:r>
      <w:r w:rsidR="005F1074" w:rsidRPr="00C04EB0">
        <w:rPr>
          <w:rFonts w:asciiTheme="minorBidi" w:hAnsiTheme="minorBidi" w:cstheme="minorBidi"/>
        </w:rPr>
        <w:t>Investment</w:t>
      </w:r>
      <w:r w:rsidR="00F65B8B" w:rsidRPr="00C04EB0">
        <w:rPr>
          <w:rFonts w:asciiTheme="minorBidi" w:hAnsiTheme="minorBidi" w:cstheme="minorBidi"/>
        </w:rPr>
        <w:t xml:space="preserve"> Requirement</w:t>
      </w:r>
      <w:r w:rsidR="005F1074" w:rsidRPr="00C04EB0">
        <w:rPr>
          <w:rFonts w:asciiTheme="minorBidi" w:hAnsiTheme="minorBidi" w:cstheme="minorBidi"/>
        </w:rPr>
        <w:t xml:space="preserve"> </w:t>
      </w:r>
      <w:r w:rsidR="00AD70E5" w:rsidRPr="00C04EB0">
        <w:rPr>
          <w:rFonts w:asciiTheme="minorBidi" w:hAnsiTheme="minorBidi" w:cstheme="minorBidi"/>
        </w:rPr>
        <w:t xml:space="preserve">or </w:t>
      </w:r>
      <w:r w:rsidR="005F1074" w:rsidRPr="00C04EB0">
        <w:rPr>
          <w:rFonts w:asciiTheme="minorBidi" w:hAnsiTheme="minorBidi" w:cstheme="minorBidi"/>
        </w:rPr>
        <w:t>the Climate Transition Fund Investment Requirement</w:t>
      </w:r>
      <w:r w:rsidR="00F65B8B" w:rsidRPr="00C04EB0">
        <w:rPr>
          <w:rFonts w:asciiTheme="minorBidi" w:hAnsiTheme="minorBidi" w:cstheme="minorBidi"/>
        </w:rPr>
        <w:t xml:space="preserve">. The Fund Manager’s report should include additional information on the nature and composition of </w:t>
      </w:r>
      <w:r w:rsidR="002B640B" w:rsidRPr="00C04EB0">
        <w:rPr>
          <w:rFonts w:asciiTheme="minorBidi" w:hAnsiTheme="minorBidi" w:cstheme="minorBidi"/>
        </w:rPr>
        <w:t>the</w:t>
      </w:r>
      <w:r w:rsidR="00F65B8B" w:rsidRPr="00C04EB0">
        <w:rPr>
          <w:rFonts w:asciiTheme="minorBidi" w:hAnsiTheme="minorBidi" w:cstheme="minorBidi"/>
        </w:rPr>
        <w:t xml:space="preserve"> Fund Property, including information on Fund Property considered to </w:t>
      </w:r>
      <w:r w:rsidR="008D70B5" w:rsidRPr="00C04EB0">
        <w:rPr>
          <w:rFonts w:asciiTheme="minorBidi" w:hAnsiTheme="minorBidi" w:cstheme="minorBidi"/>
        </w:rPr>
        <w:t xml:space="preserve">constitute </w:t>
      </w:r>
      <w:r w:rsidR="00F65B8B" w:rsidRPr="00C04EB0">
        <w:rPr>
          <w:rFonts w:asciiTheme="minorBidi" w:hAnsiTheme="minorBidi" w:cstheme="minorBidi"/>
        </w:rPr>
        <w:t>Eligible Green Fund Property or Eligible Climate Transition Fund Property.</w:t>
      </w:r>
      <w:bookmarkEnd w:id="28"/>
      <w:r w:rsidR="003430D9" w:rsidRPr="00C04EB0">
        <w:rPr>
          <w:rFonts w:asciiTheme="minorBidi" w:hAnsiTheme="minorBidi" w:cstheme="minorBidi"/>
        </w:rPr>
        <w:t xml:space="preserve"> </w:t>
      </w:r>
      <w:bookmarkStart w:id="29" w:name="_Toc116055902"/>
      <w:bookmarkEnd w:id="29"/>
    </w:p>
    <w:p w14:paraId="1134F8FF" w14:textId="1B424E9D" w:rsidR="000A4A10" w:rsidRPr="00C04EB0" w:rsidRDefault="000A4A10" w:rsidP="00023D47">
      <w:pPr>
        <w:pStyle w:val="Level1"/>
        <w:keepNext/>
        <w:rPr>
          <w:rFonts w:asciiTheme="minorBidi" w:hAnsiTheme="minorBidi" w:cstheme="minorBidi"/>
        </w:rPr>
      </w:pPr>
      <w:bookmarkStart w:id="30" w:name="_Toc138071994"/>
      <w:bookmarkStart w:id="31" w:name="_Toc138072056"/>
      <w:bookmarkStart w:id="32" w:name="_Toc138249328"/>
      <w:bookmarkEnd w:id="30"/>
      <w:bookmarkEnd w:id="31"/>
      <w:r w:rsidRPr="00C04EB0">
        <w:rPr>
          <w:rFonts w:asciiTheme="minorBidi" w:hAnsiTheme="minorBidi" w:cstheme="minorBidi"/>
        </w:rPr>
        <w:t>ADGM Green and ADGM Climate Transition Portfolios</w:t>
      </w:r>
      <w:bookmarkEnd w:id="32"/>
      <w:r w:rsidR="000E68B8" w:rsidRPr="00C04EB0">
        <w:rPr>
          <w:rFonts w:asciiTheme="minorBidi" w:hAnsiTheme="minorBidi" w:cstheme="minorBidi"/>
        </w:rPr>
        <w:t xml:space="preserve"> </w:t>
      </w:r>
    </w:p>
    <w:p w14:paraId="38410FAD" w14:textId="4B70732E" w:rsidR="002E2AF3" w:rsidRPr="00C04EB0" w:rsidRDefault="003E6100" w:rsidP="00023D47">
      <w:pPr>
        <w:keepNext/>
        <w:ind w:left="709" w:hanging="709"/>
        <w:jc w:val="both"/>
        <w:rPr>
          <w:rFonts w:asciiTheme="minorBidi" w:hAnsiTheme="minorBidi" w:cstheme="minorBidi"/>
          <w:w w:val="105"/>
        </w:rPr>
      </w:pPr>
      <w:bookmarkStart w:id="33" w:name="_Toc116055907"/>
      <w:r w:rsidRPr="00C04EB0">
        <w:rPr>
          <w:rFonts w:asciiTheme="minorBidi" w:hAnsiTheme="minorBidi" w:cstheme="minorBidi"/>
          <w:w w:val="105"/>
        </w:rPr>
        <w:t>4</w:t>
      </w:r>
      <w:r w:rsidR="00C410F2" w:rsidRPr="00C04EB0">
        <w:rPr>
          <w:rFonts w:asciiTheme="minorBidi" w:hAnsiTheme="minorBidi" w:cstheme="minorBidi"/>
          <w:w w:val="105"/>
        </w:rPr>
        <w:t>.1</w:t>
      </w:r>
      <w:r w:rsidR="00C410F2" w:rsidRPr="00C04EB0">
        <w:rPr>
          <w:rFonts w:asciiTheme="minorBidi" w:hAnsiTheme="minorBidi" w:cstheme="minorBidi"/>
          <w:w w:val="105"/>
        </w:rPr>
        <w:tab/>
      </w:r>
      <w:r w:rsidR="00AB152C" w:rsidRPr="00C04EB0">
        <w:rPr>
          <w:rFonts w:asciiTheme="minorBidi" w:hAnsiTheme="minorBidi" w:cstheme="minorBidi"/>
          <w:w w:val="105"/>
        </w:rPr>
        <w:t xml:space="preserve">COBS </w:t>
      </w:r>
      <w:r w:rsidR="002E3FC1" w:rsidRPr="00C04EB0">
        <w:rPr>
          <w:rFonts w:asciiTheme="minorBidi" w:hAnsiTheme="minorBidi" w:cstheme="minorBidi"/>
          <w:w w:val="105"/>
        </w:rPr>
        <w:t xml:space="preserve">Rule </w:t>
      </w:r>
      <w:r w:rsidR="00AB152C" w:rsidRPr="00C04EB0">
        <w:rPr>
          <w:rFonts w:asciiTheme="minorBidi" w:hAnsiTheme="minorBidi" w:cstheme="minorBidi"/>
          <w:w w:val="105"/>
        </w:rPr>
        <w:t xml:space="preserve">3.2.1 requires an Authorised Person to take reasonable steps to ensure that </w:t>
      </w:r>
      <w:r w:rsidR="008B744A" w:rsidRPr="00C04EB0">
        <w:rPr>
          <w:rFonts w:asciiTheme="minorBidi" w:hAnsiTheme="minorBidi" w:cstheme="minorBidi"/>
          <w:w w:val="105"/>
        </w:rPr>
        <w:t xml:space="preserve">all </w:t>
      </w:r>
      <w:r w:rsidR="00AB152C" w:rsidRPr="00C04EB0">
        <w:rPr>
          <w:rFonts w:asciiTheme="minorBidi" w:hAnsiTheme="minorBidi" w:cstheme="minorBidi"/>
          <w:w w:val="105"/>
        </w:rPr>
        <w:t>communication</w:t>
      </w:r>
      <w:r w:rsidR="008B744A" w:rsidRPr="00C04EB0">
        <w:rPr>
          <w:rFonts w:asciiTheme="minorBidi" w:hAnsiTheme="minorBidi" w:cstheme="minorBidi"/>
          <w:w w:val="105"/>
        </w:rPr>
        <w:t>s</w:t>
      </w:r>
      <w:r w:rsidR="00AB152C" w:rsidRPr="00C04EB0">
        <w:rPr>
          <w:rFonts w:asciiTheme="minorBidi" w:hAnsiTheme="minorBidi" w:cstheme="minorBidi"/>
          <w:w w:val="105"/>
        </w:rPr>
        <w:t xml:space="preserve"> to a Person in relation to a Regulated Activity </w:t>
      </w:r>
      <w:r w:rsidR="008B744A" w:rsidRPr="00C04EB0">
        <w:rPr>
          <w:rFonts w:asciiTheme="minorBidi" w:hAnsiTheme="minorBidi" w:cstheme="minorBidi"/>
          <w:w w:val="105"/>
        </w:rPr>
        <w:t xml:space="preserve">are </w:t>
      </w:r>
      <w:r w:rsidR="00AB152C" w:rsidRPr="00C04EB0">
        <w:rPr>
          <w:rFonts w:asciiTheme="minorBidi" w:hAnsiTheme="minorBidi" w:cstheme="minorBidi"/>
          <w:w w:val="105"/>
        </w:rPr>
        <w:t xml:space="preserve">clear, </w:t>
      </w:r>
      <w:proofErr w:type="gramStart"/>
      <w:r w:rsidR="00AB152C" w:rsidRPr="00C04EB0">
        <w:rPr>
          <w:rFonts w:asciiTheme="minorBidi" w:hAnsiTheme="minorBidi" w:cstheme="minorBidi"/>
          <w:w w:val="105"/>
        </w:rPr>
        <w:t>fair</w:t>
      </w:r>
      <w:proofErr w:type="gramEnd"/>
      <w:r w:rsidR="00AB152C" w:rsidRPr="00C04EB0">
        <w:rPr>
          <w:rFonts w:asciiTheme="minorBidi" w:hAnsiTheme="minorBidi" w:cstheme="minorBidi"/>
          <w:w w:val="105"/>
        </w:rPr>
        <w:t xml:space="preserve"> and not misleading.</w:t>
      </w:r>
      <w:bookmarkEnd w:id="33"/>
      <w:r w:rsidR="002E2AF3" w:rsidRPr="00C04EB0">
        <w:rPr>
          <w:rFonts w:asciiTheme="minorBidi" w:hAnsiTheme="minorBidi" w:cstheme="minorBidi"/>
          <w:w w:val="105"/>
        </w:rPr>
        <w:t xml:space="preserve"> </w:t>
      </w:r>
    </w:p>
    <w:p w14:paraId="33032CCD" w14:textId="48F7B778" w:rsidR="00A72CAB" w:rsidRPr="00C04EB0" w:rsidRDefault="003E6100" w:rsidP="00023D47">
      <w:pPr>
        <w:ind w:left="709" w:hanging="709"/>
        <w:jc w:val="both"/>
        <w:rPr>
          <w:rFonts w:asciiTheme="minorBidi" w:hAnsiTheme="minorBidi" w:cstheme="minorBidi"/>
          <w:w w:val="105"/>
        </w:rPr>
      </w:pPr>
      <w:bookmarkStart w:id="34" w:name="_Toc116055908"/>
      <w:r w:rsidRPr="00C04EB0">
        <w:rPr>
          <w:rFonts w:asciiTheme="minorBidi" w:hAnsiTheme="minorBidi" w:cstheme="minorBidi"/>
          <w:w w:val="105"/>
        </w:rPr>
        <w:t>4</w:t>
      </w:r>
      <w:r w:rsidR="00C410F2" w:rsidRPr="00C04EB0">
        <w:rPr>
          <w:rFonts w:asciiTheme="minorBidi" w:hAnsiTheme="minorBidi" w:cstheme="minorBidi"/>
          <w:w w:val="105"/>
        </w:rPr>
        <w:t>.2</w:t>
      </w:r>
      <w:r w:rsidR="00C410F2" w:rsidRPr="00C04EB0">
        <w:rPr>
          <w:rFonts w:asciiTheme="minorBidi" w:hAnsiTheme="minorBidi" w:cstheme="minorBidi"/>
          <w:w w:val="105"/>
        </w:rPr>
        <w:tab/>
      </w:r>
      <w:r w:rsidR="002E2AF3" w:rsidRPr="00C04EB0">
        <w:rPr>
          <w:rFonts w:asciiTheme="minorBidi" w:hAnsiTheme="minorBidi" w:cstheme="minorBidi"/>
          <w:w w:val="105"/>
        </w:rPr>
        <w:t xml:space="preserve">The purpose </w:t>
      </w:r>
      <w:r w:rsidR="007D0A45" w:rsidRPr="00C04EB0">
        <w:rPr>
          <w:rFonts w:asciiTheme="minorBidi" w:hAnsiTheme="minorBidi" w:cstheme="minorBidi"/>
          <w:w w:val="105"/>
        </w:rPr>
        <w:t xml:space="preserve">of </w:t>
      </w:r>
      <w:r w:rsidR="002E2AF3" w:rsidRPr="00C04EB0">
        <w:rPr>
          <w:rFonts w:asciiTheme="minorBidi" w:hAnsiTheme="minorBidi" w:cstheme="minorBidi"/>
          <w:w w:val="105"/>
        </w:rPr>
        <w:t xml:space="preserve">the ADGM Green Portfolio Rules is to provide a framework for investment in assets whose activities are already environmentally sustainable, therefore helping to </w:t>
      </w:r>
      <w:r w:rsidR="002E3FC1" w:rsidRPr="00C04EB0">
        <w:rPr>
          <w:rFonts w:asciiTheme="minorBidi" w:hAnsiTheme="minorBidi" w:cstheme="minorBidi"/>
          <w:w w:val="105"/>
        </w:rPr>
        <w:t xml:space="preserve">achieve </w:t>
      </w:r>
      <w:r w:rsidR="002E2AF3" w:rsidRPr="00C04EB0">
        <w:rPr>
          <w:rFonts w:asciiTheme="minorBidi" w:hAnsiTheme="minorBidi" w:cstheme="minorBidi"/>
          <w:w w:val="105"/>
        </w:rPr>
        <w:t xml:space="preserve">local or global targets to reduce greenhouse gas emissions.  The ADGM Green Portfolio </w:t>
      </w:r>
      <w:r w:rsidR="00C17E41" w:rsidRPr="00C04EB0">
        <w:rPr>
          <w:rFonts w:asciiTheme="minorBidi" w:hAnsiTheme="minorBidi" w:cstheme="minorBidi"/>
          <w:w w:val="105"/>
        </w:rPr>
        <w:t>Rules</w:t>
      </w:r>
      <w:r w:rsidR="002E2AF3" w:rsidRPr="00C04EB0">
        <w:rPr>
          <w:rFonts w:asciiTheme="minorBidi" w:hAnsiTheme="minorBidi" w:cstheme="minorBidi"/>
          <w:w w:val="105"/>
        </w:rPr>
        <w:t xml:space="preserve"> only appl</w:t>
      </w:r>
      <w:r w:rsidR="00C17E41" w:rsidRPr="00C04EB0">
        <w:rPr>
          <w:rFonts w:asciiTheme="minorBidi" w:hAnsiTheme="minorBidi" w:cstheme="minorBidi"/>
          <w:w w:val="105"/>
        </w:rPr>
        <w:t>y</w:t>
      </w:r>
      <w:r w:rsidR="002E2AF3" w:rsidRPr="00C04EB0">
        <w:rPr>
          <w:rFonts w:asciiTheme="minorBidi" w:hAnsiTheme="minorBidi" w:cstheme="minorBidi"/>
          <w:w w:val="105"/>
        </w:rPr>
        <w:t xml:space="preserve"> to </w:t>
      </w:r>
      <w:r w:rsidR="009F6473" w:rsidRPr="00C04EB0">
        <w:rPr>
          <w:rFonts w:asciiTheme="minorBidi" w:hAnsiTheme="minorBidi" w:cstheme="minorBidi"/>
          <w:w w:val="105"/>
        </w:rPr>
        <w:t xml:space="preserve">a </w:t>
      </w:r>
      <w:r w:rsidR="002E2AF3" w:rsidRPr="00C04EB0">
        <w:rPr>
          <w:rFonts w:asciiTheme="minorBidi" w:hAnsiTheme="minorBidi" w:cstheme="minorBidi"/>
          <w:w w:val="105"/>
        </w:rPr>
        <w:t>Model Portfolio offered to one or more Retail Clients.</w:t>
      </w:r>
      <w:bookmarkEnd w:id="34"/>
    </w:p>
    <w:p w14:paraId="1BDA7CDB" w14:textId="4103C76A" w:rsidR="002E2AF3" w:rsidRPr="00C04EB0" w:rsidRDefault="003E6100" w:rsidP="00023D47">
      <w:pPr>
        <w:ind w:left="709" w:hanging="709"/>
        <w:jc w:val="both"/>
        <w:rPr>
          <w:rFonts w:asciiTheme="minorBidi" w:hAnsiTheme="minorBidi" w:cstheme="minorBidi"/>
          <w:w w:val="105"/>
        </w:rPr>
      </w:pPr>
      <w:bookmarkStart w:id="35" w:name="_Toc116055909"/>
      <w:r w:rsidRPr="00C04EB0">
        <w:rPr>
          <w:rFonts w:asciiTheme="minorBidi" w:hAnsiTheme="minorBidi" w:cstheme="minorBidi"/>
          <w:w w:val="105"/>
        </w:rPr>
        <w:t>4</w:t>
      </w:r>
      <w:r w:rsidR="00C410F2" w:rsidRPr="00C04EB0">
        <w:rPr>
          <w:rFonts w:asciiTheme="minorBidi" w:hAnsiTheme="minorBidi" w:cstheme="minorBidi"/>
          <w:w w:val="105"/>
        </w:rPr>
        <w:t>.3</w:t>
      </w:r>
      <w:r w:rsidR="00C410F2" w:rsidRPr="00C04EB0">
        <w:rPr>
          <w:rFonts w:asciiTheme="minorBidi" w:hAnsiTheme="minorBidi" w:cstheme="minorBidi"/>
          <w:w w:val="105"/>
        </w:rPr>
        <w:tab/>
      </w:r>
      <w:r w:rsidR="002E2AF3" w:rsidRPr="00C04EB0">
        <w:rPr>
          <w:rFonts w:asciiTheme="minorBidi" w:hAnsiTheme="minorBidi" w:cstheme="minorBidi"/>
          <w:w w:val="105"/>
        </w:rPr>
        <w:t xml:space="preserve">The purpose of the ADGM Climate Transition </w:t>
      </w:r>
      <w:r w:rsidR="001E4FFA" w:rsidRPr="00C04EB0">
        <w:rPr>
          <w:rFonts w:asciiTheme="minorBidi" w:hAnsiTheme="minorBidi" w:cstheme="minorBidi"/>
          <w:w w:val="105"/>
        </w:rPr>
        <w:t xml:space="preserve">Portfolio </w:t>
      </w:r>
      <w:r w:rsidR="002E2AF3" w:rsidRPr="00C04EB0">
        <w:rPr>
          <w:rFonts w:asciiTheme="minorBidi" w:hAnsiTheme="minorBidi" w:cstheme="minorBidi"/>
          <w:w w:val="105"/>
        </w:rPr>
        <w:t xml:space="preserve">Rules is to provide a framework for investment in assets whose activities are not currently considered environmentally sustainable, </w:t>
      </w:r>
      <w:proofErr w:type="gramStart"/>
      <w:r w:rsidR="002E2AF3" w:rsidRPr="00C04EB0">
        <w:rPr>
          <w:rFonts w:asciiTheme="minorBidi" w:hAnsiTheme="minorBidi" w:cstheme="minorBidi"/>
          <w:w w:val="105"/>
        </w:rPr>
        <w:t>in order to</w:t>
      </w:r>
      <w:proofErr w:type="gramEnd"/>
      <w:r w:rsidR="002E2AF3" w:rsidRPr="00C04EB0">
        <w:rPr>
          <w:rFonts w:asciiTheme="minorBidi" w:hAnsiTheme="minorBidi" w:cstheme="minorBidi"/>
          <w:w w:val="105"/>
        </w:rPr>
        <w:t xml:space="preserve"> finance their transition to become so. This will also help to achieve local or global targets to reduce greenhouse gas emissions.  The ADGM Climate Transition Portfolio Rules only apply to </w:t>
      </w:r>
      <w:r w:rsidR="009F6473" w:rsidRPr="00C04EB0">
        <w:rPr>
          <w:rFonts w:asciiTheme="minorBidi" w:hAnsiTheme="minorBidi" w:cstheme="minorBidi"/>
          <w:w w:val="105"/>
        </w:rPr>
        <w:t xml:space="preserve">a </w:t>
      </w:r>
      <w:r w:rsidR="002E2AF3" w:rsidRPr="00C04EB0">
        <w:rPr>
          <w:rFonts w:asciiTheme="minorBidi" w:hAnsiTheme="minorBidi" w:cstheme="minorBidi"/>
          <w:w w:val="105"/>
        </w:rPr>
        <w:t>Model Portfolio offered to one or more Retail Clients.</w:t>
      </w:r>
      <w:bookmarkEnd w:id="35"/>
    </w:p>
    <w:p w14:paraId="27F4A2DE" w14:textId="5C0F7BCB" w:rsidR="002E2AF3" w:rsidRPr="00C04EB0" w:rsidRDefault="003E6100" w:rsidP="00023D47">
      <w:pPr>
        <w:ind w:left="709" w:hanging="709"/>
        <w:jc w:val="both"/>
        <w:rPr>
          <w:rFonts w:asciiTheme="minorBidi" w:hAnsiTheme="minorBidi" w:cstheme="minorBidi"/>
          <w:w w:val="105"/>
        </w:rPr>
      </w:pPr>
      <w:bookmarkStart w:id="36" w:name="_Toc116055910"/>
      <w:r w:rsidRPr="00C04EB0">
        <w:rPr>
          <w:rFonts w:asciiTheme="minorBidi" w:hAnsiTheme="minorBidi" w:cstheme="minorBidi"/>
          <w:w w:val="105"/>
        </w:rPr>
        <w:t>4</w:t>
      </w:r>
      <w:r w:rsidR="00C410F2" w:rsidRPr="00C04EB0">
        <w:rPr>
          <w:rFonts w:asciiTheme="minorBidi" w:hAnsiTheme="minorBidi" w:cstheme="minorBidi"/>
          <w:w w:val="105"/>
        </w:rPr>
        <w:t>.4</w:t>
      </w:r>
      <w:r w:rsidR="00C410F2" w:rsidRPr="00C04EB0">
        <w:rPr>
          <w:rFonts w:asciiTheme="minorBidi" w:hAnsiTheme="minorBidi" w:cstheme="minorBidi"/>
          <w:w w:val="105"/>
        </w:rPr>
        <w:tab/>
      </w:r>
      <w:r w:rsidR="002E2AF3" w:rsidRPr="00C04EB0">
        <w:rPr>
          <w:rFonts w:asciiTheme="minorBidi" w:hAnsiTheme="minorBidi" w:cstheme="minorBidi"/>
          <w:w w:val="105"/>
        </w:rPr>
        <w:t xml:space="preserve">A </w:t>
      </w:r>
      <w:r w:rsidR="00B60A75" w:rsidRPr="00C04EB0">
        <w:rPr>
          <w:rFonts w:asciiTheme="minorBidi" w:hAnsiTheme="minorBidi" w:cstheme="minorBidi"/>
          <w:w w:val="105"/>
        </w:rPr>
        <w:t xml:space="preserve">Model </w:t>
      </w:r>
      <w:r w:rsidR="002E2AF3" w:rsidRPr="00C04EB0">
        <w:rPr>
          <w:rFonts w:asciiTheme="minorBidi" w:hAnsiTheme="minorBidi" w:cstheme="minorBidi"/>
          <w:w w:val="105"/>
        </w:rPr>
        <w:t xml:space="preserve">Portfolio which meets the ADGM Green Portfolio Rules </w:t>
      </w:r>
      <w:r w:rsidR="00B60A75" w:rsidRPr="00C04EB0">
        <w:rPr>
          <w:rFonts w:asciiTheme="minorBidi" w:hAnsiTheme="minorBidi" w:cstheme="minorBidi"/>
          <w:w w:val="105"/>
        </w:rPr>
        <w:t xml:space="preserve">or ADGM Climate Transition Portfolio Rules </w:t>
      </w:r>
      <w:r w:rsidR="002E2AF3" w:rsidRPr="00C04EB0">
        <w:rPr>
          <w:rFonts w:asciiTheme="minorBidi" w:hAnsiTheme="minorBidi" w:cstheme="minorBidi"/>
          <w:w w:val="105"/>
        </w:rPr>
        <w:t xml:space="preserve">may apply to the Regulator for </w:t>
      </w:r>
      <w:r w:rsidR="00F9332F" w:rsidRPr="00C04EB0">
        <w:rPr>
          <w:rFonts w:asciiTheme="minorBidi" w:hAnsiTheme="minorBidi" w:cstheme="minorBidi"/>
          <w:w w:val="105"/>
        </w:rPr>
        <w:t xml:space="preserve">an </w:t>
      </w:r>
      <w:r w:rsidR="002E2AF3" w:rsidRPr="00C04EB0">
        <w:rPr>
          <w:rFonts w:asciiTheme="minorBidi" w:hAnsiTheme="minorBidi" w:cstheme="minorBidi"/>
          <w:w w:val="105"/>
        </w:rPr>
        <w:t>ADGM Green Portfolio Designation</w:t>
      </w:r>
      <w:r w:rsidR="00B60A75" w:rsidRPr="00C04EB0">
        <w:rPr>
          <w:rFonts w:asciiTheme="minorBidi" w:hAnsiTheme="minorBidi" w:cstheme="minorBidi"/>
          <w:w w:val="105"/>
        </w:rPr>
        <w:t xml:space="preserve"> or ADGM Climate Transition Portfolio Designation</w:t>
      </w:r>
      <w:r w:rsidR="004F6E68" w:rsidRPr="00C04EB0">
        <w:rPr>
          <w:rFonts w:asciiTheme="minorBidi" w:hAnsiTheme="minorBidi" w:cstheme="minorBidi"/>
          <w:w w:val="105"/>
        </w:rPr>
        <w:t>,</w:t>
      </w:r>
      <w:r w:rsidR="00B60A75" w:rsidRPr="00C04EB0">
        <w:rPr>
          <w:rFonts w:asciiTheme="minorBidi" w:hAnsiTheme="minorBidi" w:cstheme="minorBidi"/>
          <w:w w:val="105"/>
        </w:rPr>
        <w:t xml:space="preserve"> as applicable</w:t>
      </w:r>
      <w:r w:rsidR="002E2AF3" w:rsidRPr="00C04EB0">
        <w:rPr>
          <w:rFonts w:asciiTheme="minorBidi" w:hAnsiTheme="minorBidi" w:cstheme="minorBidi"/>
          <w:w w:val="105"/>
        </w:rPr>
        <w:t xml:space="preserve">. An ADGM Green Portfolio Designation </w:t>
      </w:r>
      <w:r w:rsidR="001B5FA3" w:rsidRPr="00C04EB0">
        <w:rPr>
          <w:rFonts w:asciiTheme="minorBidi" w:hAnsiTheme="minorBidi" w:cstheme="minorBidi"/>
          <w:w w:val="105"/>
        </w:rPr>
        <w:t>or</w:t>
      </w:r>
      <w:r w:rsidR="00B60A75" w:rsidRPr="00C04EB0">
        <w:rPr>
          <w:rFonts w:asciiTheme="minorBidi" w:hAnsiTheme="minorBidi" w:cstheme="minorBidi"/>
          <w:w w:val="105"/>
        </w:rPr>
        <w:t xml:space="preserve"> ADGM Climate Transition Portfolio Designation </w:t>
      </w:r>
      <w:r w:rsidR="002E2AF3" w:rsidRPr="00C04EB0">
        <w:rPr>
          <w:rFonts w:asciiTheme="minorBidi" w:hAnsiTheme="minorBidi" w:cstheme="minorBidi"/>
          <w:w w:val="105"/>
        </w:rPr>
        <w:t xml:space="preserve">reflects that </w:t>
      </w:r>
      <w:r w:rsidR="00B60A75" w:rsidRPr="00C04EB0">
        <w:rPr>
          <w:rFonts w:asciiTheme="minorBidi" w:hAnsiTheme="minorBidi" w:cstheme="minorBidi"/>
          <w:w w:val="105"/>
        </w:rPr>
        <w:t>a Model P</w:t>
      </w:r>
      <w:r w:rsidR="002E2AF3" w:rsidRPr="00C04EB0">
        <w:rPr>
          <w:rFonts w:asciiTheme="minorBidi" w:hAnsiTheme="minorBidi" w:cstheme="minorBidi"/>
          <w:w w:val="105"/>
        </w:rPr>
        <w:t xml:space="preserve">ortfolio </w:t>
      </w:r>
      <w:r w:rsidR="00872C5F" w:rsidRPr="00C04EB0">
        <w:rPr>
          <w:rFonts w:asciiTheme="minorBidi" w:hAnsiTheme="minorBidi" w:cstheme="minorBidi"/>
          <w:w w:val="105"/>
        </w:rPr>
        <w:t xml:space="preserve">purports </w:t>
      </w:r>
      <w:r w:rsidR="009F2F2E" w:rsidRPr="00C04EB0">
        <w:rPr>
          <w:rFonts w:asciiTheme="minorBidi" w:hAnsiTheme="minorBidi" w:cstheme="minorBidi"/>
          <w:w w:val="105"/>
        </w:rPr>
        <w:t xml:space="preserve">to </w:t>
      </w:r>
      <w:r w:rsidR="002E2AF3" w:rsidRPr="00C04EB0">
        <w:rPr>
          <w:rFonts w:asciiTheme="minorBidi" w:hAnsiTheme="minorBidi" w:cstheme="minorBidi"/>
          <w:w w:val="105"/>
        </w:rPr>
        <w:t>adhere to the ADGM Green Portfolio Rules</w:t>
      </w:r>
      <w:r w:rsidR="00B60A75" w:rsidRPr="00C04EB0">
        <w:rPr>
          <w:rFonts w:asciiTheme="minorBidi" w:hAnsiTheme="minorBidi" w:cstheme="minorBidi"/>
          <w:w w:val="105"/>
        </w:rPr>
        <w:t xml:space="preserve"> </w:t>
      </w:r>
      <w:r w:rsidR="001B5FA3" w:rsidRPr="00C04EB0">
        <w:rPr>
          <w:rFonts w:asciiTheme="minorBidi" w:hAnsiTheme="minorBidi" w:cstheme="minorBidi"/>
          <w:w w:val="105"/>
        </w:rPr>
        <w:t>or</w:t>
      </w:r>
      <w:r w:rsidR="00B771ED" w:rsidRPr="00C04EB0">
        <w:rPr>
          <w:rFonts w:asciiTheme="minorBidi" w:hAnsiTheme="minorBidi" w:cstheme="minorBidi"/>
          <w:w w:val="105"/>
        </w:rPr>
        <w:t xml:space="preserve"> ADGM Climate Transition Portfolio Rules</w:t>
      </w:r>
      <w:r w:rsidR="001B5FA3" w:rsidRPr="00C04EB0">
        <w:rPr>
          <w:rFonts w:asciiTheme="minorBidi" w:hAnsiTheme="minorBidi" w:cstheme="minorBidi"/>
          <w:w w:val="105"/>
        </w:rPr>
        <w:t xml:space="preserve"> respectively</w:t>
      </w:r>
      <w:r w:rsidR="002E2AF3" w:rsidRPr="00C04EB0">
        <w:rPr>
          <w:rFonts w:asciiTheme="minorBidi" w:hAnsiTheme="minorBidi" w:cstheme="minorBidi"/>
          <w:w w:val="105"/>
        </w:rPr>
        <w:t xml:space="preserve">. </w:t>
      </w:r>
      <w:r w:rsidR="009D267F" w:rsidRPr="00C04EB0">
        <w:rPr>
          <w:rFonts w:asciiTheme="minorBidi" w:hAnsiTheme="minorBidi" w:cstheme="minorBidi"/>
          <w:w w:val="105"/>
        </w:rPr>
        <w:t xml:space="preserve">It is not an assurance or guarantee from the Regulator that a </w:t>
      </w:r>
      <w:r w:rsidR="007A045B" w:rsidRPr="00C04EB0">
        <w:rPr>
          <w:rFonts w:asciiTheme="minorBidi" w:hAnsiTheme="minorBidi" w:cstheme="minorBidi"/>
          <w:w w:val="105"/>
        </w:rPr>
        <w:t>Model Portfolio</w:t>
      </w:r>
      <w:r w:rsidR="009D267F" w:rsidRPr="00C04EB0">
        <w:rPr>
          <w:rFonts w:asciiTheme="minorBidi" w:hAnsiTheme="minorBidi" w:cstheme="minorBidi"/>
          <w:w w:val="105"/>
        </w:rPr>
        <w:t xml:space="preserve"> </w:t>
      </w:r>
      <w:proofErr w:type="gramStart"/>
      <w:r w:rsidR="009D267F" w:rsidRPr="00C04EB0">
        <w:rPr>
          <w:rFonts w:asciiTheme="minorBidi" w:hAnsiTheme="minorBidi" w:cstheme="minorBidi"/>
          <w:w w:val="105"/>
        </w:rPr>
        <w:t>is in compliance with</w:t>
      </w:r>
      <w:proofErr w:type="gramEnd"/>
      <w:r w:rsidR="009D267F" w:rsidRPr="00C04EB0">
        <w:rPr>
          <w:rFonts w:asciiTheme="minorBidi" w:hAnsiTheme="minorBidi" w:cstheme="minorBidi"/>
          <w:w w:val="105"/>
        </w:rPr>
        <w:t xml:space="preserve"> the applicable Rules. </w:t>
      </w:r>
      <w:r w:rsidR="007A045B" w:rsidRPr="00C04EB0">
        <w:rPr>
          <w:rFonts w:asciiTheme="minorBidi" w:hAnsiTheme="minorBidi" w:cstheme="minorBidi"/>
          <w:w w:val="105"/>
        </w:rPr>
        <w:t xml:space="preserve">Model </w:t>
      </w:r>
      <w:r w:rsidR="002E2AF3" w:rsidRPr="00C04EB0">
        <w:rPr>
          <w:rFonts w:asciiTheme="minorBidi" w:hAnsiTheme="minorBidi" w:cstheme="minorBidi"/>
          <w:w w:val="105"/>
        </w:rPr>
        <w:t>Portfolios granted an ADGM Green Portfolio Designation</w:t>
      </w:r>
      <w:r w:rsidR="00F46A36" w:rsidRPr="00C04EB0">
        <w:rPr>
          <w:rFonts w:asciiTheme="minorBidi" w:hAnsiTheme="minorBidi" w:cstheme="minorBidi"/>
          <w:w w:val="105"/>
        </w:rPr>
        <w:t xml:space="preserve"> </w:t>
      </w:r>
      <w:r w:rsidR="00EA082D" w:rsidRPr="00C04EB0">
        <w:rPr>
          <w:rFonts w:asciiTheme="minorBidi" w:hAnsiTheme="minorBidi" w:cstheme="minorBidi"/>
          <w:w w:val="105"/>
        </w:rPr>
        <w:t>or</w:t>
      </w:r>
      <w:r w:rsidR="00B771ED" w:rsidRPr="00C04EB0">
        <w:rPr>
          <w:rFonts w:asciiTheme="minorBidi" w:hAnsiTheme="minorBidi" w:cstheme="minorBidi"/>
          <w:w w:val="105"/>
        </w:rPr>
        <w:t xml:space="preserve"> ADGM Climate Transition Portfolio Designation </w:t>
      </w:r>
      <w:r w:rsidR="00EF282B" w:rsidRPr="00C04EB0">
        <w:rPr>
          <w:rFonts w:asciiTheme="minorBidi" w:hAnsiTheme="minorBidi" w:cstheme="minorBidi"/>
          <w:w w:val="105"/>
        </w:rPr>
        <w:t xml:space="preserve">may receive permission from the Regulator </w:t>
      </w:r>
      <w:r w:rsidR="002E2AF3" w:rsidRPr="00C04EB0">
        <w:rPr>
          <w:rFonts w:asciiTheme="minorBidi" w:hAnsiTheme="minorBidi" w:cstheme="minorBidi"/>
          <w:w w:val="105"/>
        </w:rPr>
        <w:t xml:space="preserve">to use the ADGM Green Portfolio </w:t>
      </w:r>
      <w:r w:rsidR="00F63999" w:rsidRPr="00C04EB0">
        <w:rPr>
          <w:rFonts w:asciiTheme="minorBidi" w:hAnsiTheme="minorBidi" w:cstheme="minorBidi"/>
          <w:w w:val="105"/>
        </w:rPr>
        <w:t xml:space="preserve">mark </w:t>
      </w:r>
      <w:r w:rsidR="00B771ED" w:rsidRPr="00C04EB0">
        <w:rPr>
          <w:rFonts w:asciiTheme="minorBidi" w:hAnsiTheme="minorBidi" w:cstheme="minorBidi"/>
          <w:w w:val="105"/>
        </w:rPr>
        <w:t xml:space="preserve">or ADGM Climate Transition Portfolio </w:t>
      </w:r>
      <w:r w:rsidR="00F63999" w:rsidRPr="00C04EB0">
        <w:rPr>
          <w:rFonts w:asciiTheme="minorBidi" w:hAnsiTheme="minorBidi" w:cstheme="minorBidi"/>
          <w:w w:val="105"/>
        </w:rPr>
        <w:t xml:space="preserve">mark </w:t>
      </w:r>
      <w:r w:rsidR="00B771ED" w:rsidRPr="00C04EB0">
        <w:rPr>
          <w:rFonts w:asciiTheme="minorBidi" w:hAnsiTheme="minorBidi" w:cstheme="minorBidi"/>
          <w:w w:val="105"/>
        </w:rPr>
        <w:t>(as appropriate)</w:t>
      </w:r>
      <w:r w:rsidR="002E2AF3" w:rsidRPr="00C04EB0">
        <w:rPr>
          <w:rFonts w:asciiTheme="minorBidi" w:hAnsiTheme="minorBidi" w:cstheme="minorBidi"/>
          <w:w w:val="105"/>
        </w:rPr>
        <w:t>.</w:t>
      </w:r>
      <w:bookmarkEnd w:id="36"/>
      <w:r w:rsidR="002E2AF3" w:rsidRPr="00C04EB0">
        <w:rPr>
          <w:rFonts w:asciiTheme="minorBidi" w:hAnsiTheme="minorBidi" w:cstheme="minorBidi"/>
          <w:w w:val="105"/>
        </w:rPr>
        <w:t xml:space="preserve"> </w:t>
      </w:r>
    </w:p>
    <w:p w14:paraId="2C1B83EB" w14:textId="457E1976" w:rsidR="002E2AF3" w:rsidRPr="00C04EB0" w:rsidRDefault="003E6100" w:rsidP="00023D47">
      <w:pPr>
        <w:ind w:left="709" w:hanging="709"/>
        <w:jc w:val="both"/>
        <w:rPr>
          <w:rFonts w:asciiTheme="minorBidi" w:hAnsiTheme="minorBidi" w:cstheme="minorBidi"/>
          <w:w w:val="105"/>
        </w:rPr>
      </w:pPr>
      <w:bookmarkStart w:id="37" w:name="_Toc116055912"/>
      <w:bookmarkStart w:id="38" w:name="_Hlk114830397"/>
      <w:r w:rsidRPr="00C04EB0">
        <w:rPr>
          <w:rFonts w:asciiTheme="minorBidi" w:hAnsiTheme="minorBidi" w:cstheme="minorBidi"/>
        </w:rPr>
        <w:t>4</w:t>
      </w:r>
      <w:r w:rsidR="00C410F2" w:rsidRPr="00C04EB0">
        <w:rPr>
          <w:rFonts w:asciiTheme="minorBidi" w:hAnsiTheme="minorBidi" w:cstheme="minorBidi"/>
        </w:rPr>
        <w:t>.5</w:t>
      </w:r>
      <w:r w:rsidR="00C410F2" w:rsidRPr="00C04EB0">
        <w:rPr>
          <w:rFonts w:asciiTheme="minorBidi" w:hAnsiTheme="minorBidi" w:cstheme="minorBidi"/>
        </w:rPr>
        <w:tab/>
      </w:r>
      <w:r w:rsidR="00FB02C0" w:rsidRPr="00C04EB0">
        <w:rPr>
          <w:rFonts w:asciiTheme="minorBidi" w:hAnsiTheme="minorBidi" w:cstheme="minorBidi"/>
        </w:rPr>
        <w:t xml:space="preserve">Authorised Persons may elect to use the ADGM Green Portfolio </w:t>
      </w:r>
      <w:r w:rsidR="00F63999" w:rsidRPr="00C04EB0">
        <w:rPr>
          <w:rFonts w:asciiTheme="minorBidi" w:hAnsiTheme="minorBidi" w:cstheme="minorBidi"/>
        </w:rPr>
        <w:t xml:space="preserve">mark </w:t>
      </w:r>
      <w:r w:rsidR="00FB02C0" w:rsidRPr="00C04EB0">
        <w:rPr>
          <w:rFonts w:asciiTheme="minorBidi" w:hAnsiTheme="minorBidi" w:cstheme="minorBidi"/>
        </w:rPr>
        <w:t xml:space="preserve">or the ADGM Climate Transition Portfolio </w:t>
      </w:r>
      <w:r w:rsidR="00F63999" w:rsidRPr="00C04EB0">
        <w:rPr>
          <w:rFonts w:asciiTheme="minorBidi" w:hAnsiTheme="minorBidi" w:cstheme="minorBidi"/>
        </w:rPr>
        <w:t xml:space="preserve">mark </w:t>
      </w:r>
      <w:r w:rsidR="00FB02C0" w:rsidRPr="00C04EB0">
        <w:rPr>
          <w:rFonts w:asciiTheme="minorBidi" w:hAnsiTheme="minorBidi" w:cstheme="minorBidi"/>
        </w:rPr>
        <w:t xml:space="preserve">to indicate to </w:t>
      </w:r>
      <w:r w:rsidR="00F74405" w:rsidRPr="00C04EB0">
        <w:rPr>
          <w:rFonts w:asciiTheme="minorBidi" w:hAnsiTheme="minorBidi" w:cstheme="minorBidi"/>
        </w:rPr>
        <w:t xml:space="preserve">actual or </w:t>
      </w:r>
      <w:r w:rsidR="00FB02C0" w:rsidRPr="00C04EB0">
        <w:rPr>
          <w:rFonts w:asciiTheme="minorBidi" w:hAnsiTheme="minorBidi" w:cstheme="minorBidi"/>
        </w:rPr>
        <w:t xml:space="preserve">prospective Clients that the </w:t>
      </w:r>
      <w:r w:rsidR="0006484F" w:rsidRPr="00C04EB0">
        <w:rPr>
          <w:rFonts w:asciiTheme="minorBidi" w:hAnsiTheme="minorBidi" w:cstheme="minorBidi"/>
        </w:rPr>
        <w:t>Model Portfolio</w:t>
      </w:r>
      <w:r w:rsidR="00FB02C0" w:rsidRPr="00C04EB0">
        <w:rPr>
          <w:rFonts w:asciiTheme="minorBidi" w:hAnsiTheme="minorBidi" w:cstheme="minorBidi"/>
        </w:rPr>
        <w:t xml:space="preserve"> meets the criteria of an ADGM Green Portfolio or an ADGM Climate Transition Portfolio.</w:t>
      </w:r>
      <w:bookmarkEnd w:id="37"/>
      <w:r w:rsidR="002E2AF3" w:rsidRPr="00C04EB0">
        <w:rPr>
          <w:rFonts w:asciiTheme="minorBidi" w:hAnsiTheme="minorBidi" w:cstheme="minorBidi"/>
        </w:rPr>
        <w:t xml:space="preserve"> </w:t>
      </w:r>
    </w:p>
    <w:p w14:paraId="36A0A91C" w14:textId="27ED08D5" w:rsidR="002E2AF3" w:rsidRPr="00C04EB0" w:rsidRDefault="003E6100" w:rsidP="00023D47">
      <w:pPr>
        <w:ind w:left="709" w:hanging="709"/>
        <w:jc w:val="both"/>
        <w:rPr>
          <w:rFonts w:asciiTheme="minorBidi" w:hAnsiTheme="minorBidi" w:cstheme="minorBidi"/>
          <w:w w:val="105"/>
        </w:rPr>
      </w:pPr>
      <w:bookmarkStart w:id="39" w:name="_Toc116055913"/>
      <w:bookmarkEnd w:id="38"/>
      <w:r w:rsidRPr="00C04EB0">
        <w:rPr>
          <w:rFonts w:asciiTheme="minorBidi" w:hAnsiTheme="minorBidi" w:cstheme="minorBidi"/>
        </w:rPr>
        <w:lastRenderedPageBreak/>
        <w:t>4</w:t>
      </w:r>
      <w:r w:rsidR="00C410F2" w:rsidRPr="00C04EB0">
        <w:rPr>
          <w:rFonts w:asciiTheme="minorBidi" w:hAnsiTheme="minorBidi" w:cstheme="minorBidi"/>
        </w:rPr>
        <w:t>.6</w:t>
      </w:r>
      <w:r w:rsidR="00C410F2" w:rsidRPr="00C04EB0">
        <w:rPr>
          <w:rFonts w:asciiTheme="minorBidi" w:hAnsiTheme="minorBidi" w:cstheme="minorBidi"/>
        </w:rPr>
        <w:tab/>
      </w:r>
      <w:r w:rsidR="002E2AF3" w:rsidRPr="00C04EB0">
        <w:rPr>
          <w:rFonts w:asciiTheme="minorBidi" w:hAnsiTheme="minorBidi" w:cstheme="minorBidi"/>
        </w:rPr>
        <w:t xml:space="preserve">Authorised Persons are not required under FSMR or </w:t>
      </w:r>
      <w:r w:rsidR="00796A80" w:rsidRPr="00C04EB0">
        <w:rPr>
          <w:rFonts w:asciiTheme="minorBidi" w:hAnsiTheme="minorBidi" w:cstheme="minorBidi"/>
        </w:rPr>
        <w:t xml:space="preserve">applicable </w:t>
      </w:r>
      <w:r w:rsidR="002E2AF3" w:rsidRPr="00C04EB0">
        <w:rPr>
          <w:rFonts w:asciiTheme="minorBidi" w:hAnsiTheme="minorBidi" w:cstheme="minorBidi"/>
        </w:rPr>
        <w:t xml:space="preserve">Rules to use the ADGM Green Portfolio </w:t>
      </w:r>
      <w:r w:rsidR="00F63999" w:rsidRPr="00C04EB0">
        <w:rPr>
          <w:rFonts w:asciiTheme="minorBidi" w:hAnsiTheme="minorBidi" w:cstheme="minorBidi"/>
        </w:rPr>
        <w:t xml:space="preserve">mark </w:t>
      </w:r>
      <w:r w:rsidR="002E2AF3" w:rsidRPr="00C04EB0">
        <w:rPr>
          <w:rFonts w:asciiTheme="minorBidi" w:hAnsiTheme="minorBidi" w:cstheme="minorBidi"/>
        </w:rPr>
        <w:t xml:space="preserve">or the ADGM Climate Transition Portfolio </w:t>
      </w:r>
      <w:r w:rsidR="00F63999" w:rsidRPr="00C04EB0">
        <w:rPr>
          <w:rFonts w:asciiTheme="minorBidi" w:hAnsiTheme="minorBidi" w:cstheme="minorBidi"/>
        </w:rPr>
        <w:t xml:space="preserve">mark </w:t>
      </w:r>
      <w:r w:rsidR="002E2AF3" w:rsidRPr="00C04EB0">
        <w:rPr>
          <w:rFonts w:asciiTheme="minorBidi" w:hAnsiTheme="minorBidi" w:cstheme="minorBidi"/>
        </w:rPr>
        <w:t xml:space="preserve">in any marketing materials or Discretionary Portfolio Management Agreement relating to a </w:t>
      </w:r>
      <w:r w:rsidR="0006484F" w:rsidRPr="00C04EB0">
        <w:rPr>
          <w:rFonts w:asciiTheme="minorBidi" w:hAnsiTheme="minorBidi" w:cstheme="minorBidi"/>
        </w:rPr>
        <w:t>Model Portfolio</w:t>
      </w:r>
      <w:r w:rsidR="002E2AF3" w:rsidRPr="00C04EB0">
        <w:rPr>
          <w:rFonts w:asciiTheme="minorBidi" w:hAnsiTheme="minorBidi" w:cstheme="minorBidi"/>
        </w:rPr>
        <w:t>.</w:t>
      </w:r>
      <w:bookmarkEnd w:id="39"/>
      <w:r w:rsidR="002E2AF3" w:rsidRPr="00C04EB0">
        <w:rPr>
          <w:rFonts w:asciiTheme="minorBidi" w:hAnsiTheme="minorBidi" w:cstheme="minorBidi"/>
        </w:rPr>
        <w:t xml:space="preserve"> </w:t>
      </w:r>
    </w:p>
    <w:p w14:paraId="0FBF73F7" w14:textId="23F95ED4" w:rsidR="002E2AF3" w:rsidRPr="00C04EB0" w:rsidRDefault="003E6100" w:rsidP="00023D47">
      <w:pPr>
        <w:ind w:left="709" w:hanging="709"/>
        <w:jc w:val="both"/>
        <w:rPr>
          <w:rFonts w:asciiTheme="minorBidi" w:hAnsiTheme="minorBidi" w:cstheme="minorBidi"/>
          <w:w w:val="105"/>
        </w:rPr>
      </w:pPr>
      <w:bookmarkStart w:id="40" w:name="_Toc116055914"/>
      <w:r w:rsidRPr="00C04EB0">
        <w:rPr>
          <w:rFonts w:asciiTheme="minorBidi" w:hAnsiTheme="minorBidi" w:cstheme="minorBidi"/>
        </w:rPr>
        <w:t>4</w:t>
      </w:r>
      <w:r w:rsidR="00C410F2" w:rsidRPr="00C04EB0">
        <w:rPr>
          <w:rFonts w:asciiTheme="minorBidi" w:hAnsiTheme="minorBidi" w:cstheme="minorBidi"/>
        </w:rPr>
        <w:t>.7</w:t>
      </w:r>
      <w:r w:rsidR="00C410F2" w:rsidRPr="00C04EB0">
        <w:rPr>
          <w:rFonts w:asciiTheme="minorBidi" w:hAnsiTheme="minorBidi" w:cstheme="minorBidi"/>
        </w:rPr>
        <w:tab/>
      </w:r>
      <w:r w:rsidR="002E2AF3" w:rsidRPr="00C04EB0">
        <w:rPr>
          <w:rFonts w:asciiTheme="minorBidi" w:hAnsiTheme="minorBidi" w:cstheme="minorBidi"/>
        </w:rPr>
        <w:t xml:space="preserve">As a result, the requirements set out in COBS </w:t>
      </w:r>
      <w:r w:rsidR="00227B60" w:rsidRPr="00C04EB0">
        <w:rPr>
          <w:rFonts w:asciiTheme="minorBidi" w:hAnsiTheme="minorBidi" w:cstheme="minorBidi"/>
        </w:rPr>
        <w:t xml:space="preserve">section </w:t>
      </w:r>
      <w:r w:rsidR="002E2AF3" w:rsidRPr="00C04EB0">
        <w:rPr>
          <w:rFonts w:asciiTheme="minorBidi" w:hAnsiTheme="minorBidi" w:cstheme="minorBidi"/>
        </w:rPr>
        <w:t>3.</w:t>
      </w:r>
      <w:r w:rsidR="000F36E7" w:rsidRPr="00C04EB0">
        <w:rPr>
          <w:rFonts w:asciiTheme="minorBidi" w:hAnsiTheme="minorBidi" w:cstheme="minorBidi"/>
        </w:rPr>
        <w:t>8</w:t>
      </w:r>
      <w:r w:rsidR="002E2AF3" w:rsidRPr="00C04EB0">
        <w:rPr>
          <w:rFonts w:asciiTheme="minorBidi" w:hAnsiTheme="minorBidi" w:cstheme="minorBidi"/>
        </w:rPr>
        <w:t xml:space="preserve"> will not apply to any Person that does not seek to obtain the ADGM Green Portfolio Designation or the ADGM Climate Transition Portfolio Designation.</w:t>
      </w:r>
      <w:bookmarkEnd w:id="40"/>
      <w:r w:rsidR="002E2AF3" w:rsidRPr="00C04EB0">
        <w:rPr>
          <w:rFonts w:asciiTheme="minorBidi" w:hAnsiTheme="minorBidi" w:cstheme="minorBidi"/>
        </w:rPr>
        <w:t xml:space="preserve"> </w:t>
      </w:r>
      <w:bookmarkStart w:id="41" w:name="_Toc116055915"/>
      <w:r w:rsidR="002E2AF3" w:rsidRPr="00C04EB0">
        <w:rPr>
          <w:rFonts w:asciiTheme="minorBidi" w:hAnsiTheme="minorBidi" w:cstheme="minorBidi"/>
        </w:rPr>
        <w:t xml:space="preserve">However, the Regulator considers </w:t>
      </w:r>
      <w:r w:rsidR="00DD4B95" w:rsidRPr="00C04EB0">
        <w:rPr>
          <w:rFonts w:asciiTheme="minorBidi" w:hAnsiTheme="minorBidi" w:cstheme="minorBidi"/>
        </w:rPr>
        <w:t>g</w:t>
      </w:r>
      <w:r w:rsidR="002E2AF3" w:rsidRPr="00C04EB0">
        <w:rPr>
          <w:rFonts w:asciiTheme="minorBidi" w:hAnsiTheme="minorBidi" w:cstheme="minorBidi"/>
        </w:rPr>
        <w:t xml:space="preserve">reenwashing to present a material risk to its objectives </w:t>
      </w:r>
      <w:r w:rsidR="00DD4B95" w:rsidRPr="00C04EB0">
        <w:rPr>
          <w:rFonts w:asciiTheme="minorBidi" w:hAnsiTheme="minorBidi" w:cstheme="minorBidi"/>
        </w:rPr>
        <w:t xml:space="preserve">as </w:t>
      </w:r>
      <w:r w:rsidR="002E2AF3" w:rsidRPr="00C04EB0">
        <w:rPr>
          <w:rFonts w:asciiTheme="minorBidi" w:hAnsiTheme="minorBidi" w:cstheme="minorBidi"/>
        </w:rPr>
        <w:t xml:space="preserve">set out in FSMR. Authorised Persons electing not to obtain the ADGM Green Portfolio Designation or the ADGM Climate Transition Portfolio Designation and </w:t>
      </w:r>
      <w:r w:rsidR="00311A76" w:rsidRPr="00C04EB0">
        <w:rPr>
          <w:rFonts w:asciiTheme="minorBidi" w:hAnsiTheme="minorBidi" w:cstheme="minorBidi"/>
        </w:rPr>
        <w:t xml:space="preserve">that </w:t>
      </w:r>
      <w:r w:rsidR="002E2AF3" w:rsidRPr="00C04EB0">
        <w:rPr>
          <w:rFonts w:asciiTheme="minorBidi" w:hAnsiTheme="minorBidi" w:cstheme="minorBidi"/>
        </w:rPr>
        <w:t xml:space="preserve">otherwise indicate that a </w:t>
      </w:r>
      <w:r w:rsidR="0006484F" w:rsidRPr="00C04EB0">
        <w:rPr>
          <w:rFonts w:asciiTheme="minorBidi" w:hAnsiTheme="minorBidi" w:cstheme="minorBidi"/>
        </w:rPr>
        <w:t>Model Portfolio</w:t>
      </w:r>
      <w:r w:rsidR="002E2AF3" w:rsidRPr="00C04EB0">
        <w:rPr>
          <w:rFonts w:asciiTheme="minorBidi" w:hAnsiTheme="minorBidi" w:cstheme="minorBidi"/>
        </w:rPr>
        <w:t xml:space="preserve"> is pursuing </w:t>
      </w:r>
      <w:proofErr w:type="gramStart"/>
      <w:r w:rsidR="002E2AF3" w:rsidRPr="00C04EB0">
        <w:rPr>
          <w:rFonts w:asciiTheme="minorBidi" w:hAnsiTheme="minorBidi" w:cstheme="minorBidi"/>
        </w:rPr>
        <w:t>green</w:t>
      </w:r>
      <w:proofErr w:type="gramEnd"/>
      <w:r w:rsidR="002E2AF3" w:rsidRPr="00C04EB0">
        <w:rPr>
          <w:rFonts w:asciiTheme="minorBidi" w:hAnsiTheme="minorBidi" w:cstheme="minorBidi"/>
        </w:rPr>
        <w:t xml:space="preserve"> or climate transition objectives should </w:t>
      </w:r>
      <w:r w:rsidR="006F3786" w:rsidRPr="00C04EB0">
        <w:rPr>
          <w:rFonts w:asciiTheme="minorBidi" w:hAnsiTheme="minorBidi" w:cstheme="minorBidi"/>
          <w:w w:val="105"/>
        </w:rPr>
        <w:t>avoid using a name that suggests it is an ADGM Green Portfolio or ADGM Climate Transition Portfolio</w:t>
      </w:r>
      <w:r w:rsidR="002E2AF3" w:rsidRPr="00C04EB0">
        <w:rPr>
          <w:rFonts w:asciiTheme="minorBidi" w:hAnsiTheme="minorBidi" w:cstheme="minorBidi"/>
        </w:rPr>
        <w:t>.</w:t>
      </w:r>
      <w:bookmarkEnd w:id="41"/>
    </w:p>
    <w:p w14:paraId="3ED07717" w14:textId="4C0B2E36" w:rsidR="002E2AF3" w:rsidRPr="00C04EB0" w:rsidRDefault="002E2AF3" w:rsidP="007A686C">
      <w:pPr>
        <w:keepNext/>
        <w:spacing w:after="240" w:line="246" w:lineRule="atLeast"/>
        <w:jc w:val="both"/>
        <w:rPr>
          <w:rFonts w:asciiTheme="minorBidi" w:hAnsiTheme="minorBidi" w:cstheme="minorBidi"/>
          <w:b/>
          <w:bCs/>
          <w:w w:val="105"/>
        </w:rPr>
      </w:pPr>
      <w:r w:rsidRPr="00C04EB0">
        <w:rPr>
          <w:rFonts w:asciiTheme="minorBidi" w:hAnsiTheme="minorBidi" w:cstheme="minorBidi"/>
          <w:b/>
          <w:bCs/>
          <w:w w:val="105"/>
        </w:rPr>
        <w:t xml:space="preserve">Green Portfolio Investment </w:t>
      </w:r>
      <w:r w:rsidR="008540A8" w:rsidRPr="00C04EB0">
        <w:rPr>
          <w:rFonts w:asciiTheme="minorBidi" w:hAnsiTheme="minorBidi" w:cstheme="minorBidi"/>
          <w:b/>
          <w:bCs/>
          <w:w w:val="105"/>
        </w:rPr>
        <w:t>R</w:t>
      </w:r>
      <w:r w:rsidRPr="00C04EB0">
        <w:rPr>
          <w:rFonts w:asciiTheme="minorBidi" w:hAnsiTheme="minorBidi" w:cstheme="minorBidi"/>
          <w:b/>
          <w:bCs/>
          <w:w w:val="105"/>
        </w:rPr>
        <w:t>equirement</w:t>
      </w:r>
    </w:p>
    <w:p w14:paraId="4D345364" w14:textId="225CA290" w:rsidR="00AD708F" w:rsidRPr="00C04EB0" w:rsidRDefault="003E6100" w:rsidP="005C7C7B">
      <w:pPr>
        <w:ind w:left="709" w:hanging="709"/>
        <w:jc w:val="both"/>
        <w:rPr>
          <w:rFonts w:asciiTheme="minorBidi" w:hAnsiTheme="minorBidi" w:cstheme="minorBidi"/>
          <w:w w:val="105"/>
        </w:rPr>
      </w:pPr>
      <w:bookmarkStart w:id="42" w:name="_Toc116055916"/>
      <w:r w:rsidRPr="00C04EB0">
        <w:rPr>
          <w:rFonts w:asciiTheme="minorBidi" w:hAnsiTheme="minorBidi" w:cstheme="minorBidi"/>
        </w:rPr>
        <w:t>4</w:t>
      </w:r>
      <w:r w:rsidR="00AD6FA4" w:rsidRPr="00C04EB0">
        <w:rPr>
          <w:rFonts w:asciiTheme="minorBidi" w:hAnsiTheme="minorBidi" w:cstheme="minorBidi"/>
        </w:rPr>
        <w:t>.9</w:t>
      </w:r>
      <w:r w:rsidR="00AD6FA4" w:rsidRPr="00C04EB0">
        <w:rPr>
          <w:rFonts w:asciiTheme="minorBidi" w:hAnsiTheme="minorBidi" w:cstheme="minorBidi"/>
        </w:rPr>
        <w:tab/>
      </w:r>
      <w:r w:rsidR="002E2AF3" w:rsidRPr="00C04EB0">
        <w:rPr>
          <w:rFonts w:asciiTheme="minorBidi" w:hAnsiTheme="minorBidi" w:cstheme="minorBidi"/>
        </w:rPr>
        <w:t xml:space="preserve">An ADGM Green Portfolio must invest predominantly in assets meeting the Green Portfolio Investment </w:t>
      </w:r>
      <w:r w:rsidR="0006484F" w:rsidRPr="00C04EB0">
        <w:rPr>
          <w:rFonts w:asciiTheme="minorBidi" w:hAnsiTheme="minorBidi" w:cstheme="minorBidi"/>
        </w:rPr>
        <w:t>R</w:t>
      </w:r>
      <w:r w:rsidR="002E2AF3" w:rsidRPr="00C04EB0">
        <w:rPr>
          <w:rFonts w:asciiTheme="minorBidi" w:hAnsiTheme="minorBidi" w:cstheme="minorBidi"/>
        </w:rPr>
        <w:t>equirement</w:t>
      </w:r>
      <w:r w:rsidR="00DD4B95" w:rsidRPr="00C04EB0">
        <w:rPr>
          <w:rFonts w:asciiTheme="minorBidi" w:hAnsiTheme="minorBidi" w:cstheme="minorBidi"/>
        </w:rPr>
        <w:t>,</w:t>
      </w:r>
      <w:r w:rsidR="0029659E" w:rsidRPr="00C04EB0">
        <w:rPr>
          <w:rFonts w:asciiTheme="minorBidi" w:hAnsiTheme="minorBidi" w:cstheme="minorBidi"/>
        </w:rPr>
        <w:t xml:space="preserve"> </w:t>
      </w:r>
      <w:r w:rsidR="00DD4B95" w:rsidRPr="00C04EB0">
        <w:rPr>
          <w:rFonts w:asciiTheme="minorBidi" w:hAnsiTheme="minorBidi" w:cstheme="minorBidi"/>
        </w:rPr>
        <w:t xml:space="preserve">i.e. </w:t>
      </w:r>
      <w:r w:rsidR="0029659E" w:rsidRPr="00C04EB0">
        <w:rPr>
          <w:rFonts w:asciiTheme="minorBidi" w:hAnsiTheme="minorBidi" w:cstheme="minorBidi"/>
        </w:rPr>
        <w:t>assets which meet the definition of an Eligible Green Portfolio Asset in COBS Rule 3.8.4</w:t>
      </w:r>
      <w:r w:rsidR="002E2AF3" w:rsidRPr="00C04EB0">
        <w:rPr>
          <w:rFonts w:asciiTheme="minorBidi" w:hAnsiTheme="minorBidi" w:cstheme="minorBidi"/>
        </w:rPr>
        <w:t xml:space="preserve">. </w:t>
      </w:r>
      <w:r w:rsidR="00AD708F" w:rsidRPr="00C04EB0">
        <w:rPr>
          <w:rFonts w:asciiTheme="minorBidi" w:hAnsiTheme="minorBidi" w:cstheme="minorBidi"/>
          <w:w w:val="105"/>
        </w:rPr>
        <w:t xml:space="preserve">However, </w:t>
      </w:r>
      <w:r w:rsidR="005C7C7B" w:rsidRPr="00C04EB0">
        <w:rPr>
          <w:rFonts w:asciiTheme="minorBidi" w:hAnsiTheme="minorBidi" w:cstheme="minorBidi"/>
          <w:w w:val="105"/>
        </w:rPr>
        <w:t xml:space="preserve">where a Model Portfolio solely invests in </w:t>
      </w:r>
      <w:r w:rsidR="00AD708F" w:rsidRPr="00C04EB0">
        <w:rPr>
          <w:rFonts w:asciiTheme="minorBidi" w:hAnsiTheme="minorBidi" w:cstheme="minorBidi"/>
          <w:w w:val="105"/>
        </w:rPr>
        <w:t xml:space="preserve">assets aligned with an Acceptable Green Taxonomy, the Regulator is cognisant that it may take time to acquire </w:t>
      </w:r>
      <w:r w:rsidR="00AD708F" w:rsidRPr="00C04EB0">
        <w:rPr>
          <w:rFonts w:asciiTheme="minorBidi" w:hAnsiTheme="minorBidi" w:cstheme="minorBidi"/>
        </w:rPr>
        <w:t>Eligible Green Portfolio Assets</w:t>
      </w:r>
      <w:r w:rsidR="00AD708F" w:rsidRPr="00C04EB0">
        <w:rPr>
          <w:rFonts w:asciiTheme="minorBidi" w:hAnsiTheme="minorBidi" w:cstheme="minorBidi"/>
          <w:w w:val="105"/>
        </w:rPr>
        <w:t xml:space="preserve">. At a minimum, the Regulator expects that </w:t>
      </w:r>
      <w:r w:rsidR="0019450F" w:rsidRPr="00C04EB0">
        <w:rPr>
          <w:rFonts w:asciiTheme="minorBidi" w:hAnsiTheme="minorBidi" w:cstheme="minorBidi"/>
          <w:w w:val="105"/>
        </w:rPr>
        <w:t xml:space="preserve">Green Taxonomy-aligned assets </w:t>
      </w:r>
      <w:r w:rsidR="00AD708F" w:rsidRPr="00C04EB0">
        <w:rPr>
          <w:rFonts w:asciiTheme="minorBidi" w:hAnsiTheme="minorBidi" w:cstheme="minorBidi"/>
          <w:w w:val="105"/>
        </w:rPr>
        <w:t xml:space="preserve">meeting the </w:t>
      </w:r>
      <w:r w:rsidR="00AD708F" w:rsidRPr="00C04EB0">
        <w:rPr>
          <w:rFonts w:asciiTheme="minorBidi" w:hAnsiTheme="minorBidi" w:cstheme="minorBidi"/>
        </w:rPr>
        <w:t>Green Portfolio Investment Requirement</w:t>
      </w:r>
      <w:r w:rsidR="00AD708F" w:rsidRPr="00C04EB0">
        <w:rPr>
          <w:rFonts w:asciiTheme="minorBidi" w:hAnsiTheme="minorBidi" w:cstheme="minorBidi"/>
          <w:w w:val="105"/>
        </w:rPr>
        <w:t xml:space="preserve"> will constitute:</w:t>
      </w:r>
    </w:p>
    <w:p w14:paraId="6B700A5A" w14:textId="4BC2B9EE" w:rsidR="00AD708F" w:rsidRPr="00C04EB0" w:rsidRDefault="00AD708F" w:rsidP="00023D47">
      <w:pPr>
        <w:pStyle w:val="ListParagraph"/>
        <w:numPr>
          <w:ilvl w:val="0"/>
          <w:numId w:val="30"/>
        </w:numPr>
        <w:ind w:left="1418" w:hanging="709"/>
        <w:jc w:val="both"/>
        <w:rPr>
          <w:rFonts w:asciiTheme="minorBidi" w:hAnsiTheme="minorBidi" w:cstheme="minorBidi"/>
        </w:rPr>
      </w:pPr>
      <w:r w:rsidRPr="00C04EB0">
        <w:rPr>
          <w:rFonts w:asciiTheme="minorBidi" w:hAnsiTheme="minorBidi" w:cstheme="minorBidi"/>
        </w:rPr>
        <w:t xml:space="preserve">More than 50% of </w:t>
      </w:r>
      <w:r w:rsidR="005746B2" w:rsidRPr="00C04EB0">
        <w:rPr>
          <w:rFonts w:asciiTheme="minorBidi" w:hAnsiTheme="minorBidi" w:cstheme="minorBidi"/>
        </w:rPr>
        <w:t xml:space="preserve">the </w:t>
      </w:r>
      <w:r w:rsidR="0019450F" w:rsidRPr="00C04EB0">
        <w:rPr>
          <w:rFonts w:asciiTheme="minorBidi" w:hAnsiTheme="minorBidi" w:cstheme="minorBidi"/>
        </w:rPr>
        <w:t xml:space="preserve">Model Portfolio’s </w:t>
      </w:r>
      <w:r w:rsidRPr="00C04EB0">
        <w:rPr>
          <w:rFonts w:asciiTheme="minorBidi" w:hAnsiTheme="minorBidi" w:cstheme="minorBidi"/>
        </w:rPr>
        <w:t xml:space="preserve">assets within two years of the date on which an ADGM Green </w:t>
      </w:r>
      <w:r w:rsidR="0019450F" w:rsidRPr="00C04EB0">
        <w:rPr>
          <w:rFonts w:asciiTheme="minorBidi" w:hAnsiTheme="minorBidi" w:cstheme="minorBidi"/>
        </w:rPr>
        <w:t>Portfolio</w:t>
      </w:r>
      <w:r w:rsidRPr="00C04EB0">
        <w:rPr>
          <w:rFonts w:asciiTheme="minorBidi" w:hAnsiTheme="minorBidi" w:cstheme="minorBidi"/>
        </w:rPr>
        <w:t xml:space="preserve"> Designation is granted; and</w:t>
      </w:r>
    </w:p>
    <w:p w14:paraId="444A1588" w14:textId="40112114" w:rsidR="00AD708F" w:rsidRPr="00C04EB0" w:rsidRDefault="00AD708F" w:rsidP="00023D47">
      <w:pPr>
        <w:pStyle w:val="ListParagraph"/>
        <w:numPr>
          <w:ilvl w:val="0"/>
          <w:numId w:val="30"/>
        </w:numPr>
        <w:ind w:left="1418" w:hanging="709"/>
        <w:jc w:val="both"/>
        <w:rPr>
          <w:rFonts w:asciiTheme="minorBidi" w:hAnsiTheme="minorBidi" w:cstheme="minorBidi"/>
        </w:rPr>
      </w:pPr>
      <w:r w:rsidRPr="00C04EB0">
        <w:rPr>
          <w:rFonts w:asciiTheme="minorBidi" w:hAnsiTheme="minorBidi" w:cstheme="minorBidi"/>
        </w:rPr>
        <w:t xml:space="preserve">75% or more of the </w:t>
      </w:r>
      <w:r w:rsidR="0019450F" w:rsidRPr="00C04EB0">
        <w:rPr>
          <w:rFonts w:asciiTheme="minorBidi" w:hAnsiTheme="minorBidi" w:cstheme="minorBidi"/>
        </w:rPr>
        <w:t>Model Portfolio’s</w:t>
      </w:r>
      <w:r w:rsidRPr="00C04EB0">
        <w:rPr>
          <w:rFonts w:asciiTheme="minorBidi" w:hAnsiTheme="minorBidi" w:cstheme="minorBidi"/>
        </w:rPr>
        <w:t xml:space="preserve"> assets within five years of the date on which an ADGM Green </w:t>
      </w:r>
      <w:r w:rsidR="0019450F" w:rsidRPr="00C04EB0">
        <w:rPr>
          <w:rFonts w:asciiTheme="minorBidi" w:hAnsiTheme="minorBidi" w:cstheme="minorBidi"/>
        </w:rPr>
        <w:t>Portfolio</w:t>
      </w:r>
      <w:r w:rsidRPr="00C04EB0">
        <w:rPr>
          <w:rFonts w:asciiTheme="minorBidi" w:hAnsiTheme="minorBidi" w:cstheme="minorBidi"/>
        </w:rPr>
        <w:t xml:space="preserve"> Designation is granted.</w:t>
      </w:r>
    </w:p>
    <w:bookmarkEnd w:id="42"/>
    <w:p w14:paraId="333CE140" w14:textId="3780D395" w:rsidR="007E2A8B" w:rsidRPr="00C04EB0" w:rsidRDefault="003E6100" w:rsidP="00023D47">
      <w:pPr>
        <w:ind w:left="709" w:hanging="709"/>
        <w:jc w:val="both"/>
        <w:rPr>
          <w:rFonts w:asciiTheme="minorBidi" w:hAnsiTheme="minorBidi" w:cstheme="minorBidi"/>
        </w:rPr>
      </w:pPr>
      <w:r w:rsidRPr="00C04EB0">
        <w:rPr>
          <w:rFonts w:asciiTheme="minorBidi" w:hAnsiTheme="minorBidi" w:cstheme="minorBidi"/>
        </w:rPr>
        <w:t>4</w:t>
      </w:r>
      <w:r w:rsidR="004E3C41" w:rsidRPr="00C04EB0">
        <w:rPr>
          <w:rFonts w:asciiTheme="minorBidi" w:hAnsiTheme="minorBidi" w:cstheme="minorBidi"/>
        </w:rPr>
        <w:t>.10</w:t>
      </w:r>
      <w:r w:rsidR="004E3C41" w:rsidRPr="00C04EB0">
        <w:rPr>
          <w:rFonts w:asciiTheme="minorBidi" w:hAnsiTheme="minorBidi" w:cstheme="minorBidi"/>
        </w:rPr>
        <w:tab/>
      </w:r>
      <w:r w:rsidR="0019450F" w:rsidRPr="00C04EB0">
        <w:rPr>
          <w:rFonts w:asciiTheme="minorBidi" w:hAnsiTheme="minorBidi" w:cstheme="minorBidi"/>
        </w:rPr>
        <w:t xml:space="preserve">Where Eligible Green Portfolio Assets </w:t>
      </w:r>
      <w:r w:rsidR="00525FE2" w:rsidRPr="00C04EB0">
        <w:rPr>
          <w:rFonts w:asciiTheme="minorBidi" w:hAnsiTheme="minorBidi" w:cstheme="minorBidi"/>
        </w:rPr>
        <w:t xml:space="preserve">solely </w:t>
      </w:r>
      <w:r w:rsidR="0019450F" w:rsidRPr="00C04EB0">
        <w:rPr>
          <w:rFonts w:asciiTheme="minorBidi" w:hAnsiTheme="minorBidi" w:cstheme="minorBidi"/>
        </w:rPr>
        <w:t>constitute assets included in or tracking a</w:t>
      </w:r>
      <w:r w:rsidR="00F9332F" w:rsidRPr="00C04EB0">
        <w:rPr>
          <w:rFonts w:asciiTheme="minorBidi" w:hAnsiTheme="minorBidi" w:cstheme="minorBidi"/>
        </w:rPr>
        <w:t>n EU</w:t>
      </w:r>
      <w:r w:rsidR="0019450F" w:rsidRPr="00C04EB0">
        <w:rPr>
          <w:rFonts w:asciiTheme="minorBidi" w:hAnsiTheme="minorBidi" w:cstheme="minorBidi"/>
        </w:rPr>
        <w:t xml:space="preserve"> Paris</w:t>
      </w:r>
      <w:r w:rsidR="00F9332F" w:rsidRPr="00C04EB0">
        <w:rPr>
          <w:rFonts w:asciiTheme="minorBidi" w:hAnsiTheme="minorBidi" w:cstheme="minorBidi"/>
        </w:rPr>
        <w:t xml:space="preserve"> </w:t>
      </w:r>
      <w:r w:rsidR="0019450F" w:rsidRPr="00C04EB0">
        <w:rPr>
          <w:rFonts w:asciiTheme="minorBidi" w:hAnsiTheme="minorBidi" w:cstheme="minorBidi"/>
        </w:rPr>
        <w:t xml:space="preserve">Aligned Benchmark, </w:t>
      </w:r>
      <w:r w:rsidR="004E3C41" w:rsidRPr="00C04EB0">
        <w:rPr>
          <w:rFonts w:asciiTheme="minorBidi" w:hAnsiTheme="minorBidi" w:cstheme="minorBidi"/>
        </w:rPr>
        <w:t>t</w:t>
      </w:r>
      <w:r w:rsidR="008C66B7" w:rsidRPr="00C04EB0">
        <w:rPr>
          <w:rFonts w:asciiTheme="minorBidi" w:hAnsiTheme="minorBidi" w:cstheme="minorBidi"/>
        </w:rPr>
        <w:t xml:space="preserve">he Regulator expects that </w:t>
      </w:r>
      <w:r w:rsidR="004E3C41" w:rsidRPr="00C04EB0">
        <w:rPr>
          <w:rFonts w:asciiTheme="minorBidi" w:hAnsiTheme="minorBidi" w:cstheme="minorBidi"/>
        </w:rPr>
        <w:t xml:space="preserve">such assets will </w:t>
      </w:r>
      <w:r w:rsidR="008C66B7" w:rsidRPr="00C04EB0">
        <w:rPr>
          <w:rFonts w:asciiTheme="minorBidi" w:hAnsiTheme="minorBidi" w:cstheme="minorBidi"/>
        </w:rPr>
        <w:t xml:space="preserve">constitute 75% or more of the </w:t>
      </w:r>
      <w:r w:rsidR="004E3C41" w:rsidRPr="00C04EB0">
        <w:rPr>
          <w:rFonts w:asciiTheme="minorBidi" w:hAnsiTheme="minorBidi" w:cstheme="minorBidi"/>
        </w:rPr>
        <w:t>Model Portfolio’s</w:t>
      </w:r>
      <w:r w:rsidR="008C66B7" w:rsidRPr="00C04EB0">
        <w:rPr>
          <w:rFonts w:asciiTheme="minorBidi" w:hAnsiTheme="minorBidi" w:cstheme="minorBidi"/>
        </w:rPr>
        <w:t xml:space="preserve"> assets</w:t>
      </w:r>
      <w:r w:rsidR="007E2A8B" w:rsidRPr="00C04EB0">
        <w:rPr>
          <w:rFonts w:asciiTheme="minorBidi" w:hAnsiTheme="minorBidi" w:cstheme="minorBidi"/>
        </w:rPr>
        <w:t xml:space="preserve"> as soon as practicable upon receipt of an ADGM Green </w:t>
      </w:r>
      <w:r w:rsidR="00D92A6C" w:rsidRPr="00C04EB0">
        <w:rPr>
          <w:rFonts w:asciiTheme="minorBidi" w:hAnsiTheme="minorBidi" w:cstheme="minorBidi"/>
        </w:rPr>
        <w:t>Portfolio</w:t>
      </w:r>
      <w:r w:rsidR="007E2A8B" w:rsidRPr="00C04EB0">
        <w:rPr>
          <w:rFonts w:asciiTheme="minorBidi" w:hAnsiTheme="minorBidi" w:cstheme="minorBidi"/>
        </w:rPr>
        <w:t xml:space="preserve"> Designation.</w:t>
      </w:r>
      <w:r w:rsidR="00E2720E" w:rsidRPr="00C04EB0">
        <w:rPr>
          <w:rFonts w:asciiTheme="minorBidi" w:hAnsiTheme="minorBidi" w:cstheme="minorBidi"/>
        </w:rPr>
        <w:t xml:space="preserve"> </w:t>
      </w:r>
    </w:p>
    <w:p w14:paraId="2EC2BEEA" w14:textId="4B57CDFE" w:rsidR="002E2AF3" w:rsidRPr="00C04EB0" w:rsidRDefault="002E2AF3" w:rsidP="007A686C">
      <w:pPr>
        <w:spacing w:after="240" w:line="246" w:lineRule="atLeast"/>
        <w:jc w:val="both"/>
        <w:rPr>
          <w:rFonts w:asciiTheme="minorBidi" w:hAnsiTheme="minorBidi" w:cstheme="minorBidi"/>
          <w:b/>
          <w:bCs/>
          <w:w w:val="105"/>
        </w:rPr>
      </w:pPr>
      <w:r w:rsidRPr="00C04EB0">
        <w:rPr>
          <w:rFonts w:asciiTheme="minorBidi" w:hAnsiTheme="minorBidi" w:cstheme="minorBidi"/>
          <w:b/>
          <w:bCs/>
          <w:w w:val="105"/>
        </w:rPr>
        <w:t>Climate Transition Portfolio Investment Requirement</w:t>
      </w:r>
    </w:p>
    <w:p w14:paraId="363D8B40" w14:textId="7775AE23" w:rsidR="0054254A" w:rsidRPr="00C04EB0" w:rsidRDefault="003E6100" w:rsidP="0054254A">
      <w:pPr>
        <w:ind w:left="709" w:hanging="709"/>
        <w:jc w:val="both"/>
        <w:rPr>
          <w:rFonts w:asciiTheme="minorBidi" w:hAnsiTheme="minorBidi" w:cstheme="minorBidi"/>
          <w:w w:val="105"/>
        </w:rPr>
      </w:pPr>
      <w:bookmarkStart w:id="43" w:name="_Toc116055919"/>
      <w:r w:rsidRPr="00C04EB0">
        <w:rPr>
          <w:rFonts w:asciiTheme="minorBidi" w:hAnsiTheme="minorBidi" w:cstheme="minorBidi"/>
        </w:rPr>
        <w:t>4</w:t>
      </w:r>
      <w:r w:rsidR="00AD6FA4" w:rsidRPr="00C04EB0">
        <w:rPr>
          <w:rFonts w:asciiTheme="minorBidi" w:hAnsiTheme="minorBidi" w:cstheme="minorBidi"/>
        </w:rPr>
        <w:t>.</w:t>
      </w:r>
      <w:r w:rsidR="004E3C41" w:rsidRPr="00C04EB0">
        <w:rPr>
          <w:rFonts w:asciiTheme="minorBidi" w:hAnsiTheme="minorBidi" w:cstheme="minorBidi"/>
        </w:rPr>
        <w:t>11</w:t>
      </w:r>
      <w:r w:rsidR="00AD6FA4" w:rsidRPr="00C04EB0">
        <w:rPr>
          <w:rFonts w:asciiTheme="minorBidi" w:hAnsiTheme="minorBidi" w:cstheme="minorBidi"/>
        </w:rPr>
        <w:tab/>
      </w:r>
      <w:r w:rsidR="0054254A" w:rsidRPr="00C04EB0">
        <w:rPr>
          <w:rFonts w:asciiTheme="minorBidi" w:hAnsiTheme="minorBidi" w:cstheme="minorBidi"/>
          <w:w w:val="105"/>
        </w:rPr>
        <w:t xml:space="preserve">An ADGM Climate Transition Portfolio must invest predominantly in assets meeting the Climate Transition </w:t>
      </w:r>
      <w:r w:rsidR="006A0A20" w:rsidRPr="00C04EB0">
        <w:rPr>
          <w:rFonts w:asciiTheme="minorBidi" w:hAnsiTheme="minorBidi" w:cstheme="minorBidi"/>
          <w:w w:val="105"/>
        </w:rPr>
        <w:t>Portfolio</w:t>
      </w:r>
      <w:r w:rsidR="0054254A" w:rsidRPr="00C04EB0">
        <w:rPr>
          <w:rFonts w:asciiTheme="minorBidi" w:hAnsiTheme="minorBidi" w:cstheme="minorBidi"/>
          <w:w w:val="105"/>
        </w:rPr>
        <w:t xml:space="preserve"> Investment Requirement. The Regulator is cognisant that it may take time to acquire </w:t>
      </w:r>
      <w:r w:rsidR="006A0A20" w:rsidRPr="00C04EB0">
        <w:rPr>
          <w:rFonts w:asciiTheme="minorBidi" w:hAnsiTheme="minorBidi" w:cstheme="minorBidi"/>
          <w:w w:val="105"/>
        </w:rPr>
        <w:t xml:space="preserve">certain </w:t>
      </w:r>
      <w:r w:rsidR="0054254A" w:rsidRPr="00C04EB0">
        <w:rPr>
          <w:rFonts w:asciiTheme="minorBidi" w:hAnsiTheme="minorBidi" w:cstheme="minorBidi"/>
          <w:w w:val="105"/>
        </w:rPr>
        <w:t xml:space="preserve">Eligible Climate Transition Portfolio Assets. At a minimum, the Regulator expects that assets meeting the Climate Transition </w:t>
      </w:r>
      <w:r w:rsidR="006A0A20" w:rsidRPr="00C04EB0">
        <w:rPr>
          <w:rFonts w:asciiTheme="minorBidi" w:hAnsiTheme="minorBidi" w:cstheme="minorBidi"/>
          <w:w w:val="105"/>
        </w:rPr>
        <w:t>Portfolio</w:t>
      </w:r>
      <w:r w:rsidR="0054254A" w:rsidRPr="00C04EB0">
        <w:rPr>
          <w:rFonts w:asciiTheme="minorBidi" w:hAnsiTheme="minorBidi" w:cstheme="minorBidi"/>
          <w:w w:val="105"/>
        </w:rPr>
        <w:t xml:space="preserve"> Investment Requirement will constitute:</w:t>
      </w:r>
    </w:p>
    <w:p w14:paraId="7213D962" w14:textId="784B0ADB" w:rsidR="0054254A" w:rsidRPr="00C04EB0" w:rsidRDefault="0054254A" w:rsidP="00023D47">
      <w:pPr>
        <w:pStyle w:val="ListParagraph"/>
        <w:numPr>
          <w:ilvl w:val="0"/>
          <w:numId w:val="32"/>
        </w:numPr>
        <w:ind w:left="1418" w:hanging="698"/>
        <w:jc w:val="both"/>
        <w:rPr>
          <w:rFonts w:asciiTheme="minorBidi" w:hAnsiTheme="minorBidi" w:cstheme="minorBidi"/>
        </w:rPr>
      </w:pPr>
      <w:r w:rsidRPr="00C04EB0">
        <w:rPr>
          <w:rFonts w:asciiTheme="minorBidi" w:hAnsiTheme="minorBidi" w:cstheme="minorBidi"/>
        </w:rPr>
        <w:t xml:space="preserve">More than 50% of the </w:t>
      </w:r>
      <w:r w:rsidR="006A0A20" w:rsidRPr="00C04EB0">
        <w:rPr>
          <w:rFonts w:asciiTheme="minorBidi" w:hAnsiTheme="minorBidi" w:cstheme="minorBidi"/>
        </w:rPr>
        <w:t>Model Portfolio’s</w:t>
      </w:r>
      <w:r w:rsidRPr="00C04EB0">
        <w:rPr>
          <w:rFonts w:asciiTheme="minorBidi" w:hAnsiTheme="minorBidi" w:cstheme="minorBidi"/>
        </w:rPr>
        <w:t xml:space="preserve"> assets within two years of the date on which an ADGM Climate Transition </w:t>
      </w:r>
      <w:r w:rsidR="00502B99" w:rsidRPr="00C04EB0">
        <w:rPr>
          <w:rFonts w:asciiTheme="minorBidi" w:hAnsiTheme="minorBidi" w:cstheme="minorBidi"/>
        </w:rPr>
        <w:t>Portfolio</w:t>
      </w:r>
      <w:r w:rsidRPr="00C04EB0">
        <w:rPr>
          <w:rFonts w:asciiTheme="minorBidi" w:hAnsiTheme="minorBidi" w:cstheme="minorBidi"/>
        </w:rPr>
        <w:t xml:space="preserve"> Designation is granted; and</w:t>
      </w:r>
    </w:p>
    <w:p w14:paraId="7E877B36" w14:textId="2FF9F65C" w:rsidR="0054254A" w:rsidRPr="00C04EB0" w:rsidRDefault="0054254A" w:rsidP="00023D47">
      <w:pPr>
        <w:pStyle w:val="ListParagraph"/>
        <w:numPr>
          <w:ilvl w:val="0"/>
          <w:numId w:val="32"/>
        </w:numPr>
        <w:ind w:left="1417" w:hanging="697"/>
        <w:jc w:val="both"/>
        <w:rPr>
          <w:rFonts w:asciiTheme="minorBidi" w:hAnsiTheme="minorBidi" w:cstheme="minorBidi"/>
        </w:rPr>
      </w:pPr>
      <w:r w:rsidRPr="00C04EB0">
        <w:rPr>
          <w:rFonts w:asciiTheme="minorBidi" w:hAnsiTheme="minorBidi" w:cstheme="minorBidi"/>
        </w:rPr>
        <w:t xml:space="preserve">75% or more of the </w:t>
      </w:r>
      <w:r w:rsidR="00502B99" w:rsidRPr="00C04EB0">
        <w:rPr>
          <w:rFonts w:asciiTheme="minorBidi" w:hAnsiTheme="minorBidi" w:cstheme="minorBidi"/>
        </w:rPr>
        <w:t xml:space="preserve">Model Portfolio’s </w:t>
      </w:r>
      <w:r w:rsidRPr="00C04EB0">
        <w:rPr>
          <w:rFonts w:asciiTheme="minorBidi" w:hAnsiTheme="minorBidi" w:cstheme="minorBidi"/>
        </w:rPr>
        <w:t xml:space="preserve">assets within five years of the date on which an ADGM </w:t>
      </w:r>
      <w:r w:rsidR="00502B99" w:rsidRPr="00C04EB0">
        <w:rPr>
          <w:rFonts w:asciiTheme="minorBidi" w:hAnsiTheme="minorBidi" w:cstheme="minorBidi"/>
        </w:rPr>
        <w:t xml:space="preserve">Climate Transition Portfolio </w:t>
      </w:r>
      <w:r w:rsidRPr="00C04EB0">
        <w:rPr>
          <w:rFonts w:asciiTheme="minorBidi" w:hAnsiTheme="minorBidi" w:cstheme="minorBidi"/>
        </w:rPr>
        <w:t xml:space="preserve">Designation is granted. </w:t>
      </w:r>
    </w:p>
    <w:p w14:paraId="33C7D68F" w14:textId="235395E5" w:rsidR="0054254A" w:rsidRPr="00C04EB0" w:rsidRDefault="003E6100" w:rsidP="00023D47">
      <w:pPr>
        <w:ind w:left="720" w:hanging="720"/>
        <w:jc w:val="both"/>
        <w:rPr>
          <w:rFonts w:asciiTheme="minorBidi" w:hAnsiTheme="minorBidi" w:cstheme="minorBidi"/>
        </w:rPr>
      </w:pPr>
      <w:r w:rsidRPr="00C04EB0">
        <w:rPr>
          <w:rFonts w:asciiTheme="minorBidi" w:hAnsiTheme="minorBidi" w:cstheme="minorBidi"/>
          <w:w w:val="105"/>
        </w:rPr>
        <w:t>4</w:t>
      </w:r>
      <w:r w:rsidR="00FB36F0" w:rsidRPr="00C04EB0">
        <w:rPr>
          <w:rFonts w:asciiTheme="minorBidi" w:hAnsiTheme="minorBidi" w:cstheme="minorBidi"/>
          <w:w w:val="105"/>
        </w:rPr>
        <w:t>.12</w:t>
      </w:r>
      <w:r w:rsidR="00FB36F0" w:rsidRPr="00C04EB0">
        <w:rPr>
          <w:rFonts w:asciiTheme="minorBidi" w:hAnsiTheme="minorBidi" w:cstheme="minorBidi"/>
          <w:w w:val="105"/>
        </w:rPr>
        <w:tab/>
      </w:r>
      <w:r w:rsidR="0054254A" w:rsidRPr="00C04EB0">
        <w:rPr>
          <w:rFonts w:asciiTheme="minorBidi" w:hAnsiTheme="minorBidi" w:cstheme="minorBidi"/>
        </w:rPr>
        <w:t xml:space="preserve">However, where a </w:t>
      </w:r>
      <w:r w:rsidR="006A0A20" w:rsidRPr="00C04EB0">
        <w:rPr>
          <w:rFonts w:asciiTheme="minorBidi" w:hAnsiTheme="minorBidi" w:cstheme="minorBidi"/>
        </w:rPr>
        <w:t>Model Portfolio</w:t>
      </w:r>
      <w:r w:rsidR="0054254A" w:rsidRPr="00C04EB0">
        <w:rPr>
          <w:rFonts w:asciiTheme="minorBidi" w:hAnsiTheme="minorBidi" w:cstheme="minorBidi"/>
        </w:rPr>
        <w:t xml:space="preserve"> solely invests in assets included in, or which track, a </w:t>
      </w:r>
      <w:r w:rsidR="0054254A" w:rsidRPr="00C04EB0">
        <w:rPr>
          <w:rFonts w:asciiTheme="minorBidi" w:hAnsiTheme="minorBidi" w:cstheme="minorBidi"/>
          <w:w w:val="105"/>
        </w:rPr>
        <w:t xml:space="preserve">Climate Transition </w:t>
      </w:r>
      <w:r w:rsidR="0054254A" w:rsidRPr="00C04EB0">
        <w:rPr>
          <w:rFonts w:asciiTheme="minorBidi" w:hAnsiTheme="minorBidi" w:cstheme="minorBidi"/>
        </w:rPr>
        <w:t xml:space="preserve">Benchmark, the Regulator expects that such assets will constitute 75% or more of the </w:t>
      </w:r>
      <w:r w:rsidR="006A0A20" w:rsidRPr="00C04EB0">
        <w:rPr>
          <w:rFonts w:asciiTheme="minorBidi" w:hAnsiTheme="minorBidi" w:cstheme="minorBidi"/>
        </w:rPr>
        <w:t>Model Portfolio’s</w:t>
      </w:r>
      <w:r w:rsidR="0054254A" w:rsidRPr="00C04EB0">
        <w:rPr>
          <w:rFonts w:asciiTheme="minorBidi" w:hAnsiTheme="minorBidi" w:cstheme="minorBidi"/>
        </w:rPr>
        <w:t xml:space="preserve"> assets as soon as practicable upon receipt of an ADGM Climate Transition </w:t>
      </w:r>
      <w:r w:rsidR="0005487E" w:rsidRPr="00C04EB0">
        <w:rPr>
          <w:rFonts w:asciiTheme="minorBidi" w:hAnsiTheme="minorBidi" w:cstheme="minorBidi"/>
        </w:rPr>
        <w:t>Portfolio</w:t>
      </w:r>
      <w:r w:rsidR="0054254A" w:rsidRPr="00C04EB0">
        <w:rPr>
          <w:rFonts w:asciiTheme="minorBidi" w:hAnsiTheme="minorBidi" w:cstheme="minorBidi"/>
        </w:rPr>
        <w:t xml:space="preserve"> Designation.</w:t>
      </w:r>
    </w:p>
    <w:bookmarkEnd w:id="43"/>
    <w:p w14:paraId="0022E3F7" w14:textId="4587F357" w:rsidR="00FB02C0" w:rsidRPr="00C04EB0" w:rsidRDefault="00FB02C0" w:rsidP="00023D47">
      <w:pPr>
        <w:ind w:left="709" w:hanging="709"/>
        <w:jc w:val="both"/>
        <w:rPr>
          <w:rFonts w:asciiTheme="minorBidi" w:hAnsiTheme="minorBidi" w:cstheme="minorBidi"/>
          <w:w w:val="105"/>
        </w:rPr>
      </w:pPr>
    </w:p>
    <w:p w14:paraId="6DE31727" w14:textId="77777777" w:rsidR="002B1719" w:rsidRPr="00C04EB0" w:rsidRDefault="002B1719" w:rsidP="007A686C">
      <w:pPr>
        <w:widowControl w:val="0"/>
        <w:spacing w:before="0" w:after="0" w:line="240" w:lineRule="auto"/>
        <w:jc w:val="both"/>
        <w:rPr>
          <w:rFonts w:asciiTheme="minorBidi" w:hAnsiTheme="minorBidi" w:cstheme="minorBidi"/>
          <w:b/>
          <w:bCs/>
          <w:caps/>
        </w:rPr>
      </w:pPr>
      <w:r w:rsidRPr="00C04EB0">
        <w:rPr>
          <w:rFonts w:asciiTheme="minorBidi" w:hAnsiTheme="minorBidi" w:cstheme="minorBidi"/>
        </w:rPr>
        <w:br w:type="page"/>
      </w:r>
    </w:p>
    <w:p w14:paraId="3BFC19F8" w14:textId="050A640C" w:rsidR="009162C2" w:rsidRPr="00C04EB0" w:rsidRDefault="009162C2" w:rsidP="007A686C">
      <w:pPr>
        <w:pStyle w:val="Level1"/>
        <w:rPr>
          <w:rFonts w:asciiTheme="minorBidi" w:hAnsiTheme="minorBidi" w:cstheme="minorBidi"/>
        </w:rPr>
      </w:pPr>
      <w:bookmarkStart w:id="44" w:name="_Toc138249329"/>
      <w:r w:rsidRPr="00C04EB0">
        <w:rPr>
          <w:rFonts w:asciiTheme="minorBidi" w:hAnsiTheme="minorBidi" w:cstheme="minorBidi"/>
        </w:rPr>
        <w:lastRenderedPageBreak/>
        <w:t xml:space="preserve">ADGM Green and ADGM Sustainability-Linked </w:t>
      </w:r>
      <w:r w:rsidR="00540346" w:rsidRPr="00C04EB0">
        <w:rPr>
          <w:rFonts w:asciiTheme="minorBidi" w:hAnsiTheme="minorBidi" w:cstheme="minorBidi"/>
        </w:rPr>
        <w:t>Debenture</w:t>
      </w:r>
      <w:r w:rsidRPr="00C04EB0">
        <w:rPr>
          <w:rFonts w:asciiTheme="minorBidi" w:hAnsiTheme="minorBidi" w:cstheme="minorBidi"/>
        </w:rPr>
        <w:t xml:space="preserve">s </w:t>
      </w:r>
      <w:r w:rsidR="00B06399" w:rsidRPr="00C04EB0">
        <w:rPr>
          <w:rFonts w:asciiTheme="minorBidi" w:hAnsiTheme="minorBidi" w:cstheme="minorBidi"/>
          <w:caps w:val="0"/>
        </w:rPr>
        <w:t>AND SUKUKS</w:t>
      </w:r>
      <w:bookmarkEnd w:id="44"/>
    </w:p>
    <w:p w14:paraId="517D2106" w14:textId="4DE7397F" w:rsidR="00B4718C" w:rsidRPr="00C04EB0" w:rsidRDefault="003E6100" w:rsidP="00023D47">
      <w:pPr>
        <w:ind w:left="709" w:hanging="709"/>
        <w:jc w:val="both"/>
        <w:rPr>
          <w:rFonts w:asciiTheme="minorBidi" w:hAnsiTheme="minorBidi" w:cstheme="minorBidi"/>
        </w:rPr>
      </w:pPr>
      <w:bookmarkStart w:id="45" w:name="_Toc116055932"/>
      <w:r w:rsidRPr="00C04EB0">
        <w:rPr>
          <w:rFonts w:asciiTheme="minorBidi" w:hAnsiTheme="minorBidi" w:cstheme="minorBidi"/>
        </w:rPr>
        <w:t>5</w:t>
      </w:r>
      <w:r w:rsidR="00BF4FEE" w:rsidRPr="00C04EB0">
        <w:rPr>
          <w:rFonts w:asciiTheme="minorBidi" w:hAnsiTheme="minorBidi" w:cstheme="minorBidi"/>
        </w:rPr>
        <w:t>.1</w:t>
      </w:r>
      <w:r w:rsidR="00BF4FEE" w:rsidRPr="00C04EB0">
        <w:rPr>
          <w:rFonts w:asciiTheme="minorBidi" w:hAnsiTheme="minorBidi" w:cstheme="minorBidi"/>
        </w:rPr>
        <w:tab/>
      </w:r>
      <w:r w:rsidR="005323FA" w:rsidRPr="00C04EB0">
        <w:rPr>
          <w:rFonts w:asciiTheme="minorBidi" w:hAnsiTheme="minorBidi" w:cstheme="minorBidi"/>
        </w:rPr>
        <w:t>S</w:t>
      </w:r>
      <w:r w:rsidR="0029659E" w:rsidRPr="00C04EB0">
        <w:rPr>
          <w:rFonts w:asciiTheme="minorBidi" w:hAnsiTheme="minorBidi" w:cstheme="minorBidi"/>
        </w:rPr>
        <w:t xml:space="preserve">ection </w:t>
      </w:r>
      <w:r w:rsidR="00EC5837" w:rsidRPr="00C04EB0">
        <w:rPr>
          <w:rFonts w:asciiTheme="minorBidi" w:hAnsiTheme="minorBidi" w:cstheme="minorBidi"/>
        </w:rPr>
        <w:t>4.1</w:t>
      </w:r>
      <w:r w:rsidR="006C029C" w:rsidRPr="00C04EB0">
        <w:rPr>
          <w:rFonts w:asciiTheme="minorBidi" w:hAnsiTheme="minorBidi" w:cstheme="minorBidi"/>
        </w:rPr>
        <w:t>5</w:t>
      </w:r>
      <w:r w:rsidR="00740BFB" w:rsidRPr="00C04EB0">
        <w:rPr>
          <w:rFonts w:asciiTheme="minorBidi" w:hAnsiTheme="minorBidi" w:cstheme="minorBidi"/>
        </w:rPr>
        <w:t xml:space="preserve"> </w:t>
      </w:r>
      <w:r w:rsidR="005323FA" w:rsidRPr="00C04EB0">
        <w:rPr>
          <w:rFonts w:asciiTheme="minorBidi" w:hAnsiTheme="minorBidi" w:cstheme="minorBidi"/>
        </w:rPr>
        <w:t xml:space="preserve">of the Markets Rules (“MKT”) </w:t>
      </w:r>
      <w:r w:rsidR="00740BFB" w:rsidRPr="00C04EB0">
        <w:rPr>
          <w:rFonts w:asciiTheme="minorBidi" w:hAnsiTheme="minorBidi" w:cstheme="minorBidi"/>
        </w:rPr>
        <w:t>sets out the detailed requirements that apply to a</w:t>
      </w:r>
      <w:r w:rsidR="00EC5837" w:rsidRPr="00C04EB0">
        <w:rPr>
          <w:rFonts w:asciiTheme="minorBidi" w:hAnsiTheme="minorBidi" w:cstheme="minorBidi"/>
        </w:rPr>
        <w:t xml:space="preserve">n </w:t>
      </w:r>
      <w:r w:rsidR="00327C55" w:rsidRPr="00C04EB0">
        <w:rPr>
          <w:rFonts w:asciiTheme="minorBidi" w:hAnsiTheme="minorBidi" w:cstheme="minorBidi"/>
        </w:rPr>
        <w:t xml:space="preserve">ADGM </w:t>
      </w:r>
      <w:r w:rsidR="00EC5837" w:rsidRPr="00C04EB0">
        <w:rPr>
          <w:rFonts w:asciiTheme="minorBidi" w:hAnsiTheme="minorBidi" w:cstheme="minorBidi"/>
        </w:rPr>
        <w:t xml:space="preserve">Issuer </w:t>
      </w:r>
      <w:r w:rsidR="00BD3FFD" w:rsidRPr="00C04EB0">
        <w:rPr>
          <w:rFonts w:asciiTheme="minorBidi" w:hAnsiTheme="minorBidi" w:cstheme="minorBidi"/>
        </w:rPr>
        <w:t>seek</w:t>
      </w:r>
      <w:r w:rsidR="005C04FF" w:rsidRPr="00C04EB0">
        <w:rPr>
          <w:rFonts w:asciiTheme="minorBidi" w:hAnsiTheme="minorBidi" w:cstheme="minorBidi"/>
        </w:rPr>
        <w:t>ing an</w:t>
      </w:r>
      <w:r w:rsidR="00BD3FFD" w:rsidRPr="00C04EB0">
        <w:rPr>
          <w:rFonts w:asciiTheme="minorBidi" w:hAnsiTheme="minorBidi" w:cstheme="minorBidi"/>
        </w:rPr>
        <w:t xml:space="preserve"> ADGM Green </w:t>
      </w:r>
      <w:r w:rsidR="0013073C" w:rsidRPr="00C04EB0">
        <w:rPr>
          <w:rFonts w:asciiTheme="minorBidi" w:hAnsiTheme="minorBidi" w:cstheme="minorBidi"/>
        </w:rPr>
        <w:t xml:space="preserve">Bond </w:t>
      </w:r>
      <w:r w:rsidR="00BD3FFD" w:rsidRPr="00C04EB0">
        <w:rPr>
          <w:rFonts w:asciiTheme="minorBidi" w:hAnsiTheme="minorBidi" w:cstheme="minorBidi"/>
        </w:rPr>
        <w:t xml:space="preserve">Designation or ADGM Sustainability-Linked </w:t>
      </w:r>
      <w:r w:rsidR="0013073C" w:rsidRPr="00C04EB0">
        <w:rPr>
          <w:rFonts w:asciiTheme="minorBidi" w:hAnsiTheme="minorBidi" w:cstheme="minorBidi"/>
        </w:rPr>
        <w:t xml:space="preserve">Bond </w:t>
      </w:r>
      <w:r w:rsidR="00B4718C" w:rsidRPr="00C04EB0">
        <w:rPr>
          <w:rFonts w:asciiTheme="minorBidi" w:hAnsiTheme="minorBidi" w:cstheme="minorBidi"/>
        </w:rPr>
        <w:t xml:space="preserve">Designation for an applicable </w:t>
      </w:r>
      <w:r w:rsidR="001F576E" w:rsidRPr="00C04EB0">
        <w:rPr>
          <w:rFonts w:asciiTheme="minorBidi" w:hAnsiTheme="minorBidi" w:cstheme="minorBidi"/>
        </w:rPr>
        <w:t>debenture</w:t>
      </w:r>
      <w:r w:rsidR="00D16A77" w:rsidRPr="00C04EB0">
        <w:rPr>
          <w:rFonts w:asciiTheme="minorBidi" w:hAnsiTheme="minorBidi" w:cstheme="minorBidi"/>
        </w:rPr>
        <w:t>.</w:t>
      </w:r>
      <w:bookmarkEnd w:id="45"/>
      <w:r w:rsidR="00D16A77" w:rsidRPr="00C04EB0">
        <w:rPr>
          <w:rFonts w:asciiTheme="minorBidi" w:hAnsiTheme="minorBidi" w:cstheme="minorBidi"/>
        </w:rPr>
        <w:t xml:space="preserve"> </w:t>
      </w:r>
    </w:p>
    <w:p w14:paraId="4E48462B" w14:textId="2233A167" w:rsidR="00740BFB" w:rsidRPr="00C04EB0" w:rsidRDefault="003E6100" w:rsidP="00023D47">
      <w:pPr>
        <w:ind w:left="709" w:hanging="709"/>
        <w:jc w:val="both"/>
        <w:rPr>
          <w:rFonts w:asciiTheme="minorBidi" w:hAnsiTheme="minorBidi" w:cstheme="minorBidi"/>
        </w:rPr>
      </w:pPr>
      <w:bookmarkStart w:id="46" w:name="_Toc116055933"/>
      <w:r w:rsidRPr="00C04EB0">
        <w:rPr>
          <w:rFonts w:asciiTheme="minorBidi" w:hAnsiTheme="minorBidi" w:cstheme="minorBidi"/>
        </w:rPr>
        <w:t>5</w:t>
      </w:r>
      <w:r w:rsidR="00BF4FEE" w:rsidRPr="00C04EB0">
        <w:rPr>
          <w:rFonts w:asciiTheme="minorBidi" w:hAnsiTheme="minorBidi" w:cstheme="minorBidi"/>
        </w:rPr>
        <w:t>.2</w:t>
      </w:r>
      <w:r w:rsidR="00BF4FEE" w:rsidRPr="00C04EB0">
        <w:rPr>
          <w:rFonts w:asciiTheme="minorBidi" w:hAnsiTheme="minorBidi" w:cstheme="minorBidi"/>
        </w:rPr>
        <w:tab/>
      </w:r>
      <w:r w:rsidR="00740BFB" w:rsidRPr="00C04EB0">
        <w:rPr>
          <w:rFonts w:asciiTheme="minorBidi" w:hAnsiTheme="minorBidi" w:cstheme="minorBidi"/>
        </w:rPr>
        <w:t xml:space="preserve">The Rules in </w:t>
      </w:r>
      <w:r w:rsidR="000D677E" w:rsidRPr="00C04EB0">
        <w:rPr>
          <w:rFonts w:asciiTheme="minorBidi" w:hAnsiTheme="minorBidi" w:cstheme="minorBidi"/>
        </w:rPr>
        <w:t>MKT</w:t>
      </w:r>
      <w:r w:rsidR="00D16A77" w:rsidRPr="00C04EB0">
        <w:rPr>
          <w:rFonts w:asciiTheme="minorBidi" w:hAnsiTheme="minorBidi" w:cstheme="minorBidi"/>
        </w:rPr>
        <w:t xml:space="preserve"> </w:t>
      </w:r>
      <w:r w:rsidR="007E5F01" w:rsidRPr="00C04EB0">
        <w:rPr>
          <w:rFonts w:asciiTheme="minorBidi" w:hAnsiTheme="minorBidi" w:cstheme="minorBidi"/>
        </w:rPr>
        <w:t xml:space="preserve">section </w:t>
      </w:r>
      <w:r w:rsidR="00D16A77" w:rsidRPr="00C04EB0">
        <w:rPr>
          <w:rFonts w:asciiTheme="minorBidi" w:hAnsiTheme="minorBidi" w:cstheme="minorBidi"/>
        </w:rPr>
        <w:t>4.1</w:t>
      </w:r>
      <w:r w:rsidR="006C029C" w:rsidRPr="00C04EB0">
        <w:rPr>
          <w:rFonts w:asciiTheme="minorBidi" w:hAnsiTheme="minorBidi" w:cstheme="minorBidi"/>
        </w:rPr>
        <w:t>5</w:t>
      </w:r>
      <w:r w:rsidR="00740BFB" w:rsidRPr="00C04EB0">
        <w:rPr>
          <w:rFonts w:asciiTheme="minorBidi" w:hAnsiTheme="minorBidi" w:cstheme="minorBidi"/>
        </w:rPr>
        <w:t xml:space="preserve"> are in addition to</w:t>
      </w:r>
      <w:r w:rsidR="00EE2031" w:rsidRPr="00C04EB0">
        <w:rPr>
          <w:rFonts w:asciiTheme="minorBidi" w:hAnsiTheme="minorBidi" w:cstheme="minorBidi"/>
        </w:rPr>
        <w:t xml:space="preserve"> </w:t>
      </w:r>
      <w:bookmarkStart w:id="47" w:name="_Toc116055935"/>
      <w:bookmarkEnd w:id="46"/>
      <w:r w:rsidR="00740BFB" w:rsidRPr="00C04EB0">
        <w:rPr>
          <w:rFonts w:asciiTheme="minorBidi" w:hAnsiTheme="minorBidi" w:cstheme="minorBidi"/>
        </w:rPr>
        <w:t xml:space="preserve">the requirements that apply to the Offer of Securities in or from the ADGM, including Prospectus disclosure under </w:t>
      </w:r>
      <w:r w:rsidR="00327C55" w:rsidRPr="00C04EB0">
        <w:rPr>
          <w:rFonts w:asciiTheme="minorBidi" w:hAnsiTheme="minorBidi" w:cstheme="minorBidi"/>
        </w:rPr>
        <w:t>MKT</w:t>
      </w:r>
      <w:r w:rsidR="00740BFB" w:rsidRPr="00C04EB0">
        <w:rPr>
          <w:rFonts w:asciiTheme="minorBidi" w:hAnsiTheme="minorBidi" w:cstheme="minorBidi"/>
        </w:rPr>
        <w:t>.</w:t>
      </w:r>
      <w:bookmarkEnd w:id="47"/>
      <w:r w:rsidR="00925A6C" w:rsidRPr="00C04EB0">
        <w:rPr>
          <w:rFonts w:asciiTheme="minorBidi" w:hAnsiTheme="minorBidi" w:cstheme="minorBidi"/>
        </w:rPr>
        <w:t xml:space="preserve"> </w:t>
      </w:r>
    </w:p>
    <w:p w14:paraId="45B8AEAC" w14:textId="1ECDA93B" w:rsidR="00B60B7F" w:rsidRPr="00C04EB0" w:rsidRDefault="003E6100" w:rsidP="00023D47">
      <w:pPr>
        <w:ind w:left="709" w:hanging="709"/>
        <w:jc w:val="both"/>
        <w:rPr>
          <w:rFonts w:asciiTheme="minorBidi" w:hAnsiTheme="minorBidi" w:cstheme="minorBidi"/>
        </w:rPr>
      </w:pPr>
      <w:bookmarkStart w:id="48" w:name="_Toc116055936"/>
      <w:r w:rsidRPr="00C04EB0">
        <w:rPr>
          <w:rFonts w:asciiTheme="minorBidi" w:hAnsiTheme="minorBidi" w:cstheme="minorBidi"/>
        </w:rPr>
        <w:t>5</w:t>
      </w:r>
      <w:r w:rsidR="00BF4FEE" w:rsidRPr="00C04EB0">
        <w:rPr>
          <w:rFonts w:asciiTheme="minorBidi" w:hAnsiTheme="minorBidi" w:cstheme="minorBidi"/>
        </w:rPr>
        <w:t>.3</w:t>
      </w:r>
      <w:r w:rsidR="00BF4FEE" w:rsidRPr="00C04EB0">
        <w:rPr>
          <w:rFonts w:asciiTheme="minorBidi" w:hAnsiTheme="minorBidi" w:cstheme="minorBidi"/>
        </w:rPr>
        <w:tab/>
      </w:r>
      <w:r w:rsidR="007F0FBC" w:rsidRPr="00C04EB0">
        <w:rPr>
          <w:rFonts w:asciiTheme="minorBidi" w:hAnsiTheme="minorBidi" w:cstheme="minorBidi"/>
        </w:rPr>
        <w:t xml:space="preserve">COBS Rule 3.2.1 requires an Authorised Person to take reasonable steps to ensure that any communication to a Person in relation to a Specified Investment is clear, </w:t>
      </w:r>
      <w:proofErr w:type="gramStart"/>
      <w:r w:rsidR="007F0FBC" w:rsidRPr="00C04EB0">
        <w:rPr>
          <w:rFonts w:asciiTheme="minorBidi" w:hAnsiTheme="minorBidi" w:cstheme="minorBidi"/>
        </w:rPr>
        <w:t>fair</w:t>
      </w:r>
      <w:proofErr w:type="gramEnd"/>
      <w:r w:rsidR="007F0FBC" w:rsidRPr="00C04EB0">
        <w:rPr>
          <w:rFonts w:asciiTheme="minorBidi" w:hAnsiTheme="minorBidi" w:cstheme="minorBidi"/>
        </w:rPr>
        <w:t xml:space="preserve"> and not misleading. Similarly, chapter 4 of </w:t>
      </w:r>
      <w:r w:rsidR="00FC6BCA" w:rsidRPr="00C04EB0">
        <w:rPr>
          <w:rFonts w:asciiTheme="minorBidi" w:hAnsiTheme="minorBidi" w:cstheme="minorBidi"/>
        </w:rPr>
        <w:t xml:space="preserve">MKT </w:t>
      </w:r>
      <w:r w:rsidR="007F0FBC" w:rsidRPr="00C04EB0">
        <w:rPr>
          <w:rFonts w:asciiTheme="minorBidi" w:hAnsiTheme="minorBidi" w:cstheme="minorBidi"/>
        </w:rPr>
        <w:t xml:space="preserve">sets out the requirements on a Person who makes or intends to make an Offer of Securities in ADGM. Without limiting any requirements under COBS or </w:t>
      </w:r>
      <w:r w:rsidR="000D677E" w:rsidRPr="00C04EB0">
        <w:rPr>
          <w:rFonts w:asciiTheme="minorBidi" w:hAnsiTheme="minorBidi" w:cstheme="minorBidi"/>
        </w:rPr>
        <w:t>MKT</w:t>
      </w:r>
      <w:r w:rsidR="007F0FBC" w:rsidRPr="00C04EB0">
        <w:rPr>
          <w:rFonts w:asciiTheme="minorBidi" w:hAnsiTheme="minorBidi" w:cstheme="minorBidi"/>
        </w:rPr>
        <w:t xml:space="preserve">, the Regulator has developed the ADGM Green </w:t>
      </w:r>
      <w:r w:rsidR="0013073C" w:rsidRPr="00C04EB0">
        <w:rPr>
          <w:rFonts w:asciiTheme="minorBidi" w:hAnsiTheme="minorBidi" w:cstheme="minorBidi"/>
        </w:rPr>
        <w:t xml:space="preserve">Bond </w:t>
      </w:r>
      <w:r w:rsidR="00906F18" w:rsidRPr="00C04EB0">
        <w:rPr>
          <w:rFonts w:asciiTheme="minorBidi" w:hAnsiTheme="minorBidi" w:cstheme="minorBidi"/>
        </w:rPr>
        <w:t xml:space="preserve">Designation </w:t>
      </w:r>
      <w:r w:rsidR="007F0FBC" w:rsidRPr="00C04EB0">
        <w:rPr>
          <w:rFonts w:asciiTheme="minorBidi" w:hAnsiTheme="minorBidi" w:cstheme="minorBidi"/>
        </w:rPr>
        <w:t>and the ADGM Sustainability</w:t>
      </w:r>
      <w:r w:rsidR="00B60B7F" w:rsidRPr="00C04EB0">
        <w:rPr>
          <w:rFonts w:asciiTheme="minorBidi" w:hAnsiTheme="minorBidi" w:cstheme="minorBidi"/>
        </w:rPr>
        <w:t>-</w:t>
      </w:r>
      <w:r w:rsidR="007F0FBC" w:rsidRPr="00C04EB0">
        <w:rPr>
          <w:rFonts w:asciiTheme="minorBidi" w:hAnsiTheme="minorBidi" w:cstheme="minorBidi"/>
        </w:rPr>
        <w:t xml:space="preserve">Linked </w:t>
      </w:r>
      <w:r w:rsidR="0013073C" w:rsidRPr="00C04EB0">
        <w:rPr>
          <w:rFonts w:asciiTheme="minorBidi" w:hAnsiTheme="minorBidi" w:cstheme="minorBidi"/>
        </w:rPr>
        <w:t xml:space="preserve">Bond </w:t>
      </w:r>
      <w:r w:rsidR="00906F18" w:rsidRPr="00C04EB0">
        <w:rPr>
          <w:rFonts w:asciiTheme="minorBidi" w:hAnsiTheme="minorBidi" w:cstheme="minorBidi"/>
        </w:rPr>
        <w:t xml:space="preserve">Designation </w:t>
      </w:r>
      <w:r w:rsidR="007F0FBC" w:rsidRPr="00C04EB0">
        <w:rPr>
          <w:rFonts w:asciiTheme="minorBidi" w:hAnsiTheme="minorBidi" w:cstheme="minorBidi"/>
        </w:rPr>
        <w:t xml:space="preserve">to indicate that an ADGM Issuer is issuing </w:t>
      </w:r>
      <w:r w:rsidR="00327C55" w:rsidRPr="00C04EB0">
        <w:rPr>
          <w:rFonts w:asciiTheme="minorBidi" w:hAnsiTheme="minorBidi" w:cstheme="minorBidi"/>
        </w:rPr>
        <w:t>a</w:t>
      </w:r>
      <w:r w:rsidR="00BE52FB" w:rsidRPr="00C04EB0">
        <w:rPr>
          <w:rFonts w:asciiTheme="minorBidi" w:hAnsiTheme="minorBidi" w:cstheme="minorBidi"/>
        </w:rPr>
        <w:t xml:space="preserve"> debenture </w:t>
      </w:r>
      <w:r w:rsidR="00892A7F" w:rsidRPr="00C04EB0">
        <w:rPr>
          <w:rFonts w:asciiTheme="minorBidi" w:hAnsiTheme="minorBidi" w:cstheme="minorBidi"/>
        </w:rPr>
        <w:t xml:space="preserve">that it asserts is </w:t>
      </w:r>
      <w:r w:rsidR="007F0FBC" w:rsidRPr="00C04EB0">
        <w:rPr>
          <w:rFonts w:asciiTheme="minorBidi" w:hAnsiTheme="minorBidi" w:cstheme="minorBidi"/>
        </w:rPr>
        <w:t>in accordance with Qualifying Green</w:t>
      </w:r>
      <w:r w:rsidR="003F18C7" w:rsidRPr="00C04EB0">
        <w:rPr>
          <w:rFonts w:asciiTheme="minorBidi" w:hAnsiTheme="minorBidi" w:cstheme="minorBidi"/>
        </w:rPr>
        <w:t xml:space="preserve"> Debenture</w:t>
      </w:r>
      <w:r w:rsidR="007F0FBC" w:rsidRPr="00C04EB0">
        <w:rPr>
          <w:rFonts w:asciiTheme="minorBidi" w:hAnsiTheme="minorBidi" w:cstheme="minorBidi"/>
        </w:rPr>
        <w:t xml:space="preserve"> Principles or Qualifying Sustainability</w:t>
      </w:r>
      <w:r w:rsidR="00327C55" w:rsidRPr="00C04EB0">
        <w:rPr>
          <w:rFonts w:asciiTheme="minorBidi" w:hAnsiTheme="minorBidi" w:cstheme="minorBidi"/>
        </w:rPr>
        <w:t>-</w:t>
      </w:r>
      <w:r w:rsidR="007F0FBC" w:rsidRPr="00C04EB0">
        <w:rPr>
          <w:rFonts w:asciiTheme="minorBidi" w:hAnsiTheme="minorBidi" w:cstheme="minorBidi"/>
        </w:rPr>
        <w:t xml:space="preserve">Linked </w:t>
      </w:r>
      <w:r w:rsidR="003F18C7" w:rsidRPr="00C04EB0">
        <w:rPr>
          <w:rFonts w:asciiTheme="minorBidi" w:hAnsiTheme="minorBidi" w:cstheme="minorBidi"/>
        </w:rPr>
        <w:t xml:space="preserve">Debenture </w:t>
      </w:r>
      <w:r w:rsidR="007F0FBC" w:rsidRPr="00C04EB0">
        <w:rPr>
          <w:rFonts w:asciiTheme="minorBidi" w:hAnsiTheme="minorBidi" w:cstheme="minorBidi"/>
        </w:rPr>
        <w:t>Principles.</w:t>
      </w:r>
      <w:bookmarkEnd w:id="48"/>
      <w:r w:rsidR="007F0FBC" w:rsidRPr="00C04EB0">
        <w:rPr>
          <w:rFonts w:asciiTheme="minorBidi" w:hAnsiTheme="minorBidi" w:cstheme="minorBidi"/>
        </w:rPr>
        <w:t xml:space="preserve"> </w:t>
      </w:r>
    </w:p>
    <w:p w14:paraId="5911C829" w14:textId="64940D7A" w:rsidR="00906F18" w:rsidRPr="00C04EB0" w:rsidRDefault="003E6100" w:rsidP="00023D47">
      <w:pPr>
        <w:ind w:left="709" w:hanging="709"/>
        <w:jc w:val="both"/>
        <w:rPr>
          <w:rFonts w:asciiTheme="minorBidi" w:hAnsiTheme="minorBidi" w:cstheme="minorBidi"/>
        </w:rPr>
      </w:pPr>
      <w:bookmarkStart w:id="49" w:name="_Toc116055937"/>
      <w:r w:rsidRPr="00C04EB0">
        <w:rPr>
          <w:rFonts w:asciiTheme="minorBidi" w:hAnsiTheme="minorBidi" w:cstheme="minorBidi"/>
        </w:rPr>
        <w:t>5</w:t>
      </w:r>
      <w:r w:rsidR="00BF4FEE" w:rsidRPr="00C04EB0">
        <w:rPr>
          <w:rFonts w:asciiTheme="minorBidi" w:hAnsiTheme="minorBidi" w:cstheme="minorBidi"/>
        </w:rPr>
        <w:t>.4</w:t>
      </w:r>
      <w:r w:rsidR="00BF4FEE" w:rsidRPr="00C04EB0">
        <w:rPr>
          <w:rFonts w:asciiTheme="minorBidi" w:hAnsiTheme="minorBidi" w:cstheme="minorBidi"/>
        </w:rPr>
        <w:tab/>
      </w:r>
      <w:r w:rsidR="00B60B7F" w:rsidRPr="00C04EB0">
        <w:rPr>
          <w:rFonts w:asciiTheme="minorBidi" w:hAnsiTheme="minorBidi" w:cstheme="minorBidi"/>
        </w:rPr>
        <w:t>T</w:t>
      </w:r>
      <w:r w:rsidR="007F0FBC" w:rsidRPr="00C04EB0">
        <w:rPr>
          <w:rFonts w:asciiTheme="minorBidi" w:hAnsiTheme="minorBidi" w:cstheme="minorBidi"/>
        </w:rPr>
        <w:t>his section only appl</w:t>
      </w:r>
      <w:r w:rsidR="00B60B7F" w:rsidRPr="00C04EB0">
        <w:rPr>
          <w:rFonts w:asciiTheme="minorBidi" w:hAnsiTheme="minorBidi" w:cstheme="minorBidi"/>
        </w:rPr>
        <w:t>ies</w:t>
      </w:r>
      <w:r w:rsidR="007F0FBC" w:rsidRPr="00C04EB0">
        <w:rPr>
          <w:rFonts w:asciiTheme="minorBidi" w:hAnsiTheme="minorBidi" w:cstheme="minorBidi"/>
        </w:rPr>
        <w:t xml:space="preserve"> to those Persons electing to </w:t>
      </w:r>
      <w:r w:rsidR="00906F18" w:rsidRPr="00C04EB0">
        <w:rPr>
          <w:rFonts w:asciiTheme="minorBidi" w:hAnsiTheme="minorBidi" w:cstheme="minorBidi"/>
        </w:rPr>
        <w:t xml:space="preserve">apply for </w:t>
      </w:r>
      <w:r w:rsidR="007F0FBC" w:rsidRPr="00C04EB0">
        <w:rPr>
          <w:rFonts w:asciiTheme="minorBidi" w:hAnsiTheme="minorBidi" w:cstheme="minorBidi"/>
        </w:rPr>
        <w:t xml:space="preserve">the ADGM Green </w:t>
      </w:r>
      <w:r w:rsidR="0013073C" w:rsidRPr="00C04EB0">
        <w:rPr>
          <w:rFonts w:asciiTheme="minorBidi" w:hAnsiTheme="minorBidi" w:cstheme="minorBidi"/>
        </w:rPr>
        <w:t xml:space="preserve">Bond </w:t>
      </w:r>
      <w:r w:rsidR="00906F18" w:rsidRPr="00C04EB0">
        <w:rPr>
          <w:rFonts w:asciiTheme="minorBidi" w:hAnsiTheme="minorBidi" w:cstheme="minorBidi"/>
        </w:rPr>
        <w:t xml:space="preserve">Designation </w:t>
      </w:r>
      <w:r w:rsidR="007F0FBC" w:rsidRPr="00C04EB0">
        <w:rPr>
          <w:rFonts w:asciiTheme="minorBidi" w:hAnsiTheme="minorBidi" w:cstheme="minorBidi"/>
        </w:rPr>
        <w:t>or the ADGM Sustainability</w:t>
      </w:r>
      <w:r w:rsidR="00C20A07" w:rsidRPr="00C04EB0">
        <w:rPr>
          <w:rFonts w:asciiTheme="minorBidi" w:hAnsiTheme="minorBidi" w:cstheme="minorBidi"/>
        </w:rPr>
        <w:t>-</w:t>
      </w:r>
      <w:r w:rsidR="007F0FBC" w:rsidRPr="00C04EB0">
        <w:rPr>
          <w:rFonts w:asciiTheme="minorBidi" w:hAnsiTheme="minorBidi" w:cstheme="minorBidi"/>
        </w:rPr>
        <w:t xml:space="preserve">Linked </w:t>
      </w:r>
      <w:r w:rsidR="00F80136" w:rsidRPr="00C04EB0">
        <w:rPr>
          <w:rFonts w:asciiTheme="minorBidi" w:hAnsiTheme="minorBidi" w:cstheme="minorBidi"/>
        </w:rPr>
        <w:t>Bond Designation</w:t>
      </w:r>
      <w:r w:rsidR="007F0FBC" w:rsidRPr="00C04EB0">
        <w:rPr>
          <w:rFonts w:asciiTheme="minorBidi" w:hAnsiTheme="minorBidi" w:cstheme="minorBidi"/>
        </w:rPr>
        <w:t xml:space="preserve">. </w:t>
      </w:r>
      <w:r w:rsidR="00530E2A" w:rsidRPr="00C04EB0">
        <w:rPr>
          <w:rFonts w:asciiTheme="minorBidi" w:hAnsiTheme="minorBidi" w:cstheme="minorBidi"/>
        </w:rPr>
        <w:t xml:space="preserve">Such </w:t>
      </w:r>
      <w:r w:rsidR="007F0FBC" w:rsidRPr="00C04EB0">
        <w:rPr>
          <w:rFonts w:asciiTheme="minorBidi" w:hAnsiTheme="minorBidi" w:cstheme="minorBidi"/>
        </w:rPr>
        <w:t xml:space="preserve">Persons may elect to use the ADGM Green </w:t>
      </w:r>
      <w:r w:rsidR="00F80136" w:rsidRPr="00C04EB0">
        <w:rPr>
          <w:rFonts w:asciiTheme="minorBidi" w:hAnsiTheme="minorBidi" w:cstheme="minorBidi"/>
        </w:rPr>
        <w:t xml:space="preserve">Bond </w:t>
      </w:r>
      <w:r w:rsidR="00F63999" w:rsidRPr="00C04EB0">
        <w:rPr>
          <w:rFonts w:asciiTheme="minorBidi" w:hAnsiTheme="minorBidi" w:cstheme="minorBidi"/>
        </w:rPr>
        <w:t xml:space="preserve">mark </w:t>
      </w:r>
      <w:r w:rsidR="007F0FBC" w:rsidRPr="00C04EB0">
        <w:rPr>
          <w:rFonts w:asciiTheme="minorBidi" w:hAnsiTheme="minorBidi" w:cstheme="minorBidi"/>
        </w:rPr>
        <w:t>or the ADGM Sustainability</w:t>
      </w:r>
      <w:r w:rsidR="00226DD5" w:rsidRPr="00C04EB0">
        <w:rPr>
          <w:rFonts w:asciiTheme="minorBidi" w:hAnsiTheme="minorBidi" w:cstheme="minorBidi"/>
        </w:rPr>
        <w:t>-</w:t>
      </w:r>
      <w:r w:rsidR="007F0FBC" w:rsidRPr="00C04EB0">
        <w:rPr>
          <w:rFonts w:asciiTheme="minorBidi" w:hAnsiTheme="minorBidi" w:cstheme="minorBidi"/>
        </w:rPr>
        <w:t xml:space="preserve">Linked </w:t>
      </w:r>
      <w:r w:rsidR="00F80136" w:rsidRPr="00C04EB0">
        <w:rPr>
          <w:rFonts w:asciiTheme="minorBidi" w:hAnsiTheme="minorBidi" w:cstheme="minorBidi"/>
        </w:rPr>
        <w:t xml:space="preserve">Bond </w:t>
      </w:r>
      <w:r w:rsidR="00F63999" w:rsidRPr="00C04EB0">
        <w:rPr>
          <w:rFonts w:asciiTheme="minorBidi" w:hAnsiTheme="minorBidi" w:cstheme="minorBidi"/>
        </w:rPr>
        <w:t xml:space="preserve">mark </w:t>
      </w:r>
      <w:r w:rsidR="007F0FBC" w:rsidRPr="00C04EB0">
        <w:rPr>
          <w:rFonts w:asciiTheme="minorBidi" w:hAnsiTheme="minorBidi" w:cstheme="minorBidi"/>
        </w:rPr>
        <w:t xml:space="preserve">to indicate to that the </w:t>
      </w:r>
      <w:r w:rsidR="00906F18" w:rsidRPr="00C04EB0">
        <w:rPr>
          <w:rFonts w:asciiTheme="minorBidi" w:hAnsiTheme="minorBidi" w:cstheme="minorBidi"/>
        </w:rPr>
        <w:t>applicable</w:t>
      </w:r>
      <w:r w:rsidR="007F0FBC" w:rsidRPr="00C04EB0">
        <w:rPr>
          <w:rFonts w:asciiTheme="minorBidi" w:hAnsiTheme="minorBidi" w:cstheme="minorBidi"/>
        </w:rPr>
        <w:t xml:space="preserve"> </w:t>
      </w:r>
      <w:r w:rsidR="00540346" w:rsidRPr="00C04EB0">
        <w:rPr>
          <w:rFonts w:asciiTheme="minorBidi" w:hAnsiTheme="minorBidi" w:cstheme="minorBidi"/>
        </w:rPr>
        <w:t>Security</w:t>
      </w:r>
      <w:r w:rsidR="00906F18" w:rsidRPr="00C04EB0">
        <w:rPr>
          <w:rFonts w:asciiTheme="minorBidi" w:hAnsiTheme="minorBidi" w:cstheme="minorBidi"/>
        </w:rPr>
        <w:t xml:space="preserve"> has </w:t>
      </w:r>
      <w:r w:rsidR="00327C55" w:rsidRPr="00C04EB0">
        <w:rPr>
          <w:rFonts w:asciiTheme="minorBidi" w:hAnsiTheme="minorBidi" w:cstheme="minorBidi"/>
        </w:rPr>
        <w:t>the</w:t>
      </w:r>
      <w:r w:rsidR="00906F18" w:rsidRPr="00C04EB0">
        <w:rPr>
          <w:rFonts w:asciiTheme="minorBidi" w:hAnsiTheme="minorBidi" w:cstheme="minorBidi"/>
        </w:rPr>
        <w:t xml:space="preserve"> ADGM Green </w:t>
      </w:r>
      <w:r w:rsidR="0013073C" w:rsidRPr="00C04EB0">
        <w:rPr>
          <w:rFonts w:asciiTheme="minorBidi" w:hAnsiTheme="minorBidi" w:cstheme="minorBidi"/>
        </w:rPr>
        <w:t xml:space="preserve">Bond </w:t>
      </w:r>
      <w:r w:rsidR="00906F18" w:rsidRPr="00C04EB0">
        <w:rPr>
          <w:rFonts w:asciiTheme="minorBidi" w:hAnsiTheme="minorBidi" w:cstheme="minorBidi"/>
        </w:rPr>
        <w:t>Designation or the ADGM Sustainability</w:t>
      </w:r>
      <w:r w:rsidR="00226DD5" w:rsidRPr="00C04EB0">
        <w:rPr>
          <w:rFonts w:asciiTheme="minorBidi" w:hAnsiTheme="minorBidi" w:cstheme="minorBidi"/>
        </w:rPr>
        <w:t>-</w:t>
      </w:r>
      <w:r w:rsidR="00906F18" w:rsidRPr="00C04EB0">
        <w:rPr>
          <w:rFonts w:asciiTheme="minorBidi" w:hAnsiTheme="minorBidi" w:cstheme="minorBidi"/>
        </w:rPr>
        <w:t xml:space="preserve">Linked </w:t>
      </w:r>
      <w:r w:rsidR="00F80136" w:rsidRPr="00C04EB0">
        <w:rPr>
          <w:rFonts w:asciiTheme="minorBidi" w:hAnsiTheme="minorBidi" w:cstheme="minorBidi"/>
        </w:rPr>
        <w:t>Bond Designation</w:t>
      </w:r>
      <w:r w:rsidR="00906F18" w:rsidRPr="00C04EB0">
        <w:rPr>
          <w:rFonts w:asciiTheme="minorBidi" w:hAnsiTheme="minorBidi" w:cstheme="minorBidi"/>
        </w:rPr>
        <w:t>.</w:t>
      </w:r>
      <w:bookmarkEnd w:id="49"/>
      <w:r w:rsidR="00906F18" w:rsidRPr="00C04EB0">
        <w:rPr>
          <w:rFonts w:asciiTheme="minorBidi" w:hAnsiTheme="minorBidi" w:cstheme="minorBidi"/>
        </w:rPr>
        <w:t xml:space="preserve"> </w:t>
      </w:r>
    </w:p>
    <w:p w14:paraId="1A38B845" w14:textId="346DFA2F" w:rsidR="00D62393" w:rsidRPr="00C04EB0" w:rsidRDefault="003E6100" w:rsidP="00023D47">
      <w:pPr>
        <w:ind w:left="709" w:hanging="709"/>
        <w:jc w:val="both"/>
        <w:rPr>
          <w:rFonts w:asciiTheme="minorBidi" w:hAnsiTheme="minorBidi" w:cstheme="minorBidi"/>
        </w:rPr>
      </w:pPr>
      <w:bookmarkStart w:id="50" w:name="_Toc116055938"/>
      <w:r w:rsidRPr="00C04EB0">
        <w:rPr>
          <w:rFonts w:asciiTheme="minorBidi" w:hAnsiTheme="minorBidi" w:cstheme="minorBidi"/>
        </w:rPr>
        <w:t>5</w:t>
      </w:r>
      <w:r w:rsidR="00BF4FEE" w:rsidRPr="00C04EB0">
        <w:rPr>
          <w:rFonts w:asciiTheme="minorBidi" w:hAnsiTheme="minorBidi" w:cstheme="minorBidi"/>
        </w:rPr>
        <w:t>.5</w:t>
      </w:r>
      <w:r w:rsidR="00BF4FEE" w:rsidRPr="00C04EB0">
        <w:rPr>
          <w:rFonts w:asciiTheme="minorBidi" w:hAnsiTheme="minorBidi" w:cstheme="minorBidi"/>
        </w:rPr>
        <w:tab/>
      </w:r>
      <w:r w:rsidR="007F0FBC" w:rsidRPr="00C04EB0">
        <w:rPr>
          <w:rFonts w:asciiTheme="minorBidi" w:hAnsiTheme="minorBidi" w:cstheme="minorBidi"/>
        </w:rPr>
        <w:t xml:space="preserve">Persons are not required under FSMR </w:t>
      </w:r>
      <w:r w:rsidR="00E73DFA" w:rsidRPr="00C04EB0">
        <w:rPr>
          <w:rFonts w:asciiTheme="minorBidi" w:hAnsiTheme="minorBidi" w:cstheme="minorBidi"/>
        </w:rPr>
        <w:t xml:space="preserve">or applicable Rules to obtain an ADGM Green </w:t>
      </w:r>
      <w:r w:rsidR="0013073C" w:rsidRPr="00C04EB0">
        <w:rPr>
          <w:rFonts w:asciiTheme="minorBidi" w:hAnsiTheme="minorBidi" w:cstheme="minorBidi"/>
        </w:rPr>
        <w:t xml:space="preserve">Bond </w:t>
      </w:r>
      <w:r w:rsidR="00E73DFA" w:rsidRPr="00C04EB0">
        <w:rPr>
          <w:rFonts w:asciiTheme="minorBidi" w:hAnsiTheme="minorBidi" w:cstheme="minorBidi"/>
        </w:rPr>
        <w:t xml:space="preserve">Designation or ADGM Sustainability-Linked </w:t>
      </w:r>
      <w:r w:rsidR="0013073C" w:rsidRPr="00C04EB0">
        <w:rPr>
          <w:rFonts w:asciiTheme="minorBidi" w:hAnsiTheme="minorBidi" w:cstheme="minorBidi"/>
        </w:rPr>
        <w:t xml:space="preserve">Bond </w:t>
      </w:r>
      <w:proofErr w:type="gramStart"/>
      <w:r w:rsidR="00E73DFA" w:rsidRPr="00C04EB0">
        <w:rPr>
          <w:rFonts w:asciiTheme="minorBidi" w:hAnsiTheme="minorBidi" w:cstheme="minorBidi"/>
        </w:rPr>
        <w:t>Designation</w:t>
      </w:r>
      <w:r w:rsidR="00530E2A" w:rsidRPr="00C04EB0">
        <w:rPr>
          <w:rFonts w:asciiTheme="minorBidi" w:hAnsiTheme="minorBidi" w:cstheme="minorBidi"/>
        </w:rPr>
        <w:t>,</w:t>
      </w:r>
      <w:r w:rsidR="00E73DFA" w:rsidRPr="00C04EB0">
        <w:rPr>
          <w:rFonts w:asciiTheme="minorBidi" w:hAnsiTheme="minorBidi" w:cstheme="minorBidi"/>
        </w:rPr>
        <w:t xml:space="preserve"> or</w:t>
      </w:r>
      <w:proofErr w:type="gramEnd"/>
      <w:r w:rsidR="00E73DFA" w:rsidRPr="00C04EB0">
        <w:rPr>
          <w:rFonts w:asciiTheme="minorBidi" w:hAnsiTheme="minorBidi" w:cstheme="minorBidi"/>
        </w:rPr>
        <w:t xml:space="preserve"> </w:t>
      </w:r>
      <w:r w:rsidR="007F0FBC" w:rsidRPr="00C04EB0">
        <w:rPr>
          <w:rFonts w:asciiTheme="minorBidi" w:hAnsiTheme="minorBidi" w:cstheme="minorBidi"/>
        </w:rPr>
        <w:t xml:space="preserve">use the ADGM Green </w:t>
      </w:r>
      <w:r w:rsidR="00F80136" w:rsidRPr="00C04EB0">
        <w:rPr>
          <w:rFonts w:asciiTheme="minorBidi" w:hAnsiTheme="minorBidi" w:cstheme="minorBidi"/>
        </w:rPr>
        <w:t xml:space="preserve">Bond </w:t>
      </w:r>
      <w:r w:rsidR="00F63999" w:rsidRPr="00C04EB0">
        <w:rPr>
          <w:rFonts w:asciiTheme="minorBidi" w:hAnsiTheme="minorBidi" w:cstheme="minorBidi"/>
        </w:rPr>
        <w:t xml:space="preserve">mark </w:t>
      </w:r>
      <w:r w:rsidR="007F0FBC" w:rsidRPr="00C04EB0">
        <w:rPr>
          <w:rFonts w:asciiTheme="minorBidi" w:hAnsiTheme="minorBidi" w:cstheme="minorBidi"/>
        </w:rPr>
        <w:t>or ADGM Sustainability</w:t>
      </w:r>
      <w:r w:rsidR="00226DD5" w:rsidRPr="00C04EB0">
        <w:rPr>
          <w:rFonts w:asciiTheme="minorBidi" w:hAnsiTheme="minorBidi" w:cstheme="minorBidi"/>
        </w:rPr>
        <w:t>-</w:t>
      </w:r>
      <w:r w:rsidR="007F0FBC" w:rsidRPr="00C04EB0">
        <w:rPr>
          <w:rFonts w:asciiTheme="minorBidi" w:hAnsiTheme="minorBidi" w:cstheme="minorBidi"/>
        </w:rPr>
        <w:t xml:space="preserve">Linked </w:t>
      </w:r>
      <w:r w:rsidR="00F80136" w:rsidRPr="00C04EB0">
        <w:rPr>
          <w:rFonts w:asciiTheme="minorBidi" w:hAnsiTheme="minorBidi" w:cstheme="minorBidi"/>
        </w:rPr>
        <w:t xml:space="preserve">Bond </w:t>
      </w:r>
      <w:r w:rsidR="00F63999" w:rsidRPr="00C04EB0">
        <w:rPr>
          <w:rFonts w:asciiTheme="minorBidi" w:hAnsiTheme="minorBidi" w:cstheme="minorBidi"/>
        </w:rPr>
        <w:t>mark</w:t>
      </w:r>
      <w:r w:rsidR="00530E2A" w:rsidRPr="00C04EB0">
        <w:rPr>
          <w:rFonts w:asciiTheme="minorBidi" w:hAnsiTheme="minorBidi" w:cstheme="minorBidi"/>
        </w:rPr>
        <w:t>,</w:t>
      </w:r>
      <w:r w:rsidR="007F0FBC" w:rsidRPr="00C04EB0">
        <w:rPr>
          <w:rFonts w:asciiTheme="minorBidi" w:hAnsiTheme="minorBidi" w:cstheme="minorBidi"/>
        </w:rPr>
        <w:t xml:space="preserve"> in any marketing materials, </w:t>
      </w:r>
      <w:r w:rsidR="00BE18B4" w:rsidRPr="00C04EB0">
        <w:rPr>
          <w:rFonts w:asciiTheme="minorBidi" w:hAnsiTheme="minorBidi" w:cstheme="minorBidi"/>
        </w:rPr>
        <w:t>Prospectus</w:t>
      </w:r>
      <w:r w:rsidR="007F0FBC" w:rsidRPr="00C04EB0">
        <w:rPr>
          <w:rFonts w:asciiTheme="minorBidi" w:hAnsiTheme="minorBidi" w:cstheme="minorBidi"/>
        </w:rPr>
        <w:t xml:space="preserve"> or other communications relating to </w:t>
      </w:r>
      <w:r w:rsidR="00540346" w:rsidRPr="00C04EB0">
        <w:rPr>
          <w:rFonts w:asciiTheme="minorBidi" w:hAnsiTheme="minorBidi" w:cstheme="minorBidi"/>
        </w:rPr>
        <w:t>Securit</w:t>
      </w:r>
      <w:r w:rsidR="00226DD5" w:rsidRPr="00C04EB0">
        <w:rPr>
          <w:rFonts w:asciiTheme="minorBidi" w:hAnsiTheme="minorBidi" w:cstheme="minorBidi"/>
        </w:rPr>
        <w:t>ie</w:t>
      </w:r>
      <w:r w:rsidR="007F0FBC" w:rsidRPr="00C04EB0">
        <w:rPr>
          <w:rFonts w:asciiTheme="minorBidi" w:hAnsiTheme="minorBidi" w:cstheme="minorBidi"/>
        </w:rPr>
        <w:t>s. As a result, the requirements set out in this section will not apply to any Person that elect</w:t>
      </w:r>
      <w:r w:rsidR="00530E2A" w:rsidRPr="00C04EB0">
        <w:rPr>
          <w:rFonts w:asciiTheme="minorBidi" w:hAnsiTheme="minorBidi" w:cstheme="minorBidi"/>
        </w:rPr>
        <w:t>s not</w:t>
      </w:r>
      <w:r w:rsidR="007F0FBC" w:rsidRPr="00C04EB0">
        <w:rPr>
          <w:rFonts w:asciiTheme="minorBidi" w:hAnsiTheme="minorBidi" w:cstheme="minorBidi"/>
        </w:rPr>
        <w:t xml:space="preserve"> to </w:t>
      </w:r>
      <w:r w:rsidR="00327C55" w:rsidRPr="00C04EB0">
        <w:rPr>
          <w:rFonts w:asciiTheme="minorBidi" w:hAnsiTheme="minorBidi" w:cstheme="minorBidi"/>
        </w:rPr>
        <w:t xml:space="preserve">obtain an ADGM Green </w:t>
      </w:r>
      <w:r w:rsidR="0037208E" w:rsidRPr="00C04EB0">
        <w:rPr>
          <w:rFonts w:asciiTheme="minorBidi" w:hAnsiTheme="minorBidi" w:cstheme="minorBidi"/>
        </w:rPr>
        <w:t xml:space="preserve">Bond </w:t>
      </w:r>
      <w:r w:rsidR="00327C55" w:rsidRPr="00C04EB0">
        <w:rPr>
          <w:rFonts w:asciiTheme="minorBidi" w:hAnsiTheme="minorBidi" w:cstheme="minorBidi"/>
        </w:rPr>
        <w:t xml:space="preserve">Designation or ADGM Sustainability-Linked </w:t>
      </w:r>
      <w:r w:rsidR="0037208E" w:rsidRPr="00C04EB0">
        <w:rPr>
          <w:rFonts w:asciiTheme="minorBidi" w:hAnsiTheme="minorBidi" w:cstheme="minorBidi"/>
        </w:rPr>
        <w:t xml:space="preserve">Bond </w:t>
      </w:r>
      <w:proofErr w:type="gramStart"/>
      <w:r w:rsidR="00327C55" w:rsidRPr="00C04EB0">
        <w:rPr>
          <w:rFonts w:asciiTheme="minorBidi" w:hAnsiTheme="minorBidi" w:cstheme="minorBidi"/>
        </w:rPr>
        <w:t>Designation</w:t>
      </w:r>
      <w:r w:rsidR="00530E2A" w:rsidRPr="00C04EB0">
        <w:rPr>
          <w:rFonts w:asciiTheme="minorBidi" w:hAnsiTheme="minorBidi" w:cstheme="minorBidi"/>
        </w:rPr>
        <w:t>, or</w:t>
      </w:r>
      <w:proofErr w:type="gramEnd"/>
      <w:r w:rsidR="00530E2A" w:rsidRPr="00C04EB0">
        <w:rPr>
          <w:rFonts w:asciiTheme="minorBidi" w:hAnsiTheme="minorBidi" w:cstheme="minorBidi"/>
        </w:rPr>
        <w:t xml:space="preserve"> does not wish to </w:t>
      </w:r>
      <w:r w:rsidR="007F0FBC" w:rsidRPr="00C04EB0">
        <w:rPr>
          <w:rFonts w:asciiTheme="minorBidi" w:hAnsiTheme="minorBidi" w:cstheme="minorBidi"/>
        </w:rPr>
        <w:t xml:space="preserve">use the ADGM Green </w:t>
      </w:r>
      <w:r w:rsidR="00F80136" w:rsidRPr="00C04EB0">
        <w:rPr>
          <w:rFonts w:asciiTheme="minorBidi" w:hAnsiTheme="minorBidi" w:cstheme="minorBidi"/>
        </w:rPr>
        <w:t xml:space="preserve">Bond </w:t>
      </w:r>
      <w:r w:rsidR="00F63999" w:rsidRPr="00C04EB0">
        <w:rPr>
          <w:rFonts w:asciiTheme="minorBidi" w:hAnsiTheme="minorBidi" w:cstheme="minorBidi"/>
        </w:rPr>
        <w:t xml:space="preserve">mark </w:t>
      </w:r>
      <w:r w:rsidR="007F0FBC" w:rsidRPr="00C04EB0">
        <w:rPr>
          <w:rFonts w:asciiTheme="minorBidi" w:hAnsiTheme="minorBidi" w:cstheme="minorBidi"/>
        </w:rPr>
        <w:t>or ADGM Sustainability Linked</w:t>
      </w:r>
      <w:r w:rsidR="00D62393" w:rsidRPr="00C04EB0">
        <w:rPr>
          <w:rFonts w:asciiTheme="minorBidi" w:hAnsiTheme="minorBidi" w:cstheme="minorBidi"/>
        </w:rPr>
        <w:t>-</w:t>
      </w:r>
      <w:r w:rsidR="00F80136" w:rsidRPr="00C04EB0">
        <w:rPr>
          <w:rFonts w:asciiTheme="minorBidi" w:hAnsiTheme="minorBidi" w:cstheme="minorBidi"/>
        </w:rPr>
        <w:t xml:space="preserve">Bond </w:t>
      </w:r>
      <w:r w:rsidR="00F63999" w:rsidRPr="00C04EB0">
        <w:rPr>
          <w:rFonts w:asciiTheme="minorBidi" w:hAnsiTheme="minorBidi" w:cstheme="minorBidi"/>
        </w:rPr>
        <w:t xml:space="preserve">mark </w:t>
      </w:r>
      <w:r w:rsidR="007F0FBC" w:rsidRPr="00C04EB0">
        <w:rPr>
          <w:rFonts w:asciiTheme="minorBidi" w:hAnsiTheme="minorBidi" w:cstheme="minorBidi"/>
        </w:rPr>
        <w:t xml:space="preserve">in the marketing materials, </w:t>
      </w:r>
      <w:r w:rsidR="00BE18B4" w:rsidRPr="00C04EB0">
        <w:rPr>
          <w:rFonts w:asciiTheme="minorBidi" w:hAnsiTheme="minorBidi" w:cstheme="minorBidi"/>
        </w:rPr>
        <w:t>Prospectus</w:t>
      </w:r>
      <w:r w:rsidR="007F0FBC" w:rsidRPr="00C04EB0">
        <w:rPr>
          <w:rFonts w:asciiTheme="minorBidi" w:hAnsiTheme="minorBidi" w:cstheme="minorBidi"/>
        </w:rPr>
        <w:t xml:space="preserve"> or other communications relating to relevant </w:t>
      </w:r>
      <w:r w:rsidR="00540346" w:rsidRPr="00C04EB0">
        <w:rPr>
          <w:rFonts w:asciiTheme="minorBidi" w:hAnsiTheme="minorBidi" w:cstheme="minorBidi"/>
        </w:rPr>
        <w:t>Securit</w:t>
      </w:r>
      <w:r w:rsidR="00226DD5" w:rsidRPr="00C04EB0">
        <w:rPr>
          <w:rFonts w:asciiTheme="minorBidi" w:hAnsiTheme="minorBidi" w:cstheme="minorBidi"/>
        </w:rPr>
        <w:t>ie</w:t>
      </w:r>
      <w:r w:rsidR="007F0FBC" w:rsidRPr="00C04EB0">
        <w:rPr>
          <w:rFonts w:asciiTheme="minorBidi" w:hAnsiTheme="minorBidi" w:cstheme="minorBidi"/>
        </w:rPr>
        <w:t>s.</w:t>
      </w:r>
      <w:bookmarkEnd w:id="50"/>
      <w:r w:rsidR="007F0FBC" w:rsidRPr="00C04EB0">
        <w:rPr>
          <w:rFonts w:asciiTheme="minorBidi" w:hAnsiTheme="minorBidi" w:cstheme="minorBidi"/>
        </w:rPr>
        <w:t xml:space="preserve"> </w:t>
      </w:r>
    </w:p>
    <w:p w14:paraId="0D01EDB6" w14:textId="01440D7D" w:rsidR="007F0FBC" w:rsidRPr="00C04EB0" w:rsidRDefault="002E0426">
      <w:pPr>
        <w:ind w:left="709" w:hanging="709"/>
        <w:jc w:val="both"/>
        <w:rPr>
          <w:rFonts w:asciiTheme="minorBidi" w:hAnsiTheme="minorBidi" w:cstheme="minorBidi"/>
        </w:rPr>
      </w:pPr>
      <w:bookmarkStart w:id="51" w:name="_Toc116055939"/>
      <w:r w:rsidRPr="00C04EB0">
        <w:rPr>
          <w:rFonts w:asciiTheme="minorBidi" w:hAnsiTheme="minorBidi" w:cstheme="minorBidi"/>
        </w:rPr>
        <w:t>5</w:t>
      </w:r>
      <w:r w:rsidR="00BF4FEE" w:rsidRPr="00C04EB0">
        <w:rPr>
          <w:rFonts w:asciiTheme="minorBidi" w:hAnsiTheme="minorBidi" w:cstheme="minorBidi"/>
        </w:rPr>
        <w:t>.6</w:t>
      </w:r>
      <w:r w:rsidR="00BF4FEE" w:rsidRPr="00C04EB0">
        <w:rPr>
          <w:rFonts w:asciiTheme="minorBidi" w:hAnsiTheme="minorBidi" w:cstheme="minorBidi"/>
        </w:rPr>
        <w:tab/>
      </w:r>
      <w:r w:rsidR="007F0FBC" w:rsidRPr="00C04EB0">
        <w:rPr>
          <w:rFonts w:asciiTheme="minorBidi" w:hAnsiTheme="minorBidi" w:cstheme="minorBidi"/>
        </w:rPr>
        <w:t xml:space="preserve">However, the Regulator considers </w:t>
      </w:r>
      <w:r w:rsidR="003F18C7" w:rsidRPr="00C04EB0">
        <w:rPr>
          <w:rFonts w:asciiTheme="minorBidi" w:hAnsiTheme="minorBidi" w:cstheme="minorBidi"/>
        </w:rPr>
        <w:t>g</w:t>
      </w:r>
      <w:r w:rsidR="007F0FBC" w:rsidRPr="00C04EB0">
        <w:rPr>
          <w:rFonts w:asciiTheme="minorBidi" w:hAnsiTheme="minorBidi" w:cstheme="minorBidi"/>
        </w:rPr>
        <w:t xml:space="preserve">reenwashing to present a material risk to one or more of its objectives set out in section 1 of FSMR. Persons electing not </w:t>
      </w:r>
      <w:r w:rsidR="002A5173" w:rsidRPr="00C04EB0">
        <w:rPr>
          <w:rFonts w:asciiTheme="minorBidi" w:hAnsiTheme="minorBidi" w:cstheme="minorBidi"/>
        </w:rPr>
        <w:t>to</w:t>
      </w:r>
      <w:r w:rsidR="007F0FBC" w:rsidRPr="00C04EB0">
        <w:rPr>
          <w:rFonts w:asciiTheme="minorBidi" w:hAnsiTheme="minorBidi" w:cstheme="minorBidi"/>
        </w:rPr>
        <w:t xml:space="preserve"> </w:t>
      </w:r>
      <w:r w:rsidR="00327C55" w:rsidRPr="00C04EB0">
        <w:rPr>
          <w:rFonts w:asciiTheme="minorBidi" w:hAnsiTheme="minorBidi" w:cstheme="minorBidi"/>
        </w:rPr>
        <w:t xml:space="preserve">obtain an ADGM Green </w:t>
      </w:r>
      <w:r w:rsidR="0037208E" w:rsidRPr="00C04EB0">
        <w:rPr>
          <w:rFonts w:asciiTheme="minorBidi" w:hAnsiTheme="minorBidi" w:cstheme="minorBidi"/>
        </w:rPr>
        <w:t xml:space="preserve">Bond </w:t>
      </w:r>
      <w:r w:rsidR="00327C55" w:rsidRPr="00C04EB0">
        <w:rPr>
          <w:rFonts w:asciiTheme="minorBidi" w:hAnsiTheme="minorBidi" w:cstheme="minorBidi"/>
        </w:rPr>
        <w:t xml:space="preserve">Designation or ADGM Sustainability-Linked </w:t>
      </w:r>
      <w:r w:rsidR="0037208E" w:rsidRPr="00C04EB0">
        <w:rPr>
          <w:rFonts w:asciiTheme="minorBidi" w:hAnsiTheme="minorBidi" w:cstheme="minorBidi"/>
        </w:rPr>
        <w:t xml:space="preserve">Bond </w:t>
      </w:r>
      <w:r w:rsidR="00327C55" w:rsidRPr="00C04EB0">
        <w:rPr>
          <w:rFonts w:asciiTheme="minorBidi" w:hAnsiTheme="minorBidi" w:cstheme="minorBidi"/>
        </w:rPr>
        <w:t xml:space="preserve">Designation </w:t>
      </w:r>
      <w:r w:rsidR="007F0FBC" w:rsidRPr="00C04EB0">
        <w:rPr>
          <w:rFonts w:asciiTheme="minorBidi" w:hAnsiTheme="minorBidi" w:cstheme="minorBidi"/>
        </w:rPr>
        <w:t xml:space="preserve">and otherwise indicating that the issuance of </w:t>
      </w:r>
      <w:r w:rsidR="00540346" w:rsidRPr="00C04EB0">
        <w:rPr>
          <w:rFonts w:asciiTheme="minorBidi" w:hAnsiTheme="minorBidi" w:cstheme="minorBidi"/>
        </w:rPr>
        <w:t>Securit</w:t>
      </w:r>
      <w:r w:rsidR="00226DD5" w:rsidRPr="00C04EB0">
        <w:rPr>
          <w:rFonts w:asciiTheme="minorBidi" w:hAnsiTheme="minorBidi" w:cstheme="minorBidi"/>
        </w:rPr>
        <w:t>ie</w:t>
      </w:r>
      <w:r w:rsidR="007F0FBC" w:rsidRPr="00C04EB0">
        <w:rPr>
          <w:rFonts w:asciiTheme="minorBidi" w:hAnsiTheme="minorBidi" w:cstheme="minorBidi"/>
        </w:rPr>
        <w:t>s is pursuing green or sustainability-linked objectives should establish and maintain systems and controls to mitigate Greenwashing risk.</w:t>
      </w:r>
      <w:bookmarkEnd w:id="51"/>
    </w:p>
    <w:p w14:paraId="4BF0575F" w14:textId="33D6BE3C" w:rsidR="00A92EDB" w:rsidRPr="00C04EB0" w:rsidRDefault="00571EFA" w:rsidP="00023D47">
      <w:pPr>
        <w:ind w:left="709" w:hanging="709"/>
        <w:jc w:val="both"/>
        <w:rPr>
          <w:rFonts w:asciiTheme="minorBidi" w:hAnsiTheme="minorBidi" w:cstheme="minorBidi"/>
        </w:rPr>
      </w:pPr>
      <w:bookmarkStart w:id="52" w:name="_Toc116055953"/>
      <w:r w:rsidRPr="00C04EB0">
        <w:rPr>
          <w:rFonts w:asciiTheme="minorBidi" w:hAnsiTheme="minorBidi" w:cstheme="minorBidi"/>
        </w:rPr>
        <w:t>5.7</w:t>
      </w:r>
      <w:r w:rsidR="00B02BAD" w:rsidRPr="00C04EB0">
        <w:rPr>
          <w:rFonts w:asciiTheme="minorBidi" w:hAnsiTheme="minorBidi" w:cstheme="minorBidi"/>
        </w:rPr>
        <w:tab/>
      </w:r>
      <w:r w:rsidR="00A92EDB" w:rsidRPr="00C04EB0">
        <w:rPr>
          <w:rFonts w:asciiTheme="minorBidi" w:hAnsiTheme="minorBidi" w:cstheme="minorBidi"/>
        </w:rPr>
        <w:t xml:space="preserve">The </w:t>
      </w:r>
      <w:r w:rsidRPr="00C04EB0">
        <w:rPr>
          <w:rFonts w:asciiTheme="minorBidi" w:hAnsiTheme="minorBidi" w:cstheme="minorBidi"/>
        </w:rPr>
        <w:t>g</w:t>
      </w:r>
      <w:r w:rsidR="00A92EDB" w:rsidRPr="00C04EB0">
        <w:rPr>
          <w:rFonts w:asciiTheme="minorBidi" w:hAnsiTheme="minorBidi" w:cstheme="minorBidi"/>
        </w:rPr>
        <w:t xml:space="preserve">uidance </w:t>
      </w:r>
      <w:r w:rsidRPr="00C04EB0">
        <w:rPr>
          <w:rFonts w:asciiTheme="minorBidi" w:hAnsiTheme="minorBidi" w:cstheme="minorBidi"/>
        </w:rPr>
        <w:t xml:space="preserve">above </w:t>
      </w:r>
      <w:r w:rsidR="002B1719" w:rsidRPr="00C04EB0">
        <w:rPr>
          <w:rFonts w:asciiTheme="minorBidi" w:hAnsiTheme="minorBidi" w:cstheme="minorBidi"/>
        </w:rPr>
        <w:t>on ADGM Green Debentures and ADGM Sustainability-Linked Debentures</w:t>
      </w:r>
      <w:r w:rsidR="00A92EDB" w:rsidRPr="00C04EB0">
        <w:rPr>
          <w:rFonts w:asciiTheme="minorBidi" w:hAnsiTheme="minorBidi" w:cstheme="minorBidi"/>
        </w:rPr>
        <w:t xml:space="preserve"> appl</w:t>
      </w:r>
      <w:r w:rsidR="00B711C6" w:rsidRPr="00C04EB0">
        <w:rPr>
          <w:rFonts w:asciiTheme="minorBidi" w:hAnsiTheme="minorBidi" w:cstheme="minorBidi"/>
        </w:rPr>
        <w:t>ies</w:t>
      </w:r>
      <w:r w:rsidR="00A92EDB" w:rsidRPr="00C04EB0">
        <w:rPr>
          <w:rFonts w:asciiTheme="minorBidi" w:hAnsiTheme="minorBidi" w:cstheme="minorBidi"/>
        </w:rPr>
        <w:t xml:space="preserve"> to Sukuk</w:t>
      </w:r>
      <w:r w:rsidR="0071663B" w:rsidRPr="00C04EB0">
        <w:rPr>
          <w:rFonts w:asciiTheme="minorBidi" w:hAnsiTheme="minorBidi" w:cstheme="minorBidi"/>
        </w:rPr>
        <w:t>s</w:t>
      </w:r>
      <w:r w:rsidR="00A92EDB" w:rsidRPr="00C04EB0">
        <w:rPr>
          <w:rFonts w:asciiTheme="minorBidi" w:hAnsiTheme="minorBidi" w:cstheme="minorBidi"/>
        </w:rPr>
        <w:t xml:space="preserve"> in the same way as to Debentures, with all references to </w:t>
      </w:r>
      <w:r w:rsidR="006E0E4F" w:rsidRPr="00C04EB0">
        <w:rPr>
          <w:rFonts w:asciiTheme="minorBidi" w:hAnsiTheme="minorBidi" w:cstheme="minorBidi"/>
        </w:rPr>
        <w:t>“</w:t>
      </w:r>
      <w:r w:rsidR="00A92EDB" w:rsidRPr="00C04EB0">
        <w:rPr>
          <w:rFonts w:asciiTheme="minorBidi" w:hAnsiTheme="minorBidi" w:cstheme="minorBidi"/>
        </w:rPr>
        <w:t>Debenture</w:t>
      </w:r>
      <w:r w:rsidR="006E0E4F" w:rsidRPr="00C04EB0">
        <w:rPr>
          <w:rFonts w:asciiTheme="minorBidi" w:hAnsiTheme="minorBidi" w:cstheme="minorBidi"/>
        </w:rPr>
        <w:t>”</w:t>
      </w:r>
      <w:r w:rsidR="00A92EDB" w:rsidRPr="00C04EB0">
        <w:rPr>
          <w:rFonts w:asciiTheme="minorBidi" w:hAnsiTheme="minorBidi" w:cstheme="minorBidi"/>
        </w:rPr>
        <w:t xml:space="preserve"> being read as </w:t>
      </w:r>
      <w:r w:rsidR="006E0E4F" w:rsidRPr="00C04EB0">
        <w:rPr>
          <w:rFonts w:asciiTheme="minorBidi" w:hAnsiTheme="minorBidi" w:cstheme="minorBidi"/>
        </w:rPr>
        <w:t>“</w:t>
      </w:r>
      <w:r w:rsidR="00A92EDB" w:rsidRPr="00C04EB0">
        <w:rPr>
          <w:rFonts w:asciiTheme="minorBidi" w:hAnsiTheme="minorBidi" w:cstheme="minorBidi"/>
        </w:rPr>
        <w:t>Sukuk</w:t>
      </w:r>
      <w:r w:rsidR="006E0E4F" w:rsidRPr="00C04EB0">
        <w:rPr>
          <w:rFonts w:asciiTheme="minorBidi" w:hAnsiTheme="minorBidi" w:cstheme="minorBidi"/>
        </w:rPr>
        <w:t>”</w:t>
      </w:r>
      <w:r w:rsidR="00A92EDB" w:rsidRPr="00C04EB0">
        <w:rPr>
          <w:rFonts w:asciiTheme="minorBidi" w:hAnsiTheme="minorBidi" w:cstheme="minorBidi"/>
        </w:rPr>
        <w:t>.</w:t>
      </w:r>
      <w:bookmarkEnd w:id="52"/>
      <w:r w:rsidR="00552BD4" w:rsidRPr="00C04EB0">
        <w:rPr>
          <w:rFonts w:asciiTheme="minorBidi" w:hAnsiTheme="minorBidi" w:cstheme="minorBidi"/>
        </w:rPr>
        <w:t xml:space="preserve">  </w:t>
      </w:r>
    </w:p>
    <w:p w14:paraId="2F049F9B" w14:textId="6402AE27" w:rsidR="00552BD4" w:rsidRPr="00C04EB0" w:rsidRDefault="00571EFA">
      <w:pPr>
        <w:ind w:left="709" w:hanging="709"/>
        <w:jc w:val="both"/>
        <w:rPr>
          <w:rFonts w:asciiTheme="minorBidi" w:hAnsiTheme="minorBidi" w:cstheme="minorBidi"/>
        </w:rPr>
      </w:pPr>
      <w:r w:rsidRPr="00C04EB0">
        <w:rPr>
          <w:rFonts w:asciiTheme="minorBidi" w:hAnsiTheme="minorBidi" w:cstheme="minorBidi"/>
        </w:rPr>
        <w:t>5.8</w:t>
      </w:r>
      <w:r w:rsidR="00B02BAD" w:rsidRPr="00C04EB0">
        <w:rPr>
          <w:rFonts w:asciiTheme="minorBidi" w:hAnsiTheme="minorBidi" w:cstheme="minorBidi"/>
        </w:rPr>
        <w:tab/>
      </w:r>
      <w:r w:rsidR="00552BD4" w:rsidRPr="00C04EB0">
        <w:rPr>
          <w:rFonts w:asciiTheme="minorBidi" w:hAnsiTheme="minorBidi" w:cstheme="minorBidi"/>
        </w:rPr>
        <w:t>An ADGM Green Sukuk or ADGM Sustainability-Linked Sukuk may</w:t>
      </w:r>
      <w:r w:rsidR="00B1307D" w:rsidRPr="00C04EB0">
        <w:rPr>
          <w:rFonts w:asciiTheme="minorBidi" w:hAnsiTheme="minorBidi" w:cstheme="minorBidi"/>
        </w:rPr>
        <w:t xml:space="preserve"> also</w:t>
      </w:r>
      <w:r w:rsidR="00552BD4" w:rsidRPr="00C04EB0">
        <w:rPr>
          <w:rFonts w:asciiTheme="minorBidi" w:hAnsiTheme="minorBidi" w:cstheme="minorBidi"/>
        </w:rPr>
        <w:t xml:space="preserve"> apply for, and maintain, an ADGM Green Sukuk Designation or ADGM Sustainability-Linked Sukuk Designation in the same way as for Debentures</w:t>
      </w:r>
      <w:r w:rsidR="00530E2A" w:rsidRPr="00C04EB0">
        <w:rPr>
          <w:rFonts w:asciiTheme="minorBidi" w:hAnsiTheme="minorBidi" w:cstheme="minorBidi"/>
        </w:rPr>
        <w:t>. A</w:t>
      </w:r>
      <w:r w:rsidR="00B1307D" w:rsidRPr="00C04EB0">
        <w:rPr>
          <w:rFonts w:asciiTheme="minorBidi" w:hAnsiTheme="minorBidi" w:cstheme="minorBidi"/>
        </w:rPr>
        <w:t>ccordingly</w:t>
      </w:r>
      <w:r w:rsidR="00530E2A" w:rsidRPr="00C04EB0">
        <w:rPr>
          <w:rFonts w:asciiTheme="minorBidi" w:hAnsiTheme="minorBidi" w:cstheme="minorBidi"/>
        </w:rPr>
        <w:t>,</w:t>
      </w:r>
      <w:r w:rsidR="00B1307D" w:rsidRPr="00C04EB0">
        <w:rPr>
          <w:rFonts w:asciiTheme="minorBidi" w:hAnsiTheme="minorBidi" w:cstheme="minorBidi"/>
        </w:rPr>
        <w:t xml:space="preserve"> the Guidance applies in the same way </w:t>
      </w:r>
      <w:r w:rsidR="00552BD4" w:rsidRPr="00C04EB0">
        <w:rPr>
          <w:rFonts w:asciiTheme="minorBidi" w:hAnsiTheme="minorBidi" w:cstheme="minorBidi"/>
        </w:rPr>
        <w:t xml:space="preserve">with all references to </w:t>
      </w:r>
      <w:r w:rsidR="006E0E4F" w:rsidRPr="00C04EB0">
        <w:rPr>
          <w:rFonts w:asciiTheme="minorBidi" w:hAnsiTheme="minorBidi" w:cstheme="minorBidi"/>
        </w:rPr>
        <w:t>“</w:t>
      </w:r>
      <w:r w:rsidR="00552BD4" w:rsidRPr="00C04EB0">
        <w:rPr>
          <w:rFonts w:asciiTheme="minorBidi" w:hAnsiTheme="minorBidi" w:cstheme="minorBidi"/>
        </w:rPr>
        <w:t>Debenture</w:t>
      </w:r>
      <w:r w:rsidR="006E0E4F" w:rsidRPr="00C04EB0">
        <w:rPr>
          <w:rFonts w:asciiTheme="minorBidi" w:hAnsiTheme="minorBidi" w:cstheme="minorBidi"/>
        </w:rPr>
        <w:t>”</w:t>
      </w:r>
      <w:r w:rsidR="00552BD4" w:rsidRPr="00C04EB0">
        <w:rPr>
          <w:rFonts w:asciiTheme="minorBidi" w:hAnsiTheme="minorBidi" w:cstheme="minorBidi"/>
        </w:rPr>
        <w:t xml:space="preserve"> or </w:t>
      </w:r>
      <w:r w:rsidR="006E0E4F" w:rsidRPr="00C04EB0">
        <w:rPr>
          <w:rFonts w:asciiTheme="minorBidi" w:hAnsiTheme="minorBidi" w:cstheme="minorBidi"/>
        </w:rPr>
        <w:t>“</w:t>
      </w:r>
      <w:r w:rsidR="00552BD4" w:rsidRPr="00C04EB0">
        <w:rPr>
          <w:rFonts w:asciiTheme="minorBidi" w:hAnsiTheme="minorBidi" w:cstheme="minorBidi"/>
        </w:rPr>
        <w:t>Bond</w:t>
      </w:r>
      <w:r w:rsidR="006E0E4F" w:rsidRPr="00C04EB0">
        <w:rPr>
          <w:rFonts w:asciiTheme="minorBidi" w:hAnsiTheme="minorBidi" w:cstheme="minorBidi"/>
        </w:rPr>
        <w:t>”</w:t>
      </w:r>
      <w:r w:rsidR="00552BD4" w:rsidRPr="00C04EB0">
        <w:rPr>
          <w:rFonts w:asciiTheme="minorBidi" w:hAnsiTheme="minorBidi" w:cstheme="minorBidi"/>
        </w:rPr>
        <w:t xml:space="preserve"> being read as </w:t>
      </w:r>
      <w:r w:rsidR="006E0E4F" w:rsidRPr="00C04EB0">
        <w:rPr>
          <w:rFonts w:asciiTheme="minorBidi" w:hAnsiTheme="minorBidi" w:cstheme="minorBidi"/>
        </w:rPr>
        <w:t>“</w:t>
      </w:r>
      <w:r w:rsidR="00552BD4" w:rsidRPr="00C04EB0">
        <w:rPr>
          <w:rFonts w:asciiTheme="minorBidi" w:hAnsiTheme="minorBidi" w:cstheme="minorBidi"/>
        </w:rPr>
        <w:t>Sukuk</w:t>
      </w:r>
      <w:r w:rsidR="006E0E4F" w:rsidRPr="00C04EB0">
        <w:rPr>
          <w:rFonts w:asciiTheme="minorBidi" w:hAnsiTheme="minorBidi" w:cstheme="minorBidi"/>
        </w:rPr>
        <w:t>”</w:t>
      </w:r>
      <w:r w:rsidR="00552BD4" w:rsidRPr="00C04EB0">
        <w:rPr>
          <w:rFonts w:asciiTheme="minorBidi" w:hAnsiTheme="minorBidi" w:cstheme="minorBidi"/>
        </w:rPr>
        <w:t xml:space="preserve">. </w:t>
      </w:r>
    </w:p>
    <w:p w14:paraId="7087409C" w14:textId="77777777" w:rsidR="00A065AF" w:rsidRPr="00C04EB0" w:rsidRDefault="00A065AF">
      <w:pPr>
        <w:ind w:left="709" w:hanging="709"/>
        <w:jc w:val="both"/>
        <w:rPr>
          <w:rFonts w:asciiTheme="minorBidi" w:hAnsiTheme="minorBidi" w:cstheme="minorBidi"/>
        </w:rPr>
      </w:pPr>
    </w:p>
    <w:p w14:paraId="0DE78851" w14:textId="77777777" w:rsidR="00A065AF" w:rsidRPr="00C04EB0" w:rsidRDefault="00A065AF">
      <w:pPr>
        <w:ind w:left="709" w:hanging="709"/>
        <w:jc w:val="both"/>
        <w:rPr>
          <w:rFonts w:asciiTheme="minorBidi" w:hAnsiTheme="minorBidi" w:cstheme="minorBidi"/>
        </w:rPr>
      </w:pPr>
    </w:p>
    <w:p w14:paraId="3C95B918" w14:textId="77777777" w:rsidR="00CF38B2" w:rsidRPr="00C04EB0" w:rsidRDefault="00CF38B2">
      <w:pPr>
        <w:ind w:left="709" w:hanging="709"/>
        <w:jc w:val="both"/>
        <w:rPr>
          <w:rFonts w:asciiTheme="minorBidi" w:hAnsiTheme="minorBidi" w:cstheme="minorBidi"/>
        </w:rPr>
      </w:pPr>
    </w:p>
    <w:p w14:paraId="3E4697C8" w14:textId="2D2C1BF1" w:rsidR="00454596" w:rsidRPr="00C04EB0" w:rsidRDefault="00454596" w:rsidP="007A686C">
      <w:pPr>
        <w:pStyle w:val="Level1"/>
        <w:rPr>
          <w:rFonts w:asciiTheme="minorBidi" w:hAnsiTheme="minorBidi" w:cstheme="minorBidi"/>
        </w:rPr>
      </w:pPr>
      <w:bookmarkStart w:id="53" w:name="_Toc138071997"/>
      <w:bookmarkStart w:id="54" w:name="_Toc138072059"/>
      <w:bookmarkStart w:id="55" w:name="_Toc138249330"/>
      <w:bookmarkEnd w:id="53"/>
      <w:bookmarkEnd w:id="54"/>
      <w:r w:rsidRPr="00C04EB0">
        <w:rPr>
          <w:rFonts w:asciiTheme="minorBidi" w:hAnsiTheme="minorBidi" w:cstheme="minorBidi"/>
        </w:rPr>
        <w:lastRenderedPageBreak/>
        <w:t xml:space="preserve">Use of ADGM </w:t>
      </w:r>
      <w:r w:rsidR="00484751">
        <w:rPr>
          <w:rFonts w:asciiTheme="minorBidi" w:hAnsiTheme="minorBidi" w:cstheme="minorBidi"/>
        </w:rPr>
        <w:t>Designation</w:t>
      </w:r>
      <w:r w:rsidR="00AE0871" w:rsidRPr="00C04EB0">
        <w:rPr>
          <w:rFonts w:asciiTheme="minorBidi" w:hAnsiTheme="minorBidi" w:cstheme="minorBidi"/>
        </w:rPr>
        <w:t xml:space="preserve"> </w:t>
      </w:r>
      <w:r w:rsidR="00F63999" w:rsidRPr="00C04EB0">
        <w:rPr>
          <w:rFonts w:asciiTheme="minorBidi" w:hAnsiTheme="minorBidi" w:cstheme="minorBidi"/>
        </w:rPr>
        <w:t>marks</w:t>
      </w:r>
      <w:bookmarkEnd w:id="55"/>
    </w:p>
    <w:p w14:paraId="54031F30" w14:textId="1AD1FB99" w:rsidR="00454596" w:rsidRPr="00C04EB0" w:rsidRDefault="00571EFA" w:rsidP="00023D47">
      <w:pPr>
        <w:ind w:left="709" w:hanging="709"/>
        <w:jc w:val="both"/>
        <w:rPr>
          <w:rFonts w:asciiTheme="minorBidi" w:hAnsiTheme="minorBidi" w:cstheme="minorBidi"/>
        </w:rPr>
      </w:pPr>
      <w:r w:rsidRPr="00C04EB0">
        <w:rPr>
          <w:rFonts w:asciiTheme="minorBidi" w:hAnsiTheme="minorBidi" w:cstheme="minorBidi"/>
        </w:rPr>
        <w:t>6</w:t>
      </w:r>
      <w:r w:rsidR="00B02BAD" w:rsidRPr="00C04EB0">
        <w:rPr>
          <w:rFonts w:asciiTheme="minorBidi" w:hAnsiTheme="minorBidi" w:cstheme="minorBidi"/>
        </w:rPr>
        <w:t>.1</w:t>
      </w:r>
      <w:r w:rsidR="00B02BAD" w:rsidRPr="00C04EB0">
        <w:rPr>
          <w:rFonts w:asciiTheme="minorBidi" w:hAnsiTheme="minorBidi" w:cstheme="minorBidi"/>
        </w:rPr>
        <w:tab/>
      </w:r>
      <w:r w:rsidR="00454596" w:rsidRPr="00C04EB0">
        <w:rPr>
          <w:rFonts w:asciiTheme="minorBidi" w:hAnsiTheme="minorBidi" w:cstheme="minorBidi"/>
        </w:rPr>
        <w:t>Upon receipt of a</w:t>
      </w:r>
      <w:r w:rsidR="00CD4F54" w:rsidRPr="00C04EB0">
        <w:rPr>
          <w:rFonts w:asciiTheme="minorBidi" w:hAnsiTheme="minorBidi" w:cstheme="minorBidi"/>
        </w:rPr>
        <w:t xml:space="preserve"> designation in relation to the products and services detailed in paragraph 1.3 </w:t>
      </w:r>
      <w:r w:rsidR="00454596" w:rsidRPr="00C04EB0">
        <w:rPr>
          <w:rFonts w:asciiTheme="minorBidi" w:hAnsiTheme="minorBidi" w:cstheme="minorBidi"/>
        </w:rPr>
        <w:t>a</w:t>
      </w:r>
      <w:r w:rsidR="00872C5F" w:rsidRPr="00C04EB0">
        <w:rPr>
          <w:rFonts w:asciiTheme="minorBidi" w:hAnsiTheme="minorBidi" w:cstheme="minorBidi"/>
        </w:rPr>
        <w:t xml:space="preserve"> </w:t>
      </w:r>
      <w:r w:rsidR="00402FB5" w:rsidRPr="00C04EB0">
        <w:rPr>
          <w:rFonts w:asciiTheme="minorBidi" w:hAnsiTheme="minorBidi" w:cstheme="minorBidi"/>
        </w:rPr>
        <w:t xml:space="preserve">Person </w:t>
      </w:r>
      <w:r w:rsidR="00454596" w:rsidRPr="00C04EB0">
        <w:rPr>
          <w:rFonts w:asciiTheme="minorBidi" w:hAnsiTheme="minorBidi" w:cstheme="minorBidi"/>
        </w:rPr>
        <w:t xml:space="preserve">may choose to </w:t>
      </w:r>
      <w:r w:rsidR="00727EC7" w:rsidRPr="00C04EB0">
        <w:rPr>
          <w:rFonts w:asciiTheme="minorBidi" w:hAnsiTheme="minorBidi" w:cstheme="minorBidi"/>
        </w:rPr>
        <w:t xml:space="preserve">seek to </w:t>
      </w:r>
      <w:r w:rsidR="00454596" w:rsidRPr="00C04EB0">
        <w:rPr>
          <w:rFonts w:asciiTheme="minorBidi" w:hAnsiTheme="minorBidi" w:cstheme="minorBidi"/>
        </w:rPr>
        <w:t xml:space="preserve">use </w:t>
      </w:r>
      <w:r w:rsidR="00402FB5" w:rsidRPr="00C04EB0">
        <w:rPr>
          <w:rFonts w:asciiTheme="minorBidi" w:hAnsiTheme="minorBidi" w:cstheme="minorBidi"/>
        </w:rPr>
        <w:t>a</w:t>
      </w:r>
      <w:r w:rsidR="00727EC7" w:rsidRPr="00C04EB0">
        <w:rPr>
          <w:rFonts w:asciiTheme="minorBidi" w:hAnsiTheme="minorBidi" w:cstheme="minorBidi"/>
        </w:rPr>
        <w:t xml:space="preserve"> specific </w:t>
      </w:r>
      <w:r w:rsidR="00454596" w:rsidRPr="00C04EB0">
        <w:rPr>
          <w:rFonts w:asciiTheme="minorBidi" w:hAnsiTheme="minorBidi" w:cstheme="minorBidi"/>
        </w:rPr>
        <w:t xml:space="preserve">ADGM </w:t>
      </w:r>
      <w:r w:rsidR="00F63999" w:rsidRPr="00C04EB0">
        <w:rPr>
          <w:rFonts w:asciiTheme="minorBidi" w:hAnsiTheme="minorBidi" w:cstheme="minorBidi"/>
        </w:rPr>
        <w:t xml:space="preserve">mark </w:t>
      </w:r>
      <w:r w:rsidR="00454596" w:rsidRPr="00C04EB0">
        <w:rPr>
          <w:rFonts w:asciiTheme="minorBidi" w:hAnsiTheme="minorBidi" w:cstheme="minorBidi"/>
        </w:rPr>
        <w:t xml:space="preserve">corresponding to the </w:t>
      </w:r>
      <w:r w:rsidR="007A5645" w:rsidRPr="00C04EB0">
        <w:rPr>
          <w:rFonts w:asciiTheme="minorBidi" w:hAnsiTheme="minorBidi" w:cstheme="minorBidi"/>
        </w:rPr>
        <w:t>d</w:t>
      </w:r>
      <w:r w:rsidR="00454596" w:rsidRPr="00C04EB0">
        <w:rPr>
          <w:rFonts w:asciiTheme="minorBidi" w:hAnsiTheme="minorBidi" w:cstheme="minorBidi"/>
        </w:rPr>
        <w:t>esignation received</w:t>
      </w:r>
      <w:r w:rsidR="00727EC7" w:rsidRPr="00C04EB0">
        <w:rPr>
          <w:rFonts w:asciiTheme="minorBidi" w:hAnsiTheme="minorBidi" w:cstheme="minorBidi"/>
        </w:rPr>
        <w:t xml:space="preserve"> (an “ADGM </w:t>
      </w:r>
      <w:r w:rsidR="00F63999" w:rsidRPr="00C04EB0">
        <w:rPr>
          <w:rFonts w:asciiTheme="minorBidi" w:hAnsiTheme="minorBidi" w:cstheme="minorBidi"/>
        </w:rPr>
        <w:t>mark</w:t>
      </w:r>
      <w:r w:rsidR="00727EC7" w:rsidRPr="00C04EB0">
        <w:rPr>
          <w:rFonts w:asciiTheme="minorBidi" w:hAnsiTheme="minorBidi" w:cstheme="minorBidi"/>
        </w:rPr>
        <w:t>”)</w:t>
      </w:r>
      <w:r w:rsidR="00454596" w:rsidRPr="00C04EB0">
        <w:rPr>
          <w:rFonts w:asciiTheme="minorBidi" w:hAnsiTheme="minorBidi" w:cstheme="minorBidi"/>
        </w:rPr>
        <w:t xml:space="preserve">. </w:t>
      </w:r>
    </w:p>
    <w:p w14:paraId="16D044B0" w14:textId="6EE49568" w:rsidR="00454596" w:rsidRPr="00C04EB0" w:rsidRDefault="00571EFA" w:rsidP="00023D47">
      <w:pPr>
        <w:ind w:left="709" w:hanging="709"/>
        <w:jc w:val="both"/>
        <w:rPr>
          <w:rFonts w:asciiTheme="minorBidi" w:hAnsiTheme="minorBidi" w:cstheme="minorBidi"/>
        </w:rPr>
      </w:pPr>
      <w:r w:rsidRPr="00C04EB0">
        <w:rPr>
          <w:rFonts w:asciiTheme="minorBidi" w:hAnsiTheme="minorBidi" w:cstheme="minorBidi"/>
        </w:rPr>
        <w:t>6</w:t>
      </w:r>
      <w:r w:rsidR="00B02BAD" w:rsidRPr="00C04EB0">
        <w:rPr>
          <w:rFonts w:asciiTheme="minorBidi" w:hAnsiTheme="minorBidi" w:cstheme="minorBidi"/>
        </w:rPr>
        <w:t>.2</w:t>
      </w:r>
      <w:r w:rsidR="00B02BAD" w:rsidRPr="00C04EB0">
        <w:rPr>
          <w:rFonts w:asciiTheme="minorBidi" w:hAnsiTheme="minorBidi" w:cstheme="minorBidi"/>
        </w:rPr>
        <w:tab/>
      </w:r>
      <w:r w:rsidR="00454596" w:rsidRPr="00C04EB0">
        <w:rPr>
          <w:rFonts w:asciiTheme="minorBidi" w:hAnsiTheme="minorBidi" w:cstheme="minorBidi"/>
        </w:rPr>
        <w:t xml:space="preserve">The use of an ADGM </w:t>
      </w:r>
      <w:r w:rsidR="00F63999" w:rsidRPr="00C04EB0">
        <w:rPr>
          <w:rFonts w:asciiTheme="minorBidi" w:hAnsiTheme="minorBidi" w:cstheme="minorBidi"/>
        </w:rPr>
        <w:t xml:space="preserve">mark </w:t>
      </w:r>
      <w:r w:rsidR="00454596" w:rsidRPr="00C04EB0">
        <w:rPr>
          <w:rFonts w:asciiTheme="minorBidi" w:hAnsiTheme="minorBidi" w:cstheme="minorBidi"/>
        </w:rPr>
        <w:t xml:space="preserve">is subject to the written consent of the Regulator, the requirements set out in </w:t>
      </w:r>
      <w:r w:rsidR="00B06399" w:rsidRPr="00C04EB0">
        <w:rPr>
          <w:rFonts w:asciiTheme="minorBidi" w:hAnsiTheme="minorBidi" w:cstheme="minorBidi"/>
        </w:rPr>
        <w:t xml:space="preserve">the relevant FSRA Rulebooks and </w:t>
      </w:r>
      <w:r w:rsidR="00454596" w:rsidRPr="00C04EB0">
        <w:rPr>
          <w:rFonts w:asciiTheme="minorBidi" w:hAnsiTheme="minorBidi" w:cstheme="minorBidi"/>
        </w:rPr>
        <w:t xml:space="preserve">this </w:t>
      </w:r>
      <w:r w:rsidR="00B06399" w:rsidRPr="00C04EB0">
        <w:rPr>
          <w:rFonts w:asciiTheme="minorBidi" w:hAnsiTheme="minorBidi" w:cstheme="minorBidi"/>
        </w:rPr>
        <w:t>g</w:t>
      </w:r>
      <w:r w:rsidR="00454596" w:rsidRPr="00C04EB0">
        <w:rPr>
          <w:rFonts w:asciiTheme="minorBidi" w:hAnsiTheme="minorBidi" w:cstheme="minorBidi"/>
        </w:rPr>
        <w:t xml:space="preserve">uidance and any other conditions for use </w:t>
      </w:r>
      <w:r w:rsidR="00727EC7" w:rsidRPr="00C04EB0">
        <w:rPr>
          <w:rFonts w:asciiTheme="minorBidi" w:hAnsiTheme="minorBidi" w:cstheme="minorBidi"/>
        </w:rPr>
        <w:t xml:space="preserve">required by </w:t>
      </w:r>
      <w:r w:rsidR="00454596" w:rsidRPr="00C04EB0">
        <w:rPr>
          <w:rFonts w:asciiTheme="minorBidi" w:hAnsiTheme="minorBidi" w:cstheme="minorBidi"/>
        </w:rPr>
        <w:t xml:space="preserve">the Regulator. For the avoidance of doubt, the Regulator granting its permission to use an ADGM </w:t>
      </w:r>
      <w:r w:rsidR="00F63999" w:rsidRPr="00C04EB0">
        <w:rPr>
          <w:rFonts w:asciiTheme="minorBidi" w:hAnsiTheme="minorBidi" w:cstheme="minorBidi"/>
        </w:rPr>
        <w:t xml:space="preserve">mark </w:t>
      </w:r>
      <w:r w:rsidR="00454596" w:rsidRPr="00C04EB0">
        <w:rPr>
          <w:rFonts w:asciiTheme="minorBidi" w:hAnsiTheme="minorBidi" w:cstheme="minorBidi"/>
        </w:rPr>
        <w:t>does not indicate:</w:t>
      </w:r>
    </w:p>
    <w:p w14:paraId="4EE7DC05" w14:textId="2F6C4778" w:rsidR="00454596" w:rsidRPr="00C04EB0" w:rsidRDefault="00454596" w:rsidP="00023D47">
      <w:pPr>
        <w:pStyle w:val="ListParagraph"/>
        <w:numPr>
          <w:ilvl w:val="0"/>
          <w:numId w:val="27"/>
        </w:numPr>
        <w:ind w:left="1418" w:hanging="709"/>
        <w:contextualSpacing w:val="0"/>
        <w:jc w:val="both"/>
        <w:rPr>
          <w:rFonts w:asciiTheme="minorBidi" w:hAnsiTheme="minorBidi" w:cstheme="minorBidi"/>
        </w:rPr>
      </w:pPr>
      <w:r w:rsidRPr="00C04EB0">
        <w:rPr>
          <w:rFonts w:asciiTheme="minorBidi" w:hAnsiTheme="minorBidi" w:cstheme="minorBidi"/>
        </w:rPr>
        <w:t xml:space="preserve">endorsement of </w:t>
      </w:r>
      <w:r w:rsidR="007B16BB" w:rsidRPr="00C04EB0">
        <w:rPr>
          <w:rFonts w:asciiTheme="minorBidi" w:hAnsiTheme="minorBidi" w:cstheme="minorBidi"/>
        </w:rPr>
        <w:t>a</w:t>
      </w:r>
      <w:r w:rsidR="00872C5F" w:rsidRPr="00C04EB0">
        <w:rPr>
          <w:rFonts w:asciiTheme="minorBidi" w:hAnsiTheme="minorBidi" w:cstheme="minorBidi"/>
        </w:rPr>
        <w:t xml:space="preserve"> </w:t>
      </w:r>
      <w:r w:rsidRPr="00C04EB0">
        <w:rPr>
          <w:rFonts w:asciiTheme="minorBidi" w:hAnsiTheme="minorBidi" w:cstheme="minorBidi"/>
        </w:rPr>
        <w:t xml:space="preserve">Person by the </w:t>
      </w:r>
      <w:proofErr w:type="gramStart"/>
      <w:r w:rsidRPr="00C04EB0">
        <w:rPr>
          <w:rFonts w:asciiTheme="minorBidi" w:hAnsiTheme="minorBidi" w:cstheme="minorBidi"/>
        </w:rPr>
        <w:t>Regulator;</w:t>
      </w:r>
      <w:proofErr w:type="gramEnd"/>
      <w:r w:rsidRPr="00C04EB0">
        <w:rPr>
          <w:rFonts w:asciiTheme="minorBidi" w:hAnsiTheme="minorBidi" w:cstheme="minorBidi"/>
        </w:rPr>
        <w:t xml:space="preserve"> </w:t>
      </w:r>
    </w:p>
    <w:p w14:paraId="2FF07B9E" w14:textId="10531BB8" w:rsidR="00454596" w:rsidRPr="00C04EB0" w:rsidRDefault="00454596" w:rsidP="00023D47">
      <w:pPr>
        <w:pStyle w:val="ListParagraph"/>
        <w:numPr>
          <w:ilvl w:val="0"/>
          <w:numId w:val="27"/>
        </w:numPr>
        <w:ind w:left="1418" w:hanging="709"/>
        <w:contextualSpacing w:val="0"/>
        <w:jc w:val="both"/>
        <w:rPr>
          <w:rFonts w:asciiTheme="minorBidi" w:hAnsiTheme="minorBidi" w:cstheme="minorBidi"/>
        </w:rPr>
      </w:pPr>
      <w:r w:rsidRPr="00C04EB0">
        <w:rPr>
          <w:rFonts w:asciiTheme="minorBidi" w:hAnsiTheme="minorBidi" w:cstheme="minorBidi"/>
        </w:rPr>
        <w:t>a</w:t>
      </w:r>
      <w:r w:rsidR="007B16BB" w:rsidRPr="00C04EB0">
        <w:rPr>
          <w:rFonts w:asciiTheme="minorBidi" w:hAnsiTheme="minorBidi" w:cstheme="minorBidi"/>
        </w:rPr>
        <w:t>n assurance or</w:t>
      </w:r>
      <w:r w:rsidRPr="00C04EB0">
        <w:rPr>
          <w:rFonts w:asciiTheme="minorBidi" w:hAnsiTheme="minorBidi" w:cstheme="minorBidi"/>
        </w:rPr>
        <w:t xml:space="preserve"> guarantee by the Regulator that the product or service is compliant with or will be compliant with </w:t>
      </w:r>
      <w:r w:rsidR="00B06399" w:rsidRPr="00C04EB0">
        <w:rPr>
          <w:rFonts w:asciiTheme="minorBidi" w:hAnsiTheme="minorBidi" w:cstheme="minorBidi"/>
        </w:rPr>
        <w:t xml:space="preserve">the </w:t>
      </w:r>
      <w:r w:rsidR="007B16BB" w:rsidRPr="00C04EB0">
        <w:rPr>
          <w:rFonts w:asciiTheme="minorBidi" w:hAnsiTheme="minorBidi" w:cstheme="minorBidi"/>
        </w:rPr>
        <w:t xml:space="preserve">relevant </w:t>
      </w:r>
      <w:r w:rsidRPr="00C04EB0">
        <w:rPr>
          <w:rFonts w:asciiTheme="minorBidi" w:hAnsiTheme="minorBidi" w:cstheme="minorBidi"/>
        </w:rPr>
        <w:t>FSRA Rules</w:t>
      </w:r>
      <w:r w:rsidR="007B16BB" w:rsidRPr="00C04EB0">
        <w:rPr>
          <w:rFonts w:asciiTheme="minorBidi" w:hAnsiTheme="minorBidi" w:cstheme="minorBidi"/>
        </w:rPr>
        <w:t>; or</w:t>
      </w:r>
    </w:p>
    <w:p w14:paraId="5C6165DD" w14:textId="2DF338C8" w:rsidR="00454596" w:rsidRPr="00C04EB0" w:rsidRDefault="00454596" w:rsidP="00023D47">
      <w:pPr>
        <w:pStyle w:val="ListParagraph"/>
        <w:numPr>
          <w:ilvl w:val="0"/>
          <w:numId w:val="27"/>
        </w:numPr>
        <w:ind w:left="1418" w:hanging="709"/>
        <w:contextualSpacing w:val="0"/>
        <w:jc w:val="both"/>
        <w:rPr>
          <w:rFonts w:asciiTheme="minorBidi" w:hAnsiTheme="minorBidi" w:cstheme="minorBidi"/>
        </w:rPr>
      </w:pPr>
      <w:r w:rsidRPr="00C04EB0">
        <w:rPr>
          <w:rFonts w:asciiTheme="minorBidi" w:hAnsiTheme="minorBidi" w:cstheme="minorBidi"/>
        </w:rPr>
        <w:t>where applicable</w:t>
      </w:r>
      <w:r w:rsidR="00B06399" w:rsidRPr="00C04EB0">
        <w:rPr>
          <w:rFonts w:asciiTheme="minorBidi" w:hAnsiTheme="minorBidi" w:cstheme="minorBidi"/>
        </w:rPr>
        <w:t>,</w:t>
      </w:r>
      <w:r w:rsidRPr="00C04EB0">
        <w:rPr>
          <w:rFonts w:asciiTheme="minorBidi" w:hAnsiTheme="minorBidi" w:cstheme="minorBidi"/>
        </w:rPr>
        <w:t xml:space="preserve"> that any Offer of a Security meets applicable Rules regarding the </w:t>
      </w:r>
      <w:r w:rsidR="00EF49D4" w:rsidRPr="00C04EB0">
        <w:rPr>
          <w:rFonts w:asciiTheme="minorBidi" w:hAnsiTheme="minorBidi" w:cstheme="minorBidi"/>
        </w:rPr>
        <w:t xml:space="preserve">Offer </w:t>
      </w:r>
      <w:r w:rsidRPr="00C04EB0">
        <w:rPr>
          <w:rFonts w:asciiTheme="minorBidi" w:hAnsiTheme="minorBidi" w:cstheme="minorBidi"/>
        </w:rPr>
        <w:t xml:space="preserve">of that Security. </w:t>
      </w:r>
    </w:p>
    <w:p w14:paraId="33E21F87" w14:textId="6592543A" w:rsidR="00454596" w:rsidRPr="00C04EB0" w:rsidRDefault="00571EFA" w:rsidP="00023D47">
      <w:pPr>
        <w:jc w:val="both"/>
        <w:rPr>
          <w:rFonts w:asciiTheme="minorBidi" w:hAnsiTheme="minorBidi" w:cstheme="minorBidi"/>
        </w:rPr>
      </w:pPr>
      <w:r w:rsidRPr="00C04EB0">
        <w:rPr>
          <w:rFonts w:asciiTheme="minorBidi" w:hAnsiTheme="minorBidi" w:cstheme="minorBidi"/>
        </w:rPr>
        <w:t>6</w:t>
      </w:r>
      <w:r w:rsidR="00F74DEC" w:rsidRPr="00C04EB0">
        <w:rPr>
          <w:rFonts w:asciiTheme="minorBidi" w:hAnsiTheme="minorBidi" w:cstheme="minorBidi"/>
        </w:rPr>
        <w:t>.3</w:t>
      </w:r>
      <w:r w:rsidR="00F74DEC" w:rsidRPr="00C04EB0">
        <w:rPr>
          <w:rFonts w:asciiTheme="minorBidi" w:hAnsiTheme="minorBidi" w:cstheme="minorBidi"/>
        </w:rPr>
        <w:tab/>
      </w:r>
      <w:r w:rsidR="00454596" w:rsidRPr="00C04EB0">
        <w:rPr>
          <w:rFonts w:asciiTheme="minorBidi" w:hAnsiTheme="minorBidi" w:cstheme="minorBidi"/>
        </w:rPr>
        <w:t>A</w:t>
      </w:r>
      <w:r w:rsidR="00B06399" w:rsidRPr="00C04EB0">
        <w:rPr>
          <w:rFonts w:asciiTheme="minorBidi" w:hAnsiTheme="minorBidi" w:cstheme="minorBidi"/>
        </w:rPr>
        <w:t>ll</w:t>
      </w:r>
      <w:r w:rsidR="00454596" w:rsidRPr="00C04EB0">
        <w:rPr>
          <w:rFonts w:asciiTheme="minorBidi" w:hAnsiTheme="minorBidi" w:cstheme="minorBidi"/>
        </w:rPr>
        <w:t xml:space="preserve"> use of </w:t>
      </w:r>
      <w:r w:rsidR="00193758" w:rsidRPr="00C04EB0">
        <w:rPr>
          <w:rFonts w:asciiTheme="minorBidi" w:hAnsiTheme="minorBidi" w:cstheme="minorBidi"/>
        </w:rPr>
        <w:t xml:space="preserve">an ADGM </w:t>
      </w:r>
      <w:r w:rsidR="00F63999" w:rsidRPr="00C04EB0">
        <w:rPr>
          <w:rFonts w:asciiTheme="minorBidi" w:hAnsiTheme="minorBidi" w:cstheme="minorBidi"/>
        </w:rPr>
        <w:t xml:space="preserve">mark </w:t>
      </w:r>
      <w:r w:rsidR="00454596" w:rsidRPr="00C04EB0">
        <w:rPr>
          <w:rFonts w:asciiTheme="minorBidi" w:hAnsiTheme="minorBidi" w:cstheme="minorBidi"/>
        </w:rPr>
        <w:t>should include the following disclaimer:</w:t>
      </w:r>
    </w:p>
    <w:p w14:paraId="04E040F5" w14:textId="3BE90484" w:rsidR="00454596" w:rsidRPr="00C04EB0" w:rsidRDefault="00454596" w:rsidP="00023D47">
      <w:pPr>
        <w:ind w:left="1134"/>
        <w:jc w:val="both"/>
        <w:rPr>
          <w:rFonts w:asciiTheme="minorBidi" w:hAnsiTheme="minorBidi" w:cstheme="minorBidi"/>
        </w:rPr>
      </w:pPr>
      <w:r w:rsidRPr="00C04EB0">
        <w:rPr>
          <w:rFonts w:asciiTheme="minorBidi" w:hAnsiTheme="minorBidi" w:cstheme="minorBidi" w:hint="eastAsia"/>
        </w:rPr>
        <w:t>“</w:t>
      </w:r>
      <w:r w:rsidRPr="00C04EB0">
        <w:rPr>
          <w:rFonts w:asciiTheme="minorBidi" w:hAnsiTheme="minorBidi" w:cstheme="minorBidi"/>
        </w:rPr>
        <w:t>Use of the [</w:t>
      </w:r>
      <w:r w:rsidR="007B16BB" w:rsidRPr="00C04EB0">
        <w:rPr>
          <w:rFonts w:asciiTheme="minorBidi" w:hAnsiTheme="minorBidi" w:cstheme="minorBidi"/>
        </w:rPr>
        <w:t xml:space="preserve">specified </w:t>
      </w:r>
      <w:r w:rsidRPr="00C04EB0">
        <w:rPr>
          <w:rFonts w:asciiTheme="minorBidi" w:hAnsiTheme="minorBidi" w:cstheme="minorBidi"/>
        </w:rPr>
        <w:t xml:space="preserve">ADGM </w:t>
      </w:r>
      <w:r w:rsidR="007B16BB" w:rsidRPr="00C04EB0">
        <w:rPr>
          <w:rFonts w:asciiTheme="minorBidi" w:hAnsiTheme="minorBidi" w:cstheme="minorBidi"/>
        </w:rPr>
        <w:t>l</w:t>
      </w:r>
      <w:r w:rsidRPr="00C04EB0">
        <w:rPr>
          <w:rFonts w:asciiTheme="minorBidi" w:hAnsiTheme="minorBidi" w:cstheme="minorBidi"/>
        </w:rPr>
        <w:t xml:space="preserve">ogo] does not create any rights in, or liability to, any person, public or private. The </w:t>
      </w:r>
      <w:r w:rsidR="00F63999" w:rsidRPr="00C04EB0">
        <w:rPr>
          <w:rFonts w:asciiTheme="minorBidi" w:hAnsiTheme="minorBidi" w:cstheme="minorBidi"/>
        </w:rPr>
        <w:t xml:space="preserve">mark </w:t>
      </w:r>
      <w:r w:rsidRPr="00C04EB0">
        <w:rPr>
          <w:rFonts w:asciiTheme="minorBidi" w:hAnsiTheme="minorBidi" w:cstheme="minorBidi"/>
        </w:rPr>
        <w:t xml:space="preserve">does not indicate an endorsement by the Regulator of any financial service or product, or a guarantee by the Regulator that any financial service or product is or will be compliant with the </w:t>
      </w:r>
      <w:r w:rsidR="00193758" w:rsidRPr="00C04EB0">
        <w:rPr>
          <w:rFonts w:asciiTheme="minorBidi" w:hAnsiTheme="minorBidi" w:cstheme="minorBidi"/>
        </w:rPr>
        <w:t>FSRA Rules</w:t>
      </w:r>
      <w:r w:rsidR="00C04EB0">
        <w:rPr>
          <w:rFonts w:asciiTheme="minorBidi" w:hAnsiTheme="minorBidi" w:cstheme="minorBidi"/>
        </w:rPr>
        <w:t>.</w:t>
      </w:r>
      <w:r w:rsidRPr="00C04EB0">
        <w:rPr>
          <w:rFonts w:asciiTheme="minorBidi" w:hAnsiTheme="minorBidi" w:cstheme="minorBidi"/>
        </w:rPr>
        <w:t xml:space="preserve">” </w:t>
      </w:r>
    </w:p>
    <w:p w14:paraId="37C32109" w14:textId="26D89823" w:rsidR="00454596" w:rsidRPr="00C04EB0" w:rsidRDefault="00571EFA" w:rsidP="00023D47">
      <w:pPr>
        <w:ind w:left="709" w:hanging="709"/>
        <w:jc w:val="both"/>
        <w:rPr>
          <w:rFonts w:asciiTheme="minorBidi" w:hAnsiTheme="minorBidi" w:cstheme="minorBidi"/>
        </w:rPr>
      </w:pPr>
      <w:r w:rsidRPr="00C04EB0">
        <w:rPr>
          <w:rFonts w:asciiTheme="minorBidi" w:hAnsiTheme="minorBidi" w:cstheme="minorBidi"/>
        </w:rPr>
        <w:t>6</w:t>
      </w:r>
      <w:r w:rsidR="00F74DEC" w:rsidRPr="00C04EB0">
        <w:rPr>
          <w:rFonts w:asciiTheme="minorBidi" w:hAnsiTheme="minorBidi" w:cstheme="minorBidi"/>
        </w:rPr>
        <w:t>.4</w:t>
      </w:r>
      <w:r w:rsidR="00F74DEC" w:rsidRPr="00C04EB0">
        <w:rPr>
          <w:rFonts w:asciiTheme="minorBidi" w:hAnsiTheme="minorBidi" w:cstheme="minorBidi"/>
        </w:rPr>
        <w:tab/>
      </w:r>
      <w:r w:rsidR="00454596" w:rsidRPr="00C04EB0">
        <w:rPr>
          <w:rFonts w:asciiTheme="minorBidi" w:hAnsiTheme="minorBidi" w:cstheme="minorBidi"/>
        </w:rPr>
        <w:t xml:space="preserve">A Person may only use an ADGM </w:t>
      </w:r>
      <w:r w:rsidR="00F63999" w:rsidRPr="00C04EB0">
        <w:rPr>
          <w:rFonts w:asciiTheme="minorBidi" w:hAnsiTheme="minorBidi" w:cstheme="minorBidi"/>
        </w:rPr>
        <w:t xml:space="preserve">mark </w:t>
      </w:r>
      <w:r w:rsidR="00B06399" w:rsidRPr="00C04EB0">
        <w:rPr>
          <w:rFonts w:asciiTheme="minorBidi" w:hAnsiTheme="minorBidi" w:cstheme="minorBidi"/>
        </w:rPr>
        <w:t xml:space="preserve">in the form </w:t>
      </w:r>
      <w:r w:rsidR="00454596" w:rsidRPr="00C04EB0">
        <w:rPr>
          <w:rFonts w:asciiTheme="minorBidi" w:hAnsiTheme="minorBidi" w:cstheme="minorBidi"/>
        </w:rPr>
        <w:t>that is reproduced from original artwork provided by the Regulator.</w:t>
      </w:r>
    </w:p>
    <w:p w14:paraId="53D7186E" w14:textId="20CAABAE" w:rsidR="00454596" w:rsidRPr="00C04EB0" w:rsidRDefault="00571EFA" w:rsidP="00023D47">
      <w:pPr>
        <w:ind w:left="709" w:hanging="709"/>
        <w:jc w:val="both"/>
        <w:rPr>
          <w:rFonts w:asciiTheme="minorBidi" w:hAnsiTheme="minorBidi" w:cstheme="minorBidi"/>
        </w:rPr>
      </w:pPr>
      <w:r w:rsidRPr="00C04EB0">
        <w:rPr>
          <w:rFonts w:asciiTheme="minorBidi" w:hAnsiTheme="minorBidi" w:cstheme="minorBidi"/>
        </w:rPr>
        <w:t>6</w:t>
      </w:r>
      <w:r w:rsidR="00F74DEC" w:rsidRPr="00C04EB0">
        <w:rPr>
          <w:rFonts w:asciiTheme="minorBidi" w:hAnsiTheme="minorBidi" w:cstheme="minorBidi"/>
        </w:rPr>
        <w:t>.5</w:t>
      </w:r>
      <w:r w:rsidR="00F74DEC" w:rsidRPr="00C04EB0">
        <w:rPr>
          <w:rFonts w:asciiTheme="minorBidi" w:hAnsiTheme="minorBidi" w:cstheme="minorBidi"/>
        </w:rPr>
        <w:tab/>
      </w:r>
      <w:r w:rsidR="00454596" w:rsidRPr="00C04EB0">
        <w:rPr>
          <w:rFonts w:asciiTheme="minorBidi" w:hAnsiTheme="minorBidi" w:cstheme="minorBidi"/>
        </w:rPr>
        <w:t xml:space="preserve">The </w:t>
      </w:r>
      <w:r w:rsidR="00454596" w:rsidRPr="00C04EB0">
        <w:rPr>
          <w:rFonts w:asciiTheme="minorBidi" w:hAnsiTheme="minorBidi" w:cstheme="minorBidi"/>
          <w:spacing w:val="-1"/>
        </w:rPr>
        <w:t>Regulator</w:t>
      </w:r>
      <w:r w:rsidR="00454596" w:rsidRPr="00C04EB0">
        <w:rPr>
          <w:rFonts w:asciiTheme="minorBidi" w:hAnsiTheme="minorBidi" w:cstheme="minorBidi"/>
        </w:rPr>
        <w:t xml:space="preserve"> will withdraw its permission to use an ADGM </w:t>
      </w:r>
      <w:r w:rsidR="00F63999" w:rsidRPr="00C04EB0">
        <w:rPr>
          <w:rFonts w:asciiTheme="minorBidi" w:hAnsiTheme="minorBidi" w:cstheme="minorBidi"/>
        </w:rPr>
        <w:t xml:space="preserve">mark </w:t>
      </w:r>
      <w:r w:rsidR="00454596" w:rsidRPr="00C04EB0">
        <w:rPr>
          <w:rFonts w:asciiTheme="minorBidi" w:hAnsiTheme="minorBidi" w:cstheme="minorBidi"/>
        </w:rPr>
        <w:t xml:space="preserve">if a product or service fails to, or chooses not to, maintain </w:t>
      </w:r>
      <w:r w:rsidR="007A5645" w:rsidRPr="00C04EB0">
        <w:rPr>
          <w:rFonts w:asciiTheme="minorBidi" w:hAnsiTheme="minorBidi" w:cstheme="minorBidi"/>
        </w:rPr>
        <w:t>the corresponding designation</w:t>
      </w:r>
      <w:r w:rsidR="00454596" w:rsidRPr="00C04EB0">
        <w:rPr>
          <w:rFonts w:asciiTheme="minorBidi" w:hAnsiTheme="minorBidi" w:cstheme="minorBidi"/>
        </w:rPr>
        <w:t>.</w:t>
      </w:r>
    </w:p>
    <w:p w14:paraId="18583E82" w14:textId="066B9FEF" w:rsidR="00454596" w:rsidRPr="002B1719" w:rsidRDefault="00571EFA" w:rsidP="00023D47">
      <w:pPr>
        <w:ind w:left="709" w:hanging="709"/>
        <w:jc w:val="both"/>
      </w:pPr>
      <w:r w:rsidRPr="00C04EB0">
        <w:rPr>
          <w:rFonts w:asciiTheme="minorBidi" w:hAnsiTheme="minorBidi" w:cstheme="minorBidi"/>
        </w:rPr>
        <w:t>6</w:t>
      </w:r>
      <w:r w:rsidR="00F74DEC" w:rsidRPr="00C04EB0">
        <w:rPr>
          <w:rFonts w:asciiTheme="minorBidi" w:hAnsiTheme="minorBidi" w:cstheme="minorBidi"/>
        </w:rPr>
        <w:t>.6</w:t>
      </w:r>
      <w:r w:rsidR="00F74DEC" w:rsidRPr="00C04EB0">
        <w:rPr>
          <w:rFonts w:asciiTheme="minorBidi" w:hAnsiTheme="minorBidi" w:cstheme="minorBidi"/>
        </w:rPr>
        <w:tab/>
      </w:r>
      <w:r w:rsidR="00454596" w:rsidRPr="00C04EB0">
        <w:rPr>
          <w:rFonts w:asciiTheme="minorBidi" w:hAnsiTheme="minorBidi" w:cstheme="minorBidi"/>
        </w:rPr>
        <w:t>The effect of a withdrawal of the Regulator’s permission is that a</w:t>
      </w:r>
      <w:r w:rsidR="00872C5F" w:rsidRPr="00C04EB0">
        <w:rPr>
          <w:rFonts w:asciiTheme="minorBidi" w:hAnsiTheme="minorBidi" w:cstheme="minorBidi"/>
        </w:rPr>
        <w:t xml:space="preserve"> </w:t>
      </w:r>
      <w:r w:rsidR="00454596" w:rsidRPr="00C04EB0">
        <w:rPr>
          <w:rFonts w:asciiTheme="minorBidi" w:hAnsiTheme="minorBidi" w:cstheme="minorBidi"/>
        </w:rPr>
        <w:t xml:space="preserve">Person is not permitted to market or offer a product or service </w:t>
      </w:r>
      <w:r w:rsidR="00B06399" w:rsidRPr="00C04EB0">
        <w:rPr>
          <w:rFonts w:asciiTheme="minorBidi" w:hAnsiTheme="minorBidi" w:cstheme="minorBidi"/>
        </w:rPr>
        <w:t xml:space="preserve">in or from the ADGM </w:t>
      </w:r>
      <w:r w:rsidR="00454596" w:rsidRPr="00C04EB0">
        <w:rPr>
          <w:rFonts w:asciiTheme="minorBidi" w:hAnsiTheme="minorBidi" w:cstheme="minorBidi"/>
        </w:rPr>
        <w:t xml:space="preserve">using an ADGM </w:t>
      </w:r>
      <w:r w:rsidR="00F63999" w:rsidRPr="00C04EB0">
        <w:rPr>
          <w:rFonts w:asciiTheme="minorBidi" w:hAnsiTheme="minorBidi" w:cstheme="minorBidi"/>
        </w:rPr>
        <w:t>mark</w:t>
      </w:r>
      <w:r w:rsidR="00454596" w:rsidRPr="00C04EB0">
        <w:rPr>
          <w:rFonts w:asciiTheme="minorBidi" w:hAnsiTheme="minorBidi" w:cstheme="minorBidi"/>
        </w:rPr>
        <w:t>.</w:t>
      </w:r>
      <w:r w:rsidR="00454596" w:rsidRPr="00023D47">
        <w:rPr>
          <w:rFonts w:asciiTheme="minorBidi" w:hAnsiTheme="minorBidi" w:cstheme="minorBidi"/>
        </w:rPr>
        <w:t xml:space="preserve"> </w:t>
      </w:r>
    </w:p>
    <w:sectPr w:rsidR="00454596" w:rsidRPr="002B1719" w:rsidSect="009B34DA">
      <w:headerReference w:type="even" r:id="rId13"/>
      <w:headerReference w:type="default" r:id="rId14"/>
      <w:headerReference w:type="first" r:id="rId15"/>
      <w:pgSz w:w="11910" w:h="16850"/>
      <w:pgMar w:top="1696" w:right="1278" w:bottom="1702" w:left="1340" w:header="0" w:footer="1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594D" w14:textId="77777777" w:rsidR="00AC4BEB" w:rsidRDefault="00AC4BEB">
      <w:r>
        <w:separator/>
      </w:r>
    </w:p>
  </w:endnote>
  <w:endnote w:type="continuationSeparator" w:id="0">
    <w:p w14:paraId="4181600B" w14:textId="77777777" w:rsidR="00AC4BEB" w:rsidRDefault="00AC4BEB">
      <w:r>
        <w:continuationSeparator/>
      </w:r>
    </w:p>
  </w:endnote>
  <w:endnote w:type="continuationNotice" w:id="1">
    <w:p w14:paraId="2621A48D" w14:textId="77777777" w:rsidR="00AC4BEB" w:rsidRDefault="00AC4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880470212"/>
      <w:docPartObj>
        <w:docPartGallery w:val="Page Numbers (Bottom of Page)"/>
        <w:docPartUnique/>
      </w:docPartObj>
    </w:sdtPr>
    <w:sdtEndPr>
      <w:rPr>
        <w:noProof/>
      </w:rPr>
    </w:sdtEndPr>
    <w:sdtContent>
      <w:p w14:paraId="5655584E" w14:textId="77777777" w:rsidR="00AC4BEB" w:rsidRPr="00A8195A" w:rsidRDefault="00AC4BEB">
        <w:pPr>
          <w:pStyle w:val="Footer"/>
          <w:jc w:val="right"/>
          <w:rPr>
            <w:sz w:val="22"/>
            <w:szCs w:val="22"/>
          </w:rPr>
        </w:pPr>
        <w:r w:rsidRPr="00A8195A">
          <w:rPr>
            <w:noProof/>
            <w:sz w:val="22"/>
            <w:szCs w:val="22"/>
            <w:lang w:val="en-GB" w:eastAsia="en-GB"/>
          </w:rPr>
          <w:drawing>
            <wp:anchor distT="0" distB="0" distL="114300" distR="114300" simplePos="0" relativeHeight="251658240" behindDoc="1" locked="0" layoutInCell="1" allowOverlap="1" wp14:anchorId="6A0BE318" wp14:editId="713705BF">
              <wp:simplePos x="0" y="0"/>
              <wp:positionH relativeFrom="margin">
                <wp:align>center</wp:align>
              </wp:positionH>
              <wp:positionV relativeFrom="paragraph">
                <wp:posOffset>-887095</wp:posOffset>
              </wp:positionV>
              <wp:extent cx="7559040" cy="1874520"/>
              <wp:effectExtent l="0" t="0" r="3810" b="0"/>
              <wp:wrapNone/>
              <wp:docPr id="8"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195A">
          <w:rPr>
            <w:sz w:val="22"/>
            <w:szCs w:val="22"/>
          </w:rPr>
          <w:fldChar w:fldCharType="begin"/>
        </w:r>
        <w:r w:rsidRPr="00A8195A">
          <w:rPr>
            <w:sz w:val="22"/>
            <w:szCs w:val="22"/>
          </w:rPr>
          <w:instrText xml:space="preserve"> PAGE   \* MERGEFORMAT </w:instrText>
        </w:r>
        <w:r w:rsidRPr="00A8195A">
          <w:rPr>
            <w:sz w:val="22"/>
            <w:szCs w:val="22"/>
          </w:rPr>
          <w:fldChar w:fldCharType="separate"/>
        </w:r>
        <w:r w:rsidR="00ED4209" w:rsidRPr="00A8195A">
          <w:rPr>
            <w:noProof/>
            <w:sz w:val="22"/>
            <w:szCs w:val="22"/>
          </w:rPr>
          <w:t>14</w:t>
        </w:r>
        <w:r w:rsidRPr="00A8195A">
          <w:rPr>
            <w:noProof/>
            <w:sz w:val="22"/>
            <w:szCs w:val="22"/>
          </w:rPr>
          <w:fldChar w:fldCharType="end"/>
        </w:r>
      </w:p>
    </w:sdtContent>
  </w:sdt>
  <w:p w14:paraId="23297956" w14:textId="77777777" w:rsidR="00AC4BEB" w:rsidRDefault="00AC4BEB" w:rsidP="002C291E">
    <w:pPr>
      <w:pStyle w:val="Footer"/>
      <w:tabs>
        <w:tab w:val="left" w:pos="79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6AE6" w14:textId="77777777" w:rsidR="00AC4BEB" w:rsidRDefault="00AC4BEB" w:rsidP="00365BBB">
    <w:pPr>
      <w:pStyle w:val="Footer"/>
    </w:pPr>
    <w:r>
      <w:rPr>
        <w:noProof/>
        <w:lang w:val="en-GB" w:eastAsia="en-GB"/>
      </w:rPr>
      <w:drawing>
        <wp:anchor distT="0" distB="0" distL="114300" distR="114300" simplePos="0" relativeHeight="251656192" behindDoc="1" locked="0" layoutInCell="1" allowOverlap="1" wp14:anchorId="0D94515F" wp14:editId="027E70D1">
          <wp:simplePos x="0" y="0"/>
          <wp:positionH relativeFrom="page">
            <wp:align>right</wp:align>
          </wp:positionH>
          <wp:positionV relativeFrom="paragraph">
            <wp:posOffset>-1308100</wp:posOffset>
          </wp:positionV>
          <wp:extent cx="7559040" cy="1874520"/>
          <wp:effectExtent l="0" t="0" r="381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9412" w14:textId="77777777" w:rsidR="00AC4BEB" w:rsidRDefault="00AC4BEB">
      <w:r>
        <w:separator/>
      </w:r>
    </w:p>
  </w:footnote>
  <w:footnote w:type="continuationSeparator" w:id="0">
    <w:p w14:paraId="76F0CF52" w14:textId="77777777" w:rsidR="00AC4BEB" w:rsidRDefault="00AC4BEB">
      <w:r>
        <w:continuationSeparator/>
      </w:r>
    </w:p>
  </w:footnote>
  <w:footnote w:type="continuationNotice" w:id="1">
    <w:p w14:paraId="500CDA3B" w14:textId="77777777" w:rsidR="00AC4BEB" w:rsidRDefault="00AC4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D0CB" w14:textId="77777777" w:rsidR="00AC4BEB" w:rsidRDefault="00AC4BEB">
    <w:pPr>
      <w:pStyle w:val="Header"/>
    </w:pPr>
    <w:r>
      <w:rPr>
        <w:noProof/>
        <w:lang w:eastAsia="en-GB"/>
      </w:rPr>
      <w:drawing>
        <wp:anchor distT="0" distB="0" distL="114300" distR="114300" simplePos="0" relativeHeight="251655168" behindDoc="0" locked="0" layoutInCell="1" allowOverlap="1" wp14:anchorId="6C99D5D6" wp14:editId="64AD5E6A">
          <wp:simplePos x="0" y="0"/>
          <wp:positionH relativeFrom="margin">
            <wp:align>left</wp:align>
          </wp:positionH>
          <wp:positionV relativeFrom="paragraph">
            <wp:posOffset>381000</wp:posOffset>
          </wp:positionV>
          <wp:extent cx="1899666" cy="539496"/>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2C1C" w14:textId="464B5031" w:rsidR="00AC4BEB" w:rsidRDefault="003C2CD1" w:rsidP="00A8195A">
    <w:pPr>
      <w:pStyle w:val="Header"/>
      <w:jc w:val="right"/>
    </w:pPr>
    <w:r w:rsidRPr="00BF427F">
      <w:rPr>
        <w:rFonts w:asciiTheme="minorBidi" w:hAnsiTheme="minorBidi"/>
        <w:noProof/>
        <w:lang w:eastAsia="en-GB"/>
      </w:rPr>
      <w:drawing>
        <wp:anchor distT="0" distB="0" distL="114300" distR="114300" simplePos="0" relativeHeight="251659264" behindDoc="0" locked="0" layoutInCell="1" allowOverlap="1" wp14:anchorId="2FDEE6DD" wp14:editId="154B660F">
          <wp:simplePos x="0" y="0"/>
          <wp:positionH relativeFrom="margin">
            <wp:posOffset>0</wp:posOffset>
          </wp:positionH>
          <wp:positionV relativeFrom="paragraph">
            <wp:posOffset>0</wp:posOffset>
          </wp:positionV>
          <wp:extent cx="1899666" cy="539496"/>
          <wp:effectExtent l="0" t="0" r="5715" b="0"/>
          <wp:wrapNone/>
          <wp:docPr id="50"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BC6B" w14:textId="77777777" w:rsidR="00AC4BEB" w:rsidRDefault="00AC4B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C671" w14:textId="77777777" w:rsidR="00AC4BEB" w:rsidRDefault="00AC4BEB">
    <w:pPr>
      <w:pStyle w:val="Header"/>
    </w:pPr>
    <w:r>
      <w:rPr>
        <w:noProof/>
        <w:lang w:eastAsia="en-GB"/>
      </w:rPr>
      <w:drawing>
        <wp:anchor distT="0" distB="0" distL="114300" distR="114300" simplePos="0" relativeHeight="251657216" behindDoc="0" locked="0" layoutInCell="1" allowOverlap="1" wp14:anchorId="0A127A78" wp14:editId="01F0F47C">
          <wp:simplePos x="0" y="0"/>
          <wp:positionH relativeFrom="margin">
            <wp:align>left</wp:align>
          </wp:positionH>
          <wp:positionV relativeFrom="paragraph">
            <wp:posOffset>73660</wp:posOffset>
          </wp:positionV>
          <wp:extent cx="1899666" cy="539496"/>
          <wp:effectExtent l="0" t="0" r="5715" b="0"/>
          <wp:wrapNone/>
          <wp:docPr id="11" name="Picture 1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3AFC6" w14:textId="1E212986" w:rsidR="00AC4BEB" w:rsidRDefault="00AC4BEB">
    <w:pPr>
      <w:pStyle w:val="Header"/>
    </w:pPr>
    <w:r>
      <w:tab/>
    </w:r>
    <w:r>
      <w:tab/>
    </w:r>
    <w:r w:rsidR="00C23976">
      <w:t>VER01.040723</w:t>
    </w:r>
  </w:p>
  <w:p w14:paraId="3ACB06C9" w14:textId="77777777" w:rsidR="00AC4BEB" w:rsidRDefault="00AC4B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2ACA" w14:textId="77777777" w:rsidR="00AC4BEB" w:rsidRDefault="00AC4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E9"/>
    <w:multiLevelType w:val="multilevel"/>
    <w:tmpl w:val="88104E92"/>
    <w:lvl w:ilvl="0">
      <w:start w:val="1"/>
      <w:numFmt w:val="decimal"/>
      <w:lvlText w:val="PART %1:"/>
      <w:lvlJc w:val="left"/>
      <w:pPr>
        <w:ind w:left="1009" w:hanging="1009"/>
      </w:pPr>
      <w:rPr>
        <w:rFonts w:ascii="Arial" w:hAnsi="Arial" w:cs="Arial"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2."/>
      <w:lvlJc w:val="left"/>
      <w:pPr>
        <w:tabs>
          <w:tab w:val="num" w:pos="2001"/>
        </w:tabs>
        <w:ind w:left="1009" w:hanging="1009"/>
      </w:pPr>
      <w:rPr>
        <w:rFonts w:hint="default"/>
        <w:b/>
        <w:i w:val="0"/>
        <w:vanish w:val="0"/>
        <w:color w:val="010000"/>
        <w:u w:val="none"/>
      </w:rPr>
    </w:lvl>
    <w:lvl w:ilvl="2">
      <w:start w:val="1"/>
      <w:numFmt w:val="decimal"/>
      <w:lvlText w:val="%2.%3"/>
      <w:lvlJc w:val="left"/>
      <w:pPr>
        <w:tabs>
          <w:tab w:val="num" w:pos="1150"/>
        </w:tabs>
        <w:ind w:left="1009" w:hanging="1009"/>
      </w:pPr>
      <w:rPr>
        <w:rFonts w:cs="Times New Roman" w:hint="default"/>
        <w:b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2.%3.%4"/>
      <w:lvlJc w:val="left"/>
      <w:pPr>
        <w:ind w:left="1009" w:hanging="1009"/>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720" w:hanging="360"/>
      </w:pPr>
    </w:lvl>
    <w:lvl w:ilvl="5">
      <w:start w:val="1"/>
      <w:numFmt w:val="decimal"/>
      <w:lvlRestart w:val="4"/>
      <w:lvlText w:val="(%6)"/>
      <w:lvlJc w:val="left"/>
      <w:pPr>
        <w:tabs>
          <w:tab w:val="num" w:pos="2563"/>
        </w:tabs>
        <w:ind w:left="2563" w:hanging="720"/>
      </w:pPr>
      <w:rPr>
        <w:rFonts w:hint="default"/>
        <w:vanish w:val="0"/>
        <w:color w:val="010000"/>
        <w:u w:val="none"/>
      </w:rPr>
    </w:lvl>
    <w:lvl w:ilvl="6">
      <w:start w:val="1"/>
      <w:numFmt w:val="lowerRoman"/>
      <w:lvlText w:val="(%7)"/>
      <w:lvlJc w:val="left"/>
      <w:pPr>
        <w:tabs>
          <w:tab w:val="num" w:pos="2448"/>
        </w:tabs>
        <w:ind w:left="2448" w:hanging="720"/>
      </w:pPr>
      <w:rPr>
        <w:rFonts w:hint="default"/>
        <w:vanish w:val="0"/>
        <w:color w:val="010000"/>
        <w:sz w:val="22"/>
        <w:u w:val="none"/>
      </w:rPr>
    </w:lvl>
    <w:lvl w:ilvl="7">
      <w:start w:val="1"/>
      <w:numFmt w:val="upperLetter"/>
      <w:lvlText w:val="(%8)"/>
      <w:lvlJc w:val="left"/>
      <w:pPr>
        <w:tabs>
          <w:tab w:val="num" w:pos="3168"/>
        </w:tabs>
        <w:ind w:left="3168" w:hanging="720"/>
      </w:pPr>
      <w:rPr>
        <w:rFonts w:hint="default"/>
        <w:vanish w:val="0"/>
        <w:color w:val="010000"/>
        <w:sz w:val="22"/>
        <w:u w:val="none"/>
      </w:rPr>
    </w:lvl>
    <w:lvl w:ilvl="8">
      <w:start w:val="1"/>
      <w:numFmt w:val="lowerLetter"/>
      <w:lvlText w:val="(%9)"/>
      <w:lvlJc w:val="left"/>
      <w:pPr>
        <w:tabs>
          <w:tab w:val="num" w:pos="2448"/>
        </w:tabs>
        <w:ind w:left="2448" w:hanging="720"/>
      </w:pPr>
      <w:rPr>
        <w:rFonts w:hint="default"/>
        <w:vanish w:val="0"/>
        <w:color w:val="010000"/>
        <w:sz w:val="22"/>
        <w:u w:val="none"/>
      </w:rPr>
    </w:lvl>
  </w:abstractNum>
  <w:abstractNum w:abstractNumId="1" w15:restartNumberingAfterBreak="0">
    <w:nsid w:val="0EE473BC"/>
    <w:multiLevelType w:val="hybridMultilevel"/>
    <w:tmpl w:val="8D4410FA"/>
    <w:lvl w:ilvl="0" w:tplc="8FBE0A5A">
      <w:start w:val="1"/>
      <w:numFmt w:val="upperLetter"/>
      <w:pStyle w:val="Recital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8160E9"/>
    <w:multiLevelType w:val="hybridMultilevel"/>
    <w:tmpl w:val="110AFA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60418"/>
    <w:multiLevelType w:val="multilevel"/>
    <w:tmpl w:val="F7A4E4F8"/>
    <w:lvl w:ilvl="0">
      <w:start w:val="1"/>
      <w:numFmt w:val="decimal"/>
      <w:pStyle w:val="HeadingL1"/>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E50105"/>
    <w:multiLevelType w:val="hybridMultilevel"/>
    <w:tmpl w:val="9BDA66B2"/>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C6C0CFA"/>
    <w:multiLevelType w:val="hybridMultilevel"/>
    <w:tmpl w:val="C3A04C4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34D17"/>
    <w:multiLevelType w:val="hybridMultilevel"/>
    <w:tmpl w:val="4B28AE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130AD"/>
    <w:multiLevelType w:val="hybridMultilevel"/>
    <w:tmpl w:val="289C44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D4D52"/>
    <w:multiLevelType w:val="hybridMultilevel"/>
    <w:tmpl w:val="34A61C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7F1278"/>
    <w:multiLevelType w:val="multilevel"/>
    <w:tmpl w:val="3820AC46"/>
    <w:lvl w:ilvl="0">
      <w:start w:val="1"/>
      <w:numFmt w:val="decimal"/>
      <w:pStyle w:val="Level1"/>
      <w:lvlText w:val="%1."/>
      <w:lvlJc w:val="left"/>
      <w:pPr>
        <w:ind w:left="720" w:hanging="720"/>
      </w:pPr>
      <w:rPr>
        <w:rFonts w:hint="default"/>
        <w:b/>
        <w:bCs/>
      </w:rPr>
    </w:lvl>
    <w:lvl w:ilvl="1">
      <w:start w:val="1"/>
      <w:numFmt w:val="decimal"/>
      <w:pStyle w:val="Level2"/>
      <w:lvlText w:val="%1.%2"/>
      <w:lvlJc w:val="left"/>
      <w:pPr>
        <w:tabs>
          <w:tab w:val="num" w:pos="720"/>
        </w:tabs>
        <w:ind w:left="720" w:hanging="720"/>
      </w:pPr>
      <w:rPr>
        <w:rFonts w:hint="default"/>
      </w:rPr>
    </w:lvl>
    <w:lvl w:ilvl="2">
      <w:start w:val="1"/>
      <w:numFmt w:val="lowerLetter"/>
      <w:pStyle w:val="Level3"/>
      <w:lvlText w:val="%3)"/>
      <w:lvlJc w:val="left"/>
      <w:pPr>
        <w:tabs>
          <w:tab w:val="num" w:pos="1440"/>
        </w:tabs>
        <w:ind w:left="1440" w:hanging="720"/>
      </w:pPr>
      <w:rPr>
        <w:rFonts w:hint="default"/>
      </w:rPr>
    </w:lvl>
    <w:lvl w:ilvl="3">
      <w:start w:val="1"/>
      <w:numFmt w:val="lowerRoman"/>
      <w:pStyle w:val="Level4"/>
      <w:lvlText w:val="%4)"/>
      <w:lvlJc w:val="left"/>
      <w:pPr>
        <w:tabs>
          <w:tab w:val="num" w:pos="2160"/>
        </w:tabs>
        <w:ind w:left="2160" w:hanging="720"/>
      </w:pPr>
      <w:rPr>
        <w:rFonts w:hint="default"/>
      </w:rPr>
    </w:lvl>
    <w:lvl w:ilvl="4">
      <w:start w:val="1"/>
      <w:numFmt w:val="upperLetter"/>
      <w:pStyle w:val="Level5"/>
      <w:lvlText w:val="%5)"/>
      <w:lvlJc w:val="left"/>
      <w:pPr>
        <w:tabs>
          <w:tab w:val="num" w:pos="2880"/>
        </w:tabs>
        <w:ind w:left="2880" w:hanging="720"/>
      </w:pPr>
      <w:rPr>
        <w:rFonts w:hint="default"/>
      </w:rPr>
    </w:lvl>
    <w:lvl w:ilvl="5">
      <w:start w:val="1"/>
      <w:numFmt w:val="upperRoman"/>
      <w:pStyle w:val="Level6"/>
      <w:lvlText w:val="%6)"/>
      <w:lvlJc w:val="left"/>
      <w:pPr>
        <w:tabs>
          <w:tab w:val="num" w:pos="3600"/>
        </w:tabs>
        <w:ind w:left="3600" w:hanging="720"/>
      </w:pPr>
      <w:rPr>
        <w:rFonts w:hint="default"/>
      </w:rPr>
    </w:lvl>
    <w:lvl w:ilvl="6">
      <w:start w:val="1"/>
      <w:numFmt w:val="bullet"/>
      <w:pStyle w:val="Level7"/>
      <w:lvlText w:val=""/>
      <w:lvlJc w:val="left"/>
      <w:pPr>
        <w:tabs>
          <w:tab w:val="num" w:pos="4321"/>
        </w:tabs>
        <w:ind w:left="4321" w:hanging="721"/>
      </w:pPr>
      <w:rPr>
        <w:rFonts w:ascii="Symbol" w:hAnsi="Symbol" w:cs="Times New Roman" w:hint="default"/>
        <w:color w:val="auto"/>
      </w:rPr>
    </w:lvl>
    <w:lvl w:ilvl="7">
      <w:start w:val="1"/>
      <w:numFmt w:val="bullet"/>
      <w:pStyle w:val="Level8"/>
      <w:lvlText w:val="-"/>
      <w:lvlJc w:val="left"/>
      <w:pPr>
        <w:tabs>
          <w:tab w:val="num" w:pos="5041"/>
        </w:tabs>
        <w:ind w:left="5041" w:hanging="720"/>
      </w:pPr>
      <w:rPr>
        <w:rFonts w:ascii="Arial" w:hAnsi="Arial" w:cs="Times New Roman" w:hint="default"/>
      </w:rPr>
    </w:lvl>
    <w:lvl w:ilvl="8">
      <w:start w:val="1"/>
      <w:numFmt w:val="lowerRoman"/>
      <w:lvlText w:val="%9."/>
      <w:lvlJc w:val="left"/>
      <w:pPr>
        <w:tabs>
          <w:tab w:val="num" w:pos="5761"/>
        </w:tabs>
        <w:ind w:left="5761" w:hanging="720"/>
      </w:pPr>
      <w:rPr>
        <w:rFonts w:hint="default"/>
      </w:rPr>
    </w:lvl>
  </w:abstractNum>
  <w:abstractNum w:abstractNumId="10" w15:restartNumberingAfterBreak="0">
    <w:nsid w:val="37DF2681"/>
    <w:multiLevelType w:val="hybridMultilevel"/>
    <w:tmpl w:val="9DA2FC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C1570F"/>
    <w:multiLevelType w:val="hybridMultilevel"/>
    <w:tmpl w:val="110AFA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7F373A"/>
    <w:multiLevelType w:val="hybridMultilevel"/>
    <w:tmpl w:val="BFDCF8B2"/>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2602662"/>
    <w:multiLevelType w:val="multilevel"/>
    <w:tmpl w:val="5B72B6C4"/>
    <w:lvl w:ilvl="0">
      <w:start w:val="4"/>
      <w:numFmt w:val="decimal"/>
      <w:lvlText w:val="%1."/>
      <w:lvlJc w:val="left"/>
      <w:pPr>
        <w:ind w:left="840" w:hanging="721"/>
      </w:pPr>
      <w:rPr>
        <w:rFonts w:ascii="Arial" w:eastAsia="Arial" w:hAnsi="Arial" w:cs="Arial" w:hint="default"/>
        <w:b/>
        <w:bCs/>
        <w:i w:val="0"/>
        <w:iCs w:val="0"/>
        <w:color w:val="010000"/>
        <w:spacing w:val="0"/>
        <w:w w:val="100"/>
        <w:sz w:val="22"/>
        <w:szCs w:val="22"/>
        <w:lang w:val="en-US" w:eastAsia="en-US" w:bidi="ar-SA"/>
      </w:rPr>
    </w:lvl>
    <w:lvl w:ilvl="1">
      <w:start w:val="1"/>
      <w:numFmt w:val="decimal"/>
      <w:lvlText w:val="%1.%2"/>
      <w:lvlJc w:val="left"/>
      <w:pPr>
        <w:ind w:left="840" w:hanging="721"/>
      </w:pPr>
      <w:rPr>
        <w:rFonts w:ascii="Arial" w:eastAsia="Arial" w:hAnsi="Arial" w:cs="Arial" w:hint="default"/>
        <w:b/>
        <w:bCs/>
        <w:i w:val="0"/>
        <w:iCs w:val="0"/>
        <w:color w:val="010000"/>
        <w:spacing w:val="0"/>
        <w:w w:val="100"/>
        <w:sz w:val="22"/>
        <w:szCs w:val="22"/>
        <w:lang w:val="en-US" w:eastAsia="en-US" w:bidi="ar-SA"/>
      </w:rPr>
    </w:lvl>
    <w:lvl w:ilvl="2">
      <w:start w:val="1"/>
      <w:numFmt w:val="decimal"/>
      <w:lvlText w:val="%1.%2.%3"/>
      <w:lvlJc w:val="left"/>
      <w:pPr>
        <w:ind w:left="839" w:hanging="720"/>
      </w:pPr>
      <w:rPr>
        <w:rFonts w:hint="default"/>
        <w:b/>
        <w:bCs/>
        <w:spacing w:val="-3"/>
        <w:w w:val="100"/>
        <w:lang w:val="en-US" w:eastAsia="en-US" w:bidi="ar-SA"/>
      </w:rPr>
    </w:lvl>
    <w:lvl w:ilvl="3">
      <w:start w:val="1"/>
      <w:numFmt w:val="decimal"/>
      <w:lvlText w:val="(%4)"/>
      <w:lvlJc w:val="left"/>
      <w:pPr>
        <w:ind w:left="1560" w:hanging="721"/>
      </w:pPr>
      <w:rPr>
        <w:rFonts w:hint="default"/>
        <w:b w:val="0"/>
        <w:bCs w:val="0"/>
        <w:spacing w:val="-2"/>
        <w:w w:val="100"/>
        <w:lang w:val="en-US" w:eastAsia="en-US" w:bidi="ar-SA"/>
      </w:rPr>
    </w:lvl>
    <w:lvl w:ilvl="4">
      <w:start w:val="1"/>
      <w:numFmt w:val="lowerLetter"/>
      <w:lvlText w:val="(%5)"/>
      <w:lvlJc w:val="left"/>
      <w:pPr>
        <w:ind w:left="2280" w:hanging="721"/>
      </w:pPr>
      <w:rPr>
        <w:rFonts w:ascii="Arial" w:eastAsia="Arial" w:hAnsi="Arial" w:cs="Arial" w:hint="default"/>
        <w:b w:val="0"/>
        <w:bCs w:val="0"/>
        <w:i w:val="0"/>
        <w:iCs w:val="0"/>
        <w:color w:val="010000"/>
        <w:spacing w:val="-2"/>
        <w:w w:val="100"/>
        <w:sz w:val="22"/>
        <w:szCs w:val="22"/>
        <w:lang w:val="en-US" w:eastAsia="en-US" w:bidi="ar-SA"/>
      </w:rPr>
    </w:lvl>
    <w:lvl w:ilvl="5">
      <w:start w:val="1"/>
      <w:numFmt w:val="lowerRoman"/>
      <w:lvlText w:val="(%6)"/>
      <w:lvlJc w:val="left"/>
      <w:pPr>
        <w:ind w:left="2280" w:hanging="721"/>
      </w:pPr>
      <w:rPr>
        <w:rFonts w:ascii="Arial" w:eastAsia="Arial" w:hAnsi="Arial" w:cs="Arial" w:hint="default"/>
        <w:b w:val="0"/>
        <w:bCs w:val="0"/>
        <w:i w:val="0"/>
        <w:iCs w:val="0"/>
        <w:spacing w:val="-2"/>
        <w:w w:val="100"/>
        <w:sz w:val="22"/>
        <w:szCs w:val="22"/>
        <w:lang w:val="en-US" w:eastAsia="en-US" w:bidi="ar-SA"/>
      </w:rPr>
    </w:lvl>
    <w:lvl w:ilvl="6">
      <w:numFmt w:val="bullet"/>
      <w:lvlText w:val="•"/>
      <w:lvlJc w:val="left"/>
      <w:pPr>
        <w:ind w:left="5089" w:hanging="721"/>
      </w:pPr>
      <w:rPr>
        <w:rFonts w:hint="default"/>
        <w:lang w:val="en-US" w:eastAsia="en-US" w:bidi="ar-SA"/>
      </w:rPr>
    </w:lvl>
    <w:lvl w:ilvl="7">
      <w:numFmt w:val="bullet"/>
      <w:lvlText w:val="•"/>
      <w:lvlJc w:val="left"/>
      <w:pPr>
        <w:ind w:left="6134" w:hanging="721"/>
      </w:pPr>
      <w:rPr>
        <w:rFonts w:hint="default"/>
        <w:lang w:val="en-US" w:eastAsia="en-US" w:bidi="ar-SA"/>
      </w:rPr>
    </w:lvl>
    <w:lvl w:ilvl="8">
      <w:numFmt w:val="bullet"/>
      <w:lvlText w:val="•"/>
      <w:lvlJc w:val="left"/>
      <w:pPr>
        <w:ind w:left="7179" w:hanging="721"/>
      </w:pPr>
      <w:rPr>
        <w:rFonts w:hint="default"/>
        <w:lang w:val="en-US" w:eastAsia="en-US" w:bidi="ar-SA"/>
      </w:rPr>
    </w:lvl>
  </w:abstractNum>
  <w:abstractNum w:abstractNumId="14" w15:restartNumberingAfterBreak="0">
    <w:nsid w:val="64EF62E0"/>
    <w:multiLevelType w:val="hybridMultilevel"/>
    <w:tmpl w:val="110AFAC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81F29B6"/>
    <w:multiLevelType w:val="hybridMultilevel"/>
    <w:tmpl w:val="110AFA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C102D2"/>
    <w:multiLevelType w:val="hybridMultilevel"/>
    <w:tmpl w:val="D9BCAB74"/>
    <w:lvl w:ilvl="0" w:tplc="F0DCA85E">
      <w:start w:val="1"/>
      <w:numFmt w:val="decimal"/>
      <w:pStyle w:val="BodyTextNumbered"/>
      <w:lvlText w:val="%1."/>
      <w:lvlJc w:val="left"/>
      <w:pPr>
        <w:ind w:left="360" w:hanging="360"/>
      </w:pPr>
      <w:rPr>
        <w:b w:val="0"/>
        <w:color w:val="003B5A"/>
        <w:lang w:val="en-GB"/>
      </w:rPr>
    </w:lvl>
    <w:lvl w:ilvl="1" w:tplc="39BAF560">
      <w:start w:val="1"/>
      <w:numFmt w:val="lowerLetter"/>
      <w:lvlText w:val="(%2)"/>
      <w:lvlJc w:val="left"/>
      <w:pPr>
        <w:ind w:left="1778" w:hanging="360"/>
      </w:pPr>
      <w:rPr>
        <w:rFonts w:hint="default"/>
        <w:b w:val="0"/>
        <w:bCs w:val="0"/>
      </w:rPr>
    </w:lvl>
    <w:lvl w:ilvl="2" w:tplc="B02ADF4C">
      <w:start w:val="1"/>
      <w:numFmt w:val="lowerRoman"/>
      <w:lvlText w:val="%3."/>
      <w:lvlJc w:val="right"/>
      <w:pPr>
        <w:ind w:left="2160" w:hanging="180"/>
      </w:pPr>
    </w:lvl>
    <w:lvl w:ilvl="3" w:tplc="0409001B">
      <w:start w:val="1"/>
      <w:numFmt w:val="lowerRoman"/>
      <w:lvlText w:val="%4."/>
      <w:lvlJc w:val="right"/>
      <w:pPr>
        <w:ind w:left="3240" w:hanging="720"/>
      </w:pPr>
      <w:rPr>
        <w:rFonts w:hint="default"/>
      </w:r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17" w15:restartNumberingAfterBreak="0">
    <w:nsid w:val="6E3B22B3"/>
    <w:multiLevelType w:val="hybridMultilevel"/>
    <w:tmpl w:val="C3DC56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5A3F17"/>
    <w:multiLevelType w:val="hybridMultilevel"/>
    <w:tmpl w:val="B50886F6"/>
    <w:lvl w:ilvl="0" w:tplc="1BEA41B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FE60CDD"/>
    <w:multiLevelType w:val="hybridMultilevel"/>
    <w:tmpl w:val="D6E6D7CE"/>
    <w:lvl w:ilvl="0" w:tplc="F086C7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33B002A"/>
    <w:multiLevelType w:val="hybridMultilevel"/>
    <w:tmpl w:val="9DA2FC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9A72A2"/>
    <w:multiLevelType w:val="hybridMultilevel"/>
    <w:tmpl w:val="F10AC9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EBB2717"/>
    <w:multiLevelType w:val="hybridMultilevel"/>
    <w:tmpl w:val="9DA2FC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27249">
    <w:abstractNumId w:val="16"/>
  </w:num>
  <w:num w:numId="2" w16cid:durableId="563834036">
    <w:abstractNumId w:val="9"/>
  </w:num>
  <w:num w:numId="3" w16cid:durableId="2037197478">
    <w:abstractNumId w:val="1"/>
  </w:num>
  <w:num w:numId="4" w16cid:durableId="678847449">
    <w:abstractNumId w:val="9"/>
    <w:lvlOverride w:ilvl="0">
      <w:lvl w:ilvl="0">
        <w:start w:val="1"/>
        <w:numFmt w:val="decimal"/>
        <w:pStyle w:val="Level1"/>
        <w:lvlText w:val="%1."/>
        <w:lvlJc w:val="left"/>
        <w:pPr>
          <w:ind w:left="720" w:hanging="720"/>
        </w:pPr>
        <w:rPr>
          <w:rFonts w:hint="default"/>
          <w:b w:val="0"/>
          <w:bCs w:val="0"/>
        </w:rPr>
      </w:lvl>
    </w:lvlOverride>
    <w:lvlOverride w:ilvl="1">
      <w:lvl w:ilvl="1">
        <w:start w:val="1"/>
        <w:numFmt w:val="decimal"/>
        <w:pStyle w:val="Level2"/>
        <w:lvlText w:val="%1.%2"/>
        <w:lvlJc w:val="left"/>
        <w:pPr>
          <w:tabs>
            <w:tab w:val="num" w:pos="720"/>
          </w:tabs>
          <w:ind w:left="720" w:hanging="720"/>
        </w:pPr>
        <w:rPr>
          <w:rFonts w:hint="default"/>
          <w:strike w:val="0"/>
          <w:color w:val="0000FF"/>
          <w:u w:val="double"/>
        </w:rPr>
      </w:lvl>
    </w:lvlOverride>
  </w:num>
  <w:num w:numId="5" w16cid:durableId="384988951">
    <w:abstractNumId w:val="9"/>
  </w:num>
  <w:num w:numId="6" w16cid:durableId="271330263">
    <w:abstractNumId w:val="13"/>
  </w:num>
  <w:num w:numId="7" w16cid:durableId="1673265772">
    <w:abstractNumId w:val="9"/>
  </w:num>
  <w:num w:numId="8" w16cid:durableId="1058473850">
    <w:abstractNumId w:val="9"/>
  </w:num>
  <w:num w:numId="9" w16cid:durableId="632633202">
    <w:abstractNumId w:val="9"/>
  </w:num>
  <w:num w:numId="10" w16cid:durableId="1819571875">
    <w:abstractNumId w:val="9"/>
  </w:num>
  <w:num w:numId="11" w16cid:durableId="599218631">
    <w:abstractNumId w:val="9"/>
  </w:num>
  <w:num w:numId="12" w16cid:durableId="312953927">
    <w:abstractNumId w:val="9"/>
  </w:num>
  <w:num w:numId="13" w16cid:durableId="1050155507">
    <w:abstractNumId w:val="9"/>
  </w:num>
  <w:num w:numId="14" w16cid:durableId="686559136">
    <w:abstractNumId w:val="9"/>
  </w:num>
  <w:num w:numId="15" w16cid:durableId="137847047">
    <w:abstractNumId w:val="3"/>
  </w:num>
  <w:num w:numId="16" w16cid:durableId="1730494077">
    <w:abstractNumId w:val="19"/>
  </w:num>
  <w:num w:numId="17" w16cid:durableId="474833190">
    <w:abstractNumId w:val="9"/>
  </w:num>
  <w:num w:numId="18" w16cid:durableId="1646549637">
    <w:abstractNumId w:val="9"/>
  </w:num>
  <w:num w:numId="19" w16cid:durableId="143090771">
    <w:abstractNumId w:val="18"/>
  </w:num>
  <w:num w:numId="20" w16cid:durableId="1791242753">
    <w:abstractNumId w:val="4"/>
  </w:num>
  <w:num w:numId="21" w16cid:durableId="522746002">
    <w:abstractNumId w:val="12"/>
  </w:num>
  <w:num w:numId="22" w16cid:durableId="1417628844">
    <w:abstractNumId w:val="7"/>
  </w:num>
  <w:num w:numId="23" w16cid:durableId="902446043">
    <w:abstractNumId w:val="17"/>
  </w:num>
  <w:num w:numId="24" w16cid:durableId="491486669">
    <w:abstractNumId w:val="22"/>
  </w:num>
  <w:num w:numId="25" w16cid:durableId="383145292">
    <w:abstractNumId w:val="2"/>
  </w:num>
  <w:num w:numId="26" w16cid:durableId="1692490488">
    <w:abstractNumId w:val="8"/>
  </w:num>
  <w:num w:numId="27" w16cid:durableId="34353425">
    <w:abstractNumId w:val="6"/>
  </w:num>
  <w:num w:numId="28" w16cid:durableId="1614897232">
    <w:abstractNumId w:val="0"/>
  </w:num>
  <w:num w:numId="29" w16cid:durableId="474294282">
    <w:abstractNumId w:val="21"/>
  </w:num>
  <w:num w:numId="30" w16cid:durableId="1672368480">
    <w:abstractNumId w:val="15"/>
  </w:num>
  <w:num w:numId="31" w16cid:durableId="537939807">
    <w:abstractNumId w:val="11"/>
  </w:num>
  <w:num w:numId="32" w16cid:durableId="1790783586">
    <w:abstractNumId w:val="14"/>
  </w:num>
  <w:num w:numId="33" w16cid:durableId="2049062841">
    <w:abstractNumId w:val="20"/>
  </w:num>
  <w:num w:numId="34" w16cid:durableId="1570505699">
    <w:abstractNumId w:val="10"/>
  </w:num>
  <w:num w:numId="35" w16cid:durableId="203904024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9B"/>
    <w:rsid w:val="00000CB7"/>
    <w:rsid w:val="000046C5"/>
    <w:rsid w:val="00005481"/>
    <w:rsid w:val="00010764"/>
    <w:rsid w:val="00010B6A"/>
    <w:rsid w:val="00011E8B"/>
    <w:rsid w:val="000120F6"/>
    <w:rsid w:val="00012A53"/>
    <w:rsid w:val="00021B0A"/>
    <w:rsid w:val="00023365"/>
    <w:rsid w:val="00023D47"/>
    <w:rsid w:val="00026AA3"/>
    <w:rsid w:val="0002733C"/>
    <w:rsid w:val="00032242"/>
    <w:rsid w:val="000329B0"/>
    <w:rsid w:val="00035B03"/>
    <w:rsid w:val="00036EC4"/>
    <w:rsid w:val="000416A7"/>
    <w:rsid w:val="00044ED1"/>
    <w:rsid w:val="00045C3C"/>
    <w:rsid w:val="000469C6"/>
    <w:rsid w:val="00050F81"/>
    <w:rsid w:val="0005487E"/>
    <w:rsid w:val="00056C21"/>
    <w:rsid w:val="0006484F"/>
    <w:rsid w:val="000670CD"/>
    <w:rsid w:val="000671A2"/>
    <w:rsid w:val="000728F1"/>
    <w:rsid w:val="000740C1"/>
    <w:rsid w:val="00075E5C"/>
    <w:rsid w:val="00077584"/>
    <w:rsid w:val="00083D81"/>
    <w:rsid w:val="000905EC"/>
    <w:rsid w:val="000920B0"/>
    <w:rsid w:val="000925F5"/>
    <w:rsid w:val="00095C93"/>
    <w:rsid w:val="00096AC6"/>
    <w:rsid w:val="000A4A10"/>
    <w:rsid w:val="000A6FF2"/>
    <w:rsid w:val="000A7DAC"/>
    <w:rsid w:val="000B2DA5"/>
    <w:rsid w:val="000B3CC6"/>
    <w:rsid w:val="000B7EB1"/>
    <w:rsid w:val="000B7FFE"/>
    <w:rsid w:val="000C320B"/>
    <w:rsid w:val="000C77C0"/>
    <w:rsid w:val="000D0255"/>
    <w:rsid w:val="000D0513"/>
    <w:rsid w:val="000D2A75"/>
    <w:rsid w:val="000D54EC"/>
    <w:rsid w:val="000D595B"/>
    <w:rsid w:val="000D677E"/>
    <w:rsid w:val="000E009C"/>
    <w:rsid w:val="000E1C56"/>
    <w:rsid w:val="000E3A32"/>
    <w:rsid w:val="000E526A"/>
    <w:rsid w:val="000E68B8"/>
    <w:rsid w:val="000F0123"/>
    <w:rsid w:val="000F0486"/>
    <w:rsid w:val="000F36E7"/>
    <w:rsid w:val="000F5C83"/>
    <w:rsid w:val="000F6342"/>
    <w:rsid w:val="00100187"/>
    <w:rsid w:val="00100F83"/>
    <w:rsid w:val="001012FF"/>
    <w:rsid w:val="0010164D"/>
    <w:rsid w:val="00104873"/>
    <w:rsid w:val="00107568"/>
    <w:rsid w:val="0011104D"/>
    <w:rsid w:val="001133CC"/>
    <w:rsid w:val="00113FB2"/>
    <w:rsid w:val="00114580"/>
    <w:rsid w:val="0011460E"/>
    <w:rsid w:val="00114C0E"/>
    <w:rsid w:val="00123747"/>
    <w:rsid w:val="00124D25"/>
    <w:rsid w:val="0013073C"/>
    <w:rsid w:val="00131243"/>
    <w:rsid w:val="001325FD"/>
    <w:rsid w:val="00133A7B"/>
    <w:rsid w:val="0014134C"/>
    <w:rsid w:val="0014260D"/>
    <w:rsid w:val="00145DA0"/>
    <w:rsid w:val="001460EC"/>
    <w:rsid w:val="0015318C"/>
    <w:rsid w:val="001540D5"/>
    <w:rsid w:val="0015741B"/>
    <w:rsid w:val="00157686"/>
    <w:rsid w:val="00160C85"/>
    <w:rsid w:val="00161809"/>
    <w:rsid w:val="001626E6"/>
    <w:rsid w:val="00165DA4"/>
    <w:rsid w:val="001677AD"/>
    <w:rsid w:val="00167E64"/>
    <w:rsid w:val="00177B73"/>
    <w:rsid w:val="00180877"/>
    <w:rsid w:val="00181341"/>
    <w:rsid w:val="0019193D"/>
    <w:rsid w:val="00193758"/>
    <w:rsid w:val="0019450F"/>
    <w:rsid w:val="00195E41"/>
    <w:rsid w:val="001971AB"/>
    <w:rsid w:val="00197DA3"/>
    <w:rsid w:val="001A21A0"/>
    <w:rsid w:val="001A2387"/>
    <w:rsid w:val="001A3BE8"/>
    <w:rsid w:val="001A4E97"/>
    <w:rsid w:val="001A564C"/>
    <w:rsid w:val="001A6591"/>
    <w:rsid w:val="001B18E1"/>
    <w:rsid w:val="001B268C"/>
    <w:rsid w:val="001B2D68"/>
    <w:rsid w:val="001B3D3B"/>
    <w:rsid w:val="001B5B07"/>
    <w:rsid w:val="001B5FA3"/>
    <w:rsid w:val="001B76B3"/>
    <w:rsid w:val="001C247D"/>
    <w:rsid w:val="001C43B1"/>
    <w:rsid w:val="001C6EC0"/>
    <w:rsid w:val="001D178C"/>
    <w:rsid w:val="001D18D3"/>
    <w:rsid w:val="001D1D74"/>
    <w:rsid w:val="001D44DF"/>
    <w:rsid w:val="001D4B1A"/>
    <w:rsid w:val="001D5EF0"/>
    <w:rsid w:val="001D6489"/>
    <w:rsid w:val="001D7C8A"/>
    <w:rsid w:val="001E03F2"/>
    <w:rsid w:val="001E12C8"/>
    <w:rsid w:val="001E47F9"/>
    <w:rsid w:val="001E4FFA"/>
    <w:rsid w:val="001F023E"/>
    <w:rsid w:val="001F0640"/>
    <w:rsid w:val="001F0B33"/>
    <w:rsid w:val="001F2042"/>
    <w:rsid w:val="001F3084"/>
    <w:rsid w:val="001F43E6"/>
    <w:rsid w:val="001F576E"/>
    <w:rsid w:val="001F643D"/>
    <w:rsid w:val="001F6709"/>
    <w:rsid w:val="001F6B14"/>
    <w:rsid w:val="001F7050"/>
    <w:rsid w:val="002070DC"/>
    <w:rsid w:val="002072E5"/>
    <w:rsid w:val="0021070F"/>
    <w:rsid w:val="002120C0"/>
    <w:rsid w:val="00212194"/>
    <w:rsid w:val="002144AD"/>
    <w:rsid w:val="0021552F"/>
    <w:rsid w:val="00216ECE"/>
    <w:rsid w:val="00225C52"/>
    <w:rsid w:val="002269CE"/>
    <w:rsid w:val="00226DD5"/>
    <w:rsid w:val="00227B60"/>
    <w:rsid w:val="0023277D"/>
    <w:rsid w:val="00233161"/>
    <w:rsid w:val="00236408"/>
    <w:rsid w:val="00240022"/>
    <w:rsid w:val="00240381"/>
    <w:rsid w:val="00243BC0"/>
    <w:rsid w:val="002514D3"/>
    <w:rsid w:val="00252CD3"/>
    <w:rsid w:val="0025335A"/>
    <w:rsid w:val="00253C09"/>
    <w:rsid w:val="00254533"/>
    <w:rsid w:val="00255303"/>
    <w:rsid w:val="0025543E"/>
    <w:rsid w:val="002554CF"/>
    <w:rsid w:val="00255D62"/>
    <w:rsid w:val="00256411"/>
    <w:rsid w:val="002566A9"/>
    <w:rsid w:val="00261727"/>
    <w:rsid w:val="00263634"/>
    <w:rsid w:val="00264C7A"/>
    <w:rsid w:val="00265FA1"/>
    <w:rsid w:val="00266135"/>
    <w:rsid w:val="00266581"/>
    <w:rsid w:val="002669C5"/>
    <w:rsid w:val="002671A8"/>
    <w:rsid w:val="002708B8"/>
    <w:rsid w:val="00272086"/>
    <w:rsid w:val="00275CD4"/>
    <w:rsid w:val="00277768"/>
    <w:rsid w:val="00277E49"/>
    <w:rsid w:val="00277FB6"/>
    <w:rsid w:val="00280BB0"/>
    <w:rsid w:val="00281A71"/>
    <w:rsid w:val="002848AD"/>
    <w:rsid w:val="00285A87"/>
    <w:rsid w:val="00285E6E"/>
    <w:rsid w:val="00287082"/>
    <w:rsid w:val="00287B05"/>
    <w:rsid w:val="00290D01"/>
    <w:rsid w:val="0029443B"/>
    <w:rsid w:val="0029659E"/>
    <w:rsid w:val="00297707"/>
    <w:rsid w:val="002A3E22"/>
    <w:rsid w:val="002A5173"/>
    <w:rsid w:val="002B002B"/>
    <w:rsid w:val="002B1719"/>
    <w:rsid w:val="002B640B"/>
    <w:rsid w:val="002B76CE"/>
    <w:rsid w:val="002C279A"/>
    <w:rsid w:val="002C291E"/>
    <w:rsid w:val="002C4F9E"/>
    <w:rsid w:val="002D395C"/>
    <w:rsid w:val="002D7BF0"/>
    <w:rsid w:val="002E0426"/>
    <w:rsid w:val="002E2AF3"/>
    <w:rsid w:val="002E3FC1"/>
    <w:rsid w:val="002F13E3"/>
    <w:rsid w:val="002F13FB"/>
    <w:rsid w:val="002F182E"/>
    <w:rsid w:val="002F6B62"/>
    <w:rsid w:val="0030288D"/>
    <w:rsid w:val="003034E0"/>
    <w:rsid w:val="003046E3"/>
    <w:rsid w:val="00304838"/>
    <w:rsid w:val="00305E13"/>
    <w:rsid w:val="00307D48"/>
    <w:rsid w:val="00310221"/>
    <w:rsid w:val="00311A76"/>
    <w:rsid w:val="003166B1"/>
    <w:rsid w:val="003216BB"/>
    <w:rsid w:val="00321DBA"/>
    <w:rsid w:val="003244AB"/>
    <w:rsid w:val="00324B53"/>
    <w:rsid w:val="00326B78"/>
    <w:rsid w:val="00327077"/>
    <w:rsid w:val="00327561"/>
    <w:rsid w:val="00327C55"/>
    <w:rsid w:val="00333383"/>
    <w:rsid w:val="00336A02"/>
    <w:rsid w:val="0034090C"/>
    <w:rsid w:val="003430D9"/>
    <w:rsid w:val="003431D5"/>
    <w:rsid w:val="0034341C"/>
    <w:rsid w:val="00352AEF"/>
    <w:rsid w:val="00353917"/>
    <w:rsid w:val="00360BAF"/>
    <w:rsid w:val="00362FEC"/>
    <w:rsid w:val="00363ED6"/>
    <w:rsid w:val="00365BBB"/>
    <w:rsid w:val="00366FB5"/>
    <w:rsid w:val="0037133D"/>
    <w:rsid w:val="0037208E"/>
    <w:rsid w:val="00372C15"/>
    <w:rsid w:val="00380D93"/>
    <w:rsid w:val="00381BD2"/>
    <w:rsid w:val="003822CA"/>
    <w:rsid w:val="00382D9C"/>
    <w:rsid w:val="00387A25"/>
    <w:rsid w:val="00387C75"/>
    <w:rsid w:val="00390DC4"/>
    <w:rsid w:val="00392084"/>
    <w:rsid w:val="003924CB"/>
    <w:rsid w:val="00394902"/>
    <w:rsid w:val="0039493E"/>
    <w:rsid w:val="003A010E"/>
    <w:rsid w:val="003A084E"/>
    <w:rsid w:val="003A0AF9"/>
    <w:rsid w:val="003A3829"/>
    <w:rsid w:val="003A3A4D"/>
    <w:rsid w:val="003A4C6D"/>
    <w:rsid w:val="003A5D16"/>
    <w:rsid w:val="003A66CB"/>
    <w:rsid w:val="003A74E5"/>
    <w:rsid w:val="003B0169"/>
    <w:rsid w:val="003B31EB"/>
    <w:rsid w:val="003B4BB2"/>
    <w:rsid w:val="003B6001"/>
    <w:rsid w:val="003B73D3"/>
    <w:rsid w:val="003C123F"/>
    <w:rsid w:val="003C14BA"/>
    <w:rsid w:val="003C2CD1"/>
    <w:rsid w:val="003C38AF"/>
    <w:rsid w:val="003C3CEC"/>
    <w:rsid w:val="003C6433"/>
    <w:rsid w:val="003D30CF"/>
    <w:rsid w:val="003D4669"/>
    <w:rsid w:val="003E21F9"/>
    <w:rsid w:val="003E4A70"/>
    <w:rsid w:val="003E6100"/>
    <w:rsid w:val="003E6DA0"/>
    <w:rsid w:val="003F03AA"/>
    <w:rsid w:val="003F06D2"/>
    <w:rsid w:val="003F18C7"/>
    <w:rsid w:val="003F6C22"/>
    <w:rsid w:val="00400884"/>
    <w:rsid w:val="00402FB5"/>
    <w:rsid w:val="0040423D"/>
    <w:rsid w:val="0040430A"/>
    <w:rsid w:val="00407B7F"/>
    <w:rsid w:val="0041134E"/>
    <w:rsid w:val="00412D5D"/>
    <w:rsid w:val="004133CA"/>
    <w:rsid w:val="00416441"/>
    <w:rsid w:val="00417DA0"/>
    <w:rsid w:val="0042013B"/>
    <w:rsid w:val="004219A6"/>
    <w:rsid w:val="00421E99"/>
    <w:rsid w:val="00425581"/>
    <w:rsid w:val="0042693D"/>
    <w:rsid w:val="00432B8A"/>
    <w:rsid w:val="00432CD8"/>
    <w:rsid w:val="0043514B"/>
    <w:rsid w:val="00435DF5"/>
    <w:rsid w:val="00437C64"/>
    <w:rsid w:val="0044453C"/>
    <w:rsid w:val="0044514D"/>
    <w:rsid w:val="004543AE"/>
    <w:rsid w:val="00454596"/>
    <w:rsid w:val="00454CDF"/>
    <w:rsid w:val="00456A8D"/>
    <w:rsid w:val="0046076E"/>
    <w:rsid w:val="00463ECE"/>
    <w:rsid w:val="00467227"/>
    <w:rsid w:val="0046725E"/>
    <w:rsid w:val="0047532F"/>
    <w:rsid w:val="00476A54"/>
    <w:rsid w:val="00476F4F"/>
    <w:rsid w:val="00484751"/>
    <w:rsid w:val="004871B7"/>
    <w:rsid w:val="00487EFB"/>
    <w:rsid w:val="00490F8F"/>
    <w:rsid w:val="004A37EF"/>
    <w:rsid w:val="004A4548"/>
    <w:rsid w:val="004A50AC"/>
    <w:rsid w:val="004A55A4"/>
    <w:rsid w:val="004A76AF"/>
    <w:rsid w:val="004A770E"/>
    <w:rsid w:val="004B0684"/>
    <w:rsid w:val="004B34D7"/>
    <w:rsid w:val="004B397B"/>
    <w:rsid w:val="004B6959"/>
    <w:rsid w:val="004C32C6"/>
    <w:rsid w:val="004C695B"/>
    <w:rsid w:val="004C790E"/>
    <w:rsid w:val="004D71EE"/>
    <w:rsid w:val="004E39A5"/>
    <w:rsid w:val="004E3C41"/>
    <w:rsid w:val="004E4405"/>
    <w:rsid w:val="004E515D"/>
    <w:rsid w:val="004E65FC"/>
    <w:rsid w:val="004F40D4"/>
    <w:rsid w:val="004F4B36"/>
    <w:rsid w:val="004F5D7A"/>
    <w:rsid w:val="004F6E68"/>
    <w:rsid w:val="004F7FEF"/>
    <w:rsid w:val="00502B99"/>
    <w:rsid w:val="00505AE6"/>
    <w:rsid w:val="00507A88"/>
    <w:rsid w:val="0051045D"/>
    <w:rsid w:val="005110E7"/>
    <w:rsid w:val="00513BEB"/>
    <w:rsid w:val="0051646C"/>
    <w:rsid w:val="00520AA0"/>
    <w:rsid w:val="005227B0"/>
    <w:rsid w:val="00523FED"/>
    <w:rsid w:val="00525FE2"/>
    <w:rsid w:val="00527F3B"/>
    <w:rsid w:val="00530E2A"/>
    <w:rsid w:val="00532369"/>
    <w:rsid w:val="005323FA"/>
    <w:rsid w:val="00533CAD"/>
    <w:rsid w:val="00534FD0"/>
    <w:rsid w:val="00535A9F"/>
    <w:rsid w:val="0053608D"/>
    <w:rsid w:val="00540346"/>
    <w:rsid w:val="00540422"/>
    <w:rsid w:val="005405BE"/>
    <w:rsid w:val="005409B1"/>
    <w:rsid w:val="00542521"/>
    <w:rsid w:val="0054254A"/>
    <w:rsid w:val="00551614"/>
    <w:rsid w:val="00552506"/>
    <w:rsid w:val="00552BD4"/>
    <w:rsid w:val="00554129"/>
    <w:rsid w:val="00554F53"/>
    <w:rsid w:val="00554FFC"/>
    <w:rsid w:val="00555752"/>
    <w:rsid w:val="00561691"/>
    <w:rsid w:val="00571EFA"/>
    <w:rsid w:val="00572C8E"/>
    <w:rsid w:val="00573187"/>
    <w:rsid w:val="005746B2"/>
    <w:rsid w:val="005773A6"/>
    <w:rsid w:val="00581AF0"/>
    <w:rsid w:val="00592329"/>
    <w:rsid w:val="00592C32"/>
    <w:rsid w:val="00593A03"/>
    <w:rsid w:val="00595962"/>
    <w:rsid w:val="00596675"/>
    <w:rsid w:val="005A4072"/>
    <w:rsid w:val="005A78CB"/>
    <w:rsid w:val="005A7B42"/>
    <w:rsid w:val="005B09E7"/>
    <w:rsid w:val="005B2404"/>
    <w:rsid w:val="005B6977"/>
    <w:rsid w:val="005B6DE2"/>
    <w:rsid w:val="005C04FF"/>
    <w:rsid w:val="005C092A"/>
    <w:rsid w:val="005C2833"/>
    <w:rsid w:val="005C2A6A"/>
    <w:rsid w:val="005C320F"/>
    <w:rsid w:val="005C34F1"/>
    <w:rsid w:val="005C7050"/>
    <w:rsid w:val="005C73F7"/>
    <w:rsid w:val="005C7C7B"/>
    <w:rsid w:val="005D0935"/>
    <w:rsid w:val="005E580B"/>
    <w:rsid w:val="005E5F46"/>
    <w:rsid w:val="005F0997"/>
    <w:rsid w:val="005F1074"/>
    <w:rsid w:val="005F1A0E"/>
    <w:rsid w:val="005F3DC7"/>
    <w:rsid w:val="005F46FD"/>
    <w:rsid w:val="005F7897"/>
    <w:rsid w:val="006011B0"/>
    <w:rsid w:val="0060263D"/>
    <w:rsid w:val="00603F83"/>
    <w:rsid w:val="00605839"/>
    <w:rsid w:val="00606C48"/>
    <w:rsid w:val="00611426"/>
    <w:rsid w:val="00611AC1"/>
    <w:rsid w:val="00611EAB"/>
    <w:rsid w:val="00612F28"/>
    <w:rsid w:val="006136AA"/>
    <w:rsid w:val="00614EF4"/>
    <w:rsid w:val="00616C4D"/>
    <w:rsid w:val="00620CA1"/>
    <w:rsid w:val="00621A84"/>
    <w:rsid w:val="00621CC9"/>
    <w:rsid w:val="006225AE"/>
    <w:rsid w:val="00622CA1"/>
    <w:rsid w:val="00624FB1"/>
    <w:rsid w:val="0062764B"/>
    <w:rsid w:val="00627B19"/>
    <w:rsid w:val="00627D6E"/>
    <w:rsid w:val="006310AF"/>
    <w:rsid w:val="00634E99"/>
    <w:rsid w:val="00636344"/>
    <w:rsid w:val="00641667"/>
    <w:rsid w:val="00641F12"/>
    <w:rsid w:val="006428D2"/>
    <w:rsid w:val="006442A1"/>
    <w:rsid w:val="00650470"/>
    <w:rsid w:val="006521E5"/>
    <w:rsid w:val="006557E9"/>
    <w:rsid w:val="006563D7"/>
    <w:rsid w:val="00660F74"/>
    <w:rsid w:val="00663D8F"/>
    <w:rsid w:val="00667361"/>
    <w:rsid w:val="00667D9C"/>
    <w:rsid w:val="006702C0"/>
    <w:rsid w:val="0067050E"/>
    <w:rsid w:val="00671E72"/>
    <w:rsid w:val="006759A2"/>
    <w:rsid w:val="0068169C"/>
    <w:rsid w:val="00681F45"/>
    <w:rsid w:val="006828FF"/>
    <w:rsid w:val="006835F0"/>
    <w:rsid w:val="00684595"/>
    <w:rsid w:val="00686828"/>
    <w:rsid w:val="0069271C"/>
    <w:rsid w:val="006933A7"/>
    <w:rsid w:val="00696972"/>
    <w:rsid w:val="0069702F"/>
    <w:rsid w:val="006A0A20"/>
    <w:rsid w:val="006A342A"/>
    <w:rsid w:val="006A4814"/>
    <w:rsid w:val="006B4377"/>
    <w:rsid w:val="006B623D"/>
    <w:rsid w:val="006C029C"/>
    <w:rsid w:val="006C42C6"/>
    <w:rsid w:val="006D0B79"/>
    <w:rsid w:val="006D4A36"/>
    <w:rsid w:val="006E0E4F"/>
    <w:rsid w:val="006E175A"/>
    <w:rsid w:val="006E180E"/>
    <w:rsid w:val="006E78FE"/>
    <w:rsid w:val="006F1C2D"/>
    <w:rsid w:val="006F1DC6"/>
    <w:rsid w:val="006F3786"/>
    <w:rsid w:val="00705D42"/>
    <w:rsid w:val="00705E5E"/>
    <w:rsid w:val="00707ED5"/>
    <w:rsid w:val="00707F50"/>
    <w:rsid w:val="00711BC9"/>
    <w:rsid w:val="0071256B"/>
    <w:rsid w:val="00712B4E"/>
    <w:rsid w:val="00713C05"/>
    <w:rsid w:val="00715FD8"/>
    <w:rsid w:val="0071663B"/>
    <w:rsid w:val="00725BB1"/>
    <w:rsid w:val="00727EC7"/>
    <w:rsid w:val="00740BFB"/>
    <w:rsid w:val="00740C74"/>
    <w:rsid w:val="00743280"/>
    <w:rsid w:val="007441B1"/>
    <w:rsid w:val="007456B1"/>
    <w:rsid w:val="0074589C"/>
    <w:rsid w:val="00745C66"/>
    <w:rsid w:val="00746DF7"/>
    <w:rsid w:val="00750397"/>
    <w:rsid w:val="007558CC"/>
    <w:rsid w:val="00756F2D"/>
    <w:rsid w:val="00760653"/>
    <w:rsid w:val="0076081F"/>
    <w:rsid w:val="0076228D"/>
    <w:rsid w:val="007636BE"/>
    <w:rsid w:val="007716CD"/>
    <w:rsid w:val="0077228E"/>
    <w:rsid w:val="00774C49"/>
    <w:rsid w:val="007753EB"/>
    <w:rsid w:val="007764B0"/>
    <w:rsid w:val="007833F1"/>
    <w:rsid w:val="00783B30"/>
    <w:rsid w:val="00786986"/>
    <w:rsid w:val="00786A66"/>
    <w:rsid w:val="007914A2"/>
    <w:rsid w:val="0079189B"/>
    <w:rsid w:val="00792FF7"/>
    <w:rsid w:val="00796A80"/>
    <w:rsid w:val="00797129"/>
    <w:rsid w:val="007A045B"/>
    <w:rsid w:val="007A13BD"/>
    <w:rsid w:val="007A23A6"/>
    <w:rsid w:val="007A419A"/>
    <w:rsid w:val="007A5645"/>
    <w:rsid w:val="007A5928"/>
    <w:rsid w:val="007A5C95"/>
    <w:rsid w:val="007A641E"/>
    <w:rsid w:val="007A686C"/>
    <w:rsid w:val="007A693B"/>
    <w:rsid w:val="007A77EB"/>
    <w:rsid w:val="007B03FE"/>
    <w:rsid w:val="007B16BB"/>
    <w:rsid w:val="007B3C90"/>
    <w:rsid w:val="007B3DE5"/>
    <w:rsid w:val="007B4613"/>
    <w:rsid w:val="007B6AFD"/>
    <w:rsid w:val="007C1ED7"/>
    <w:rsid w:val="007C49B7"/>
    <w:rsid w:val="007C55E0"/>
    <w:rsid w:val="007C6296"/>
    <w:rsid w:val="007D0A45"/>
    <w:rsid w:val="007D14D2"/>
    <w:rsid w:val="007D3301"/>
    <w:rsid w:val="007D7C74"/>
    <w:rsid w:val="007E2A8B"/>
    <w:rsid w:val="007E541B"/>
    <w:rsid w:val="007E5F01"/>
    <w:rsid w:val="007E7858"/>
    <w:rsid w:val="007F0FBC"/>
    <w:rsid w:val="007F4107"/>
    <w:rsid w:val="007F4BE8"/>
    <w:rsid w:val="007F5FFE"/>
    <w:rsid w:val="00800EC2"/>
    <w:rsid w:val="00802B47"/>
    <w:rsid w:val="00805599"/>
    <w:rsid w:val="008055C1"/>
    <w:rsid w:val="00806A59"/>
    <w:rsid w:val="00807CAB"/>
    <w:rsid w:val="0081076C"/>
    <w:rsid w:val="008119D9"/>
    <w:rsid w:val="00811E11"/>
    <w:rsid w:val="00814D54"/>
    <w:rsid w:val="00815D97"/>
    <w:rsid w:val="00817E60"/>
    <w:rsid w:val="00825468"/>
    <w:rsid w:val="00826BBB"/>
    <w:rsid w:val="00826FD5"/>
    <w:rsid w:val="00832E36"/>
    <w:rsid w:val="00833148"/>
    <w:rsid w:val="00835AAC"/>
    <w:rsid w:val="00837757"/>
    <w:rsid w:val="008404A0"/>
    <w:rsid w:val="008422E1"/>
    <w:rsid w:val="0084448C"/>
    <w:rsid w:val="00844DE3"/>
    <w:rsid w:val="00846558"/>
    <w:rsid w:val="008504FA"/>
    <w:rsid w:val="00851293"/>
    <w:rsid w:val="00852FF6"/>
    <w:rsid w:val="008540A8"/>
    <w:rsid w:val="0085479F"/>
    <w:rsid w:val="00860203"/>
    <w:rsid w:val="00860778"/>
    <w:rsid w:val="00860F2B"/>
    <w:rsid w:val="00865B77"/>
    <w:rsid w:val="008666C8"/>
    <w:rsid w:val="008700FE"/>
    <w:rsid w:val="008709AC"/>
    <w:rsid w:val="008713E8"/>
    <w:rsid w:val="00871C00"/>
    <w:rsid w:val="008728C2"/>
    <w:rsid w:val="00872C5F"/>
    <w:rsid w:val="008731E8"/>
    <w:rsid w:val="00874AB7"/>
    <w:rsid w:val="008766EA"/>
    <w:rsid w:val="00876A50"/>
    <w:rsid w:val="008803C6"/>
    <w:rsid w:val="00880D09"/>
    <w:rsid w:val="008823E5"/>
    <w:rsid w:val="008830B7"/>
    <w:rsid w:val="00883618"/>
    <w:rsid w:val="00883D54"/>
    <w:rsid w:val="00892A7F"/>
    <w:rsid w:val="008A1B58"/>
    <w:rsid w:val="008A24D9"/>
    <w:rsid w:val="008A4633"/>
    <w:rsid w:val="008A677C"/>
    <w:rsid w:val="008A792B"/>
    <w:rsid w:val="008B47E1"/>
    <w:rsid w:val="008B63DE"/>
    <w:rsid w:val="008B744A"/>
    <w:rsid w:val="008C07B2"/>
    <w:rsid w:val="008C66B7"/>
    <w:rsid w:val="008D355E"/>
    <w:rsid w:val="008D4447"/>
    <w:rsid w:val="008D70B5"/>
    <w:rsid w:val="008E4095"/>
    <w:rsid w:val="008E4393"/>
    <w:rsid w:val="008E4BF3"/>
    <w:rsid w:val="008E5FEE"/>
    <w:rsid w:val="008E7A02"/>
    <w:rsid w:val="008F002F"/>
    <w:rsid w:val="008F11BE"/>
    <w:rsid w:val="008F2E2A"/>
    <w:rsid w:val="00900722"/>
    <w:rsid w:val="0090107A"/>
    <w:rsid w:val="00902F8F"/>
    <w:rsid w:val="0090493F"/>
    <w:rsid w:val="00906050"/>
    <w:rsid w:val="00906F18"/>
    <w:rsid w:val="009119E4"/>
    <w:rsid w:val="0091558E"/>
    <w:rsid w:val="009162C2"/>
    <w:rsid w:val="0092154F"/>
    <w:rsid w:val="00921FA3"/>
    <w:rsid w:val="0092310D"/>
    <w:rsid w:val="009248A6"/>
    <w:rsid w:val="00924DD2"/>
    <w:rsid w:val="00925A6C"/>
    <w:rsid w:val="00932AE9"/>
    <w:rsid w:val="00934B77"/>
    <w:rsid w:val="009405A2"/>
    <w:rsid w:val="00953AEA"/>
    <w:rsid w:val="00961911"/>
    <w:rsid w:val="009631B7"/>
    <w:rsid w:val="00963331"/>
    <w:rsid w:val="009669D5"/>
    <w:rsid w:val="009703A4"/>
    <w:rsid w:val="00983AC8"/>
    <w:rsid w:val="00985AE4"/>
    <w:rsid w:val="00990B56"/>
    <w:rsid w:val="0099252C"/>
    <w:rsid w:val="00992C63"/>
    <w:rsid w:val="0099378B"/>
    <w:rsid w:val="00993874"/>
    <w:rsid w:val="00996F5B"/>
    <w:rsid w:val="009A05A5"/>
    <w:rsid w:val="009A0D1C"/>
    <w:rsid w:val="009A1B34"/>
    <w:rsid w:val="009A21E3"/>
    <w:rsid w:val="009A2320"/>
    <w:rsid w:val="009A53CE"/>
    <w:rsid w:val="009A76F7"/>
    <w:rsid w:val="009B017E"/>
    <w:rsid w:val="009B1D39"/>
    <w:rsid w:val="009B26F9"/>
    <w:rsid w:val="009B34DA"/>
    <w:rsid w:val="009C1CA4"/>
    <w:rsid w:val="009C1CED"/>
    <w:rsid w:val="009C3DD1"/>
    <w:rsid w:val="009C79A9"/>
    <w:rsid w:val="009D035F"/>
    <w:rsid w:val="009D063F"/>
    <w:rsid w:val="009D267F"/>
    <w:rsid w:val="009D4DA5"/>
    <w:rsid w:val="009D63D2"/>
    <w:rsid w:val="009D673A"/>
    <w:rsid w:val="009E0BB8"/>
    <w:rsid w:val="009E6240"/>
    <w:rsid w:val="009E7D16"/>
    <w:rsid w:val="009F2A5F"/>
    <w:rsid w:val="009F2F2E"/>
    <w:rsid w:val="009F34ED"/>
    <w:rsid w:val="009F432B"/>
    <w:rsid w:val="009F6473"/>
    <w:rsid w:val="009F73A2"/>
    <w:rsid w:val="009F7CAB"/>
    <w:rsid w:val="00A01753"/>
    <w:rsid w:val="00A03864"/>
    <w:rsid w:val="00A03B31"/>
    <w:rsid w:val="00A0610E"/>
    <w:rsid w:val="00A065AF"/>
    <w:rsid w:val="00A12206"/>
    <w:rsid w:val="00A13132"/>
    <w:rsid w:val="00A13572"/>
    <w:rsid w:val="00A14C90"/>
    <w:rsid w:val="00A162BA"/>
    <w:rsid w:val="00A22112"/>
    <w:rsid w:val="00A25CEA"/>
    <w:rsid w:val="00A31E46"/>
    <w:rsid w:val="00A3597F"/>
    <w:rsid w:val="00A37C1F"/>
    <w:rsid w:val="00A40D86"/>
    <w:rsid w:val="00A45CC1"/>
    <w:rsid w:val="00A468D1"/>
    <w:rsid w:val="00A508B6"/>
    <w:rsid w:val="00A517DF"/>
    <w:rsid w:val="00A5598B"/>
    <w:rsid w:val="00A64B50"/>
    <w:rsid w:val="00A66A5B"/>
    <w:rsid w:val="00A71142"/>
    <w:rsid w:val="00A72631"/>
    <w:rsid w:val="00A72CAB"/>
    <w:rsid w:val="00A73CF7"/>
    <w:rsid w:val="00A76BEF"/>
    <w:rsid w:val="00A77A9A"/>
    <w:rsid w:val="00A80B84"/>
    <w:rsid w:val="00A8195A"/>
    <w:rsid w:val="00A82009"/>
    <w:rsid w:val="00A85408"/>
    <w:rsid w:val="00A85DD6"/>
    <w:rsid w:val="00A86A11"/>
    <w:rsid w:val="00A87F7C"/>
    <w:rsid w:val="00A90F6E"/>
    <w:rsid w:val="00A91D41"/>
    <w:rsid w:val="00A92EDB"/>
    <w:rsid w:val="00A93B4C"/>
    <w:rsid w:val="00A94D87"/>
    <w:rsid w:val="00A9598E"/>
    <w:rsid w:val="00A96B94"/>
    <w:rsid w:val="00A97584"/>
    <w:rsid w:val="00AA0DF3"/>
    <w:rsid w:val="00AA2791"/>
    <w:rsid w:val="00AA2A7E"/>
    <w:rsid w:val="00AA2E8A"/>
    <w:rsid w:val="00AA3003"/>
    <w:rsid w:val="00AA3EE5"/>
    <w:rsid w:val="00AA4768"/>
    <w:rsid w:val="00AA48D2"/>
    <w:rsid w:val="00AA64FF"/>
    <w:rsid w:val="00AB152C"/>
    <w:rsid w:val="00AB1FB5"/>
    <w:rsid w:val="00AB71B9"/>
    <w:rsid w:val="00AB7212"/>
    <w:rsid w:val="00AB756B"/>
    <w:rsid w:val="00AC1779"/>
    <w:rsid w:val="00AC1F6D"/>
    <w:rsid w:val="00AC4BEB"/>
    <w:rsid w:val="00AC7B2A"/>
    <w:rsid w:val="00AD05D9"/>
    <w:rsid w:val="00AD07EF"/>
    <w:rsid w:val="00AD110F"/>
    <w:rsid w:val="00AD2C67"/>
    <w:rsid w:val="00AD4338"/>
    <w:rsid w:val="00AD6FA4"/>
    <w:rsid w:val="00AD708F"/>
    <w:rsid w:val="00AD70E5"/>
    <w:rsid w:val="00AE0871"/>
    <w:rsid w:val="00AE1145"/>
    <w:rsid w:val="00AE344E"/>
    <w:rsid w:val="00AE4B60"/>
    <w:rsid w:val="00AE5C1D"/>
    <w:rsid w:val="00AF146A"/>
    <w:rsid w:val="00AF2FF1"/>
    <w:rsid w:val="00B01A82"/>
    <w:rsid w:val="00B02BAD"/>
    <w:rsid w:val="00B0565E"/>
    <w:rsid w:val="00B06399"/>
    <w:rsid w:val="00B1007A"/>
    <w:rsid w:val="00B11EBF"/>
    <w:rsid w:val="00B12008"/>
    <w:rsid w:val="00B12772"/>
    <w:rsid w:val="00B1294D"/>
    <w:rsid w:val="00B1307D"/>
    <w:rsid w:val="00B16B88"/>
    <w:rsid w:val="00B23315"/>
    <w:rsid w:val="00B26A73"/>
    <w:rsid w:val="00B271B4"/>
    <w:rsid w:val="00B3208D"/>
    <w:rsid w:val="00B330C6"/>
    <w:rsid w:val="00B34E54"/>
    <w:rsid w:val="00B3584C"/>
    <w:rsid w:val="00B36A04"/>
    <w:rsid w:val="00B40F37"/>
    <w:rsid w:val="00B413EE"/>
    <w:rsid w:val="00B422D4"/>
    <w:rsid w:val="00B450B8"/>
    <w:rsid w:val="00B4718C"/>
    <w:rsid w:val="00B505CD"/>
    <w:rsid w:val="00B5089C"/>
    <w:rsid w:val="00B51509"/>
    <w:rsid w:val="00B60A75"/>
    <w:rsid w:val="00B60B7F"/>
    <w:rsid w:val="00B60D33"/>
    <w:rsid w:val="00B61BCB"/>
    <w:rsid w:val="00B63493"/>
    <w:rsid w:val="00B651F9"/>
    <w:rsid w:val="00B65D36"/>
    <w:rsid w:val="00B705D6"/>
    <w:rsid w:val="00B711C6"/>
    <w:rsid w:val="00B771ED"/>
    <w:rsid w:val="00B77AB5"/>
    <w:rsid w:val="00B80A87"/>
    <w:rsid w:val="00B81360"/>
    <w:rsid w:val="00B85C5B"/>
    <w:rsid w:val="00BA0637"/>
    <w:rsid w:val="00BA6AC2"/>
    <w:rsid w:val="00BB4517"/>
    <w:rsid w:val="00BB61CC"/>
    <w:rsid w:val="00BB7513"/>
    <w:rsid w:val="00BC0083"/>
    <w:rsid w:val="00BC3807"/>
    <w:rsid w:val="00BC642A"/>
    <w:rsid w:val="00BC6839"/>
    <w:rsid w:val="00BD1FC5"/>
    <w:rsid w:val="00BD2064"/>
    <w:rsid w:val="00BD394F"/>
    <w:rsid w:val="00BD3FFD"/>
    <w:rsid w:val="00BD40A9"/>
    <w:rsid w:val="00BD4252"/>
    <w:rsid w:val="00BD452D"/>
    <w:rsid w:val="00BD5345"/>
    <w:rsid w:val="00BD6344"/>
    <w:rsid w:val="00BD7974"/>
    <w:rsid w:val="00BE18B4"/>
    <w:rsid w:val="00BE2DAA"/>
    <w:rsid w:val="00BE52FB"/>
    <w:rsid w:val="00BE793E"/>
    <w:rsid w:val="00BF2CDF"/>
    <w:rsid w:val="00BF3543"/>
    <w:rsid w:val="00BF3C3A"/>
    <w:rsid w:val="00BF427F"/>
    <w:rsid w:val="00BF4FEE"/>
    <w:rsid w:val="00BF54E3"/>
    <w:rsid w:val="00C03D72"/>
    <w:rsid w:val="00C04EB0"/>
    <w:rsid w:val="00C07B2B"/>
    <w:rsid w:val="00C10935"/>
    <w:rsid w:val="00C11356"/>
    <w:rsid w:val="00C12EDC"/>
    <w:rsid w:val="00C13C20"/>
    <w:rsid w:val="00C140A0"/>
    <w:rsid w:val="00C16894"/>
    <w:rsid w:val="00C17E41"/>
    <w:rsid w:val="00C20A07"/>
    <w:rsid w:val="00C21EAA"/>
    <w:rsid w:val="00C21FB5"/>
    <w:rsid w:val="00C23976"/>
    <w:rsid w:val="00C240C4"/>
    <w:rsid w:val="00C27009"/>
    <w:rsid w:val="00C32018"/>
    <w:rsid w:val="00C345A2"/>
    <w:rsid w:val="00C349EA"/>
    <w:rsid w:val="00C366BD"/>
    <w:rsid w:val="00C4071A"/>
    <w:rsid w:val="00C410F2"/>
    <w:rsid w:val="00C42E97"/>
    <w:rsid w:val="00C437BD"/>
    <w:rsid w:val="00C44D1A"/>
    <w:rsid w:val="00C44FB2"/>
    <w:rsid w:val="00C45D9F"/>
    <w:rsid w:val="00C47F50"/>
    <w:rsid w:val="00C63C54"/>
    <w:rsid w:val="00C658DF"/>
    <w:rsid w:val="00C74EFD"/>
    <w:rsid w:val="00C75D41"/>
    <w:rsid w:val="00C77054"/>
    <w:rsid w:val="00C811EB"/>
    <w:rsid w:val="00C835CA"/>
    <w:rsid w:val="00C86FAB"/>
    <w:rsid w:val="00C876D3"/>
    <w:rsid w:val="00C87F6B"/>
    <w:rsid w:val="00C90E2B"/>
    <w:rsid w:val="00C91783"/>
    <w:rsid w:val="00C91E8A"/>
    <w:rsid w:val="00C948D6"/>
    <w:rsid w:val="00C95626"/>
    <w:rsid w:val="00C97E30"/>
    <w:rsid w:val="00C97EF7"/>
    <w:rsid w:val="00CA031E"/>
    <w:rsid w:val="00CA2D6C"/>
    <w:rsid w:val="00CA58CE"/>
    <w:rsid w:val="00CA6F85"/>
    <w:rsid w:val="00CB5AA1"/>
    <w:rsid w:val="00CB5F62"/>
    <w:rsid w:val="00CB69CC"/>
    <w:rsid w:val="00CB7739"/>
    <w:rsid w:val="00CB78BC"/>
    <w:rsid w:val="00CC0183"/>
    <w:rsid w:val="00CC24CF"/>
    <w:rsid w:val="00CC3677"/>
    <w:rsid w:val="00CC6855"/>
    <w:rsid w:val="00CD4F54"/>
    <w:rsid w:val="00CD743C"/>
    <w:rsid w:val="00CE301E"/>
    <w:rsid w:val="00CF02EC"/>
    <w:rsid w:val="00CF0773"/>
    <w:rsid w:val="00CF2104"/>
    <w:rsid w:val="00CF38B2"/>
    <w:rsid w:val="00CF3AE6"/>
    <w:rsid w:val="00CF4FC4"/>
    <w:rsid w:val="00CF71E6"/>
    <w:rsid w:val="00D1104F"/>
    <w:rsid w:val="00D1344E"/>
    <w:rsid w:val="00D15572"/>
    <w:rsid w:val="00D16A77"/>
    <w:rsid w:val="00D171B1"/>
    <w:rsid w:val="00D23D88"/>
    <w:rsid w:val="00D2514A"/>
    <w:rsid w:val="00D25913"/>
    <w:rsid w:val="00D31191"/>
    <w:rsid w:val="00D332E9"/>
    <w:rsid w:val="00D3427A"/>
    <w:rsid w:val="00D358C2"/>
    <w:rsid w:val="00D403D1"/>
    <w:rsid w:val="00D4074C"/>
    <w:rsid w:val="00D4136B"/>
    <w:rsid w:val="00D4139F"/>
    <w:rsid w:val="00D478E1"/>
    <w:rsid w:val="00D52C13"/>
    <w:rsid w:val="00D55826"/>
    <w:rsid w:val="00D56CCF"/>
    <w:rsid w:val="00D5799A"/>
    <w:rsid w:val="00D57F0C"/>
    <w:rsid w:val="00D62393"/>
    <w:rsid w:val="00D64AD3"/>
    <w:rsid w:val="00D65D90"/>
    <w:rsid w:val="00D81B80"/>
    <w:rsid w:val="00D85857"/>
    <w:rsid w:val="00D86742"/>
    <w:rsid w:val="00D86772"/>
    <w:rsid w:val="00D87D37"/>
    <w:rsid w:val="00D911D4"/>
    <w:rsid w:val="00D91703"/>
    <w:rsid w:val="00D92A6C"/>
    <w:rsid w:val="00D92B5A"/>
    <w:rsid w:val="00D93FD2"/>
    <w:rsid w:val="00D95051"/>
    <w:rsid w:val="00D974D4"/>
    <w:rsid w:val="00DA0728"/>
    <w:rsid w:val="00DA3838"/>
    <w:rsid w:val="00DA506C"/>
    <w:rsid w:val="00DA581B"/>
    <w:rsid w:val="00DA59C1"/>
    <w:rsid w:val="00DA60C8"/>
    <w:rsid w:val="00DA7DC4"/>
    <w:rsid w:val="00DB6281"/>
    <w:rsid w:val="00DC2035"/>
    <w:rsid w:val="00DC4530"/>
    <w:rsid w:val="00DC48DB"/>
    <w:rsid w:val="00DC6267"/>
    <w:rsid w:val="00DD158D"/>
    <w:rsid w:val="00DD3F61"/>
    <w:rsid w:val="00DD4B95"/>
    <w:rsid w:val="00DD703C"/>
    <w:rsid w:val="00DD70E6"/>
    <w:rsid w:val="00DE2A33"/>
    <w:rsid w:val="00DE41DF"/>
    <w:rsid w:val="00DF01A6"/>
    <w:rsid w:val="00DF1DFD"/>
    <w:rsid w:val="00DF6405"/>
    <w:rsid w:val="00E00C98"/>
    <w:rsid w:val="00E04193"/>
    <w:rsid w:val="00E04680"/>
    <w:rsid w:val="00E06CD0"/>
    <w:rsid w:val="00E0782C"/>
    <w:rsid w:val="00E169C6"/>
    <w:rsid w:val="00E2309D"/>
    <w:rsid w:val="00E23374"/>
    <w:rsid w:val="00E243BC"/>
    <w:rsid w:val="00E24E09"/>
    <w:rsid w:val="00E261BA"/>
    <w:rsid w:val="00E2720E"/>
    <w:rsid w:val="00E27CC9"/>
    <w:rsid w:val="00E32382"/>
    <w:rsid w:val="00E36579"/>
    <w:rsid w:val="00E373C1"/>
    <w:rsid w:val="00E40199"/>
    <w:rsid w:val="00E424F2"/>
    <w:rsid w:val="00E43277"/>
    <w:rsid w:val="00E47A6C"/>
    <w:rsid w:val="00E50EA5"/>
    <w:rsid w:val="00E55A4D"/>
    <w:rsid w:val="00E5709E"/>
    <w:rsid w:val="00E62428"/>
    <w:rsid w:val="00E64489"/>
    <w:rsid w:val="00E7099B"/>
    <w:rsid w:val="00E7247A"/>
    <w:rsid w:val="00E73757"/>
    <w:rsid w:val="00E73DFA"/>
    <w:rsid w:val="00E74853"/>
    <w:rsid w:val="00E81906"/>
    <w:rsid w:val="00E81B99"/>
    <w:rsid w:val="00E82C2F"/>
    <w:rsid w:val="00E910D7"/>
    <w:rsid w:val="00E93EA9"/>
    <w:rsid w:val="00E96367"/>
    <w:rsid w:val="00EA082D"/>
    <w:rsid w:val="00EA35AD"/>
    <w:rsid w:val="00EA452B"/>
    <w:rsid w:val="00EA48A7"/>
    <w:rsid w:val="00EB4361"/>
    <w:rsid w:val="00EB555D"/>
    <w:rsid w:val="00EB6000"/>
    <w:rsid w:val="00EC0ECF"/>
    <w:rsid w:val="00EC1A1E"/>
    <w:rsid w:val="00EC5837"/>
    <w:rsid w:val="00EC5A4A"/>
    <w:rsid w:val="00EC7646"/>
    <w:rsid w:val="00ED0C45"/>
    <w:rsid w:val="00ED18C6"/>
    <w:rsid w:val="00ED4209"/>
    <w:rsid w:val="00ED630C"/>
    <w:rsid w:val="00EE2031"/>
    <w:rsid w:val="00EE53C9"/>
    <w:rsid w:val="00EE5794"/>
    <w:rsid w:val="00EE6CF6"/>
    <w:rsid w:val="00EF0BD4"/>
    <w:rsid w:val="00EF1B94"/>
    <w:rsid w:val="00EF282B"/>
    <w:rsid w:val="00EF3267"/>
    <w:rsid w:val="00EF49D4"/>
    <w:rsid w:val="00F0266E"/>
    <w:rsid w:val="00F02D91"/>
    <w:rsid w:val="00F032E6"/>
    <w:rsid w:val="00F04594"/>
    <w:rsid w:val="00F06881"/>
    <w:rsid w:val="00F10D38"/>
    <w:rsid w:val="00F12A74"/>
    <w:rsid w:val="00F20881"/>
    <w:rsid w:val="00F22449"/>
    <w:rsid w:val="00F23D00"/>
    <w:rsid w:val="00F30327"/>
    <w:rsid w:val="00F33224"/>
    <w:rsid w:val="00F37394"/>
    <w:rsid w:val="00F41A71"/>
    <w:rsid w:val="00F42A1E"/>
    <w:rsid w:val="00F42E6D"/>
    <w:rsid w:val="00F46A36"/>
    <w:rsid w:val="00F5119E"/>
    <w:rsid w:val="00F51D1D"/>
    <w:rsid w:val="00F54584"/>
    <w:rsid w:val="00F54717"/>
    <w:rsid w:val="00F55278"/>
    <w:rsid w:val="00F56A11"/>
    <w:rsid w:val="00F56AC3"/>
    <w:rsid w:val="00F60485"/>
    <w:rsid w:val="00F60C00"/>
    <w:rsid w:val="00F63999"/>
    <w:rsid w:val="00F65B8B"/>
    <w:rsid w:val="00F67198"/>
    <w:rsid w:val="00F74405"/>
    <w:rsid w:val="00F74DEC"/>
    <w:rsid w:val="00F75321"/>
    <w:rsid w:val="00F75DD9"/>
    <w:rsid w:val="00F80136"/>
    <w:rsid w:val="00F80167"/>
    <w:rsid w:val="00F80309"/>
    <w:rsid w:val="00F9183F"/>
    <w:rsid w:val="00F9332F"/>
    <w:rsid w:val="00F94869"/>
    <w:rsid w:val="00F97951"/>
    <w:rsid w:val="00FA4B67"/>
    <w:rsid w:val="00FA5652"/>
    <w:rsid w:val="00FA75A4"/>
    <w:rsid w:val="00FB02C0"/>
    <w:rsid w:val="00FB2E18"/>
    <w:rsid w:val="00FB36F0"/>
    <w:rsid w:val="00FB382E"/>
    <w:rsid w:val="00FB6231"/>
    <w:rsid w:val="00FC1F8E"/>
    <w:rsid w:val="00FC2070"/>
    <w:rsid w:val="00FC34D7"/>
    <w:rsid w:val="00FC4A60"/>
    <w:rsid w:val="00FC4ACC"/>
    <w:rsid w:val="00FC6BCA"/>
    <w:rsid w:val="00FC6E3C"/>
    <w:rsid w:val="00FD3001"/>
    <w:rsid w:val="00FF0034"/>
    <w:rsid w:val="00FF309E"/>
    <w:rsid w:val="00FF61C8"/>
    <w:rsid w:val="08AE9B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2113061"/>
  <w15:docId w15:val="{6B768EA9-6726-446E-B09D-9B9611EB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EA5"/>
    <w:pPr>
      <w:widowControl/>
      <w:spacing w:before="120" w:after="120" w:line="259" w:lineRule="auto"/>
    </w:pPr>
    <w:rPr>
      <w:rFonts w:ascii="Arial" w:hAnsi="Arial" w:cs="Arial"/>
      <w:lang w:val="en-GB"/>
    </w:rPr>
  </w:style>
  <w:style w:type="paragraph" w:styleId="Heading1">
    <w:name w:val="heading 1"/>
    <w:basedOn w:val="Normal"/>
    <w:next w:val="Normal"/>
    <w:link w:val="Heading1Char"/>
    <w:uiPriority w:val="9"/>
    <w:rsid w:val="00E50EA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rsid w:val="00E50EA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50EA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50EA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50EA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50EA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50EA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50EA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50EA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EA5"/>
    <w:rPr>
      <w:rFonts w:asciiTheme="majorHAnsi" w:eastAsiaTheme="majorEastAsia" w:hAnsiTheme="majorHAnsi" w:cstheme="majorBidi"/>
      <w:color w:val="244061" w:themeColor="accent1" w:themeShade="80"/>
      <w:sz w:val="36"/>
      <w:szCs w:val="36"/>
      <w:lang w:val="en-GB"/>
    </w:rPr>
  </w:style>
  <w:style w:type="character" w:customStyle="1" w:styleId="Heading2Char">
    <w:name w:val="Heading 2 Char"/>
    <w:basedOn w:val="DefaultParagraphFont"/>
    <w:link w:val="Heading2"/>
    <w:uiPriority w:val="9"/>
    <w:semiHidden/>
    <w:rsid w:val="00E50EA5"/>
    <w:rPr>
      <w:rFonts w:asciiTheme="majorHAnsi" w:eastAsiaTheme="majorEastAsia" w:hAnsiTheme="majorHAnsi" w:cstheme="majorBidi"/>
      <w:color w:val="365F91" w:themeColor="accent1" w:themeShade="BF"/>
      <w:sz w:val="32"/>
      <w:szCs w:val="32"/>
      <w:lang w:val="en-GB"/>
    </w:rPr>
  </w:style>
  <w:style w:type="character" w:customStyle="1" w:styleId="Heading3Char">
    <w:name w:val="Heading 3 Char"/>
    <w:basedOn w:val="DefaultParagraphFont"/>
    <w:link w:val="Heading3"/>
    <w:uiPriority w:val="9"/>
    <w:semiHidden/>
    <w:rsid w:val="00E50EA5"/>
    <w:rPr>
      <w:rFonts w:asciiTheme="majorHAnsi" w:eastAsiaTheme="majorEastAsia" w:hAnsiTheme="majorHAnsi" w:cstheme="majorBidi"/>
      <w:color w:val="365F91" w:themeColor="accent1" w:themeShade="BF"/>
      <w:sz w:val="28"/>
      <w:szCs w:val="28"/>
      <w:lang w:val="en-GB"/>
    </w:rPr>
  </w:style>
  <w:style w:type="character" w:customStyle="1" w:styleId="Heading4Char">
    <w:name w:val="Heading 4 Char"/>
    <w:basedOn w:val="DefaultParagraphFont"/>
    <w:link w:val="Heading4"/>
    <w:uiPriority w:val="9"/>
    <w:semiHidden/>
    <w:rsid w:val="00E50EA5"/>
    <w:rPr>
      <w:rFonts w:asciiTheme="majorHAnsi" w:eastAsiaTheme="majorEastAsia" w:hAnsiTheme="majorHAnsi" w:cstheme="majorBidi"/>
      <w:color w:val="365F91" w:themeColor="accent1" w:themeShade="BF"/>
      <w:sz w:val="24"/>
      <w:szCs w:val="24"/>
      <w:lang w:val="en-GB"/>
    </w:rPr>
  </w:style>
  <w:style w:type="character" w:customStyle="1" w:styleId="Heading5Char">
    <w:name w:val="Heading 5 Char"/>
    <w:basedOn w:val="DefaultParagraphFont"/>
    <w:link w:val="Heading5"/>
    <w:uiPriority w:val="9"/>
    <w:semiHidden/>
    <w:rsid w:val="00E50EA5"/>
    <w:rPr>
      <w:rFonts w:asciiTheme="majorHAnsi" w:eastAsiaTheme="majorEastAsia" w:hAnsiTheme="majorHAnsi" w:cstheme="majorBidi"/>
      <w:caps/>
      <w:color w:val="365F91" w:themeColor="accent1" w:themeShade="BF"/>
      <w:lang w:val="en-GB"/>
    </w:rPr>
  </w:style>
  <w:style w:type="character" w:customStyle="1" w:styleId="Heading6Char">
    <w:name w:val="Heading 6 Char"/>
    <w:basedOn w:val="DefaultParagraphFont"/>
    <w:link w:val="Heading6"/>
    <w:uiPriority w:val="9"/>
    <w:semiHidden/>
    <w:rsid w:val="00E50EA5"/>
    <w:rPr>
      <w:rFonts w:asciiTheme="majorHAnsi" w:eastAsiaTheme="majorEastAsia" w:hAnsiTheme="majorHAnsi" w:cstheme="majorBidi"/>
      <w:i/>
      <w:iCs/>
      <w:caps/>
      <w:color w:val="244061" w:themeColor="accent1" w:themeShade="80"/>
      <w:lang w:val="en-GB"/>
    </w:rPr>
  </w:style>
  <w:style w:type="character" w:customStyle="1" w:styleId="Heading7Char">
    <w:name w:val="Heading 7 Char"/>
    <w:basedOn w:val="DefaultParagraphFont"/>
    <w:link w:val="Heading7"/>
    <w:uiPriority w:val="9"/>
    <w:semiHidden/>
    <w:rsid w:val="00E50EA5"/>
    <w:rPr>
      <w:rFonts w:asciiTheme="majorHAnsi" w:eastAsiaTheme="majorEastAsia" w:hAnsiTheme="majorHAnsi" w:cstheme="majorBidi"/>
      <w:b/>
      <w:bCs/>
      <w:color w:val="244061" w:themeColor="accent1" w:themeShade="80"/>
      <w:lang w:val="en-GB"/>
    </w:rPr>
  </w:style>
  <w:style w:type="character" w:customStyle="1" w:styleId="Heading8Char">
    <w:name w:val="Heading 8 Char"/>
    <w:basedOn w:val="DefaultParagraphFont"/>
    <w:link w:val="Heading8"/>
    <w:uiPriority w:val="9"/>
    <w:semiHidden/>
    <w:rsid w:val="00E50EA5"/>
    <w:rPr>
      <w:rFonts w:asciiTheme="majorHAnsi" w:eastAsiaTheme="majorEastAsia" w:hAnsiTheme="majorHAnsi" w:cstheme="majorBidi"/>
      <w:b/>
      <w:bCs/>
      <w:i/>
      <w:iCs/>
      <w:color w:val="244061" w:themeColor="accent1" w:themeShade="80"/>
      <w:lang w:val="en-GB"/>
    </w:rPr>
  </w:style>
  <w:style w:type="character" w:customStyle="1" w:styleId="Heading9Char">
    <w:name w:val="Heading 9 Char"/>
    <w:basedOn w:val="DefaultParagraphFont"/>
    <w:link w:val="Heading9"/>
    <w:uiPriority w:val="9"/>
    <w:semiHidden/>
    <w:rsid w:val="00E50EA5"/>
    <w:rPr>
      <w:rFonts w:asciiTheme="majorHAnsi" w:eastAsiaTheme="majorEastAsia" w:hAnsiTheme="majorHAnsi" w:cstheme="majorBidi"/>
      <w:i/>
      <w:iCs/>
      <w:color w:val="244061" w:themeColor="accent1" w:themeShade="80"/>
      <w:lang w:val="en-GB"/>
    </w:rPr>
  </w:style>
  <w:style w:type="paragraph" w:styleId="TOC1">
    <w:name w:val="toc 1"/>
    <w:basedOn w:val="Normal"/>
    <w:uiPriority w:val="39"/>
    <w:qFormat/>
    <w:rsid w:val="004B6959"/>
    <w:rPr>
      <w:rFonts w:cstheme="minorHAnsi"/>
      <w:bCs/>
      <w:szCs w:val="24"/>
    </w:rPr>
  </w:style>
  <w:style w:type="paragraph" w:styleId="TOC2">
    <w:name w:val="toc 2"/>
    <w:basedOn w:val="Normal"/>
    <w:uiPriority w:val="39"/>
    <w:qFormat/>
    <w:pPr>
      <w:spacing w:before="0" w:after="0"/>
      <w:ind w:left="220"/>
    </w:pPr>
    <w:rPr>
      <w:rFonts w:asciiTheme="minorHAnsi" w:hAnsiTheme="minorHAnsi" w:cstheme="minorHAnsi"/>
      <w:smallCaps/>
      <w:sz w:val="20"/>
      <w:szCs w:val="24"/>
    </w:rPr>
  </w:style>
  <w:style w:type="paragraph" w:styleId="BodyText">
    <w:name w:val="Body Text"/>
    <w:basedOn w:val="Normal"/>
    <w:uiPriority w:val="1"/>
    <w:qFormat/>
    <w:pPr>
      <w:ind w:left="1538" w:hanging="710"/>
    </w:pPr>
    <w:rPr>
      <w:rFonts w:ascii="Calibri" w:eastAsia="Calibri" w:hAnsi="Calibri"/>
      <w:sz w:val="24"/>
      <w:szCs w:val="24"/>
    </w:rPr>
  </w:style>
  <w:style w:type="paragraph" w:styleId="ListParagraph">
    <w:name w:val="List Paragraph"/>
    <w:basedOn w:val="Normal"/>
    <w:link w:val="ListParagraphChar"/>
    <w:uiPriority w:val="34"/>
    <w:qFormat/>
    <w:rsid w:val="00E50EA5"/>
    <w:pPr>
      <w:ind w:left="720"/>
      <w:contextualSpacing/>
    </w:pPr>
  </w:style>
  <w:style w:type="character" w:customStyle="1" w:styleId="ListParagraphChar">
    <w:name w:val="List Paragraph Char"/>
    <w:basedOn w:val="DefaultParagraphFont"/>
    <w:link w:val="ListParagraph"/>
    <w:uiPriority w:val="34"/>
    <w:rsid w:val="00E50EA5"/>
    <w:rPr>
      <w:rFonts w:ascii="Arial" w:hAnsi="Arial" w:cs="Arial"/>
      <w:lang w:val="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0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568"/>
    <w:rPr>
      <w:rFonts w:ascii="Segoe UI" w:hAnsi="Segoe UI" w:cs="Segoe UI"/>
      <w:sz w:val="18"/>
      <w:szCs w:val="18"/>
    </w:rPr>
  </w:style>
  <w:style w:type="character" w:styleId="CommentReference">
    <w:name w:val="annotation reference"/>
    <w:basedOn w:val="DefaultParagraphFont"/>
    <w:uiPriority w:val="99"/>
    <w:semiHidden/>
    <w:unhideWhenUsed/>
    <w:rsid w:val="00107568"/>
    <w:rPr>
      <w:sz w:val="16"/>
      <w:szCs w:val="16"/>
    </w:rPr>
  </w:style>
  <w:style w:type="paragraph" w:styleId="CommentText">
    <w:name w:val="annotation text"/>
    <w:basedOn w:val="Normal"/>
    <w:link w:val="CommentTextChar"/>
    <w:uiPriority w:val="99"/>
    <w:unhideWhenUsed/>
    <w:rsid w:val="00107568"/>
    <w:rPr>
      <w:sz w:val="20"/>
      <w:szCs w:val="20"/>
    </w:rPr>
  </w:style>
  <w:style w:type="character" w:customStyle="1" w:styleId="CommentTextChar">
    <w:name w:val="Comment Text Char"/>
    <w:basedOn w:val="DefaultParagraphFont"/>
    <w:link w:val="CommentText"/>
    <w:uiPriority w:val="99"/>
    <w:rsid w:val="00107568"/>
    <w:rPr>
      <w:sz w:val="20"/>
      <w:szCs w:val="20"/>
    </w:rPr>
  </w:style>
  <w:style w:type="paragraph" w:styleId="CommentSubject">
    <w:name w:val="annotation subject"/>
    <w:basedOn w:val="CommentText"/>
    <w:next w:val="CommentText"/>
    <w:link w:val="CommentSubjectChar"/>
    <w:uiPriority w:val="99"/>
    <w:semiHidden/>
    <w:unhideWhenUsed/>
    <w:rsid w:val="00107568"/>
    <w:rPr>
      <w:b/>
      <w:bCs/>
    </w:rPr>
  </w:style>
  <w:style w:type="character" w:customStyle="1" w:styleId="CommentSubjectChar">
    <w:name w:val="Comment Subject Char"/>
    <w:basedOn w:val="CommentTextChar"/>
    <w:link w:val="CommentSubject"/>
    <w:uiPriority w:val="99"/>
    <w:semiHidden/>
    <w:rsid w:val="00107568"/>
    <w:rPr>
      <w:b/>
      <w:bCs/>
      <w:sz w:val="20"/>
      <w:szCs w:val="20"/>
    </w:rPr>
  </w:style>
  <w:style w:type="paragraph" w:styleId="FootnoteText">
    <w:name w:val="footnote text"/>
    <w:basedOn w:val="Normal"/>
    <w:link w:val="FootnoteTextChar"/>
    <w:uiPriority w:val="99"/>
    <w:unhideWhenUsed/>
    <w:rsid w:val="007A693B"/>
    <w:rPr>
      <w:sz w:val="20"/>
      <w:szCs w:val="20"/>
    </w:rPr>
  </w:style>
  <w:style w:type="character" w:customStyle="1" w:styleId="FootnoteTextChar">
    <w:name w:val="Footnote Text Char"/>
    <w:basedOn w:val="DefaultParagraphFont"/>
    <w:link w:val="FootnoteText"/>
    <w:uiPriority w:val="99"/>
    <w:rsid w:val="007A693B"/>
    <w:rPr>
      <w:sz w:val="20"/>
      <w:szCs w:val="20"/>
    </w:rPr>
  </w:style>
  <w:style w:type="character" w:styleId="FootnoteReference">
    <w:name w:val="footnote reference"/>
    <w:basedOn w:val="DefaultParagraphFont"/>
    <w:uiPriority w:val="99"/>
    <w:unhideWhenUsed/>
    <w:rsid w:val="007A693B"/>
    <w:rPr>
      <w:vertAlign w:val="superscript"/>
    </w:rPr>
  </w:style>
  <w:style w:type="paragraph" w:customStyle="1" w:styleId="Default">
    <w:name w:val="Default"/>
    <w:rsid w:val="00961911"/>
    <w:pPr>
      <w:widowControl/>
      <w:autoSpaceDE w:val="0"/>
      <w:autoSpaceDN w:val="0"/>
      <w:adjustRightInd w:val="0"/>
    </w:pPr>
    <w:rPr>
      <w:rFonts w:ascii="Calibri" w:hAnsi="Calibri" w:cs="Calibri"/>
      <w:color w:val="000000"/>
      <w:sz w:val="24"/>
      <w:szCs w:val="24"/>
      <w:lang w:val="en-GB"/>
    </w:rPr>
  </w:style>
  <w:style w:type="paragraph" w:styleId="Header">
    <w:name w:val="header"/>
    <w:basedOn w:val="Normal"/>
    <w:link w:val="HeaderChar"/>
    <w:uiPriority w:val="99"/>
    <w:unhideWhenUsed/>
    <w:rsid w:val="00871C00"/>
    <w:pPr>
      <w:tabs>
        <w:tab w:val="center" w:pos="4513"/>
        <w:tab w:val="right" w:pos="9026"/>
      </w:tabs>
    </w:pPr>
  </w:style>
  <w:style w:type="character" w:customStyle="1" w:styleId="HeaderChar">
    <w:name w:val="Header Char"/>
    <w:basedOn w:val="DefaultParagraphFont"/>
    <w:link w:val="Header"/>
    <w:uiPriority w:val="99"/>
    <w:rsid w:val="00871C00"/>
  </w:style>
  <w:style w:type="paragraph" w:styleId="Footer">
    <w:name w:val="footer"/>
    <w:link w:val="FooterChar"/>
    <w:uiPriority w:val="99"/>
    <w:qFormat/>
    <w:rsid w:val="00E50EA5"/>
    <w:pPr>
      <w:widowControl/>
      <w:pBdr>
        <w:top w:val="nil"/>
        <w:left w:val="nil"/>
        <w:bottom w:val="nil"/>
        <w:right w:val="nil"/>
        <w:between w:val="nil"/>
        <w:bar w:val="nil"/>
      </w:pBdr>
      <w:tabs>
        <w:tab w:val="center" w:pos="4593"/>
        <w:tab w:val="right" w:pos="9185"/>
      </w:tabs>
    </w:pPr>
    <w:rPr>
      <w:rFonts w:ascii="Arial" w:hAnsi="Arial" w:cs="Arial Unicode MS"/>
      <w:color w:val="7F7F7F"/>
      <w:sz w:val="16"/>
      <w:szCs w:val="18"/>
      <w:u w:color="7F7F7F"/>
    </w:rPr>
  </w:style>
  <w:style w:type="character" w:customStyle="1" w:styleId="FooterChar">
    <w:name w:val="Footer Char"/>
    <w:basedOn w:val="DefaultParagraphFont"/>
    <w:link w:val="Footer"/>
    <w:uiPriority w:val="99"/>
    <w:rsid w:val="00E50EA5"/>
    <w:rPr>
      <w:rFonts w:ascii="Arial" w:hAnsi="Arial" w:cs="Arial Unicode MS"/>
      <w:color w:val="7F7F7F"/>
      <w:sz w:val="16"/>
      <w:szCs w:val="18"/>
      <w:u w:color="7F7F7F"/>
    </w:rPr>
  </w:style>
  <w:style w:type="paragraph" w:styleId="Revision">
    <w:name w:val="Revision"/>
    <w:hidden/>
    <w:uiPriority w:val="99"/>
    <w:semiHidden/>
    <w:rsid w:val="00297707"/>
    <w:pPr>
      <w:widowControl/>
    </w:pPr>
  </w:style>
  <w:style w:type="paragraph" w:customStyle="1" w:styleId="BodyTextNumbered">
    <w:name w:val="Body Text Numbered"/>
    <w:basedOn w:val="Normal"/>
    <w:link w:val="BodyTextNumberedChar"/>
    <w:qFormat/>
    <w:rsid w:val="008709AC"/>
    <w:pPr>
      <w:numPr>
        <w:numId w:val="1"/>
      </w:numPr>
      <w:spacing w:before="100" w:after="240" w:line="276" w:lineRule="auto"/>
      <w:jc w:val="both"/>
    </w:pPr>
    <w:rPr>
      <w:rFonts w:eastAsiaTheme="minorEastAsia" w:cstheme="minorHAnsi"/>
      <w:color w:val="003B5A"/>
      <w:sz w:val="20"/>
      <w:szCs w:val="20"/>
    </w:rPr>
  </w:style>
  <w:style w:type="character" w:customStyle="1" w:styleId="BodyTextNumberedChar">
    <w:name w:val="Body Text Numbered Char"/>
    <w:basedOn w:val="DefaultParagraphFont"/>
    <w:link w:val="BodyTextNumbered"/>
    <w:rsid w:val="008709AC"/>
    <w:rPr>
      <w:rFonts w:ascii="Arial" w:eastAsiaTheme="minorEastAsia" w:hAnsi="Arial" w:cstheme="minorHAnsi"/>
      <w:color w:val="003B5A"/>
      <w:sz w:val="20"/>
      <w:szCs w:val="20"/>
      <w:lang w:val="en-GB"/>
    </w:rPr>
  </w:style>
  <w:style w:type="paragraph" w:customStyle="1" w:styleId="Body">
    <w:name w:val="Body"/>
    <w:rsid w:val="00815D97"/>
    <w:pPr>
      <w:widowControl/>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rPr>
  </w:style>
  <w:style w:type="paragraph" w:styleId="TOCHeading">
    <w:name w:val="TOC Heading"/>
    <w:basedOn w:val="Heading1"/>
    <w:next w:val="Normal"/>
    <w:uiPriority w:val="39"/>
    <w:unhideWhenUsed/>
    <w:qFormat/>
    <w:rsid w:val="004B6959"/>
    <w:pPr>
      <w:jc w:val="center"/>
      <w:outlineLvl w:val="9"/>
    </w:pPr>
    <w:rPr>
      <w:rFonts w:ascii="Arial" w:hAnsi="Arial"/>
      <w:b/>
      <w:color w:val="000000" w:themeColor="text1"/>
      <w:sz w:val="24"/>
    </w:rPr>
  </w:style>
  <w:style w:type="character" w:styleId="Hyperlink">
    <w:name w:val="Hyperlink"/>
    <w:basedOn w:val="DefaultParagraphFont"/>
    <w:uiPriority w:val="99"/>
    <w:unhideWhenUsed/>
    <w:rsid w:val="00814D54"/>
    <w:rPr>
      <w:color w:val="0000FF" w:themeColor="hyperlink"/>
      <w:u w:val="single"/>
    </w:rPr>
  </w:style>
  <w:style w:type="character" w:customStyle="1" w:styleId="Mention1">
    <w:name w:val="Mention1"/>
    <w:basedOn w:val="DefaultParagraphFont"/>
    <w:uiPriority w:val="99"/>
    <w:unhideWhenUsed/>
    <w:rsid w:val="007C55E0"/>
    <w:rPr>
      <w:color w:val="2B579A"/>
      <w:shd w:val="clear" w:color="auto" w:fill="E1DFDD"/>
    </w:rPr>
  </w:style>
  <w:style w:type="paragraph" w:styleId="TOC3">
    <w:name w:val="toc 3"/>
    <w:basedOn w:val="Normal"/>
    <w:next w:val="Normal"/>
    <w:autoRedefine/>
    <w:uiPriority w:val="39"/>
    <w:unhideWhenUsed/>
    <w:rsid w:val="002F13E3"/>
    <w:pPr>
      <w:spacing w:before="0" w:after="0"/>
      <w:ind w:left="440"/>
    </w:pPr>
    <w:rPr>
      <w:rFonts w:asciiTheme="minorHAnsi" w:hAnsiTheme="minorHAnsi" w:cstheme="minorHAnsi"/>
      <w:i/>
      <w:iCs/>
      <w:sz w:val="20"/>
      <w:szCs w:val="24"/>
    </w:rPr>
  </w:style>
  <w:style w:type="table" w:styleId="TableGrid">
    <w:name w:val="Table Grid"/>
    <w:basedOn w:val="TableNormal"/>
    <w:uiPriority w:val="59"/>
    <w:rsid w:val="00DB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qFormat/>
    <w:rsid w:val="007A77EB"/>
    <w:pPr>
      <w:spacing w:before="240" w:line="260" w:lineRule="atLeast"/>
      <w:jc w:val="both"/>
    </w:pPr>
    <w:rPr>
      <w:rFonts w:ascii="Times New Roman" w:hAnsi="Times New Roman" w:cs="Times New Roman"/>
    </w:rPr>
  </w:style>
  <w:style w:type="character" w:styleId="BookTitle">
    <w:name w:val="Book Title"/>
    <w:basedOn w:val="DefaultParagraphFont"/>
    <w:uiPriority w:val="33"/>
    <w:rsid w:val="00E50EA5"/>
    <w:rPr>
      <w:b/>
      <w:bCs/>
      <w:smallCaps/>
      <w:spacing w:val="10"/>
    </w:rPr>
  </w:style>
  <w:style w:type="paragraph" w:styleId="Caption">
    <w:name w:val="caption"/>
    <w:basedOn w:val="Normal"/>
    <w:next w:val="Normal"/>
    <w:uiPriority w:val="35"/>
    <w:semiHidden/>
    <w:unhideWhenUsed/>
    <w:qFormat/>
    <w:rsid w:val="00E50EA5"/>
    <w:pPr>
      <w:spacing w:line="240" w:lineRule="auto"/>
    </w:pPr>
    <w:rPr>
      <w:b/>
      <w:bCs/>
      <w:smallCaps/>
      <w:color w:val="1F497D" w:themeColor="text2"/>
    </w:rPr>
  </w:style>
  <w:style w:type="character" w:styleId="Emphasis">
    <w:name w:val="Emphasis"/>
    <w:basedOn w:val="DefaultParagraphFont"/>
    <w:uiPriority w:val="20"/>
    <w:rsid w:val="00E50EA5"/>
    <w:rPr>
      <w:i/>
      <w:iCs/>
    </w:rPr>
  </w:style>
  <w:style w:type="paragraph" w:customStyle="1" w:styleId="HeadingL1">
    <w:name w:val="Heading L1"/>
    <w:basedOn w:val="Normal"/>
    <w:link w:val="HeadingL1Char"/>
    <w:qFormat/>
    <w:rsid w:val="00E50EA5"/>
    <w:pPr>
      <w:numPr>
        <w:numId w:val="15"/>
      </w:numPr>
    </w:pPr>
    <w:rPr>
      <w:b/>
      <w:bCs/>
      <w:caps/>
      <w:lang w:val="en-US"/>
    </w:rPr>
  </w:style>
  <w:style w:type="character" w:customStyle="1" w:styleId="HeadingL1Char">
    <w:name w:val="Heading L1 Char"/>
    <w:basedOn w:val="DefaultParagraphFont"/>
    <w:link w:val="HeadingL1"/>
    <w:rsid w:val="00E50EA5"/>
    <w:rPr>
      <w:rFonts w:ascii="Arial" w:hAnsi="Arial" w:cs="Arial"/>
      <w:b/>
      <w:bCs/>
      <w:caps/>
    </w:rPr>
  </w:style>
  <w:style w:type="paragraph" w:customStyle="1" w:styleId="HeadingL2">
    <w:name w:val="Heading L2"/>
    <w:basedOn w:val="Normal"/>
    <w:link w:val="HeadingL2Char"/>
    <w:qFormat/>
    <w:rsid w:val="00E50EA5"/>
    <w:rPr>
      <w:b/>
      <w:bCs/>
      <w:lang w:val="en-US"/>
    </w:rPr>
  </w:style>
  <w:style w:type="character" w:customStyle="1" w:styleId="HeadingL2Char">
    <w:name w:val="Heading L2 Char"/>
    <w:basedOn w:val="DefaultParagraphFont"/>
    <w:link w:val="HeadingL2"/>
    <w:rsid w:val="00E50EA5"/>
    <w:rPr>
      <w:rFonts w:ascii="Arial" w:hAnsi="Arial" w:cs="Arial"/>
      <w:b/>
      <w:bCs/>
    </w:rPr>
  </w:style>
  <w:style w:type="paragraph" w:customStyle="1" w:styleId="HeadingL3">
    <w:name w:val="Heading L3"/>
    <w:basedOn w:val="Normal"/>
    <w:link w:val="HeadingL3Char"/>
    <w:qFormat/>
    <w:rsid w:val="00E50EA5"/>
    <w:rPr>
      <w:u w:val="single"/>
      <w:lang w:val="en-US"/>
    </w:rPr>
  </w:style>
  <w:style w:type="character" w:customStyle="1" w:styleId="HeadingL3Char">
    <w:name w:val="Heading L3 Char"/>
    <w:basedOn w:val="DefaultParagraphFont"/>
    <w:link w:val="HeadingL3"/>
    <w:rsid w:val="00E50EA5"/>
    <w:rPr>
      <w:rFonts w:ascii="Arial" w:hAnsi="Arial" w:cs="Arial"/>
      <w:u w:val="single"/>
    </w:rPr>
  </w:style>
  <w:style w:type="paragraph" w:customStyle="1" w:styleId="HeadingL4">
    <w:name w:val="Heading L4"/>
    <w:basedOn w:val="Normal"/>
    <w:link w:val="HeadingL4Char"/>
    <w:qFormat/>
    <w:rsid w:val="00E50EA5"/>
    <w:rPr>
      <w:i/>
      <w:iCs/>
      <w:lang w:val="en-US"/>
    </w:rPr>
  </w:style>
  <w:style w:type="character" w:customStyle="1" w:styleId="HeadingL4Char">
    <w:name w:val="Heading L4 Char"/>
    <w:basedOn w:val="DefaultParagraphFont"/>
    <w:link w:val="HeadingL4"/>
    <w:rsid w:val="00E50EA5"/>
    <w:rPr>
      <w:rFonts w:ascii="Arial" w:hAnsi="Arial" w:cs="Arial"/>
      <w:i/>
      <w:iCs/>
    </w:rPr>
  </w:style>
  <w:style w:type="character" w:styleId="IntenseEmphasis">
    <w:name w:val="Intense Emphasis"/>
    <w:basedOn w:val="DefaultParagraphFont"/>
    <w:uiPriority w:val="21"/>
    <w:rsid w:val="00E50EA5"/>
    <w:rPr>
      <w:b/>
      <w:bCs/>
      <w:i/>
      <w:iCs/>
    </w:rPr>
  </w:style>
  <w:style w:type="paragraph" w:styleId="IntenseQuote">
    <w:name w:val="Intense Quote"/>
    <w:basedOn w:val="Normal"/>
    <w:next w:val="Normal"/>
    <w:link w:val="IntenseQuoteChar"/>
    <w:uiPriority w:val="30"/>
    <w:rsid w:val="00E50EA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50EA5"/>
    <w:rPr>
      <w:rFonts w:asciiTheme="majorHAnsi" w:eastAsiaTheme="majorEastAsia" w:hAnsiTheme="majorHAnsi" w:cstheme="majorBidi"/>
      <w:color w:val="1F497D" w:themeColor="text2"/>
      <w:spacing w:val="-6"/>
      <w:sz w:val="32"/>
      <w:szCs w:val="32"/>
      <w:lang w:val="en-GB"/>
    </w:rPr>
  </w:style>
  <w:style w:type="character" w:styleId="IntenseReference">
    <w:name w:val="Intense Reference"/>
    <w:basedOn w:val="DefaultParagraphFont"/>
    <w:uiPriority w:val="32"/>
    <w:rsid w:val="00E50EA5"/>
    <w:rPr>
      <w:b/>
      <w:bCs/>
      <w:smallCaps/>
      <w:color w:val="1F497D" w:themeColor="text2"/>
      <w:u w:val="single"/>
    </w:rPr>
  </w:style>
  <w:style w:type="paragraph" w:customStyle="1" w:styleId="Level1">
    <w:name w:val="Level 1"/>
    <w:basedOn w:val="ListParagraph"/>
    <w:link w:val="Level1Char"/>
    <w:qFormat/>
    <w:rsid w:val="00AC4BEB"/>
    <w:pPr>
      <w:numPr>
        <w:numId w:val="2"/>
      </w:numPr>
      <w:contextualSpacing w:val="0"/>
      <w:jc w:val="both"/>
      <w:outlineLvl w:val="0"/>
    </w:pPr>
    <w:rPr>
      <w:b/>
      <w:bCs/>
      <w:caps/>
    </w:rPr>
  </w:style>
  <w:style w:type="character" w:customStyle="1" w:styleId="Level1Char">
    <w:name w:val="Level 1 Char"/>
    <w:basedOn w:val="ListParagraphChar"/>
    <w:link w:val="Level1"/>
    <w:rsid w:val="00AC4BEB"/>
    <w:rPr>
      <w:rFonts w:ascii="Arial" w:hAnsi="Arial" w:cs="Arial"/>
      <w:b/>
      <w:bCs/>
      <w:caps/>
      <w:lang w:val="en-GB"/>
    </w:rPr>
  </w:style>
  <w:style w:type="paragraph" w:customStyle="1" w:styleId="Level2">
    <w:name w:val="Level 2"/>
    <w:basedOn w:val="Level1"/>
    <w:link w:val="Level2Char"/>
    <w:qFormat/>
    <w:rsid w:val="00E50EA5"/>
    <w:pPr>
      <w:numPr>
        <w:ilvl w:val="1"/>
      </w:numPr>
    </w:pPr>
    <w:rPr>
      <w:b w:val="0"/>
      <w:bCs w:val="0"/>
      <w:caps w:val="0"/>
    </w:rPr>
  </w:style>
  <w:style w:type="character" w:customStyle="1" w:styleId="Level2Char">
    <w:name w:val="Level 2 Char"/>
    <w:basedOn w:val="Level1Char"/>
    <w:link w:val="Level2"/>
    <w:rsid w:val="00E50EA5"/>
    <w:rPr>
      <w:rFonts w:ascii="Arial" w:hAnsi="Arial" w:cs="Arial"/>
      <w:b w:val="0"/>
      <w:bCs w:val="0"/>
      <w:caps w:val="0"/>
      <w:lang w:val="en-GB"/>
    </w:rPr>
  </w:style>
  <w:style w:type="paragraph" w:customStyle="1" w:styleId="Level3">
    <w:name w:val="Level 3"/>
    <w:basedOn w:val="Level1"/>
    <w:link w:val="Level3Char"/>
    <w:qFormat/>
    <w:rsid w:val="00E50EA5"/>
    <w:pPr>
      <w:numPr>
        <w:ilvl w:val="2"/>
      </w:numPr>
    </w:pPr>
    <w:rPr>
      <w:b w:val="0"/>
      <w:bCs w:val="0"/>
      <w:caps w:val="0"/>
    </w:rPr>
  </w:style>
  <w:style w:type="character" w:customStyle="1" w:styleId="Level3Char">
    <w:name w:val="Level 3 Char"/>
    <w:basedOn w:val="Level1Char"/>
    <w:link w:val="Level3"/>
    <w:rsid w:val="00E50EA5"/>
    <w:rPr>
      <w:rFonts w:ascii="Arial" w:hAnsi="Arial" w:cs="Arial"/>
      <w:b w:val="0"/>
      <w:bCs w:val="0"/>
      <w:caps w:val="0"/>
      <w:lang w:val="en-GB"/>
    </w:rPr>
  </w:style>
  <w:style w:type="paragraph" w:customStyle="1" w:styleId="Level4">
    <w:name w:val="Level 4"/>
    <w:basedOn w:val="Level1"/>
    <w:link w:val="Level4Char"/>
    <w:qFormat/>
    <w:rsid w:val="00E50EA5"/>
    <w:pPr>
      <w:numPr>
        <w:ilvl w:val="3"/>
      </w:numPr>
    </w:pPr>
    <w:rPr>
      <w:b w:val="0"/>
      <w:bCs w:val="0"/>
      <w:caps w:val="0"/>
    </w:rPr>
  </w:style>
  <w:style w:type="character" w:customStyle="1" w:styleId="Level4Char">
    <w:name w:val="Level 4 Char"/>
    <w:basedOn w:val="Level1Char"/>
    <w:link w:val="Level4"/>
    <w:rsid w:val="00E50EA5"/>
    <w:rPr>
      <w:rFonts w:ascii="Arial" w:hAnsi="Arial" w:cs="Arial"/>
      <w:b w:val="0"/>
      <w:bCs w:val="0"/>
      <w:caps w:val="0"/>
      <w:lang w:val="en-GB"/>
    </w:rPr>
  </w:style>
  <w:style w:type="paragraph" w:customStyle="1" w:styleId="Level5">
    <w:name w:val="Level 5"/>
    <w:basedOn w:val="Level4"/>
    <w:link w:val="Level5Char"/>
    <w:qFormat/>
    <w:rsid w:val="00E50EA5"/>
    <w:pPr>
      <w:numPr>
        <w:ilvl w:val="4"/>
      </w:numPr>
    </w:pPr>
  </w:style>
  <w:style w:type="character" w:customStyle="1" w:styleId="Level5Char">
    <w:name w:val="Level 5 Char"/>
    <w:basedOn w:val="Level4Char"/>
    <w:link w:val="Level5"/>
    <w:rsid w:val="00E50EA5"/>
    <w:rPr>
      <w:rFonts w:ascii="Arial" w:hAnsi="Arial" w:cs="Arial"/>
      <w:b w:val="0"/>
      <w:bCs w:val="0"/>
      <w:caps w:val="0"/>
      <w:lang w:val="en-GB"/>
    </w:rPr>
  </w:style>
  <w:style w:type="paragraph" w:customStyle="1" w:styleId="Level6">
    <w:name w:val="Level 6"/>
    <w:basedOn w:val="Level5"/>
    <w:link w:val="Level6Char"/>
    <w:qFormat/>
    <w:rsid w:val="00E50EA5"/>
    <w:pPr>
      <w:numPr>
        <w:ilvl w:val="5"/>
      </w:numPr>
    </w:pPr>
  </w:style>
  <w:style w:type="character" w:customStyle="1" w:styleId="Level6Char">
    <w:name w:val="Level 6 Char"/>
    <w:basedOn w:val="Level5Char"/>
    <w:link w:val="Level6"/>
    <w:rsid w:val="00E50EA5"/>
    <w:rPr>
      <w:rFonts w:ascii="Arial" w:hAnsi="Arial" w:cs="Arial"/>
      <w:b w:val="0"/>
      <w:bCs w:val="0"/>
      <w:caps w:val="0"/>
      <w:lang w:val="en-GB"/>
    </w:rPr>
  </w:style>
  <w:style w:type="paragraph" w:customStyle="1" w:styleId="Level7">
    <w:name w:val="Level 7"/>
    <w:basedOn w:val="Level6"/>
    <w:link w:val="Level7Char"/>
    <w:qFormat/>
    <w:rsid w:val="00E50EA5"/>
    <w:pPr>
      <w:numPr>
        <w:ilvl w:val="6"/>
      </w:numPr>
    </w:pPr>
  </w:style>
  <w:style w:type="character" w:customStyle="1" w:styleId="Level7Char">
    <w:name w:val="Level 7 Char"/>
    <w:basedOn w:val="Level6Char"/>
    <w:link w:val="Level7"/>
    <w:rsid w:val="00E50EA5"/>
    <w:rPr>
      <w:rFonts w:ascii="Arial" w:hAnsi="Arial" w:cs="Arial"/>
      <w:b w:val="0"/>
      <w:bCs w:val="0"/>
      <w:caps w:val="0"/>
      <w:lang w:val="en-GB"/>
    </w:rPr>
  </w:style>
  <w:style w:type="paragraph" w:customStyle="1" w:styleId="Level8">
    <w:name w:val="Level 8"/>
    <w:basedOn w:val="Level6"/>
    <w:link w:val="Level8Char"/>
    <w:qFormat/>
    <w:rsid w:val="00E50EA5"/>
    <w:pPr>
      <w:numPr>
        <w:ilvl w:val="7"/>
      </w:numPr>
    </w:pPr>
  </w:style>
  <w:style w:type="character" w:customStyle="1" w:styleId="Level8Char">
    <w:name w:val="Level 8 Char"/>
    <w:basedOn w:val="Level6Char"/>
    <w:link w:val="Level8"/>
    <w:rsid w:val="00E50EA5"/>
    <w:rPr>
      <w:rFonts w:ascii="Arial" w:hAnsi="Arial" w:cs="Arial"/>
      <w:b w:val="0"/>
      <w:bCs w:val="0"/>
      <w:caps w:val="0"/>
      <w:lang w:val="en-GB"/>
    </w:rPr>
  </w:style>
  <w:style w:type="paragraph" w:styleId="NoSpacing">
    <w:name w:val="No Spacing"/>
    <w:uiPriority w:val="1"/>
    <w:qFormat/>
    <w:rsid w:val="00E50EA5"/>
    <w:pPr>
      <w:widowControl/>
    </w:pPr>
    <w:rPr>
      <w:rFonts w:ascii="Arial" w:hAnsi="Arial" w:cs="Arial"/>
      <w:lang w:val="en-GB"/>
    </w:rPr>
  </w:style>
  <w:style w:type="paragraph" w:styleId="Quote">
    <w:name w:val="Quote"/>
    <w:basedOn w:val="Normal"/>
    <w:next w:val="Normal"/>
    <w:link w:val="QuoteChar"/>
    <w:uiPriority w:val="29"/>
    <w:rsid w:val="00E50EA5"/>
    <w:pPr>
      <w:ind w:left="720"/>
    </w:pPr>
    <w:rPr>
      <w:color w:val="1F497D" w:themeColor="text2"/>
      <w:sz w:val="24"/>
      <w:szCs w:val="24"/>
    </w:rPr>
  </w:style>
  <w:style w:type="character" w:customStyle="1" w:styleId="QuoteChar">
    <w:name w:val="Quote Char"/>
    <w:basedOn w:val="DefaultParagraphFont"/>
    <w:link w:val="Quote"/>
    <w:uiPriority w:val="29"/>
    <w:rsid w:val="00E50EA5"/>
    <w:rPr>
      <w:rFonts w:ascii="Arial" w:hAnsi="Arial" w:cs="Arial"/>
      <w:color w:val="1F497D" w:themeColor="text2"/>
      <w:sz w:val="24"/>
      <w:szCs w:val="24"/>
      <w:lang w:val="en-GB"/>
    </w:rPr>
  </w:style>
  <w:style w:type="paragraph" w:customStyle="1" w:styleId="Recitals">
    <w:name w:val="Recitals"/>
    <w:basedOn w:val="Normal"/>
    <w:link w:val="RecitalsChar"/>
    <w:qFormat/>
    <w:rsid w:val="00E50EA5"/>
    <w:pPr>
      <w:numPr>
        <w:numId w:val="3"/>
      </w:numPr>
      <w:jc w:val="both"/>
    </w:pPr>
    <w:rPr>
      <w:kern w:val="1"/>
    </w:rPr>
  </w:style>
  <w:style w:type="character" w:customStyle="1" w:styleId="RecitalsChar">
    <w:name w:val="Recitals Char"/>
    <w:basedOn w:val="DefaultParagraphFont"/>
    <w:link w:val="Recitals"/>
    <w:rsid w:val="00E50EA5"/>
    <w:rPr>
      <w:rFonts w:ascii="Arial" w:hAnsi="Arial" w:cs="Arial"/>
      <w:kern w:val="1"/>
      <w:lang w:val="en-GB"/>
    </w:rPr>
  </w:style>
  <w:style w:type="character" w:styleId="Strong">
    <w:name w:val="Strong"/>
    <w:basedOn w:val="DefaultParagraphFont"/>
    <w:uiPriority w:val="22"/>
    <w:rsid w:val="00E50EA5"/>
    <w:rPr>
      <w:b/>
      <w:bCs/>
    </w:rPr>
  </w:style>
  <w:style w:type="paragraph" w:styleId="Subtitle">
    <w:name w:val="Subtitle"/>
    <w:basedOn w:val="Normal"/>
    <w:next w:val="Normal"/>
    <w:link w:val="SubtitleChar"/>
    <w:uiPriority w:val="11"/>
    <w:rsid w:val="00E50EA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50EA5"/>
    <w:rPr>
      <w:rFonts w:asciiTheme="majorHAnsi" w:eastAsiaTheme="majorEastAsia" w:hAnsiTheme="majorHAnsi" w:cstheme="majorBidi"/>
      <w:color w:val="4F81BD" w:themeColor="accent1"/>
      <w:sz w:val="28"/>
      <w:szCs w:val="28"/>
      <w:lang w:val="en-GB"/>
    </w:rPr>
  </w:style>
  <w:style w:type="character" w:styleId="SubtleEmphasis">
    <w:name w:val="Subtle Emphasis"/>
    <w:basedOn w:val="DefaultParagraphFont"/>
    <w:uiPriority w:val="19"/>
    <w:rsid w:val="00E50EA5"/>
    <w:rPr>
      <w:i/>
      <w:iCs/>
      <w:color w:val="595959" w:themeColor="text1" w:themeTint="A6"/>
    </w:rPr>
  </w:style>
  <w:style w:type="character" w:styleId="SubtleReference">
    <w:name w:val="Subtle Reference"/>
    <w:basedOn w:val="DefaultParagraphFont"/>
    <w:uiPriority w:val="31"/>
    <w:rsid w:val="00E50EA5"/>
    <w:rPr>
      <w:smallCaps/>
      <w:color w:val="595959" w:themeColor="text1" w:themeTint="A6"/>
      <w:u w:val="none" w:color="7F7F7F" w:themeColor="text1" w:themeTint="80"/>
      <w:bdr w:val="none" w:sz="0" w:space="0" w:color="auto"/>
    </w:rPr>
  </w:style>
  <w:style w:type="paragraph" w:customStyle="1" w:styleId="Title-14">
    <w:name w:val="Title - 14"/>
    <w:basedOn w:val="Normal"/>
    <w:link w:val="Title-14Char"/>
    <w:qFormat/>
    <w:rsid w:val="00E50EA5"/>
    <w:pPr>
      <w:jc w:val="center"/>
    </w:pPr>
    <w:rPr>
      <w:b/>
      <w:bCs/>
      <w:caps/>
      <w:sz w:val="28"/>
      <w:szCs w:val="28"/>
      <w:lang w:val="en-US"/>
    </w:rPr>
  </w:style>
  <w:style w:type="character" w:customStyle="1" w:styleId="Title-14Char">
    <w:name w:val="Title - 14 Char"/>
    <w:basedOn w:val="DefaultParagraphFont"/>
    <w:link w:val="Title-14"/>
    <w:rsid w:val="00E50EA5"/>
    <w:rPr>
      <w:rFonts w:ascii="Arial" w:hAnsi="Arial" w:cs="Arial"/>
      <w:b/>
      <w:bCs/>
      <w:caps/>
      <w:sz w:val="28"/>
      <w:szCs w:val="28"/>
    </w:rPr>
  </w:style>
  <w:style w:type="paragraph" w:styleId="Title">
    <w:name w:val="Title"/>
    <w:aliases w:val="Title Page Gold"/>
    <w:basedOn w:val="Normal"/>
    <w:next w:val="Normal"/>
    <w:link w:val="TitleChar"/>
    <w:uiPriority w:val="10"/>
    <w:qFormat/>
    <w:rsid w:val="00E50EA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aliases w:val="Title Page Gold Char"/>
    <w:basedOn w:val="DefaultParagraphFont"/>
    <w:link w:val="Title"/>
    <w:uiPriority w:val="10"/>
    <w:rsid w:val="00E50EA5"/>
    <w:rPr>
      <w:rFonts w:asciiTheme="majorHAnsi" w:eastAsiaTheme="majorEastAsia" w:hAnsiTheme="majorHAnsi" w:cstheme="majorBidi"/>
      <w:caps/>
      <w:color w:val="1F497D" w:themeColor="text2"/>
      <w:spacing w:val="-15"/>
      <w:sz w:val="72"/>
      <w:szCs w:val="72"/>
      <w:lang w:val="en-GB"/>
    </w:rPr>
  </w:style>
  <w:style w:type="paragraph" w:styleId="TOC4">
    <w:name w:val="toc 4"/>
    <w:basedOn w:val="Normal"/>
    <w:next w:val="Normal"/>
    <w:autoRedefine/>
    <w:uiPriority w:val="39"/>
    <w:unhideWhenUsed/>
    <w:rsid w:val="003C38AF"/>
    <w:pPr>
      <w:spacing w:before="0" w:after="0"/>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3C38AF"/>
    <w:pPr>
      <w:spacing w:before="0" w:after="0"/>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3C38AF"/>
    <w:pPr>
      <w:spacing w:before="0" w:after="0"/>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3C38AF"/>
    <w:pPr>
      <w:spacing w:before="0" w:after="0"/>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3C38AF"/>
    <w:pPr>
      <w:spacing w:before="0" w:after="0"/>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3C38AF"/>
    <w:pPr>
      <w:spacing w:before="0" w:after="0"/>
      <w:ind w:left="1760"/>
    </w:pPr>
    <w:rPr>
      <w:rFonts w:asciiTheme="minorHAnsi" w:hAnsiTheme="minorHAnsi" w:cstheme="minorHAnsi"/>
      <w:sz w:val="18"/>
      <w:szCs w:val="21"/>
    </w:rPr>
  </w:style>
  <w:style w:type="character" w:styleId="UnresolvedMention">
    <w:name w:val="Unresolved Mention"/>
    <w:basedOn w:val="DefaultParagraphFont"/>
    <w:uiPriority w:val="99"/>
    <w:semiHidden/>
    <w:unhideWhenUsed/>
    <w:rsid w:val="003C3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358">
      <w:bodyDiv w:val="1"/>
      <w:marLeft w:val="0"/>
      <w:marRight w:val="0"/>
      <w:marTop w:val="0"/>
      <w:marBottom w:val="0"/>
      <w:divBdr>
        <w:top w:val="none" w:sz="0" w:space="0" w:color="auto"/>
        <w:left w:val="none" w:sz="0" w:space="0" w:color="auto"/>
        <w:bottom w:val="none" w:sz="0" w:space="0" w:color="auto"/>
        <w:right w:val="none" w:sz="0" w:space="0" w:color="auto"/>
      </w:divBdr>
    </w:div>
    <w:div w:id="1243032150">
      <w:bodyDiv w:val="1"/>
      <w:marLeft w:val="0"/>
      <w:marRight w:val="0"/>
      <w:marTop w:val="0"/>
      <w:marBottom w:val="0"/>
      <w:divBdr>
        <w:top w:val="none" w:sz="0" w:space="0" w:color="auto"/>
        <w:left w:val="none" w:sz="0" w:space="0" w:color="auto"/>
        <w:bottom w:val="none" w:sz="0" w:space="0" w:color="auto"/>
        <w:right w:val="none" w:sz="0" w:space="0" w:color="auto"/>
      </w:divBdr>
    </w:div>
    <w:div w:id="137496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 D B O 1 ! 2 0 0 2 8 7 0 1 5 3 . 2 < / d o c u m e n t i d >  
     < s e n d e r i d > T U N S T A L W < / s e n d e r i d >  
     < s e n d e r e m a i l > W I L L . T U N S T A L L - P R I N C E @ A L L E N O V E R Y . C O M < / s e n d e r e m a i l >  
     < l a s t m o d i f i e d > 2 0 2 2 - 1 0 - 0 7 T 1 7 : 4 0 : 0 0 . 0 0 0 0 0 0 0 + 0 4 : 0 0 < / l a s t m o d i f i e d >  
     < d a t a b a s e > D B O 1 < / d a t a b a s e >  
 < / p r o p e r t i e s > 
</file>

<file path=customXml/itemProps1.xml><?xml version="1.0" encoding="utf-8"?>
<ds:datastoreItem xmlns:ds="http://schemas.openxmlformats.org/officeDocument/2006/customXml" ds:itemID="{2C287210-01D6-4E71-BD79-C67BAF072496}">
  <ds:schemaRefs>
    <ds:schemaRef ds:uri="http://schemas.openxmlformats.org/officeDocument/2006/bibliography"/>
  </ds:schemaRefs>
</ds:datastoreItem>
</file>

<file path=customXml/itemProps2.xml><?xml version="1.0" encoding="utf-8"?>
<ds:datastoreItem xmlns:ds="http://schemas.openxmlformats.org/officeDocument/2006/customXml" ds:itemID="{B939E76F-3A8E-45B7-B9AA-661EB03E433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3780</Words>
  <Characters>20717</Characters>
  <Application>Microsoft Office Word</Application>
  <DocSecurity>0</DocSecurity>
  <Lines>767</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23953</CharactersWithSpaces>
  <SharedDoc>false</SharedDoc>
  <HLinks>
    <vt:vector size="84" baseType="variant">
      <vt:variant>
        <vt:i4>1114161</vt:i4>
      </vt:variant>
      <vt:variant>
        <vt:i4>20</vt:i4>
      </vt:variant>
      <vt:variant>
        <vt:i4>0</vt:i4>
      </vt:variant>
      <vt:variant>
        <vt:i4>5</vt:i4>
      </vt:variant>
      <vt:variant>
        <vt:lpwstr/>
      </vt:variant>
      <vt:variant>
        <vt:lpwstr>_Toc114837788</vt:lpwstr>
      </vt:variant>
      <vt:variant>
        <vt:i4>1114161</vt:i4>
      </vt:variant>
      <vt:variant>
        <vt:i4>14</vt:i4>
      </vt:variant>
      <vt:variant>
        <vt:i4>0</vt:i4>
      </vt:variant>
      <vt:variant>
        <vt:i4>5</vt:i4>
      </vt:variant>
      <vt:variant>
        <vt:lpwstr/>
      </vt:variant>
      <vt:variant>
        <vt:lpwstr>_Toc114837787</vt:lpwstr>
      </vt:variant>
      <vt:variant>
        <vt:i4>1114161</vt:i4>
      </vt:variant>
      <vt:variant>
        <vt:i4>8</vt:i4>
      </vt:variant>
      <vt:variant>
        <vt:i4>0</vt:i4>
      </vt:variant>
      <vt:variant>
        <vt:i4>5</vt:i4>
      </vt:variant>
      <vt:variant>
        <vt:lpwstr/>
      </vt:variant>
      <vt:variant>
        <vt:lpwstr>_Toc114837786</vt:lpwstr>
      </vt:variant>
      <vt:variant>
        <vt:i4>1114161</vt:i4>
      </vt:variant>
      <vt:variant>
        <vt:i4>2</vt:i4>
      </vt:variant>
      <vt:variant>
        <vt:i4>0</vt:i4>
      </vt:variant>
      <vt:variant>
        <vt:i4>5</vt:i4>
      </vt:variant>
      <vt:variant>
        <vt:lpwstr/>
      </vt:variant>
      <vt:variant>
        <vt:lpwstr>_Toc114837782</vt:lpwstr>
      </vt:variant>
      <vt:variant>
        <vt:i4>393331</vt:i4>
      </vt:variant>
      <vt:variant>
        <vt:i4>27</vt:i4>
      </vt:variant>
      <vt:variant>
        <vt:i4>0</vt:i4>
      </vt:variant>
      <vt:variant>
        <vt:i4>5</vt:i4>
      </vt:variant>
      <vt:variant>
        <vt:lpwstr>mailto:Michaela.Crawford@adgm.com</vt:lpwstr>
      </vt:variant>
      <vt:variant>
        <vt:lpwstr/>
      </vt:variant>
      <vt:variant>
        <vt:i4>393331</vt:i4>
      </vt:variant>
      <vt:variant>
        <vt:i4>24</vt:i4>
      </vt:variant>
      <vt:variant>
        <vt:i4>0</vt:i4>
      </vt:variant>
      <vt:variant>
        <vt:i4>5</vt:i4>
      </vt:variant>
      <vt:variant>
        <vt:lpwstr>mailto:Michaela.Crawford@adgm.com</vt:lpwstr>
      </vt:variant>
      <vt:variant>
        <vt:lpwstr/>
      </vt:variant>
      <vt:variant>
        <vt:i4>6160440</vt:i4>
      </vt:variant>
      <vt:variant>
        <vt:i4>21</vt:i4>
      </vt:variant>
      <vt:variant>
        <vt:i4>0</vt:i4>
      </vt:variant>
      <vt:variant>
        <vt:i4>5</vt:i4>
      </vt:variant>
      <vt:variant>
        <vt:lpwstr>mailto:Monique.Elgin@adgm.com</vt:lpwstr>
      </vt:variant>
      <vt:variant>
        <vt:lpwstr/>
      </vt:variant>
      <vt:variant>
        <vt:i4>393331</vt:i4>
      </vt:variant>
      <vt:variant>
        <vt:i4>18</vt:i4>
      </vt:variant>
      <vt:variant>
        <vt:i4>0</vt:i4>
      </vt:variant>
      <vt:variant>
        <vt:i4>5</vt:i4>
      </vt:variant>
      <vt:variant>
        <vt:lpwstr>mailto:Michaela.Crawford@adgm.com</vt:lpwstr>
      </vt:variant>
      <vt:variant>
        <vt:lpwstr/>
      </vt:variant>
      <vt:variant>
        <vt:i4>1441908</vt:i4>
      </vt:variant>
      <vt:variant>
        <vt:i4>15</vt:i4>
      </vt:variant>
      <vt:variant>
        <vt:i4>0</vt:i4>
      </vt:variant>
      <vt:variant>
        <vt:i4>5</vt:i4>
      </vt:variant>
      <vt:variant>
        <vt:lpwstr>mailto:Meitha.AlNoori@adgm.com</vt:lpwstr>
      </vt:variant>
      <vt:variant>
        <vt:lpwstr/>
      </vt:variant>
      <vt:variant>
        <vt:i4>393331</vt:i4>
      </vt:variant>
      <vt:variant>
        <vt:i4>12</vt:i4>
      </vt:variant>
      <vt:variant>
        <vt:i4>0</vt:i4>
      </vt:variant>
      <vt:variant>
        <vt:i4>5</vt:i4>
      </vt:variant>
      <vt:variant>
        <vt:lpwstr>mailto:Michaela.Crawford@adgm.com</vt:lpwstr>
      </vt:variant>
      <vt:variant>
        <vt:lpwstr/>
      </vt:variant>
      <vt:variant>
        <vt:i4>720985</vt:i4>
      </vt:variant>
      <vt:variant>
        <vt:i4>9</vt:i4>
      </vt:variant>
      <vt:variant>
        <vt:i4>0</vt:i4>
      </vt:variant>
      <vt:variant>
        <vt:i4>5</vt:i4>
      </vt:variant>
      <vt:variant>
        <vt:lpwstr>https://www.iosco.org/library/pubdocs/pdf/IOSCOPD711.pdf</vt:lpwstr>
      </vt:variant>
      <vt:variant>
        <vt:lpwstr/>
      </vt:variant>
      <vt:variant>
        <vt:i4>393331</vt:i4>
      </vt:variant>
      <vt:variant>
        <vt:i4>6</vt:i4>
      </vt:variant>
      <vt:variant>
        <vt:i4>0</vt:i4>
      </vt:variant>
      <vt:variant>
        <vt:i4>5</vt:i4>
      </vt:variant>
      <vt:variant>
        <vt:lpwstr>mailto:Michaela.Crawford@adgm.com</vt:lpwstr>
      </vt:variant>
      <vt:variant>
        <vt:lpwstr/>
      </vt:variant>
      <vt:variant>
        <vt:i4>1441908</vt:i4>
      </vt:variant>
      <vt:variant>
        <vt:i4>3</vt:i4>
      </vt:variant>
      <vt:variant>
        <vt:i4>0</vt:i4>
      </vt:variant>
      <vt:variant>
        <vt:i4>5</vt:i4>
      </vt:variant>
      <vt:variant>
        <vt:lpwstr>mailto:Meitha.AlNoori@adgm.com</vt:lpwstr>
      </vt:variant>
      <vt:variant>
        <vt:lpwstr/>
      </vt:variant>
      <vt:variant>
        <vt:i4>393331</vt:i4>
      </vt:variant>
      <vt:variant>
        <vt:i4>0</vt:i4>
      </vt:variant>
      <vt:variant>
        <vt:i4>0</vt:i4>
      </vt:variant>
      <vt:variant>
        <vt:i4>5</vt:i4>
      </vt:variant>
      <vt:variant>
        <vt:lpwstr>mailto:Michaela.Crawford@adgm.com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Rodney Olson</dc:creator>
  <cp:keywords/>
  <dc:description/>
  <cp:lastModifiedBy>Michaela Crawford</cp:lastModifiedBy>
  <cp:revision>8</cp:revision>
  <cp:lastPrinted>2023-06-23T07:14:00Z</cp:lastPrinted>
  <dcterms:created xsi:type="dcterms:W3CDTF">2023-06-21T10:08:00Z</dcterms:created>
  <dcterms:modified xsi:type="dcterms:W3CDTF">2023-06-23T07:14:00Z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2017-05-11T00:00:00Z</vt:filetime>
  </property>
  <property fmtid="{D5CDD505-2E9C-101B-9397-08002B2CF9AE}" pid="3" name="LastSaved">
    <vt:filetime>2020-12-29T00:00:00Z</vt:filetime>
  </property>
  <property fmtid="{D5CDD505-2E9C-101B-9397-08002B2CF9AE}" pid="4" name="MSIP_Label_42e67a54-274b-43d7-8098-b3ba5f50e576_Enabled">
    <vt:lpwstr>true</vt:lpwstr>
  </property>
  <property fmtid="{D5CDD505-2E9C-101B-9397-08002B2CF9AE}" pid="5" name="MSIP_Label_42e67a54-274b-43d7-8098-b3ba5f50e576_SetDate">
    <vt:lpwstr>2022-10-07T08:47:41Z</vt:lpwstr>
  </property>
  <property fmtid="{D5CDD505-2E9C-101B-9397-08002B2CF9AE}" pid="6" name="MSIP_Label_42e67a54-274b-43d7-8098-b3ba5f50e576_Method">
    <vt:lpwstr>Standard</vt:lpwstr>
  </property>
  <property fmtid="{D5CDD505-2E9C-101B-9397-08002B2CF9AE}" pid="7" name="MSIP_Label_42e67a54-274b-43d7-8098-b3ba5f50e576_Name">
    <vt:lpwstr>42e67a54-274b-43d7-8098-b3ba5f50e576</vt:lpwstr>
  </property>
  <property fmtid="{D5CDD505-2E9C-101B-9397-08002B2CF9AE}" pid="8" name="MSIP_Label_42e67a54-274b-43d7-8098-b3ba5f50e576_SiteId">
    <vt:lpwstr>7f0b44d2-04f8-4672-bf5d-4676796468a3</vt:lpwstr>
  </property>
  <property fmtid="{D5CDD505-2E9C-101B-9397-08002B2CF9AE}" pid="9" name="MSIP_Label_42e67a54-274b-43d7-8098-b3ba5f50e576_ActionId">
    <vt:lpwstr>74344820-828d-4fa2-98de-faf3befb3082</vt:lpwstr>
  </property>
  <property fmtid="{D5CDD505-2E9C-101B-9397-08002B2CF9AE}" pid="10" name="MSIP_Label_42e67a54-274b-43d7-8098-b3ba5f50e576_ContentBits">
    <vt:lpwstr>0</vt:lpwstr>
  </property>
  <property fmtid="{D5CDD505-2E9C-101B-9397-08002B2CF9AE}" pid="11" name="Client">
    <vt:lpwstr>0109584</vt:lpwstr>
  </property>
  <property fmtid="{D5CDD505-2E9C-101B-9397-08002B2CF9AE}" pid="12" name="Matter">
    <vt:lpwstr>0000010</vt:lpwstr>
  </property>
  <property fmtid="{D5CDD505-2E9C-101B-9397-08002B2CF9AE}" pid="13" name="cpDocRef">
    <vt:lpwstr>DBO1: 2002870153.2</vt:lpwstr>
  </property>
  <property fmtid="{D5CDD505-2E9C-101B-9397-08002B2CF9AE}" pid="14" name="cpClientMatter">
    <vt:lpwstr>0109584-0000010</vt:lpwstr>
  </property>
  <property fmtid="{D5CDD505-2E9C-101B-9397-08002B2CF9AE}" pid="15" name="cpCombinedRef">
    <vt:lpwstr>0109584-0000010 DBO1: 2002870153.2</vt:lpwstr>
  </property>
</Properties>
</file>